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04290" w:rsidR="002B750B" w:rsidP="00695264" w:rsidRDefault="00140C8A" w14:paraId="47C62C13" w14:textId="03999414">
      <w:pPr>
        <w:pStyle w:val="Title"/>
        <w:jc w:val="left"/>
        <w:rPr>
          <w:noProof w:val="0"/>
        </w:rPr>
      </w:pPr>
      <w:r w:rsidRPr="00604290">
        <w:drawing>
          <wp:inline distT="0" distB="0" distL="0" distR="0" wp14:anchorId="14D76601" wp14:editId="15F56E6A">
            <wp:extent cx="2859405" cy="944880"/>
            <wp:effectExtent l="0" t="0" r="0" b="7620"/>
            <wp:docPr id="20008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405" cy="944880"/>
                    </a:xfrm>
                    <a:prstGeom prst="rect">
                      <a:avLst/>
                    </a:prstGeom>
                    <a:noFill/>
                  </pic:spPr>
                </pic:pic>
              </a:graphicData>
            </a:graphic>
          </wp:inline>
        </w:drawing>
      </w:r>
    </w:p>
    <w:p w:rsidRPr="00604290" w:rsidR="00FD01B9" w:rsidP="00FD01B9" w:rsidRDefault="00FD01B9" w14:paraId="24A34414" w14:textId="77777777"/>
    <w:p w:rsidRPr="00604290" w:rsidR="00283950" w:rsidP="00FD01B9" w:rsidRDefault="00283950" w14:paraId="017214BE" w14:textId="77777777"/>
    <w:p w:rsidRPr="00604290" w:rsidR="00FD01B9" w:rsidP="00FD01B9" w:rsidRDefault="00FD01B9" w14:paraId="5316DA5C" w14:textId="7AF3D1ED">
      <w:pPr>
        <w:jc w:val="center"/>
        <w:rPr>
          <w:b/>
          <w:bCs w:val="0"/>
        </w:rPr>
      </w:pPr>
      <w:r w:rsidRPr="00604290">
        <w:rPr>
          <w:b/>
          <w:bCs w:val="0"/>
        </w:rPr>
        <w:t>TITLE:</w:t>
      </w:r>
    </w:p>
    <w:sdt>
      <w:sdtPr>
        <w:alias w:val="Enter thesis or dissertation title here"/>
        <w:tag w:val="Enter thesis or dissertation title here"/>
        <w:id w:val="-1721197731"/>
        <w:lock w:val="sdtLocked"/>
        <w:placeholder>
          <w:docPart w:val="BDB963434F85401EB8924A6268A151DD"/>
        </w:placeholder>
        <w:rPr>
          <w:rFonts w:cs="Times New Roman" w:cstheme="majorBidi"/>
          <w:b w:val="1"/>
          <w:bCs w:val="1"/>
          <w:noProof w:val="0"/>
        </w:rPr>
      </w:sdtPr>
      <w:sdtEndPr>
        <w:rPr>
          <w:rFonts w:cs="Times New Roman" w:cstheme="majorBidi"/>
          <w:b w:val="1"/>
          <w:bCs w:val="1"/>
          <w:noProof w:val="0"/>
        </w:rPr>
      </w:sdtEndPr>
      <w:sdtContent>
        <w:p w:rsidRPr="00604290" w:rsidR="00912E09" w:rsidP="00912E09" w:rsidRDefault="00912E09" w14:paraId="2858D44B" w14:textId="5C7B97C5">
          <w:pPr>
            <w:pStyle w:val="Title"/>
          </w:pPr>
          <w:r w:rsidRPr="5CA63BDD" w:rsidR="582AB09B">
            <w:rPr>
              <w:rFonts w:cs="Times New Roman" w:cstheme="majorBidi"/>
              <w:b w:val="1"/>
              <w:bCs w:val="1"/>
              <w:noProof w:val="0"/>
            </w:rPr>
            <w:t>Genetically Informed, Psychologically Ignored?</w:t>
          </w:r>
          <w:r w:rsidRPr="5CA63BDD" w:rsidR="237C6A84">
            <w:rPr>
              <w:rFonts w:cs="Times New Roman" w:cstheme="majorBidi"/>
              <w:b w:val="1"/>
              <w:bCs w:val="1"/>
              <w:noProof w:val="0"/>
            </w:rPr>
            <w:t xml:space="preserve"> Lived Experiences Following Genetic Testing for Huntington’s Disease</w:t>
          </w:r>
        </w:p>
        <w:p w:rsidRPr="00604290" w:rsidR="00912E09" w:rsidP="00912E09" w:rsidRDefault="009F6A01" w14:paraId="02B30541" w14:textId="77777777"/>
      </w:sdtContent>
    </w:sdt>
    <w:p w:rsidRPr="00604290" w:rsidR="003558BF" w:rsidP="003558BF" w:rsidRDefault="003558BF" w14:paraId="639EB4BA" w14:textId="39589422">
      <w:pPr>
        <w:pStyle w:val="Title"/>
        <w:rPr>
          <w:noProof w:val="0"/>
        </w:rPr>
      </w:pPr>
      <w:r w:rsidRPr="00604290">
        <w:rPr>
          <w:noProof w:val="0"/>
        </w:rPr>
        <w:t xml:space="preserve">This dissertation has been submitted by </w:t>
      </w:r>
      <w:r w:rsidR="00566E4A">
        <w:rPr>
          <w:noProof w:val="0"/>
        </w:rPr>
        <w:t xml:space="preserve"> Carly Evans </w:t>
      </w:r>
      <w:r w:rsidRPr="00604290">
        <w:rPr>
          <w:noProof w:val="0"/>
        </w:rPr>
        <w:t>to</w:t>
      </w:r>
    </w:p>
    <w:p w:rsidRPr="00604290" w:rsidR="003558BF" w:rsidP="003558BF" w:rsidRDefault="003558BF" w14:paraId="5A882234" w14:textId="77777777">
      <w:pPr>
        <w:pStyle w:val="Title"/>
        <w:rPr>
          <w:noProof w:val="0"/>
        </w:rPr>
      </w:pPr>
      <w:r w:rsidRPr="00604290">
        <w:rPr>
          <w:noProof w:val="0"/>
        </w:rPr>
        <w:t>the University of Wales Trinity Saint David partial fulfilment</w:t>
      </w:r>
    </w:p>
    <w:p w:rsidRPr="00604290" w:rsidR="003558BF" w:rsidP="003558BF" w:rsidRDefault="003558BF" w14:paraId="01A97F8A" w14:textId="77777777">
      <w:pPr>
        <w:pStyle w:val="Title"/>
        <w:rPr>
          <w:noProof w:val="0"/>
        </w:rPr>
      </w:pPr>
      <w:r w:rsidRPr="00604290">
        <w:rPr>
          <w:noProof w:val="0"/>
        </w:rPr>
        <w:t xml:space="preserve">of the requirements for a </w:t>
      </w:r>
    </w:p>
    <w:p w:rsidRPr="00604290" w:rsidR="003558BF" w:rsidP="003558BF" w:rsidRDefault="003558BF" w14:paraId="33950E8A" w14:textId="70582C54">
      <w:pPr>
        <w:pStyle w:val="Title"/>
        <w:rPr>
          <w:noProof w:val="0"/>
        </w:rPr>
      </w:pPr>
      <w:r w:rsidRPr="00604290">
        <w:rPr>
          <w:noProof w:val="0"/>
        </w:rPr>
        <w:t>Masters in Psychotherapeutic</w:t>
      </w:r>
    </w:p>
    <w:p w:rsidRPr="00604290" w:rsidR="003558BF" w:rsidP="003558BF" w:rsidRDefault="003558BF" w14:paraId="1E2B9335" w14:textId="77777777">
      <w:pPr>
        <w:pStyle w:val="Title"/>
        <w:rPr>
          <w:noProof w:val="0"/>
        </w:rPr>
      </w:pPr>
      <w:r w:rsidRPr="00604290">
        <w:rPr>
          <w:noProof w:val="0"/>
        </w:rPr>
        <w:t xml:space="preserve">Practice: Humanistic, under the supervision of </w:t>
      </w:r>
    </w:p>
    <w:p w:rsidRPr="00604290" w:rsidR="003558BF" w:rsidP="003558BF" w:rsidRDefault="003558BF" w14:paraId="10E94D9C" w14:textId="26B9A567">
      <w:pPr>
        <w:pStyle w:val="Title"/>
        <w:rPr>
          <w:noProof w:val="0"/>
        </w:rPr>
      </w:pPr>
      <w:r w:rsidRPr="00604290">
        <w:rPr>
          <w:noProof w:val="0"/>
        </w:rPr>
        <w:t xml:space="preserve">Dr. </w:t>
      </w:r>
      <w:r w:rsidRPr="00604290" w:rsidR="00606621">
        <w:rPr>
          <w:noProof w:val="0"/>
        </w:rPr>
        <w:t>Ceri Phelps</w:t>
      </w:r>
    </w:p>
    <w:p w:rsidRPr="00604290" w:rsidR="00A41353" w:rsidP="00695264" w:rsidRDefault="006F091F" w14:paraId="4AA4F70B" w14:textId="765CEABA">
      <w:pPr>
        <w:pStyle w:val="Title"/>
        <w:rPr>
          <w:noProof w:val="0"/>
        </w:rPr>
      </w:pPr>
      <w:r w:rsidRPr="00604290">
        <w:rPr>
          <w:noProof w:val="0"/>
        </w:rPr>
        <w:br/>
      </w:r>
      <w:sdt>
        <w:sdtPr>
          <w:rPr>
            <w:rStyle w:val="TitleChar"/>
            <w:noProof w:val="0"/>
          </w:rPr>
          <w:alias w:val="Month and year of submission"/>
          <w:tag w:val="Month and year of submission"/>
          <w:id w:val="-178122483"/>
          <w:placeholder>
            <w:docPart w:val="3D09294CD44E40F0A8F7BE3F6E07DB5F"/>
          </w:placeholder>
          <w15:color w:val="808080"/>
          <w:date w:fullDate="2026-08-01T00:00:00Z">
            <w:dateFormat w:val="MMMM yyyy"/>
            <w:lid w:val="en-GB"/>
            <w:storeMappedDataAs w:val="dateTime"/>
            <w:calendar w:val="gregorian"/>
          </w:date>
        </w:sdtPr>
        <w:sdtEndPr>
          <w:rPr>
            <w:rStyle w:val="TitleChar"/>
          </w:rPr>
        </w:sdtEndPr>
        <w:sdtContent>
          <w:r w:rsidR="00AC0A54">
            <w:rPr>
              <w:rStyle w:val="TitleChar"/>
              <w:noProof w:val="0"/>
            </w:rPr>
            <w:t xml:space="preserve">August </w:t>
          </w:r>
          <w:r w:rsidRPr="00604290" w:rsidR="007E6168">
            <w:rPr>
              <w:rStyle w:val="TitleChar"/>
              <w:noProof w:val="0"/>
            </w:rPr>
            <w:t>2026</w:t>
          </w:r>
        </w:sdtContent>
      </w:sdt>
    </w:p>
    <w:p w:rsidRPr="00604290" w:rsidR="00A41353" w:rsidP="00A41353" w:rsidRDefault="00A41353" w14:paraId="70615A5E" w14:textId="77777777">
      <w:pPr>
        <w:sectPr w:rsidRPr="00604290" w:rsidR="00A41353" w:rsidSect="00AB1BFB">
          <w:footerReference w:type="default" r:id="rId9"/>
          <w:pgSz w:w="11906" w:h="16838" w:orient="portrait"/>
          <w:pgMar w:top="1134" w:right="1134" w:bottom="1134" w:left="1134" w:header="709" w:footer="709" w:gutter="0"/>
          <w:cols w:space="708"/>
          <w:docGrid w:linePitch="360"/>
        </w:sectPr>
      </w:pPr>
    </w:p>
    <w:p w:rsidRPr="00B23638" w:rsidR="004D1C5A" w:rsidP="00EF5D31" w:rsidRDefault="004D1C5A" w14:paraId="5A3D5E31" w14:textId="14F8DD58">
      <w:pPr>
        <w:pStyle w:val="Headingfrontmatter"/>
        <w:rPr>
          <w:lang w:val="en-GB"/>
        </w:rPr>
      </w:pPr>
      <w:bookmarkStart w:name="_Toc238028844" w:id="0"/>
      <w:r w:rsidRPr="00B23638">
        <w:rPr>
          <w:lang w:val="en-GB"/>
        </w:rPr>
        <w:t>Abstract</w:t>
      </w:r>
      <w:bookmarkEnd w:id="0"/>
      <w:r w:rsidRPr="00B23638">
        <w:rPr>
          <w:lang w:val="en-GB"/>
        </w:rPr>
        <w:t xml:space="preserve"> </w:t>
      </w:r>
    </w:p>
    <w:p w:rsidRPr="004D448A" w:rsidR="00D36D90" w:rsidP="004D448A" w:rsidRDefault="00D36D90" w14:paraId="743392F0" w14:textId="77777777">
      <w:pPr>
        <w:jc w:val="both"/>
        <w:rPr>
          <w:sz w:val="24"/>
          <w:szCs w:val="24"/>
        </w:rPr>
      </w:pPr>
    </w:p>
    <w:p w:rsidRPr="004D448A" w:rsidR="00AC0A54" w:rsidP="09BD0229" w:rsidRDefault="004D448A" w14:paraId="27186329" w14:textId="70F5118F">
      <w:pPr>
        <w:spacing w:line="480" w:lineRule="auto"/>
        <w:jc w:val="both"/>
        <w:rPr>
          <w:sz w:val="24"/>
          <w:szCs w:val="24"/>
        </w:rPr>
      </w:pPr>
      <w:r w:rsidRPr="004D448A" w:rsidR="004D448A">
        <w:rPr>
          <w:rStyle w:val="normaltextrun"/>
          <w:color w:val="000000"/>
          <w:sz w:val="24"/>
          <w:szCs w:val="24"/>
          <w:shd w:val="clear" w:color="auto" w:fill="FFFFFF"/>
        </w:rPr>
        <w:t>Predictive genetic testing for Huntington's disease (HD) provides individuals with certainty regarding their genetic status before the onset of symptoms; however, the psychological consequences of this knowledge often extend far beyond the testing process. Whilst genetic counselling plays a vital role in supporting informed decision-making and communicating genetic risk, comparatively little is known about individuals' longer-term psychological adjustment and therapeutic support needs within the UK. This study explored the lived experiences of six Huntington's Disease Association ambassadors who had undergone predictive genetic testing for HD using Interpretative Phenomenological Analysis (IPA). Five interconnected experiential themes were identified: </w:t>
      </w:r>
      <w:r w:rsidRPr="09BD0229" w:rsidR="004D448A">
        <w:rPr>
          <w:rStyle w:val="normaltextrun"/>
          <w:i w:val="1"/>
          <w:iCs w:val="1"/>
          <w:color w:val="000000"/>
          <w:sz w:val="24"/>
          <w:szCs w:val="24"/>
          <w:shd w:val="clear" w:color="auto" w:fill="FFFFFF"/>
        </w:rPr>
        <w:t>Living with Lifelong Uncertainty; Making Sense of Knowing; The Relational Experience of Huntington's Disease; Experiences of Therapeutic Support;</w:t>
      </w:r>
      <w:r w:rsidRPr="004D448A" w:rsidR="004D448A">
        <w:rPr>
          <w:rStyle w:val="normaltextrun"/>
          <w:color w:val="000000"/>
          <w:sz w:val="24"/>
          <w:szCs w:val="24"/>
          <w:shd w:val="clear" w:color="auto" w:fill="FFFFFF"/>
        </w:rPr>
        <w:t> and </w:t>
      </w:r>
      <w:r w:rsidRPr="09BD0229" w:rsidR="004D448A">
        <w:rPr>
          <w:rStyle w:val="normaltextrun"/>
          <w:i w:val="1"/>
          <w:iCs w:val="1"/>
          <w:color w:val="000000"/>
          <w:sz w:val="24"/>
          <w:szCs w:val="24"/>
          <w:shd w:val="clear" w:color="auto" w:fill="FFFFFF"/>
        </w:rPr>
        <w:t>Living Beyond Predictive Testing</w:t>
      </w:r>
      <w:r w:rsidRPr="004D448A" w:rsidR="004D448A">
        <w:rPr>
          <w:rStyle w:val="normaltextrun"/>
          <w:color w:val="000000"/>
          <w:sz w:val="24"/>
          <w:szCs w:val="24"/>
          <w:shd w:val="clear" w:color="auto" w:fill="FFFFFF"/>
        </w:rPr>
        <w:t>. The findings demonstrate that predictive testing is not experienced as a discrete clinical event but as an ongoing process of negotiating identity, relationships, uncertainty, and future meaning. Participants described enduring emotional challenges that frequently persisted beyond the genetic counselling pathway, highlighting unmet psychological needs and the value of sustained therapeutic support. The study contributes to counselling knowledge by demonstrating the importance of longitudinal, relational, and person-centred approaches that support psychological adaptation to predictive genetic knowledge beyond the point of testing.</w:t>
      </w:r>
    </w:p>
    <w:p w:rsidRPr="00604290" w:rsidR="00D36D90" w:rsidP="00E02BA1" w:rsidRDefault="00D36D90" w14:paraId="7BC642DE" w14:textId="77777777">
      <w:pPr>
        <w:spacing w:line="240" w:lineRule="auto"/>
      </w:pPr>
    </w:p>
    <w:p w:rsidRPr="00E02BA1" w:rsidR="00D36D90" w:rsidP="00E02BA1" w:rsidRDefault="00E02BA1" w14:paraId="241C0715" w14:textId="61BDB3A0">
      <w:pPr>
        <w:spacing w:line="240" w:lineRule="auto"/>
        <w:rPr>
          <w:sz w:val="24"/>
          <w:szCs w:val="24"/>
        </w:rPr>
      </w:pPr>
      <w:r w:rsidRPr="09BD0229" w:rsidR="00E02BA1">
        <w:rPr>
          <w:b w:val="1"/>
          <w:bCs w:val="1"/>
          <w:sz w:val="24"/>
          <w:szCs w:val="24"/>
        </w:rPr>
        <w:t>Key words</w:t>
      </w:r>
      <w:r w:rsidRPr="09BD0229" w:rsidR="00E02BA1">
        <w:rPr>
          <w:sz w:val="24"/>
          <w:szCs w:val="24"/>
        </w:rPr>
        <w:t>:</w:t>
      </w:r>
      <w:r w:rsidRPr="09BD0229" w:rsidR="00D2191F">
        <w:rPr>
          <w:sz w:val="24"/>
          <w:szCs w:val="24"/>
        </w:rPr>
        <w:t xml:space="preserve"> Huntington’s </w:t>
      </w:r>
      <w:r w:rsidRPr="09BD0229" w:rsidR="00D2191F">
        <w:rPr>
          <w:sz w:val="24"/>
          <w:szCs w:val="24"/>
        </w:rPr>
        <w:t xml:space="preserve">Disease; </w:t>
      </w:r>
      <w:r w:rsidRPr="09BD0229" w:rsidR="003054DE">
        <w:rPr>
          <w:sz w:val="24"/>
          <w:szCs w:val="24"/>
        </w:rPr>
        <w:t>Genetically</w:t>
      </w:r>
      <w:r w:rsidRPr="09BD0229" w:rsidR="003054DE">
        <w:rPr>
          <w:sz w:val="24"/>
          <w:szCs w:val="24"/>
        </w:rPr>
        <w:t xml:space="preserve"> informed</w:t>
      </w:r>
      <w:r w:rsidRPr="09BD0229" w:rsidR="00F0728B">
        <w:rPr>
          <w:sz w:val="24"/>
          <w:szCs w:val="24"/>
        </w:rPr>
        <w:t xml:space="preserve">; </w:t>
      </w:r>
      <w:r w:rsidRPr="09BD0229" w:rsidR="00C31AF9">
        <w:rPr>
          <w:sz w:val="24"/>
          <w:szCs w:val="24"/>
        </w:rPr>
        <w:t>Phenomenological analysis</w:t>
      </w:r>
    </w:p>
    <w:p w:rsidRPr="00604290" w:rsidR="00D36D90" w:rsidP="00E02BA1" w:rsidRDefault="00D36D90" w14:paraId="11B3370D" w14:textId="77777777">
      <w:pPr>
        <w:spacing w:line="240" w:lineRule="auto"/>
      </w:pPr>
    </w:p>
    <w:p w:rsidRPr="00604290" w:rsidR="00D36D90" w:rsidP="00D36D90" w:rsidRDefault="00D36D90" w14:paraId="5A5ED312" w14:textId="77777777"/>
    <w:p w:rsidRPr="00604290" w:rsidR="00D36D90" w:rsidP="00D36D90" w:rsidRDefault="00D36D90" w14:paraId="4839FF21" w14:textId="77777777"/>
    <w:p w:rsidRPr="00B23638" w:rsidR="00EF5D31" w:rsidP="69441A9A" w:rsidRDefault="00EF5D31" w14:paraId="069C94A2" w14:textId="693D27F3">
      <w:pPr>
        <w:pStyle w:val="Headingfrontmatter"/>
        <w:ind w:left="0" w:hanging="0"/>
        <w:rPr>
          <w:lang w:val="en-GB"/>
        </w:rPr>
      </w:pPr>
      <w:bookmarkStart w:name="_Toc238028845" w:id="1"/>
      <w:r w:rsidRPr="69441A9A" w:rsidR="112139D1">
        <w:rPr>
          <w:lang w:val="en-GB"/>
        </w:rPr>
        <w:t>Acknowledgements</w:t>
      </w:r>
      <w:bookmarkEnd w:id="1"/>
      <w:r>
        <w:br/>
      </w:r>
    </w:p>
    <w:p w:rsidR="5CC342FB" w:rsidP="69441A9A" w:rsidRDefault="5CC342FB" w14:paraId="1A8CC4CA" w14:textId="3F01FA16">
      <w:pPr>
        <w:pStyle w:val="Normal"/>
        <w:rPr>
          <w:rFonts w:ascii="Arial" w:hAnsi="Arial" w:eastAsia="Arial" w:cs="Arial"/>
          <w:sz w:val="24"/>
          <w:szCs w:val="24"/>
          <w:lang w:val="en-GB"/>
        </w:rPr>
      </w:pPr>
      <w:r w:rsidRPr="69441A9A" w:rsidR="5CC342FB">
        <w:rPr>
          <w:rFonts w:ascii="Arial" w:hAnsi="Arial" w:eastAsia="Arial" w:cs="Arial"/>
          <w:sz w:val="24"/>
          <w:szCs w:val="24"/>
          <w:lang w:val="en-GB"/>
        </w:rPr>
        <w:t xml:space="preserve">Firstly, I would like to thank each of the ambassadors from the </w:t>
      </w:r>
      <w:r w:rsidRPr="69441A9A" w:rsidR="458FFC7E">
        <w:rPr>
          <w:rFonts w:ascii="Arial" w:hAnsi="Arial" w:eastAsia="Arial" w:cs="Arial"/>
          <w:sz w:val="24"/>
          <w:szCs w:val="24"/>
          <w:lang w:val="en-GB"/>
        </w:rPr>
        <w:t>Huntington's</w:t>
      </w:r>
      <w:r w:rsidRPr="69441A9A" w:rsidR="5CC342FB">
        <w:rPr>
          <w:rFonts w:ascii="Arial" w:hAnsi="Arial" w:eastAsia="Arial" w:cs="Arial"/>
          <w:sz w:val="24"/>
          <w:szCs w:val="24"/>
          <w:lang w:val="en-GB"/>
        </w:rPr>
        <w:t xml:space="preserve"> Disease Association (HDA) that took </w:t>
      </w:r>
      <w:r w:rsidRPr="69441A9A" w:rsidR="4A4B0482">
        <w:rPr>
          <w:rFonts w:ascii="Arial" w:hAnsi="Arial" w:eastAsia="Arial" w:cs="Arial"/>
          <w:sz w:val="24"/>
          <w:szCs w:val="24"/>
          <w:lang w:val="en-GB"/>
        </w:rPr>
        <w:t xml:space="preserve">their time out, sharing their </w:t>
      </w:r>
      <w:r w:rsidRPr="69441A9A" w:rsidR="4A4B0482">
        <w:rPr>
          <w:rFonts w:ascii="Arial" w:hAnsi="Arial" w:eastAsia="Arial" w:cs="Arial"/>
          <w:sz w:val="24"/>
          <w:szCs w:val="24"/>
          <w:lang w:val="en-GB"/>
        </w:rPr>
        <w:t xml:space="preserve">personal </w:t>
      </w:r>
      <w:r w:rsidRPr="69441A9A" w:rsidR="47CD6AF4">
        <w:rPr>
          <w:rFonts w:ascii="Arial" w:hAnsi="Arial" w:eastAsia="Arial" w:cs="Arial"/>
          <w:sz w:val="24"/>
          <w:szCs w:val="24"/>
          <w:lang w:val="en-GB"/>
        </w:rPr>
        <w:t>experiences</w:t>
      </w:r>
      <w:r w:rsidRPr="69441A9A" w:rsidR="4A4B0482">
        <w:rPr>
          <w:rFonts w:ascii="Arial" w:hAnsi="Arial" w:eastAsia="Arial" w:cs="Arial"/>
          <w:sz w:val="24"/>
          <w:szCs w:val="24"/>
          <w:lang w:val="en-GB"/>
        </w:rPr>
        <w:t xml:space="preserve"> </w:t>
      </w:r>
      <w:r w:rsidRPr="69441A9A" w:rsidR="1DD9FEA5">
        <w:rPr>
          <w:rFonts w:ascii="Arial" w:hAnsi="Arial" w:eastAsia="Arial" w:cs="Arial"/>
          <w:sz w:val="24"/>
          <w:szCs w:val="24"/>
          <w:lang w:val="en-GB"/>
        </w:rPr>
        <w:t>as part of this research process. Without you, this study would not have taken place</w:t>
      </w:r>
      <w:r w:rsidRPr="69441A9A" w:rsidR="3336CADA">
        <w:rPr>
          <w:rFonts w:ascii="Arial" w:hAnsi="Arial" w:eastAsia="Arial" w:cs="Arial"/>
          <w:sz w:val="24"/>
          <w:szCs w:val="24"/>
          <w:lang w:val="en-GB"/>
        </w:rPr>
        <w:t>. Your insights and experiences will help not only other individuals</w:t>
      </w:r>
      <w:r w:rsidRPr="69441A9A" w:rsidR="15769715">
        <w:rPr>
          <w:rFonts w:ascii="Arial" w:hAnsi="Arial" w:eastAsia="Arial" w:cs="Arial"/>
          <w:sz w:val="24"/>
          <w:szCs w:val="24"/>
          <w:lang w:val="en-GB"/>
        </w:rPr>
        <w:t xml:space="preserve"> </w:t>
      </w:r>
      <w:r w:rsidRPr="69441A9A" w:rsidR="15769715">
        <w:rPr>
          <w:rFonts w:ascii="Arial" w:hAnsi="Arial" w:eastAsia="Arial" w:cs="Arial"/>
          <w:sz w:val="24"/>
          <w:szCs w:val="24"/>
          <w:lang w:val="en-GB"/>
        </w:rPr>
        <w:t>impacted</w:t>
      </w:r>
      <w:r w:rsidRPr="69441A9A" w:rsidR="15769715">
        <w:rPr>
          <w:rFonts w:ascii="Arial" w:hAnsi="Arial" w:eastAsia="Arial" w:cs="Arial"/>
          <w:sz w:val="24"/>
          <w:szCs w:val="24"/>
          <w:lang w:val="en-GB"/>
        </w:rPr>
        <w:t xml:space="preserve"> by HD</w:t>
      </w:r>
      <w:r w:rsidRPr="69441A9A" w:rsidR="4C547839">
        <w:rPr>
          <w:rFonts w:ascii="Arial" w:hAnsi="Arial" w:eastAsia="Arial" w:cs="Arial"/>
          <w:sz w:val="24"/>
          <w:szCs w:val="24"/>
          <w:lang w:val="en-GB"/>
        </w:rPr>
        <w:t xml:space="preserve"> who are making the decision to start their </w:t>
      </w:r>
      <w:r w:rsidRPr="69441A9A" w:rsidR="24F5A0B4">
        <w:rPr>
          <w:rFonts w:ascii="Arial" w:hAnsi="Arial" w:eastAsia="Arial" w:cs="Arial"/>
          <w:sz w:val="24"/>
          <w:szCs w:val="24"/>
          <w:lang w:val="en-GB"/>
        </w:rPr>
        <w:t xml:space="preserve">genetic testing </w:t>
      </w:r>
      <w:r w:rsidRPr="69441A9A" w:rsidR="67C300FD">
        <w:rPr>
          <w:rFonts w:ascii="Arial" w:hAnsi="Arial" w:eastAsia="Arial" w:cs="Arial"/>
          <w:sz w:val="24"/>
          <w:szCs w:val="24"/>
          <w:lang w:val="en-GB"/>
        </w:rPr>
        <w:t>journey</w:t>
      </w:r>
      <w:r w:rsidRPr="69441A9A" w:rsidR="0B5E88FD">
        <w:rPr>
          <w:rFonts w:ascii="Arial" w:hAnsi="Arial" w:eastAsia="Arial" w:cs="Arial"/>
          <w:sz w:val="24"/>
          <w:szCs w:val="24"/>
          <w:lang w:val="en-GB"/>
        </w:rPr>
        <w:t xml:space="preserve"> but</w:t>
      </w:r>
      <w:r w:rsidRPr="69441A9A" w:rsidR="0B5E88FD">
        <w:rPr>
          <w:rFonts w:ascii="Arial" w:hAnsi="Arial" w:eastAsia="Arial" w:cs="Arial"/>
          <w:sz w:val="24"/>
          <w:szCs w:val="24"/>
          <w:lang w:val="en-GB"/>
        </w:rPr>
        <w:t xml:space="preserve"> will </w:t>
      </w:r>
      <w:r w:rsidRPr="69441A9A" w:rsidR="6926FE3C">
        <w:rPr>
          <w:rFonts w:ascii="Arial" w:hAnsi="Arial" w:eastAsia="Arial" w:cs="Arial"/>
          <w:sz w:val="24"/>
          <w:szCs w:val="24"/>
          <w:lang w:val="en-GB"/>
        </w:rPr>
        <w:t xml:space="preserve">also </w:t>
      </w:r>
      <w:r w:rsidRPr="69441A9A" w:rsidR="04A27222">
        <w:rPr>
          <w:rFonts w:ascii="Arial" w:hAnsi="Arial" w:eastAsia="Arial" w:cs="Arial"/>
          <w:sz w:val="24"/>
          <w:szCs w:val="24"/>
          <w:lang w:val="en-GB"/>
        </w:rPr>
        <w:t>be immensely</w:t>
      </w:r>
      <w:r w:rsidRPr="69441A9A" w:rsidR="6926FE3C">
        <w:rPr>
          <w:rFonts w:ascii="Arial" w:hAnsi="Arial" w:eastAsia="Arial" w:cs="Arial"/>
          <w:sz w:val="24"/>
          <w:szCs w:val="24"/>
          <w:lang w:val="en-GB"/>
        </w:rPr>
        <w:t xml:space="preserve"> </w:t>
      </w:r>
      <w:r w:rsidRPr="69441A9A" w:rsidR="04A27222">
        <w:rPr>
          <w:rFonts w:ascii="Arial" w:hAnsi="Arial" w:eastAsia="Arial" w:cs="Arial"/>
          <w:sz w:val="24"/>
          <w:szCs w:val="24"/>
          <w:lang w:val="en-GB"/>
        </w:rPr>
        <w:t xml:space="preserve">valuable to help </w:t>
      </w:r>
      <w:r w:rsidRPr="69441A9A" w:rsidR="0B5E88FD">
        <w:rPr>
          <w:rFonts w:ascii="Arial" w:hAnsi="Arial" w:eastAsia="Arial" w:cs="Arial"/>
          <w:sz w:val="24"/>
          <w:szCs w:val="24"/>
          <w:lang w:val="en-GB"/>
        </w:rPr>
        <w:t>counselling pro</w:t>
      </w:r>
      <w:r w:rsidRPr="69441A9A" w:rsidR="6A37DB4D">
        <w:rPr>
          <w:rFonts w:ascii="Arial" w:hAnsi="Arial" w:eastAsia="Arial" w:cs="Arial"/>
          <w:sz w:val="24"/>
          <w:szCs w:val="24"/>
          <w:lang w:val="en-GB"/>
        </w:rPr>
        <w:t xml:space="preserve">fessionals </w:t>
      </w:r>
      <w:r w:rsidRPr="69441A9A" w:rsidR="0B5E88FD">
        <w:rPr>
          <w:rFonts w:ascii="Arial" w:hAnsi="Arial" w:eastAsia="Arial" w:cs="Arial"/>
          <w:sz w:val="24"/>
          <w:szCs w:val="24"/>
          <w:lang w:val="en-GB"/>
        </w:rPr>
        <w:t>understand how they can best support</w:t>
      </w:r>
      <w:r w:rsidRPr="69441A9A" w:rsidR="16BFA7C8">
        <w:rPr>
          <w:rFonts w:ascii="Arial" w:hAnsi="Arial" w:eastAsia="Arial" w:cs="Arial"/>
          <w:sz w:val="24"/>
          <w:szCs w:val="24"/>
          <w:lang w:val="en-GB"/>
        </w:rPr>
        <w:t>.</w:t>
      </w:r>
    </w:p>
    <w:p w:rsidR="50A32F97" w:rsidP="69441A9A" w:rsidRDefault="50A32F97" w14:paraId="00AD0636" w14:textId="602D9B7B">
      <w:pPr>
        <w:pStyle w:val="Normal"/>
        <w:rPr>
          <w:rFonts w:ascii="Arial" w:hAnsi="Arial" w:eastAsia="Arial" w:cs="Arial"/>
          <w:sz w:val="24"/>
          <w:szCs w:val="24"/>
          <w:lang w:val="en-GB"/>
        </w:rPr>
      </w:pPr>
      <w:r w:rsidRPr="69441A9A" w:rsidR="6D50DBFD">
        <w:rPr>
          <w:rFonts w:ascii="Arial" w:hAnsi="Arial" w:eastAsia="Arial" w:cs="Arial"/>
          <w:noProof w:val="0"/>
          <w:color w:val="0D0D0D" w:themeColor="text1" w:themeTint="F2" w:themeShade="FF"/>
          <w:sz w:val="24"/>
          <w:szCs w:val="24"/>
          <w:lang w:val="en-GB"/>
        </w:rPr>
        <w:t xml:space="preserve">I also wanted to express my sincere gratitude to my Supervisor, Dr Ceri Phelps. I will forever be grateful to you for putting your trust in me to conduct this </w:t>
      </w:r>
      <w:r w:rsidRPr="69441A9A" w:rsidR="6D50DBFD">
        <w:rPr>
          <w:rFonts w:ascii="Arial" w:hAnsi="Arial" w:eastAsia="Arial" w:cs="Arial"/>
          <w:noProof w:val="0"/>
          <w:color w:val="0D0D0D" w:themeColor="text1" w:themeTint="F2" w:themeShade="FF"/>
          <w:sz w:val="24"/>
          <w:szCs w:val="24"/>
          <w:lang w:val="en-GB"/>
        </w:rPr>
        <w:t>very important</w:t>
      </w:r>
      <w:r w:rsidRPr="69441A9A" w:rsidR="6D50DBFD">
        <w:rPr>
          <w:rFonts w:ascii="Arial" w:hAnsi="Arial" w:eastAsia="Arial" w:cs="Arial"/>
          <w:noProof w:val="0"/>
          <w:color w:val="0D0D0D" w:themeColor="text1" w:themeTint="F2" w:themeShade="FF"/>
          <w:sz w:val="24"/>
          <w:szCs w:val="24"/>
          <w:lang w:val="en-GB"/>
        </w:rPr>
        <w:t xml:space="preserve"> piece of research. You have always believed in me, even when I have not believed in myself. Nothing has ever been too much, and I will always be so thankful for your support, </w:t>
      </w:r>
      <w:r w:rsidRPr="69441A9A" w:rsidR="6D50DBFD">
        <w:rPr>
          <w:rFonts w:ascii="Arial" w:hAnsi="Arial" w:eastAsia="Arial" w:cs="Arial"/>
          <w:noProof w:val="0"/>
          <w:color w:val="0D0D0D" w:themeColor="text1" w:themeTint="F2" w:themeShade="FF"/>
          <w:sz w:val="24"/>
          <w:szCs w:val="24"/>
          <w:lang w:val="en-GB"/>
        </w:rPr>
        <w:t>encouragement</w:t>
      </w:r>
      <w:r w:rsidRPr="69441A9A" w:rsidR="6D50DBFD">
        <w:rPr>
          <w:rFonts w:ascii="Arial" w:hAnsi="Arial" w:eastAsia="Arial" w:cs="Arial"/>
          <w:noProof w:val="0"/>
          <w:color w:val="0D0D0D" w:themeColor="text1" w:themeTint="F2" w:themeShade="FF"/>
          <w:sz w:val="24"/>
          <w:szCs w:val="24"/>
          <w:lang w:val="en-GB"/>
        </w:rPr>
        <w:t xml:space="preserve"> and reassurance every step of the way, especially when I have needed it most. There were </w:t>
      </w:r>
      <w:r w:rsidRPr="69441A9A" w:rsidR="6D50DBFD">
        <w:rPr>
          <w:rFonts w:ascii="Arial" w:hAnsi="Arial" w:eastAsia="Arial" w:cs="Arial"/>
          <w:noProof w:val="0"/>
          <w:color w:val="0D0D0D" w:themeColor="text1" w:themeTint="F2" w:themeShade="FF"/>
          <w:sz w:val="24"/>
          <w:szCs w:val="24"/>
          <w:lang w:val="en-GB"/>
        </w:rPr>
        <w:t>definitely times</w:t>
      </w:r>
      <w:r w:rsidRPr="69441A9A" w:rsidR="6D50DBFD">
        <w:rPr>
          <w:rFonts w:ascii="Arial" w:hAnsi="Arial" w:eastAsia="Arial" w:cs="Arial"/>
          <w:noProof w:val="0"/>
          <w:color w:val="0D0D0D" w:themeColor="text1" w:themeTint="F2" w:themeShade="FF"/>
          <w:sz w:val="24"/>
          <w:szCs w:val="24"/>
          <w:lang w:val="en-GB"/>
        </w:rPr>
        <w:t xml:space="preserve"> when I found the personal nature of this research project difficult, so thank you for always understanding, supporting </w:t>
      </w:r>
      <w:r w:rsidRPr="69441A9A" w:rsidR="6D50DBFD">
        <w:rPr>
          <w:rFonts w:ascii="Arial" w:hAnsi="Arial" w:eastAsia="Arial" w:cs="Arial"/>
          <w:noProof w:val="0"/>
          <w:color w:val="0D0D0D" w:themeColor="text1" w:themeTint="F2" w:themeShade="FF"/>
          <w:sz w:val="24"/>
          <w:szCs w:val="24"/>
          <w:lang w:val="en-GB"/>
        </w:rPr>
        <w:t>me</w:t>
      </w:r>
      <w:r w:rsidRPr="69441A9A" w:rsidR="6D50DBFD">
        <w:rPr>
          <w:rFonts w:ascii="Arial" w:hAnsi="Arial" w:eastAsia="Arial" w:cs="Arial"/>
          <w:noProof w:val="0"/>
          <w:color w:val="0D0D0D" w:themeColor="text1" w:themeTint="F2" w:themeShade="FF"/>
          <w:sz w:val="24"/>
          <w:szCs w:val="24"/>
          <w:lang w:val="en-GB"/>
        </w:rPr>
        <w:t xml:space="preserve"> and reminding me that I </w:t>
      </w:r>
      <w:r w:rsidRPr="69441A9A" w:rsidR="6D50DBFD">
        <w:rPr>
          <w:rFonts w:ascii="Arial" w:hAnsi="Arial" w:eastAsia="Arial" w:cs="Arial"/>
          <w:noProof w:val="0"/>
          <w:color w:val="0D0D0D" w:themeColor="text1" w:themeTint="F2" w:themeShade="FF"/>
          <w:sz w:val="24"/>
          <w:szCs w:val="24"/>
          <w:lang w:val="en-GB"/>
        </w:rPr>
        <w:t>was capable of doing</w:t>
      </w:r>
      <w:r w:rsidRPr="69441A9A" w:rsidR="6D50DBFD">
        <w:rPr>
          <w:rFonts w:ascii="Arial" w:hAnsi="Arial" w:eastAsia="Arial" w:cs="Arial"/>
          <w:noProof w:val="0"/>
          <w:color w:val="0D0D0D" w:themeColor="text1" w:themeTint="F2" w:themeShade="FF"/>
          <w:sz w:val="24"/>
          <w:szCs w:val="24"/>
          <w:lang w:val="en-GB"/>
        </w:rPr>
        <w:t xml:space="preserve"> this. I genuinely could not have asked for a better Supervisor to support me through such an important and personal piece of research.</w:t>
      </w:r>
      <w:r w:rsidRPr="69441A9A" w:rsidR="6D50DBFD">
        <w:rPr>
          <w:rFonts w:ascii="Arial" w:hAnsi="Arial" w:eastAsia="Arial" w:cs="Arial"/>
          <w:sz w:val="24"/>
          <w:szCs w:val="24"/>
          <w:lang w:val="en-GB"/>
        </w:rPr>
        <w:t xml:space="preserve"> </w:t>
      </w:r>
      <w:r>
        <w:br/>
      </w:r>
      <w:r>
        <w:br/>
      </w:r>
      <w:r w:rsidRPr="69441A9A" w:rsidR="50A32F97">
        <w:rPr>
          <w:rFonts w:ascii="Arial" w:hAnsi="Arial" w:eastAsia="Arial" w:cs="Arial"/>
          <w:sz w:val="24"/>
          <w:szCs w:val="24"/>
          <w:lang w:val="en-GB"/>
        </w:rPr>
        <w:t xml:space="preserve">To the Huntington’s Disease Association, thank you for not only providing me </w:t>
      </w:r>
      <w:r w:rsidRPr="69441A9A" w:rsidR="50A32F97">
        <w:rPr>
          <w:rFonts w:ascii="Arial" w:hAnsi="Arial" w:eastAsia="Arial" w:cs="Arial"/>
          <w:sz w:val="24"/>
          <w:szCs w:val="24"/>
          <w:lang w:val="en-GB"/>
        </w:rPr>
        <w:t>wit</w:t>
      </w:r>
      <w:r w:rsidRPr="69441A9A" w:rsidR="75DFDF30">
        <w:rPr>
          <w:rFonts w:ascii="Arial" w:hAnsi="Arial" w:eastAsia="Arial" w:cs="Arial"/>
          <w:sz w:val="24"/>
          <w:szCs w:val="24"/>
          <w:lang w:val="en-GB"/>
        </w:rPr>
        <w:t>h</w:t>
      </w:r>
      <w:r w:rsidRPr="69441A9A" w:rsidR="50A32F97">
        <w:rPr>
          <w:rFonts w:ascii="Arial" w:hAnsi="Arial" w:eastAsia="Arial" w:cs="Arial"/>
          <w:sz w:val="24"/>
          <w:szCs w:val="24"/>
          <w:lang w:val="en-GB"/>
        </w:rPr>
        <w:t xml:space="preserve"> a platform to conduct this piece of research</w:t>
      </w:r>
      <w:r w:rsidRPr="69441A9A" w:rsidR="7E6A73EB">
        <w:rPr>
          <w:rFonts w:ascii="Arial" w:hAnsi="Arial" w:eastAsia="Arial" w:cs="Arial"/>
          <w:sz w:val="24"/>
          <w:szCs w:val="24"/>
          <w:lang w:val="en-GB"/>
        </w:rPr>
        <w:t xml:space="preserve">, but for ensuring individuals </w:t>
      </w:r>
      <w:r w:rsidRPr="69441A9A" w:rsidR="72C0C87F">
        <w:rPr>
          <w:rFonts w:ascii="Arial" w:hAnsi="Arial" w:eastAsia="Arial" w:cs="Arial"/>
          <w:sz w:val="24"/>
          <w:szCs w:val="24"/>
          <w:lang w:val="en-GB"/>
        </w:rPr>
        <w:t xml:space="preserve">in </w:t>
      </w:r>
      <w:r w:rsidRPr="69441A9A" w:rsidR="7E6A73EB">
        <w:rPr>
          <w:rFonts w:ascii="Arial" w:hAnsi="Arial" w:eastAsia="Arial" w:cs="Arial"/>
          <w:sz w:val="24"/>
          <w:szCs w:val="24"/>
          <w:lang w:val="en-GB"/>
        </w:rPr>
        <w:t xml:space="preserve">the </w:t>
      </w:r>
      <w:r w:rsidRPr="69441A9A" w:rsidR="0DE093DD">
        <w:rPr>
          <w:rFonts w:ascii="Arial" w:hAnsi="Arial" w:eastAsia="Arial" w:cs="Arial"/>
          <w:sz w:val="24"/>
          <w:szCs w:val="24"/>
          <w:lang w:val="en-GB"/>
        </w:rPr>
        <w:t>U</w:t>
      </w:r>
      <w:r w:rsidRPr="69441A9A" w:rsidR="7E6A73EB">
        <w:rPr>
          <w:rFonts w:ascii="Arial" w:hAnsi="Arial" w:eastAsia="Arial" w:cs="Arial"/>
          <w:sz w:val="24"/>
          <w:szCs w:val="24"/>
          <w:lang w:val="en-GB"/>
        </w:rPr>
        <w:t>K are effectively supported.</w:t>
      </w:r>
      <w:r w:rsidRPr="69441A9A" w:rsidR="4AB60A60">
        <w:rPr>
          <w:rFonts w:ascii="Arial" w:hAnsi="Arial" w:eastAsia="Arial" w:cs="Arial"/>
          <w:sz w:val="24"/>
          <w:szCs w:val="24"/>
          <w:lang w:val="en-GB"/>
        </w:rPr>
        <w:t xml:space="preserve"> </w:t>
      </w:r>
    </w:p>
    <w:p w:rsidR="4AB60A60" w:rsidP="69441A9A" w:rsidRDefault="4AB60A60" w14:paraId="5898F858" w14:textId="47CB2A16">
      <w:pPr>
        <w:pStyle w:val="Normal"/>
        <w:rPr>
          <w:rFonts w:ascii="Arial" w:hAnsi="Arial" w:eastAsia="Arial" w:cs="Arial"/>
          <w:noProof w:val="0"/>
          <w:color w:val="0D0D0D" w:themeColor="text1" w:themeTint="F2" w:themeShade="FF"/>
          <w:sz w:val="24"/>
          <w:szCs w:val="24"/>
          <w:lang w:val="en-GB"/>
        </w:rPr>
      </w:pPr>
      <w:r w:rsidRPr="69441A9A" w:rsidR="2AC9E330">
        <w:rPr>
          <w:rFonts w:ascii="Arial" w:hAnsi="Arial" w:eastAsia="Arial" w:cs="Arial"/>
          <w:noProof w:val="0"/>
          <w:color w:val="0D0D0D" w:themeColor="text1" w:themeTint="F2" w:themeShade="FF"/>
          <w:sz w:val="24"/>
          <w:szCs w:val="24"/>
          <w:lang w:val="en-GB"/>
        </w:rPr>
        <w:t>I feel incredibly fortunate to have had the love and support of my fiancé, my son, my mum and my friends throughout this journey. Having you all by my side has meant more to me than I can put into words. Your support has been invaluable, and I am so thankful for the unwavering support you have always given me. You continually believe in me, even when I am unable to believe in myself. You have pushed me forward throughout this journey, encouraged me to keep going and reminded me that I am capable, even when I have doubted myself. I truly could not have asked for a better support network, and I really would not have gotten here today without you.</w:t>
      </w:r>
    </w:p>
    <w:p w:rsidR="76408A25" w:rsidP="69441A9A" w:rsidRDefault="76408A25" w14:paraId="0F1BE786" w14:textId="12672D4B">
      <w:pPr>
        <w:pStyle w:val="Normal"/>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76408A25">
        <w:rPr>
          <w:rFonts w:ascii="Arial" w:hAnsi="Arial" w:eastAsia="Arial" w:cs="Arial"/>
          <w:sz w:val="24"/>
          <w:szCs w:val="24"/>
          <w:lang w:val="en-GB"/>
        </w:rPr>
        <w:t xml:space="preserve">To my dad and my inspiration in life. Thank you for showing me it is okay to be </w:t>
      </w:r>
      <w:r w:rsidRPr="69441A9A" w:rsidR="6A97B0B6">
        <w:rPr>
          <w:rFonts w:ascii="Arial" w:hAnsi="Arial" w:eastAsia="Arial" w:cs="Arial"/>
          <w:sz w:val="24"/>
          <w:szCs w:val="24"/>
          <w:lang w:val="en-GB"/>
        </w:rPr>
        <w:t>vulnerable,</w:t>
      </w:r>
      <w:r w:rsidRPr="69441A9A" w:rsidR="76408A25">
        <w:rPr>
          <w:rFonts w:ascii="Arial" w:hAnsi="Arial" w:eastAsia="Arial" w:cs="Arial"/>
          <w:sz w:val="24"/>
          <w:szCs w:val="24"/>
          <w:lang w:val="en-GB"/>
        </w:rPr>
        <w:t xml:space="preserve"> </w:t>
      </w:r>
      <w:r w:rsidRPr="69441A9A" w:rsidR="3DE95BB3">
        <w:rPr>
          <w:rFonts w:ascii="Arial" w:hAnsi="Arial" w:eastAsia="Arial" w:cs="Arial"/>
          <w:sz w:val="24"/>
          <w:szCs w:val="24"/>
          <w:lang w:val="en-GB"/>
        </w:rPr>
        <w:t xml:space="preserve">and a faulty gene does not define who we are. </w:t>
      </w:r>
      <w:r w:rsidRPr="69441A9A" w:rsidR="1AD4714F">
        <w:rPr>
          <w:rFonts w:ascii="Arial" w:hAnsi="Arial" w:eastAsia="Arial" w:cs="Arial"/>
          <w:sz w:val="24"/>
          <w:szCs w:val="24"/>
          <w:lang w:val="en-GB"/>
        </w:rPr>
        <w:t xml:space="preserve">Your strength and bravery </w:t>
      </w:r>
      <w:r w:rsidRPr="69441A9A" w:rsidR="1AD4714F">
        <w:rPr>
          <w:rFonts w:ascii="Arial" w:hAnsi="Arial" w:eastAsia="Arial" w:cs="Arial"/>
          <w:sz w:val="24"/>
          <w:szCs w:val="24"/>
          <w:lang w:val="en-GB"/>
        </w:rPr>
        <w:t>has</w:t>
      </w:r>
      <w:r w:rsidRPr="69441A9A" w:rsidR="1AD4714F">
        <w:rPr>
          <w:rFonts w:ascii="Arial" w:hAnsi="Arial" w:eastAsia="Arial" w:cs="Arial"/>
          <w:sz w:val="24"/>
          <w:szCs w:val="24"/>
          <w:lang w:val="en-GB"/>
        </w:rPr>
        <w:t xml:space="preserve"> given me the courage to keep going when there are so many times I feel I </w:t>
      </w:r>
      <w:r w:rsidRPr="69441A9A" w:rsidR="32C757DB">
        <w:rPr>
          <w:rFonts w:ascii="Arial" w:hAnsi="Arial" w:eastAsia="Arial" w:cs="Arial"/>
          <w:sz w:val="24"/>
          <w:szCs w:val="24"/>
          <w:lang w:val="en-GB"/>
        </w:rPr>
        <w:t>can't</w:t>
      </w:r>
      <w:r w:rsidRPr="69441A9A" w:rsidR="1AD4714F">
        <w:rPr>
          <w:rFonts w:ascii="Arial" w:hAnsi="Arial" w:eastAsia="Arial" w:cs="Arial"/>
          <w:sz w:val="24"/>
          <w:szCs w:val="24"/>
          <w:lang w:val="en-GB"/>
        </w:rPr>
        <w:t xml:space="preserve">. </w:t>
      </w:r>
      <w:r w:rsidRPr="69441A9A" w:rsidR="0121119D">
        <w:rPr>
          <w:rFonts w:ascii="Arial" w:hAnsi="Arial" w:eastAsia="Arial" w:cs="Arial"/>
          <w:noProof w:val="0"/>
          <w:color w:val="0D0D0D" w:themeColor="text1" w:themeTint="F2" w:themeShade="FF"/>
          <w:sz w:val="24"/>
          <w:szCs w:val="24"/>
          <w:lang w:val="en-GB"/>
        </w:rPr>
        <w:t>Through you, I have learned that there can be light even in the darkest moments of HD. You have taught me that being strong does not mean that you cannot be scared, upset or vulnerable. It means finding the courage to keep going, even when you do not know what is waiting for you. Watching you face HD with such strength has changed the way I see life, and I will carry that with me always.</w:t>
      </w:r>
    </w:p>
    <w:p w:rsidR="0121119D" w:rsidP="69441A9A" w:rsidRDefault="0121119D" w14:paraId="6D62CB81" w14:textId="3F20EC69">
      <w:pPr>
        <w:spacing w:before="240" w:beforeAutospacing="off" w:after="240" w:afterAutospacing="off"/>
        <w:rPr>
          <w:rFonts w:ascii="Arial" w:hAnsi="Arial" w:eastAsia="Arial" w:cs="Arial"/>
          <w:sz w:val="24"/>
          <w:szCs w:val="24"/>
          <w:lang w:val="en-GB"/>
        </w:rPr>
      </w:pPr>
      <w:r w:rsidRPr="69441A9A" w:rsidR="0121119D">
        <w:rPr>
          <w:rFonts w:ascii="Arial" w:hAnsi="Arial" w:eastAsia="Arial" w:cs="Arial"/>
          <w:noProof w:val="0"/>
          <w:color w:val="0D0D0D" w:themeColor="text1" w:themeTint="F2" w:themeShade="FF"/>
          <w:sz w:val="24"/>
          <w:szCs w:val="24"/>
          <w:lang w:val="en-GB"/>
        </w:rPr>
        <w:t>I am so incredibly proud of you every single day. I hope you know that everything I have achieved, and everything I continue to work towards, is because of the person you have taught me to be.</w:t>
      </w:r>
      <w:r w:rsidRPr="69441A9A" w:rsidR="7E65F230">
        <w:rPr>
          <w:rFonts w:ascii="Arial" w:hAnsi="Arial" w:eastAsia="Arial" w:cs="Arial"/>
          <w:noProof w:val="0"/>
          <w:color w:val="0D0D0D" w:themeColor="text1" w:themeTint="F2" w:themeShade="FF"/>
          <w:sz w:val="24"/>
          <w:szCs w:val="24"/>
          <w:lang w:val="en-GB"/>
        </w:rPr>
        <w:t xml:space="preserve"> </w:t>
      </w:r>
      <w:r w:rsidRPr="69441A9A" w:rsidR="54B41910">
        <w:rPr>
          <w:rFonts w:ascii="Arial" w:hAnsi="Arial" w:eastAsia="Arial" w:cs="Arial"/>
          <w:sz w:val="24"/>
          <w:szCs w:val="24"/>
          <w:lang w:val="en-GB"/>
        </w:rPr>
        <w:t xml:space="preserve">I want to </w:t>
      </w:r>
      <w:r w:rsidRPr="69441A9A" w:rsidR="3051F426">
        <w:rPr>
          <w:rFonts w:ascii="Arial" w:hAnsi="Arial" w:eastAsia="Arial" w:cs="Arial"/>
          <w:sz w:val="24"/>
          <w:szCs w:val="24"/>
          <w:lang w:val="en-GB"/>
        </w:rPr>
        <w:t>dedicate</w:t>
      </w:r>
      <w:r w:rsidRPr="69441A9A" w:rsidR="54B41910">
        <w:rPr>
          <w:rFonts w:ascii="Arial" w:hAnsi="Arial" w:eastAsia="Arial" w:cs="Arial"/>
          <w:sz w:val="24"/>
          <w:szCs w:val="24"/>
          <w:lang w:val="en-GB"/>
        </w:rPr>
        <w:t xml:space="preserve"> this research to you turn the fear of HD into power. I will continue to advocate for you and the HD community.</w:t>
      </w:r>
    </w:p>
    <w:p w:rsidRPr="00604290" w:rsidR="008067C7" w:rsidRDefault="008067C7" w14:paraId="3910DF72" w14:textId="77777777">
      <w:pPr>
        <w:spacing w:after="160" w:line="259" w:lineRule="auto"/>
        <w:rPr>
          <w:b/>
        </w:rPr>
      </w:pPr>
      <w:r w:rsidRPr="00604290">
        <w:rPr>
          <w:b/>
        </w:rPr>
        <w:br w:type="page"/>
      </w:r>
    </w:p>
    <w:p w:rsidRPr="00604290" w:rsidR="006D6100" w:rsidP="006D6100" w:rsidRDefault="006D6100" w14:paraId="1D4EE0EF" w14:textId="77777777">
      <w:pPr>
        <w:pStyle w:val="Headingfrontmatter"/>
        <w:rPr>
          <w:lang w:val="en-GB"/>
        </w:rPr>
      </w:pPr>
      <w:bookmarkStart w:name="_Toc238028846" w:id="2"/>
      <w:r w:rsidRPr="00604290">
        <w:rPr>
          <w:lang w:val="en-GB"/>
        </w:rPr>
        <w:t>Declaration</w:t>
      </w:r>
      <w:bookmarkEnd w:id="2"/>
    </w:p>
    <w:p w:rsidRPr="00604290" w:rsidR="00604290" w:rsidP="00604290" w:rsidRDefault="00604290" w14:paraId="477FE3A5" w14:textId="77777777"/>
    <w:p w:rsidRPr="007E4741" w:rsidR="00604290" w:rsidP="00604290" w:rsidRDefault="00604290" w14:paraId="7837526F" w14:textId="77777777">
      <w:pPr>
        <w:spacing w:after="160"/>
        <w:rPr>
          <w:rFonts w:cs="Arial"/>
          <w:color w:val="000000" w:themeColor="text1"/>
          <w:sz w:val="24"/>
          <w:szCs w:val="24"/>
        </w:rPr>
      </w:pPr>
      <w:r w:rsidRPr="007E4741">
        <w:rPr>
          <w:rFonts w:cs="Arial"/>
          <w:color w:val="000000" w:themeColor="text1"/>
          <w:sz w:val="24"/>
          <w:szCs w:val="24"/>
        </w:rPr>
        <w:t xml:space="preserve">This work has not previously been accepted in substance for any degree and is not being concurrently submitted in candidature for any degree. </w:t>
      </w:r>
    </w:p>
    <w:p w:rsidRPr="007E4741" w:rsidR="00604290" w:rsidP="00604290" w:rsidRDefault="00604290" w14:paraId="7D625944" w14:textId="390C2617">
      <w:pPr>
        <w:spacing w:after="160"/>
        <w:rPr>
          <w:rFonts w:cs="Arial"/>
          <w:color w:val="000000" w:themeColor="text1"/>
          <w:sz w:val="24"/>
          <w:szCs w:val="24"/>
        </w:rPr>
      </w:pPr>
      <w:r w:rsidRPr="09BD0229" w:rsidR="00604290">
        <w:rPr>
          <w:rFonts w:cs="Arial"/>
          <w:color w:val="000000" w:themeColor="text1" w:themeTint="FF" w:themeShade="FF"/>
          <w:sz w:val="24"/>
          <w:szCs w:val="24"/>
        </w:rPr>
        <w:t xml:space="preserve">Signed:    </w:t>
      </w:r>
      <w:r w:rsidRPr="09BD0229" w:rsidR="5CC210B9">
        <w:rPr>
          <w:rFonts w:cs="Arial"/>
          <w:color w:val="000000" w:themeColor="text1" w:themeTint="FF" w:themeShade="FF"/>
          <w:sz w:val="24"/>
          <w:szCs w:val="24"/>
        </w:rPr>
        <w:t>C Evans</w:t>
      </w:r>
      <w:r w:rsidRPr="09BD0229" w:rsidR="00604290">
        <w:rPr>
          <w:rFonts w:cs="Arial"/>
          <w:color w:val="000000" w:themeColor="text1" w:themeTint="FF" w:themeShade="FF"/>
          <w:sz w:val="24"/>
          <w:szCs w:val="24"/>
        </w:rPr>
        <w:t xml:space="preserve">                                   </w:t>
      </w:r>
      <w:r w:rsidRPr="09BD0229" w:rsidR="00604290">
        <w:rPr>
          <w:rFonts w:cs="Arial"/>
          <w:color w:val="000000" w:themeColor="text1" w:themeTint="FF" w:themeShade="FF"/>
          <w:sz w:val="24"/>
          <w:szCs w:val="24"/>
        </w:rPr>
        <w:t xml:space="preserve">   (</w:t>
      </w:r>
      <w:r w:rsidRPr="09BD0229" w:rsidR="00604290">
        <w:rPr>
          <w:rFonts w:cs="Arial"/>
          <w:color w:val="000000" w:themeColor="text1" w:themeTint="FF" w:themeShade="FF"/>
          <w:sz w:val="24"/>
          <w:szCs w:val="24"/>
        </w:rPr>
        <w:t xml:space="preserve">candidate) </w:t>
      </w:r>
    </w:p>
    <w:p w:rsidRPr="007E4741" w:rsidR="00604290" w:rsidP="00604290" w:rsidRDefault="00604290" w14:paraId="41078A1A" w14:textId="1ECE0DC7">
      <w:pPr>
        <w:spacing w:after="160"/>
        <w:rPr>
          <w:rFonts w:cs="Arial"/>
          <w:color w:val="000000" w:themeColor="text1"/>
          <w:sz w:val="24"/>
          <w:szCs w:val="24"/>
        </w:rPr>
      </w:pPr>
      <w:r w:rsidRPr="09BD0229" w:rsidR="00604290">
        <w:rPr>
          <w:rFonts w:cs="Arial"/>
          <w:color w:val="000000" w:themeColor="text1" w:themeTint="FF" w:themeShade="FF"/>
          <w:sz w:val="24"/>
          <w:szCs w:val="24"/>
        </w:rPr>
        <w:t xml:space="preserve">Date: </w:t>
      </w:r>
      <w:r w:rsidRPr="09BD0229" w:rsidR="00B5B91E">
        <w:rPr>
          <w:rFonts w:cs="Arial"/>
          <w:color w:val="000000" w:themeColor="text1" w:themeTint="FF" w:themeShade="FF"/>
          <w:sz w:val="24"/>
          <w:szCs w:val="24"/>
        </w:rPr>
        <w:t>20/08/2026</w:t>
      </w:r>
    </w:p>
    <w:p w:rsidRPr="007E4741" w:rsidR="00604290" w:rsidP="00604290" w:rsidRDefault="00604290" w14:paraId="5949DFC9" w14:textId="77777777">
      <w:pPr>
        <w:spacing w:after="160"/>
        <w:rPr>
          <w:rFonts w:cs="Arial"/>
          <w:color w:val="000000" w:themeColor="text1"/>
          <w:sz w:val="24"/>
          <w:szCs w:val="24"/>
        </w:rPr>
      </w:pPr>
      <w:r w:rsidRPr="007E4741">
        <w:rPr>
          <w:rFonts w:cs="Arial"/>
          <w:i/>
          <w:iCs/>
          <w:color w:val="000000" w:themeColor="text1"/>
          <w:sz w:val="24"/>
          <w:szCs w:val="24"/>
        </w:rPr>
        <w:t>Statement 1</w:t>
      </w:r>
      <w:r w:rsidRPr="007E4741">
        <w:rPr>
          <w:rFonts w:cs="Arial"/>
          <w:color w:val="000000" w:themeColor="text1"/>
          <w:sz w:val="24"/>
          <w:szCs w:val="24"/>
        </w:rPr>
        <w:t xml:space="preserve"> </w:t>
      </w:r>
    </w:p>
    <w:p w:rsidRPr="007E4741" w:rsidR="00604290" w:rsidP="00604290" w:rsidRDefault="00604290" w14:paraId="021B01C8" w14:textId="77777777">
      <w:pPr>
        <w:spacing w:after="160"/>
        <w:rPr>
          <w:rFonts w:cs="Arial"/>
          <w:color w:val="000000" w:themeColor="text1"/>
          <w:sz w:val="24"/>
          <w:szCs w:val="24"/>
        </w:rPr>
      </w:pPr>
      <w:r w:rsidRPr="007E4741">
        <w:rPr>
          <w:rFonts w:cs="Arial"/>
          <w:color w:val="000000" w:themeColor="text1"/>
          <w:sz w:val="24"/>
          <w:szCs w:val="24"/>
        </w:rPr>
        <w:t xml:space="preserve">This dissertation is being submitted in partial fulfilment of the requirements for the degree of Masters in Psychotherapeutic Practice: Humanistic. </w:t>
      </w:r>
    </w:p>
    <w:p w:rsidRPr="007E4741" w:rsidR="00604290" w:rsidP="00604290" w:rsidRDefault="00604290" w14:paraId="61200E60" w14:textId="31EA00D8">
      <w:pPr>
        <w:spacing w:after="160"/>
        <w:rPr>
          <w:rFonts w:cs="Arial"/>
          <w:color w:val="000000" w:themeColor="text1"/>
          <w:sz w:val="24"/>
          <w:szCs w:val="24"/>
        </w:rPr>
      </w:pPr>
      <w:r w:rsidRPr="09BD0229" w:rsidR="00604290">
        <w:rPr>
          <w:rFonts w:cs="Arial"/>
          <w:color w:val="000000" w:themeColor="text1" w:themeTint="FF" w:themeShade="FF"/>
          <w:sz w:val="24"/>
          <w:szCs w:val="24"/>
        </w:rPr>
        <w:t xml:space="preserve">Signed:  </w:t>
      </w:r>
      <w:r w:rsidRPr="09BD0229" w:rsidR="7074C7F8">
        <w:rPr>
          <w:rFonts w:cs="Arial"/>
          <w:color w:val="000000" w:themeColor="text1" w:themeTint="FF" w:themeShade="FF"/>
          <w:sz w:val="24"/>
          <w:szCs w:val="24"/>
        </w:rPr>
        <w:t>C Evans</w:t>
      </w:r>
      <w:r w:rsidRPr="09BD0229" w:rsidR="00604290">
        <w:rPr>
          <w:rFonts w:cs="Arial"/>
          <w:color w:val="000000" w:themeColor="text1" w:themeTint="FF" w:themeShade="FF"/>
          <w:sz w:val="24"/>
          <w:szCs w:val="24"/>
        </w:rPr>
        <w:t xml:space="preserve">                                 </w:t>
      </w:r>
      <w:r w:rsidRPr="09BD0229" w:rsidR="00604290">
        <w:rPr>
          <w:rFonts w:cs="Arial"/>
          <w:color w:val="000000" w:themeColor="text1" w:themeTint="FF" w:themeShade="FF"/>
          <w:sz w:val="24"/>
          <w:szCs w:val="24"/>
        </w:rPr>
        <w:t xml:space="preserve">   (</w:t>
      </w:r>
      <w:r w:rsidRPr="09BD0229" w:rsidR="00604290">
        <w:rPr>
          <w:rFonts w:cs="Arial"/>
          <w:color w:val="000000" w:themeColor="text1" w:themeTint="FF" w:themeShade="FF"/>
          <w:sz w:val="24"/>
          <w:szCs w:val="24"/>
        </w:rPr>
        <w:t xml:space="preserve">candidate) </w:t>
      </w:r>
    </w:p>
    <w:p w:rsidRPr="007E4741" w:rsidR="00604290" w:rsidP="00604290" w:rsidRDefault="00604290" w14:paraId="25D465FA" w14:textId="1BE25AD8">
      <w:pPr>
        <w:spacing w:after="160"/>
        <w:rPr>
          <w:rFonts w:cs="Arial"/>
          <w:color w:val="000000" w:themeColor="text1"/>
          <w:sz w:val="24"/>
          <w:szCs w:val="24"/>
        </w:rPr>
      </w:pPr>
      <w:r w:rsidRPr="09BD0229" w:rsidR="00604290">
        <w:rPr>
          <w:rFonts w:cs="Arial"/>
          <w:color w:val="000000" w:themeColor="text1" w:themeTint="FF" w:themeShade="FF"/>
          <w:sz w:val="24"/>
          <w:szCs w:val="24"/>
        </w:rPr>
        <w:t xml:space="preserve">Date: </w:t>
      </w:r>
      <w:r w:rsidRPr="09BD0229" w:rsidR="776E2105">
        <w:rPr>
          <w:rFonts w:cs="Arial"/>
          <w:color w:val="000000" w:themeColor="text1" w:themeTint="FF" w:themeShade="FF"/>
          <w:sz w:val="24"/>
          <w:szCs w:val="24"/>
        </w:rPr>
        <w:t>20/08/2026</w:t>
      </w:r>
    </w:p>
    <w:p w:rsidRPr="007E4741" w:rsidR="00604290" w:rsidP="00604290" w:rsidRDefault="00604290" w14:paraId="6058DDEB" w14:textId="77777777">
      <w:pPr>
        <w:spacing w:after="160"/>
        <w:rPr>
          <w:rFonts w:cs="Arial"/>
          <w:color w:val="000000" w:themeColor="text1"/>
          <w:sz w:val="24"/>
          <w:szCs w:val="24"/>
        </w:rPr>
      </w:pPr>
      <w:r w:rsidRPr="007E4741">
        <w:rPr>
          <w:rFonts w:cs="Arial"/>
          <w:i/>
          <w:iCs/>
          <w:color w:val="000000" w:themeColor="text1"/>
          <w:sz w:val="24"/>
          <w:szCs w:val="24"/>
        </w:rPr>
        <w:t>Statement 2</w:t>
      </w:r>
      <w:r w:rsidRPr="007E4741">
        <w:rPr>
          <w:rFonts w:cs="Arial"/>
          <w:color w:val="000000" w:themeColor="text1"/>
          <w:sz w:val="24"/>
          <w:szCs w:val="24"/>
        </w:rPr>
        <w:t xml:space="preserve"> </w:t>
      </w:r>
    </w:p>
    <w:p w:rsidRPr="007E4741" w:rsidR="00604290" w:rsidP="00604290" w:rsidRDefault="00604290" w14:paraId="4C465FC1" w14:textId="77777777">
      <w:pPr>
        <w:spacing w:after="160"/>
        <w:rPr>
          <w:rFonts w:cs="Arial"/>
          <w:color w:val="000000" w:themeColor="text1"/>
          <w:sz w:val="24"/>
          <w:szCs w:val="24"/>
        </w:rPr>
      </w:pPr>
      <w:r w:rsidRPr="007E4741">
        <w:rPr>
          <w:rFonts w:cs="Arial"/>
          <w:color w:val="000000" w:themeColor="text1"/>
          <w:sz w:val="24"/>
          <w:szCs w:val="24"/>
        </w:rPr>
        <w:t xml:space="preserve">This dissertation is the result of my own independent work / investigation, except where otherwise stated. Other sources are acknowledged by footnotes giving explicit references. A bibliography is appended. </w:t>
      </w:r>
    </w:p>
    <w:p w:rsidRPr="007E4741" w:rsidR="00604290" w:rsidP="00604290" w:rsidRDefault="00604290" w14:paraId="42D451B8" w14:textId="0C04E8ED">
      <w:pPr>
        <w:spacing w:after="160"/>
        <w:rPr>
          <w:rFonts w:cs="Arial"/>
          <w:color w:val="000000" w:themeColor="text1"/>
          <w:sz w:val="24"/>
          <w:szCs w:val="24"/>
        </w:rPr>
      </w:pPr>
      <w:r w:rsidRPr="09BD0229" w:rsidR="00604290">
        <w:rPr>
          <w:rFonts w:cs="Arial"/>
          <w:color w:val="000000" w:themeColor="text1" w:themeTint="FF" w:themeShade="FF"/>
          <w:sz w:val="24"/>
          <w:szCs w:val="24"/>
        </w:rPr>
        <w:t xml:space="preserve">Signed:      </w:t>
      </w:r>
      <w:r w:rsidRPr="09BD0229" w:rsidR="1644D09C">
        <w:rPr>
          <w:rFonts w:cs="Arial"/>
          <w:color w:val="000000" w:themeColor="text1" w:themeTint="FF" w:themeShade="FF"/>
          <w:sz w:val="24"/>
          <w:szCs w:val="24"/>
        </w:rPr>
        <w:t>C Evans</w:t>
      </w:r>
      <w:r w:rsidRPr="09BD0229" w:rsidR="00604290">
        <w:rPr>
          <w:rFonts w:cs="Arial"/>
          <w:color w:val="000000" w:themeColor="text1" w:themeTint="FF" w:themeShade="FF"/>
          <w:sz w:val="24"/>
          <w:szCs w:val="24"/>
        </w:rPr>
        <w:t xml:space="preserve">                                 </w:t>
      </w:r>
      <w:r w:rsidRPr="09BD0229" w:rsidR="00604290">
        <w:rPr>
          <w:rFonts w:cs="Arial"/>
          <w:color w:val="000000" w:themeColor="text1" w:themeTint="FF" w:themeShade="FF"/>
          <w:sz w:val="24"/>
          <w:szCs w:val="24"/>
        </w:rPr>
        <w:t xml:space="preserve">   (</w:t>
      </w:r>
      <w:r w:rsidRPr="09BD0229" w:rsidR="00604290">
        <w:rPr>
          <w:rFonts w:cs="Arial"/>
          <w:color w:val="000000" w:themeColor="text1" w:themeTint="FF" w:themeShade="FF"/>
          <w:sz w:val="24"/>
          <w:szCs w:val="24"/>
        </w:rPr>
        <w:t>candidate)</w:t>
      </w:r>
    </w:p>
    <w:p w:rsidRPr="007E4741" w:rsidR="00604290" w:rsidP="00604290" w:rsidRDefault="00604290" w14:paraId="664FDB2E" w14:textId="3A7C7052">
      <w:pPr>
        <w:spacing w:after="160"/>
        <w:rPr>
          <w:rFonts w:cs="Arial"/>
          <w:color w:val="000000" w:themeColor="text1"/>
          <w:sz w:val="24"/>
          <w:szCs w:val="24"/>
        </w:rPr>
      </w:pPr>
      <w:r w:rsidRPr="09BD0229" w:rsidR="00604290">
        <w:rPr>
          <w:rFonts w:cs="Arial"/>
          <w:color w:val="000000" w:themeColor="text1" w:themeTint="FF" w:themeShade="FF"/>
          <w:sz w:val="24"/>
          <w:szCs w:val="24"/>
        </w:rPr>
        <w:t xml:space="preserve"> Date: </w:t>
      </w:r>
      <w:r w:rsidRPr="09BD0229" w:rsidR="7AFC48AF">
        <w:rPr>
          <w:rFonts w:cs="Arial"/>
          <w:color w:val="000000" w:themeColor="text1" w:themeTint="FF" w:themeShade="FF"/>
          <w:sz w:val="24"/>
          <w:szCs w:val="24"/>
        </w:rPr>
        <w:t xml:space="preserve"> 20/08/2026</w:t>
      </w:r>
    </w:p>
    <w:p w:rsidRPr="007E4741" w:rsidR="00604290" w:rsidP="00604290" w:rsidRDefault="00604290" w14:paraId="20985DA9" w14:textId="77777777">
      <w:pPr>
        <w:spacing w:after="160"/>
        <w:rPr>
          <w:rFonts w:cs="Arial"/>
          <w:i/>
          <w:iCs/>
          <w:color w:val="000000" w:themeColor="text1"/>
          <w:sz w:val="24"/>
          <w:szCs w:val="24"/>
        </w:rPr>
      </w:pPr>
      <w:r w:rsidRPr="007E4741">
        <w:rPr>
          <w:rFonts w:cs="Arial"/>
          <w:i/>
          <w:iCs/>
          <w:color w:val="000000" w:themeColor="text1"/>
          <w:sz w:val="24"/>
          <w:szCs w:val="24"/>
        </w:rPr>
        <w:t xml:space="preserve">Statement 3 </w:t>
      </w:r>
    </w:p>
    <w:p w:rsidRPr="007E4741" w:rsidR="00604290" w:rsidP="00604290" w:rsidRDefault="00604290" w14:paraId="104DF018" w14:textId="77777777">
      <w:pPr>
        <w:spacing w:after="160"/>
        <w:rPr>
          <w:rFonts w:cs="Arial"/>
          <w:color w:val="000000" w:themeColor="text1"/>
          <w:sz w:val="24"/>
          <w:szCs w:val="24"/>
        </w:rPr>
      </w:pPr>
      <w:r w:rsidRPr="007E4741">
        <w:rPr>
          <w:rFonts w:cs="Arial"/>
          <w:color w:val="000000" w:themeColor="text1"/>
          <w:sz w:val="24"/>
          <w:szCs w:val="24"/>
        </w:rPr>
        <w:t xml:space="preserve">I hereby give consent for my dissertation, if accepted, to be available for photocopying and for inter-library loan, and for the title and summary to be made available to outside organisations. </w:t>
      </w:r>
    </w:p>
    <w:p w:rsidRPr="007E4741" w:rsidR="00604290" w:rsidP="00604290" w:rsidRDefault="00604290" w14:paraId="19007813" w14:textId="6176CB7E">
      <w:pPr>
        <w:spacing w:after="160"/>
        <w:rPr>
          <w:rFonts w:cs="Arial"/>
          <w:color w:val="000000" w:themeColor="text1"/>
          <w:sz w:val="24"/>
          <w:szCs w:val="24"/>
        </w:rPr>
      </w:pPr>
      <w:r w:rsidRPr="09BD0229" w:rsidR="00604290">
        <w:rPr>
          <w:rFonts w:cs="Arial"/>
          <w:color w:val="000000" w:themeColor="text1" w:themeTint="FF" w:themeShade="FF"/>
          <w:sz w:val="24"/>
          <w:szCs w:val="24"/>
        </w:rPr>
        <w:t xml:space="preserve">Signed:      </w:t>
      </w:r>
      <w:r w:rsidRPr="09BD0229" w:rsidR="01F459C1">
        <w:rPr>
          <w:rFonts w:cs="Arial"/>
          <w:color w:val="000000" w:themeColor="text1" w:themeTint="FF" w:themeShade="FF"/>
          <w:sz w:val="24"/>
          <w:szCs w:val="24"/>
        </w:rPr>
        <w:t>C Evans</w:t>
      </w:r>
      <w:r w:rsidRPr="09BD0229" w:rsidR="00604290">
        <w:rPr>
          <w:rFonts w:cs="Arial"/>
          <w:color w:val="000000" w:themeColor="text1" w:themeTint="FF" w:themeShade="FF"/>
          <w:sz w:val="24"/>
          <w:szCs w:val="24"/>
        </w:rPr>
        <w:t xml:space="preserve">                                 </w:t>
      </w:r>
      <w:r w:rsidRPr="09BD0229" w:rsidR="00604290">
        <w:rPr>
          <w:rFonts w:cs="Arial"/>
          <w:color w:val="000000" w:themeColor="text1" w:themeTint="FF" w:themeShade="FF"/>
          <w:sz w:val="24"/>
          <w:szCs w:val="24"/>
        </w:rPr>
        <w:t xml:space="preserve">   (</w:t>
      </w:r>
      <w:r w:rsidRPr="09BD0229" w:rsidR="00604290">
        <w:rPr>
          <w:rFonts w:cs="Arial"/>
          <w:color w:val="000000" w:themeColor="text1" w:themeTint="FF" w:themeShade="FF"/>
          <w:sz w:val="24"/>
          <w:szCs w:val="24"/>
        </w:rPr>
        <w:t xml:space="preserve">candidate) </w:t>
      </w:r>
    </w:p>
    <w:p w:rsidRPr="00604290" w:rsidR="00604290" w:rsidP="00604290" w:rsidRDefault="00604290" w14:paraId="420B42F3" w14:textId="44429B40">
      <w:pPr>
        <w:spacing w:after="160"/>
        <w:rPr>
          <w:rFonts w:cs="Arial"/>
          <w:color w:val="000000" w:themeColor="text1"/>
          <w:sz w:val="28"/>
          <w:szCs w:val="28"/>
        </w:rPr>
      </w:pPr>
      <w:r w:rsidRPr="09BD0229" w:rsidR="00604290">
        <w:rPr>
          <w:rFonts w:cs="Arial"/>
          <w:color w:val="000000" w:themeColor="text1" w:themeTint="FF" w:themeShade="FF"/>
          <w:sz w:val="24"/>
          <w:szCs w:val="24"/>
        </w:rPr>
        <w:t>Date:</w:t>
      </w:r>
      <w:r w:rsidRPr="09BD0229" w:rsidR="5A6F9A3A">
        <w:rPr>
          <w:rFonts w:cs="Arial"/>
          <w:color w:val="000000" w:themeColor="text1" w:themeTint="FF" w:themeShade="FF"/>
          <w:sz w:val="24"/>
          <w:szCs w:val="24"/>
        </w:rPr>
        <w:t xml:space="preserve"> 20/08/2026</w:t>
      </w:r>
      <w:r w:rsidRPr="09BD0229" w:rsidR="00604290">
        <w:rPr>
          <w:rFonts w:cs="Arial"/>
          <w:b w:val="1"/>
          <w:bCs w:val="1"/>
          <w:color w:val="000000" w:themeColor="text1" w:themeTint="FF" w:themeShade="FF"/>
          <w:sz w:val="28"/>
          <w:szCs w:val="28"/>
        </w:rPr>
        <w:t xml:space="preserve"> </w:t>
      </w:r>
      <w:r w:rsidRPr="09BD0229">
        <w:rPr>
          <w:rFonts w:cs="Arial"/>
          <w:b w:val="1"/>
          <w:bCs w:val="1"/>
          <w:color w:val="000000" w:themeColor="text1" w:themeTint="FF" w:themeShade="FF"/>
          <w:sz w:val="28"/>
          <w:szCs w:val="28"/>
        </w:rPr>
        <w:br w:type="page"/>
      </w:r>
    </w:p>
    <w:p w:rsidR="00EF2DF4" w:rsidP="00EF2DF4" w:rsidRDefault="00EF2DF4" w14:paraId="226CBAC1" w14:textId="34DB4628">
      <w:pPr>
        <w:pStyle w:val="Headingfrontmatter"/>
      </w:pPr>
      <w:bookmarkStart w:name="_Toc238028847" w:id="3"/>
      <w:r>
        <w:t>List Of Tables</w:t>
      </w:r>
      <w:bookmarkEnd w:id="3"/>
    </w:p>
    <w:p w:rsidR="00B46E04" w:rsidP="00B46E04" w:rsidRDefault="00B46E04" w14:paraId="4D180DF7" w14:textId="77777777">
      <w:pPr>
        <w:rPr>
          <w:lang w:val="fr-FR"/>
        </w:rPr>
      </w:pPr>
    </w:p>
    <w:p w:rsidR="00B46E04" w:rsidP="00B46E04" w:rsidRDefault="00B46E04" w14:paraId="5FD9AD17" w14:textId="6BAEBDB6">
      <w:pPr>
        <w:rPr>
          <w:rFonts w:eastAsia="Times New Roman" w:cs="Arial"/>
          <w:color w:val="000000" w:themeColor="text1"/>
          <w:sz w:val="24"/>
          <w:szCs w:val="24"/>
        </w:rPr>
      </w:pPr>
      <w:r>
        <w:rPr>
          <w:rFonts w:cs="Arial"/>
          <w:sz w:val="24"/>
          <w:szCs w:val="24"/>
          <w:lang w:val="fr-FR"/>
        </w:rPr>
        <w:t xml:space="preserve">Chapter </w:t>
      </w:r>
      <w:proofErr w:type="gramStart"/>
      <w:r>
        <w:rPr>
          <w:rFonts w:cs="Arial"/>
          <w:sz w:val="24"/>
          <w:szCs w:val="24"/>
          <w:lang w:val="fr-FR"/>
        </w:rPr>
        <w:t>4:</w:t>
      </w:r>
      <w:proofErr w:type="gramEnd"/>
      <w:r>
        <w:rPr>
          <w:rFonts w:cs="Arial"/>
          <w:sz w:val="24"/>
          <w:szCs w:val="24"/>
          <w:lang w:val="fr-FR"/>
        </w:rPr>
        <w:t xml:space="preserve"> </w:t>
      </w:r>
      <w:r w:rsidRPr="00B46E04">
        <w:rPr>
          <w:rFonts w:cs="Arial"/>
          <w:sz w:val="24"/>
          <w:szCs w:val="24"/>
          <w:lang w:val="fr-FR"/>
        </w:rPr>
        <w:t xml:space="preserve">Table 4.1 : </w:t>
      </w:r>
      <w:r w:rsidRPr="00B46E04">
        <w:rPr>
          <w:rFonts w:eastAsia="Times New Roman" w:cs="Arial"/>
          <w:color w:val="000000" w:themeColor="text1"/>
          <w:sz w:val="24"/>
          <w:szCs w:val="24"/>
        </w:rPr>
        <w:t>Participant Characteristics</w:t>
      </w:r>
    </w:p>
    <w:p w:rsidRPr="00FB2549" w:rsidR="00FB2549" w:rsidP="00FB2549" w:rsidRDefault="00FB2549" w14:paraId="6A6AC99E" w14:textId="1E5A077B">
      <w:pPr>
        <w:rPr>
          <w:rFonts w:eastAsia="Times New Roman" w:cs="Arial"/>
          <w:color w:val="000000" w:themeColor="text1"/>
          <w:sz w:val="24"/>
          <w:szCs w:val="24"/>
        </w:rPr>
      </w:pPr>
      <w:r>
        <w:rPr>
          <w:rFonts w:eastAsia="Times New Roman" w:cs="Arial"/>
          <w:color w:val="000000" w:themeColor="text1"/>
          <w:sz w:val="24"/>
          <w:szCs w:val="24"/>
        </w:rPr>
        <w:t xml:space="preserve">Chapter 4: </w:t>
      </w:r>
      <w:r w:rsidRPr="00FB2549">
        <w:rPr>
          <w:rFonts w:eastAsia="Times New Roman" w:cs="Arial"/>
          <w:color w:val="000000" w:themeColor="text1"/>
          <w:sz w:val="24"/>
          <w:szCs w:val="24"/>
        </w:rPr>
        <w:t>Table 4.2 Summary of Group Experiential Themes (GETs) and Sub-Themes</w:t>
      </w:r>
    </w:p>
    <w:p w:rsidRPr="00B46E04" w:rsidR="00FB2549" w:rsidP="00B46E04" w:rsidRDefault="00FB2549" w14:paraId="7B2F2CDE" w14:textId="77777777">
      <w:pPr>
        <w:rPr>
          <w:rFonts w:cs="Arial"/>
          <w:sz w:val="24"/>
          <w:szCs w:val="24"/>
          <w:lang w:val="fr-FR"/>
        </w:rPr>
      </w:pPr>
    </w:p>
    <w:p w:rsidRPr="00604290" w:rsidR="00751DE7" w:rsidP="006D6100" w:rsidRDefault="00751DE7" w14:paraId="07A78020" w14:textId="6B830B21">
      <w:pPr>
        <w:pStyle w:val="Headingfrontmatter"/>
        <w:rPr>
          <w:lang w:val="en-GB"/>
        </w:rPr>
      </w:pPr>
      <w:r w:rsidRPr="00604290">
        <w:rPr>
          <w:lang w:val="en-GB"/>
        </w:rPr>
        <w:br w:type="page"/>
      </w:r>
    </w:p>
    <w:bookmarkStart w:name="_Toc238028848" w:displacedByCustomXml="next" w:id="4"/>
    <w:sdt>
      <w:sdtPr>
        <w:id w:val="83269008"/>
        <w:docPartObj>
          <w:docPartGallery w:val="Table of Contents"/>
          <w:docPartUnique/>
        </w:docPartObj>
        <w:rPr>
          <w:rFonts w:ascii="Arial" w:hAnsi="Arial" w:eastAsia="宋体" w:eastAsiaTheme="minorEastAsia"/>
          <w:b w:val="0"/>
          <w:bCs w:val="0"/>
          <w:color w:val="auto"/>
          <w:lang w:val="en-GB"/>
        </w:rPr>
      </w:sdtPr>
      <w:sdtEndPr>
        <w:rPr>
          <w:rFonts w:ascii="Arial" w:hAnsi="Arial" w:eastAsia="宋体" w:eastAsiaTheme="minorEastAsia"/>
          <w:b w:val="0"/>
          <w:bCs w:val="0"/>
          <w:color w:val="auto"/>
          <w:lang w:val="en-GB"/>
        </w:rPr>
      </w:sdtEndPr>
      <w:sdtContent>
        <w:p w:rsidRPr="0049496D" w:rsidR="00F27FFB" w:rsidRDefault="00F27FFB" w14:paraId="12EBB097" w14:textId="7B4E3604">
          <w:pPr>
            <w:pStyle w:val="TOCHeading"/>
            <w:rPr>
              <w:rFonts w:ascii="Arial" w:hAnsi="Arial" w:cs="Arial"/>
              <w:sz w:val="28"/>
              <w:szCs w:val="28"/>
              <w:lang w:val="en-GB"/>
            </w:rPr>
          </w:pPr>
          <w:r w:rsidRPr="0049496D">
            <w:rPr>
              <w:rFonts w:ascii="Arial" w:hAnsi="Arial" w:cs="Arial"/>
              <w:sz w:val="28"/>
              <w:szCs w:val="28"/>
              <w:lang w:val="en-GB"/>
            </w:rPr>
            <w:t>Contents</w:t>
          </w:r>
          <w:bookmarkEnd w:id="4"/>
        </w:p>
        <w:p w:rsidR="00F06A8D" w:rsidRDefault="00F27FFB" w14:paraId="4D5A6159" w14:textId="0A017231">
          <w:pPr>
            <w:pStyle w:val="TOC2"/>
            <w:tabs>
              <w:tab w:val="right" w:leader="dot" w:pos="9628"/>
            </w:tabs>
            <w:rPr>
              <w:rFonts w:asciiTheme="minorHAnsi" w:hAnsiTheme="minorHAnsi" w:cstheme="minorBidi"/>
              <w:bCs w:val="0"/>
              <w:noProof/>
              <w:kern w:val="2"/>
              <w:sz w:val="24"/>
              <w:szCs w:val="24"/>
              <w:lang w:eastAsia="en-GB"/>
              <w14:ligatures w14:val="standardContextual"/>
            </w:rPr>
          </w:pPr>
          <w:r w:rsidRPr="0049496D">
            <w:rPr>
              <w:rFonts w:cs="Arial"/>
              <w:sz w:val="28"/>
              <w:szCs w:val="28"/>
            </w:rPr>
            <w:fldChar w:fldCharType="begin"/>
          </w:r>
          <w:r w:rsidRPr="0049496D">
            <w:rPr>
              <w:rFonts w:cs="Arial"/>
              <w:sz w:val="28"/>
              <w:szCs w:val="28"/>
            </w:rPr>
            <w:instrText xml:space="preserve"> TOC \o "1-3" \h \z \u </w:instrText>
          </w:r>
          <w:r w:rsidRPr="0049496D">
            <w:rPr>
              <w:rFonts w:cs="Arial"/>
              <w:sz w:val="28"/>
              <w:szCs w:val="28"/>
            </w:rPr>
            <w:fldChar w:fldCharType="separate"/>
          </w:r>
          <w:hyperlink w:history="1" w:anchor="_Toc238028844">
            <w:r w:rsidRPr="00F70ACA" w:rsidR="00F06A8D">
              <w:rPr>
                <w:rStyle w:val="Hyperlink"/>
                <w:noProof/>
              </w:rPr>
              <w:t>Abstract</w:t>
            </w:r>
            <w:r w:rsidR="00F06A8D">
              <w:rPr>
                <w:noProof/>
                <w:webHidden/>
              </w:rPr>
              <w:tab/>
            </w:r>
            <w:r w:rsidR="00F06A8D">
              <w:rPr>
                <w:noProof/>
                <w:webHidden/>
              </w:rPr>
              <w:fldChar w:fldCharType="begin"/>
            </w:r>
            <w:r w:rsidR="00F06A8D">
              <w:rPr>
                <w:noProof/>
                <w:webHidden/>
              </w:rPr>
              <w:instrText xml:space="preserve"> PAGEREF _Toc238028844 \h </w:instrText>
            </w:r>
            <w:r w:rsidR="00F06A8D">
              <w:rPr>
                <w:noProof/>
                <w:webHidden/>
              </w:rPr>
            </w:r>
            <w:r w:rsidR="00F06A8D">
              <w:rPr>
                <w:noProof/>
                <w:webHidden/>
              </w:rPr>
              <w:fldChar w:fldCharType="separate"/>
            </w:r>
            <w:r w:rsidR="00F06A8D">
              <w:rPr>
                <w:noProof/>
                <w:webHidden/>
              </w:rPr>
              <w:t>i</w:t>
            </w:r>
            <w:r w:rsidR="00F06A8D">
              <w:rPr>
                <w:noProof/>
                <w:webHidden/>
              </w:rPr>
              <w:fldChar w:fldCharType="end"/>
            </w:r>
          </w:hyperlink>
        </w:p>
        <w:p w:rsidR="00F06A8D" w:rsidRDefault="00F06A8D" w14:paraId="1F556E13" w14:textId="650BD970">
          <w:pPr>
            <w:pStyle w:val="TOC2"/>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45">
            <w:r w:rsidRPr="00F70ACA">
              <w:rPr>
                <w:rStyle w:val="Hyperlink"/>
                <w:noProof/>
              </w:rPr>
              <w:t>Acknowledgements</w:t>
            </w:r>
            <w:r>
              <w:rPr>
                <w:noProof/>
                <w:webHidden/>
              </w:rPr>
              <w:tab/>
            </w:r>
            <w:r>
              <w:rPr>
                <w:noProof/>
                <w:webHidden/>
              </w:rPr>
              <w:fldChar w:fldCharType="begin"/>
            </w:r>
            <w:r>
              <w:rPr>
                <w:noProof/>
                <w:webHidden/>
              </w:rPr>
              <w:instrText xml:space="preserve"> PAGEREF _Toc238028845 \h </w:instrText>
            </w:r>
            <w:r>
              <w:rPr>
                <w:noProof/>
                <w:webHidden/>
              </w:rPr>
            </w:r>
            <w:r>
              <w:rPr>
                <w:noProof/>
                <w:webHidden/>
              </w:rPr>
              <w:fldChar w:fldCharType="separate"/>
            </w:r>
            <w:r>
              <w:rPr>
                <w:noProof/>
                <w:webHidden/>
              </w:rPr>
              <w:t>ii</w:t>
            </w:r>
            <w:r>
              <w:rPr>
                <w:noProof/>
                <w:webHidden/>
              </w:rPr>
              <w:fldChar w:fldCharType="end"/>
            </w:r>
          </w:hyperlink>
        </w:p>
        <w:p w:rsidR="00F06A8D" w:rsidRDefault="00F06A8D" w14:paraId="2B6C811B" w14:textId="5A19A931">
          <w:pPr>
            <w:pStyle w:val="TOC2"/>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46">
            <w:r w:rsidRPr="00F70ACA">
              <w:rPr>
                <w:rStyle w:val="Hyperlink"/>
                <w:noProof/>
              </w:rPr>
              <w:t>Declaration</w:t>
            </w:r>
            <w:r>
              <w:rPr>
                <w:noProof/>
                <w:webHidden/>
              </w:rPr>
              <w:tab/>
            </w:r>
            <w:r>
              <w:rPr>
                <w:noProof/>
                <w:webHidden/>
              </w:rPr>
              <w:fldChar w:fldCharType="begin"/>
            </w:r>
            <w:r>
              <w:rPr>
                <w:noProof/>
                <w:webHidden/>
              </w:rPr>
              <w:instrText xml:space="preserve"> PAGEREF _Toc238028846 \h </w:instrText>
            </w:r>
            <w:r>
              <w:rPr>
                <w:noProof/>
                <w:webHidden/>
              </w:rPr>
            </w:r>
            <w:r>
              <w:rPr>
                <w:noProof/>
                <w:webHidden/>
              </w:rPr>
              <w:fldChar w:fldCharType="separate"/>
            </w:r>
            <w:r>
              <w:rPr>
                <w:noProof/>
                <w:webHidden/>
              </w:rPr>
              <w:t>iii</w:t>
            </w:r>
            <w:r>
              <w:rPr>
                <w:noProof/>
                <w:webHidden/>
              </w:rPr>
              <w:fldChar w:fldCharType="end"/>
            </w:r>
          </w:hyperlink>
        </w:p>
        <w:p w:rsidR="00F06A8D" w:rsidRDefault="00F06A8D" w14:paraId="7CA1B71B" w14:textId="3B54F917">
          <w:pPr>
            <w:pStyle w:val="TOC2"/>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47">
            <w:r w:rsidRPr="00F70ACA">
              <w:rPr>
                <w:rStyle w:val="Hyperlink"/>
                <w:noProof/>
              </w:rPr>
              <w:t>List Of Tables</w:t>
            </w:r>
            <w:r>
              <w:rPr>
                <w:noProof/>
                <w:webHidden/>
              </w:rPr>
              <w:tab/>
            </w:r>
            <w:r>
              <w:rPr>
                <w:noProof/>
                <w:webHidden/>
              </w:rPr>
              <w:fldChar w:fldCharType="begin"/>
            </w:r>
            <w:r>
              <w:rPr>
                <w:noProof/>
                <w:webHidden/>
              </w:rPr>
              <w:instrText xml:space="preserve"> PAGEREF _Toc238028847 \h </w:instrText>
            </w:r>
            <w:r>
              <w:rPr>
                <w:noProof/>
                <w:webHidden/>
              </w:rPr>
            </w:r>
            <w:r>
              <w:rPr>
                <w:noProof/>
                <w:webHidden/>
              </w:rPr>
              <w:fldChar w:fldCharType="separate"/>
            </w:r>
            <w:r>
              <w:rPr>
                <w:noProof/>
                <w:webHidden/>
              </w:rPr>
              <w:t>v</w:t>
            </w:r>
            <w:r>
              <w:rPr>
                <w:noProof/>
                <w:webHidden/>
              </w:rPr>
              <w:fldChar w:fldCharType="end"/>
            </w:r>
          </w:hyperlink>
        </w:p>
        <w:p w:rsidR="00F06A8D" w:rsidRDefault="00F06A8D" w14:paraId="62FA7FE4" w14:textId="73A66EE7">
          <w:pPr>
            <w:pStyle w:val="TOC2"/>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48">
            <w:r w:rsidRPr="00F70ACA">
              <w:rPr>
                <w:rStyle w:val="Hyperlink"/>
                <w:rFonts w:cs="Arial"/>
                <w:noProof/>
              </w:rPr>
              <w:t>Contents</w:t>
            </w:r>
            <w:r>
              <w:rPr>
                <w:noProof/>
                <w:webHidden/>
              </w:rPr>
              <w:tab/>
            </w:r>
            <w:r>
              <w:rPr>
                <w:noProof/>
                <w:webHidden/>
              </w:rPr>
              <w:fldChar w:fldCharType="begin"/>
            </w:r>
            <w:r>
              <w:rPr>
                <w:noProof/>
                <w:webHidden/>
              </w:rPr>
              <w:instrText xml:space="preserve"> PAGEREF _Toc238028848 \h </w:instrText>
            </w:r>
            <w:r>
              <w:rPr>
                <w:noProof/>
                <w:webHidden/>
              </w:rPr>
            </w:r>
            <w:r>
              <w:rPr>
                <w:noProof/>
                <w:webHidden/>
              </w:rPr>
              <w:fldChar w:fldCharType="separate"/>
            </w:r>
            <w:r>
              <w:rPr>
                <w:noProof/>
                <w:webHidden/>
              </w:rPr>
              <w:t>vii</w:t>
            </w:r>
            <w:r>
              <w:rPr>
                <w:noProof/>
                <w:webHidden/>
              </w:rPr>
              <w:fldChar w:fldCharType="end"/>
            </w:r>
          </w:hyperlink>
        </w:p>
        <w:p w:rsidR="00F06A8D" w:rsidRDefault="00F06A8D" w14:paraId="3F093C0C" w14:textId="4A050E68">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49">
            <w:r w:rsidRPr="00F70ACA">
              <w:rPr>
                <w:rStyle w:val="Hyperlink"/>
                <w:rFonts w:cs="Arial"/>
                <w:noProof/>
                <w14:scene3d>
                  <w14:camera w14:prst="orthographicFront"/>
                  <w14:lightRig w14:rig="threePt" w14:dir="t">
                    <w14:rot w14:lat="0" w14:lon="0" w14:rev="0"/>
                  </w14:lightRig>
                </w14:scene3d>
              </w:rPr>
              <w:t>Chapter 1</w:t>
            </w:r>
            <w:r w:rsidRPr="00F70ACA">
              <w:rPr>
                <w:rStyle w:val="Hyperlink"/>
                <w:rFonts w:cs="Arial"/>
                <w:noProof/>
              </w:rPr>
              <w:t xml:space="preserve"> : Introduction</w:t>
            </w:r>
            <w:r>
              <w:rPr>
                <w:noProof/>
                <w:webHidden/>
              </w:rPr>
              <w:tab/>
            </w:r>
            <w:r>
              <w:rPr>
                <w:noProof/>
                <w:webHidden/>
              </w:rPr>
              <w:fldChar w:fldCharType="begin"/>
            </w:r>
            <w:r>
              <w:rPr>
                <w:noProof/>
                <w:webHidden/>
              </w:rPr>
              <w:instrText xml:space="preserve"> PAGEREF _Toc238028849 \h </w:instrText>
            </w:r>
            <w:r>
              <w:rPr>
                <w:noProof/>
                <w:webHidden/>
              </w:rPr>
            </w:r>
            <w:r>
              <w:rPr>
                <w:noProof/>
                <w:webHidden/>
              </w:rPr>
              <w:fldChar w:fldCharType="separate"/>
            </w:r>
            <w:r>
              <w:rPr>
                <w:noProof/>
                <w:webHidden/>
              </w:rPr>
              <w:t>1</w:t>
            </w:r>
            <w:r>
              <w:rPr>
                <w:noProof/>
                <w:webHidden/>
              </w:rPr>
              <w:fldChar w:fldCharType="end"/>
            </w:r>
          </w:hyperlink>
        </w:p>
        <w:p w:rsidR="00F06A8D" w:rsidRDefault="00F06A8D" w14:paraId="6051799D" w14:textId="79E1C3AE">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0">
            <w:r w:rsidRPr="00F70ACA">
              <w:rPr>
                <w:rStyle w:val="Hyperlink"/>
                <w:rFonts w:cs="Arial"/>
                <w:noProof/>
                <w14:scene3d>
                  <w14:camera w14:prst="orthographicFront"/>
                  <w14:lightRig w14:rig="threePt" w14:dir="t">
                    <w14:rot w14:lat="0" w14:lon="0" w14:rev="0"/>
                  </w14:lightRig>
                </w14:scene3d>
              </w:rPr>
              <w:t>Chapter 2</w:t>
            </w:r>
            <w:r w:rsidRPr="00F70ACA">
              <w:rPr>
                <w:rStyle w:val="Hyperlink"/>
                <w:rFonts w:cs="Arial"/>
                <w:noProof/>
              </w:rPr>
              <w:t xml:space="preserve"> : Literature Review</w:t>
            </w:r>
            <w:r>
              <w:rPr>
                <w:noProof/>
                <w:webHidden/>
              </w:rPr>
              <w:tab/>
            </w:r>
            <w:r>
              <w:rPr>
                <w:noProof/>
                <w:webHidden/>
              </w:rPr>
              <w:fldChar w:fldCharType="begin"/>
            </w:r>
            <w:r>
              <w:rPr>
                <w:noProof/>
                <w:webHidden/>
              </w:rPr>
              <w:instrText xml:space="preserve"> PAGEREF _Toc238028850 \h </w:instrText>
            </w:r>
            <w:r>
              <w:rPr>
                <w:noProof/>
                <w:webHidden/>
              </w:rPr>
            </w:r>
            <w:r>
              <w:rPr>
                <w:noProof/>
                <w:webHidden/>
              </w:rPr>
              <w:fldChar w:fldCharType="separate"/>
            </w:r>
            <w:r>
              <w:rPr>
                <w:noProof/>
                <w:webHidden/>
              </w:rPr>
              <w:t>3</w:t>
            </w:r>
            <w:r>
              <w:rPr>
                <w:noProof/>
                <w:webHidden/>
              </w:rPr>
              <w:fldChar w:fldCharType="end"/>
            </w:r>
          </w:hyperlink>
        </w:p>
        <w:p w:rsidR="00F06A8D" w:rsidRDefault="00F06A8D" w14:paraId="30B37366" w14:textId="1DF87D42">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1">
            <w:r w:rsidRPr="00F70ACA">
              <w:rPr>
                <w:rStyle w:val="Hyperlink"/>
                <w:noProof/>
              </w:rPr>
              <w:t>2.1</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Introduction</w:t>
            </w:r>
            <w:r>
              <w:rPr>
                <w:noProof/>
                <w:webHidden/>
              </w:rPr>
              <w:tab/>
            </w:r>
            <w:r>
              <w:rPr>
                <w:noProof/>
                <w:webHidden/>
              </w:rPr>
              <w:fldChar w:fldCharType="begin"/>
            </w:r>
            <w:r>
              <w:rPr>
                <w:noProof/>
                <w:webHidden/>
              </w:rPr>
              <w:instrText xml:space="preserve"> PAGEREF _Toc238028851 \h </w:instrText>
            </w:r>
            <w:r>
              <w:rPr>
                <w:noProof/>
                <w:webHidden/>
              </w:rPr>
            </w:r>
            <w:r>
              <w:rPr>
                <w:noProof/>
                <w:webHidden/>
              </w:rPr>
              <w:fldChar w:fldCharType="separate"/>
            </w:r>
            <w:r>
              <w:rPr>
                <w:noProof/>
                <w:webHidden/>
              </w:rPr>
              <w:t>3</w:t>
            </w:r>
            <w:r>
              <w:rPr>
                <w:noProof/>
                <w:webHidden/>
              </w:rPr>
              <w:fldChar w:fldCharType="end"/>
            </w:r>
          </w:hyperlink>
        </w:p>
        <w:p w:rsidR="00F06A8D" w:rsidRDefault="00F06A8D" w14:paraId="6F5ED117" w14:textId="1011266C">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2">
            <w:r w:rsidRPr="00F70ACA">
              <w:rPr>
                <w:rStyle w:val="Hyperlink"/>
                <w:rFonts w:cs="Arial"/>
                <w:noProof/>
              </w:rPr>
              <w:t>2.2</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Research Questions</w:t>
            </w:r>
            <w:r>
              <w:rPr>
                <w:noProof/>
                <w:webHidden/>
              </w:rPr>
              <w:tab/>
            </w:r>
            <w:r>
              <w:rPr>
                <w:noProof/>
                <w:webHidden/>
              </w:rPr>
              <w:fldChar w:fldCharType="begin"/>
            </w:r>
            <w:r>
              <w:rPr>
                <w:noProof/>
                <w:webHidden/>
              </w:rPr>
              <w:instrText xml:space="preserve"> PAGEREF _Toc238028852 \h </w:instrText>
            </w:r>
            <w:r>
              <w:rPr>
                <w:noProof/>
                <w:webHidden/>
              </w:rPr>
            </w:r>
            <w:r>
              <w:rPr>
                <w:noProof/>
                <w:webHidden/>
              </w:rPr>
              <w:fldChar w:fldCharType="separate"/>
            </w:r>
            <w:r>
              <w:rPr>
                <w:noProof/>
                <w:webHidden/>
              </w:rPr>
              <w:t>3</w:t>
            </w:r>
            <w:r>
              <w:rPr>
                <w:noProof/>
                <w:webHidden/>
              </w:rPr>
              <w:fldChar w:fldCharType="end"/>
            </w:r>
          </w:hyperlink>
        </w:p>
        <w:p w:rsidR="00F06A8D" w:rsidRDefault="00F06A8D" w14:paraId="238852AC" w14:textId="6057D509">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3">
            <w:r w:rsidRPr="00F70ACA">
              <w:rPr>
                <w:rStyle w:val="Hyperlink"/>
                <w:rFonts w:cs="Arial"/>
                <w:noProof/>
              </w:rPr>
              <w:t>2.3</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An Overview of Huntington’s Disease</w:t>
            </w:r>
            <w:r>
              <w:rPr>
                <w:noProof/>
                <w:webHidden/>
              </w:rPr>
              <w:tab/>
            </w:r>
            <w:r>
              <w:rPr>
                <w:noProof/>
                <w:webHidden/>
              </w:rPr>
              <w:fldChar w:fldCharType="begin"/>
            </w:r>
            <w:r>
              <w:rPr>
                <w:noProof/>
                <w:webHidden/>
              </w:rPr>
              <w:instrText xml:space="preserve"> PAGEREF _Toc238028853 \h </w:instrText>
            </w:r>
            <w:r>
              <w:rPr>
                <w:noProof/>
                <w:webHidden/>
              </w:rPr>
            </w:r>
            <w:r>
              <w:rPr>
                <w:noProof/>
                <w:webHidden/>
              </w:rPr>
              <w:fldChar w:fldCharType="separate"/>
            </w:r>
            <w:r>
              <w:rPr>
                <w:noProof/>
                <w:webHidden/>
              </w:rPr>
              <w:t>4</w:t>
            </w:r>
            <w:r>
              <w:rPr>
                <w:noProof/>
                <w:webHidden/>
              </w:rPr>
              <w:fldChar w:fldCharType="end"/>
            </w:r>
          </w:hyperlink>
        </w:p>
        <w:p w:rsidR="00F06A8D" w:rsidRDefault="00F06A8D" w14:paraId="3FD858F1" w14:textId="75642C6C">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4">
            <w:r w:rsidRPr="00F70ACA">
              <w:rPr>
                <w:rStyle w:val="Hyperlink"/>
                <w:rFonts w:cs="Arial"/>
                <w:noProof/>
              </w:rPr>
              <w:t>2.4</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To Know or Not to Know</w:t>
            </w:r>
            <w:r>
              <w:rPr>
                <w:noProof/>
                <w:webHidden/>
              </w:rPr>
              <w:tab/>
            </w:r>
            <w:r>
              <w:rPr>
                <w:noProof/>
                <w:webHidden/>
              </w:rPr>
              <w:fldChar w:fldCharType="begin"/>
            </w:r>
            <w:r>
              <w:rPr>
                <w:noProof/>
                <w:webHidden/>
              </w:rPr>
              <w:instrText xml:space="preserve"> PAGEREF _Toc238028854 \h </w:instrText>
            </w:r>
            <w:r>
              <w:rPr>
                <w:noProof/>
                <w:webHidden/>
              </w:rPr>
            </w:r>
            <w:r>
              <w:rPr>
                <w:noProof/>
                <w:webHidden/>
              </w:rPr>
              <w:fldChar w:fldCharType="separate"/>
            </w:r>
            <w:r>
              <w:rPr>
                <w:noProof/>
                <w:webHidden/>
              </w:rPr>
              <w:t>4</w:t>
            </w:r>
            <w:r>
              <w:rPr>
                <w:noProof/>
                <w:webHidden/>
              </w:rPr>
              <w:fldChar w:fldCharType="end"/>
            </w:r>
          </w:hyperlink>
        </w:p>
        <w:p w:rsidR="00F06A8D" w:rsidRDefault="00F06A8D" w14:paraId="69D8E1D3" w14:textId="3F106B35">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5">
            <w:r w:rsidRPr="00F70ACA">
              <w:rPr>
                <w:rStyle w:val="Hyperlink"/>
                <w:rFonts w:cs="Arial"/>
                <w:noProof/>
              </w:rPr>
              <w:t>2.5</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Psychosocial Impact of Living at Risk of HD</w:t>
            </w:r>
            <w:r>
              <w:rPr>
                <w:noProof/>
                <w:webHidden/>
              </w:rPr>
              <w:tab/>
            </w:r>
            <w:r>
              <w:rPr>
                <w:noProof/>
                <w:webHidden/>
              </w:rPr>
              <w:fldChar w:fldCharType="begin"/>
            </w:r>
            <w:r>
              <w:rPr>
                <w:noProof/>
                <w:webHidden/>
              </w:rPr>
              <w:instrText xml:space="preserve"> PAGEREF _Toc238028855 \h </w:instrText>
            </w:r>
            <w:r>
              <w:rPr>
                <w:noProof/>
                <w:webHidden/>
              </w:rPr>
            </w:r>
            <w:r>
              <w:rPr>
                <w:noProof/>
                <w:webHidden/>
              </w:rPr>
              <w:fldChar w:fldCharType="separate"/>
            </w:r>
            <w:r>
              <w:rPr>
                <w:noProof/>
                <w:webHidden/>
              </w:rPr>
              <w:t>6</w:t>
            </w:r>
            <w:r>
              <w:rPr>
                <w:noProof/>
                <w:webHidden/>
              </w:rPr>
              <w:fldChar w:fldCharType="end"/>
            </w:r>
          </w:hyperlink>
        </w:p>
        <w:p w:rsidR="00F06A8D" w:rsidRDefault="00F06A8D" w14:paraId="405C5869" w14:textId="01AB74FD">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6">
            <w:r w:rsidRPr="00F70ACA">
              <w:rPr>
                <w:rStyle w:val="Hyperlink"/>
                <w:rFonts w:cs="Arial"/>
                <w:noProof/>
              </w:rPr>
              <w:t>2.6</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Living Gene Positive: The Emotional Burden of Knowledge</w:t>
            </w:r>
            <w:r>
              <w:rPr>
                <w:noProof/>
                <w:webHidden/>
              </w:rPr>
              <w:tab/>
            </w:r>
            <w:r>
              <w:rPr>
                <w:noProof/>
                <w:webHidden/>
              </w:rPr>
              <w:fldChar w:fldCharType="begin"/>
            </w:r>
            <w:r>
              <w:rPr>
                <w:noProof/>
                <w:webHidden/>
              </w:rPr>
              <w:instrText xml:space="preserve"> PAGEREF _Toc238028856 \h </w:instrText>
            </w:r>
            <w:r>
              <w:rPr>
                <w:noProof/>
                <w:webHidden/>
              </w:rPr>
            </w:r>
            <w:r>
              <w:rPr>
                <w:noProof/>
                <w:webHidden/>
              </w:rPr>
              <w:fldChar w:fldCharType="separate"/>
            </w:r>
            <w:r>
              <w:rPr>
                <w:noProof/>
                <w:webHidden/>
              </w:rPr>
              <w:t>7</w:t>
            </w:r>
            <w:r>
              <w:rPr>
                <w:noProof/>
                <w:webHidden/>
              </w:rPr>
              <w:fldChar w:fldCharType="end"/>
            </w:r>
          </w:hyperlink>
        </w:p>
        <w:p w:rsidR="00F06A8D" w:rsidRDefault="00F06A8D" w14:paraId="31B8782E" w14:textId="6D73E2A4">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7">
            <w:r w:rsidRPr="00F70ACA">
              <w:rPr>
                <w:rStyle w:val="Hyperlink"/>
                <w:rFonts w:cs="Arial"/>
                <w:noProof/>
              </w:rPr>
              <w:t>2.7</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 Paradox of Certainty and Control</w:t>
            </w:r>
            <w:r>
              <w:rPr>
                <w:noProof/>
                <w:webHidden/>
              </w:rPr>
              <w:tab/>
            </w:r>
            <w:r>
              <w:rPr>
                <w:noProof/>
                <w:webHidden/>
              </w:rPr>
              <w:fldChar w:fldCharType="begin"/>
            </w:r>
            <w:r>
              <w:rPr>
                <w:noProof/>
                <w:webHidden/>
              </w:rPr>
              <w:instrText xml:space="preserve"> PAGEREF _Toc238028857 \h </w:instrText>
            </w:r>
            <w:r>
              <w:rPr>
                <w:noProof/>
                <w:webHidden/>
              </w:rPr>
            </w:r>
            <w:r>
              <w:rPr>
                <w:noProof/>
                <w:webHidden/>
              </w:rPr>
              <w:fldChar w:fldCharType="separate"/>
            </w:r>
            <w:r>
              <w:rPr>
                <w:noProof/>
                <w:webHidden/>
              </w:rPr>
              <w:t>9</w:t>
            </w:r>
            <w:r>
              <w:rPr>
                <w:noProof/>
                <w:webHidden/>
              </w:rPr>
              <w:fldChar w:fldCharType="end"/>
            </w:r>
          </w:hyperlink>
        </w:p>
        <w:p w:rsidR="00F06A8D" w:rsidRDefault="00F06A8D" w14:paraId="0CE753DB" w14:textId="24A823CA">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8">
            <w:r w:rsidRPr="00F70ACA">
              <w:rPr>
                <w:rStyle w:val="Hyperlink"/>
                <w:rFonts w:cs="Arial"/>
                <w:noProof/>
              </w:rPr>
              <w:t>2.8</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Relational Dynamic and Ethical Responsibility</w:t>
            </w:r>
            <w:r>
              <w:rPr>
                <w:noProof/>
                <w:webHidden/>
              </w:rPr>
              <w:tab/>
            </w:r>
            <w:r>
              <w:rPr>
                <w:noProof/>
                <w:webHidden/>
              </w:rPr>
              <w:fldChar w:fldCharType="begin"/>
            </w:r>
            <w:r>
              <w:rPr>
                <w:noProof/>
                <w:webHidden/>
              </w:rPr>
              <w:instrText xml:space="preserve"> PAGEREF _Toc238028858 \h </w:instrText>
            </w:r>
            <w:r>
              <w:rPr>
                <w:noProof/>
                <w:webHidden/>
              </w:rPr>
            </w:r>
            <w:r>
              <w:rPr>
                <w:noProof/>
                <w:webHidden/>
              </w:rPr>
              <w:fldChar w:fldCharType="separate"/>
            </w:r>
            <w:r>
              <w:rPr>
                <w:noProof/>
                <w:webHidden/>
              </w:rPr>
              <w:t>10</w:t>
            </w:r>
            <w:r>
              <w:rPr>
                <w:noProof/>
                <w:webHidden/>
              </w:rPr>
              <w:fldChar w:fldCharType="end"/>
            </w:r>
          </w:hyperlink>
        </w:p>
        <w:p w:rsidR="00F06A8D" w:rsidRDefault="00F06A8D" w14:paraId="2188B58D" w14:textId="66EC3D9C">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59">
            <w:r w:rsidRPr="00F70ACA">
              <w:rPr>
                <w:rStyle w:val="Hyperlink"/>
                <w:rFonts w:cs="Arial"/>
                <w:noProof/>
              </w:rPr>
              <w:t>2.9</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Gene-Negative Experience: Relief, Disruption, and the Reconstruction of an Unexpected Future</w:t>
            </w:r>
            <w:r>
              <w:rPr>
                <w:noProof/>
                <w:webHidden/>
              </w:rPr>
              <w:tab/>
            </w:r>
            <w:r>
              <w:rPr>
                <w:noProof/>
                <w:webHidden/>
              </w:rPr>
              <w:fldChar w:fldCharType="begin"/>
            </w:r>
            <w:r>
              <w:rPr>
                <w:noProof/>
                <w:webHidden/>
              </w:rPr>
              <w:instrText xml:space="preserve"> PAGEREF _Toc238028859 \h </w:instrText>
            </w:r>
            <w:r>
              <w:rPr>
                <w:noProof/>
                <w:webHidden/>
              </w:rPr>
            </w:r>
            <w:r>
              <w:rPr>
                <w:noProof/>
                <w:webHidden/>
              </w:rPr>
              <w:fldChar w:fldCharType="separate"/>
            </w:r>
            <w:r>
              <w:rPr>
                <w:noProof/>
                <w:webHidden/>
              </w:rPr>
              <w:t>11</w:t>
            </w:r>
            <w:r>
              <w:rPr>
                <w:noProof/>
                <w:webHidden/>
              </w:rPr>
              <w:fldChar w:fldCharType="end"/>
            </w:r>
          </w:hyperlink>
        </w:p>
        <w:p w:rsidR="00F06A8D" w:rsidRDefault="00F06A8D" w14:paraId="14A9B685" w14:textId="174A1DA6">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60">
            <w:r w:rsidRPr="00F70ACA">
              <w:rPr>
                <w:rStyle w:val="Hyperlink"/>
                <w:rFonts w:cs="Arial"/>
                <w:noProof/>
              </w:rPr>
              <w:t>2.9.1</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The Complexity of Relief</w:t>
            </w:r>
            <w:r>
              <w:rPr>
                <w:noProof/>
                <w:webHidden/>
              </w:rPr>
              <w:tab/>
            </w:r>
            <w:r>
              <w:rPr>
                <w:noProof/>
                <w:webHidden/>
              </w:rPr>
              <w:fldChar w:fldCharType="begin"/>
            </w:r>
            <w:r>
              <w:rPr>
                <w:noProof/>
                <w:webHidden/>
              </w:rPr>
              <w:instrText xml:space="preserve"> PAGEREF _Toc238028860 \h </w:instrText>
            </w:r>
            <w:r>
              <w:rPr>
                <w:noProof/>
                <w:webHidden/>
              </w:rPr>
            </w:r>
            <w:r>
              <w:rPr>
                <w:noProof/>
                <w:webHidden/>
              </w:rPr>
              <w:fldChar w:fldCharType="separate"/>
            </w:r>
            <w:r>
              <w:rPr>
                <w:noProof/>
                <w:webHidden/>
              </w:rPr>
              <w:t>11</w:t>
            </w:r>
            <w:r>
              <w:rPr>
                <w:noProof/>
                <w:webHidden/>
              </w:rPr>
              <w:fldChar w:fldCharType="end"/>
            </w:r>
          </w:hyperlink>
        </w:p>
        <w:p w:rsidR="00F06A8D" w:rsidRDefault="00F06A8D" w14:paraId="4DCBCD0E" w14:textId="2ED29B1D">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61">
            <w:r w:rsidRPr="00F70ACA">
              <w:rPr>
                <w:rStyle w:val="Hyperlink"/>
                <w:rFonts w:cs="Arial"/>
                <w:noProof/>
              </w:rPr>
              <w:t>2.9.2</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Survivors’ Guilt and the Ethics of Unequal Outcomes</w:t>
            </w:r>
            <w:r>
              <w:rPr>
                <w:noProof/>
                <w:webHidden/>
              </w:rPr>
              <w:tab/>
            </w:r>
            <w:r>
              <w:rPr>
                <w:noProof/>
                <w:webHidden/>
              </w:rPr>
              <w:fldChar w:fldCharType="begin"/>
            </w:r>
            <w:r>
              <w:rPr>
                <w:noProof/>
                <w:webHidden/>
              </w:rPr>
              <w:instrText xml:space="preserve"> PAGEREF _Toc238028861 \h </w:instrText>
            </w:r>
            <w:r>
              <w:rPr>
                <w:noProof/>
                <w:webHidden/>
              </w:rPr>
            </w:r>
            <w:r>
              <w:rPr>
                <w:noProof/>
                <w:webHidden/>
              </w:rPr>
              <w:fldChar w:fldCharType="separate"/>
            </w:r>
            <w:r>
              <w:rPr>
                <w:noProof/>
                <w:webHidden/>
              </w:rPr>
              <w:t>12</w:t>
            </w:r>
            <w:r>
              <w:rPr>
                <w:noProof/>
                <w:webHidden/>
              </w:rPr>
              <w:fldChar w:fldCharType="end"/>
            </w:r>
          </w:hyperlink>
        </w:p>
        <w:p w:rsidR="00F06A8D" w:rsidRDefault="00F06A8D" w14:paraId="1E866988" w14:textId="625A7401">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62">
            <w:r w:rsidRPr="00F70ACA">
              <w:rPr>
                <w:rStyle w:val="Hyperlink"/>
                <w:rFonts w:cs="Arial"/>
                <w:noProof/>
              </w:rPr>
              <w:t>2.9.3</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Identity Dislocation and the Loss of the “At Risk” Narrative</w:t>
            </w:r>
            <w:r>
              <w:rPr>
                <w:noProof/>
                <w:webHidden/>
              </w:rPr>
              <w:tab/>
            </w:r>
            <w:r>
              <w:rPr>
                <w:noProof/>
                <w:webHidden/>
              </w:rPr>
              <w:fldChar w:fldCharType="begin"/>
            </w:r>
            <w:r>
              <w:rPr>
                <w:noProof/>
                <w:webHidden/>
              </w:rPr>
              <w:instrText xml:space="preserve"> PAGEREF _Toc238028862 \h </w:instrText>
            </w:r>
            <w:r>
              <w:rPr>
                <w:noProof/>
                <w:webHidden/>
              </w:rPr>
            </w:r>
            <w:r>
              <w:rPr>
                <w:noProof/>
                <w:webHidden/>
              </w:rPr>
              <w:fldChar w:fldCharType="separate"/>
            </w:r>
            <w:r>
              <w:rPr>
                <w:noProof/>
                <w:webHidden/>
              </w:rPr>
              <w:t>12</w:t>
            </w:r>
            <w:r>
              <w:rPr>
                <w:noProof/>
                <w:webHidden/>
              </w:rPr>
              <w:fldChar w:fldCharType="end"/>
            </w:r>
          </w:hyperlink>
        </w:p>
        <w:p w:rsidR="00F06A8D" w:rsidRDefault="00F06A8D" w14:paraId="258B38E9" w14:textId="69A1CE9F">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63">
            <w:r w:rsidRPr="00F70ACA">
              <w:rPr>
                <w:rStyle w:val="Hyperlink"/>
                <w:rFonts w:cs="Arial"/>
                <w:noProof/>
              </w:rPr>
              <w:t>2.9.4</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 xml:space="preserve">Sub </w:t>
            </w:r>
            <w:r w:rsidRPr="00F70ACA">
              <w:rPr>
                <w:rStyle w:val="Hyperlink"/>
                <w:rFonts w:eastAsia="Times New Roman" w:cs="Arial"/>
                <w:noProof/>
              </w:rPr>
              <w:t>Psychological Residue and the Persistence of Fear</w:t>
            </w:r>
            <w:r>
              <w:rPr>
                <w:noProof/>
                <w:webHidden/>
              </w:rPr>
              <w:tab/>
            </w:r>
            <w:r>
              <w:rPr>
                <w:noProof/>
                <w:webHidden/>
              </w:rPr>
              <w:fldChar w:fldCharType="begin"/>
            </w:r>
            <w:r>
              <w:rPr>
                <w:noProof/>
                <w:webHidden/>
              </w:rPr>
              <w:instrText xml:space="preserve"> PAGEREF _Toc238028863 \h </w:instrText>
            </w:r>
            <w:r>
              <w:rPr>
                <w:noProof/>
                <w:webHidden/>
              </w:rPr>
            </w:r>
            <w:r>
              <w:rPr>
                <w:noProof/>
                <w:webHidden/>
              </w:rPr>
              <w:fldChar w:fldCharType="separate"/>
            </w:r>
            <w:r>
              <w:rPr>
                <w:noProof/>
                <w:webHidden/>
              </w:rPr>
              <w:t>13</w:t>
            </w:r>
            <w:r>
              <w:rPr>
                <w:noProof/>
                <w:webHidden/>
              </w:rPr>
              <w:fldChar w:fldCharType="end"/>
            </w:r>
          </w:hyperlink>
        </w:p>
        <w:p w:rsidR="00F06A8D" w:rsidRDefault="00F06A8D" w14:paraId="69130674" w14:textId="027043A9">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64">
            <w:r w:rsidRPr="00F70ACA">
              <w:rPr>
                <w:rStyle w:val="Hyperlink"/>
                <w:rFonts w:cs="Arial"/>
                <w:noProof/>
              </w:rPr>
              <w:t>2.9.5</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Sub Relational Repositioning</w:t>
            </w:r>
            <w:r>
              <w:rPr>
                <w:noProof/>
                <w:webHidden/>
              </w:rPr>
              <w:tab/>
            </w:r>
            <w:r>
              <w:rPr>
                <w:noProof/>
                <w:webHidden/>
              </w:rPr>
              <w:fldChar w:fldCharType="begin"/>
            </w:r>
            <w:r>
              <w:rPr>
                <w:noProof/>
                <w:webHidden/>
              </w:rPr>
              <w:instrText xml:space="preserve"> PAGEREF _Toc238028864 \h </w:instrText>
            </w:r>
            <w:r>
              <w:rPr>
                <w:noProof/>
                <w:webHidden/>
              </w:rPr>
            </w:r>
            <w:r>
              <w:rPr>
                <w:noProof/>
                <w:webHidden/>
              </w:rPr>
              <w:fldChar w:fldCharType="separate"/>
            </w:r>
            <w:r>
              <w:rPr>
                <w:noProof/>
                <w:webHidden/>
              </w:rPr>
              <w:t>13</w:t>
            </w:r>
            <w:r>
              <w:rPr>
                <w:noProof/>
                <w:webHidden/>
              </w:rPr>
              <w:fldChar w:fldCharType="end"/>
            </w:r>
          </w:hyperlink>
        </w:p>
        <w:p w:rsidR="00F06A8D" w:rsidRDefault="00F06A8D" w14:paraId="19EB78BE" w14:textId="66F9749D">
          <w:pPr>
            <w:pStyle w:val="TOC2"/>
            <w:tabs>
              <w:tab w:val="left" w:pos="120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65">
            <w:r w:rsidRPr="00F70ACA">
              <w:rPr>
                <w:rStyle w:val="Hyperlink"/>
                <w:rFonts w:eastAsia="Times New Roman" w:cs="Arial"/>
                <w:noProof/>
              </w:rPr>
              <w:t>2.10</w:t>
            </w:r>
            <w:r>
              <w:rPr>
                <w:rFonts w:asciiTheme="minorHAnsi" w:hAnsiTheme="minorHAnsi" w:cstheme="minorBidi"/>
                <w:bCs w:val="0"/>
                <w:noProof/>
                <w:kern w:val="2"/>
                <w:sz w:val="24"/>
                <w:szCs w:val="24"/>
                <w:lang w:eastAsia="en-GB"/>
                <w14:ligatures w14:val="standardContextual"/>
              </w:rPr>
              <w:tab/>
            </w:r>
            <w:r w:rsidRPr="00F70ACA">
              <w:rPr>
                <w:rStyle w:val="Hyperlink"/>
                <w:rFonts w:eastAsia="Times New Roman" w:cs="Arial"/>
                <w:noProof/>
              </w:rPr>
              <w:t>Premature Disengagement from Counselling Support</w:t>
            </w:r>
            <w:r>
              <w:rPr>
                <w:noProof/>
                <w:webHidden/>
              </w:rPr>
              <w:tab/>
            </w:r>
            <w:r>
              <w:rPr>
                <w:noProof/>
                <w:webHidden/>
              </w:rPr>
              <w:fldChar w:fldCharType="begin"/>
            </w:r>
            <w:r>
              <w:rPr>
                <w:noProof/>
                <w:webHidden/>
              </w:rPr>
              <w:instrText xml:space="preserve"> PAGEREF _Toc238028865 \h </w:instrText>
            </w:r>
            <w:r>
              <w:rPr>
                <w:noProof/>
                <w:webHidden/>
              </w:rPr>
            </w:r>
            <w:r>
              <w:rPr>
                <w:noProof/>
                <w:webHidden/>
              </w:rPr>
              <w:fldChar w:fldCharType="separate"/>
            </w:r>
            <w:r>
              <w:rPr>
                <w:noProof/>
                <w:webHidden/>
              </w:rPr>
              <w:t>14</w:t>
            </w:r>
            <w:r>
              <w:rPr>
                <w:noProof/>
                <w:webHidden/>
              </w:rPr>
              <w:fldChar w:fldCharType="end"/>
            </w:r>
          </w:hyperlink>
        </w:p>
        <w:p w:rsidR="00F06A8D" w:rsidRDefault="00F06A8D" w14:paraId="7983DA60" w14:textId="707E1C04">
          <w:pPr>
            <w:pStyle w:val="TOC2"/>
            <w:tabs>
              <w:tab w:val="left" w:pos="120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66">
            <w:r w:rsidRPr="00F70ACA">
              <w:rPr>
                <w:rStyle w:val="Hyperlink"/>
                <w:rFonts w:cs="Arial"/>
                <w:noProof/>
              </w:rPr>
              <w:t>2.11</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Integrative Analysis: Moving Beyond the Binary Framework</w:t>
            </w:r>
            <w:r>
              <w:rPr>
                <w:noProof/>
                <w:webHidden/>
              </w:rPr>
              <w:tab/>
            </w:r>
            <w:r>
              <w:rPr>
                <w:noProof/>
                <w:webHidden/>
              </w:rPr>
              <w:fldChar w:fldCharType="begin"/>
            </w:r>
            <w:r>
              <w:rPr>
                <w:noProof/>
                <w:webHidden/>
              </w:rPr>
              <w:instrText xml:space="preserve"> PAGEREF _Toc238028866 \h </w:instrText>
            </w:r>
            <w:r>
              <w:rPr>
                <w:noProof/>
                <w:webHidden/>
              </w:rPr>
            </w:r>
            <w:r>
              <w:rPr>
                <w:noProof/>
                <w:webHidden/>
              </w:rPr>
              <w:fldChar w:fldCharType="separate"/>
            </w:r>
            <w:r>
              <w:rPr>
                <w:noProof/>
                <w:webHidden/>
              </w:rPr>
              <w:t>15</w:t>
            </w:r>
            <w:r>
              <w:rPr>
                <w:noProof/>
                <w:webHidden/>
              </w:rPr>
              <w:fldChar w:fldCharType="end"/>
            </w:r>
          </w:hyperlink>
        </w:p>
        <w:p w:rsidR="00F06A8D" w:rsidRDefault="00F06A8D" w14:paraId="525D8E68" w14:textId="42D34E81">
          <w:pPr>
            <w:pStyle w:val="TOC2"/>
            <w:tabs>
              <w:tab w:val="left" w:pos="120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67">
            <w:r w:rsidRPr="00F70ACA">
              <w:rPr>
                <w:rStyle w:val="Hyperlink"/>
                <w:rFonts w:cs="Arial"/>
                <w:noProof/>
              </w:rPr>
              <w:t>2.12</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Implications for Counselling Practice</w:t>
            </w:r>
            <w:r>
              <w:rPr>
                <w:noProof/>
                <w:webHidden/>
              </w:rPr>
              <w:tab/>
            </w:r>
            <w:r>
              <w:rPr>
                <w:noProof/>
                <w:webHidden/>
              </w:rPr>
              <w:fldChar w:fldCharType="begin"/>
            </w:r>
            <w:r>
              <w:rPr>
                <w:noProof/>
                <w:webHidden/>
              </w:rPr>
              <w:instrText xml:space="preserve"> PAGEREF _Toc238028867 \h </w:instrText>
            </w:r>
            <w:r>
              <w:rPr>
                <w:noProof/>
                <w:webHidden/>
              </w:rPr>
            </w:r>
            <w:r>
              <w:rPr>
                <w:noProof/>
                <w:webHidden/>
              </w:rPr>
              <w:fldChar w:fldCharType="separate"/>
            </w:r>
            <w:r>
              <w:rPr>
                <w:noProof/>
                <w:webHidden/>
              </w:rPr>
              <w:t>17</w:t>
            </w:r>
            <w:r>
              <w:rPr>
                <w:noProof/>
                <w:webHidden/>
              </w:rPr>
              <w:fldChar w:fldCharType="end"/>
            </w:r>
          </w:hyperlink>
        </w:p>
        <w:p w:rsidR="00F06A8D" w:rsidRDefault="00F06A8D" w14:paraId="6A2D1D98" w14:textId="6613EB9B">
          <w:pPr>
            <w:pStyle w:val="TOC2"/>
            <w:tabs>
              <w:tab w:val="left" w:pos="120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68">
            <w:r w:rsidRPr="00F70ACA">
              <w:rPr>
                <w:rStyle w:val="Hyperlink"/>
                <w:rFonts w:cs="Arial"/>
                <w:noProof/>
              </w:rPr>
              <w:t>2.13</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Conclusion</w:t>
            </w:r>
            <w:r>
              <w:rPr>
                <w:noProof/>
                <w:webHidden/>
              </w:rPr>
              <w:tab/>
            </w:r>
            <w:r>
              <w:rPr>
                <w:noProof/>
                <w:webHidden/>
              </w:rPr>
              <w:fldChar w:fldCharType="begin"/>
            </w:r>
            <w:r>
              <w:rPr>
                <w:noProof/>
                <w:webHidden/>
              </w:rPr>
              <w:instrText xml:space="preserve"> PAGEREF _Toc238028868 \h </w:instrText>
            </w:r>
            <w:r>
              <w:rPr>
                <w:noProof/>
                <w:webHidden/>
              </w:rPr>
            </w:r>
            <w:r>
              <w:rPr>
                <w:noProof/>
                <w:webHidden/>
              </w:rPr>
              <w:fldChar w:fldCharType="separate"/>
            </w:r>
            <w:r>
              <w:rPr>
                <w:noProof/>
                <w:webHidden/>
              </w:rPr>
              <w:t>19</w:t>
            </w:r>
            <w:r>
              <w:rPr>
                <w:noProof/>
                <w:webHidden/>
              </w:rPr>
              <w:fldChar w:fldCharType="end"/>
            </w:r>
          </w:hyperlink>
        </w:p>
        <w:p w:rsidR="00F06A8D" w:rsidRDefault="00F06A8D" w14:paraId="5FD54D0C" w14:textId="03A10F74">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69">
            <w:r w:rsidRPr="00F70ACA">
              <w:rPr>
                <w:rStyle w:val="Hyperlink"/>
                <w:rFonts w:cs="Arial"/>
                <w:noProof/>
                <w14:scene3d>
                  <w14:camera w14:prst="orthographicFront"/>
                  <w14:lightRig w14:rig="threePt" w14:dir="t">
                    <w14:rot w14:lat="0" w14:lon="0" w14:rev="0"/>
                  </w14:lightRig>
                </w14:scene3d>
              </w:rPr>
              <w:t>Chapter 3</w:t>
            </w:r>
            <w:r w:rsidRPr="00F70ACA">
              <w:rPr>
                <w:rStyle w:val="Hyperlink"/>
                <w:rFonts w:cs="Arial"/>
                <w:noProof/>
              </w:rPr>
              <w:t xml:space="preserve"> Methodology and Method</w:t>
            </w:r>
            <w:r>
              <w:rPr>
                <w:noProof/>
                <w:webHidden/>
              </w:rPr>
              <w:tab/>
            </w:r>
            <w:r>
              <w:rPr>
                <w:noProof/>
                <w:webHidden/>
              </w:rPr>
              <w:fldChar w:fldCharType="begin"/>
            </w:r>
            <w:r>
              <w:rPr>
                <w:noProof/>
                <w:webHidden/>
              </w:rPr>
              <w:instrText xml:space="preserve"> PAGEREF _Toc238028869 \h </w:instrText>
            </w:r>
            <w:r>
              <w:rPr>
                <w:noProof/>
                <w:webHidden/>
              </w:rPr>
            </w:r>
            <w:r>
              <w:rPr>
                <w:noProof/>
                <w:webHidden/>
              </w:rPr>
              <w:fldChar w:fldCharType="separate"/>
            </w:r>
            <w:r>
              <w:rPr>
                <w:noProof/>
                <w:webHidden/>
              </w:rPr>
              <w:t>21</w:t>
            </w:r>
            <w:r>
              <w:rPr>
                <w:noProof/>
                <w:webHidden/>
              </w:rPr>
              <w:fldChar w:fldCharType="end"/>
            </w:r>
          </w:hyperlink>
        </w:p>
        <w:p w:rsidR="00F06A8D" w:rsidRDefault="00F06A8D" w14:paraId="14F9B6BB" w14:textId="5C0EA5B8">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70">
            <w:r w:rsidRPr="00F70ACA">
              <w:rPr>
                <w:rStyle w:val="Hyperlink"/>
                <w:rFonts w:cs="Arial"/>
                <w:noProof/>
              </w:rPr>
              <w:t>3.1</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Introduction</w:t>
            </w:r>
            <w:r>
              <w:rPr>
                <w:noProof/>
                <w:webHidden/>
              </w:rPr>
              <w:tab/>
            </w:r>
            <w:r>
              <w:rPr>
                <w:noProof/>
                <w:webHidden/>
              </w:rPr>
              <w:fldChar w:fldCharType="begin"/>
            </w:r>
            <w:r>
              <w:rPr>
                <w:noProof/>
                <w:webHidden/>
              </w:rPr>
              <w:instrText xml:space="preserve"> PAGEREF _Toc238028870 \h </w:instrText>
            </w:r>
            <w:r>
              <w:rPr>
                <w:noProof/>
                <w:webHidden/>
              </w:rPr>
            </w:r>
            <w:r>
              <w:rPr>
                <w:noProof/>
                <w:webHidden/>
              </w:rPr>
              <w:fldChar w:fldCharType="separate"/>
            </w:r>
            <w:r>
              <w:rPr>
                <w:noProof/>
                <w:webHidden/>
              </w:rPr>
              <w:t>21</w:t>
            </w:r>
            <w:r>
              <w:rPr>
                <w:noProof/>
                <w:webHidden/>
              </w:rPr>
              <w:fldChar w:fldCharType="end"/>
            </w:r>
          </w:hyperlink>
        </w:p>
        <w:p w:rsidR="00F06A8D" w:rsidRDefault="00F06A8D" w14:paraId="4AE3D097" w14:textId="2DC116A2">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71">
            <w:r w:rsidRPr="00F70ACA">
              <w:rPr>
                <w:rStyle w:val="Hyperlink"/>
                <w:rFonts w:cs="Arial"/>
                <w:noProof/>
                <w:lang w:eastAsia="en-GB"/>
              </w:rPr>
              <w:t>3.2</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Research Design</w:t>
            </w:r>
            <w:r>
              <w:rPr>
                <w:noProof/>
                <w:webHidden/>
              </w:rPr>
              <w:tab/>
            </w:r>
            <w:r>
              <w:rPr>
                <w:noProof/>
                <w:webHidden/>
              </w:rPr>
              <w:fldChar w:fldCharType="begin"/>
            </w:r>
            <w:r>
              <w:rPr>
                <w:noProof/>
                <w:webHidden/>
              </w:rPr>
              <w:instrText xml:space="preserve"> PAGEREF _Toc238028871 \h </w:instrText>
            </w:r>
            <w:r>
              <w:rPr>
                <w:noProof/>
                <w:webHidden/>
              </w:rPr>
            </w:r>
            <w:r>
              <w:rPr>
                <w:noProof/>
                <w:webHidden/>
              </w:rPr>
              <w:fldChar w:fldCharType="separate"/>
            </w:r>
            <w:r>
              <w:rPr>
                <w:noProof/>
                <w:webHidden/>
              </w:rPr>
              <w:t>21</w:t>
            </w:r>
            <w:r>
              <w:rPr>
                <w:noProof/>
                <w:webHidden/>
              </w:rPr>
              <w:fldChar w:fldCharType="end"/>
            </w:r>
          </w:hyperlink>
        </w:p>
        <w:p w:rsidR="00F06A8D" w:rsidRDefault="00F06A8D" w14:paraId="20C61496" w14:textId="5AB88673">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72">
            <w:r w:rsidRPr="00F70ACA">
              <w:rPr>
                <w:rStyle w:val="Hyperlink"/>
                <w:rFonts w:cs="Arial"/>
                <w:noProof/>
                <w:lang w:eastAsia="en-GB"/>
              </w:rPr>
              <w:t>3.3</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Phenomenology and Interpretive Analysis</w:t>
            </w:r>
            <w:r>
              <w:rPr>
                <w:noProof/>
                <w:webHidden/>
              </w:rPr>
              <w:tab/>
            </w:r>
            <w:r>
              <w:rPr>
                <w:noProof/>
                <w:webHidden/>
              </w:rPr>
              <w:fldChar w:fldCharType="begin"/>
            </w:r>
            <w:r>
              <w:rPr>
                <w:noProof/>
                <w:webHidden/>
              </w:rPr>
              <w:instrText xml:space="preserve"> PAGEREF _Toc238028872 \h </w:instrText>
            </w:r>
            <w:r>
              <w:rPr>
                <w:noProof/>
                <w:webHidden/>
              </w:rPr>
            </w:r>
            <w:r>
              <w:rPr>
                <w:noProof/>
                <w:webHidden/>
              </w:rPr>
              <w:fldChar w:fldCharType="separate"/>
            </w:r>
            <w:r>
              <w:rPr>
                <w:noProof/>
                <w:webHidden/>
              </w:rPr>
              <w:t>22</w:t>
            </w:r>
            <w:r>
              <w:rPr>
                <w:noProof/>
                <w:webHidden/>
              </w:rPr>
              <w:fldChar w:fldCharType="end"/>
            </w:r>
          </w:hyperlink>
        </w:p>
        <w:p w:rsidR="00F06A8D" w:rsidRDefault="00F06A8D" w14:paraId="6A108F43" w14:textId="5F830D97">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73">
            <w:r w:rsidRPr="00F70ACA">
              <w:rPr>
                <w:rStyle w:val="Hyperlink"/>
                <w:rFonts w:cs="Arial"/>
                <w:noProof/>
                <w:lang w:eastAsia="en-GB"/>
              </w:rPr>
              <w:t>3.4</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Participants</w:t>
            </w:r>
            <w:r>
              <w:rPr>
                <w:noProof/>
                <w:webHidden/>
              </w:rPr>
              <w:tab/>
            </w:r>
            <w:r>
              <w:rPr>
                <w:noProof/>
                <w:webHidden/>
              </w:rPr>
              <w:fldChar w:fldCharType="begin"/>
            </w:r>
            <w:r>
              <w:rPr>
                <w:noProof/>
                <w:webHidden/>
              </w:rPr>
              <w:instrText xml:space="preserve"> PAGEREF _Toc238028873 \h </w:instrText>
            </w:r>
            <w:r>
              <w:rPr>
                <w:noProof/>
                <w:webHidden/>
              </w:rPr>
            </w:r>
            <w:r>
              <w:rPr>
                <w:noProof/>
                <w:webHidden/>
              </w:rPr>
              <w:fldChar w:fldCharType="separate"/>
            </w:r>
            <w:r>
              <w:rPr>
                <w:noProof/>
                <w:webHidden/>
              </w:rPr>
              <w:t>25</w:t>
            </w:r>
            <w:r>
              <w:rPr>
                <w:noProof/>
                <w:webHidden/>
              </w:rPr>
              <w:fldChar w:fldCharType="end"/>
            </w:r>
          </w:hyperlink>
        </w:p>
        <w:p w:rsidR="00F06A8D" w:rsidRDefault="00F06A8D" w14:paraId="1854F634" w14:textId="2EC16D06">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74">
            <w:r w:rsidRPr="00F70ACA">
              <w:rPr>
                <w:rStyle w:val="Hyperlink"/>
                <w:rFonts w:cs="Arial"/>
                <w:noProof/>
                <w:lang w:eastAsia="en-GB"/>
              </w:rPr>
              <w:t>3.5</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Data Collection</w:t>
            </w:r>
            <w:r>
              <w:rPr>
                <w:noProof/>
                <w:webHidden/>
              </w:rPr>
              <w:tab/>
            </w:r>
            <w:r>
              <w:rPr>
                <w:noProof/>
                <w:webHidden/>
              </w:rPr>
              <w:fldChar w:fldCharType="begin"/>
            </w:r>
            <w:r>
              <w:rPr>
                <w:noProof/>
                <w:webHidden/>
              </w:rPr>
              <w:instrText xml:space="preserve"> PAGEREF _Toc238028874 \h </w:instrText>
            </w:r>
            <w:r>
              <w:rPr>
                <w:noProof/>
                <w:webHidden/>
              </w:rPr>
            </w:r>
            <w:r>
              <w:rPr>
                <w:noProof/>
                <w:webHidden/>
              </w:rPr>
              <w:fldChar w:fldCharType="separate"/>
            </w:r>
            <w:r>
              <w:rPr>
                <w:noProof/>
                <w:webHidden/>
              </w:rPr>
              <w:t>26</w:t>
            </w:r>
            <w:r>
              <w:rPr>
                <w:noProof/>
                <w:webHidden/>
              </w:rPr>
              <w:fldChar w:fldCharType="end"/>
            </w:r>
          </w:hyperlink>
        </w:p>
        <w:p w:rsidR="00F06A8D" w:rsidRDefault="00F06A8D" w14:paraId="0E75DBD8" w14:textId="4EB33432">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75">
            <w:r w:rsidRPr="00F70ACA">
              <w:rPr>
                <w:rStyle w:val="Hyperlink"/>
                <w:rFonts w:cs="Arial"/>
                <w:noProof/>
                <w:lang w:eastAsia="en-GB"/>
              </w:rPr>
              <w:t>3.5.1</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lang w:eastAsia="en-GB"/>
              </w:rPr>
              <w:t>Sub Semi-Structured Interviews</w:t>
            </w:r>
            <w:r>
              <w:rPr>
                <w:noProof/>
                <w:webHidden/>
              </w:rPr>
              <w:tab/>
            </w:r>
            <w:r>
              <w:rPr>
                <w:noProof/>
                <w:webHidden/>
              </w:rPr>
              <w:fldChar w:fldCharType="begin"/>
            </w:r>
            <w:r>
              <w:rPr>
                <w:noProof/>
                <w:webHidden/>
              </w:rPr>
              <w:instrText xml:space="preserve"> PAGEREF _Toc238028875 \h </w:instrText>
            </w:r>
            <w:r>
              <w:rPr>
                <w:noProof/>
                <w:webHidden/>
              </w:rPr>
            </w:r>
            <w:r>
              <w:rPr>
                <w:noProof/>
                <w:webHidden/>
              </w:rPr>
              <w:fldChar w:fldCharType="separate"/>
            </w:r>
            <w:r>
              <w:rPr>
                <w:noProof/>
                <w:webHidden/>
              </w:rPr>
              <w:t>26</w:t>
            </w:r>
            <w:r>
              <w:rPr>
                <w:noProof/>
                <w:webHidden/>
              </w:rPr>
              <w:fldChar w:fldCharType="end"/>
            </w:r>
          </w:hyperlink>
        </w:p>
        <w:p w:rsidR="00F06A8D" w:rsidRDefault="00F06A8D" w14:paraId="5A7FB4B9" w14:textId="5CC0AB34">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76">
            <w:r w:rsidRPr="00F70ACA">
              <w:rPr>
                <w:rStyle w:val="Hyperlink"/>
                <w:rFonts w:cs="Arial"/>
                <w:noProof/>
                <w:lang w:eastAsia="en-GB"/>
              </w:rPr>
              <w:t>3.6</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Data Analysis</w:t>
            </w:r>
            <w:r>
              <w:rPr>
                <w:noProof/>
                <w:webHidden/>
              </w:rPr>
              <w:tab/>
            </w:r>
            <w:r>
              <w:rPr>
                <w:noProof/>
                <w:webHidden/>
              </w:rPr>
              <w:fldChar w:fldCharType="begin"/>
            </w:r>
            <w:r>
              <w:rPr>
                <w:noProof/>
                <w:webHidden/>
              </w:rPr>
              <w:instrText xml:space="preserve"> PAGEREF _Toc238028876 \h </w:instrText>
            </w:r>
            <w:r>
              <w:rPr>
                <w:noProof/>
                <w:webHidden/>
              </w:rPr>
            </w:r>
            <w:r>
              <w:rPr>
                <w:noProof/>
                <w:webHidden/>
              </w:rPr>
              <w:fldChar w:fldCharType="separate"/>
            </w:r>
            <w:r>
              <w:rPr>
                <w:noProof/>
                <w:webHidden/>
              </w:rPr>
              <w:t>28</w:t>
            </w:r>
            <w:r>
              <w:rPr>
                <w:noProof/>
                <w:webHidden/>
              </w:rPr>
              <w:fldChar w:fldCharType="end"/>
            </w:r>
          </w:hyperlink>
        </w:p>
        <w:p w:rsidR="00F06A8D" w:rsidRDefault="00F06A8D" w14:paraId="70451371" w14:textId="2A9C568D">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77">
            <w:r w:rsidRPr="00F70ACA">
              <w:rPr>
                <w:rStyle w:val="Hyperlink"/>
                <w:rFonts w:cs="Arial"/>
                <w:noProof/>
                <w:lang w:eastAsia="en-GB"/>
              </w:rPr>
              <w:t>3.7</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Ethical Considerations</w:t>
            </w:r>
            <w:r>
              <w:rPr>
                <w:noProof/>
                <w:webHidden/>
              </w:rPr>
              <w:tab/>
            </w:r>
            <w:r>
              <w:rPr>
                <w:noProof/>
                <w:webHidden/>
              </w:rPr>
              <w:fldChar w:fldCharType="begin"/>
            </w:r>
            <w:r>
              <w:rPr>
                <w:noProof/>
                <w:webHidden/>
              </w:rPr>
              <w:instrText xml:space="preserve"> PAGEREF _Toc238028877 \h </w:instrText>
            </w:r>
            <w:r>
              <w:rPr>
                <w:noProof/>
                <w:webHidden/>
              </w:rPr>
            </w:r>
            <w:r>
              <w:rPr>
                <w:noProof/>
                <w:webHidden/>
              </w:rPr>
              <w:fldChar w:fldCharType="separate"/>
            </w:r>
            <w:r>
              <w:rPr>
                <w:noProof/>
                <w:webHidden/>
              </w:rPr>
              <w:t>30</w:t>
            </w:r>
            <w:r>
              <w:rPr>
                <w:noProof/>
                <w:webHidden/>
              </w:rPr>
              <w:fldChar w:fldCharType="end"/>
            </w:r>
          </w:hyperlink>
        </w:p>
        <w:p w:rsidR="00F06A8D" w:rsidRDefault="00F06A8D" w14:paraId="2507C805" w14:textId="0BF26BF8">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78">
            <w:r w:rsidRPr="00F70ACA">
              <w:rPr>
                <w:rStyle w:val="Hyperlink"/>
                <w:rFonts w:cs="Arial"/>
                <w:noProof/>
                <w:lang w:eastAsia="en-GB"/>
              </w:rPr>
              <w:t>3.8</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Pilot Interview</w:t>
            </w:r>
            <w:r>
              <w:rPr>
                <w:noProof/>
                <w:webHidden/>
              </w:rPr>
              <w:tab/>
            </w:r>
            <w:r>
              <w:rPr>
                <w:noProof/>
                <w:webHidden/>
              </w:rPr>
              <w:fldChar w:fldCharType="begin"/>
            </w:r>
            <w:r>
              <w:rPr>
                <w:noProof/>
                <w:webHidden/>
              </w:rPr>
              <w:instrText xml:space="preserve"> PAGEREF _Toc238028878 \h </w:instrText>
            </w:r>
            <w:r>
              <w:rPr>
                <w:noProof/>
                <w:webHidden/>
              </w:rPr>
            </w:r>
            <w:r>
              <w:rPr>
                <w:noProof/>
                <w:webHidden/>
              </w:rPr>
              <w:fldChar w:fldCharType="separate"/>
            </w:r>
            <w:r>
              <w:rPr>
                <w:noProof/>
                <w:webHidden/>
              </w:rPr>
              <w:t>30</w:t>
            </w:r>
            <w:r>
              <w:rPr>
                <w:noProof/>
                <w:webHidden/>
              </w:rPr>
              <w:fldChar w:fldCharType="end"/>
            </w:r>
          </w:hyperlink>
        </w:p>
        <w:p w:rsidR="00F06A8D" w:rsidRDefault="00F06A8D" w14:paraId="369125EF" w14:textId="159919BA">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79">
            <w:r w:rsidRPr="00F70ACA">
              <w:rPr>
                <w:rStyle w:val="Hyperlink"/>
                <w:rFonts w:cs="Arial"/>
                <w:noProof/>
                <w:lang w:eastAsia="en-GB"/>
              </w:rPr>
              <w:t>3.9</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Informed Consent</w:t>
            </w:r>
            <w:r>
              <w:rPr>
                <w:noProof/>
                <w:webHidden/>
              </w:rPr>
              <w:tab/>
            </w:r>
            <w:r>
              <w:rPr>
                <w:noProof/>
                <w:webHidden/>
              </w:rPr>
              <w:fldChar w:fldCharType="begin"/>
            </w:r>
            <w:r>
              <w:rPr>
                <w:noProof/>
                <w:webHidden/>
              </w:rPr>
              <w:instrText xml:space="preserve"> PAGEREF _Toc238028879 \h </w:instrText>
            </w:r>
            <w:r>
              <w:rPr>
                <w:noProof/>
                <w:webHidden/>
              </w:rPr>
            </w:r>
            <w:r>
              <w:rPr>
                <w:noProof/>
                <w:webHidden/>
              </w:rPr>
              <w:fldChar w:fldCharType="separate"/>
            </w:r>
            <w:r>
              <w:rPr>
                <w:noProof/>
                <w:webHidden/>
              </w:rPr>
              <w:t>31</w:t>
            </w:r>
            <w:r>
              <w:rPr>
                <w:noProof/>
                <w:webHidden/>
              </w:rPr>
              <w:fldChar w:fldCharType="end"/>
            </w:r>
          </w:hyperlink>
        </w:p>
        <w:p w:rsidR="00F06A8D" w:rsidRDefault="00F06A8D" w14:paraId="79690B8D" w14:textId="23CE9472">
          <w:pPr>
            <w:pStyle w:val="TOC2"/>
            <w:tabs>
              <w:tab w:val="left" w:pos="120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80">
            <w:r w:rsidRPr="00F70ACA">
              <w:rPr>
                <w:rStyle w:val="Hyperlink"/>
                <w:rFonts w:cs="Arial"/>
                <w:noProof/>
                <w:lang w:eastAsia="en-GB"/>
              </w:rPr>
              <w:t>3.10</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Managing Emotional Risk</w:t>
            </w:r>
            <w:r>
              <w:rPr>
                <w:noProof/>
                <w:webHidden/>
              </w:rPr>
              <w:tab/>
            </w:r>
            <w:r>
              <w:rPr>
                <w:noProof/>
                <w:webHidden/>
              </w:rPr>
              <w:fldChar w:fldCharType="begin"/>
            </w:r>
            <w:r>
              <w:rPr>
                <w:noProof/>
                <w:webHidden/>
              </w:rPr>
              <w:instrText xml:space="preserve"> PAGEREF _Toc238028880 \h </w:instrText>
            </w:r>
            <w:r>
              <w:rPr>
                <w:noProof/>
                <w:webHidden/>
              </w:rPr>
            </w:r>
            <w:r>
              <w:rPr>
                <w:noProof/>
                <w:webHidden/>
              </w:rPr>
              <w:fldChar w:fldCharType="separate"/>
            </w:r>
            <w:r>
              <w:rPr>
                <w:noProof/>
                <w:webHidden/>
              </w:rPr>
              <w:t>31</w:t>
            </w:r>
            <w:r>
              <w:rPr>
                <w:noProof/>
                <w:webHidden/>
              </w:rPr>
              <w:fldChar w:fldCharType="end"/>
            </w:r>
          </w:hyperlink>
        </w:p>
        <w:p w:rsidR="00F06A8D" w:rsidRDefault="00F06A8D" w14:paraId="4DED163C" w14:textId="6F547F68">
          <w:pPr>
            <w:pStyle w:val="TOC2"/>
            <w:tabs>
              <w:tab w:val="left" w:pos="120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81">
            <w:r w:rsidRPr="00F70ACA">
              <w:rPr>
                <w:rStyle w:val="Hyperlink"/>
                <w:rFonts w:cs="Arial"/>
                <w:noProof/>
                <w:lang w:eastAsia="en-GB"/>
              </w:rPr>
              <w:t>3.11</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Confidentiality and Anonymity</w:t>
            </w:r>
            <w:r>
              <w:rPr>
                <w:noProof/>
                <w:webHidden/>
              </w:rPr>
              <w:tab/>
            </w:r>
            <w:r>
              <w:rPr>
                <w:noProof/>
                <w:webHidden/>
              </w:rPr>
              <w:fldChar w:fldCharType="begin"/>
            </w:r>
            <w:r>
              <w:rPr>
                <w:noProof/>
                <w:webHidden/>
              </w:rPr>
              <w:instrText xml:space="preserve"> PAGEREF _Toc238028881 \h </w:instrText>
            </w:r>
            <w:r>
              <w:rPr>
                <w:noProof/>
                <w:webHidden/>
              </w:rPr>
            </w:r>
            <w:r>
              <w:rPr>
                <w:noProof/>
                <w:webHidden/>
              </w:rPr>
              <w:fldChar w:fldCharType="separate"/>
            </w:r>
            <w:r>
              <w:rPr>
                <w:noProof/>
                <w:webHidden/>
              </w:rPr>
              <w:t>32</w:t>
            </w:r>
            <w:r>
              <w:rPr>
                <w:noProof/>
                <w:webHidden/>
              </w:rPr>
              <w:fldChar w:fldCharType="end"/>
            </w:r>
          </w:hyperlink>
        </w:p>
        <w:p w:rsidR="00F06A8D" w:rsidRDefault="00F06A8D" w14:paraId="1B7AD8EF" w14:textId="3FA7E377">
          <w:pPr>
            <w:pStyle w:val="TOC2"/>
            <w:tabs>
              <w:tab w:val="left" w:pos="120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82">
            <w:r w:rsidRPr="00F70ACA">
              <w:rPr>
                <w:rStyle w:val="Hyperlink"/>
                <w:rFonts w:cs="Arial"/>
                <w:noProof/>
                <w:lang w:eastAsia="en-GB"/>
              </w:rPr>
              <w:t>3.12</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Power, Representation, and Voice</w:t>
            </w:r>
            <w:r>
              <w:rPr>
                <w:noProof/>
                <w:webHidden/>
              </w:rPr>
              <w:tab/>
            </w:r>
            <w:r>
              <w:rPr>
                <w:noProof/>
                <w:webHidden/>
              </w:rPr>
              <w:fldChar w:fldCharType="begin"/>
            </w:r>
            <w:r>
              <w:rPr>
                <w:noProof/>
                <w:webHidden/>
              </w:rPr>
              <w:instrText xml:space="preserve"> PAGEREF _Toc238028882 \h </w:instrText>
            </w:r>
            <w:r>
              <w:rPr>
                <w:noProof/>
                <w:webHidden/>
              </w:rPr>
            </w:r>
            <w:r>
              <w:rPr>
                <w:noProof/>
                <w:webHidden/>
              </w:rPr>
              <w:fldChar w:fldCharType="separate"/>
            </w:r>
            <w:r>
              <w:rPr>
                <w:noProof/>
                <w:webHidden/>
              </w:rPr>
              <w:t>32</w:t>
            </w:r>
            <w:r>
              <w:rPr>
                <w:noProof/>
                <w:webHidden/>
              </w:rPr>
              <w:fldChar w:fldCharType="end"/>
            </w:r>
          </w:hyperlink>
        </w:p>
        <w:p w:rsidR="00F06A8D" w:rsidRDefault="00F06A8D" w14:paraId="52E11A32" w14:textId="4D9FF1D3">
          <w:pPr>
            <w:pStyle w:val="TOC2"/>
            <w:tabs>
              <w:tab w:val="left" w:pos="120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83">
            <w:r w:rsidRPr="00F70ACA">
              <w:rPr>
                <w:rStyle w:val="Hyperlink"/>
                <w:rFonts w:cs="Arial"/>
                <w:noProof/>
                <w:lang w:eastAsia="en-GB"/>
              </w:rPr>
              <w:t>3.13</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lang w:eastAsia="en-GB"/>
              </w:rPr>
              <w:t>Researcher Positionality</w:t>
            </w:r>
            <w:r>
              <w:rPr>
                <w:noProof/>
                <w:webHidden/>
              </w:rPr>
              <w:tab/>
            </w:r>
            <w:r>
              <w:rPr>
                <w:noProof/>
                <w:webHidden/>
              </w:rPr>
              <w:fldChar w:fldCharType="begin"/>
            </w:r>
            <w:r>
              <w:rPr>
                <w:noProof/>
                <w:webHidden/>
              </w:rPr>
              <w:instrText xml:space="preserve"> PAGEREF _Toc238028883 \h </w:instrText>
            </w:r>
            <w:r>
              <w:rPr>
                <w:noProof/>
                <w:webHidden/>
              </w:rPr>
            </w:r>
            <w:r>
              <w:rPr>
                <w:noProof/>
                <w:webHidden/>
              </w:rPr>
              <w:fldChar w:fldCharType="separate"/>
            </w:r>
            <w:r>
              <w:rPr>
                <w:noProof/>
                <w:webHidden/>
              </w:rPr>
              <w:t>32</w:t>
            </w:r>
            <w:r>
              <w:rPr>
                <w:noProof/>
                <w:webHidden/>
              </w:rPr>
              <w:fldChar w:fldCharType="end"/>
            </w:r>
          </w:hyperlink>
        </w:p>
        <w:p w:rsidR="00F06A8D" w:rsidRDefault="00F06A8D" w14:paraId="20B6D40C" w14:textId="68ACFA8F">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84">
            <w:r w:rsidRPr="00F70ACA">
              <w:rPr>
                <w:rStyle w:val="Hyperlink"/>
                <w:rFonts w:cs="Arial"/>
                <w:noProof/>
                <w14:scene3d>
                  <w14:camera w14:prst="orthographicFront"/>
                  <w14:lightRig w14:rig="threePt" w14:dir="t">
                    <w14:rot w14:lat="0" w14:lon="0" w14:rev="0"/>
                  </w14:lightRig>
                </w14:scene3d>
              </w:rPr>
              <w:t>Chapter 4</w:t>
            </w:r>
            <w:r w:rsidRPr="00F70ACA">
              <w:rPr>
                <w:rStyle w:val="Hyperlink"/>
                <w:rFonts w:cs="Arial"/>
                <w:noProof/>
              </w:rPr>
              <w:t xml:space="preserve"> Findings</w:t>
            </w:r>
            <w:r>
              <w:rPr>
                <w:noProof/>
                <w:webHidden/>
              </w:rPr>
              <w:tab/>
            </w:r>
            <w:r>
              <w:rPr>
                <w:noProof/>
                <w:webHidden/>
              </w:rPr>
              <w:fldChar w:fldCharType="begin"/>
            </w:r>
            <w:r>
              <w:rPr>
                <w:noProof/>
                <w:webHidden/>
              </w:rPr>
              <w:instrText xml:space="preserve"> PAGEREF _Toc238028884 \h </w:instrText>
            </w:r>
            <w:r>
              <w:rPr>
                <w:noProof/>
                <w:webHidden/>
              </w:rPr>
            </w:r>
            <w:r>
              <w:rPr>
                <w:noProof/>
                <w:webHidden/>
              </w:rPr>
              <w:fldChar w:fldCharType="separate"/>
            </w:r>
            <w:r>
              <w:rPr>
                <w:noProof/>
                <w:webHidden/>
              </w:rPr>
              <w:t>34</w:t>
            </w:r>
            <w:r>
              <w:rPr>
                <w:noProof/>
                <w:webHidden/>
              </w:rPr>
              <w:fldChar w:fldCharType="end"/>
            </w:r>
          </w:hyperlink>
        </w:p>
        <w:p w:rsidR="00F06A8D" w:rsidRDefault="00F06A8D" w14:paraId="20F188B5" w14:textId="79993463">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85">
            <w:r w:rsidRPr="00F70ACA">
              <w:rPr>
                <w:rStyle w:val="Hyperlink"/>
                <w:rFonts w:cs="Arial"/>
                <w:noProof/>
              </w:rPr>
              <w:t>4.1</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Introduction</w:t>
            </w:r>
            <w:r>
              <w:rPr>
                <w:noProof/>
                <w:webHidden/>
              </w:rPr>
              <w:tab/>
            </w:r>
            <w:r>
              <w:rPr>
                <w:noProof/>
                <w:webHidden/>
              </w:rPr>
              <w:fldChar w:fldCharType="begin"/>
            </w:r>
            <w:r>
              <w:rPr>
                <w:noProof/>
                <w:webHidden/>
              </w:rPr>
              <w:instrText xml:space="preserve"> PAGEREF _Toc238028885 \h </w:instrText>
            </w:r>
            <w:r>
              <w:rPr>
                <w:noProof/>
                <w:webHidden/>
              </w:rPr>
            </w:r>
            <w:r>
              <w:rPr>
                <w:noProof/>
                <w:webHidden/>
              </w:rPr>
              <w:fldChar w:fldCharType="separate"/>
            </w:r>
            <w:r>
              <w:rPr>
                <w:noProof/>
                <w:webHidden/>
              </w:rPr>
              <w:t>34</w:t>
            </w:r>
            <w:r>
              <w:rPr>
                <w:noProof/>
                <w:webHidden/>
              </w:rPr>
              <w:fldChar w:fldCharType="end"/>
            </w:r>
          </w:hyperlink>
        </w:p>
        <w:p w:rsidR="00F06A8D" w:rsidRDefault="00F06A8D" w14:paraId="6D165201" w14:textId="72C7E1A6">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86">
            <w:r w:rsidRPr="00F70ACA">
              <w:rPr>
                <w:rStyle w:val="Hyperlink"/>
                <w:rFonts w:cs="Arial"/>
                <w:noProof/>
              </w:rPr>
              <w:t>4.2</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One: Living with Lifelong Uncertainty</w:t>
            </w:r>
            <w:r>
              <w:rPr>
                <w:noProof/>
                <w:webHidden/>
              </w:rPr>
              <w:tab/>
            </w:r>
            <w:r>
              <w:rPr>
                <w:noProof/>
                <w:webHidden/>
              </w:rPr>
              <w:fldChar w:fldCharType="begin"/>
            </w:r>
            <w:r>
              <w:rPr>
                <w:noProof/>
                <w:webHidden/>
              </w:rPr>
              <w:instrText xml:space="preserve"> PAGEREF _Toc238028886 \h </w:instrText>
            </w:r>
            <w:r>
              <w:rPr>
                <w:noProof/>
                <w:webHidden/>
              </w:rPr>
            </w:r>
            <w:r>
              <w:rPr>
                <w:noProof/>
                <w:webHidden/>
              </w:rPr>
              <w:fldChar w:fldCharType="separate"/>
            </w:r>
            <w:r>
              <w:rPr>
                <w:noProof/>
                <w:webHidden/>
              </w:rPr>
              <w:t>36</w:t>
            </w:r>
            <w:r>
              <w:rPr>
                <w:noProof/>
                <w:webHidden/>
              </w:rPr>
              <w:fldChar w:fldCharType="end"/>
            </w:r>
          </w:hyperlink>
        </w:p>
        <w:p w:rsidR="00F06A8D" w:rsidRDefault="00F06A8D" w14:paraId="0C54F0CB" w14:textId="253B010B">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87">
            <w:r w:rsidRPr="00F70ACA">
              <w:rPr>
                <w:rStyle w:val="Hyperlink"/>
                <w:noProof/>
              </w:rPr>
              <w:t>4.2.1</w:t>
            </w:r>
            <w:r>
              <w:rPr>
                <w:rFonts w:asciiTheme="minorHAnsi" w:hAnsiTheme="minorHAnsi" w:cstheme="minorBidi"/>
                <w:bCs w:val="0"/>
                <w:noProof/>
                <w:kern w:val="2"/>
                <w:sz w:val="24"/>
                <w:szCs w:val="24"/>
                <w:lang w:val="en-GB" w:eastAsia="en-GB"/>
                <w14:ligatures w14:val="standardContextual"/>
              </w:rPr>
              <w:tab/>
            </w:r>
            <w:r w:rsidRPr="00F70ACA">
              <w:rPr>
                <w:rStyle w:val="Hyperlink"/>
                <w:noProof/>
              </w:rPr>
              <w:t>Theme One Summary</w:t>
            </w:r>
            <w:r>
              <w:rPr>
                <w:noProof/>
                <w:webHidden/>
              </w:rPr>
              <w:tab/>
            </w:r>
            <w:r>
              <w:rPr>
                <w:noProof/>
                <w:webHidden/>
              </w:rPr>
              <w:fldChar w:fldCharType="begin"/>
            </w:r>
            <w:r>
              <w:rPr>
                <w:noProof/>
                <w:webHidden/>
              </w:rPr>
              <w:instrText xml:space="preserve"> PAGEREF _Toc238028887 \h </w:instrText>
            </w:r>
            <w:r>
              <w:rPr>
                <w:noProof/>
                <w:webHidden/>
              </w:rPr>
            </w:r>
            <w:r>
              <w:rPr>
                <w:noProof/>
                <w:webHidden/>
              </w:rPr>
              <w:fldChar w:fldCharType="separate"/>
            </w:r>
            <w:r>
              <w:rPr>
                <w:noProof/>
                <w:webHidden/>
              </w:rPr>
              <w:t>36</w:t>
            </w:r>
            <w:r>
              <w:rPr>
                <w:noProof/>
                <w:webHidden/>
              </w:rPr>
              <w:fldChar w:fldCharType="end"/>
            </w:r>
          </w:hyperlink>
        </w:p>
        <w:p w:rsidR="00F06A8D" w:rsidRDefault="00F06A8D" w14:paraId="31A65C1C" w14:textId="1D64F18F">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88">
            <w:r w:rsidRPr="00F70ACA">
              <w:rPr>
                <w:rStyle w:val="Hyperlink"/>
                <w:rFonts w:cs="Arial"/>
                <w:noProof/>
              </w:rPr>
              <w:t>4.3</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Two: Making Sense of Knowing</w:t>
            </w:r>
            <w:r>
              <w:rPr>
                <w:noProof/>
                <w:webHidden/>
              </w:rPr>
              <w:tab/>
            </w:r>
            <w:r>
              <w:rPr>
                <w:noProof/>
                <w:webHidden/>
              </w:rPr>
              <w:fldChar w:fldCharType="begin"/>
            </w:r>
            <w:r>
              <w:rPr>
                <w:noProof/>
                <w:webHidden/>
              </w:rPr>
              <w:instrText xml:space="preserve"> PAGEREF _Toc238028888 \h </w:instrText>
            </w:r>
            <w:r>
              <w:rPr>
                <w:noProof/>
                <w:webHidden/>
              </w:rPr>
            </w:r>
            <w:r>
              <w:rPr>
                <w:noProof/>
                <w:webHidden/>
              </w:rPr>
              <w:fldChar w:fldCharType="separate"/>
            </w:r>
            <w:r>
              <w:rPr>
                <w:noProof/>
                <w:webHidden/>
              </w:rPr>
              <w:t>37</w:t>
            </w:r>
            <w:r>
              <w:rPr>
                <w:noProof/>
                <w:webHidden/>
              </w:rPr>
              <w:fldChar w:fldCharType="end"/>
            </w:r>
          </w:hyperlink>
        </w:p>
        <w:p w:rsidR="00F06A8D" w:rsidRDefault="00F06A8D" w14:paraId="56287922" w14:textId="7297063F">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89">
            <w:r w:rsidRPr="00F70ACA">
              <w:rPr>
                <w:rStyle w:val="Hyperlink"/>
                <w:rFonts w:cs="Arial"/>
                <w:noProof/>
              </w:rPr>
              <w:t>4.3.1</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When the Result Became Real</w:t>
            </w:r>
            <w:r>
              <w:rPr>
                <w:noProof/>
                <w:webHidden/>
              </w:rPr>
              <w:tab/>
            </w:r>
            <w:r>
              <w:rPr>
                <w:noProof/>
                <w:webHidden/>
              </w:rPr>
              <w:fldChar w:fldCharType="begin"/>
            </w:r>
            <w:r>
              <w:rPr>
                <w:noProof/>
                <w:webHidden/>
              </w:rPr>
              <w:instrText xml:space="preserve"> PAGEREF _Toc238028889 \h </w:instrText>
            </w:r>
            <w:r>
              <w:rPr>
                <w:noProof/>
                <w:webHidden/>
              </w:rPr>
            </w:r>
            <w:r>
              <w:rPr>
                <w:noProof/>
                <w:webHidden/>
              </w:rPr>
              <w:fldChar w:fldCharType="separate"/>
            </w:r>
            <w:r>
              <w:rPr>
                <w:noProof/>
                <w:webHidden/>
              </w:rPr>
              <w:t>37</w:t>
            </w:r>
            <w:r>
              <w:rPr>
                <w:noProof/>
                <w:webHidden/>
              </w:rPr>
              <w:fldChar w:fldCharType="end"/>
            </w:r>
          </w:hyperlink>
        </w:p>
        <w:p w:rsidR="00F06A8D" w:rsidRDefault="00F06A8D" w14:paraId="69BBFAD2" w14:textId="383B8FE6">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90">
            <w:r w:rsidRPr="00F70ACA">
              <w:rPr>
                <w:rStyle w:val="Hyperlink"/>
                <w:rFonts w:cs="Arial"/>
                <w:noProof/>
              </w:rPr>
              <w:t>4.3.2</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Reconstructing Identity</w:t>
            </w:r>
            <w:r>
              <w:rPr>
                <w:noProof/>
                <w:webHidden/>
              </w:rPr>
              <w:tab/>
            </w:r>
            <w:r>
              <w:rPr>
                <w:noProof/>
                <w:webHidden/>
              </w:rPr>
              <w:fldChar w:fldCharType="begin"/>
            </w:r>
            <w:r>
              <w:rPr>
                <w:noProof/>
                <w:webHidden/>
              </w:rPr>
              <w:instrText xml:space="preserve"> PAGEREF _Toc238028890 \h </w:instrText>
            </w:r>
            <w:r>
              <w:rPr>
                <w:noProof/>
                <w:webHidden/>
              </w:rPr>
            </w:r>
            <w:r>
              <w:rPr>
                <w:noProof/>
                <w:webHidden/>
              </w:rPr>
              <w:fldChar w:fldCharType="separate"/>
            </w:r>
            <w:r>
              <w:rPr>
                <w:noProof/>
                <w:webHidden/>
              </w:rPr>
              <w:t>41</w:t>
            </w:r>
            <w:r>
              <w:rPr>
                <w:noProof/>
                <w:webHidden/>
              </w:rPr>
              <w:fldChar w:fldCharType="end"/>
            </w:r>
          </w:hyperlink>
        </w:p>
        <w:p w:rsidR="00F06A8D" w:rsidRDefault="00F06A8D" w14:paraId="6B923296" w14:textId="4EA36B27">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91">
            <w:r w:rsidRPr="00F70ACA">
              <w:rPr>
                <w:rStyle w:val="Hyperlink"/>
                <w:rFonts w:cs="Arial"/>
                <w:noProof/>
              </w:rPr>
              <w:t>4.3.3</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Making Meaning Over Time</w:t>
            </w:r>
            <w:r>
              <w:rPr>
                <w:noProof/>
                <w:webHidden/>
              </w:rPr>
              <w:tab/>
            </w:r>
            <w:r>
              <w:rPr>
                <w:noProof/>
                <w:webHidden/>
              </w:rPr>
              <w:fldChar w:fldCharType="begin"/>
            </w:r>
            <w:r>
              <w:rPr>
                <w:noProof/>
                <w:webHidden/>
              </w:rPr>
              <w:instrText xml:space="preserve"> PAGEREF _Toc238028891 \h </w:instrText>
            </w:r>
            <w:r>
              <w:rPr>
                <w:noProof/>
                <w:webHidden/>
              </w:rPr>
            </w:r>
            <w:r>
              <w:rPr>
                <w:noProof/>
                <w:webHidden/>
              </w:rPr>
              <w:fldChar w:fldCharType="separate"/>
            </w:r>
            <w:r>
              <w:rPr>
                <w:noProof/>
                <w:webHidden/>
              </w:rPr>
              <w:t>44</w:t>
            </w:r>
            <w:r>
              <w:rPr>
                <w:noProof/>
                <w:webHidden/>
              </w:rPr>
              <w:fldChar w:fldCharType="end"/>
            </w:r>
          </w:hyperlink>
        </w:p>
        <w:p w:rsidR="00F06A8D" w:rsidRDefault="00F06A8D" w14:paraId="62AB9EB3" w14:textId="6FE83307">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92">
            <w:r w:rsidRPr="00F70ACA">
              <w:rPr>
                <w:rStyle w:val="Hyperlink"/>
                <w:rFonts w:cs="Arial"/>
                <w:noProof/>
              </w:rPr>
              <w:t>4.3.4</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Theme Two  Summary</w:t>
            </w:r>
            <w:r>
              <w:rPr>
                <w:noProof/>
                <w:webHidden/>
              </w:rPr>
              <w:tab/>
            </w:r>
            <w:r>
              <w:rPr>
                <w:noProof/>
                <w:webHidden/>
              </w:rPr>
              <w:fldChar w:fldCharType="begin"/>
            </w:r>
            <w:r>
              <w:rPr>
                <w:noProof/>
                <w:webHidden/>
              </w:rPr>
              <w:instrText xml:space="preserve"> PAGEREF _Toc238028892 \h </w:instrText>
            </w:r>
            <w:r>
              <w:rPr>
                <w:noProof/>
                <w:webHidden/>
              </w:rPr>
            </w:r>
            <w:r>
              <w:rPr>
                <w:noProof/>
                <w:webHidden/>
              </w:rPr>
              <w:fldChar w:fldCharType="separate"/>
            </w:r>
            <w:r>
              <w:rPr>
                <w:noProof/>
                <w:webHidden/>
              </w:rPr>
              <w:t>48</w:t>
            </w:r>
            <w:r>
              <w:rPr>
                <w:noProof/>
                <w:webHidden/>
              </w:rPr>
              <w:fldChar w:fldCharType="end"/>
            </w:r>
          </w:hyperlink>
        </w:p>
        <w:p w:rsidR="00F06A8D" w:rsidRDefault="00F06A8D" w14:paraId="6CF41CC1" w14:textId="5926049F">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93">
            <w:r w:rsidRPr="00F70ACA">
              <w:rPr>
                <w:rStyle w:val="Hyperlink"/>
                <w:rFonts w:cs="Arial"/>
                <w:noProof/>
              </w:rPr>
              <w:t>4.4</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Three: The Relational Experience of Predictive Genetic Testing</w:t>
            </w:r>
            <w:r>
              <w:rPr>
                <w:noProof/>
                <w:webHidden/>
              </w:rPr>
              <w:tab/>
            </w:r>
            <w:r>
              <w:rPr>
                <w:noProof/>
                <w:webHidden/>
              </w:rPr>
              <w:fldChar w:fldCharType="begin"/>
            </w:r>
            <w:r>
              <w:rPr>
                <w:noProof/>
                <w:webHidden/>
              </w:rPr>
              <w:instrText xml:space="preserve"> PAGEREF _Toc238028893 \h </w:instrText>
            </w:r>
            <w:r>
              <w:rPr>
                <w:noProof/>
                <w:webHidden/>
              </w:rPr>
            </w:r>
            <w:r>
              <w:rPr>
                <w:noProof/>
                <w:webHidden/>
              </w:rPr>
              <w:fldChar w:fldCharType="separate"/>
            </w:r>
            <w:r>
              <w:rPr>
                <w:noProof/>
                <w:webHidden/>
              </w:rPr>
              <w:t>48</w:t>
            </w:r>
            <w:r>
              <w:rPr>
                <w:noProof/>
                <w:webHidden/>
              </w:rPr>
              <w:fldChar w:fldCharType="end"/>
            </w:r>
          </w:hyperlink>
        </w:p>
        <w:p w:rsidR="00F06A8D" w:rsidRDefault="00F06A8D" w14:paraId="6C000F3F" w14:textId="75A6FA77">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94">
            <w:r w:rsidRPr="00F70ACA">
              <w:rPr>
                <w:rStyle w:val="Hyperlink"/>
                <w:rFonts w:cs="Arial"/>
                <w:noProof/>
              </w:rPr>
              <w:t>4.4.1</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Protecting Loved Ones</w:t>
            </w:r>
            <w:r>
              <w:rPr>
                <w:noProof/>
                <w:webHidden/>
              </w:rPr>
              <w:tab/>
            </w:r>
            <w:r>
              <w:rPr>
                <w:noProof/>
                <w:webHidden/>
              </w:rPr>
              <w:fldChar w:fldCharType="begin"/>
            </w:r>
            <w:r>
              <w:rPr>
                <w:noProof/>
                <w:webHidden/>
              </w:rPr>
              <w:instrText xml:space="preserve"> PAGEREF _Toc238028894 \h </w:instrText>
            </w:r>
            <w:r>
              <w:rPr>
                <w:noProof/>
                <w:webHidden/>
              </w:rPr>
            </w:r>
            <w:r>
              <w:rPr>
                <w:noProof/>
                <w:webHidden/>
              </w:rPr>
              <w:fldChar w:fldCharType="separate"/>
            </w:r>
            <w:r>
              <w:rPr>
                <w:noProof/>
                <w:webHidden/>
              </w:rPr>
              <w:t>48</w:t>
            </w:r>
            <w:r>
              <w:rPr>
                <w:noProof/>
                <w:webHidden/>
              </w:rPr>
              <w:fldChar w:fldCharType="end"/>
            </w:r>
          </w:hyperlink>
        </w:p>
        <w:p w:rsidR="00F06A8D" w:rsidRDefault="00F06A8D" w14:paraId="5955DCE5" w14:textId="36DFF062">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95">
            <w:r w:rsidRPr="00F70ACA">
              <w:rPr>
                <w:rStyle w:val="Hyperlink"/>
                <w:rFonts w:cs="Arial"/>
                <w:noProof/>
              </w:rPr>
              <w:t>4.4.2</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Communication, Parenting and Future Generations</w:t>
            </w:r>
            <w:r>
              <w:rPr>
                <w:noProof/>
                <w:webHidden/>
              </w:rPr>
              <w:tab/>
            </w:r>
            <w:r>
              <w:rPr>
                <w:noProof/>
                <w:webHidden/>
              </w:rPr>
              <w:fldChar w:fldCharType="begin"/>
            </w:r>
            <w:r>
              <w:rPr>
                <w:noProof/>
                <w:webHidden/>
              </w:rPr>
              <w:instrText xml:space="preserve"> PAGEREF _Toc238028895 \h </w:instrText>
            </w:r>
            <w:r>
              <w:rPr>
                <w:noProof/>
                <w:webHidden/>
              </w:rPr>
            </w:r>
            <w:r>
              <w:rPr>
                <w:noProof/>
                <w:webHidden/>
              </w:rPr>
              <w:fldChar w:fldCharType="separate"/>
            </w:r>
            <w:r>
              <w:rPr>
                <w:noProof/>
                <w:webHidden/>
              </w:rPr>
              <w:t>50</w:t>
            </w:r>
            <w:r>
              <w:rPr>
                <w:noProof/>
                <w:webHidden/>
              </w:rPr>
              <w:fldChar w:fldCharType="end"/>
            </w:r>
          </w:hyperlink>
        </w:p>
        <w:p w:rsidR="00F06A8D" w:rsidRDefault="00F06A8D" w14:paraId="4E082484" w14:textId="039A9FAF">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96">
            <w:r w:rsidRPr="00F70ACA">
              <w:rPr>
                <w:rStyle w:val="Hyperlink"/>
                <w:rFonts w:cs="Arial"/>
                <w:noProof/>
              </w:rPr>
              <w:t>4.4.3</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The Impact on Partners and Relatives</w:t>
            </w:r>
            <w:r>
              <w:rPr>
                <w:noProof/>
                <w:webHidden/>
              </w:rPr>
              <w:tab/>
            </w:r>
            <w:r>
              <w:rPr>
                <w:noProof/>
                <w:webHidden/>
              </w:rPr>
              <w:fldChar w:fldCharType="begin"/>
            </w:r>
            <w:r>
              <w:rPr>
                <w:noProof/>
                <w:webHidden/>
              </w:rPr>
              <w:instrText xml:space="preserve"> PAGEREF _Toc238028896 \h </w:instrText>
            </w:r>
            <w:r>
              <w:rPr>
                <w:noProof/>
                <w:webHidden/>
              </w:rPr>
            </w:r>
            <w:r>
              <w:rPr>
                <w:noProof/>
                <w:webHidden/>
              </w:rPr>
              <w:fldChar w:fldCharType="separate"/>
            </w:r>
            <w:r>
              <w:rPr>
                <w:noProof/>
                <w:webHidden/>
              </w:rPr>
              <w:t>52</w:t>
            </w:r>
            <w:r>
              <w:rPr>
                <w:noProof/>
                <w:webHidden/>
              </w:rPr>
              <w:fldChar w:fldCharType="end"/>
            </w:r>
          </w:hyperlink>
        </w:p>
        <w:p w:rsidR="00F06A8D" w:rsidRDefault="00F06A8D" w14:paraId="296DC84D" w14:textId="5DA90331">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97">
            <w:r w:rsidRPr="00F70ACA">
              <w:rPr>
                <w:rStyle w:val="Hyperlink"/>
                <w:rFonts w:cs="Arial"/>
                <w:noProof/>
              </w:rPr>
              <w:t>4.4.4</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Theme Three Summary</w:t>
            </w:r>
            <w:r>
              <w:rPr>
                <w:noProof/>
                <w:webHidden/>
              </w:rPr>
              <w:tab/>
            </w:r>
            <w:r>
              <w:rPr>
                <w:noProof/>
                <w:webHidden/>
              </w:rPr>
              <w:fldChar w:fldCharType="begin"/>
            </w:r>
            <w:r>
              <w:rPr>
                <w:noProof/>
                <w:webHidden/>
              </w:rPr>
              <w:instrText xml:space="preserve"> PAGEREF _Toc238028897 \h </w:instrText>
            </w:r>
            <w:r>
              <w:rPr>
                <w:noProof/>
                <w:webHidden/>
              </w:rPr>
            </w:r>
            <w:r>
              <w:rPr>
                <w:noProof/>
                <w:webHidden/>
              </w:rPr>
              <w:fldChar w:fldCharType="separate"/>
            </w:r>
            <w:r>
              <w:rPr>
                <w:noProof/>
                <w:webHidden/>
              </w:rPr>
              <w:t>54</w:t>
            </w:r>
            <w:r>
              <w:rPr>
                <w:noProof/>
                <w:webHidden/>
              </w:rPr>
              <w:fldChar w:fldCharType="end"/>
            </w:r>
          </w:hyperlink>
        </w:p>
        <w:p w:rsidR="00F06A8D" w:rsidRDefault="00F06A8D" w14:paraId="73A9FE79" w14:textId="02B37ED3">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898">
            <w:r w:rsidRPr="00F70ACA">
              <w:rPr>
                <w:rStyle w:val="Hyperlink"/>
                <w:rFonts w:cs="Arial"/>
                <w:noProof/>
              </w:rPr>
              <w:t>4.5</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4: Experiences of Therapeutic Support</w:t>
            </w:r>
            <w:r>
              <w:rPr>
                <w:noProof/>
                <w:webHidden/>
              </w:rPr>
              <w:tab/>
            </w:r>
            <w:r>
              <w:rPr>
                <w:noProof/>
                <w:webHidden/>
              </w:rPr>
              <w:fldChar w:fldCharType="begin"/>
            </w:r>
            <w:r>
              <w:rPr>
                <w:noProof/>
                <w:webHidden/>
              </w:rPr>
              <w:instrText xml:space="preserve"> PAGEREF _Toc238028898 \h </w:instrText>
            </w:r>
            <w:r>
              <w:rPr>
                <w:noProof/>
                <w:webHidden/>
              </w:rPr>
            </w:r>
            <w:r>
              <w:rPr>
                <w:noProof/>
                <w:webHidden/>
              </w:rPr>
              <w:fldChar w:fldCharType="separate"/>
            </w:r>
            <w:r>
              <w:rPr>
                <w:noProof/>
                <w:webHidden/>
              </w:rPr>
              <w:t>55</w:t>
            </w:r>
            <w:r>
              <w:rPr>
                <w:noProof/>
                <w:webHidden/>
              </w:rPr>
              <w:fldChar w:fldCharType="end"/>
            </w:r>
          </w:hyperlink>
        </w:p>
        <w:p w:rsidR="00F06A8D" w:rsidRDefault="00F06A8D" w14:paraId="5B945341" w14:textId="35BB3F9A">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899">
            <w:r w:rsidRPr="00F70ACA">
              <w:rPr>
                <w:rStyle w:val="Hyperlink"/>
                <w:rFonts w:cs="Arial"/>
                <w:noProof/>
              </w:rPr>
              <w:t>4.5.1</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Feeling heard and Understood</w:t>
            </w:r>
            <w:r>
              <w:rPr>
                <w:noProof/>
                <w:webHidden/>
              </w:rPr>
              <w:tab/>
            </w:r>
            <w:r>
              <w:rPr>
                <w:noProof/>
                <w:webHidden/>
              </w:rPr>
              <w:fldChar w:fldCharType="begin"/>
            </w:r>
            <w:r>
              <w:rPr>
                <w:noProof/>
                <w:webHidden/>
              </w:rPr>
              <w:instrText xml:space="preserve"> PAGEREF _Toc238028899 \h </w:instrText>
            </w:r>
            <w:r>
              <w:rPr>
                <w:noProof/>
                <w:webHidden/>
              </w:rPr>
            </w:r>
            <w:r>
              <w:rPr>
                <w:noProof/>
                <w:webHidden/>
              </w:rPr>
              <w:fldChar w:fldCharType="separate"/>
            </w:r>
            <w:r>
              <w:rPr>
                <w:noProof/>
                <w:webHidden/>
              </w:rPr>
              <w:t>55</w:t>
            </w:r>
            <w:r>
              <w:rPr>
                <w:noProof/>
                <w:webHidden/>
              </w:rPr>
              <w:fldChar w:fldCharType="end"/>
            </w:r>
          </w:hyperlink>
        </w:p>
        <w:p w:rsidR="00F06A8D" w:rsidRDefault="00F06A8D" w14:paraId="644AC2A5" w14:textId="36C5F08B">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900">
            <w:r w:rsidRPr="00F70ACA">
              <w:rPr>
                <w:rStyle w:val="Hyperlink"/>
                <w:rFonts w:cs="Arial"/>
                <w:noProof/>
              </w:rPr>
              <w:t>4.5.2</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Continuity and Unmet Psychological Needs</w:t>
            </w:r>
            <w:r>
              <w:rPr>
                <w:noProof/>
                <w:webHidden/>
              </w:rPr>
              <w:tab/>
            </w:r>
            <w:r>
              <w:rPr>
                <w:noProof/>
                <w:webHidden/>
              </w:rPr>
              <w:fldChar w:fldCharType="begin"/>
            </w:r>
            <w:r>
              <w:rPr>
                <w:noProof/>
                <w:webHidden/>
              </w:rPr>
              <w:instrText xml:space="preserve"> PAGEREF _Toc238028900 \h </w:instrText>
            </w:r>
            <w:r>
              <w:rPr>
                <w:noProof/>
                <w:webHidden/>
              </w:rPr>
            </w:r>
            <w:r>
              <w:rPr>
                <w:noProof/>
                <w:webHidden/>
              </w:rPr>
              <w:fldChar w:fldCharType="separate"/>
            </w:r>
            <w:r>
              <w:rPr>
                <w:noProof/>
                <w:webHidden/>
              </w:rPr>
              <w:t>57</w:t>
            </w:r>
            <w:r>
              <w:rPr>
                <w:noProof/>
                <w:webHidden/>
              </w:rPr>
              <w:fldChar w:fldCharType="end"/>
            </w:r>
          </w:hyperlink>
        </w:p>
        <w:p w:rsidR="00F06A8D" w:rsidRDefault="00F06A8D" w14:paraId="231A3293" w14:textId="283C6C81">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901">
            <w:r w:rsidRPr="00F70ACA">
              <w:rPr>
                <w:rStyle w:val="Hyperlink"/>
                <w:rFonts w:cs="Arial"/>
                <w:noProof/>
              </w:rPr>
              <w:t>4.5.3</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Theme 4 Summary</w:t>
            </w:r>
            <w:r>
              <w:rPr>
                <w:noProof/>
                <w:webHidden/>
              </w:rPr>
              <w:tab/>
            </w:r>
            <w:r>
              <w:rPr>
                <w:noProof/>
                <w:webHidden/>
              </w:rPr>
              <w:fldChar w:fldCharType="begin"/>
            </w:r>
            <w:r>
              <w:rPr>
                <w:noProof/>
                <w:webHidden/>
              </w:rPr>
              <w:instrText xml:space="preserve"> PAGEREF _Toc238028901 \h </w:instrText>
            </w:r>
            <w:r>
              <w:rPr>
                <w:noProof/>
                <w:webHidden/>
              </w:rPr>
            </w:r>
            <w:r>
              <w:rPr>
                <w:noProof/>
                <w:webHidden/>
              </w:rPr>
              <w:fldChar w:fldCharType="separate"/>
            </w:r>
            <w:r>
              <w:rPr>
                <w:noProof/>
                <w:webHidden/>
              </w:rPr>
              <w:t>58</w:t>
            </w:r>
            <w:r>
              <w:rPr>
                <w:noProof/>
                <w:webHidden/>
              </w:rPr>
              <w:fldChar w:fldCharType="end"/>
            </w:r>
          </w:hyperlink>
        </w:p>
        <w:p w:rsidR="00F06A8D" w:rsidRDefault="00F06A8D" w14:paraId="3F12E3D4" w14:textId="018927B5">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02">
            <w:r w:rsidRPr="00F70ACA">
              <w:rPr>
                <w:rStyle w:val="Hyperlink"/>
                <w:rFonts w:cs="Arial"/>
                <w:noProof/>
              </w:rPr>
              <w:t>4.6</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Five: Living Beyond Predictive Testing</w:t>
            </w:r>
            <w:r>
              <w:rPr>
                <w:noProof/>
                <w:webHidden/>
              </w:rPr>
              <w:tab/>
            </w:r>
            <w:r>
              <w:rPr>
                <w:noProof/>
                <w:webHidden/>
              </w:rPr>
              <w:fldChar w:fldCharType="begin"/>
            </w:r>
            <w:r>
              <w:rPr>
                <w:noProof/>
                <w:webHidden/>
              </w:rPr>
              <w:instrText xml:space="preserve"> PAGEREF _Toc238028902 \h </w:instrText>
            </w:r>
            <w:r>
              <w:rPr>
                <w:noProof/>
                <w:webHidden/>
              </w:rPr>
            </w:r>
            <w:r>
              <w:rPr>
                <w:noProof/>
                <w:webHidden/>
              </w:rPr>
              <w:fldChar w:fldCharType="separate"/>
            </w:r>
            <w:r>
              <w:rPr>
                <w:noProof/>
                <w:webHidden/>
              </w:rPr>
              <w:t>58</w:t>
            </w:r>
            <w:r>
              <w:rPr>
                <w:noProof/>
                <w:webHidden/>
              </w:rPr>
              <w:fldChar w:fldCharType="end"/>
            </w:r>
          </w:hyperlink>
        </w:p>
        <w:p w:rsidR="00F06A8D" w:rsidRDefault="00F06A8D" w14:paraId="52BB1F38" w14:textId="72066758">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903">
            <w:r w:rsidRPr="00F70ACA">
              <w:rPr>
                <w:rStyle w:val="Hyperlink"/>
                <w:rFonts w:cs="Arial"/>
                <w:noProof/>
              </w:rPr>
              <w:t>4.6.1</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Rebuilding Life After Testing</w:t>
            </w:r>
            <w:r>
              <w:rPr>
                <w:noProof/>
                <w:webHidden/>
              </w:rPr>
              <w:tab/>
            </w:r>
            <w:r>
              <w:rPr>
                <w:noProof/>
                <w:webHidden/>
              </w:rPr>
              <w:fldChar w:fldCharType="begin"/>
            </w:r>
            <w:r>
              <w:rPr>
                <w:noProof/>
                <w:webHidden/>
              </w:rPr>
              <w:instrText xml:space="preserve"> PAGEREF _Toc238028903 \h </w:instrText>
            </w:r>
            <w:r>
              <w:rPr>
                <w:noProof/>
                <w:webHidden/>
              </w:rPr>
            </w:r>
            <w:r>
              <w:rPr>
                <w:noProof/>
                <w:webHidden/>
              </w:rPr>
              <w:fldChar w:fldCharType="separate"/>
            </w:r>
            <w:r>
              <w:rPr>
                <w:noProof/>
                <w:webHidden/>
              </w:rPr>
              <w:t>59</w:t>
            </w:r>
            <w:r>
              <w:rPr>
                <w:noProof/>
                <w:webHidden/>
              </w:rPr>
              <w:fldChar w:fldCharType="end"/>
            </w:r>
          </w:hyperlink>
        </w:p>
        <w:p w:rsidR="00F06A8D" w:rsidRDefault="00F06A8D" w14:paraId="6FA99410" w14:textId="6FE1252C">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904">
            <w:r w:rsidRPr="00F70ACA">
              <w:rPr>
                <w:rStyle w:val="Hyperlink"/>
                <w:rFonts w:cs="Arial"/>
                <w:noProof/>
              </w:rPr>
              <w:t>4.6.2</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Finding Purpose and Hope</w:t>
            </w:r>
            <w:r>
              <w:rPr>
                <w:noProof/>
                <w:webHidden/>
              </w:rPr>
              <w:tab/>
            </w:r>
            <w:r>
              <w:rPr>
                <w:noProof/>
                <w:webHidden/>
              </w:rPr>
              <w:fldChar w:fldCharType="begin"/>
            </w:r>
            <w:r>
              <w:rPr>
                <w:noProof/>
                <w:webHidden/>
              </w:rPr>
              <w:instrText xml:space="preserve"> PAGEREF _Toc238028904 \h </w:instrText>
            </w:r>
            <w:r>
              <w:rPr>
                <w:noProof/>
                <w:webHidden/>
              </w:rPr>
            </w:r>
            <w:r>
              <w:rPr>
                <w:noProof/>
                <w:webHidden/>
              </w:rPr>
              <w:fldChar w:fldCharType="separate"/>
            </w:r>
            <w:r>
              <w:rPr>
                <w:noProof/>
                <w:webHidden/>
              </w:rPr>
              <w:t>61</w:t>
            </w:r>
            <w:r>
              <w:rPr>
                <w:noProof/>
                <w:webHidden/>
              </w:rPr>
              <w:fldChar w:fldCharType="end"/>
            </w:r>
          </w:hyperlink>
        </w:p>
        <w:p w:rsidR="00F06A8D" w:rsidRDefault="00F06A8D" w14:paraId="57A21928" w14:textId="014CF10E">
          <w:pPr>
            <w:pStyle w:val="TOC3"/>
            <w:tabs>
              <w:tab w:val="left" w:pos="1440"/>
              <w:tab w:val="right" w:leader="dot" w:pos="9628"/>
            </w:tabs>
            <w:rPr>
              <w:rFonts w:asciiTheme="minorHAnsi" w:hAnsiTheme="minorHAnsi" w:cstheme="minorBidi"/>
              <w:bCs w:val="0"/>
              <w:noProof/>
              <w:kern w:val="2"/>
              <w:sz w:val="24"/>
              <w:szCs w:val="24"/>
              <w:lang w:val="en-GB" w:eastAsia="en-GB"/>
              <w14:ligatures w14:val="standardContextual"/>
            </w:rPr>
          </w:pPr>
          <w:hyperlink w:history="1" w:anchor="_Toc238028905">
            <w:r w:rsidRPr="00F70ACA">
              <w:rPr>
                <w:rStyle w:val="Hyperlink"/>
                <w:rFonts w:cs="Arial"/>
                <w:noProof/>
              </w:rPr>
              <w:t>4.6.3</w:t>
            </w:r>
            <w:r>
              <w:rPr>
                <w:rFonts w:asciiTheme="minorHAnsi" w:hAnsiTheme="minorHAnsi" w:cstheme="minorBidi"/>
                <w:bCs w:val="0"/>
                <w:noProof/>
                <w:kern w:val="2"/>
                <w:sz w:val="24"/>
                <w:szCs w:val="24"/>
                <w:lang w:val="en-GB" w:eastAsia="en-GB"/>
                <w14:ligatures w14:val="standardContextual"/>
              </w:rPr>
              <w:tab/>
            </w:r>
            <w:r w:rsidRPr="00F70ACA">
              <w:rPr>
                <w:rStyle w:val="Hyperlink"/>
                <w:rFonts w:cs="Arial"/>
                <w:noProof/>
              </w:rPr>
              <w:t>Theme 5 Summary</w:t>
            </w:r>
            <w:r>
              <w:rPr>
                <w:noProof/>
                <w:webHidden/>
              </w:rPr>
              <w:tab/>
            </w:r>
            <w:r>
              <w:rPr>
                <w:noProof/>
                <w:webHidden/>
              </w:rPr>
              <w:fldChar w:fldCharType="begin"/>
            </w:r>
            <w:r>
              <w:rPr>
                <w:noProof/>
                <w:webHidden/>
              </w:rPr>
              <w:instrText xml:space="preserve"> PAGEREF _Toc238028905 \h </w:instrText>
            </w:r>
            <w:r>
              <w:rPr>
                <w:noProof/>
                <w:webHidden/>
              </w:rPr>
            </w:r>
            <w:r>
              <w:rPr>
                <w:noProof/>
                <w:webHidden/>
              </w:rPr>
              <w:fldChar w:fldCharType="separate"/>
            </w:r>
            <w:r>
              <w:rPr>
                <w:noProof/>
                <w:webHidden/>
              </w:rPr>
              <w:t>63</w:t>
            </w:r>
            <w:r>
              <w:rPr>
                <w:noProof/>
                <w:webHidden/>
              </w:rPr>
              <w:fldChar w:fldCharType="end"/>
            </w:r>
          </w:hyperlink>
        </w:p>
        <w:p w:rsidR="00F06A8D" w:rsidRDefault="00F06A8D" w14:paraId="00ABEA61" w14:textId="44CA535B">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06">
            <w:r w:rsidRPr="00F70ACA">
              <w:rPr>
                <w:rStyle w:val="Hyperlink"/>
                <w:rFonts w:cs="Arial"/>
                <w:noProof/>
                <w14:scene3d>
                  <w14:camera w14:prst="orthographicFront"/>
                  <w14:lightRig w14:rig="threePt" w14:dir="t">
                    <w14:rot w14:lat="0" w14:lon="0" w14:rev="0"/>
                  </w14:lightRig>
                </w14:scene3d>
              </w:rPr>
              <w:t>Chapter 5</w:t>
            </w:r>
            <w:r w:rsidRPr="00F70ACA">
              <w:rPr>
                <w:rStyle w:val="Hyperlink"/>
                <w:rFonts w:cs="Arial"/>
                <w:noProof/>
              </w:rPr>
              <w:t xml:space="preserve"> Discussion</w:t>
            </w:r>
            <w:r>
              <w:rPr>
                <w:noProof/>
                <w:webHidden/>
              </w:rPr>
              <w:tab/>
            </w:r>
            <w:r>
              <w:rPr>
                <w:noProof/>
                <w:webHidden/>
              </w:rPr>
              <w:fldChar w:fldCharType="begin"/>
            </w:r>
            <w:r>
              <w:rPr>
                <w:noProof/>
                <w:webHidden/>
              </w:rPr>
              <w:instrText xml:space="preserve"> PAGEREF _Toc238028906 \h </w:instrText>
            </w:r>
            <w:r>
              <w:rPr>
                <w:noProof/>
                <w:webHidden/>
              </w:rPr>
            </w:r>
            <w:r>
              <w:rPr>
                <w:noProof/>
                <w:webHidden/>
              </w:rPr>
              <w:fldChar w:fldCharType="separate"/>
            </w:r>
            <w:r>
              <w:rPr>
                <w:noProof/>
                <w:webHidden/>
              </w:rPr>
              <w:t>64</w:t>
            </w:r>
            <w:r>
              <w:rPr>
                <w:noProof/>
                <w:webHidden/>
              </w:rPr>
              <w:fldChar w:fldCharType="end"/>
            </w:r>
          </w:hyperlink>
        </w:p>
        <w:p w:rsidR="00F06A8D" w:rsidRDefault="00F06A8D" w14:paraId="5E4B2C5B" w14:textId="31138355">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07">
            <w:r w:rsidRPr="00F70ACA">
              <w:rPr>
                <w:rStyle w:val="Hyperlink"/>
                <w:rFonts w:cs="Arial"/>
                <w:noProof/>
              </w:rPr>
              <w:t>5.1</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Introduction</w:t>
            </w:r>
            <w:r>
              <w:rPr>
                <w:noProof/>
                <w:webHidden/>
              </w:rPr>
              <w:tab/>
            </w:r>
            <w:r>
              <w:rPr>
                <w:noProof/>
                <w:webHidden/>
              </w:rPr>
              <w:fldChar w:fldCharType="begin"/>
            </w:r>
            <w:r>
              <w:rPr>
                <w:noProof/>
                <w:webHidden/>
              </w:rPr>
              <w:instrText xml:space="preserve"> PAGEREF _Toc238028907 \h </w:instrText>
            </w:r>
            <w:r>
              <w:rPr>
                <w:noProof/>
                <w:webHidden/>
              </w:rPr>
            </w:r>
            <w:r>
              <w:rPr>
                <w:noProof/>
                <w:webHidden/>
              </w:rPr>
              <w:fldChar w:fldCharType="separate"/>
            </w:r>
            <w:r>
              <w:rPr>
                <w:noProof/>
                <w:webHidden/>
              </w:rPr>
              <w:t>64</w:t>
            </w:r>
            <w:r>
              <w:rPr>
                <w:noProof/>
                <w:webHidden/>
              </w:rPr>
              <w:fldChar w:fldCharType="end"/>
            </w:r>
          </w:hyperlink>
        </w:p>
        <w:p w:rsidR="00F06A8D" w:rsidRDefault="00F06A8D" w14:paraId="04F183D8" w14:textId="6A429A39">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08">
            <w:r w:rsidRPr="00F70ACA">
              <w:rPr>
                <w:rStyle w:val="Hyperlink"/>
                <w:rFonts w:cs="Arial"/>
                <w:noProof/>
              </w:rPr>
              <w:t>5.2</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One: Living with Lifelong Uncertainty</w:t>
            </w:r>
            <w:r>
              <w:rPr>
                <w:noProof/>
                <w:webHidden/>
              </w:rPr>
              <w:tab/>
            </w:r>
            <w:r>
              <w:rPr>
                <w:noProof/>
                <w:webHidden/>
              </w:rPr>
              <w:fldChar w:fldCharType="begin"/>
            </w:r>
            <w:r>
              <w:rPr>
                <w:noProof/>
                <w:webHidden/>
              </w:rPr>
              <w:instrText xml:space="preserve"> PAGEREF _Toc238028908 \h </w:instrText>
            </w:r>
            <w:r>
              <w:rPr>
                <w:noProof/>
                <w:webHidden/>
              </w:rPr>
            </w:r>
            <w:r>
              <w:rPr>
                <w:noProof/>
                <w:webHidden/>
              </w:rPr>
              <w:fldChar w:fldCharType="separate"/>
            </w:r>
            <w:r>
              <w:rPr>
                <w:noProof/>
                <w:webHidden/>
              </w:rPr>
              <w:t>65</w:t>
            </w:r>
            <w:r>
              <w:rPr>
                <w:noProof/>
                <w:webHidden/>
              </w:rPr>
              <w:fldChar w:fldCharType="end"/>
            </w:r>
          </w:hyperlink>
        </w:p>
        <w:p w:rsidR="00F06A8D" w:rsidRDefault="00F06A8D" w14:paraId="405B99CF" w14:textId="238A532F">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09">
            <w:r w:rsidRPr="00F70ACA">
              <w:rPr>
                <w:rStyle w:val="Hyperlink"/>
                <w:rFonts w:cs="Arial"/>
                <w:noProof/>
              </w:rPr>
              <w:t>5.3</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Two: Making Sense of Knowing</w:t>
            </w:r>
            <w:r>
              <w:rPr>
                <w:noProof/>
                <w:webHidden/>
              </w:rPr>
              <w:tab/>
            </w:r>
            <w:r>
              <w:rPr>
                <w:noProof/>
                <w:webHidden/>
              </w:rPr>
              <w:fldChar w:fldCharType="begin"/>
            </w:r>
            <w:r>
              <w:rPr>
                <w:noProof/>
                <w:webHidden/>
              </w:rPr>
              <w:instrText xml:space="preserve"> PAGEREF _Toc238028909 \h </w:instrText>
            </w:r>
            <w:r>
              <w:rPr>
                <w:noProof/>
                <w:webHidden/>
              </w:rPr>
            </w:r>
            <w:r>
              <w:rPr>
                <w:noProof/>
                <w:webHidden/>
              </w:rPr>
              <w:fldChar w:fldCharType="separate"/>
            </w:r>
            <w:r>
              <w:rPr>
                <w:noProof/>
                <w:webHidden/>
              </w:rPr>
              <w:t>66</w:t>
            </w:r>
            <w:r>
              <w:rPr>
                <w:noProof/>
                <w:webHidden/>
              </w:rPr>
              <w:fldChar w:fldCharType="end"/>
            </w:r>
          </w:hyperlink>
        </w:p>
        <w:p w:rsidR="00F06A8D" w:rsidRDefault="00F06A8D" w14:paraId="152877B6" w14:textId="5375631E">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0">
            <w:r w:rsidRPr="00F70ACA">
              <w:rPr>
                <w:rStyle w:val="Hyperlink"/>
                <w:rFonts w:cs="Arial"/>
                <w:noProof/>
              </w:rPr>
              <w:t>5.4</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Three: The Relational Experience of Predictive Genetic Testing</w:t>
            </w:r>
            <w:r>
              <w:rPr>
                <w:noProof/>
                <w:webHidden/>
              </w:rPr>
              <w:tab/>
            </w:r>
            <w:r>
              <w:rPr>
                <w:noProof/>
                <w:webHidden/>
              </w:rPr>
              <w:fldChar w:fldCharType="begin"/>
            </w:r>
            <w:r>
              <w:rPr>
                <w:noProof/>
                <w:webHidden/>
              </w:rPr>
              <w:instrText xml:space="preserve"> PAGEREF _Toc238028910 \h </w:instrText>
            </w:r>
            <w:r>
              <w:rPr>
                <w:noProof/>
                <w:webHidden/>
              </w:rPr>
            </w:r>
            <w:r>
              <w:rPr>
                <w:noProof/>
                <w:webHidden/>
              </w:rPr>
              <w:fldChar w:fldCharType="separate"/>
            </w:r>
            <w:r>
              <w:rPr>
                <w:noProof/>
                <w:webHidden/>
              </w:rPr>
              <w:t>67</w:t>
            </w:r>
            <w:r>
              <w:rPr>
                <w:noProof/>
                <w:webHidden/>
              </w:rPr>
              <w:fldChar w:fldCharType="end"/>
            </w:r>
          </w:hyperlink>
        </w:p>
        <w:p w:rsidR="00F06A8D" w:rsidRDefault="00F06A8D" w14:paraId="4C854EF8" w14:textId="13C1C093">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1">
            <w:r w:rsidRPr="00F70ACA">
              <w:rPr>
                <w:rStyle w:val="Hyperlink"/>
                <w:rFonts w:cs="Arial"/>
                <w:noProof/>
              </w:rPr>
              <w:t>5.5</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Four: Experiences of Therapeutic Support</w:t>
            </w:r>
            <w:r>
              <w:rPr>
                <w:noProof/>
                <w:webHidden/>
              </w:rPr>
              <w:tab/>
            </w:r>
            <w:r>
              <w:rPr>
                <w:noProof/>
                <w:webHidden/>
              </w:rPr>
              <w:fldChar w:fldCharType="begin"/>
            </w:r>
            <w:r>
              <w:rPr>
                <w:noProof/>
                <w:webHidden/>
              </w:rPr>
              <w:instrText xml:space="preserve"> PAGEREF _Toc238028911 \h </w:instrText>
            </w:r>
            <w:r>
              <w:rPr>
                <w:noProof/>
                <w:webHidden/>
              </w:rPr>
            </w:r>
            <w:r>
              <w:rPr>
                <w:noProof/>
                <w:webHidden/>
              </w:rPr>
              <w:fldChar w:fldCharType="separate"/>
            </w:r>
            <w:r>
              <w:rPr>
                <w:noProof/>
                <w:webHidden/>
              </w:rPr>
              <w:t>69</w:t>
            </w:r>
            <w:r>
              <w:rPr>
                <w:noProof/>
                <w:webHidden/>
              </w:rPr>
              <w:fldChar w:fldCharType="end"/>
            </w:r>
          </w:hyperlink>
        </w:p>
        <w:p w:rsidR="00F06A8D" w:rsidRDefault="00F06A8D" w14:paraId="31334F5E" w14:textId="6CC095FA">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2">
            <w:r w:rsidRPr="00F70ACA">
              <w:rPr>
                <w:rStyle w:val="Hyperlink"/>
                <w:rFonts w:cs="Arial"/>
                <w:noProof/>
              </w:rPr>
              <w:t>5.6</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Theme Five: Living Beyond Predictive Testing</w:t>
            </w:r>
            <w:r>
              <w:rPr>
                <w:noProof/>
                <w:webHidden/>
              </w:rPr>
              <w:tab/>
            </w:r>
            <w:r>
              <w:rPr>
                <w:noProof/>
                <w:webHidden/>
              </w:rPr>
              <w:fldChar w:fldCharType="begin"/>
            </w:r>
            <w:r>
              <w:rPr>
                <w:noProof/>
                <w:webHidden/>
              </w:rPr>
              <w:instrText xml:space="preserve"> PAGEREF _Toc238028912 \h </w:instrText>
            </w:r>
            <w:r>
              <w:rPr>
                <w:noProof/>
                <w:webHidden/>
              </w:rPr>
            </w:r>
            <w:r>
              <w:rPr>
                <w:noProof/>
                <w:webHidden/>
              </w:rPr>
              <w:fldChar w:fldCharType="separate"/>
            </w:r>
            <w:r>
              <w:rPr>
                <w:noProof/>
                <w:webHidden/>
              </w:rPr>
              <w:t>69</w:t>
            </w:r>
            <w:r>
              <w:rPr>
                <w:noProof/>
                <w:webHidden/>
              </w:rPr>
              <w:fldChar w:fldCharType="end"/>
            </w:r>
          </w:hyperlink>
        </w:p>
        <w:p w:rsidR="00F06A8D" w:rsidRDefault="00F06A8D" w14:paraId="1878A9BC" w14:textId="33409296">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3">
            <w:r w:rsidRPr="00F70ACA">
              <w:rPr>
                <w:rStyle w:val="Hyperlink"/>
                <w:rFonts w:cs="Arial"/>
                <w:noProof/>
              </w:rPr>
              <w:t>5.7</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Methodological Limitations, Considerations and Reflection</w:t>
            </w:r>
            <w:r>
              <w:rPr>
                <w:noProof/>
                <w:webHidden/>
              </w:rPr>
              <w:tab/>
            </w:r>
            <w:r>
              <w:rPr>
                <w:noProof/>
                <w:webHidden/>
              </w:rPr>
              <w:fldChar w:fldCharType="begin"/>
            </w:r>
            <w:r>
              <w:rPr>
                <w:noProof/>
                <w:webHidden/>
              </w:rPr>
              <w:instrText xml:space="preserve"> PAGEREF _Toc238028913 \h </w:instrText>
            </w:r>
            <w:r>
              <w:rPr>
                <w:noProof/>
                <w:webHidden/>
              </w:rPr>
            </w:r>
            <w:r>
              <w:rPr>
                <w:noProof/>
                <w:webHidden/>
              </w:rPr>
              <w:fldChar w:fldCharType="separate"/>
            </w:r>
            <w:r>
              <w:rPr>
                <w:noProof/>
                <w:webHidden/>
              </w:rPr>
              <w:t>70</w:t>
            </w:r>
            <w:r>
              <w:rPr>
                <w:noProof/>
                <w:webHidden/>
              </w:rPr>
              <w:fldChar w:fldCharType="end"/>
            </w:r>
          </w:hyperlink>
        </w:p>
        <w:p w:rsidR="00F06A8D" w:rsidRDefault="00F06A8D" w14:paraId="681449F1" w14:textId="0CA75745">
          <w:pPr>
            <w:pStyle w:val="TOC2"/>
            <w:tabs>
              <w:tab w:val="left" w:pos="960"/>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4">
            <w:r w:rsidRPr="00F70ACA">
              <w:rPr>
                <w:rStyle w:val="Hyperlink"/>
                <w:rFonts w:cs="Arial"/>
                <w:noProof/>
              </w:rPr>
              <w:t>5.8</w:t>
            </w:r>
            <w:r>
              <w:rPr>
                <w:rFonts w:asciiTheme="minorHAnsi" w:hAnsiTheme="minorHAnsi" w:cstheme="minorBidi"/>
                <w:bCs w:val="0"/>
                <w:noProof/>
                <w:kern w:val="2"/>
                <w:sz w:val="24"/>
                <w:szCs w:val="24"/>
                <w:lang w:eastAsia="en-GB"/>
                <w14:ligatures w14:val="standardContextual"/>
              </w:rPr>
              <w:tab/>
            </w:r>
            <w:r w:rsidRPr="00F70ACA">
              <w:rPr>
                <w:rStyle w:val="Hyperlink"/>
                <w:rFonts w:cs="Arial"/>
                <w:noProof/>
              </w:rPr>
              <w:t>Overall Conclusion</w:t>
            </w:r>
            <w:r>
              <w:rPr>
                <w:noProof/>
                <w:webHidden/>
              </w:rPr>
              <w:tab/>
            </w:r>
            <w:r>
              <w:rPr>
                <w:noProof/>
                <w:webHidden/>
              </w:rPr>
              <w:fldChar w:fldCharType="begin"/>
            </w:r>
            <w:r>
              <w:rPr>
                <w:noProof/>
                <w:webHidden/>
              </w:rPr>
              <w:instrText xml:space="preserve"> PAGEREF _Toc238028914 \h </w:instrText>
            </w:r>
            <w:r>
              <w:rPr>
                <w:noProof/>
                <w:webHidden/>
              </w:rPr>
            </w:r>
            <w:r>
              <w:rPr>
                <w:noProof/>
                <w:webHidden/>
              </w:rPr>
              <w:fldChar w:fldCharType="separate"/>
            </w:r>
            <w:r>
              <w:rPr>
                <w:noProof/>
                <w:webHidden/>
              </w:rPr>
              <w:t>72</w:t>
            </w:r>
            <w:r>
              <w:rPr>
                <w:noProof/>
                <w:webHidden/>
              </w:rPr>
              <w:fldChar w:fldCharType="end"/>
            </w:r>
          </w:hyperlink>
        </w:p>
        <w:p w:rsidR="00F06A8D" w:rsidRDefault="00F06A8D" w14:paraId="6D6588AD" w14:textId="4301E701">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5">
            <w:r w:rsidRPr="00F70ACA">
              <w:rPr>
                <w:rStyle w:val="Hyperlink"/>
                <w:rFonts w:cs="Arial"/>
                <w:noProof/>
              </w:rPr>
              <w:t>Reference list</w:t>
            </w:r>
            <w:r>
              <w:rPr>
                <w:noProof/>
                <w:webHidden/>
              </w:rPr>
              <w:tab/>
            </w:r>
            <w:r>
              <w:rPr>
                <w:noProof/>
                <w:webHidden/>
              </w:rPr>
              <w:fldChar w:fldCharType="begin"/>
            </w:r>
            <w:r>
              <w:rPr>
                <w:noProof/>
                <w:webHidden/>
              </w:rPr>
              <w:instrText xml:space="preserve"> PAGEREF _Toc238028915 \h </w:instrText>
            </w:r>
            <w:r>
              <w:rPr>
                <w:noProof/>
                <w:webHidden/>
              </w:rPr>
            </w:r>
            <w:r>
              <w:rPr>
                <w:noProof/>
                <w:webHidden/>
              </w:rPr>
              <w:fldChar w:fldCharType="separate"/>
            </w:r>
            <w:r>
              <w:rPr>
                <w:noProof/>
                <w:webHidden/>
              </w:rPr>
              <w:t>74</w:t>
            </w:r>
            <w:r>
              <w:rPr>
                <w:noProof/>
                <w:webHidden/>
              </w:rPr>
              <w:fldChar w:fldCharType="end"/>
            </w:r>
          </w:hyperlink>
        </w:p>
        <w:p w:rsidR="00F06A8D" w:rsidRDefault="00F06A8D" w14:paraId="6B3944CA" w14:textId="375038A9">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6">
            <w:r w:rsidRPr="00F70ACA">
              <w:rPr>
                <w:rStyle w:val="Hyperlink"/>
                <w:noProof/>
              </w:rPr>
              <w:t>Appendix A : Study Information Sheet</w:t>
            </w:r>
            <w:r>
              <w:rPr>
                <w:noProof/>
                <w:webHidden/>
              </w:rPr>
              <w:tab/>
            </w:r>
            <w:r>
              <w:rPr>
                <w:noProof/>
                <w:webHidden/>
              </w:rPr>
              <w:fldChar w:fldCharType="begin"/>
            </w:r>
            <w:r>
              <w:rPr>
                <w:noProof/>
                <w:webHidden/>
              </w:rPr>
              <w:instrText xml:space="preserve"> PAGEREF _Toc238028916 \h </w:instrText>
            </w:r>
            <w:r>
              <w:rPr>
                <w:noProof/>
                <w:webHidden/>
              </w:rPr>
            </w:r>
            <w:r>
              <w:rPr>
                <w:noProof/>
                <w:webHidden/>
              </w:rPr>
              <w:fldChar w:fldCharType="separate"/>
            </w:r>
            <w:r>
              <w:rPr>
                <w:noProof/>
                <w:webHidden/>
              </w:rPr>
              <w:t>75</w:t>
            </w:r>
            <w:r>
              <w:rPr>
                <w:noProof/>
                <w:webHidden/>
              </w:rPr>
              <w:fldChar w:fldCharType="end"/>
            </w:r>
          </w:hyperlink>
        </w:p>
        <w:p w:rsidR="00F06A8D" w:rsidRDefault="00F06A8D" w14:paraId="0F10E19D" w14:textId="12DEF5FF">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7">
            <w:r w:rsidRPr="00F70ACA">
              <w:rPr>
                <w:rStyle w:val="Hyperlink"/>
                <w:noProof/>
              </w:rPr>
              <w:t>Appendix B: Consent Form</w:t>
            </w:r>
            <w:r>
              <w:rPr>
                <w:noProof/>
                <w:webHidden/>
              </w:rPr>
              <w:tab/>
            </w:r>
            <w:r>
              <w:rPr>
                <w:noProof/>
                <w:webHidden/>
              </w:rPr>
              <w:fldChar w:fldCharType="begin"/>
            </w:r>
            <w:r>
              <w:rPr>
                <w:noProof/>
                <w:webHidden/>
              </w:rPr>
              <w:instrText xml:space="preserve"> PAGEREF _Toc238028917 \h </w:instrText>
            </w:r>
            <w:r>
              <w:rPr>
                <w:noProof/>
                <w:webHidden/>
              </w:rPr>
            </w:r>
            <w:r>
              <w:rPr>
                <w:noProof/>
                <w:webHidden/>
              </w:rPr>
              <w:fldChar w:fldCharType="separate"/>
            </w:r>
            <w:r>
              <w:rPr>
                <w:noProof/>
                <w:webHidden/>
              </w:rPr>
              <w:t>78</w:t>
            </w:r>
            <w:r>
              <w:rPr>
                <w:noProof/>
                <w:webHidden/>
              </w:rPr>
              <w:fldChar w:fldCharType="end"/>
            </w:r>
          </w:hyperlink>
        </w:p>
        <w:p w:rsidR="00F06A8D" w:rsidRDefault="00F06A8D" w14:paraId="15ABEAA0" w14:textId="43E21632">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8">
            <w:r w:rsidRPr="00F70ACA">
              <w:rPr>
                <w:rStyle w:val="Hyperlink"/>
                <w:noProof/>
              </w:rPr>
              <w:t>Appendix C: Interview Schedule</w:t>
            </w:r>
            <w:r>
              <w:rPr>
                <w:noProof/>
                <w:webHidden/>
              </w:rPr>
              <w:tab/>
            </w:r>
            <w:r>
              <w:rPr>
                <w:noProof/>
                <w:webHidden/>
              </w:rPr>
              <w:fldChar w:fldCharType="begin"/>
            </w:r>
            <w:r>
              <w:rPr>
                <w:noProof/>
                <w:webHidden/>
              </w:rPr>
              <w:instrText xml:space="preserve"> PAGEREF _Toc238028918 \h </w:instrText>
            </w:r>
            <w:r>
              <w:rPr>
                <w:noProof/>
                <w:webHidden/>
              </w:rPr>
            </w:r>
            <w:r>
              <w:rPr>
                <w:noProof/>
                <w:webHidden/>
              </w:rPr>
              <w:fldChar w:fldCharType="separate"/>
            </w:r>
            <w:r>
              <w:rPr>
                <w:noProof/>
                <w:webHidden/>
              </w:rPr>
              <w:t>79</w:t>
            </w:r>
            <w:r>
              <w:rPr>
                <w:noProof/>
                <w:webHidden/>
              </w:rPr>
              <w:fldChar w:fldCharType="end"/>
            </w:r>
          </w:hyperlink>
        </w:p>
        <w:p w:rsidR="00F06A8D" w:rsidRDefault="00F06A8D" w14:paraId="7F54C481" w14:textId="186488FA">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19">
            <w:r w:rsidRPr="00F70ACA">
              <w:rPr>
                <w:rStyle w:val="Hyperlink"/>
                <w:noProof/>
              </w:rPr>
              <w:t>Appendix D : Debrief Form</w:t>
            </w:r>
            <w:r>
              <w:rPr>
                <w:noProof/>
                <w:webHidden/>
              </w:rPr>
              <w:tab/>
            </w:r>
            <w:r>
              <w:rPr>
                <w:noProof/>
                <w:webHidden/>
              </w:rPr>
              <w:fldChar w:fldCharType="begin"/>
            </w:r>
            <w:r>
              <w:rPr>
                <w:noProof/>
                <w:webHidden/>
              </w:rPr>
              <w:instrText xml:space="preserve"> PAGEREF _Toc238028919 \h </w:instrText>
            </w:r>
            <w:r>
              <w:rPr>
                <w:noProof/>
                <w:webHidden/>
              </w:rPr>
            </w:r>
            <w:r>
              <w:rPr>
                <w:noProof/>
                <w:webHidden/>
              </w:rPr>
              <w:fldChar w:fldCharType="separate"/>
            </w:r>
            <w:r>
              <w:rPr>
                <w:noProof/>
                <w:webHidden/>
              </w:rPr>
              <w:t>82</w:t>
            </w:r>
            <w:r>
              <w:rPr>
                <w:noProof/>
                <w:webHidden/>
              </w:rPr>
              <w:fldChar w:fldCharType="end"/>
            </w:r>
          </w:hyperlink>
        </w:p>
        <w:p w:rsidR="00F06A8D" w:rsidRDefault="00F06A8D" w14:paraId="72037488" w14:textId="46B05619">
          <w:pPr>
            <w:pStyle w:val="TOC1"/>
            <w:tabs>
              <w:tab w:val="right" w:leader="dot" w:pos="9628"/>
            </w:tabs>
            <w:rPr>
              <w:rFonts w:asciiTheme="minorHAnsi" w:hAnsiTheme="minorHAnsi" w:cstheme="minorBidi"/>
              <w:bCs w:val="0"/>
              <w:noProof/>
              <w:kern w:val="2"/>
              <w:sz w:val="24"/>
              <w:szCs w:val="24"/>
              <w:lang w:eastAsia="en-GB"/>
              <w14:ligatures w14:val="standardContextual"/>
            </w:rPr>
          </w:pPr>
          <w:hyperlink w:history="1" w:anchor="_Toc238028920">
            <w:r w:rsidRPr="00F70ACA">
              <w:rPr>
                <w:rStyle w:val="Hyperlink"/>
                <w:noProof/>
              </w:rPr>
              <w:t>Appendix E: Summary of First Theme</w:t>
            </w:r>
            <w:r>
              <w:rPr>
                <w:noProof/>
                <w:webHidden/>
              </w:rPr>
              <w:tab/>
            </w:r>
            <w:r>
              <w:rPr>
                <w:noProof/>
                <w:webHidden/>
              </w:rPr>
              <w:fldChar w:fldCharType="begin"/>
            </w:r>
            <w:r>
              <w:rPr>
                <w:noProof/>
                <w:webHidden/>
              </w:rPr>
              <w:instrText xml:space="preserve"> PAGEREF _Toc238028920 \h </w:instrText>
            </w:r>
            <w:r>
              <w:rPr>
                <w:noProof/>
                <w:webHidden/>
              </w:rPr>
            </w:r>
            <w:r>
              <w:rPr>
                <w:noProof/>
                <w:webHidden/>
              </w:rPr>
              <w:fldChar w:fldCharType="separate"/>
            </w:r>
            <w:r>
              <w:rPr>
                <w:noProof/>
                <w:webHidden/>
              </w:rPr>
              <w:t>83</w:t>
            </w:r>
            <w:r>
              <w:rPr>
                <w:noProof/>
                <w:webHidden/>
              </w:rPr>
              <w:fldChar w:fldCharType="end"/>
            </w:r>
          </w:hyperlink>
        </w:p>
        <w:p w:rsidRPr="00604290" w:rsidR="00F27FFB" w:rsidP="009439BA" w:rsidRDefault="00F27FFB" w14:paraId="76E25C01" w14:textId="099A865D">
          <w:r w:rsidRPr="0049496D">
            <w:rPr>
              <w:rFonts w:cs="Arial"/>
              <w:b/>
              <w:sz w:val="28"/>
              <w:szCs w:val="28"/>
            </w:rPr>
            <w:fldChar w:fldCharType="end"/>
          </w:r>
        </w:p>
      </w:sdtContent>
    </w:sdt>
    <w:p w:rsidRPr="00604290" w:rsidR="005F5DF8" w:rsidP="005F5DF8" w:rsidRDefault="005F5DF8" w14:paraId="56383A17" w14:textId="77777777"/>
    <w:p w:rsidRPr="00604290" w:rsidR="00990BAD" w:rsidRDefault="00990BAD" w14:paraId="461958A6" w14:textId="77777777">
      <w:pPr>
        <w:spacing w:after="160" w:line="259" w:lineRule="auto"/>
        <w:rPr>
          <w:rFonts w:asciiTheme="majorHAnsi" w:hAnsiTheme="majorHAnsi" w:eastAsiaTheme="majorEastAsia"/>
          <w:b/>
          <w:color w:val="000000" w:themeColor="text1"/>
          <w:sz w:val="28"/>
          <w:szCs w:val="26"/>
        </w:rPr>
      </w:pPr>
      <w:r w:rsidRPr="00604290">
        <w:br w:type="page"/>
      </w:r>
    </w:p>
    <w:p w:rsidRPr="00604290" w:rsidR="005F5DF8" w:rsidP="00EF5D31" w:rsidRDefault="005F5DF8" w14:paraId="315D237B" w14:textId="77777777"/>
    <w:p w:rsidRPr="00604290" w:rsidR="005F5DF8" w:rsidP="005F5DF8" w:rsidRDefault="005F5DF8" w14:paraId="19A52666" w14:textId="77777777"/>
    <w:p w:rsidRPr="00604290" w:rsidR="00671324" w:rsidP="00EF5D31" w:rsidRDefault="00671324" w14:paraId="747C2BFC" w14:textId="77777777"/>
    <w:p w:rsidRPr="00604290" w:rsidR="00836763" w:rsidP="00EF5D31" w:rsidRDefault="00836763" w14:paraId="2B2280C1" w14:textId="77777777">
      <w:pPr>
        <w:sectPr w:rsidRPr="00604290" w:rsidR="00836763" w:rsidSect="00AB1BFB">
          <w:footerReference w:type="default" r:id="rId10"/>
          <w:pgSz w:w="11906" w:h="16838" w:orient="portrait"/>
          <w:pgMar w:top="1134" w:right="1134" w:bottom="1134" w:left="1134" w:header="709" w:footer="709" w:gutter="0"/>
          <w:pgNumType w:fmt="lowerRoman" w:start="1"/>
          <w:cols w:space="708"/>
          <w:docGrid w:linePitch="360"/>
        </w:sectPr>
      </w:pPr>
    </w:p>
    <w:p w:rsidRPr="00604290" w:rsidR="00655174" w:rsidP="69441A9A" w:rsidRDefault="00B05639" w14:paraId="01B144A5" w14:textId="01945127">
      <w:pPr>
        <w:pStyle w:val="Heading1"/>
        <w:numPr>
          <w:ilvl w:val="0"/>
          <w:numId w:val="0"/>
        </w:numPr>
        <w:ind w:left="0"/>
        <w:rPr>
          <w:rFonts w:ascii="Arial" w:hAnsi="Arial" w:eastAsia="Arial" w:cs="Arial"/>
          <w:noProof w:val="0"/>
          <w:sz w:val="24"/>
          <w:szCs w:val="24"/>
        </w:rPr>
      </w:pPr>
      <w:bookmarkStart w:name="_Toc238028849" w:id="5"/>
      <w:r w:rsidRPr="69441A9A" w:rsidR="71638B11">
        <w:rPr>
          <w:rFonts w:ascii="Arial" w:hAnsi="Arial" w:eastAsia="Arial" w:cs="Arial"/>
          <w:noProof w:val="0"/>
          <w:sz w:val="24"/>
          <w:szCs w:val="24"/>
        </w:rPr>
        <w:t xml:space="preserve"> </w:t>
      </w:r>
      <w:r w:rsidRPr="69441A9A" w:rsidR="7542BC02">
        <w:rPr>
          <w:rFonts w:ascii="Arial" w:hAnsi="Arial" w:eastAsia="Arial" w:cs="Arial"/>
          <w:noProof w:val="0"/>
          <w:sz w:val="24"/>
          <w:szCs w:val="24"/>
        </w:rPr>
        <w:t>Chapter 1</w:t>
      </w:r>
      <w:r w:rsidRPr="69441A9A" w:rsidR="00B05639">
        <w:rPr>
          <w:rFonts w:ascii="Arial" w:hAnsi="Arial" w:eastAsia="Arial" w:cs="Arial"/>
          <w:noProof w:val="0"/>
          <w:sz w:val="24"/>
          <w:szCs w:val="24"/>
        </w:rPr>
        <w:t xml:space="preserve">: </w:t>
      </w:r>
      <w:r w:rsidRPr="69441A9A" w:rsidR="00D43FA0">
        <w:rPr>
          <w:rFonts w:ascii="Arial" w:hAnsi="Arial" w:eastAsia="Arial" w:cs="Arial"/>
          <w:noProof w:val="0"/>
          <w:sz w:val="24"/>
          <w:szCs w:val="24"/>
        </w:rPr>
        <w:t>Introduction</w:t>
      </w:r>
      <w:bookmarkEnd w:id="5"/>
    </w:p>
    <w:p w:rsidR="00D43FA0" w:rsidP="69441A9A" w:rsidRDefault="00D43FA0" w14:paraId="5C6CC3BB" w14:textId="77777777">
      <w:pPr>
        <w:rPr>
          <w:rFonts w:ascii="Arial" w:hAnsi="Arial" w:eastAsia="Arial" w:cs="Arial"/>
          <w:sz w:val="24"/>
          <w:szCs w:val="24"/>
        </w:rPr>
      </w:pPr>
    </w:p>
    <w:p w:rsidR="00C07604" w:rsidP="69441A9A" w:rsidRDefault="00C07604" w14:paraId="7B3F8DA6" w14:textId="61C07840">
      <w:pPr>
        <w:spacing w:before="0" w:beforeAutospacing="off" w:after="60" w:afterAutospacing="off"/>
        <w:jc w:val="both"/>
        <w:rPr>
          <w:rFonts w:ascii="Arial" w:hAnsi="Arial" w:eastAsia="Arial" w:cs="Arial"/>
          <w:noProof w:val="0"/>
          <w:color w:val="0D0D0D" w:themeColor="text1" w:themeTint="F2" w:themeShade="FF"/>
          <w:sz w:val="24"/>
          <w:szCs w:val="24"/>
          <w:lang w:val="en-GB"/>
        </w:rPr>
      </w:pPr>
      <w:r w:rsidRPr="69441A9A" w:rsidR="435C4907">
        <w:rPr>
          <w:rFonts w:ascii="Arial" w:hAnsi="Arial" w:eastAsia="Arial" w:cs="Arial"/>
          <w:sz w:val="24"/>
          <w:szCs w:val="24"/>
        </w:rPr>
        <w:t>P</w:t>
      </w:r>
      <w:r w:rsidRPr="69441A9A" w:rsidR="2EDD2060">
        <w:rPr>
          <w:rFonts w:ascii="Arial" w:hAnsi="Arial" w:eastAsia="Arial" w:cs="Arial"/>
          <w:noProof w:val="0"/>
          <w:color w:val="0D0D0D" w:themeColor="text1" w:themeTint="F2" w:themeShade="FF"/>
          <w:sz w:val="24"/>
          <w:szCs w:val="24"/>
          <w:lang w:val="en-GB"/>
        </w:rPr>
        <w:t xml:space="preserve"> Predictive genetic testing for Huntington’s Disease (HD) enables individuals to determine whether they have inherited the pathogenic </w:t>
      </w:r>
      <w:r w:rsidRPr="69441A9A" w:rsidR="2EDD2060">
        <w:rPr>
          <w:rFonts w:ascii="Arial" w:hAnsi="Arial" w:eastAsia="Arial" w:cs="Arial"/>
          <w:i w:val="1"/>
          <w:iCs w:val="1"/>
          <w:noProof w:val="0"/>
          <w:color w:val="0D0D0D" w:themeColor="text1" w:themeTint="F2" w:themeShade="FF"/>
          <w:sz w:val="24"/>
          <w:szCs w:val="24"/>
          <w:lang w:val="en-GB"/>
        </w:rPr>
        <w:t>HTT</w:t>
      </w:r>
      <w:r w:rsidRPr="69441A9A" w:rsidR="2EDD2060">
        <w:rPr>
          <w:rFonts w:ascii="Arial" w:hAnsi="Arial" w:eastAsia="Arial" w:cs="Arial"/>
          <w:noProof w:val="0"/>
          <w:color w:val="0D0D0D" w:themeColor="text1" w:themeTint="F2" w:themeShade="FF"/>
          <w:sz w:val="24"/>
          <w:szCs w:val="24"/>
          <w:lang w:val="en-GB"/>
        </w:rPr>
        <w:t xml:space="preserve"> gene before symptoms emerge. While this knowledge may provide certainty and facilitate informed decision-making, it can also have profound psychological implications extending beyond testing (Chisholm et al., 2013; Stopford et al., 2019). Research demonstrates that predictive testing can influence identity, relationships, future planning, and psychological wellbeing, with individuals reporting ongoing experiences of uncertainty, anticipatory grief, identity reconstruction, and changing family dynamics (Klitzman et al., 2007; Zarotti et al., 2020; Gunn et al., 2023). Consequently, the psychological impact of predictive testing cannot be understood solely through genetic outcome, but through how individuals integrate genetic knowledge into everyday life.</w:t>
      </w:r>
    </w:p>
    <w:p w:rsidR="00C07604" w:rsidP="69441A9A" w:rsidRDefault="00C07604" w14:paraId="6FDA8A3F" w14:textId="43FEAD14">
      <w:pPr>
        <w:spacing w:before="240" w:beforeAutospacing="off" w:after="240" w:afterAutospacing="off"/>
        <w:jc w:val="both"/>
        <w:rPr>
          <w:rFonts w:ascii="Arial" w:hAnsi="Arial" w:eastAsia="Arial" w:cs="Arial"/>
          <w:noProof w:val="0"/>
          <w:color w:val="0D0D0D" w:themeColor="text1" w:themeTint="F2" w:themeShade="FF"/>
          <w:sz w:val="24"/>
          <w:szCs w:val="24"/>
          <w:lang w:val="en-GB"/>
        </w:rPr>
      </w:pPr>
      <w:r w:rsidRPr="69441A9A" w:rsidR="2EDD2060">
        <w:rPr>
          <w:rFonts w:ascii="Arial" w:hAnsi="Arial" w:eastAsia="Arial" w:cs="Arial"/>
          <w:noProof w:val="0"/>
          <w:color w:val="0D0D0D" w:themeColor="text1" w:themeTint="F2" w:themeShade="FF"/>
          <w:sz w:val="24"/>
          <w:szCs w:val="24"/>
          <w:lang w:val="en-GB"/>
        </w:rPr>
        <w:t>Although genetic counselling plays a vital role in informed decision-making, communicating genetic risk, and preparing individuals for possible outcomes (Arning et al., 2015; Goldman, 2020), psychological adjustment often continues beyond the testing pathway (Pierron et al., 2021). Comparatively little is known about individuals’ longer-term therapeutic needs or how counselling professionals can support psychological adaptation following predictive testing, particularly within the UK context (Dimond et al., 2022; Schiger et al., 2025).</w:t>
      </w:r>
    </w:p>
    <w:p w:rsidR="00C07604" w:rsidP="69441A9A" w:rsidRDefault="00C07604" w14:paraId="70A4BEBC" w14:textId="6F0B7246">
      <w:pPr>
        <w:spacing w:before="240" w:beforeAutospacing="off" w:after="240" w:afterAutospacing="off"/>
        <w:jc w:val="both"/>
        <w:rPr>
          <w:rFonts w:ascii="Arial" w:hAnsi="Arial" w:eastAsia="Arial" w:cs="Arial"/>
          <w:noProof w:val="0"/>
          <w:color w:val="0D0D0D" w:themeColor="text1" w:themeTint="F2" w:themeShade="FF"/>
          <w:sz w:val="24"/>
          <w:szCs w:val="24"/>
          <w:lang w:val="en-GB"/>
        </w:rPr>
      </w:pPr>
      <w:r w:rsidRPr="69441A9A" w:rsidR="2EDD2060">
        <w:rPr>
          <w:rFonts w:ascii="Arial" w:hAnsi="Arial" w:eastAsia="Arial" w:cs="Arial"/>
          <w:noProof w:val="0"/>
          <w:color w:val="0D0D0D" w:themeColor="text1" w:themeTint="F2" w:themeShade="FF"/>
          <w:sz w:val="24"/>
          <w:szCs w:val="24"/>
          <w:lang w:val="en-GB"/>
        </w:rPr>
        <w:t>This study addresses this gap by exploring the lived experiences of individuals who have undergone predictive genetic testing for HD using Interpretative Phenomenological Analysis (IPA). By examining experiences of psychological adjustment and therapeutic support, the study seeks to inform counselling practice and consider how counselling professionals may complement existing genetic counselling pathways in supporting longer-term adaptation to living with predictive genetic knowledge.</w:t>
      </w:r>
    </w:p>
    <w:p w:rsidR="00C07604" w:rsidP="69441A9A" w:rsidRDefault="00C07604" w14:paraId="3692EFB1" w14:textId="0FF4D005">
      <w:pPr>
        <w:spacing w:before="240" w:beforeAutospacing="off" w:after="0" w:afterAutospacing="off"/>
        <w:jc w:val="both"/>
        <w:rPr>
          <w:rFonts w:ascii="Arial" w:hAnsi="Arial" w:eastAsia="Arial" w:cs="Arial"/>
          <w:noProof w:val="0"/>
          <w:color w:val="0D0D0D" w:themeColor="text1" w:themeTint="F2" w:themeShade="FF"/>
          <w:sz w:val="24"/>
          <w:szCs w:val="24"/>
          <w:lang w:val="en-GB"/>
        </w:rPr>
      </w:pPr>
      <w:r w:rsidRPr="69441A9A" w:rsidR="2EDD2060">
        <w:rPr>
          <w:rFonts w:ascii="Arial" w:hAnsi="Arial" w:eastAsia="Arial" w:cs="Arial"/>
          <w:noProof w:val="0"/>
          <w:color w:val="0D0D0D" w:themeColor="text1" w:themeTint="F2" w:themeShade="FF"/>
          <w:sz w:val="24"/>
          <w:szCs w:val="24"/>
          <w:lang w:val="en-GB"/>
        </w:rPr>
        <w:t>The dissertation begins with a critical review of the literature before outlining the methodology. Findings are then presented and discussed in relation to existing evidence, followed by consideration of implications for counselling practice, study limitations, and recommendations for future research.</w:t>
      </w:r>
    </w:p>
    <w:p w:rsidR="00C07604" w:rsidP="69441A9A" w:rsidRDefault="00C07604" w14:paraId="7EE3E523" w14:textId="43E6CEE8">
      <w:pPr>
        <w:jc w:val="both"/>
        <w:rPr>
          <w:rFonts w:ascii="Arial" w:hAnsi="Arial" w:eastAsia="Arial" w:cs="Arial"/>
          <w:sz w:val="24"/>
          <w:szCs w:val="24"/>
        </w:rPr>
      </w:pPr>
    </w:p>
    <w:p w:rsidR="00A35434" w:rsidP="69441A9A" w:rsidRDefault="00B05639" w14:paraId="08A3301B" w14:textId="77E83D03">
      <w:pPr>
        <w:pStyle w:val="Heading1"/>
        <w:numPr>
          <w:ilvl w:val="0"/>
          <w:numId w:val="0"/>
        </w:numPr>
        <w:ind w:left="431"/>
        <w:rPr>
          <w:rFonts w:ascii="Arial" w:hAnsi="Arial" w:eastAsia="Arial" w:cs="Arial"/>
          <w:noProof w:val="0"/>
        </w:rPr>
      </w:pPr>
      <w:bookmarkStart w:name="_Toc238028850" w:id="6"/>
      <w:r w:rsidRPr="69441A9A" w:rsidR="1609C01A">
        <w:rPr>
          <w:rFonts w:ascii="Arial" w:hAnsi="Arial" w:eastAsia="Arial" w:cs="Arial"/>
          <w:noProof w:val="0"/>
        </w:rPr>
        <w:t>Chapter 1</w:t>
      </w:r>
      <w:r w:rsidRPr="69441A9A" w:rsidR="00B05639">
        <w:rPr>
          <w:rFonts w:ascii="Arial" w:hAnsi="Arial" w:eastAsia="Arial" w:cs="Arial"/>
          <w:noProof w:val="0"/>
        </w:rPr>
        <w:t xml:space="preserve">: </w:t>
      </w:r>
      <w:r w:rsidRPr="69441A9A" w:rsidR="00A00393">
        <w:rPr>
          <w:rFonts w:ascii="Arial" w:hAnsi="Arial" w:eastAsia="Arial" w:cs="Arial"/>
          <w:noProof w:val="0"/>
        </w:rPr>
        <w:t>L</w:t>
      </w:r>
      <w:r w:rsidRPr="69441A9A" w:rsidR="00934936">
        <w:rPr>
          <w:rFonts w:ascii="Arial" w:hAnsi="Arial" w:eastAsia="Arial" w:cs="Arial"/>
          <w:noProof w:val="0"/>
        </w:rPr>
        <w:t>iterature Review</w:t>
      </w:r>
      <w:bookmarkEnd w:id="6"/>
    </w:p>
    <w:p w:rsidR="00507DA4" w:rsidP="69441A9A" w:rsidRDefault="00507DA4" w14:paraId="0E535204" w14:textId="77777777">
      <w:pPr>
        <w:rPr>
          <w:rFonts w:ascii="Arial" w:hAnsi="Arial" w:eastAsia="Arial" w:cs="Arial"/>
        </w:rPr>
      </w:pPr>
    </w:p>
    <w:p w:rsidR="00507DA4" w:rsidP="69441A9A" w:rsidRDefault="00507DA4" w14:paraId="20DDCF8D" w14:textId="7C865F67">
      <w:pPr>
        <w:pStyle w:val="Heading2"/>
        <w:rPr>
          <w:rFonts w:ascii="Arial" w:hAnsi="Arial" w:eastAsia="Arial" w:cs="Arial"/>
        </w:rPr>
      </w:pPr>
      <w:bookmarkStart w:name="_Toc238028851" w:id="7"/>
      <w:r w:rsidRPr="69441A9A" w:rsidR="00507DA4">
        <w:rPr>
          <w:rFonts w:ascii="Arial" w:hAnsi="Arial" w:eastAsia="Arial" w:cs="Arial"/>
        </w:rPr>
        <w:t>Introduction</w:t>
      </w:r>
      <w:bookmarkEnd w:id="7"/>
      <w:r w:rsidRPr="69441A9A" w:rsidR="00507DA4">
        <w:rPr>
          <w:rFonts w:ascii="Arial" w:hAnsi="Arial" w:eastAsia="Arial" w:cs="Arial"/>
        </w:rPr>
        <w:t xml:space="preserve"> </w:t>
      </w:r>
    </w:p>
    <w:p w:rsidRPr="005120BC" w:rsidR="005120BC" w:rsidP="69441A9A" w:rsidRDefault="005120BC" w14:paraId="22DE3839" w14:textId="77777777">
      <w:pPr>
        <w:rPr>
          <w:rFonts w:ascii="Arial" w:hAnsi="Arial" w:eastAsia="Arial" w:cs="Arial"/>
        </w:rPr>
      </w:pPr>
    </w:p>
    <w:p w:rsidR="00C43983" w:rsidP="69441A9A" w:rsidRDefault="00C43983" w14:paraId="0E065365" w14:textId="14F12247">
      <w:pPr>
        <w:spacing w:before="240"/>
        <w:jc w:val="both"/>
        <w:rPr>
          <w:rFonts w:ascii="Arial" w:hAnsi="Arial" w:eastAsia="Arial" w:cs="Arial"/>
          <w:color w:val="000000" w:themeColor="text1"/>
          <w:sz w:val="24"/>
          <w:szCs w:val="24"/>
        </w:rPr>
      </w:pPr>
      <w:r w:rsidRPr="69441A9A" w:rsidR="6F2777BC">
        <w:rPr>
          <w:rFonts w:ascii="Arial" w:hAnsi="Arial" w:eastAsia="Arial" w:cs="Arial"/>
          <w:color w:val="000000" w:themeColor="text1" w:themeTint="FF" w:themeShade="FF"/>
          <w:sz w:val="24"/>
          <w:szCs w:val="24"/>
        </w:rPr>
        <w:t xml:space="preserve">This literature review explores the psychological experiences of individuals undergoing predictive genetic testing for Huntington’s disease (HD), with particular attention to how genetic knowledge </w:t>
      </w:r>
      <w:r w:rsidRPr="69441A9A" w:rsidR="25DB9405">
        <w:rPr>
          <w:rFonts w:ascii="Arial" w:hAnsi="Arial" w:eastAsia="Arial" w:cs="Arial"/>
          <w:color w:val="000000" w:themeColor="text1" w:themeTint="FF" w:themeShade="FF"/>
          <w:sz w:val="24"/>
          <w:szCs w:val="24"/>
        </w:rPr>
        <w:t>influence's</w:t>
      </w:r>
      <w:r w:rsidRPr="69441A9A" w:rsidR="6F2777BC">
        <w:rPr>
          <w:rFonts w:ascii="Arial" w:hAnsi="Arial" w:eastAsia="Arial" w:cs="Arial"/>
          <w:color w:val="000000" w:themeColor="text1" w:themeTint="FF" w:themeShade="FF"/>
          <w:sz w:val="24"/>
          <w:szCs w:val="24"/>
        </w:rPr>
        <w:t xml:space="preserve"> identity, relationships, future planning, and psychological wellbeing. Existing research has </w:t>
      </w:r>
      <w:r w:rsidRPr="69441A9A" w:rsidR="6F2777BC">
        <w:rPr>
          <w:rFonts w:ascii="Arial" w:hAnsi="Arial" w:eastAsia="Arial" w:cs="Arial"/>
          <w:color w:val="000000" w:themeColor="text1" w:themeTint="FF" w:themeShade="FF"/>
          <w:sz w:val="24"/>
          <w:szCs w:val="24"/>
        </w:rPr>
        <w:t>demonstrated</w:t>
      </w:r>
      <w:r w:rsidRPr="69441A9A" w:rsidR="6F2777BC">
        <w:rPr>
          <w:rFonts w:ascii="Arial" w:hAnsi="Arial" w:eastAsia="Arial" w:cs="Arial"/>
          <w:color w:val="000000" w:themeColor="text1" w:themeTint="FF" w:themeShade="FF"/>
          <w:sz w:val="24"/>
          <w:szCs w:val="24"/>
        </w:rPr>
        <w:t xml:space="preserve"> that predictive testing can produce complex and sometimes contradictory psychological responses, extending beyond the immediate disclosure of a genetic result (Chisholm </w:t>
      </w:r>
      <w:r w:rsidRPr="69441A9A" w:rsidR="7A4241C9">
        <w:rPr>
          <w:rFonts w:ascii="Arial" w:hAnsi="Arial" w:eastAsia="Arial" w:cs="Arial"/>
          <w:i w:val="1"/>
          <w:iCs w:val="1"/>
          <w:color w:val="000000" w:themeColor="text1" w:themeTint="FF" w:themeShade="FF"/>
          <w:sz w:val="24"/>
          <w:szCs w:val="24"/>
        </w:rPr>
        <w:t>et al</w:t>
      </w:r>
      <w:r w:rsidRPr="69441A9A" w:rsidR="6F2777BC">
        <w:rPr>
          <w:rFonts w:ascii="Arial" w:hAnsi="Arial" w:eastAsia="Arial" w:cs="Arial"/>
          <w:color w:val="000000" w:themeColor="text1" w:themeTint="FF" w:themeShade="FF"/>
          <w:sz w:val="24"/>
          <w:szCs w:val="24"/>
        </w:rPr>
        <w:t>., 201</w:t>
      </w:r>
      <w:r w:rsidRPr="69441A9A" w:rsidR="37C8128D">
        <w:rPr>
          <w:rFonts w:ascii="Arial" w:hAnsi="Arial" w:eastAsia="Arial" w:cs="Arial"/>
          <w:color w:val="000000" w:themeColor="text1" w:themeTint="FF" w:themeShade="FF"/>
          <w:sz w:val="24"/>
          <w:szCs w:val="24"/>
        </w:rPr>
        <w:t>3</w:t>
      </w:r>
      <w:r w:rsidRPr="69441A9A" w:rsidR="6F2777BC">
        <w:rPr>
          <w:rFonts w:ascii="Arial" w:hAnsi="Arial" w:eastAsia="Arial" w:cs="Arial"/>
          <w:color w:val="000000" w:themeColor="text1" w:themeTint="FF" w:themeShade="FF"/>
          <w:sz w:val="24"/>
          <w:szCs w:val="24"/>
        </w:rPr>
        <w:t xml:space="preserve">; </w:t>
      </w:r>
      <w:r w:rsidRPr="69441A9A" w:rsidR="6F2777BC">
        <w:rPr>
          <w:rFonts w:ascii="Arial" w:hAnsi="Arial" w:eastAsia="Arial" w:cs="Arial"/>
          <w:color w:val="000000" w:themeColor="text1" w:themeTint="FF" w:themeShade="FF"/>
          <w:sz w:val="24"/>
          <w:szCs w:val="24"/>
        </w:rPr>
        <w:t>Stopfo</w:t>
      </w:r>
      <w:r w:rsidRPr="69441A9A" w:rsidR="6F2777BC">
        <w:rPr>
          <w:rFonts w:ascii="Arial" w:hAnsi="Arial" w:eastAsia="Arial" w:cs="Arial"/>
          <w:color w:val="000000" w:themeColor="text1" w:themeTint="FF" w:themeShade="FF"/>
          <w:sz w:val="24"/>
          <w:szCs w:val="24"/>
        </w:rPr>
        <w:t xml:space="preserve">rd </w:t>
      </w:r>
      <w:r w:rsidRPr="69441A9A" w:rsidR="7A4241C9">
        <w:rPr>
          <w:rFonts w:ascii="Arial" w:hAnsi="Arial" w:eastAsia="Arial" w:cs="Arial"/>
          <w:i w:val="1"/>
          <w:iCs w:val="1"/>
          <w:color w:val="000000" w:themeColor="text1" w:themeTint="FF" w:themeShade="FF"/>
          <w:sz w:val="24"/>
          <w:szCs w:val="24"/>
        </w:rPr>
        <w:t>et al</w:t>
      </w:r>
      <w:r w:rsidRPr="69441A9A" w:rsidR="6F2777BC">
        <w:rPr>
          <w:rFonts w:ascii="Arial" w:hAnsi="Arial" w:eastAsia="Arial" w:cs="Arial"/>
          <w:color w:val="000000" w:themeColor="text1" w:themeTint="FF" w:themeShade="FF"/>
          <w:sz w:val="24"/>
          <w:szCs w:val="24"/>
        </w:rPr>
        <w:t>., 20</w:t>
      </w:r>
      <w:r w:rsidRPr="69441A9A" w:rsidR="264978C1">
        <w:rPr>
          <w:rFonts w:ascii="Arial" w:hAnsi="Arial" w:eastAsia="Arial" w:cs="Arial"/>
          <w:color w:val="000000" w:themeColor="text1" w:themeTint="FF" w:themeShade="FF"/>
          <w:sz w:val="24"/>
          <w:szCs w:val="24"/>
        </w:rPr>
        <w:t>19</w:t>
      </w:r>
      <w:r w:rsidRPr="69441A9A" w:rsidR="6F2777BC">
        <w:rPr>
          <w:rFonts w:ascii="Arial" w:hAnsi="Arial" w:eastAsia="Arial" w:cs="Arial"/>
          <w:color w:val="000000" w:themeColor="text1" w:themeTint="FF" w:themeShade="FF"/>
          <w:sz w:val="24"/>
          <w:szCs w:val="24"/>
        </w:rPr>
        <w:t>).</w:t>
      </w:r>
    </w:p>
    <w:p w:rsidRPr="00C43983" w:rsidR="004B4525" w:rsidP="69441A9A" w:rsidRDefault="004B4525" w14:paraId="740B5BE7" w14:textId="77777777">
      <w:pPr>
        <w:spacing w:before="240"/>
        <w:jc w:val="both"/>
        <w:rPr>
          <w:rFonts w:ascii="Arial" w:hAnsi="Arial" w:eastAsia="Arial" w:cs="Arial"/>
          <w:sz w:val="24"/>
          <w:szCs w:val="24"/>
        </w:rPr>
      </w:pPr>
    </w:p>
    <w:p w:rsidRPr="00B10FBE" w:rsidR="00B10FBE" w:rsidP="69441A9A" w:rsidRDefault="00B10FBE" w14:paraId="5614CA91" w14:textId="37F88A2D">
      <w:pPr>
        <w:spacing w:before="240"/>
        <w:jc w:val="both"/>
        <w:rPr>
          <w:rFonts w:ascii="Arial" w:hAnsi="Arial" w:eastAsia="Arial" w:cs="Arial"/>
          <w:color w:val="000000" w:themeColor="text1" w:themeTint="FF" w:themeShade="FF"/>
          <w:sz w:val="24"/>
          <w:szCs w:val="24"/>
        </w:rPr>
      </w:pPr>
      <w:r>
        <w:br/>
      </w:r>
      <w:r w:rsidRPr="69441A9A" w:rsidR="6F2777BC">
        <w:rPr>
          <w:rFonts w:ascii="Arial" w:hAnsi="Arial" w:eastAsia="Arial" w:cs="Arial"/>
          <w:color w:val="000000" w:themeColor="text1" w:themeTint="FF" w:themeShade="FF"/>
          <w:sz w:val="24"/>
          <w:szCs w:val="24"/>
        </w:rPr>
        <w:t xml:space="preserve">The review considers the psychological experiences of individuals living at risk of HD, the impact of receiving gene-positive and gene-negative results, and the relational and therapeutic implications of predictive testing. </w:t>
      </w:r>
      <w:r w:rsidRPr="69441A9A" w:rsidR="6F2777BC">
        <w:rPr>
          <w:rFonts w:ascii="Arial" w:hAnsi="Arial" w:eastAsia="Arial" w:cs="Arial"/>
          <w:color w:val="000000" w:themeColor="text1" w:themeTint="FF" w:themeShade="FF"/>
          <w:sz w:val="24"/>
          <w:szCs w:val="24"/>
        </w:rPr>
        <w:t>Particular attention</w:t>
      </w:r>
      <w:r w:rsidRPr="69441A9A" w:rsidR="6F2777BC">
        <w:rPr>
          <w:rFonts w:ascii="Arial" w:hAnsi="Arial" w:eastAsia="Arial" w:cs="Arial"/>
          <w:color w:val="000000" w:themeColor="text1" w:themeTint="FF" w:themeShade="FF"/>
          <w:sz w:val="24"/>
          <w:szCs w:val="24"/>
        </w:rPr>
        <w:t xml:space="preserve"> is given to the distinction between genetic counselling and longer-term psychological support, as well as the extent to which current testing pathways address the ongoing emotional needs of individuals and their families.</w:t>
      </w:r>
      <w:bookmarkStart w:name="_Toc238028852" w:id="8"/>
      <w:r>
        <w:br/>
      </w:r>
    </w:p>
    <w:p w:rsidRPr="00B10FBE" w:rsidR="00B10FBE" w:rsidP="69441A9A" w:rsidRDefault="00B10FBE" w14:paraId="1C8DD639" w14:textId="03677A4A">
      <w:pPr>
        <w:spacing w:before="240"/>
        <w:jc w:val="both"/>
        <w:rPr>
          <w:rFonts w:ascii="Arial" w:hAnsi="Arial" w:eastAsia="Arial" w:cs="Arial"/>
        </w:rPr>
      </w:pPr>
      <w:r w:rsidRPr="69441A9A" w:rsidR="0701BE58">
        <w:rPr>
          <w:rFonts w:ascii="Arial" w:hAnsi="Arial" w:eastAsia="Arial" w:cs="Arial"/>
          <w:b w:val="1"/>
          <w:bCs w:val="1"/>
        </w:rPr>
        <w:t>Research Question</w:t>
      </w:r>
      <w:r w:rsidRPr="69441A9A" w:rsidR="77613321">
        <w:rPr>
          <w:rFonts w:ascii="Arial" w:hAnsi="Arial" w:eastAsia="Arial" w:cs="Arial"/>
          <w:b w:val="1"/>
          <w:bCs w:val="1"/>
        </w:rPr>
        <w:t>s</w:t>
      </w:r>
      <w:bookmarkEnd w:id="8"/>
    </w:p>
    <w:p w:rsidRPr="00702D46" w:rsidR="00095527" w:rsidP="69441A9A" w:rsidRDefault="00702D46" w14:paraId="276F1373" w14:textId="11F6ABED">
      <w:pPr>
        <w:jc w:val="both"/>
        <w:rPr>
          <w:rFonts w:ascii="Arial" w:hAnsi="Arial" w:eastAsia="Arial" w:cs="Arial"/>
          <w:sz w:val="24"/>
          <w:szCs w:val="24"/>
        </w:rPr>
      </w:pPr>
      <w:r w:rsidRPr="69441A9A" w:rsidR="00702D46">
        <w:rPr>
          <w:rFonts w:ascii="Arial" w:hAnsi="Arial" w:eastAsia="Arial" w:cs="Arial"/>
          <w:sz w:val="24"/>
          <w:szCs w:val="24"/>
        </w:rPr>
        <w:t>The review seeks to address two central questions: how individuals experience and make sense of predictive genetic testing for HD, and what forms of therapeutic support may be helpful in navigating its psychological consequences.</w:t>
      </w:r>
    </w:p>
    <w:p w:rsidR="00E37848" w:rsidP="69441A9A" w:rsidRDefault="00E37848" w14:paraId="7B18FC6A" w14:textId="05F44668">
      <w:pPr>
        <w:pStyle w:val="Heading2"/>
        <w:rPr>
          <w:rFonts w:ascii="Arial" w:hAnsi="Arial" w:eastAsia="Arial" w:cs="Arial"/>
        </w:rPr>
      </w:pPr>
      <w:bookmarkStart w:name="_Toc238028853" w:id="9"/>
      <w:r w:rsidRPr="69441A9A" w:rsidR="285B8BEA">
        <w:rPr>
          <w:rFonts w:ascii="Arial" w:hAnsi="Arial" w:eastAsia="Arial" w:cs="Arial"/>
        </w:rPr>
        <w:t xml:space="preserve">An </w:t>
      </w:r>
      <w:r w:rsidRPr="69441A9A" w:rsidR="77613321">
        <w:rPr>
          <w:rFonts w:ascii="Arial" w:hAnsi="Arial" w:eastAsia="Arial" w:cs="Arial"/>
        </w:rPr>
        <w:t>O</w:t>
      </w:r>
      <w:r w:rsidRPr="69441A9A" w:rsidR="285B8BEA">
        <w:rPr>
          <w:rFonts w:ascii="Arial" w:hAnsi="Arial" w:eastAsia="Arial" w:cs="Arial"/>
        </w:rPr>
        <w:t>verview of Huntington’s Disease</w:t>
      </w:r>
      <w:bookmarkEnd w:id="9"/>
    </w:p>
    <w:p w:rsidRPr="00B10FBE" w:rsidR="00B10FBE" w:rsidP="69441A9A" w:rsidRDefault="00B10FBE" w14:paraId="66433E45" w14:textId="77777777">
      <w:pPr>
        <w:rPr>
          <w:rFonts w:ascii="Arial" w:hAnsi="Arial" w:eastAsia="Arial" w:cs="Arial"/>
        </w:rPr>
      </w:pPr>
    </w:p>
    <w:p w:rsidR="00E37848" w:rsidP="69441A9A" w:rsidRDefault="00E37848" w14:paraId="089872FC" w14:textId="6710B030">
      <w:pPr>
        <w:pStyle w:val="Normal"/>
        <w:spacing w:before="240"/>
        <w:jc w:val="both"/>
        <w:rPr>
          <w:rFonts w:ascii="Arial" w:hAnsi="Arial" w:eastAsia="Arial" w:cs="Arial"/>
          <w:color w:val="000000" w:themeColor="text1"/>
          <w:sz w:val="24"/>
          <w:szCs w:val="24"/>
        </w:rPr>
      </w:pPr>
      <w:r w:rsidRPr="69441A9A" w:rsidR="285B8BEA">
        <w:rPr>
          <w:rFonts w:ascii="Arial" w:hAnsi="Arial" w:eastAsia="Arial" w:cs="Arial"/>
          <w:color w:val="000000" w:themeColor="text1" w:themeTint="FF" w:themeShade="FF"/>
          <w:sz w:val="24"/>
          <w:szCs w:val="24"/>
        </w:rPr>
        <w:t>Huntington’s</w:t>
      </w:r>
      <w:r w:rsidRPr="69441A9A" w:rsidR="3362984B">
        <w:rPr>
          <w:rFonts w:ascii="Arial" w:hAnsi="Arial" w:eastAsia="Arial" w:cs="Arial"/>
          <w:color w:val="000000" w:themeColor="text1" w:themeTint="FF" w:themeShade="FF"/>
          <w:sz w:val="24"/>
          <w:szCs w:val="24"/>
        </w:rPr>
        <w:t xml:space="preserve"> D</w:t>
      </w:r>
      <w:r w:rsidRPr="69441A9A" w:rsidR="285B8BEA">
        <w:rPr>
          <w:rFonts w:ascii="Arial" w:hAnsi="Arial" w:eastAsia="Arial" w:cs="Arial"/>
          <w:color w:val="000000" w:themeColor="text1" w:themeTint="FF" w:themeShade="FF"/>
          <w:sz w:val="24"/>
          <w:szCs w:val="24"/>
        </w:rPr>
        <w:t xml:space="preserve">isease (HD) is a progressive, inherited neurodegenerative disorder characterised by motor, cognitive and psychiatric symptoms (Walker, 2007). It is caused by an autosomal dominant mutation in the HTT gene, meaning that each child of an affected parent has a 50% chance of inheriting the altered gene (Walker, 2007). Although the condition is </w:t>
      </w:r>
      <w:r w:rsidRPr="69441A9A" w:rsidR="285B8BEA">
        <w:rPr>
          <w:rFonts w:ascii="Arial" w:hAnsi="Arial" w:eastAsia="Arial" w:cs="Arial"/>
          <w:color w:val="000000" w:themeColor="text1" w:themeTint="FF" w:themeShade="FF"/>
          <w:sz w:val="24"/>
          <w:szCs w:val="24"/>
        </w:rPr>
        <w:t xml:space="preserve">ultimately </w:t>
      </w:r>
      <w:r w:rsidRPr="69441A9A" w:rsidR="285B8BEA">
        <w:rPr>
          <w:rFonts w:ascii="Arial" w:hAnsi="Arial" w:eastAsia="Arial" w:cs="Arial"/>
          <w:color w:val="000000" w:themeColor="text1" w:themeTint="FF" w:themeShade="FF"/>
          <w:sz w:val="24"/>
          <w:szCs w:val="24"/>
        </w:rPr>
        <w:t>fatal</w:t>
      </w:r>
      <w:r w:rsidRPr="69441A9A" w:rsidR="285B8BEA">
        <w:rPr>
          <w:rFonts w:ascii="Arial" w:hAnsi="Arial" w:eastAsia="Arial" w:cs="Arial"/>
          <w:color w:val="000000" w:themeColor="text1" w:themeTint="FF" w:themeShade="FF"/>
          <w:sz w:val="24"/>
          <w:szCs w:val="24"/>
        </w:rPr>
        <w:t xml:space="preserve">, the age and progression of onset </w:t>
      </w:r>
      <w:r w:rsidRPr="69441A9A" w:rsidR="285B8BEA">
        <w:rPr>
          <w:rFonts w:ascii="Arial" w:hAnsi="Arial" w:eastAsia="Arial" w:cs="Arial"/>
          <w:color w:val="000000" w:themeColor="text1" w:themeTint="FF" w:themeShade="FF"/>
          <w:sz w:val="24"/>
          <w:szCs w:val="24"/>
        </w:rPr>
        <w:t>vary considerably, contributing</w:t>
      </w:r>
      <w:r w:rsidRPr="69441A9A" w:rsidR="285B8BEA">
        <w:rPr>
          <w:rFonts w:ascii="Arial" w:hAnsi="Arial" w:eastAsia="Arial" w:cs="Arial"/>
          <w:color w:val="000000" w:themeColor="text1" w:themeTint="FF" w:themeShade="FF"/>
          <w:sz w:val="24"/>
          <w:szCs w:val="24"/>
        </w:rPr>
        <w:t xml:space="preserve"> to prolonged uncertainty for individuals living at risk (Wieringa </w:t>
      </w:r>
      <w:r w:rsidRPr="69441A9A" w:rsidR="7A4241C9">
        <w:rPr>
          <w:rFonts w:ascii="Arial" w:hAnsi="Arial" w:eastAsia="Arial" w:cs="Arial"/>
          <w:i w:val="1"/>
          <w:iCs w:val="1"/>
          <w:color w:val="000000" w:themeColor="text1" w:themeTint="FF" w:themeShade="FF"/>
          <w:sz w:val="24"/>
          <w:szCs w:val="24"/>
        </w:rPr>
        <w:t>et al</w:t>
      </w:r>
      <w:r w:rsidRPr="69441A9A" w:rsidR="285B8BEA">
        <w:rPr>
          <w:rFonts w:ascii="Arial" w:hAnsi="Arial" w:eastAsia="Arial" w:cs="Arial"/>
          <w:color w:val="000000" w:themeColor="text1" w:themeTint="FF" w:themeShade="FF"/>
          <w:sz w:val="24"/>
          <w:szCs w:val="24"/>
        </w:rPr>
        <w:t>., 2022</w:t>
      </w:r>
      <w:r w:rsidRPr="69441A9A" w:rsidR="640C8963">
        <w:rPr>
          <w:rFonts w:ascii="Arial" w:hAnsi="Arial" w:eastAsia="Arial" w:cs="Arial"/>
          <w:color w:val="000000" w:themeColor="text1" w:themeTint="FF" w:themeShade="FF"/>
          <w:sz w:val="24"/>
          <w:szCs w:val="24"/>
        </w:rPr>
        <w:t xml:space="preserve">; </w:t>
      </w:r>
      <w:r w:rsidRPr="69441A9A" w:rsidR="640C8963">
        <w:rPr>
          <w:rFonts w:ascii="Arial" w:hAnsi="Arial" w:eastAsia="Arial" w:cs="Arial"/>
          <w:noProof w:val="0"/>
          <w:color w:val="000000" w:themeColor="text1" w:themeTint="FF" w:themeShade="FF"/>
          <w:sz w:val="24"/>
          <w:szCs w:val="24"/>
          <w:lang w:val="en-GB"/>
        </w:rPr>
        <w:t>Gavgani &amp; García-Domínguez, 2025</w:t>
      </w:r>
      <w:r w:rsidRPr="69441A9A" w:rsidR="2E7A1378">
        <w:rPr>
          <w:rFonts w:ascii="Arial" w:hAnsi="Arial" w:eastAsia="Arial" w:cs="Arial"/>
          <w:noProof w:val="0"/>
          <w:color w:val="000000" w:themeColor="text1" w:themeTint="FF" w:themeShade="FF"/>
          <w:sz w:val="24"/>
          <w:szCs w:val="24"/>
          <w:lang w:val="en-GB"/>
        </w:rPr>
        <w:t>c</w:t>
      </w:r>
      <w:r w:rsidRPr="69441A9A" w:rsidR="285B8BEA">
        <w:rPr>
          <w:rFonts w:ascii="Arial" w:hAnsi="Arial" w:eastAsia="Arial" w:cs="Arial"/>
          <w:color w:val="000000" w:themeColor="text1" w:themeTint="FF" w:themeShade="FF"/>
          <w:sz w:val="24"/>
          <w:szCs w:val="24"/>
        </w:rPr>
        <w:t>).</w:t>
      </w:r>
    </w:p>
    <w:p w:rsidRPr="00E37848" w:rsidR="001A2B94" w:rsidP="69441A9A" w:rsidRDefault="001A2B94" w14:paraId="3A7E30A2" w14:textId="77777777">
      <w:pPr>
        <w:spacing w:before="240"/>
        <w:jc w:val="both"/>
        <w:rPr>
          <w:rFonts w:ascii="Arial" w:hAnsi="Arial" w:eastAsia="Arial" w:cs="Arial"/>
          <w:sz w:val="24"/>
          <w:szCs w:val="24"/>
        </w:rPr>
      </w:pPr>
    </w:p>
    <w:p w:rsidR="00E37848" w:rsidP="69441A9A" w:rsidRDefault="00E37848" w14:paraId="5B7FE66B" w14:textId="77777777">
      <w:pPr>
        <w:spacing w:before="240"/>
        <w:jc w:val="both"/>
        <w:rPr>
          <w:rFonts w:ascii="Arial" w:hAnsi="Arial" w:eastAsia="Arial" w:cs="Arial"/>
          <w:color w:val="000000" w:themeColor="text1"/>
          <w:sz w:val="24"/>
          <w:szCs w:val="24"/>
        </w:rPr>
      </w:pPr>
      <w:r w:rsidRPr="69441A9A" w:rsidR="00E37848">
        <w:rPr>
          <w:rFonts w:ascii="Arial" w:hAnsi="Arial" w:eastAsia="Arial" w:cs="Arial"/>
          <w:color w:val="000000" w:themeColor="text1" w:themeTint="FF" w:themeShade="FF"/>
          <w:sz w:val="24"/>
          <w:szCs w:val="24"/>
        </w:rPr>
        <w:t>This uncertainty is particularly relevant to predictive genetic testing, which enables individuals to establish whether they have inherited the altered gene before symptoms emerge. Whilst genetic counselling supports informed decision-making, it does not necessarily address the longer-term emotional and psychological consequences of genetic knowledge.</w:t>
      </w:r>
    </w:p>
    <w:p w:rsidRPr="00E37848" w:rsidR="00ED09BB" w:rsidP="69441A9A" w:rsidRDefault="00ED09BB" w14:paraId="73CF87BD" w14:textId="77777777">
      <w:pPr>
        <w:spacing w:before="240"/>
        <w:jc w:val="both"/>
        <w:rPr>
          <w:rFonts w:ascii="Arial" w:hAnsi="Arial" w:eastAsia="Arial" w:cs="Arial"/>
          <w:sz w:val="24"/>
          <w:szCs w:val="24"/>
        </w:rPr>
      </w:pPr>
    </w:p>
    <w:p w:rsidR="00ED09BB" w:rsidP="69441A9A" w:rsidRDefault="00ED09BB" w14:paraId="409DCD7A" w14:textId="77777777">
      <w:pPr>
        <w:pStyle w:val="Heading2"/>
        <w:rPr>
          <w:rFonts w:ascii="Arial" w:hAnsi="Arial" w:eastAsia="Arial" w:cs="Arial"/>
        </w:rPr>
      </w:pPr>
      <w:bookmarkStart w:name="_Toc238028854" w:id="10"/>
      <w:r w:rsidRPr="69441A9A" w:rsidR="00ED09BB">
        <w:rPr>
          <w:rFonts w:ascii="Arial" w:hAnsi="Arial" w:eastAsia="Arial" w:cs="Arial"/>
        </w:rPr>
        <w:t>To Know or Not to Know</w:t>
      </w:r>
      <w:bookmarkEnd w:id="10"/>
    </w:p>
    <w:p w:rsidRPr="00B10FBE" w:rsidR="00B10FBE" w:rsidP="69441A9A" w:rsidRDefault="00B10FBE" w14:paraId="450FFD0E" w14:textId="77777777">
      <w:pPr>
        <w:rPr>
          <w:rFonts w:ascii="Arial" w:hAnsi="Arial" w:eastAsia="Arial" w:cs="Arial"/>
        </w:rPr>
      </w:pPr>
    </w:p>
    <w:p w:rsidR="00ED09BB" w:rsidP="69441A9A" w:rsidRDefault="00ED09BB" w14:paraId="2A3EE9F2" w14:textId="18EF13F1">
      <w:pPr>
        <w:spacing w:before="240"/>
        <w:jc w:val="both"/>
        <w:rPr>
          <w:rFonts w:ascii="Arial" w:hAnsi="Arial" w:eastAsia="Arial" w:cs="Arial"/>
          <w:color w:val="000000" w:themeColor="text1"/>
          <w:sz w:val="24"/>
          <w:szCs w:val="24"/>
        </w:rPr>
      </w:pPr>
      <w:r w:rsidRPr="69441A9A" w:rsidR="00ED09BB">
        <w:rPr>
          <w:rFonts w:ascii="Arial" w:hAnsi="Arial" w:eastAsia="Arial" w:cs="Arial"/>
          <w:color w:val="000000" w:themeColor="text1" w:themeTint="FF" w:themeShade="FF"/>
          <w:sz w:val="24"/>
          <w:szCs w:val="24"/>
        </w:rPr>
        <w:t xml:space="preserve">Consequences of HD on psychological well-being can begin with decision making around diagnostic testing. According to </w:t>
      </w:r>
      <w:r w:rsidRPr="69441A9A" w:rsidR="00ED09BB">
        <w:rPr>
          <w:rFonts w:ascii="Arial" w:hAnsi="Arial" w:eastAsia="Arial" w:cs="Arial"/>
          <w:color w:val="000000" w:themeColor="text1" w:themeTint="FF" w:themeShade="FF"/>
          <w:sz w:val="24"/>
          <w:szCs w:val="24"/>
        </w:rPr>
        <w:t>Oos</w:t>
      </w:r>
      <w:r w:rsidRPr="69441A9A" w:rsidR="00ED09BB">
        <w:rPr>
          <w:rFonts w:ascii="Arial" w:hAnsi="Arial" w:eastAsia="Arial" w:cs="Arial"/>
          <w:color w:val="000000" w:themeColor="text1" w:themeTint="FF" w:themeShade="FF"/>
          <w:sz w:val="24"/>
          <w:szCs w:val="24"/>
        </w:rPr>
        <w:t>terloo</w:t>
      </w:r>
      <w:r w:rsidRPr="69441A9A" w:rsidR="00ED09BB">
        <w:rPr>
          <w:rFonts w:ascii="Arial" w:hAnsi="Arial" w:eastAsia="Arial" w:cs="Arial"/>
          <w:color w:val="000000" w:themeColor="text1" w:themeTint="FF" w:themeShade="FF"/>
          <w:sz w:val="24"/>
          <w:szCs w:val="24"/>
        </w:rPr>
        <w:t xml:space="preserve"> </w:t>
      </w:r>
      <w:r w:rsidRPr="69441A9A" w:rsidR="00B10FBE">
        <w:rPr>
          <w:rFonts w:ascii="Arial" w:hAnsi="Arial" w:eastAsia="Arial" w:cs="Arial"/>
          <w:i w:val="1"/>
          <w:iCs w:val="1"/>
          <w:color w:val="000000" w:themeColor="text1" w:themeTint="FF" w:themeShade="FF"/>
          <w:sz w:val="24"/>
          <w:szCs w:val="24"/>
        </w:rPr>
        <w:t>et al</w:t>
      </w:r>
      <w:r w:rsidRPr="69441A9A" w:rsidR="00ED09BB">
        <w:rPr>
          <w:rFonts w:ascii="Arial" w:hAnsi="Arial" w:eastAsia="Arial" w:cs="Arial"/>
          <w:color w:val="000000" w:themeColor="text1" w:themeTint="FF" w:themeShade="FF"/>
          <w:sz w:val="24"/>
          <w:szCs w:val="24"/>
        </w:rPr>
        <w:t>. (202</w:t>
      </w:r>
      <w:r w:rsidRPr="69441A9A" w:rsidR="01AC5528">
        <w:rPr>
          <w:rFonts w:ascii="Arial" w:hAnsi="Arial" w:eastAsia="Arial" w:cs="Arial"/>
          <w:color w:val="000000" w:themeColor="text1" w:themeTint="FF" w:themeShade="FF"/>
          <w:sz w:val="24"/>
          <w:szCs w:val="24"/>
        </w:rPr>
        <w:t>4</w:t>
      </w:r>
      <w:r w:rsidRPr="69441A9A" w:rsidR="00ED09BB">
        <w:rPr>
          <w:rFonts w:ascii="Arial" w:hAnsi="Arial" w:eastAsia="Arial" w:cs="Arial"/>
          <w:color w:val="000000" w:themeColor="text1" w:themeTint="FF" w:themeShade="FF"/>
          <w:sz w:val="24"/>
          <w:szCs w:val="24"/>
        </w:rPr>
        <w:t xml:space="preserve">), deciding </w:t>
      </w:r>
      <w:r w:rsidRPr="69441A9A" w:rsidR="00ED09BB">
        <w:rPr>
          <w:rFonts w:ascii="Arial" w:hAnsi="Arial" w:eastAsia="Arial" w:cs="Arial"/>
          <w:color w:val="000000" w:themeColor="text1" w:themeTint="FF" w:themeShade="FF"/>
          <w:sz w:val="24"/>
          <w:szCs w:val="24"/>
        </w:rPr>
        <w:t>whether or not</w:t>
      </w:r>
      <w:r w:rsidRPr="69441A9A" w:rsidR="00ED09BB">
        <w:rPr>
          <w:rFonts w:ascii="Arial" w:hAnsi="Arial" w:eastAsia="Arial" w:cs="Arial"/>
          <w:color w:val="000000" w:themeColor="text1" w:themeTint="FF" w:themeShade="FF"/>
          <w:sz w:val="24"/>
          <w:szCs w:val="24"/>
        </w:rPr>
        <w:t xml:space="preserve"> to pursue genetic testing is intrinsically psychologically demanding. Individuals must weigh up the benefits of certainty and foreseeing the emotional strain of knowing one’s gene status (McCusker </w:t>
      </w:r>
      <w:r w:rsidRPr="69441A9A" w:rsidR="00851B6E">
        <w:rPr>
          <w:rFonts w:ascii="Arial" w:hAnsi="Arial" w:eastAsia="Arial" w:cs="Arial"/>
          <w:color w:val="000000" w:themeColor="text1" w:themeTint="FF" w:themeShade="FF"/>
          <w:sz w:val="24"/>
          <w:szCs w:val="24"/>
        </w:rPr>
        <w:t>and</w:t>
      </w:r>
      <w:r w:rsidRPr="69441A9A" w:rsidR="00ED09BB">
        <w:rPr>
          <w:rFonts w:ascii="Arial" w:hAnsi="Arial" w:eastAsia="Arial" w:cs="Arial"/>
          <w:color w:val="000000" w:themeColor="text1" w:themeTint="FF" w:themeShade="FF"/>
          <w:sz w:val="24"/>
          <w:szCs w:val="24"/>
        </w:rPr>
        <w:t xml:space="preserve"> Loy, 2017).</w:t>
      </w:r>
    </w:p>
    <w:p w:rsidRPr="00690124" w:rsidR="001A2B94" w:rsidP="69441A9A" w:rsidRDefault="001A2B94" w14:paraId="4594EAFF" w14:textId="77777777">
      <w:pPr>
        <w:spacing w:before="240"/>
        <w:jc w:val="both"/>
        <w:rPr>
          <w:rFonts w:ascii="Arial" w:hAnsi="Arial" w:eastAsia="Arial" w:cs="Arial"/>
          <w:sz w:val="24"/>
          <w:szCs w:val="24"/>
        </w:rPr>
      </w:pPr>
    </w:p>
    <w:p w:rsidR="002D7E47" w:rsidP="69441A9A" w:rsidRDefault="002D7E47" w14:paraId="3318B114" w14:textId="1AB99A29">
      <w:pPr>
        <w:spacing w:before="240"/>
        <w:jc w:val="both"/>
        <w:rPr>
          <w:rFonts w:ascii="Arial" w:hAnsi="Arial" w:eastAsia="Arial" w:cs="Arial"/>
          <w:color w:val="000000" w:themeColor="text1"/>
          <w:sz w:val="24"/>
          <w:szCs w:val="24"/>
        </w:rPr>
      </w:pPr>
      <w:r w:rsidRPr="69441A9A" w:rsidR="002D7E47">
        <w:rPr>
          <w:rFonts w:ascii="Arial" w:hAnsi="Arial" w:eastAsia="Arial" w:cs="Arial"/>
          <w:color w:val="000000" w:themeColor="text1" w:themeTint="FF" w:themeShade="FF"/>
          <w:sz w:val="24"/>
          <w:szCs w:val="24"/>
        </w:rPr>
        <w:t xml:space="preserve">Due to the psychological implications of genetic testing, international guidelines recommend that predictive testing for HD follows a structured, multi-session protocol which is developed to safeguard individuals’ psychological well-being (Migliore </w:t>
      </w:r>
      <w:r w:rsidRPr="69441A9A" w:rsidR="00B10FBE">
        <w:rPr>
          <w:rFonts w:ascii="Arial" w:hAnsi="Arial" w:eastAsia="Arial" w:cs="Arial"/>
          <w:i w:val="1"/>
          <w:iCs w:val="1"/>
          <w:color w:val="000000" w:themeColor="text1" w:themeTint="FF" w:themeShade="FF"/>
          <w:sz w:val="24"/>
          <w:szCs w:val="24"/>
        </w:rPr>
        <w:t>et al</w:t>
      </w:r>
      <w:r w:rsidRPr="69441A9A" w:rsidR="002D7E47">
        <w:rPr>
          <w:rFonts w:ascii="Arial" w:hAnsi="Arial" w:eastAsia="Arial" w:cs="Arial"/>
          <w:color w:val="000000" w:themeColor="text1" w:themeTint="FF" w:themeShade="FF"/>
          <w:sz w:val="24"/>
          <w:szCs w:val="24"/>
        </w:rPr>
        <w:t xml:space="preserve">., 2019). According to Goldman (2020), this includes three or more pre-test genetic counselling sessions that involve navigating complex questions surrounding one’s identity, relationships, reproductive decision-making, and anticipatory grief, followed by in-person result disclosure. This model reflects recognition that genetic information about HD is not merely biomedical data but life-altering knowledge with implications for identity, family, relationships, employability, and reproductive decision-making (Dimond </w:t>
      </w:r>
      <w:r w:rsidRPr="69441A9A" w:rsidR="00B10FBE">
        <w:rPr>
          <w:rFonts w:ascii="Arial" w:hAnsi="Arial" w:eastAsia="Arial" w:cs="Arial"/>
          <w:i w:val="1"/>
          <w:iCs w:val="1"/>
          <w:color w:val="000000" w:themeColor="text1" w:themeTint="FF" w:themeShade="FF"/>
          <w:sz w:val="24"/>
          <w:szCs w:val="24"/>
        </w:rPr>
        <w:t>et al</w:t>
      </w:r>
      <w:r w:rsidRPr="69441A9A" w:rsidR="002D7E47">
        <w:rPr>
          <w:rFonts w:ascii="Arial" w:hAnsi="Arial" w:eastAsia="Arial" w:cs="Arial"/>
          <w:color w:val="000000" w:themeColor="text1" w:themeTint="FF" w:themeShade="FF"/>
          <w:sz w:val="24"/>
          <w:szCs w:val="24"/>
        </w:rPr>
        <w:t>., 2022).</w:t>
      </w:r>
    </w:p>
    <w:p w:rsidRPr="002D7E47" w:rsidR="001A2B94" w:rsidP="69441A9A" w:rsidRDefault="001A2B94" w14:paraId="3B6030FB" w14:textId="77777777">
      <w:pPr>
        <w:spacing w:before="240"/>
        <w:jc w:val="both"/>
        <w:rPr>
          <w:rFonts w:ascii="Arial" w:hAnsi="Arial" w:eastAsia="Arial" w:cs="Arial"/>
          <w:sz w:val="24"/>
          <w:szCs w:val="24"/>
        </w:rPr>
      </w:pPr>
    </w:p>
    <w:p w:rsidR="002D7E47" w:rsidP="69441A9A" w:rsidRDefault="002D7E47" w14:paraId="554E1120" w14:textId="283B2FFC">
      <w:pPr>
        <w:spacing w:before="240"/>
        <w:jc w:val="both"/>
        <w:rPr>
          <w:rFonts w:ascii="Arial" w:hAnsi="Arial" w:eastAsia="Arial" w:cs="Arial"/>
          <w:color w:val="000000" w:themeColor="text1"/>
          <w:sz w:val="24"/>
          <w:szCs w:val="24"/>
        </w:rPr>
      </w:pPr>
      <w:r w:rsidRPr="69441A9A" w:rsidR="002D7E47">
        <w:rPr>
          <w:rFonts w:ascii="Arial" w:hAnsi="Arial" w:eastAsia="Arial" w:cs="Arial"/>
          <w:color w:val="000000" w:themeColor="text1" w:themeTint="FF" w:themeShade="FF"/>
          <w:sz w:val="24"/>
          <w:szCs w:val="24"/>
        </w:rPr>
        <w:t xml:space="preserve">Although psychological support forms part of the genetic counselling process, the primary purpose of genetic counselling remains facilitating informed decision-making and adaptation to genetic information (Arning </w:t>
      </w:r>
      <w:r w:rsidRPr="69441A9A" w:rsidR="00B10FBE">
        <w:rPr>
          <w:rFonts w:ascii="Arial" w:hAnsi="Arial" w:eastAsia="Arial" w:cs="Arial"/>
          <w:i w:val="1"/>
          <w:iCs w:val="1"/>
          <w:color w:val="000000" w:themeColor="text1" w:themeTint="FF" w:themeShade="FF"/>
          <w:sz w:val="24"/>
          <w:szCs w:val="24"/>
        </w:rPr>
        <w:t>et al</w:t>
      </w:r>
      <w:r w:rsidRPr="69441A9A" w:rsidR="002D7E47">
        <w:rPr>
          <w:rFonts w:ascii="Arial" w:hAnsi="Arial" w:eastAsia="Arial" w:cs="Arial"/>
          <w:color w:val="000000" w:themeColor="text1" w:themeTint="FF" w:themeShade="FF"/>
          <w:sz w:val="24"/>
          <w:szCs w:val="24"/>
        </w:rPr>
        <w:t>., 2015). Whilst this support is widely regarded as valuable, questions remain regarding whether the structure and duration of genetic counselling are sufficient to address the longer-term emotional and existential challenges that may emerge following testing (Goldman, 2020). Consequently, questions remain regarding how individuals experience and manage the longer-term emotional consequences of predictive testing and what additional therapeutic support may be required beyond the testing pathway.</w:t>
      </w:r>
    </w:p>
    <w:p w:rsidRPr="002D7E47" w:rsidR="001A2B94" w:rsidP="69441A9A" w:rsidRDefault="001A2B94" w14:paraId="6D27D5A8" w14:textId="77777777">
      <w:pPr>
        <w:spacing w:before="240"/>
        <w:jc w:val="both"/>
        <w:rPr>
          <w:rFonts w:ascii="Arial" w:hAnsi="Arial" w:eastAsia="Arial" w:cs="Arial"/>
          <w:sz w:val="24"/>
          <w:szCs w:val="24"/>
        </w:rPr>
      </w:pPr>
    </w:p>
    <w:p w:rsidR="002D7E47" w:rsidP="69441A9A" w:rsidRDefault="002D7E47" w14:paraId="2EF3CFB1" w14:textId="4BF1A48B">
      <w:pPr>
        <w:spacing w:before="240"/>
        <w:jc w:val="both"/>
        <w:rPr>
          <w:rFonts w:ascii="Arial" w:hAnsi="Arial" w:eastAsia="Arial" w:cs="Arial"/>
          <w:color w:val="000000" w:themeColor="text1"/>
          <w:sz w:val="24"/>
          <w:szCs w:val="24"/>
        </w:rPr>
      </w:pPr>
      <w:r w:rsidRPr="69441A9A" w:rsidR="002D7E47">
        <w:rPr>
          <w:rFonts w:ascii="Arial" w:hAnsi="Arial" w:eastAsia="Arial" w:cs="Arial"/>
          <w:color w:val="000000" w:themeColor="text1" w:themeTint="FF" w:themeShade="FF"/>
          <w:sz w:val="24"/>
          <w:szCs w:val="24"/>
        </w:rPr>
        <w:t xml:space="preserve">Research suggests that having certainty over one’s gene status can allow individuals to make practical and psychological preparations (White, 2022). For example, Viau (2023) suggests that individuals who test negative for HD may feel relief and freedom from their perceived inevitability of developing symptoms, whereas those who test positive may look </w:t>
      </w:r>
      <w:r w:rsidRPr="69441A9A" w:rsidR="002D7E47">
        <w:rPr>
          <w:rFonts w:ascii="Arial" w:hAnsi="Arial" w:eastAsia="Arial" w:cs="Arial"/>
          <w:color w:val="000000" w:themeColor="text1" w:themeTint="FF" w:themeShade="FF"/>
          <w:sz w:val="24"/>
          <w:szCs w:val="24"/>
        </w:rPr>
        <w:t>to plan medically, psychologically, and personally for future illness (</w:t>
      </w:r>
      <w:r w:rsidRPr="69441A9A" w:rsidR="002D7E47">
        <w:rPr>
          <w:rFonts w:ascii="Arial" w:hAnsi="Arial" w:eastAsia="Arial" w:cs="Arial"/>
          <w:color w:val="000000" w:themeColor="text1" w:themeTint="FF" w:themeShade="FF"/>
          <w:sz w:val="24"/>
          <w:szCs w:val="24"/>
        </w:rPr>
        <w:t>Osawa</w:t>
      </w:r>
      <w:r w:rsidRPr="69441A9A" w:rsidR="002D7E47">
        <w:rPr>
          <w:rFonts w:ascii="Arial" w:hAnsi="Arial" w:eastAsia="Arial" w:cs="Arial"/>
          <w:color w:val="000000" w:themeColor="text1" w:themeTint="FF" w:themeShade="FF"/>
          <w:sz w:val="24"/>
          <w:szCs w:val="24"/>
        </w:rPr>
        <w:t xml:space="preserve"> </w:t>
      </w:r>
      <w:r w:rsidRPr="69441A9A" w:rsidR="00B10FBE">
        <w:rPr>
          <w:rFonts w:ascii="Arial" w:hAnsi="Arial" w:eastAsia="Arial" w:cs="Arial"/>
          <w:i w:val="1"/>
          <w:iCs w:val="1"/>
          <w:color w:val="000000" w:themeColor="text1" w:themeTint="FF" w:themeShade="FF"/>
          <w:sz w:val="24"/>
          <w:szCs w:val="24"/>
        </w:rPr>
        <w:t>et al</w:t>
      </w:r>
      <w:r w:rsidRPr="69441A9A" w:rsidR="002D7E47">
        <w:rPr>
          <w:rFonts w:ascii="Arial" w:hAnsi="Arial" w:eastAsia="Arial" w:cs="Arial"/>
          <w:color w:val="000000" w:themeColor="text1" w:themeTint="FF" w:themeShade="FF"/>
          <w:sz w:val="24"/>
          <w:szCs w:val="24"/>
        </w:rPr>
        <w:t>., 202</w:t>
      </w:r>
      <w:r w:rsidRPr="69441A9A" w:rsidR="15F59A88">
        <w:rPr>
          <w:rFonts w:ascii="Arial" w:hAnsi="Arial" w:eastAsia="Arial" w:cs="Arial"/>
          <w:color w:val="000000" w:themeColor="text1" w:themeTint="FF" w:themeShade="FF"/>
          <w:sz w:val="24"/>
          <w:szCs w:val="24"/>
        </w:rPr>
        <w:t>5</w:t>
      </w:r>
      <w:r w:rsidRPr="69441A9A" w:rsidR="002D7E47">
        <w:rPr>
          <w:rFonts w:ascii="Arial" w:hAnsi="Arial" w:eastAsia="Arial" w:cs="Arial"/>
          <w:color w:val="000000" w:themeColor="text1" w:themeTint="FF" w:themeShade="FF"/>
          <w:sz w:val="24"/>
          <w:szCs w:val="24"/>
        </w:rPr>
        <w:t xml:space="preserve">). However, the literature also argues that having certainty over one’s gene status does not necessarily </w:t>
      </w:r>
      <w:r w:rsidRPr="69441A9A" w:rsidR="002D7E47">
        <w:rPr>
          <w:rFonts w:ascii="Arial" w:hAnsi="Arial" w:eastAsia="Arial" w:cs="Arial"/>
          <w:color w:val="000000" w:themeColor="text1" w:themeTint="FF" w:themeShade="FF"/>
          <w:sz w:val="24"/>
          <w:szCs w:val="24"/>
        </w:rPr>
        <w:t>represent</w:t>
      </w:r>
      <w:r w:rsidRPr="69441A9A" w:rsidR="002D7E47">
        <w:rPr>
          <w:rFonts w:ascii="Arial" w:hAnsi="Arial" w:eastAsia="Arial" w:cs="Arial"/>
          <w:color w:val="000000" w:themeColor="text1" w:themeTint="FF" w:themeShade="FF"/>
          <w:sz w:val="24"/>
          <w:szCs w:val="24"/>
        </w:rPr>
        <w:t xml:space="preserve"> psychological comfort (Rivera-Navarro </w:t>
      </w:r>
      <w:r w:rsidRPr="69441A9A" w:rsidR="00B10FBE">
        <w:rPr>
          <w:rFonts w:ascii="Arial" w:hAnsi="Arial" w:eastAsia="Arial" w:cs="Arial"/>
          <w:i w:val="1"/>
          <w:iCs w:val="1"/>
          <w:color w:val="000000" w:themeColor="text1" w:themeTint="FF" w:themeShade="FF"/>
          <w:sz w:val="24"/>
          <w:szCs w:val="24"/>
        </w:rPr>
        <w:t>et al</w:t>
      </w:r>
      <w:r w:rsidRPr="69441A9A" w:rsidR="002D7E47">
        <w:rPr>
          <w:rFonts w:ascii="Arial" w:hAnsi="Arial" w:eastAsia="Arial" w:cs="Arial"/>
          <w:color w:val="000000" w:themeColor="text1" w:themeTint="FF" w:themeShade="FF"/>
          <w:sz w:val="24"/>
          <w:szCs w:val="24"/>
        </w:rPr>
        <w:t>., 2015).</w:t>
      </w:r>
    </w:p>
    <w:p w:rsidRPr="002D7E47" w:rsidR="00B10FBE" w:rsidP="69441A9A" w:rsidRDefault="00B10FBE" w14:paraId="720922F5" w14:textId="77777777">
      <w:pPr>
        <w:spacing w:before="240"/>
        <w:jc w:val="both"/>
        <w:rPr>
          <w:rFonts w:ascii="Arial" w:hAnsi="Arial" w:eastAsia="Arial" w:cs="Arial"/>
          <w:sz w:val="24"/>
          <w:szCs w:val="24"/>
        </w:rPr>
      </w:pPr>
    </w:p>
    <w:p w:rsidR="001B03C9" w:rsidP="69441A9A" w:rsidRDefault="001B03C9" w14:paraId="6754C319" w14:textId="55EC3C7D">
      <w:pPr>
        <w:pStyle w:val="Heading2"/>
        <w:rPr>
          <w:rFonts w:ascii="Arial" w:hAnsi="Arial" w:eastAsia="Arial" w:cs="Arial"/>
        </w:rPr>
      </w:pPr>
      <w:bookmarkStart w:name="_Toc238028855" w:id="11"/>
      <w:r w:rsidRPr="69441A9A" w:rsidR="001B03C9">
        <w:rPr>
          <w:rFonts w:ascii="Arial" w:hAnsi="Arial" w:eastAsia="Arial" w:cs="Arial"/>
        </w:rPr>
        <w:t>Psychosocial Impact of Living at Risk of HD</w:t>
      </w:r>
      <w:bookmarkEnd w:id="11"/>
    </w:p>
    <w:p w:rsidR="00AA3672" w:rsidP="69441A9A" w:rsidRDefault="001B03C9" w14:paraId="041ACFAB" w14:textId="658655B0">
      <w:pPr>
        <w:pStyle w:val="Normal"/>
        <w:spacing w:before="0" w:beforeAutospacing="off" w:after="60" w:afterAutospacing="off"/>
        <w:rPr>
          <w:rFonts w:ascii="Arial" w:hAnsi="Arial" w:eastAsia="Arial" w:cs="Arial"/>
          <w:noProof w:val="0"/>
          <w:color w:val="0D0D0D" w:themeColor="text1" w:themeTint="F2" w:themeShade="FF"/>
          <w:sz w:val="24"/>
          <w:szCs w:val="24"/>
          <w:lang w:val="en-GB"/>
        </w:rPr>
      </w:pPr>
      <w:r>
        <w:br/>
      </w:r>
      <w:r w:rsidRPr="69441A9A" w:rsidR="6281DE1C">
        <w:rPr>
          <w:rFonts w:ascii="Arial" w:hAnsi="Arial" w:eastAsia="Arial" w:cs="Arial"/>
          <w:noProof w:val="0"/>
          <w:color w:val="0D0D0D" w:themeColor="text1" w:themeTint="F2" w:themeShade="FF"/>
          <w:sz w:val="24"/>
          <w:szCs w:val="24"/>
          <w:lang w:val="en-GB"/>
        </w:rPr>
        <w:t>For individuals living with the 50% genetic risk of HD, without knowledge of their gene status, this uncertainty can trigger a multitude of psychological difficulties, including chronic uncertainty, depression, anxiety, and anticipatory grief (Coocro). Previous research has suggested that living at risk for such a significant genetic condition becomes psychologically embodied, eliciting many years of prolonged uncertainty (et al., 2025). This ongoing ambiguity extends beyond whether they will one day develop symptoms of HD and includes when these symptoms will develop and how severe they may be (Wieringa et al., 2022).</w:t>
      </w:r>
    </w:p>
    <w:p w:rsidR="00AA3672" w:rsidP="69441A9A" w:rsidRDefault="001B03C9" w14:paraId="1A884501" w14:textId="1EE06629">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6281DE1C">
        <w:rPr>
          <w:rFonts w:ascii="Arial" w:hAnsi="Arial" w:eastAsia="Arial" w:cs="Arial"/>
          <w:noProof w:val="0"/>
          <w:color w:val="0D0D0D" w:themeColor="text1" w:themeTint="F2" w:themeShade="FF"/>
          <w:sz w:val="24"/>
          <w:szCs w:val="24"/>
          <w:lang w:val="en-GB"/>
        </w:rPr>
        <w:t>It is argued that this represents a fundamental psychological stressor for at-risk individuals. This also fits with Michel’s (1988) Uncertainty in Illness Theory, where existing in a state of probabilistic uncertainty in HD is conceptualised as a continuing existential condition rather than a temporary phase. The most robust findings in qualitative research are that individuals express pervasive and intrusive feelings of transitioning between a world of HD and a world without it, continually stuck in “limbo” (Wieringa et al., 2022).</w:t>
      </w:r>
    </w:p>
    <w:p w:rsidR="00AA3672" w:rsidP="69441A9A" w:rsidRDefault="001B03C9" w14:paraId="288C31DC" w14:textId="60A0D25D">
      <w:pPr>
        <w:spacing w:before="240" w:beforeAutospacing="off" w:after="0" w:afterAutospacing="off"/>
        <w:rPr>
          <w:rFonts w:ascii="Arial" w:hAnsi="Arial" w:eastAsia="Arial" w:cs="Arial"/>
          <w:noProof w:val="0"/>
          <w:color w:val="0D0D0D" w:themeColor="text1" w:themeTint="F2" w:themeShade="FF"/>
          <w:sz w:val="24"/>
          <w:szCs w:val="24"/>
          <w:lang w:val="en-GB"/>
        </w:rPr>
      </w:pPr>
      <w:r w:rsidRPr="69441A9A" w:rsidR="6281DE1C">
        <w:rPr>
          <w:rFonts w:ascii="Arial" w:hAnsi="Arial" w:eastAsia="Arial" w:cs="Arial"/>
          <w:noProof w:val="0"/>
          <w:color w:val="0D0D0D" w:themeColor="text1" w:themeTint="F2" w:themeShade="FF"/>
          <w:sz w:val="24"/>
          <w:szCs w:val="24"/>
          <w:lang w:val="en-GB"/>
        </w:rPr>
        <w:t>These findings suggest that uncertainty may represent an ongoing therapeutic concern rather than simply a consequence of genetic risk. Counselling and psychotherapy may therefore provide an important space for individuals to explore future-orientated fears, ambiguity and anticipatory loss.</w:t>
      </w:r>
    </w:p>
    <w:p w:rsidR="00AA3672" w:rsidP="69441A9A" w:rsidRDefault="001B03C9" w14:paraId="19709CD8" w14:textId="1CB6C412">
      <w:pPr>
        <w:pStyle w:val="Normal"/>
        <w:rPr>
          <w:rFonts w:ascii="Arial" w:hAnsi="Arial" w:eastAsia="Arial" w:cs="Arial"/>
        </w:rPr>
      </w:pPr>
    </w:p>
    <w:p w:rsidR="00A4620A" w:rsidP="69441A9A" w:rsidRDefault="00A4620A" w14:paraId="2E18EAB9" w14:textId="77777777">
      <w:pPr>
        <w:pStyle w:val="Heading2"/>
        <w:rPr>
          <w:rFonts w:ascii="Arial" w:hAnsi="Arial" w:eastAsia="Arial" w:cs="Arial"/>
        </w:rPr>
      </w:pPr>
      <w:bookmarkStart w:name="_Toc238028856" w:id="12"/>
      <w:r w:rsidRPr="69441A9A" w:rsidR="00A4620A">
        <w:rPr>
          <w:rFonts w:ascii="Arial" w:hAnsi="Arial" w:eastAsia="Arial" w:cs="Arial"/>
        </w:rPr>
        <w:t>Living Gene Positive: The Emotional Burden of Knowledge</w:t>
      </w:r>
      <w:bookmarkEnd w:id="12"/>
    </w:p>
    <w:p w:rsidRPr="00DC3733" w:rsidR="00DC3733" w:rsidP="69441A9A" w:rsidRDefault="00DC3733" w14:paraId="0CA1CC0C" w14:textId="77777777">
      <w:pPr>
        <w:rPr>
          <w:rFonts w:ascii="Arial" w:hAnsi="Arial" w:eastAsia="Arial" w:cs="Arial"/>
        </w:rPr>
      </w:pPr>
    </w:p>
    <w:p w:rsidR="00A4620A" w:rsidP="69441A9A" w:rsidRDefault="00A4620A" w14:paraId="0CF17C06" w14:textId="2909EAF0">
      <w:pPr>
        <w:spacing w:before="240"/>
        <w:jc w:val="both"/>
        <w:rPr>
          <w:rFonts w:ascii="Arial" w:hAnsi="Arial" w:eastAsia="Arial" w:cs="Arial"/>
          <w:color w:val="000000" w:themeColor="text1"/>
          <w:sz w:val="24"/>
          <w:szCs w:val="24"/>
        </w:rPr>
      </w:pPr>
      <w:r w:rsidRPr="69441A9A" w:rsidR="14F8B522">
        <w:rPr>
          <w:rFonts w:ascii="Arial" w:hAnsi="Arial" w:eastAsia="Arial" w:cs="Arial"/>
          <w:color w:val="000000" w:themeColor="text1" w:themeTint="FF" w:themeShade="FF"/>
          <w:sz w:val="24"/>
          <w:szCs w:val="24"/>
        </w:rPr>
        <w:t xml:space="preserve">The concept of emotional burden has </w:t>
      </w:r>
      <w:r w:rsidRPr="69441A9A" w:rsidR="14F8B522">
        <w:rPr>
          <w:rFonts w:ascii="Arial" w:hAnsi="Arial" w:eastAsia="Arial" w:cs="Arial"/>
          <w:color w:val="000000" w:themeColor="text1" w:themeTint="FF" w:themeShade="FF"/>
          <w:sz w:val="24"/>
          <w:szCs w:val="24"/>
        </w:rPr>
        <w:t>frequently</w:t>
      </w:r>
      <w:r w:rsidRPr="69441A9A" w:rsidR="14F8B522">
        <w:rPr>
          <w:rFonts w:ascii="Arial" w:hAnsi="Arial" w:eastAsia="Arial" w:cs="Arial"/>
          <w:color w:val="000000" w:themeColor="text1" w:themeTint="FF" w:themeShade="FF"/>
          <w:sz w:val="24"/>
          <w:szCs w:val="24"/>
        </w:rPr>
        <w:t xml:space="preserve"> been used within Huntington’s disease (HD) literature to describe the psychological impact of receiving a predictive genetic test result (Ballard </w:t>
      </w:r>
      <w:r w:rsidRPr="69441A9A" w:rsidR="694D3138">
        <w:rPr>
          <w:rFonts w:ascii="Arial" w:hAnsi="Arial" w:eastAsia="Arial" w:cs="Arial"/>
          <w:i w:val="1"/>
          <w:iCs w:val="1"/>
          <w:color w:val="000000" w:themeColor="text1" w:themeTint="FF" w:themeShade="FF"/>
          <w:sz w:val="24"/>
          <w:szCs w:val="24"/>
        </w:rPr>
        <w:t>et al</w:t>
      </w:r>
      <w:r w:rsidRPr="69441A9A" w:rsidR="14F8B522">
        <w:rPr>
          <w:rFonts w:ascii="Arial" w:hAnsi="Arial" w:eastAsia="Arial" w:cs="Arial"/>
          <w:color w:val="000000" w:themeColor="text1" w:themeTint="FF" w:themeShade="FF"/>
          <w:sz w:val="24"/>
          <w:szCs w:val="24"/>
        </w:rPr>
        <w:t xml:space="preserve">., 2025; </w:t>
      </w:r>
      <w:r w:rsidRPr="69441A9A" w:rsidR="4F7346AF">
        <w:rPr>
          <w:rFonts w:ascii="Arial" w:hAnsi="Arial" w:eastAsia="Arial" w:cs="Arial"/>
          <w:color w:val="000000" w:themeColor="text1" w:themeTint="FF" w:themeShade="FF"/>
          <w:sz w:val="24"/>
          <w:szCs w:val="24"/>
        </w:rPr>
        <w:t>Codori</w:t>
      </w:r>
      <w:r w:rsidRPr="69441A9A" w:rsidR="4F7346AF">
        <w:rPr>
          <w:rFonts w:ascii="Arial" w:hAnsi="Arial" w:eastAsia="Arial" w:cs="Arial"/>
          <w:color w:val="000000" w:themeColor="text1" w:themeTint="FF" w:themeShade="FF"/>
          <w:sz w:val="24"/>
          <w:szCs w:val="24"/>
        </w:rPr>
        <w:t xml:space="preserve"> </w:t>
      </w:r>
      <w:r w:rsidRPr="69441A9A" w:rsidR="4F7346AF">
        <w:rPr>
          <w:rFonts w:ascii="Arial" w:hAnsi="Arial" w:eastAsia="Arial" w:cs="Arial"/>
          <w:i w:val="1"/>
          <w:iCs w:val="1"/>
          <w:color w:val="000000" w:themeColor="text1" w:themeTint="FF" w:themeShade="FF"/>
          <w:sz w:val="24"/>
          <w:szCs w:val="24"/>
        </w:rPr>
        <w:t>et al.</w:t>
      </w:r>
      <w:r w:rsidRPr="69441A9A" w:rsidR="4F7346AF">
        <w:rPr>
          <w:rFonts w:ascii="Arial" w:hAnsi="Arial" w:eastAsia="Arial" w:cs="Arial"/>
          <w:color w:val="000000" w:themeColor="text1" w:themeTint="FF" w:themeShade="FF"/>
          <w:sz w:val="24"/>
          <w:szCs w:val="24"/>
        </w:rPr>
        <w:t>,1994</w:t>
      </w:r>
      <w:r w:rsidRPr="69441A9A" w:rsidR="14F8B522">
        <w:rPr>
          <w:rFonts w:ascii="Arial" w:hAnsi="Arial" w:eastAsia="Arial" w:cs="Arial"/>
          <w:color w:val="000000" w:themeColor="text1" w:themeTint="FF" w:themeShade="FF"/>
          <w:sz w:val="24"/>
          <w:szCs w:val="24"/>
        </w:rPr>
        <w:t xml:space="preserve">). Importantly, research consistently </w:t>
      </w:r>
      <w:r w:rsidRPr="69441A9A" w:rsidR="14F8B522">
        <w:rPr>
          <w:rFonts w:ascii="Arial" w:hAnsi="Arial" w:eastAsia="Arial" w:cs="Arial"/>
          <w:color w:val="000000" w:themeColor="text1" w:themeTint="FF" w:themeShade="FF"/>
          <w:sz w:val="24"/>
          <w:szCs w:val="24"/>
        </w:rPr>
        <w:t>demonstrates</w:t>
      </w:r>
      <w:r w:rsidRPr="69441A9A" w:rsidR="14F8B522">
        <w:rPr>
          <w:rFonts w:ascii="Arial" w:hAnsi="Arial" w:eastAsia="Arial" w:cs="Arial"/>
          <w:color w:val="000000" w:themeColor="text1" w:themeTint="FF" w:themeShade="FF"/>
          <w:sz w:val="24"/>
          <w:szCs w:val="24"/>
        </w:rPr>
        <w:t xml:space="preserve"> that the binary nature of testing outcomes does </w:t>
      </w:r>
      <w:r w:rsidRPr="69441A9A" w:rsidR="14F8B522">
        <w:rPr>
          <w:rFonts w:ascii="Arial" w:hAnsi="Arial" w:eastAsia="Arial" w:cs="Arial"/>
          <w:color w:val="000000" w:themeColor="text1" w:themeTint="FF" w:themeShade="FF"/>
          <w:sz w:val="24"/>
          <w:szCs w:val="24"/>
        </w:rPr>
        <w:t>not tra</w:t>
      </w:r>
      <w:r w:rsidRPr="69441A9A" w:rsidR="14F8B522">
        <w:rPr>
          <w:rFonts w:ascii="Arial" w:hAnsi="Arial" w:eastAsia="Arial" w:cs="Arial"/>
          <w:color w:val="000000" w:themeColor="text1" w:themeTint="FF" w:themeShade="FF"/>
          <w:sz w:val="24"/>
          <w:szCs w:val="24"/>
        </w:rPr>
        <w:t xml:space="preserve">nslate into straightforward emotional consequences, as both gene-positive and gene-negative individuals often experience significant psychological distress (Oliveri </w:t>
      </w:r>
      <w:r w:rsidRPr="69441A9A" w:rsidR="694D3138">
        <w:rPr>
          <w:rFonts w:ascii="Arial" w:hAnsi="Arial" w:eastAsia="Arial" w:cs="Arial"/>
          <w:i w:val="1"/>
          <w:iCs w:val="1"/>
          <w:color w:val="000000" w:themeColor="text1" w:themeTint="FF" w:themeShade="FF"/>
          <w:sz w:val="24"/>
          <w:szCs w:val="24"/>
        </w:rPr>
        <w:t>et al</w:t>
      </w:r>
      <w:r w:rsidRPr="69441A9A" w:rsidR="14F8B522">
        <w:rPr>
          <w:rFonts w:ascii="Arial" w:hAnsi="Arial" w:eastAsia="Arial" w:cs="Arial"/>
          <w:color w:val="000000" w:themeColor="text1" w:themeTint="FF" w:themeShade="FF"/>
          <w:sz w:val="24"/>
          <w:szCs w:val="24"/>
        </w:rPr>
        <w:t xml:space="preserve">., 2018). However, for those who receive a gene-positive result, the certainty of future disease onset introduces a uniquely complex emotional and existential landscape characterised by chronic uncertainty, anticipatory loss, and identity disruption (Lee </w:t>
      </w:r>
      <w:r w:rsidRPr="69441A9A" w:rsidR="44B99A03">
        <w:rPr>
          <w:rFonts w:ascii="Arial" w:hAnsi="Arial" w:eastAsia="Arial" w:cs="Arial"/>
          <w:color w:val="000000" w:themeColor="text1" w:themeTint="FF" w:themeShade="FF"/>
          <w:sz w:val="24"/>
          <w:szCs w:val="24"/>
        </w:rPr>
        <w:t>and</w:t>
      </w:r>
      <w:r w:rsidRPr="69441A9A" w:rsidR="14F8B522">
        <w:rPr>
          <w:rFonts w:ascii="Arial" w:hAnsi="Arial" w:eastAsia="Arial" w:cs="Arial"/>
          <w:color w:val="000000" w:themeColor="text1" w:themeTint="FF" w:themeShade="FF"/>
          <w:sz w:val="24"/>
          <w:szCs w:val="24"/>
        </w:rPr>
        <w:t xml:space="preserve"> Bongiovanni, 2023).</w:t>
      </w:r>
    </w:p>
    <w:p w:rsidRPr="00A4620A" w:rsidR="00A4620A" w:rsidP="69441A9A" w:rsidRDefault="00A4620A" w14:paraId="1AA0A8CE" w14:textId="77777777">
      <w:pPr>
        <w:spacing w:before="240"/>
        <w:jc w:val="both"/>
        <w:rPr>
          <w:rFonts w:ascii="Arial" w:hAnsi="Arial" w:eastAsia="Arial" w:cs="Arial"/>
          <w:sz w:val="24"/>
          <w:szCs w:val="24"/>
        </w:rPr>
      </w:pPr>
    </w:p>
    <w:p w:rsidR="00A4620A" w:rsidP="69441A9A" w:rsidRDefault="00A4620A" w14:paraId="272FAA3A" w14:textId="7C62F2CB">
      <w:pPr>
        <w:spacing w:before="240"/>
        <w:jc w:val="both"/>
        <w:rPr>
          <w:rFonts w:ascii="Arial" w:hAnsi="Arial" w:eastAsia="Arial" w:cs="Arial"/>
          <w:color w:val="000000" w:themeColor="text1"/>
          <w:sz w:val="24"/>
          <w:szCs w:val="24"/>
        </w:rPr>
      </w:pPr>
      <w:r w:rsidRPr="69441A9A" w:rsidR="14F8B522">
        <w:rPr>
          <w:rFonts w:ascii="Arial" w:hAnsi="Arial" w:eastAsia="Arial" w:cs="Arial"/>
          <w:color w:val="000000" w:themeColor="text1" w:themeTint="FF" w:themeShade="FF"/>
          <w:sz w:val="24"/>
          <w:szCs w:val="24"/>
        </w:rPr>
        <w:t>Qualitative studies describe a transition from being merely “at risk” t</w:t>
      </w:r>
      <w:r w:rsidRPr="69441A9A" w:rsidR="14F8B522">
        <w:rPr>
          <w:rFonts w:ascii="Arial" w:hAnsi="Arial" w:eastAsia="Arial" w:cs="Arial"/>
          <w:color w:val="000000" w:themeColor="text1" w:themeTint="FF" w:themeShade="FF"/>
          <w:sz w:val="24"/>
          <w:szCs w:val="24"/>
        </w:rPr>
        <w:t>o perceiving onese</w:t>
      </w:r>
      <w:r w:rsidRPr="69441A9A" w:rsidR="14F8B522">
        <w:rPr>
          <w:rFonts w:ascii="Arial" w:hAnsi="Arial" w:eastAsia="Arial" w:cs="Arial"/>
          <w:color w:val="000000" w:themeColor="text1" w:themeTint="FF" w:themeShade="FF"/>
          <w:sz w:val="24"/>
          <w:szCs w:val="24"/>
        </w:rPr>
        <w:t>lf as “already affected,” despite remaining asymptomatic (</w:t>
      </w:r>
      <w:r w:rsidRPr="69441A9A" w:rsidR="14F8B522">
        <w:rPr>
          <w:rFonts w:ascii="Arial" w:hAnsi="Arial" w:eastAsia="Arial" w:cs="Arial"/>
          <w:color w:val="000000" w:themeColor="text1" w:themeTint="FF" w:themeShade="FF"/>
          <w:sz w:val="24"/>
          <w:szCs w:val="24"/>
        </w:rPr>
        <w:t>Sztan</w:t>
      </w:r>
      <w:r w:rsidRPr="69441A9A" w:rsidR="14F8B522">
        <w:rPr>
          <w:rFonts w:ascii="Arial" w:hAnsi="Arial" w:eastAsia="Arial" w:cs="Arial"/>
          <w:color w:val="000000" w:themeColor="text1" w:themeTint="FF" w:themeShade="FF"/>
          <w:sz w:val="24"/>
          <w:szCs w:val="24"/>
        </w:rPr>
        <w:t>kay</w:t>
      </w:r>
      <w:r w:rsidRPr="69441A9A" w:rsidR="14F8B522">
        <w:rPr>
          <w:rFonts w:ascii="Arial" w:hAnsi="Arial" w:eastAsia="Arial" w:cs="Arial"/>
          <w:color w:val="000000" w:themeColor="text1" w:themeTint="FF" w:themeShade="FF"/>
          <w:sz w:val="24"/>
          <w:szCs w:val="24"/>
        </w:rPr>
        <w:t xml:space="preserve"> </w:t>
      </w:r>
      <w:r w:rsidRPr="69441A9A" w:rsidR="694D3138">
        <w:rPr>
          <w:rFonts w:ascii="Arial" w:hAnsi="Arial" w:eastAsia="Arial" w:cs="Arial"/>
          <w:i w:val="1"/>
          <w:iCs w:val="1"/>
          <w:color w:val="000000" w:themeColor="text1" w:themeTint="FF" w:themeShade="FF"/>
          <w:sz w:val="24"/>
          <w:szCs w:val="24"/>
        </w:rPr>
        <w:t>et al</w:t>
      </w:r>
      <w:r w:rsidRPr="69441A9A" w:rsidR="14F8B522">
        <w:rPr>
          <w:rFonts w:ascii="Arial" w:hAnsi="Arial" w:eastAsia="Arial" w:cs="Arial"/>
          <w:color w:val="000000" w:themeColor="text1" w:themeTint="FF" w:themeShade="FF"/>
          <w:sz w:val="24"/>
          <w:szCs w:val="24"/>
        </w:rPr>
        <w:t xml:space="preserve">., 2025). Individuals </w:t>
      </w:r>
      <w:r w:rsidRPr="69441A9A" w:rsidR="14F8B522">
        <w:rPr>
          <w:rFonts w:ascii="Arial" w:hAnsi="Arial" w:eastAsia="Arial" w:cs="Arial"/>
          <w:color w:val="000000" w:themeColor="text1" w:themeTint="FF" w:themeShade="FF"/>
          <w:sz w:val="24"/>
          <w:szCs w:val="24"/>
        </w:rPr>
        <w:t>may begin t</w:t>
      </w:r>
      <w:r w:rsidRPr="69441A9A" w:rsidR="14F8B522">
        <w:rPr>
          <w:rFonts w:ascii="Arial" w:hAnsi="Arial" w:eastAsia="Arial" w:cs="Arial"/>
          <w:color w:val="000000" w:themeColor="text1" w:themeTint="FF" w:themeShade="FF"/>
          <w:sz w:val="24"/>
          <w:szCs w:val="24"/>
        </w:rPr>
        <w:t xml:space="preserve">o internalise an </w:t>
      </w:r>
      <w:r w:rsidRPr="69441A9A" w:rsidR="14F8B522">
        <w:rPr>
          <w:rFonts w:ascii="Arial" w:hAnsi="Arial" w:eastAsia="Arial" w:cs="Arial"/>
          <w:color w:val="000000" w:themeColor="text1" w:themeTint="FF" w:themeShade="FF"/>
          <w:sz w:val="24"/>
          <w:szCs w:val="24"/>
        </w:rPr>
        <w:t xml:space="preserve">illness identity long before clinical symptoms </w:t>
      </w:r>
      <w:r w:rsidRPr="69441A9A" w:rsidR="14F8B522">
        <w:rPr>
          <w:rFonts w:ascii="Arial" w:hAnsi="Arial" w:eastAsia="Arial" w:cs="Arial"/>
          <w:color w:val="000000" w:themeColor="text1" w:themeTint="FF" w:themeShade="FF"/>
          <w:sz w:val="24"/>
          <w:szCs w:val="24"/>
        </w:rPr>
        <w:t>emerge</w:t>
      </w:r>
      <w:r w:rsidRPr="69441A9A" w:rsidR="14F8B522">
        <w:rPr>
          <w:rFonts w:ascii="Arial" w:hAnsi="Arial" w:eastAsia="Arial" w:cs="Arial"/>
          <w:color w:val="000000" w:themeColor="text1" w:themeTint="FF" w:themeShade="FF"/>
          <w:sz w:val="24"/>
          <w:szCs w:val="24"/>
        </w:rPr>
        <w:t xml:space="preserve">, reflecting what </w:t>
      </w:r>
      <w:r w:rsidRPr="69441A9A" w:rsidR="14F8B522">
        <w:rPr>
          <w:rFonts w:ascii="Arial" w:hAnsi="Arial" w:eastAsia="Arial" w:cs="Arial"/>
          <w:color w:val="000000" w:themeColor="text1" w:themeTint="FF" w:themeShade="FF"/>
          <w:sz w:val="24"/>
          <w:szCs w:val="24"/>
        </w:rPr>
        <w:t>some schol</w:t>
      </w:r>
      <w:r w:rsidRPr="69441A9A" w:rsidR="14F8B522">
        <w:rPr>
          <w:rFonts w:ascii="Arial" w:hAnsi="Arial" w:eastAsia="Arial" w:cs="Arial"/>
          <w:color w:val="000000" w:themeColor="text1" w:themeTint="FF" w:themeShade="FF"/>
          <w:sz w:val="24"/>
          <w:szCs w:val="24"/>
        </w:rPr>
        <w:t>a</w:t>
      </w:r>
      <w:r w:rsidRPr="69441A9A" w:rsidR="14F8B522">
        <w:rPr>
          <w:rFonts w:ascii="Arial" w:hAnsi="Arial" w:eastAsia="Arial" w:cs="Arial"/>
          <w:color w:val="000000" w:themeColor="text1" w:themeTint="FF" w:themeShade="FF"/>
          <w:sz w:val="24"/>
          <w:szCs w:val="24"/>
        </w:rPr>
        <w:t>rs concep</w:t>
      </w:r>
      <w:r w:rsidRPr="69441A9A" w:rsidR="14F8B522">
        <w:rPr>
          <w:rFonts w:ascii="Arial" w:hAnsi="Arial" w:eastAsia="Arial" w:cs="Arial"/>
          <w:color w:val="000000" w:themeColor="text1" w:themeTint="FF" w:themeShade="FF"/>
          <w:sz w:val="24"/>
          <w:szCs w:val="24"/>
        </w:rPr>
        <w:t xml:space="preserve">tualise as a latent illness identity or “patient in waiting” status </w:t>
      </w:r>
      <w:r w:rsidRPr="69441A9A" w:rsidR="14F8B522">
        <w:rPr>
          <w:rFonts w:ascii="Arial" w:hAnsi="Arial" w:eastAsia="Arial" w:cs="Arial"/>
          <w:color w:val="000000" w:themeColor="text1" w:themeTint="FF" w:themeShade="FF"/>
          <w:sz w:val="24"/>
          <w:szCs w:val="24"/>
        </w:rPr>
        <w:t>(</w:t>
      </w:r>
      <w:r w:rsidRPr="69441A9A" w:rsidR="6CCBBA8A">
        <w:rPr>
          <w:rFonts w:ascii="Arial" w:hAnsi="Arial" w:eastAsia="Arial" w:cs="Arial"/>
          <w:color w:val="000000" w:themeColor="text1" w:themeTint="FF" w:themeShade="FF"/>
          <w:sz w:val="24"/>
          <w:szCs w:val="24"/>
        </w:rPr>
        <w:t>Timmermans and Buchbinder, 2010</w:t>
      </w:r>
      <w:r w:rsidRPr="69441A9A" w:rsidR="14F8B522">
        <w:rPr>
          <w:rFonts w:ascii="Arial" w:hAnsi="Arial" w:eastAsia="Arial" w:cs="Arial"/>
          <w:color w:val="000000" w:themeColor="text1" w:themeTint="FF" w:themeShade="FF"/>
          <w:sz w:val="24"/>
          <w:szCs w:val="24"/>
        </w:rPr>
        <w:t>). At the same time, individuals must continually negotiate decisions surrounding disclosure of their genetic status, including how, when, and to whom such information is communicated (</w:t>
      </w:r>
      <w:r w:rsidRPr="69441A9A" w:rsidR="14F8B522">
        <w:rPr>
          <w:rFonts w:ascii="Arial" w:hAnsi="Arial" w:eastAsia="Arial" w:cs="Arial"/>
          <w:color w:val="000000" w:themeColor="text1" w:themeTint="FF" w:themeShade="FF"/>
          <w:sz w:val="24"/>
          <w:szCs w:val="24"/>
        </w:rPr>
        <w:t>Kjoelaas</w:t>
      </w:r>
      <w:r w:rsidRPr="69441A9A" w:rsidR="14F8B522">
        <w:rPr>
          <w:rFonts w:ascii="Arial" w:hAnsi="Arial" w:eastAsia="Arial" w:cs="Arial"/>
          <w:color w:val="000000" w:themeColor="text1" w:themeTint="FF" w:themeShade="FF"/>
          <w:sz w:val="24"/>
          <w:szCs w:val="24"/>
        </w:rPr>
        <w:t xml:space="preserve"> </w:t>
      </w:r>
      <w:r w:rsidRPr="69441A9A" w:rsidR="694D3138">
        <w:rPr>
          <w:rFonts w:ascii="Arial" w:hAnsi="Arial" w:eastAsia="Arial" w:cs="Arial"/>
          <w:i w:val="1"/>
          <w:iCs w:val="1"/>
          <w:color w:val="000000" w:themeColor="text1" w:themeTint="FF" w:themeShade="FF"/>
          <w:sz w:val="24"/>
          <w:szCs w:val="24"/>
        </w:rPr>
        <w:t>et al</w:t>
      </w:r>
      <w:r w:rsidRPr="69441A9A" w:rsidR="14F8B522">
        <w:rPr>
          <w:rFonts w:ascii="Arial" w:hAnsi="Arial" w:eastAsia="Arial" w:cs="Arial"/>
          <w:color w:val="000000" w:themeColor="text1" w:themeTint="FF" w:themeShade="FF"/>
          <w:sz w:val="24"/>
          <w:szCs w:val="24"/>
        </w:rPr>
        <w:t>., 2022). Conce</w:t>
      </w:r>
      <w:r w:rsidRPr="69441A9A" w:rsidR="14F8B522">
        <w:rPr>
          <w:rFonts w:ascii="Arial" w:hAnsi="Arial" w:eastAsia="Arial" w:cs="Arial"/>
          <w:color w:val="000000" w:themeColor="text1" w:themeTint="FF" w:themeShade="FF"/>
          <w:sz w:val="24"/>
          <w:szCs w:val="24"/>
        </w:rPr>
        <w:t>rns surround</w:t>
      </w:r>
      <w:r w:rsidRPr="69441A9A" w:rsidR="14F8B522">
        <w:rPr>
          <w:rFonts w:ascii="Arial" w:hAnsi="Arial" w:eastAsia="Arial" w:cs="Arial"/>
          <w:color w:val="000000" w:themeColor="text1" w:themeTint="FF" w:themeShade="FF"/>
          <w:sz w:val="24"/>
          <w:szCs w:val="24"/>
        </w:rPr>
        <w:t xml:space="preserve">ing stigma, discrimination, altered social </w:t>
      </w:r>
      <w:r w:rsidRPr="69441A9A" w:rsidR="14F8B522">
        <w:rPr>
          <w:rFonts w:ascii="Arial" w:hAnsi="Arial" w:eastAsia="Arial" w:cs="Arial"/>
          <w:color w:val="000000" w:themeColor="text1" w:themeTint="FF" w:themeShade="FF"/>
          <w:sz w:val="24"/>
          <w:szCs w:val="24"/>
        </w:rPr>
        <w:t>perception</w:t>
      </w:r>
      <w:r w:rsidRPr="69441A9A" w:rsidR="14F8B522">
        <w:rPr>
          <w:rFonts w:ascii="Arial" w:hAnsi="Arial" w:eastAsia="Arial" w:cs="Arial"/>
          <w:color w:val="000000" w:themeColor="text1" w:themeTint="FF" w:themeShade="FF"/>
          <w:sz w:val="24"/>
          <w:szCs w:val="24"/>
        </w:rPr>
        <w:t xml:space="preserve">, and reproductive judgement have been widely documented within the literature, further complicating the psychosocial experience of living gene positive (Oliveira </w:t>
      </w:r>
      <w:r w:rsidRPr="69441A9A" w:rsidR="694D3138">
        <w:rPr>
          <w:rFonts w:ascii="Arial" w:hAnsi="Arial" w:eastAsia="Arial" w:cs="Arial"/>
          <w:i w:val="1"/>
          <w:iCs w:val="1"/>
          <w:color w:val="000000" w:themeColor="text1" w:themeTint="FF" w:themeShade="FF"/>
          <w:sz w:val="24"/>
          <w:szCs w:val="24"/>
        </w:rPr>
        <w:t>et al</w:t>
      </w:r>
      <w:r w:rsidRPr="69441A9A" w:rsidR="14F8B522">
        <w:rPr>
          <w:rFonts w:ascii="Arial" w:hAnsi="Arial" w:eastAsia="Arial" w:cs="Arial"/>
          <w:color w:val="000000" w:themeColor="text1" w:themeTint="FF" w:themeShade="FF"/>
          <w:sz w:val="24"/>
          <w:szCs w:val="24"/>
        </w:rPr>
        <w:t xml:space="preserve">., 2025). </w:t>
      </w:r>
      <w:r w:rsidRPr="69441A9A" w:rsidR="14F8B522">
        <w:rPr>
          <w:rFonts w:ascii="Arial" w:hAnsi="Arial" w:eastAsia="Arial" w:cs="Arial"/>
          <w:color w:val="000000" w:themeColor="text1" w:themeTint="FF" w:themeShade="FF"/>
          <w:sz w:val="24"/>
          <w:szCs w:val="24"/>
        </w:rPr>
        <w:t>Frredman</w:t>
      </w:r>
      <w:r w:rsidRPr="69441A9A" w:rsidR="14F8B522">
        <w:rPr>
          <w:rFonts w:ascii="Arial" w:hAnsi="Arial" w:eastAsia="Arial" w:cs="Arial"/>
          <w:color w:val="000000" w:themeColor="text1" w:themeTint="FF" w:themeShade="FF"/>
          <w:sz w:val="24"/>
          <w:szCs w:val="24"/>
        </w:rPr>
        <w:t xml:space="preserve"> (2024) suggests that the process of integrating predictive knowledge into one's identity highlights a potential area in which counselling and psychotherapy may support adjustment through facilitating reflection, meaning making, and adaptation to </w:t>
      </w:r>
      <w:r w:rsidRPr="69441A9A" w:rsidR="14F8B522">
        <w:rPr>
          <w:rFonts w:ascii="Arial" w:hAnsi="Arial" w:eastAsia="Arial" w:cs="Arial"/>
          <w:color w:val="000000" w:themeColor="text1" w:themeTint="FF" w:themeShade="FF"/>
          <w:sz w:val="24"/>
          <w:szCs w:val="24"/>
        </w:rPr>
        <w:t>anticipated</w:t>
      </w:r>
      <w:r w:rsidRPr="69441A9A" w:rsidR="14F8B522">
        <w:rPr>
          <w:rFonts w:ascii="Arial" w:hAnsi="Arial" w:eastAsia="Arial" w:cs="Arial"/>
          <w:color w:val="000000" w:themeColor="text1" w:themeTint="FF" w:themeShade="FF"/>
          <w:sz w:val="24"/>
          <w:szCs w:val="24"/>
        </w:rPr>
        <w:t xml:space="preserve"> change.</w:t>
      </w:r>
    </w:p>
    <w:p w:rsidRPr="00A4620A" w:rsidR="00A4620A" w:rsidP="69441A9A" w:rsidRDefault="00A4620A" w14:paraId="007E0183" w14:textId="77777777">
      <w:pPr>
        <w:spacing w:before="240"/>
        <w:jc w:val="both"/>
        <w:rPr>
          <w:rFonts w:ascii="Arial" w:hAnsi="Arial" w:eastAsia="Arial" w:cs="Arial"/>
          <w:sz w:val="24"/>
          <w:szCs w:val="24"/>
        </w:rPr>
      </w:pPr>
    </w:p>
    <w:p w:rsidR="00A4620A" w:rsidP="69441A9A" w:rsidRDefault="00A4620A" w14:paraId="6AA247D0" w14:textId="12CE9405">
      <w:pPr>
        <w:spacing w:before="240"/>
        <w:jc w:val="both"/>
        <w:rPr>
          <w:rFonts w:ascii="Arial" w:hAnsi="Arial" w:eastAsia="Arial" w:cs="Arial"/>
          <w:color w:val="000000" w:themeColor="text1"/>
          <w:sz w:val="24"/>
          <w:szCs w:val="24"/>
        </w:rPr>
      </w:pPr>
      <w:r w:rsidRPr="69441A9A" w:rsidR="23CEDFDC">
        <w:rPr>
          <w:rFonts w:ascii="Arial" w:hAnsi="Arial" w:eastAsia="Arial" w:cs="Arial"/>
          <w:color w:val="000000" w:themeColor="text1" w:themeTint="FF" w:themeShade="FF"/>
          <w:sz w:val="24"/>
          <w:szCs w:val="24"/>
        </w:rPr>
        <w:t>Narrative theory provides a particularly useful framework for understanding these experiences, as it highlights the disruption of previously imagined life narratives following predictive testing (</w:t>
      </w:r>
      <w:r w:rsidRPr="69441A9A" w:rsidR="23CEDFDC">
        <w:rPr>
          <w:rFonts w:ascii="Arial" w:hAnsi="Arial" w:eastAsia="Arial" w:cs="Arial"/>
          <w:color w:val="000000" w:themeColor="text1" w:themeTint="FF" w:themeShade="FF"/>
          <w:sz w:val="24"/>
          <w:szCs w:val="24"/>
        </w:rPr>
        <w:t>Lindo</w:t>
      </w:r>
      <w:r w:rsidRPr="69441A9A" w:rsidR="23CEDFDC">
        <w:rPr>
          <w:rFonts w:ascii="Arial" w:hAnsi="Arial" w:eastAsia="Arial" w:cs="Arial"/>
          <w:color w:val="000000" w:themeColor="text1" w:themeTint="FF" w:themeShade="FF"/>
          <w:sz w:val="24"/>
          <w:szCs w:val="24"/>
        </w:rPr>
        <w:t xml:space="preserve"> </w:t>
      </w:r>
      <w:r w:rsidRPr="69441A9A" w:rsidR="7A4241C9">
        <w:rPr>
          <w:rFonts w:ascii="Arial" w:hAnsi="Arial" w:eastAsia="Arial" w:cs="Arial"/>
          <w:i w:val="1"/>
          <w:iCs w:val="1"/>
          <w:color w:val="000000" w:themeColor="text1" w:themeTint="FF" w:themeShade="FF"/>
          <w:sz w:val="24"/>
          <w:szCs w:val="24"/>
        </w:rPr>
        <w:t>et al</w:t>
      </w:r>
      <w:r w:rsidRPr="69441A9A" w:rsidR="23CEDFDC">
        <w:rPr>
          <w:rFonts w:ascii="Arial" w:hAnsi="Arial" w:eastAsia="Arial" w:cs="Arial"/>
          <w:color w:val="000000" w:themeColor="text1" w:themeTint="FF" w:themeShade="FF"/>
          <w:sz w:val="24"/>
          <w:szCs w:val="24"/>
        </w:rPr>
        <w:t>., 202</w:t>
      </w:r>
      <w:r w:rsidRPr="69441A9A" w:rsidR="1F0FC96B">
        <w:rPr>
          <w:rFonts w:ascii="Arial" w:hAnsi="Arial" w:eastAsia="Arial" w:cs="Arial"/>
          <w:color w:val="000000" w:themeColor="text1" w:themeTint="FF" w:themeShade="FF"/>
          <w:sz w:val="24"/>
          <w:szCs w:val="24"/>
        </w:rPr>
        <w:t>6</w:t>
      </w:r>
      <w:r w:rsidRPr="69441A9A" w:rsidR="23CEDFDC">
        <w:rPr>
          <w:rFonts w:ascii="Arial" w:hAnsi="Arial" w:eastAsia="Arial" w:cs="Arial"/>
          <w:color w:val="000000" w:themeColor="text1" w:themeTint="FF" w:themeShade="FF"/>
          <w:sz w:val="24"/>
          <w:szCs w:val="24"/>
        </w:rPr>
        <w:t xml:space="preserve">). Gene-positive individuals </w:t>
      </w:r>
      <w:r w:rsidRPr="69441A9A" w:rsidR="23CEDFDC">
        <w:rPr>
          <w:rFonts w:ascii="Arial" w:hAnsi="Arial" w:eastAsia="Arial" w:cs="Arial"/>
          <w:color w:val="000000" w:themeColor="text1" w:themeTint="FF" w:themeShade="FF"/>
          <w:sz w:val="24"/>
          <w:szCs w:val="24"/>
        </w:rPr>
        <w:t>are often required to</w:t>
      </w:r>
      <w:r w:rsidRPr="69441A9A" w:rsidR="23CEDFDC">
        <w:rPr>
          <w:rFonts w:ascii="Arial" w:hAnsi="Arial" w:eastAsia="Arial" w:cs="Arial"/>
          <w:color w:val="000000" w:themeColor="text1" w:themeTint="FF" w:themeShade="FF"/>
          <w:sz w:val="24"/>
          <w:szCs w:val="24"/>
        </w:rPr>
        <w:t xml:space="preserve"> “reauthor” their biographies </w:t>
      </w:r>
      <w:r w:rsidRPr="69441A9A" w:rsidR="23CEDFDC">
        <w:rPr>
          <w:rFonts w:ascii="Arial" w:hAnsi="Arial" w:eastAsia="Arial" w:cs="Arial"/>
          <w:color w:val="000000" w:themeColor="text1" w:themeTint="FF" w:themeShade="FF"/>
          <w:sz w:val="24"/>
          <w:szCs w:val="24"/>
        </w:rPr>
        <w:t>in order to</w:t>
      </w:r>
      <w:r w:rsidRPr="69441A9A" w:rsidR="23CEDFDC">
        <w:rPr>
          <w:rFonts w:ascii="Arial" w:hAnsi="Arial" w:eastAsia="Arial" w:cs="Arial"/>
          <w:color w:val="000000" w:themeColor="text1" w:themeTint="FF" w:themeShade="FF"/>
          <w:sz w:val="24"/>
          <w:szCs w:val="24"/>
        </w:rPr>
        <w:t xml:space="preserve"> accommodate a future characterised by inevitable decline (</w:t>
      </w:r>
      <w:r w:rsidRPr="69441A9A" w:rsidR="23CEDFDC">
        <w:rPr>
          <w:rFonts w:ascii="Arial" w:hAnsi="Arial" w:eastAsia="Arial" w:cs="Arial"/>
          <w:color w:val="000000" w:themeColor="text1" w:themeTint="FF" w:themeShade="FF"/>
          <w:sz w:val="24"/>
          <w:szCs w:val="24"/>
        </w:rPr>
        <w:t>Ferluga</w:t>
      </w:r>
      <w:r w:rsidRPr="69441A9A" w:rsidR="23CEDFDC">
        <w:rPr>
          <w:rFonts w:ascii="Arial" w:hAnsi="Arial" w:eastAsia="Arial" w:cs="Arial"/>
          <w:color w:val="000000" w:themeColor="text1" w:themeTint="FF" w:themeShade="FF"/>
          <w:sz w:val="24"/>
          <w:szCs w:val="24"/>
        </w:rPr>
        <w:t xml:space="preserve">, 2024). However, while much of the literature emphasises disruption, loss, and psychological distress, some scholars argue that this focus may inadvertently overlook experiences of resilience, adaptation, and meaning-making amongst gene-positive individuals (Crozier </w:t>
      </w:r>
      <w:r w:rsidRPr="69441A9A" w:rsidR="7A4241C9">
        <w:rPr>
          <w:rFonts w:ascii="Arial" w:hAnsi="Arial" w:eastAsia="Arial" w:cs="Arial"/>
          <w:i w:val="1"/>
          <w:iCs w:val="1"/>
          <w:color w:val="000000" w:themeColor="text1" w:themeTint="FF" w:themeShade="FF"/>
          <w:sz w:val="24"/>
          <w:szCs w:val="24"/>
        </w:rPr>
        <w:t>et al</w:t>
      </w:r>
      <w:r w:rsidRPr="69441A9A" w:rsidR="23CEDFDC">
        <w:rPr>
          <w:rFonts w:ascii="Arial" w:hAnsi="Arial" w:eastAsia="Arial" w:cs="Arial"/>
          <w:color w:val="000000" w:themeColor="text1" w:themeTint="FF" w:themeShade="FF"/>
          <w:sz w:val="24"/>
          <w:szCs w:val="24"/>
        </w:rPr>
        <w:t>., 201</w:t>
      </w:r>
      <w:r w:rsidRPr="69441A9A" w:rsidR="371D6588">
        <w:rPr>
          <w:rFonts w:ascii="Arial" w:hAnsi="Arial" w:eastAsia="Arial" w:cs="Arial"/>
          <w:color w:val="000000" w:themeColor="text1" w:themeTint="FF" w:themeShade="FF"/>
          <w:sz w:val="24"/>
          <w:szCs w:val="24"/>
        </w:rPr>
        <w:t>5</w:t>
      </w:r>
      <w:r w:rsidRPr="69441A9A" w:rsidR="23CEDFDC">
        <w:rPr>
          <w:rFonts w:ascii="Arial" w:hAnsi="Arial" w:eastAsia="Arial" w:cs="Arial"/>
          <w:color w:val="000000" w:themeColor="text1" w:themeTint="FF" w:themeShade="FF"/>
          <w:sz w:val="24"/>
          <w:szCs w:val="24"/>
        </w:rPr>
        <w:t>). This suggests a need for more nuanced understandings of identity reconstruction that move beyond exclusively pathological frameworks.</w:t>
      </w:r>
    </w:p>
    <w:p w:rsidRPr="00A4620A" w:rsidR="00A4620A" w:rsidP="69441A9A" w:rsidRDefault="00A4620A" w14:paraId="6CCCF430" w14:textId="77777777">
      <w:pPr>
        <w:spacing w:before="240"/>
        <w:jc w:val="both"/>
        <w:rPr>
          <w:rFonts w:ascii="Arial" w:hAnsi="Arial" w:eastAsia="Arial" w:cs="Arial"/>
          <w:sz w:val="24"/>
          <w:szCs w:val="24"/>
        </w:rPr>
      </w:pPr>
    </w:p>
    <w:p w:rsidRPr="00A4620A" w:rsidR="00A4620A" w:rsidP="69441A9A" w:rsidRDefault="00A4620A" w14:paraId="399748EA" w14:textId="56D80241">
      <w:pPr>
        <w:spacing w:before="240"/>
        <w:jc w:val="both"/>
        <w:rPr>
          <w:rFonts w:ascii="Arial" w:hAnsi="Arial" w:eastAsia="Arial" w:cs="Arial"/>
          <w:color w:val="000000" w:themeColor="text1" w:themeTint="FF" w:themeShade="FF"/>
          <w:sz w:val="24"/>
          <w:szCs w:val="24"/>
        </w:rPr>
      </w:pPr>
      <w:r w:rsidRPr="69441A9A" w:rsidR="14F8B522">
        <w:rPr>
          <w:rFonts w:ascii="Arial" w:hAnsi="Arial" w:eastAsia="Arial" w:cs="Arial"/>
          <w:color w:val="000000" w:themeColor="text1" w:themeTint="FF" w:themeShade="FF"/>
          <w:sz w:val="24"/>
          <w:szCs w:val="24"/>
        </w:rPr>
        <w:t>Beyond identity disruption, anticipatory grief has increasingly been recognised as a central, yet comparatively underexplored, dimension of the gene-positive experience (</w:t>
      </w:r>
      <w:r w:rsidRPr="69441A9A" w:rsidR="14F8B522">
        <w:rPr>
          <w:rFonts w:ascii="Arial" w:hAnsi="Arial" w:eastAsia="Arial" w:cs="Arial"/>
          <w:b w:val="1"/>
          <w:bCs w:val="1"/>
          <w:color w:val="000000" w:themeColor="text1" w:themeTint="FF" w:themeShade="FF"/>
          <w:sz w:val="24"/>
          <w:szCs w:val="24"/>
        </w:rPr>
        <w:t>Mason</w:t>
      </w:r>
      <w:r w:rsidRPr="69441A9A" w:rsidR="14F8B522">
        <w:rPr>
          <w:rFonts w:ascii="Arial" w:hAnsi="Arial" w:eastAsia="Arial" w:cs="Arial"/>
          <w:color w:val="000000" w:themeColor="text1" w:themeTint="FF" w:themeShade="FF"/>
          <w:sz w:val="24"/>
          <w:szCs w:val="24"/>
        </w:rPr>
        <w:t xml:space="preserve"> </w:t>
      </w:r>
      <w:r w:rsidRPr="69441A9A" w:rsidR="694D3138">
        <w:rPr>
          <w:rFonts w:ascii="Arial" w:hAnsi="Arial" w:eastAsia="Arial" w:cs="Arial"/>
          <w:i w:val="1"/>
          <w:iCs w:val="1"/>
          <w:color w:val="000000" w:themeColor="text1" w:themeTint="FF" w:themeShade="FF"/>
          <w:sz w:val="24"/>
          <w:szCs w:val="24"/>
        </w:rPr>
        <w:t>et al</w:t>
      </w:r>
      <w:r w:rsidRPr="69441A9A" w:rsidR="14F8B522">
        <w:rPr>
          <w:rFonts w:ascii="Arial" w:hAnsi="Arial" w:eastAsia="Arial" w:cs="Arial"/>
          <w:color w:val="000000" w:themeColor="text1" w:themeTint="FF" w:themeShade="FF"/>
          <w:sz w:val="24"/>
          <w:szCs w:val="24"/>
        </w:rPr>
        <w:t>., 2024). Within the context of HD, these anticipated losses may include cognitive functioning, independence, relational roles, future aspirations, and one’s existing s</w:t>
      </w:r>
      <w:r w:rsidRPr="69441A9A" w:rsidR="14F8B522">
        <w:rPr>
          <w:rFonts w:ascii="Arial" w:hAnsi="Arial" w:eastAsia="Arial" w:cs="Arial"/>
          <w:color w:val="000000" w:themeColor="text1" w:themeTint="FF" w:themeShade="FF"/>
          <w:sz w:val="24"/>
          <w:szCs w:val="24"/>
        </w:rPr>
        <w:t>ense o</w:t>
      </w:r>
      <w:r w:rsidRPr="69441A9A" w:rsidR="14F8B522">
        <w:rPr>
          <w:rFonts w:ascii="Arial" w:hAnsi="Arial" w:eastAsia="Arial" w:cs="Arial"/>
          <w:color w:val="000000" w:themeColor="text1" w:themeTint="FF" w:themeShade="FF"/>
          <w:sz w:val="24"/>
          <w:szCs w:val="24"/>
        </w:rPr>
        <w:t>f</w:t>
      </w:r>
      <w:r w:rsidRPr="69441A9A" w:rsidR="14F8B522">
        <w:rPr>
          <w:rFonts w:ascii="Arial" w:hAnsi="Arial" w:eastAsia="Arial" w:cs="Arial"/>
          <w:color w:val="000000" w:themeColor="text1" w:themeTint="FF" w:themeShade="FF"/>
          <w:sz w:val="24"/>
          <w:szCs w:val="24"/>
        </w:rPr>
        <w:t xml:space="preserve"> identity (Varela </w:t>
      </w:r>
      <w:r w:rsidRPr="69441A9A" w:rsidR="694D3138">
        <w:rPr>
          <w:rFonts w:ascii="Arial" w:hAnsi="Arial" w:eastAsia="Arial" w:cs="Arial"/>
          <w:i w:val="1"/>
          <w:iCs w:val="1"/>
          <w:color w:val="000000" w:themeColor="text1" w:themeTint="FF" w:themeShade="FF"/>
          <w:sz w:val="24"/>
          <w:szCs w:val="24"/>
        </w:rPr>
        <w:t>et al</w:t>
      </w:r>
      <w:r w:rsidRPr="69441A9A" w:rsidR="14F8B522">
        <w:rPr>
          <w:rFonts w:ascii="Arial" w:hAnsi="Arial" w:eastAsia="Arial" w:cs="Arial"/>
          <w:color w:val="000000" w:themeColor="text1" w:themeTint="FF" w:themeShade="FF"/>
          <w:sz w:val="24"/>
          <w:szCs w:val="24"/>
        </w:rPr>
        <w:t>.</w:t>
      </w:r>
      <w:r w:rsidRPr="69441A9A" w:rsidR="14F8B522">
        <w:rPr>
          <w:rFonts w:ascii="Arial" w:hAnsi="Arial" w:eastAsia="Arial" w:cs="Arial"/>
          <w:color w:val="000000" w:themeColor="text1" w:themeTint="FF" w:themeShade="FF"/>
          <w:sz w:val="24"/>
          <w:szCs w:val="24"/>
        </w:rPr>
        <w:t xml:space="preserve">, 2022). In many cases, individuals may simultaneously grieve for affected </w:t>
      </w:r>
      <w:r w:rsidRPr="69441A9A" w:rsidR="14F8B522">
        <w:rPr>
          <w:rFonts w:ascii="Arial" w:hAnsi="Arial" w:eastAsia="Arial" w:cs="Arial"/>
          <w:color w:val="000000" w:themeColor="text1" w:themeTint="FF" w:themeShade="FF"/>
          <w:sz w:val="24"/>
          <w:szCs w:val="24"/>
        </w:rPr>
        <w:t>relatives whilst also anticipating their own future decline, creating a uniquely layered and enduring form of emotional suffering (</w:t>
      </w:r>
      <w:r w:rsidRPr="69441A9A" w:rsidR="14F8B522">
        <w:rPr>
          <w:rFonts w:ascii="Arial" w:hAnsi="Arial" w:eastAsia="Arial" w:cs="Arial"/>
          <w:color w:val="000000" w:themeColor="text1" w:themeTint="FF" w:themeShade="FF"/>
          <w:sz w:val="24"/>
          <w:szCs w:val="24"/>
        </w:rPr>
        <w:t>Van Ba</w:t>
      </w:r>
      <w:r w:rsidRPr="69441A9A" w:rsidR="14F8B522">
        <w:rPr>
          <w:rFonts w:ascii="Arial" w:hAnsi="Arial" w:eastAsia="Arial" w:cs="Arial"/>
          <w:color w:val="000000" w:themeColor="text1" w:themeTint="FF" w:themeShade="FF"/>
          <w:sz w:val="24"/>
          <w:szCs w:val="24"/>
        </w:rPr>
        <w:t xml:space="preserve">ar </w:t>
      </w:r>
      <w:r w:rsidRPr="69441A9A" w:rsidR="694D3138">
        <w:rPr>
          <w:rFonts w:ascii="Arial" w:hAnsi="Arial" w:eastAsia="Arial" w:cs="Arial"/>
          <w:i w:val="1"/>
          <w:iCs w:val="1"/>
          <w:color w:val="000000" w:themeColor="text1" w:themeTint="FF" w:themeShade="FF"/>
          <w:sz w:val="24"/>
          <w:szCs w:val="24"/>
        </w:rPr>
        <w:t>et al</w:t>
      </w:r>
      <w:r w:rsidRPr="69441A9A" w:rsidR="14F8B522">
        <w:rPr>
          <w:rFonts w:ascii="Arial" w:hAnsi="Arial" w:eastAsia="Arial" w:cs="Arial"/>
          <w:color w:val="000000" w:themeColor="text1" w:themeTint="FF" w:themeShade="FF"/>
          <w:sz w:val="24"/>
          <w:szCs w:val="24"/>
        </w:rPr>
        <w:t>., 2025).</w:t>
      </w:r>
    </w:p>
    <w:p w:rsidRPr="00A4620A" w:rsidR="00A4620A" w:rsidP="69441A9A" w:rsidRDefault="00A4620A" w14:paraId="062DD441" w14:textId="74E6D19F">
      <w:pPr>
        <w:spacing w:before="240"/>
        <w:jc w:val="both"/>
        <w:rPr>
          <w:rFonts w:ascii="Arial" w:hAnsi="Arial" w:eastAsia="Arial" w:cs="Arial"/>
          <w:sz w:val="24"/>
          <w:szCs w:val="24"/>
        </w:rPr>
      </w:pPr>
      <w:r w:rsidRPr="69441A9A" w:rsidR="14F8B522">
        <w:rPr>
          <w:rFonts w:ascii="Arial" w:hAnsi="Arial" w:eastAsia="Arial" w:cs="Arial"/>
          <w:color w:val="000000" w:themeColor="text1" w:themeTint="FF" w:themeShade="FF"/>
          <w:sz w:val="24"/>
          <w:szCs w:val="24"/>
        </w:rPr>
        <w:t xml:space="preserve">Collectively, the literature suggests that living gene positive for HD involves far more than knowledge of future disease onset. Rather, it </w:t>
      </w:r>
      <w:r w:rsidRPr="69441A9A" w:rsidR="14F8B522">
        <w:rPr>
          <w:rFonts w:ascii="Arial" w:hAnsi="Arial" w:eastAsia="Arial" w:cs="Arial"/>
          <w:color w:val="000000" w:themeColor="text1" w:themeTint="FF" w:themeShade="FF"/>
          <w:sz w:val="24"/>
          <w:szCs w:val="24"/>
        </w:rPr>
        <w:t>represents</w:t>
      </w:r>
      <w:r w:rsidRPr="69441A9A" w:rsidR="14F8B522">
        <w:rPr>
          <w:rFonts w:ascii="Arial" w:hAnsi="Arial" w:eastAsia="Arial" w:cs="Arial"/>
          <w:color w:val="000000" w:themeColor="text1" w:themeTint="FF" w:themeShade="FF"/>
          <w:sz w:val="24"/>
          <w:szCs w:val="24"/>
        </w:rPr>
        <w:t xml:space="preserve"> an ongoing psychological negotiation between present identity, </w:t>
      </w:r>
      <w:r w:rsidRPr="69441A9A" w:rsidR="14F8B522">
        <w:rPr>
          <w:rFonts w:ascii="Arial" w:hAnsi="Arial" w:eastAsia="Arial" w:cs="Arial"/>
          <w:color w:val="000000" w:themeColor="text1" w:themeTint="FF" w:themeShade="FF"/>
          <w:sz w:val="24"/>
          <w:szCs w:val="24"/>
        </w:rPr>
        <w:t>anticipated</w:t>
      </w:r>
      <w:r w:rsidRPr="69441A9A" w:rsidR="14F8B522">
        <w:rPr>
          <w:rFonts w:ascii="Arial" w:hAnsi="Arial" w:eastAsia="Arial" w:cs="Arial"/>
          <w:color w:val="000000" w:themeColor="text1" w:themeTint="FF" w:themeShade="FF"/>
          <w:sz w:val="24"/>
          <w:szCs w:val="24"/>
        </w:rPr>
        <w:t xml:space="preserve"> loss, relational uncertainty, and future decline (</w:t>
      </w:r>
      <w:r w:rsidRPr="69441A9A" w:rsidR="60EF3863">
        <w:rPr>
          <w:rFonts w:ascii="Arial" w:hAnsi="Arial" w:eastAsia="Arial" w:cs="Arial"/>
          <w:color w:val="000000" w:themeColor="text1" w:themeTint="FF" w:themeShade="FF"/>
          <w:sz w:val="24"/>
          <w:szCs w:val="24"/>
        </w:rPr>
        <w:t>IHA</w:t>
      </w:r>
      <w:r w:rsidRPr="69441A9A" w:rsidR="14F8B522">
        <w:rPr>
          <w:rFonts w:ascii="Arial" w:hAnsi="Arial" w:eastAsia="Arial" w:cs="Arial"/>
          <w:color w:val="000000" w:themeColor="text1" w:themeTint="FF" w:themeShade="FF"/>
          <w:sz w:val="24"/>
          <w:szCs w:val="24"/>
        </w:rPr>
        <w:t>, 202</w:t>
      </w:r>
      <w:r w:rsidRPr="69441A9A" w:rsidR="07BB5280">
        <w:rPr>
          <w:rFonts w:ascii="Arial" w:hAnsi="Arial" w:eastAsia="Arial" w:cs="Arial"/>
          <w:color w:val="000000" w:themeColor="text1" w:themeTint="FF" w:themeShade="FF"/>
          <w:sz w:val="24"/>
          <w:szCs w:val="24"/>
        </w:rPr>
        <w:t>6</w:t>
      </w:r>
      <w:r w:rsidRPr="69441A9A" w:rsidR="14F8B522">
        <w:rPr>
          <w:rFonts w:ascii="Arial" w:hAnsi="Arial" w:eastAsia="Arial" w:cs="Arial"/>
          <w:color w:val="000000" w:themeColor="text1" w:themeTint="FF" w:themeShade="FF"/>
          <w:sz w:val="24"/>
          <w:szCs w:val="24"/>
        </w:rPr>
        <w:t>). While existing research has significantly advanced understanding of distress, liminality, and anticipatory grief w</w:t>
      </w:r>
      <w:r w:rsidRPr="69441A9A" w:rsidR="14F8B522">
        <w:rPr>
          <w:rFonts w:ascii="Arial" w:hAnsi="Arial" w:eastAsia="Arial" w:cs="Arial"/>
          <w:color w:val="000000" w:themeColor="text1" w:themeTint="FF" w:themeShade="FF"/>
          <w:sz w:val="24"/>
          <w:szCs w:val="24"/>
        </w:rPr>
        <w:t>ithin the ge</w:t>
      </w:r>
      <w:r w:rsidRPr="69441A9A" w:rsidR="14F8B522">
        <w:rPr>
          <w:rFonts w:ascii="Arial" w:hAnsi="Arial" w:eastAsia="Arial" w:cs="Arial"/>
          <w:color w:val="000000" w:themeColor="text1" w:themeTint="FF" w:themeShade="FF"/>
          <w:sz w:val="24"/>
          <w:szCs w:val="24"/>
        </w:rPr>
        <w:t xml:space="preserve">ne-positive experience, comparatively less attention has been given to processes </w:t>
      </w:r>
      <w:r w:rsidRPr="69441A9A" w:rsidR="14F8B522">
        <w:rPr>
          <w:rFonts w:ascii="Arial" w:hAnsi="Arial" w:eastAsia="Arial" w:cs="Arial"/>
          <w:color w:val="000000" w:themeColor="text1" w:themeTint="FF" w:themeShade="FF"/>
          <w:sz w:val="24"/>
          <w:szCs w:val="24"/>
        </w:rPr>
        <w:t>of resili</w:t>
      </w:r>
      <w:r w:rsidRPr="69441A9A" w:rsidR="14F8B522">
        <w:rPr>
          <w:rFonts w:ascii="Arial" w:hAnsi="Arial" w:eastAsia="Arial" w:cs="Arial"/>
          <w:color w:val="000000" w:themeColor="text1" w:themeTint="FF" w:themeShade="FF"/>
          <w:sz w:val="24"/>
          <w:szCs w:val="24"/>
        </w:rPr>
        <w:t>ence, adaptation, and identity continuity (</w:t>
      </w:r>
      <w:r w:rsidRPr="69441A9A" w:rsidR="14F8B522">
        <w:rPr>
          <w:rFonts w:ascii="Arial" w:hAnsi="Arial" w:eastAsia="Arial" w:cs="Arial"/>
          <w:color w:val="000000" w:themeColor="text1" w:themeTint="FF" w:themeShade="FF"/>
          <w:sz w:val="24"/>
          <w:szCs w:val="24"/>
        </w:rPr>
        <w:t>Tindal</w:t>
      </w:r>
      <w:r w:rsidRPr="69441A9A" w:rsidR="14F8B522">
        <w:rPr>
          <w:rFonts w:ascii="Arial" w:hAnsi="Arial" w:eastAsia="Arial" w:cs="Arial"/>
          <w:color w:val="000000" w:themeColor="text1" w:themeTint="FF" w:themeShade="FF"/>
          <w:sz w:val="24"/>
          <w:szCs w:val="24"/>
        </w:rPr>
        <w:t>l, 202</w:t>
      </w:r>
      <w:r w:rsidRPr="69441A9A" w:rsidR="5F8A49F7">
        <w:rPr>
          <w:rFonts w:ascii="Arial" w:hAnsi="Arial" w:eastAsia="Arial" w:cs="Arial"/>
          <w:color w:val="000000" w:themeColor="text1" w:themeTint="FF" w:themeShade="FF"/>
          <w:sz w:val="24"/>
          <w:szCs w:val="24"/>
        </w:rPr>
        <w:t>6</w:t>
      </w:r>
      <w:r w:rsidRPr="69441A9A" w:rsidR="14F8B522">
        <w:rPr>
          <w:rFonts w:ascii="Arial" w:hAnsi="Arial" w:eastAsia="Arial" w:cs="Arial"/>
          <w:color w:val="000000" w:themeColor="text1" w:themeTint="FF" w:themeShade="FF"/>
          <w:sz w:val="24"/>
          <w:szCs w:val="24"/>
        </w:rPr>
        <w:t xml:space="preserve">). Consequently, further research is needed to explore how individuals construct meaning and </w:t>
      </w:r>
      <w:r w:rsidRPr="69441A9A" w:rsidR="14F8B522">
        <w:rPr>
          <w:rFonts w:ascii="Arial" w:hAnsi="Arial" w:eastAsia="Arial" w:cs="Arial"/>
          <w:color w:val="000000" w:themeColor="text1" w:themeTint="FF" w:themeShade="FF"/>
          <w:sz w:val="24"/>
          <w:szCs w:val="24"/>
        </w:rPr>
        <w:t>ma</w:t>
      </w:r>
      <w:r w:rsidRPr="69441A9A" w:rsidR="14F8B522">
        <w:rPr>
          <w:rFonts w:ascii="Arial" w:hAnsi="Arial" w:eastAsia="Arial" w:cs="Arial"/>
          <w:color w:val="000000" w:themeColor="text1" w:themeTint="FF" w:themeShade="FF"/>
          <w:sz w:val="24"/>
          <w:szCs w:val="24"/>
        </w:rPr>
        <w:t>intain</w:t>
      </w:r>
      <w:r w:rsidRPr="69441A9A" w:rsidR="14F8B522">
        <w:rPr>
          <w:rFonts w:ascii="Arial" w:hAnsi="Arial" w:eastAsia="Arial" w:cs="Arial"/>
          <w:color w:val="000000" w:themeColor="text1" w:themeTint="FF" w:themeShade="FF"/>
          <w:sz w:val="24"/>
          <w:szCs w:val="24"/>
        </w:rPr>
        <w:t xml:space="preserve"> p</w:t>
      </w:r>
      <w:r w:rsidRPr="69441A9A" w:rsidR="14F8B522">
        <w:rPr>
          <w:rFonts w:ascii="Arial" w:hAnsi="Arial" w:eastAsia="Arial" w:cs="Arial"/>
          <w:color w:val="000000" w:themeColor="text1" w:themeTint="FF" w:themeShade="FF"/>
          <w:sz w:val="24"/>
          <w:szCs w:val="24"/>
        </w:rPr>
        <w:t>sychological coherence whilst living with the certainty of future illness (</w:t>
      </w:r>
      <w:r w:rsidRPr="69441A9A" w:rsidR="14F8B522">
        <w:rPr>
          <w:rFonts w:ascii="Arial" w:hAnsi="Arial" w:eastAsia="Arial" w:cs="Arial"/>
          <w:color w:val="000000" w:themeColor="text1" w:themeTint="FF" w:themeShade="FF"/>
          <w:sz w:val="24"/>
          <w:szCs w:val="24"/>
        </w:rPr>
        <w:t>Banaszkiewicz</w:t>
      </w:r>
      <w:r w:rsidRPr="69441A9A" w:rsidR="14F8B522">
        <w:rPr>
          <w:rFonts w:ascii="Arial" w:hAnsi="Arial" w:eastAsia="Arial" w:cs="Arial"/>
          <w:color w:val="000000" w:themeColor="text1" w:themeTint="FF" w:themeShade="FF"/>
          <w:sz w:val="24"/>
          <w:szCs w:val="24"/>
        </w:rPr>
        <w:t xml:space="preserve"> </w:t>
      </w:r>
      <w:r w:rsidRPr="69441A9A" w:rsidR="694D3138">
        <w:rPr>
          <w:rFonts w:ascii="Arial" w:hAnsi="Arial" w:eastAsia="Arial" w:cs="Arial"/>
          <w:i w:val="1"/>
          <w:iCs w:val="1"/>
          <w:color w:val="000000" w:themeColor="text1" w:themeTint="FF" w:themeShade="FF"/>
          <w:sz w:val="24"/>
          <w:szCs w:val="24"/>
        </w:rPr>
        <w:t>et al</w:t>
      </w:r>
      <w:r w:rsidRPr="69441A9A" w:rsidR="14F8B522">
        <w:rPr>
          <w:rFonts w:ascii="Arial" w:hAnsi="Arial" w:eastAsia="Arial" w:cs="Arial"/>
          <w:color w:val="000000" w:themeColor="text1" w:themeTint="FF" w:themeShade="FF"/>
          <w:sz w:val="24"/>
          <w:szCs w:val="24"/>
        </w:rPr>
        <w:t>., 2012).</w:t>
      </w:r>
    </w:p>
    <w:p w:rsidR="00364396" w:rsidP="69441A9A" w:rsidRDefault="00364396" w14:paraId="747D236D" w14:textId="66DD91D2">
      <w:pPr>
        <w:pStyle w:val="Heading2"/>
        <w:numPr>
          <w:ilvl w:val="0"/>
          <w:numId w:val="0"/>
        </w:numPr>
        <w:ind w:left="0"/>
        <w:jc w:val="both"/>
        <w:rPr>
          <w:rFonts w:ascii="Arial" w:hAnsi="Arial" w:eastAsia="Arial" w:cs="Arial"/>
        </w:rPr>
      </w:pPr>
      <w:bookmarkStart w:name="_Toc238028857" w:id="13"/>
      <w:r>
        <w:br/>
      </w:r>
    </w:p>
    <w:p w:rsidR="00364396" w:rsidP="69441A9A" w:rsidRDefault="00364396" w14:paraId="329420A2" w14:textId="4000D997">
      <w:pPr>
        <w:pStyle w:val="Heading2"/>
        <w:jc w:val="both"/>
        <w:rPr>
          <w:rFonts w:ascii="Arial" w:hAnsi="Arial" w:eastAsia="Arial" w:cs="Arial"/>
        </w:rPr>
      </w:pPr>
      <w:r w:rsidRPr="69441A9A" w:rsidR="203F8669">
        <w:rPr>
          <w:rFonts w:ascii="Arial" w:hAnsi="Arial" w:eastAsia="Arial" w:cs="Arial"/>
        </w:rPr>
        <w:t xml:space="preserve"> </w:t>
      </w:r>
      <w:r w:rsidRPr="69441A9A" w:rsidR="16B396BB">
        <w:rPr>
          <w:rFonts w:ascii="Arial" w:hAnsi="Arial" w:eastAsia="Arial" w:cs="Arial"/>
        </w:rPr>
        <w:t>The Paradox of Certainty and Control</w:t>
      </w:r>
      <w:bookmarkEnd w:id="13"/>
    </w:p>
    <w:p w:rsidRPr="00DC3733" w:rsidR="00DC3733" w:rsidP="69441A9A" w:rsidRDefault="00DC3733" w14:paraId="7C1979AA" w14:textId="77777777">
      <w:pPr>
        <w:rPr>
          <w:rFonts w:ascii="Arial" w:hAnsi="Arial" w:eastAsia="Arial" w:cs="Arial"/>
        </w:rPr>
      </w:pPr>
    </w:p>
    <w:p w:rsidR="00364396" w:rsidP="69441A9A" w:rsidRDefault="0062452D" w14:paraId="77B4C183" w14:textId="04C94163">
      <w:pPr>
        <w:spacing w:before="240"/>
        <w:jc w:val="both"/>
        <w:rPr>
          <w:rFonts w:ascii="Arial" w:hAnsi="Arial" w:eastAsia="Arial" w:cs="Arial"/>
          <w:color w:val="000000" w:themeColor="text1"/>
          <w:sz w:val="24"/>
          <w:szCs w:val="24"/>
        </w:rPr>
      </w:pPr>
      <w:r w:rsidRPr="69441A9A" w:rsidR="2D1F8409">
        <w:rPr>
          <w:rFonts w:ascii="Arial" w:hAnsi="Arial" w:eastAsia="Arial" w:cs="Arial"/>
          <w:color w:val="000000" w:themeColor="text1" w:themeTint="FF" w:themeShade="FF"/>
          <w:sz w:val="24"/>
          <w:szCs w:val="24"/>
        </w:rPr>
        <w:t>I</w:t>
      </w:r>
      <w:r w:rsidRPr="69441A9A" w:rsidR="402EC320">
        <w:rPr>
          <w:rFonts w:ascii="Arial" w:hAnsi="Arial" w:eastAsia="Arial" w:cs="Arial"/>
          <w:color w:val="000000" w:themeColor="text1" w:themeTint="FF" w:themeShade="FF"/>
          <w:sz w:val="24"/>
          <w:szCs w:val="24"/>
        </w:rPr>
        <w:t>ndividuals are empowered by the certainty that enables planning, yet</w:t>
      </w:r>
      <w:r w:rsidRPr="69441A9A" w:rsidR="2D1F8409">
        <w:rPr>
          <w:rFonts w:ascii="Arial" w:hAnsi="Arial" w:eastAsia="Arial" w:cs="Arial"/>
          <w:color w:val="000000" w:themeColor="text1" w:themeTint="FF" w:themeShade="FF"/>
          <w:sz w:val="24"/>
          <w:szCs w:val="24"/>
        </w:rPr>
        <w:t xml:space="preserve"> t</w:t>
      </w:r>
      <w:r w:rsidRPr="69441A9A" w:rsidR="402EC320">
        <w:rPr>
          <w:rFonts w:ascii="Arial" w:hAnsi="Arial" w:eastAsia="Arial" w:cs="Arial"/>
          <w:color w:val="000000" w:themeColor="text1" w:themeTint="FF" w:themeShade="FF"/>
          <w:sz w:val="24"/>
          <w:szCs w:val="24"/>
        </w:rPr>
        <w:t xml:space="preserve">he confirmation of a gene-positive status introduces a profound psychological paradox surrounding certainty and control (Timman, 2005). Although individuals lose control over the biological trajectory of their future health, they simultaneously gain epistemic certainty </w:t>
      </w:r>
      <w:r w:rsidRPr="69441A9A" w:rsidR="402EC320">
        <w:rPr>
          <w:rFonts w:ascii="Arial" w:hAnsi="Arial" w:eastAsia="Arial" w:cs="Arial"/>
          <w:color w:val="000000" w:themeColor="text1" w:themeTint="FF" w:themeShade="FF"/>
          <w:sz w:val="24"/>
          <w:szCs w:val="24"/>
        </w:rPr>
        <w:t>regarding</w:t>
      </w:r>
      <w:r w:rsidRPr="69441A9A" w:rsidR="402EC320">
        <w:rPr>
          <w:rFonts w:ascii="Arial" w:hAnsi="Arial" w:eastAsia="Arial" w:cs="Arial"/>
          <w:color w:val="000000" w:themeColor="text1" w:themeTint="FF" w:themeShade="FF"/>
          <w:sz w:val="24"/>
          <w:szCs w:val="24"/>
        </w:rPr>
        <w:t xml:space="preserve"> the likelihood of disease onset (Rensink </w:t>
      </w:r>
      <w:r w:rsidRPr="69441A9A" w:rsidR="694D3138">
        <w:rPr>
          <w:rFonts w:ascii="Arial" w:hAnsi="Arial" w:eastAsia="Arial" w:cs="Arial"/>
          <w:i w:val="1"/>
          <w:iCs w:val="1"/>
          <w:color w:val="000000" w:themeColor="text1" w:themeTint="FF" w:themeShade="FF"/>
          <w:sz w:val="24"/>
          <w:szCs w:val="24"/>
        </w:rPr>
        <w:t>et al</w:t>
      </w:r>
      <w:r w:rsidRPr="69441A9A" w:rsidR="402EC320">
        <w:rPr>
          <w:rFonts w:ascii="Arial" w:hAnsi="Arial" w:eastAsia="Arial" w:cs="Arial"/>
          <w:color w:val="000000" w:themeColor="text1" w:themeTint="FF" w:themeShade="FF"/>
          <w:sz w:val="24"/>
          <w:szCs w:val="24"/>
        </w:rPr>
        <w:t xml:space="preserve">., 2026). According to </w:t>
      </w:r>
      <w:r w:rsidRPr="69441A9A" w:rsidR="0EE8ECA5">
        <w:rPr>
          <w:rFonts w:ascii="Arial" w:hAnsi="Arial" w:eastAsia="Arial" w:cs="Arial"/>
          <w:color w:val="000000" w:themeColor="text1" w:themeTint="FF" w:themeShade="FF"/>
          <w:sz w:val="24"/>
          <w:szCs w:val="24"/>
        </w:rPr>
        <w:t xml:space="preserve">Spargo </w:t>
      </w:r>
      <w:r w:rsidRPr="69441A9A" w:rsidR="0EE8ECA5">
        <w:rPr>
          <w:rFonts w:ascii="Arial" w:hAnsi="Arial" w:eastAsia="Arial" w:cs="Arial"/>
          <w:i w:val="1"/>
          <w:iCs w:val="1"/>
          <w:color w:val="000000" w:themeColor="text1" w:themeTint="FF" w:themeShade="FF"/>
          <w:sz w:val="24"/>
          <w:szCs w:val="24"/>
        </w:rPr>
        <w:t>et al.</w:t>
      </w:r>
      <w:r w:rsidRPr="69441A9A" w:rsidR="402EC320">
        <w:rPr>
          <w:rFonts w:ascii="Arial" w:hAnsi="Arial" w:eastAsia="Arial" w:cs="Arial"/>
          <w:i w:val="1"/>
          <w:iCs w:val="1"/>
          <w:color w:val="000000" w:themeColor="text1" w:themeTint="FF" w:themeShade="FF"/>
          <w:sz w:val="24"/>
          <w:szCs w:val="24"/>
        </w:rPr>
        <w:t xml:space="preserve"> </w:t>
      </w:r>
      <w:r w:rsidRPr="69441A9A" w:rsidR="402EC320">
        <w:rPr>
          <w:rFonts w:ascii="Arial" w:hAnsi="Arial" w:eastAsia="Arial" w:cs="Arial"/>
          <w:color w:val="000000" w:themeColor="text1" w:themeTint="FF" w:themeShade="FF"/>
          <w:sz w:val="24"/>
          <w:szCs w:val="24"/>
        </w:rPr>
        <w:t>(2025), this certainty creates</w:t>
      </w:r>
      <w:r w:rsidRPr="69441A9A" w:rsidR="402EC320">
        <w:rPr>
          <w:rFonts w:ascii="Arial" w:hAnsi="Arial" w:eastAsia="Arial" w:cs="Arial"/>
          <w:color w:val="000000" w:themeColor="text1" w:themeTint="FF" w:themeShade="FF"/>
          <w:sz w:val="24"/>
          <w:szCs w:val="24"/>
        </w:rPr>
        <w:t xml:space="preserve"> opportu</w:t>
      </w:r>
      <w:r w:rsidRPr="69441A9A" w:rsidR="402EC320">
        <w:rPr>
          <w:rFonts w:ascii="Arial" w:hAnsi="Arial" w:eastAsia="Arial" w:cs="Arial"/>
          <w:color w:val="000000" w:themeColor="text1" w:themeTint="FF" w:themeShade="FF"/>
          <w:sz w:val="24"/>
          <w:szCs w:val="24"/>
        </w:rPr>
        <w:t xml:space="preserve">nities for proactive decision-making and future-oriented planning. Research suggests that predictive genetic knowledge influences multiple domains of life, including financial preparation, career </w:t>
      </w:r>
      <w:r w:rsidRPr="69441A9A" w:rsidR="402EC320">
        <w:rPr>
          <w:rFonts w:ascii="Arial" w:hAnsi="Arial" w:eastAsia="Arial" w:cs="Arial"/>
          <w:color w:val="000000" w:themeColor="text1" w:themeTint="FF" w:themeShade="FF"/>
          <w:sz w:val="24"/>
          <w:szCs w:val="24"/>
        </w:rPr>
        <w:t>trajectories, int</w:t>
      </w:r>
      <w:r w:rsidRPr="69441A9A" w:rsidR="402EC320">
        <w:rPr>
          <w:rFonts w:ascii="Arial" w:hAnsi="Arial" w:eastAsia="Arial" w:cs="Arial"/>
          <w:color w:val="000000" w:themeColor="text1" w:themeTint="FF" w:themeShade="FF"/>
          <w:sz w:val="24"/>
          <w:szCs w:val="24"/>
        </w:rPr>
        <w:t xml:space="preserve">erpersonal relationships, and reproductive decision-making (Ballard </w:t>
      </w:r>
      <w:r w:rsidRPr="69441A9A" w:rsidR="694D3138">
        <w:rPr>
          <w:rFonts w:ascii="Arial" w:hAnsi="Arial" w:eastAsia="Arial" w:cs="Arial"/>
          <w:i w:val="1"/>
          <w:iCs w:val="1"/>
          <w:color w:val="000000" w:themeColor="text1" w:themeTint="FF" w:themeShade="FF"/>
          <w:sz w:val="24"/>
          <w:szCs w:val="24"/>
        </w:rPr>
        <w:t>et al</w:t>
      </w:r>
      <w:r w:rsidRPr="69441A9A" w:rsidR="402EC320">
        <w:rPr>
          <w:rFonts w:ascii="Arial" w:hAnsi="Arial" w:eastAsia="Arial" w:cs="Arial"/>
          <w:color w:val="000000" w:themeColor="text1" w:themeTint="FF" w:themeShade="FF"/>
          <w:sz w:val="24"/>
          <w:szCs w:val="24"/>
        </w:rPr>
        <w:t xml:space="preserve">., 2024). Qualitative studies further </w:t>
      </w:r>
      <w:r w:rsidRPr="69441A9A" w:rsidR="402EC320">
        <w:rPr>
          <w:rFonts w:ascii="Arial" w:hAnsi="Arial" w:eastAsia="Arial" w:cs="Arial"/>
          <w:color w:val="000000" w:themeColor="text1" w:themeTint="FF" w:themeShade="FF"/>
          <w:sz w:val="24"/>
          <w:szCs w:val="24"/>
        </w:rPr>
        <w:t>indicate</w:t>
      </w:r>
      <w:r w:rsidRPr="69441A9A" w:rsidR="402EC320">
        <w:rPr>
          <w:rFonts w:ascii="Arial" w:hAnsi="Arial" w:eastAsia="Arial" w:cs="Arial"/>
          <w:color w:val="000000" w:themeColor="text1" w:themeTint="FF" w:themeShade="FF"/>
          <w:sz w:val="24"/>
          <w:szCs w:val="24"/>
        </w:rPr>
        <w:t xml:space="preserve"> that engaging in </w:t>
      </w:r>
      <w:r w:rsidRPr="69441A9A" w:rsidR="402EC320">
        <w:rPr>
          <w:rFonts w:ascii="Arial" w:hAnsi="Arial" w:eastAsia="Arial" w:cs="Arial"/>
          <w:color w:val="000000" w:themeColor="text1" w:themeTint="FF" w:themeShade="FF"/>
          <w:sz w:val="24"/>
          <w:szCs w:val="24"/>
        </w:rPr>
        <w:t>anticipatory planning can foster a sense of agency, preparedness, and psychological containment by enabling individuals to exert influence over aspects of the future that remain manageable despite uncertainty surrounding disease progression (</w:t>
      </w:r>
      <w:r w:rsidRPr="69441A9A" w:rsidR="402EC320">
        <w:rPr>
          <w:rFonts w:ascii="Arial" w:hAnsi="Arial" w:eastAsia="Arial" w:cs="Arial"/>
          <w:color w:val="000000" w:themeColor="text1" w:themeTint="FF" w:themeShade="FF"/>
          <w:sz w:val="24"/>
          <w:szCs w:val="24"/>
        </w:rPr>
        <w:t>Zarotti</w:t>
      </w:r>
      <w:r w:rsidRPr="69441A9A" w:rsidR="402EC320">
        <w:rPr>
          <w:rFonts w:ascii="Arial" w:hAnsi="Arial" w:eastAsia="Arial" w:cs="Arial"/>
          <w:color w:val="000000" w:themeColor="text1" w:themeTint="FF" w:themeShade="FF"/>
          <w:sz w:val="24"/>
          <w:szCs w:val="24"/>
        </w:rPr>
        <w:t xml:space="preserve"> </w:t>
      </w:r>
      <w:r w:rsidRPr="69441A9A" w:rsidR="694D3138">
        <w:rPr>
          <w:rFonts w:ascii="Arial" w:hAnsi="Arial" w:eastAsia="Arial" w:cs="Arial"/>
          <w:i w:val="1"/>
          <w:iCs w:val="1"/>
          <w:color w:val="000000" w:themeColor="text1" w:themeTint="FF" w:themeShade="FF"/>
          <w:sz w:val="24"/>
          <w:szCs w:val="24"/>
        </w:rPr>
        <w:t>et al</w:t>
      </w:r>
      <w:r w:rsidRPr="69441A9A" w:rsidR="402EC320">
        <w:rPr>
          <w:rFonts w:ascii="Arial" w:hAnsi="Arial" w:eastAsia="Arial" w:cs="Arial"/>
          <w:color w:val="000000" w:themeColor="text1" w:themeTint="FF" w:themeShade="FF"/>
          <w:sz w:val="24"/>
          <w:szCs w:val="24"/>
        </w:rPr>
        <w:t>., 2020).</w:t>
      </w:r>
    </w:p>
    <w:p w:rsidRPr="00364396" w:rsidR="00264546" w:rsidP="69441A9A" w:rsidRDefault="00264546" w14:paraId="5E4B0888" w14:textId="77777777">
      <w:pPr>
        <w:spacing w:before="240"/>
        <w:jc w:val="both"/>
        <w:rPr>
          <w:rFonts w:ascii="Arial" w:hAnsi="Arial" w:eastAsia="Arial" w:cs="Arial"/>
          <w:sz w:val="24"/>
          <w:szCs w:val="24"/>
        </w:rPr>
      </w:pPr>
    </w:p>
    <w:p w:rsidR="00264546" w:rsidP="69441A9A" w:rsidRDefault="00364396" w14:paraId="5944422F" w14:textId="3A1C9F0B">
      <w:pPr>
        <w:spacing w:before="240"/>
        <w:jc w:val="both"/>
        <w:rPr>
          <w:rFonts w:ascii="Arial" w:hAnsi="Arial" w:eastAsia="Arial" w:cs="Arial"/>
          <w:sz w:val="24"/>
          <w:szCs w:val="24"/>
        </w:rPr>
      </w:pPr>
      <w:r w:rsidRPr="69441A9A" w:rsidR="16B396BB">
        <w:rPr>
          <w:rFonts w:ascii="Arial" w:hAnsi="Arial" w:eastAsia="Arial" w:cs="Arial"/>
          <w:color w:val="000000" w:themeColor="text1" w:themeTint="FF" w:themeShade="FF"/>
          <w:sz w:val="24"/>
          <w:szCs w:val="24"/>
        </w:rPr>
        <w:t xml:space="preserve">However, the psychological impact of future planning is inherently ambivalent. Although planning may function as a coping strategy that restores a perceived sense of control, it is neither emotionally neutral nor an innate psychological response (Lee </w:t>
      </w:r>
      <w:r w:rsidRPr="69441A9A" w:rsidR="449B8D43">
        <w:rPr>
          <w:rFonts w:ascii="Arial" w:hAnsi="Arial" w:eastAsia="Arial" w:cs="Arial"/>
          <w:color w:val="000000" w:themeColor="text1" w:themeTint="FF" w:themeShade="FF"/>
          <w:sz w:val="24"/>
          <w:szCs w:val="24"/>
        </w:rPr>
        <w:t>and</w:t>
      </w:r>
      <w:r w:rsidRPr="69441A9A" w:rsidR="16B396BB">
        <w:rPr>
          <w:rFonts w:ascii="Arial" w:hAnsi="Arial" w:eastAsia="Arial" w:cs="Arial"/>
          <w:color w:val="000000" w:themeColor="text1" w:themeTint="FF" w:themeShade="FF"/>
          <w:sz w:val="24"/>
          <w:szCs w:val="24"/>
        </w:rPr>
        <w:t xml:space="preserve"> Bongiovanni, 2023). Instead, each act of planning may reinforce the inevitability of decline, repeatedly confronting individuals with the permanence of their genetic status (</w:t>
      </w:r>
      <w:r w:rsidRPr="69441A9A" w:rsidR="2A490462">
        <w:rPr>
          <w:rFonts w:ascii="Arial" w:hAnsi="Arial" w:eastAsia="Arial" w:cs="Arial"/>
          <w:color w:val="000000" w:themeColor="text1" w:themeTint="FF" w:themeShade="FF"/>
          <w:sz w:val="24"/>
          <w:szCs w:val="24"/>
        </w:rPr>
        <w:t>Quiad</w:t>
      </w:r>
      <w:r w:rsidRPr="69441A9A" w:rsidR="16B396BB">
        <w:rPr>
          <w:rFonts w:ascii="Arial" w:hAnsi="Arial" w:eastAsia="Arial" w:cs="Arial"/>
          <w:color w:val="000000" w:themeColor="text1" w:themeTint="FF" w:themeShade="FF"/>
          <w:sz w:val="24"/>
          <w:szCs w:val="24"/>
        </w:rPr>
        <w:t xml:space="preserve"> 201</w:t>
      </w:r>
      <w:r w:rsidRPr="69441A9A" w:rsidR="64BA05B9">
        <w:rPr>
          <w:rFonts w:ascii="Arial" w:hAnsi="Arial" w:eastAsia="Arial" w:cs="Arial"/>
          <w:color w:val="000000" w:themeColor="text1" w:themeTint="FF" w:themeShade="FF"/>
          <w:sz w:val="24"/>
          <w:szCs w:val="24"/>
        </w:rPr>
        <w:t>7</w:t>
      </w:r>
      <w:r w:rsidRPr="69441A9A" w:rsidR="16B396BB">
        <w:rPr>
          <w:rFonts w:ascii="Arial" w:hAnsi="Arial" w:eastAsia="Arial" w:cs="Arial"/>
          <w:color w:val="000000" w:themeColor="text1" w:themeTint="FF" w:themeShade="FF"/>
          <w:sz w:val="24"/>
          <w:szCs w:val="24"/>
        </w:rPr>
        <w:t xml:space="preserve">). Consequently, planning can become emotionally burdensome, requiring individuals to continuously negotiate between adaptation and anticipatory </w:t>
      </w:r>
      <w:r w:rsidRPr="69441A9A" w:rsidR="16B396BB">
        <w:rPr>
          <w:rFonts w:ascii="Arial" w:hAnsi="Arial" w:eastAsia="Arial" w:cs="Arial"/>
          <w:color w:val="000000" w:themeColor="text1" w:themeTint="FF" w:themeShade="FF"/>
          <w:sz w:val="24"/>
          <w:szCs w:val="24"/>
        </w:rPr>
        <w:t>grief</w:t>
      </w:r>
      <w:r w:rsidRPr="69441A9A" w:rsidR="16B396BB">
        <w:rPr>
          <w:rFonts w:ascii="Arial" w:hAnsi="Arial" w:eastAsia="Arial" w:cs="Arial"/>
          <w:color w:val="000000" w:themeColor="text1" w:themeTint="FF" w:themeShade="FF"/>
          <w:sz w:val="24"/>
          <w:szCs w:val="24"/>
        </w:rPr>
        <w:t xml:space="preserve"> (Unal, 2019</w:t>
      </w:r>
      <w:r w:rsidRPr="69441A9A" w:rsidR="3983D167">
        <w:rPr>
          <w:rFonts w:ascii="Arial" w:hAnsi="Arial" w:eastAsia="Arial" w:cs="Arial"/>
          <w:color w:val="000000" w:themeColor="text1" w:themeTint="FF" w:themeShade="FF"/>
          <w:sz w:val="24"/>
          <w:szCs w:val="24"/>
        </w:rPr>
        <w:t xml:space="preserve">; </w:t>
      </w:r>
      <w:r w:rsidRPr="69441A9A" w:rsidR="3983D167">
        <w:rPr>
          <w:rFonts w:ascii="Arial" w:hAnsi="Arial" w:eastAsia="Arial" w:cs="Arial"/>
          <w:color w:val="000000" w:themeColor="text1" w:themeTint="FF" w:themeShade="FF"/>
          <w:sz w:val="24"/>
          <w:szCs w:val="24"/>
        </w:rPr>
        <w:t>Bricano</w:t>
      </w:r>
      <w:r w:rsidRPr="69441A9A" w:rsidR="3983D167">
        <w:rPr>
          <w:rFonts w:ascii="Arial" w:hAnsi="Arial" w:eastAsia="Arial" w:cs="Arial"/>
          <w:color w:val="000000" w:themeColor="text1" w:themeTint="FF" w:themeShade="FF"/>
          <w:sz w:val="24"/>
          <w:szCs w:val="24"/>
        </w:rPr>
        <w:t xml:space="preserve"> 202</w:t>
      </w:r>
      <w:r w:rsidRPr="69441A9A" w:rsidR="5D0769E1">
        <w:rPr>
          <w:rFonts w:ascii="Arial" w:hAnsi="Arial" w:eastAsia="Arial" w:cs="Arial"/>
          <w:color w:val="000000" w:themeColor="text1" w:themeTint="FF" w:themeShade="FF"/>
          <w:sz w:val="24"/>
          <w:szCs w:val="24"/>
        </w:rPr>
        <w:t>5</w:t>
      </w:r>
      <w:r w:rsidRPr="69441A9A" w:rsidR="16B396BB">
        <w:rPr>
          <w:rFonts w:ascii="Arial" w:hAnsi="Arial" w:eastAsia="Arial" w:cs="Arial"/>
          <w:color w:val="000000" w:themeColor="text1" w:themeTint="FF" w:themeShade="FF"/>
          <w:sz w:val="24"/>
          <w:szCs w:val="24"/>
        </w:rPr>
        <w:t xml:space="preserve">). Predictive testing therefore creates a persistent state of psychological tension: individuals are empowered by the certainty that enables </w:t>
      </w:r>
      <w:r w:rsidRPr="69441A9A" w:rsidR="16B396BB">
        <w:rPr>
          <w:rFonts w:ascii="Arial" w:hAnsi="Arial" w:eastAsia="Arial" w:cs="Arial"/>
          <w:color w:val="000000" w:themeColor="text1" w:themeTint="FF" w:themeShade="FF"/>
          <w:sz w:val="24"/>
          <w:szCs w:val="24"/>
        </w:rPr>
        <w:t>planning, yet</w:t>
      </w:r>
      <w:r w:rsidRPr="69441A9A" w:rsidR="16B396BB">
        <w:rPr>
          <w:rFonts w:ascii="Arial" w:hAnsi="Arial" w:eastAsia="Arial" w:cs="Arial"/>
          <w:color w:val="000000" w:themeColor="text1" w:themeTint="FF" w:themeShade="FF"/>
          <w:sz w:val="24"/>
          <w:szCs w:val="24"/>
        </w:rPr>
        <w:t xml:space="preserve"> simultaneously constrained by the emotional weight of that same knowledge (Broadstock </w:t>
      </w:r>
      <w:r w:rsidRPr="69441A9A" w:rsidR="7A4241C9">
        <w:rPr>
          <w:rFonts w:ascii="Arial" w:hAnsi="Arial" w:eastAsia="Arial" w:cs="Arial"/>
          <w:i w:val="1"/>
          <w:iCs w:val="1"/>
          <w:color w:val="000000" w:themeColor="text1" w:themeTint="FF" w:themeShade="FF"/>
          <w:sz w:val="24"/>
          <w:szCs w:val="24"/>
        </w:rPr>
        <w:t>et al</w:t>
      </w:r>
      <w:r w:rsidRPr="69441A9A" w:rsidR="16B396BB">
        <w:rPr>
          <w:rFonts w:ascii="Arial" w:hAnsi="Arial" w:eastAsia="Arial" w:cs="Arial"/>
          <w:color w:val="000000" w:themeColor="text1" w:themeTint="FF" w:themeShade="FF"/>
          <w:sz w:val="24"/>
          <w:szCs w:val="24"/>
        </w:rPr>
        <w:t>., 2000). Collectively, these findings suggest that therapeutic support may help individuals navigate the tension between empowerment through knowledge and the emotional burden that such knowledge entails.</w:t>
      </w:r>
      <w:r>
        <w:br/>
      </w:r>
    </w:p>
    <w:p w:rsidR="00364396" w:rsidP="69441A9A" w:rsidRDefault="00364396" w14:paraId="6C70B68C" w14:textId="6673805B">
      <w:pPr>
        <w:pStyle w:val="Heading2"/>
        <w:numPr>
          <w:ilvl w:val="0"/>
          <w:numId w:val="0"/>
        </w:numPr>
        <w:ind w:left="0"/>
        <w:rPr>
          <w:rFonts w:ascii="Arial" w:hAnsi="Arial" w:eastAsia="Arial" w:cs="Arial"/>
        </w:rPr>
      </w:pPr>
      <w:bookmarkStart w:name="_Toc238028858" w:id="14"/>
      <w:r w:rsidRPr="69441A9A" w:rsidR="412EB97F">
        <w:rPr>
          <w:rFonts w:ascii="Arial" w:hAnsi="Arial" w:eastAsia="Arial" w:cs="Arial"/>
        </w:rPr>
        <w:t xml:space="preserve">1.6 </w:t>
      </w:r>
      <w:r w:rsidRPr="69441A9A" w:rsidR="16B396BB">
        <w:rPr>
          <w:rFonts w:ascii="Arial" w:hAnsi="Arial" w:eastAsia="Arial" w:cs="Arial"/>
        </w:rPr>
        <w:t>Relational Dynamic and Ethical Responsibility</w:t>
      </w:r>
      <w:bookmarkEnd w:id="14"/>
    </w:p>
    <w:p w:rsidR="00364396" w:rsidP="69441A9A" w:rsidRDefault="00364396" w14:paraId="3B1811B8" w14:textId="5C5204C7">
      <w:pPr>
        <w:pStyle w:val="Normal"/>
        <w:spacing w:before="240"/>
        <w:rPr>
          <w:rFonts w:ascii="Arial" w:hAnsi="Arial" w:eastAsia="Arial" w:cs="Arial"/>
          <w:color w:val="000000" w:themeColor="text1"/>
          <w:sz w:val="24"/>
          <w:szCs w:val="24"/>
        </w:rPr>
      </w:pPr>
      <w:r>
        <w:br/>
      </w:r>
      <w:r w:rsidRPr="69441A9A" w:rsidR="19476838">
        <w:rPr>
          <w:rFonts w:ascii="Arial" w:hAnsi="Arial" w:eastAsia="Arial" w:cs="Arial"/>
          <w:color w:val="000000" w:themeColor="text1" w:themeTint="FF" w:themeShade="FF"/>
          <w:sz w:val="24"/>
          <w:szCs w:val="24"/>
        </w:rPr>
        <w:t xml:space="preserve">According to Gong </w:t>
      </w:r>
      <w:r w:rsidRPr="69441A9A" w:rsidR="1CA125FA">
        <w:rPr>
          <w:rFonts w:ascii="Arial" w:hAnsi="Arial" w:eastAsia="Arial" w:cs="Arial"/>
          <w:i w:val="1"/>
          <w:iCs w:val="1"/>
          <w:color w:val="000000" w:themeColor="text1" w:themeTint="FF" w:themeShade="FF"/>
          <w:sz w:val="24"/>
          <w:szCs w:val="24"/>
        </w:rPr>
        <w:t>et al</w:t>
      </w:r>
      <w:r w:rsidRPr="69441A9A" w:rsidR="19476838">
        <w:rPr>
          <w:rFonts w:ascii="Arial" w:hAnsi="Arial" w:eastAsia="Arial" w:cs="Arial"/>
          <w:color w:val="000000" w:themeColor="text1" w:themeTint="FF" w:themeShade="FF"/>
          <w:sz w:val="24"/>
          <w:szCs w:val="24"/>
        </w:rPr>
        <w:t>. (2016) the psychological impact of receiving a gene-positive result for HD extends far beyond the individual, permeating family systems, intimate relationships, and broader social dynamics. Existing literature suggests that predictive testing often generates an intensified sense of responsibility towards others, particularly concerning genetic transmission, disclosure decisions, and future caregiving responsibilities (</w:t>
      </w:r>
      <w:r w:rsidRPr="69441A9A" w:rsidR="3BB65871">
        <w:rPr>
          <w:rFonts w:ascii="Arial" w:hAnsi="Arial" w:eastAsia="Arial" w:cs="Arial"/>
          <w:color w:val="000000" w:themeColor="text1" w:themeTint="FF" w:themeShade="FF"/>
          <w:sz w:val="24"/>
          <w:szCs w:val="24"/>
        </w:rPr>
        <w:t>Etch</w:t>
      </w:r>
      <w:r w:rsidRPr="69441A9A" w:rsidR="3BB65871">
        <w:rPr>
          <w:rFonts w:ascii="Arial" w:hAnsi="Arial" w:eastAsia="Arial" w:cs="Arial"/>
          <w:color w:val="000000" w:themeColor="text1" w:themeTint="FF" w:themeShade="FF"/>
          <w:sz w:val="24"/>
          <w:szCs w:val="24"/>
        </w:rPr>
        <w:t>egary</w:t>
      </w:r>
      <w:r w:rsidRPr="69441A9A" w:rsidR="2FBF9BAB">
        <w:rPr>
          <w:rFonts w:ascii="Arial" w:hAnsi="Arial" w:eastAsia="Arial" w:cs="Arial"/>
          <w:color w:val="000000" w:themeColor="text1" w:themeTint="FF" w:themeShade="FF"/>
          <w:sz w:val="24"/>
          <w:szCs w:val="24"/>
        </w:rPr>
        <w:t xml:space="preserve"> and Fowler</w:t>
      </w:r>
      <w:r w:rsidRPr="69441A9A" w:rsidR="3BB65871">
        <w:rPr>
          <w:rFonts w:ascii="Arial" w:hAnsi="Arial" w:eastAsia="Arial" w:cs="Arial"/>
          <w:color w:val="000000" w:themeColor="text1" w:themeTint="FF" w:themeShade="FF"/>
          <w:sz w:val="24"/>
          <w:szCs w:val="24"/>
        </w:rPr>
        <w:t xml:space="preserve">, 2008; </w:t>
      </w:r>
      <w:r w:rsidRPr="69441A9A" w:rsidR="19476838">
        <w:rPr>
          <w:rFonts w:ascii="Arial" w:hAnsi="Arial" w:eastAsia="Arial" w:cs="Arial"/>
          <w:color w:val="000000" w:themeColor="text1" w:themeTint="FF" w:themeShade="FF"/>
          <w:sz w:val="24"/>
          <w:szCs w:val="24"/>
        </w:rPr>
        <w:t>Theed</w:t>
      </w:r>
      <w:r w:rsidRPr="69441A9A" w:rsidR="19476838">
        <w:rPr>
          <w:rFonts w:ascii="Arial" w:hAnsi="Arial" w:eastAsia="Arial" w:cs="Arial"/>
          <w:color w:val="000000" w:themeColor="text1" w:themeTint="FF" w:themeShade="FF"/>
          <w:sz w:val="24"/>
          <w:szCs w:val="24"/>
        </w:rPr>
        <w:t xml:space="preserve"> </w:t>
      </w:r>
      <w:r w:rsidRPr="69441A9A" w:rsidR="1CA125FA">
        <w:rPr>
          <w:rFonts w:ascii="Arial" w:hAnsi="Arial" w:eastAsia="Arial" w:cs="Arial"/>
          <w:i w:val="1"/>
          <w:iCs w:val="1"/>
          <w:color w:val="000000" w:themeColor="text1" w:themeTint="FF" w:themeShade="FF"/>
          <w:sz w:val="24"/>
          <w:szCs w:val="24"/>
        </w:rPr>
        <w:t>et al</w:t>
      </w:r>
      <w:r w:rsidRPr="69441A9A" w:rsidR="19476838">
        <w:rPr>
          <w:rFonts w:ascii="Arial" w:hAnsi="Arial" w:eastAsia="Arial" w:cs="Arial"/>
          <w:color w:val="000000" w:themeColor="text1" w:themeTint="FF" w:themeShade="FF"/>
          <w:sz w:val="24"/>
          <w:szCs w:val="24"/>
        </w:rPr>
        <w:t xml:space="preserve">., 2017). Consequently, reproductive decision-making becomes ethically complex, as </w:t>
      </w:r>
      <w:r w:rsidRPr="69441A9A" w:rsidR="19476838">
        <w:rPr>
          <w:rFonts w:ascii="Arial" w:hAnsi="Arial" w:eastAsia="Arial" w:cs="Arial"/>
          <w:color w:val="000000" w:themeColor="text1" w:themeTint="FF" w:themeShade="FF"/>
          <w:sz w:val="24"/>
          <w:szCs w:val="24"/>
        </w:rPr>
        <w:t xml:space="preserve">individuals must negotiate personal desires for parenthood alongside perceived moral responsibilities associated with the risk of passing on the HD mutation (Lindo </w:t>
      </w:r>
      <w:r w:rsidRPr="69441A9A" w:rsidR="1CA125FA">
        <w:rPr>
          <w:rFonts w:ascii="Arial" w:hAnsi="Arial" w:eastAsia="Arial" w:cs="Arial"/>
          <w:i w:val="1"/>
          <w:iCs w:val="1"/>
          <w:color w:val="000000" w:themeColor="text1" w:themeTint="FF" w:themeShade="FF"/>
          <w:sz w:val="24"/>
          <w:szCs w:val="24"/>
        </w:rPr>
        <w:t>et al</w:t>
      </w:r>
      <w:r w:rsidRPr="69441A9A" w:rsidR="19476838">
        <w:rPr>
          <w:rFonts w:ascii="Arial" w:hAnsi="Arial" w:eastAsia="Arial" w:cs="Arial"/>
          <w:color w:val="000000" w:themeColor="text1" w:themeTint="FF" w:themeShade="FF"/>
          <w:sz w:val="24"/>
          <w:szCs w:val="24"/>
        </w:rPr>
        <w:t>., 2026). M</w:t>
      </w:r>
      <w:r w:rsidRPr="69441A9A" w:rsidR="74E730E9">
        <w:rPr>
          <w:rFonts w:ascii="Arial" w:hAnsi="Arial" w:eastAsia="Arial" w:cs="Arial"/>
          <w:color w:val="000000" w:themeColor="text1" w:themeTint="FF" w:themeShade="FF"/>
          <w:sz w:val="24"/>
          <w:szCs w:val="24"/>
        </w:rPr>
        <w:t>endes and Clarke</w:t>
      </w:r>
      <w:r w:rsidRPr="69441A9A" w:rsidR="19476838">
        <w:rPr>
          <w:rFonts w:ascii="Arial" w:hAnsi="Arial" w:eastAsia="Arial" w:cs="Arial"/>
          <w:color w:val="000000" w:themeColor="text1" w:themeTint="FF" w:themeShade="FF"/>
          <w:sz w:val="24"/>
          <w:szCs w:val="24"/>
        </w:rPr>
        <w:t xml:space="preserve"> </w:t>
      </w:r>
      <w:r w:rsidRPr="69441A9A" w:rsidR="1CA125FA">
        <w:rPr>
          <w:rFonts w:ascii="Arial" w:hAnsi="Arial" w:eastAsia="Arial" w:cs="Arial"/>
          <w:i w:val="1"/>
          <w:iCs w:val="1"/>
          <w:color w:val="000000" w:themeColor="text1" w:themeTint="FF" w:themeShade="FF"/>
          <w:sz w:val="24"/>
          <w:szCs w:val="24"/>
        </w:rPr>
        <w:t>et al</w:t>
      </w:r>
      <w:r w:rsidRPr="69441A9A" w:rsidR="19476838">
        <w:rPr>
          <w:rFonts w:ascii="Arial" w:hAnsi="Arial" w:eastAsia="Arial" w:cs="Arial"/>
          <w:color w:val="000000" w:themeColor="text1" w:themeTint="FF" w:themeShade="FF"/>
          <w:sz w:val="24"/>
          <w:szCs w:val="24"/>
        </w:rPr>
        <w:t xml:space="preserve">. (2021) argue these decisions are </w:t>
      </w:r>
      <w:r w:rsidRPr="69441A9A" w:rsidR="19476838">
        <w:rPr>
          <w:rFonts w:ascii="Arial" w:hAnsi="Arial" w:eastAsia="Arial" w:cs="Arial"/>
          <w:color w:val="000000" w:themeColor="text1" w:themeTint="FF" w:themeShade="FF"/>
          <w:sz w:val="24"/>
          <w:szCs w:val="24"/>
        </w:rPr>
        <w:t>frequently</w:t>
      </w:r>
      <w:r w:rsidRPr="69441A9A" w:rsidR="19476838">
        <w:rPr>
          <w:rFonts w:ascii="Arial" w:hAnsi="Arial" w:eastAsia="Arial" w:cs="Arial"/>
          <w:color w:val="000000" w:themeColor="text1" w:themeTint="FF" w:themeShade="FF"/>
          <w:sz w:val="24"/>
          <w:szCs w:val="24"/>
        </w:rPr>
        <w:t xml:space="preserve"> shaped not only by medical knowledge but also by feelings of guilt, accountability, and </w:t>
      </w:r>
      <w:r w:rsidRPr="69441A9A" w:rsidR="19476838">
        <w:rPr>
          <w:rFonts w:ascii="Arial" w:hAnsi="Arial" w:eastAsia="Arial" w:cs="Arial"/>
          <w:color w:val="000000" w:themeColor="text1" w:themeTint="FF" w:themeShade="FF"/>
          <w:sz w:val="24"/>
          <w:szCs w:val="24"/>
        </w:rPr>
        <w:t>anticipated</w:t>
      </w:r>
      <w:r w:rsidRPr="69441A9A" w:rsidR="19476838">
        <w:rPr>
          <w:rFonts w:ascii="Arial" w:hAnsi="Arial" w:eastAsia="Arial" w:cs="Arial"/>
          <w:color w:val="000000" w:themeColor="text1" w:themeTint="FF" w:themeShade="FF"/>
          <w:sz w:val="24"/>
          <w:szCs w:val="24"/>
        </w:rPr>
        <w:t xml:space="preserve"> judgement from others.</w:t>
      </w:r>
    </w:p>
    <w:p w:rsidRPr="00364396" w:rsidR="00264546" w:rsidP="69441A9A" w:rsidRDefault="00264546" w14:paraId="3D78E12F" w14:textId="77777777">
      <w:pPr>
        <w:spacing w:before="240"/>
        <w:jc w:val="both"/>
        <w:rPr>
          <w:rFonts w:ascii="Arial" w:hAnsi="Arial" w:eastAsia="Arial" w:cs="Arial"/>
          <w:sz w:val="24"/>
          <w:szCs w:val="24"/>
        </w:rPr>
      </w:pPr>
    </w:p>
    <w:p w:rsidRPr="00364396" w:rsidR="00364396" w:rsidP="69441A9A" w:rsidRDefault="00364396" w14:paraId="256C993C" w14:textId="06E0AE4C">
      <w:pPr>
        <w:spacing w:before="240"/>
        <w:jc w:val="both"/>
        <w:rPr>
          <w:rFonts w:ascii="Arial" w:hAnsi="Arial" w:eastAsia="Arial" w:cs="Arial"/>
          <w:color w:val="000000" w:themeColor="text1"/>
          <w:sz w:val="24"/>
          <w:szCs w:val="24"/>
        </w:rPr>
      </w:pPr>
      <w:r w:rsidRPr="69441A9A" w:rsidR="19476838">
        <w:rPr>
          <w:rFonts w:ascii="Arial" w:hAnsi="Arial" w:eastAsia="Arial" w:cs="Arial"/>
          <w:color w:val="000000" w:themeColor="text1" w:themeTint="FF" w:themeShade="FF"/>
          <w:sz w:val="24"/>
          <w:szCs w:val="24"/>
        </w:rPr>
        <w:t>Furthermore, awareness of gene-positive status can fundamentally alter relational identities long before the onset of any physical symptoms. Individuals commonly report fears of becoming a future burden to partners or family members, leading to anticipatory shifts in intimacy, dependency, and patterns of communication (</w:t>
      </w:r>
      <w:r w:rsidRPr="69441A9A" w:rsidR="19476838">
        <w:rPr>
          <w:rFonts w:ascii="Arial" w:hAnsi="Arial" w:eastAsia="Arial" w:cs="Arial"/>
          <w:color w:val="000000" w:themeColor="text1" w:themeTint="FF" w:themeShade="FF"/>
          <w:sz w:val="24"/>
          <w:szCs w:val="24"/>
        </w:rPr>
        <w:t>F</w:t>
      </w:r>
      <w:r w:rsidRPr="69441A9A" w:rsidR="45EEBE64">
        <w:rPr>
          <w:rFonts w:ascii="Arial" w:hAnsi="Arial" w:eastAsia="Arial" w:cs="Arial"/>
          <w:color w:val="000000" w:themeColor="text1" w:themeTint="FF" w:themeShade="FF"/>
          <w:sz w:val="24"/>
          <w:szCs w:val="24"/>
        </w:rPr>
        <w:t>e</w:t>
      </w:r>
      <w:r w:rsidRPr="69441A9A" w:rsidR="19476838">
        <w:rPr>
          <w:rFonts w:ascii="Arial" w:hAnsi="Arial" w:eastAsia="Arial" w:cs="Arial"/>
          <w:color w:val="000000" w:themeColor="text1" w:themeTint="FF" w:themeShade="FF"/>
          <w:sz w:val="24"/>
          <w:szCs w:val="24"/>
        </w:rPr>
        <w:t>rluga</w:t>
      </w:r>
      <w:r w:rsidRPr="69441A9A" w:rsidR="19476838">
        <w:rPr>
          <w:rFonts w:ascii="Arial" w:hAnsi="Arial" w:eastAsia="Arial" w:cs="Arial"/>
          <w:color w:val="000000" w:themeColor="text1" w:themeTint="FF" w:themeShade="FF"/>
          <w:sz w:val="24"/>
          <w:szCs w:val="24"/>
        </w:rPr>
        <w:t xml:space="preserve">, 2024). Also argued by </w:t>
      </w:r>
      <w:r w:rsidRPr="69441A9A" w:rsidR="19476838">
        <w:rPr>
          <w:rFonts w:ascii="Arial" w:hAnsi="Arial" w:eastAsia="Arial" w:cs="Arial"/>
          <w:color w:val="000000" w:themeColor="text1" w:themeTint="FF" w:themeShade="FF"/>
          <w:sz w:val="24"/>
          <w:szCs w:val="24"/>
        </w:rPr>
        <w:t>Exuzides</w:t>
      </w:r>
      <w:r w:rsidRPr="69441A9A" w:rsidR="19476838">
        <w:rPr>
          <w:rFonts w:ascii="Arial" w:hAnsi="Arial" w:eastAsia="Arial" w:cs="Arial"/>
          <w:color w:val="000000" w:themeColor="text1" w:themeTint="FF" w:themeShade="FF"/>
          <w:sz w:val="24"/>
          <w:szCs w:val="24"/>
        </w:rPr>
        <w:t xml:space="preserve"> </w:t>
      </w:r>
      <w:r w:rsidRPr="69441A9A" w:rsidR="1CA125FA">
        <w:rPr>
          <w:rFonts w:ascii="Arial" w:hAnsi="Arial" w:eastAsia="Arial" w:cs="Arial"/>
          <w:i w:val="1"/>
          <w:iCs w:val="1"/>
          <w:color w:val="000000" w:themeColor="text1" w:themeTint="FF" w:themeShade="FF"/>
          <w:sz w:val="24"/>
          <w:szCs w:val="24"/>
        </w:rPr>
        <w:t>et al</w:t>
      </w:r>
      <w:r w:rsidRPr="69441A9A" w:rsidR="19476838">
        <w:rPr>
          <w:rFonts w:ascii="Arial" w:hAnsi="Arial" w:eastAsia="Arial" w:cs="Arial"/>
          <w:color w:val="000000" w:themeColor="text1" w:themeTint="FF" w:themeShade="FF"/>
          <w:sz w:val="24"/>
          <w:szCs w:val="24"/>
        </w:rPr>
        <w:t>. (2022), this “anticipatory reconfiguration” of relationships reflects how genetic knowledge restructures interpersonal dynamics in advance of disease manifestation. The relational nature of predictive genetic knowledge suggests that counselling approaches which consider family systems, interpersonal relationships, and ethical concerns may be particularly valuable when supporting individuals following testing</w:t>
      </w:r>
      <w:r w:rsidRPr="69441A9A" w:rsidR="63E384A0">
        <w:rPr>
          <w:rFonts w:ascii="Arial" w:hAnsi="Arial" w:eastAsia="Arial" w:cs="Arial"/>
          <w:color w:val="000000" w:themeColor="text1" w:themeTint="FF" w:themeShade="FF"/>
          <w:sz w:val="24"/>
          <w:szCs w:val="24"/>
        </w:rPr>
        <w:t xml:space="preserve"> </w:t>
      </w:r>
      <w:r w:rsidRPr="69441A9A" w:rsidR="19476838">
        <w:rPr>
          <w:rFonts w:ascii="Arial" w:hAnsi="Arial" w:eastAsia="Arial" w:cs="Arial"/>
          <w:color w:val="000000" w:themeColor="text1" w:themeTint="FF" w:themeShade="FF"/>
          <w:sz w:val="24"/>
          <w:szCs w:val="24"/>
        </w:rPr>
        <w:t>(</w:t>
      </w:r>
      <w:r w:rsidRPr="69441A9A" w:rsidR="19476838">
        <w:rPr>
          <w:rFonts w:ascii="Arial" w:hAnsi="Arial" w:eastAsia="Arial" w:cs="Arial"/>
          <w:color w:val="000000" w:themeColor="text1" w:themeTint="FF" w:themeShade="FF"/>
          <w:sz w:val="24"/>
          <w:szCs w:val="24"/>
        </w:rPr>
        <w:t>Macl</w:t>
      </w:r>
      <w:r w:rsidRPr="69441A9A" w:rsidR="19476838">
        <w:rPr>
          <w:rFonts w:ascii="Arial" w:hAnsi="Arial" w:eastAsia="Arial" w:cs="Arial"/>
          <w:color w:val="000000" w:themeColor="text1" w:themeTint="FF" w:themeShade="FF"/>
          <w:sz w:val="24"/>
          <w:szCs w:val="24"/>
        </w:rPr>
        <w:t xml:space="preserve">eod </w:t>
      </w:r>
      <w:r w:rsidRPr="69441A9A" w:rsidR="1CA125FA">
        <w:rPr>
          <w:rFonts w:ascii="Arial" w:hAnsi="Arial" w:eastAsia="Arial" w:cs="Arial"/>
          <w:i w:val="1"/>
          <w:iCs w:val="1"/>
          <w:color w:val="000000" w:themeColor="text1" w:themeTint="FF" w:themeShade="FF"/>
          <w:sz w:val="24"/>
          <w:szCs w:val="24"/>
        </w:rPr>
        <w:t>et al</w:t>
      </w:r>
      <w:r w:rsidRPr="69441A9A" w:rsidR="19476838">
        <w:rPr>
          <w:rFonts w:ascii="Arial" w:hAnsi="Arial" w:eastAsia="Arial" w:cs="Arial"/>
          <w:color w:val="000000" w:themeColor="text1" w:themeTint="FF" w:themeShade="FF"/>
          <w:sz w:val="24"/>
          <w:szCs w:val="24"/>
        </w:rPr>
        <w:t>., 201</w:t>
      </w:r>
      <w:r w:rsidRPr="69441A9A" w:rsidR="25562FFD">
        <w:rPr>
          <w:rFonts w:ascii="Arial" w:hAnsi="Arial" w:eastAsia="Arial" w:cs="Arial"/>
          <w:color w:val="000000" w:themeColor="text1" w:themeTint="FF" w:themeShade="FF"/>
          <w:sz w:val="24"/>
          <w:szCs w:val="24"/>
        </w:rPr>
        <w:t>4</w:t>
      </w:r>
      <w:r w:rsidRPr="69441A9A" w:rsidR="19476838">
        <w:rPr>
          <w:rFonts w:ascii="Arial" w:hAnsi="Arial" w:eastAsia="Arial" w:cs="Arial"/>
          <w:color w:val="000000" w:themeColor="text1" w:themeTint="FF" w:themeShade="FF"/>
          <w:sz w:val="24"/>
          <w:szCs w:val="24"/>
        </w:rPr>
        <w:t>).</w:t>
      </w:r>
      <w:r>
        <w:br/>
      </w:r>
    </w:p>
    <w:p w:rsidRPr="00126428" w:rsidR="00BD4AE3" w:rsidP="69441A9A" w:rsidRDefault="00364396" w14:paraId="41E61DD9" w14:textId="77777777">
      <w:pPr>
        <w:pStyle w:val="Heading2"/>
        <w:rPr>
          <w:rFonts w:ascii="Arial" w:hAnsi="Arial" w:eastAsia="Arial" w:cs="Arial"/>
        </w:rPr>
      </w:pPr>
      <w:bookmarkStart w:name="_Toc238028859" w:id="15"/>
      <w:r w:rsidRPr="69441A9A" w:rsidR="00364396">
        <w:rPr>
          <w:rFonts w:ascii="Arial" w:hAnsi="Arial" w:eastAsia="Arial" w:cs="Arial"/>
        </w:rPr>
        <w:t xml:space="preserve">Gene-Negative Experience: Relief, Disruption, and the Reconstruction of an Unexpected </w:t>
      </w:r>
      <w:r w:rsidRPr="69441A9A" w:rsidR="00BD4AE3">
        <w:rPr>
          <w:rFonts w:ascii="Arial" w:hAnsi="Arial" w:eastAsia="Arial" w:cs="Arial"/>
        </w:rPr>
        <w:t>F</w:t>
      </w:r>
      <w:r w:rsidRPr="69441A9A" w:rsidR="00364396">
        <w:rPr>
          <w:rFonts w:ascii="Arial" w:hAnsi="Arial" w:eastAsia="Arial" w:cs="Arial"/>
        </w:rPr>
        <w:t>uture</w:t>
      </w:r>
      <w:bookmarkEnd w:id="15"/>
      <w:r w:rsidRPr="69441A9A" w:rsidR="00BD4AE3">
        <w:rPr>
          <w:rFonts w:ascii="Arial" w:hAnsi="Arial" w:eastAsia="Arial" w:cs="Arial"/>
        </w:rPr>
        <w:t xml:space="preserve"> </w:t>
      </w:r>
    </w:p>
    <w:p w:rsidR="00B10FBE" w:rsidP="69441A9A" w:rsidRDefault="00B10FBE" w14:paraId="4B3DEA1C" w14:textId="77777777">
      <w:pPr>
        <w:pStyle w:val="ListParagraph"/>
        <w:ind w:left="0"/>
        <w:jc w:val="both"/>
        <w:rPr>
          <w:rFonts w:ascii="Arial" w:hAnsi="Arial" w:eastAsia="Arial" w:cs="Arial"/>
          <w:b w:val="1"/>
          <w:bCs w:val="1"/>
          <w:color w:val="000000" w:themeColor="text1"/>
          <w:sz w:val="28"/>
          <w:szCs w:val="28"/>
        </w:rPr>
      </w:pPr>
    </w:p>
    <w:p w:rsidRPr="00256BA1" w:rsidR="00B10FBE" w:rsidP="69441A9A" w:rsidRDefault="00BD4AE3" w14:paraId="6A6A8AB4" w14:textId="6CD8F993">
      <w:pPr>
        <w:pStyle w:val="Heading3"/>
        <w:rPr>
          <w:rFonts w:ascii="Arial" w:hAnsi="Arial" w:eastAsia="Arial" w:cs="Arial"/>
        </w:rPr>
      </w:pPr>
      <w:bookmarkStart w:name="_Toc238028860" w:id="16"/>
      <w:r w:rsidRPr="69441A9A" w:rsidR="00BD4AE3">
        <w:rPr>
          <w:rFonts w:ascii="Arial" w:hAnsi="Arial" w:eastAsia="Arial" w:cs="Arial"/>
        </w:rPr>
        <w:t>The Complexity of Relief</w:t>
      </w:r>
      <w:bookmarkEnd w:id="16"/>
      <w:r w:rsidRPr="69441A9A" w:rsidR="00BD4AE3">
        <w:rPr>
          <w:rFonts w:ascii="Arial" w:hAnsi="Arial" w:eastAsia="Arial" w:cs="Arial"/>
        </w:rPr>
        <w:t xml:space="preserve"> </w:t>
      </w:r>
      <w:r w:rsidRPr="69441A9A" w:rsidR="005D3516">
        <w:rPr>
          <w:rFonts w:ascii="Arial" w:hAnsi="Arial" w:eastAsia="Arial" w:cs="Arial"/>
        </w:rPr>
        <w:t xml:space="preserve"> </w:t>
      </w:r>
    </w:p>
    <w:p w:rsidR="00364396" w:rsidP="69441A9A" w:rsidRDefault="00364396" w14:paraId="6479EEEE" w14:textId="0208E2E6">
      <w:pPr>
        <w:pStyle w:val="ListParagraph"/>
        <w:ind w:left="0"/>
        <w:jc w:val="both"/>
        <w:rPr>
          <w:rFonts w:ascii="Arial" w:hAnsi="Arial" w:eastAsia="Arial" w:cs="Arial"/>
          <w:sz w:val="24"/>
          <w:szCs w:val="24"/>
        </w:rPr>
      </w:pPr>
      <w:r>
        <w:br/>
      </w:r>
      <w:r w:rsidRPr="69441A9A" w:rsidR="00364396">
        <w:rPr>
          <w:rFonts w:ascii="Arial" w:hAnsi="Arial" w:eastAsia="Arial" w:cs="Arial"/>
          <w:sz w:val="24"/>
          <w:szCs w:val="24"/>
        </w:rPr>
        <w:t>A gene-negative test result is often framed in a clinical context as a positive or relieving outcome (</w:t>
      </w:r>
      <w:r w:rsidRPr="69441A9A" w:rsidR="00364396">
        <w:rPr>
          <w:rFonts w:ascii="Arial" w:hAnsi="Arial" w:eastAsia="Arial" w:cs="Arial"/>
          <w:sz w:val="24"/>
          <w:szCs w:val="24"/>
        </w:rPr>
        <w:t xml:space="preserve">Mocanu </w:t>
      </w:r>
      <w:r w:rsidRPr="69441A9A" w:rsidR="00B10FBE">
        <w:rPr>
          <w:rFonts w:ascii="Arial" w:hAnsi="Arial" w:eastAsia="Arial" w:cs="Arial"/>
          <w:i w:val="1"/>
          <w:iCs w:val="1"/>
          <w:sz w:val="24"/>
          <w:szCs w:val="24"/>
        </w:rPr>
        <w:t>et al</w:t>
      </w:r>
      <w:r w:rsidRPr="69441A9A" w:rsidR="00364396">
        <w:rPr>
          <w:rFonts w:ascii="Arial" w:hAnsi="Arial" w:eastAsia="Arial" w:cs="Arial"/>
          <w:sz w:val="24"/>
          <w:szCs w:val="24"/>
        </w:rPr>
        <w:t xml:space="preserve">., 2025). However, qualitative research suggests that the emotional reality is considerably more complex (Gunn </w:t>
      </w:r>
      <w:r w:rsidRPr="69441A9A" w:rsidR="00B10FBE">
        <w:rPr>
          <w:rFonts w:ascii="Arial" w:hAnsi="Arial" w:eastAsia="Arial" w:cs="Arial"/>
          <w:i w:val="1"/>
          <w:iCs w:val="1"/>
          <w:sz w:val="24"/>
          <w:szCs w:val="24"/>
        </w:rPr>
        <w:t>et al</w:t>
      </w:r>
      <w:r w:rsidRPr="69441A9A" w:rsidR="00364396">
        <w:rPr>
          <w:rFonts w:ascii="Arial" w:hAnsi="Arial" w:eastAsia="Arial" w:cs="Arial"/>
          <w:sz w:val="24"/>
          <w:szCs w:val="24"/>
        </w:rPr>
        <w:t xml:space="preserve">., 2023; Ballard </w:t>
      </w:r>
      <w:r w:rsidRPr="69441A9A" w:rsidR="00B10FBE">
        <w:rPr>
          <w:rFonts w:ascii="Arial" w:hAnsi="Arial" w:eastAsia="Arial" w:cs="Arial"/>
          <w:i w:val="1"/>
          <w:iCs w:val="1"/>
          <w:sz w:val="24"/>
          <w:szCs w:val="24"/>
        </w:rPr>
        <w:t>et al</w:t>
      </w:r>
      <w:r w:rsidRPr="69441A9A" w:rsidR="00364396">
        <w:rPr>
          <w:rFonts w:ascii="Arial" w:hAnsi="Arial" w:eastAsia="Arial" w:cs="Arial"/>
          <w:sz w:val="24"/>
          <w:szCs w:val="24"/>
        </w:rPr>
        <w:t xml:space="preserve">., 2025). Although relief is frequently present, it is often accompanied by a range of other emotional responses that </w:t>
      </w:r>
      <w:r w:rsidRPr="69441A9A" w:rsidR="00364396">
        <w:rPr>
          <w:rFonts w:ascii="Arial" w:hAnsi="Arial" w:eastAsia="Arial" w:cs="Arial"/>
          <w:sz w:val="24"/>
          <w:szCs w:val="24"/>
        </w:rPr>
        <w:t xml:space="preserve">complicate adjustment (Osawa </w:t>
      </w:r>
      <w:r w:rsidRPr="69441A9A" w:rsidR="00B10FBE">
        <w:rPr>
          <w:rFonts w:ascii="Arial" w:hAnsi="Arial" w:eastAsia="Arial" w:cs="Arial"/>
          <w:i w:val="1"/>
          <w:iCs w:val="1"/>
          <w:sz w:val="24"/>
          <w:szCs w:val="24"/>
        </w:rPr>
        <w:t>et al</w:t>
      </w:r>
      <w:r w:rsidRPr="69441A9A" w:rsidR="00364396">
        <w:rPr>
          <w:rFonts w:ascii="Arial" w:hAnsi="Arial" w:eastAsia="Arial" w:cs="Arial"/>
          <w:sz w:val="24"/>
          <w:szCs w:val="24"/>
        </w:rPr>
        <w:t>., 2025</w:t>
      </w:r>
      <w:r w:rsidRPr="69441A9A" w:rsidR="00364396">
        <w:rPr>
          <w:rFonts w:ascii="Arial" w:hAnsi="Arial" w:eastAsia="Arial" w:cs="Arial"/>
          <w:sz w:val="24"/>
          <w:szCs w:val="24"/>
        </w:rPr>
        <w:t xml:space="preserve">). This ambivalence reflects the difficulty of rapidly re-calibrating long-held expectations about the future. According to Wiggins </w:t>
      </w:r>
      <w:r w:rsidRPr="69441A9A" w:rsidR="005120BC">
        <w:rPr>
          <w:rFonts w:ascii="Arial" w:hAnsi="Arial" w:eastAsia="Arial" w:cs="Arial"/>
          <w:i w:val="1"/>
          <w:iCs w:val="1"/>
          <w:sz w:val="24"/>
          <w:szCs w:val="24"/>
        </w:rPr>
        <w:t>et al</w:t>
      </w:r>
      <w:r w:rsidRPr="69441A9A" w:rsidR="00364396">
        <w:rPr>
          <w:rFonts w:ascii="Arial" w:hAnsi="Arial" w:eastAsia="Arial" w:cs="Arial"/>
          <w:sz w:val="24"/>
          <w:szCs w:val="24"/>
        </w:rPr>
        <w:t>.</w:t>
      </w:r>
      <w:r w:rsidRPr="69441A9A" w:rsidR="00364396">
        <w:rPr>
          <w:rFonts w:ascii="Arial" w:hAnsi="Arial" w:eastAsia="Arial" w:cs="Arial"/>
          <w:sz w:val="24"/>
          <w:szCs w:val="24"/>
        </w:rPr>
        <w:t xml:space="preserve"> (1992), when individuals have spent years anticipating and expecting the development of HD, the sudden removal of these expectations can be psychologically disorienting rather than purely liberating.</w:t>
      </w:r>
    </w:p>
    <w:p w:rsidRPr="00364396" w:rsidR="00311C18" w:rsidP="69441A9A" w:rsidRDefault="00311C18" w14:paraId="417086F9" w14:textId="77777777">
      <w:pPr>
        <w:pStyle w:val="ListParagraph"/>
        <w:ind w:left="0"/>
        <w:jc w:val="both"/>
        <w:rPr>
          <w:rFonts w:ascii="Arial" w:hAnsi="Arial" w:eastAsia="Arial" w:cs="Arial"/>
          <w:sz w:val="24"/>
          <w:szCs w:val="24"/>
        </w:rPr>
      </w:pPr>
    </w:p>
    <w:p w:rsidR="00364396" w:rsidP="69441A9A" w:rsidRDefault="00364396" w14:paraId="34D012CD" w14:textId="2CC4FF45">
      <w:pPr>
        <w:pStyle w:val="Heading3"/>
        <w:rPr>
          <w:rFonts w:ascii="Arial" w:hAnsi="Arial" w:eastAsia="Arial" w:cs="Arial"/>
        </w:rPr>
      </w:pPr>
      <w:bookmarkStart w:name="_Toc238028861" w:id="17"/>
      <w:r w:rsidRPr="69441A9A" w:rsidR="00364396">
        <w:rPr>
          <w:rFonts w:ascii="Arial" w:hAnsi="Arial" w:eastAsia="Arial" w:cs="Arial"/>
        </w:rPr>
        <w:t>Survivors’ Guilt and the Ethics of Unequal Outcomes</w:t>
      </w:r>
      <w:bookmarkEnd w:id="17"/>
    </w:p>
    <w:p w:rsidR="00D25DFE" w:rsidP="69441A9A" w:rsidRDefault="00D25DFE" w14:paraId="01C2D2FB" w14:textId="77777777">
      <w:pPr>
        <w:rPr>
          <w:rFonts w:ascii="Arial" w:hAnsi="Arial" w:eastAsia="Arial" w:cs="Arial"/>
        </w:rPr>
      </w:pPr>
    </w:p>
    <w:p w:rsidR="00F236B2" w:rsidP="69441A9A" w:rsidRDefault="00F236B2" w14:paraId="25373EAE" w14:textId="0BEFC2EF">
      <w:pPr>
        <w:rPr>
          <w:rFonts w:ascii="Arial" w:hAnsi="Arial" w:eastAsia="Arial" w:cs="Arial"/>
          <w:color w:val="000000" w:themeColor="text1" w:themeTint="FF" w:themeShade="FF"/>
          <w:sz w:val="24"/>
          <w:szCs w:val="24"/>
        </w:rPr>
      </w:pPr>
      <w:r w:rsidRPr="69441A9A" w:rsidR="50D5625F">
        <w:rPr>
          <w:rFonts w:ascii="Arial" w:hAnsi="Arial" w:eastAsia="Arial" w:cs="Arial"/>
          <w:color w:val="000000" w:themeColor="text1" w:themeTint="FF" w:themeShade="FF"/>
          <w:sz w:val="24"/>
          <w:szCs w:val="24"/>
        </w:rPr>
        <w:t>One of the most consistently documented experiences among gene-negative individuals is survivors’ guilt (Viau, 2022). This arises within the context of familial inheritance, where genetic outcomes are distributed unevenly among relatives (</w:t>
      </w:r>
      <w:r w:rsidRPr="69441A9A" w:rsidR="50D5625F">
        <w:rPr>
          <w:rFonts w:ascii="Arial" w:hAnsi="Arial" w:eastAsia="Arial" w:cs="Arial"/>
          <w:color w:val="000000" w:themeColor="text1" w:themeTint="FF" w:themeShade="FF"/>
          <w:sz w:val="24"/>
          <w:szCs w:val="24"/>
        </w:rPr>
        <w:t>M</w:t>
      </w:r>
      <w:r w:rsidRPr="69441A9A" w:rsidR="36BC3C51">
        <w:rPr>
          <w:rFonts w:ascii="Arial" w:hAnsi="Arial" w:eastAsia="Arial" w:cs="Arial"/>
          <w:color w:val="000000" w:themeColor="text1" w:themeTint="FF" w:themeShade="FF"/>
          <w:sz w:val="24"/>
          <w:szCs w:val="24"/>
        </w:rPr>
        <w:t>eissen</w:t>
      </w:r>
      <w:r w:rsidRPr="69441A9A" w:rsidR="36BC3C51">
        <w:rPr>
          <w:rFonts w:ascii="Arial" w:hAnsi="Arial" w:eastAsia="Arial" w:cs="Arial"/>
          <w:color w:val="000000" w:themeColor="text1" w:themeTint="FF" w:themeShade="FF"/>
          <w:sz w:val="24"/>
          <w:szCs w:val="24"/>
        </w:rPr>
        <w:t xml:space="preserve"> </w:t>
      </w:r>
      <w:r w:rsidRPr="69441A9A" w:rsidR="3CC10950">
        <w:rPr>
          <w:rFonts w:ascii="Arial" w:hAnsi="Arial" w:eastAsia="Arial" w:cs="Arial"/>
          <w:i w:val="1"/>
          <w:iCs w:val="1"/>
          <w:color w:val="000000" w:themeColor="text1" w:themeTint="FF" w:themeShade="FF"/>
          <w:sz w:val="24"/>
          <w:szCs w:val="24"/>
        </w:rPr>
        <w:t>et al</w:t>
      </w:r>
      <w:r w:rsidRPr="69441A9A" w:rsidR="50D5625F">
        <w:rPr>
          <w:rFonts w:ascii="Arial" w:hAnsi="Arial" w:eastAsia="Arial" w:cs="Arial"/>
          <w:color w:val="000000" w:themeColor="text1" w:themeTint="FF" w:themeShade="FF"/>
          <w:sz w:val="24"/>
          <w:szCs w:val="24"/>
        </w:rPr>
        <w:t>., 1</w:t>
      </w:r>
      <w:r w:rsidRPr="69441A9A" w:rsidR="03B59328">
        <w:rPr>
          <w:rFonts w:ascii="Arial" w:hAnsi="Arial" w:eastAsia="Arial" w:cs="Arial"/>
          <w:color w:val="000000" w:themeColor="text1" w:themeTint="FF" w:themeShade="FF"/>
          <w:sz w:val="24"/>
          <w:szCs w:val="24"/>
        </w:rPr>
        <w:t>988</w:t>
      </w:r>
      <w:r w:rsidRPr="69441A9A" w:rsidR="50D5625F">
        <w:rPr>
          <w:rFonts w:ascii="Arial" w:hAnsi="Arial" w:eastAsia="Arial" w:cs="Arial"/>
          <w:color w:val="000000" w:themeColor="text1" w:themeTint="FF" w:themeShade="FF"/>
          <w:sz w:val="24"/>
          <w:szCs w:val="24"/>
        </w:rPr>
        <w:t>). It is suggested that individ</w:t>
      </w:r>
      <w:r w:rsidRPr="69441A9A" w:rsidR="50D5625F">
        <w:rPr>
          <w:rFonts w:ascii="Arial" w:hAnsi="Arial" w:eastAsia="Arial" w:cs="Arial"/>
          <w:color w:val="000000" w:themeColor="text1" w:themeTint="FF" w:themeShade="FF"/>
          <w:sz w:val="24"/>
          <w:szCs w:val="24"/>
        </w:rPr>
        <w:t>uals may struggle t</w:t>
      </w:r>
      <w:r w:rsidRPr="69441A9A" w:rsidR="50D5625F">
        <w:rPr>
          <w:rFonts w:ascii="Arial" w:hAnsi="Arial" w:eastAsia="Arial" w:cs="Arial"/>
          <w:color w:val="000000" w:themeColor="text1" w:themeTint="FF" w:themeShade="FF"/>
          <w:sz w:val="24"/>
          <w:szCs w:val="24"/>
        </w:rPr>
        <w:t>o reconcile their own negative result with the knowledge that siblings, parent</w:t>
      </w:r>
      <w:r w:rsidRPr="69441A9A" w:rsidR="50D5625F">
        <w:rPr>
          <w:rFonts w:ascii="Arial" w:hAnsi="Arial" w:eastAsia="Arial" w:cs="Arial"/>
          <w:color w:val="000000" w:themeColor="text1" w:themeTint="FF" w:themeShade="FF"/>
          <w:sz w:val="24"/>
          <w:szCs w:val="24"/>
        </w:rPr>
        <w:t>s, or oth</w:t>
      </w:r>
      <w:r w:rsidRPr="69441A9A" w:rsidR="50D5625F">
        <w:rPr>
          <w:rFonts w:ascii="Arial" w:hAnsi="Arial" w:eastAsia="Arial" w:cs="Arial"/>
          <w:color w:val="000000" w:themeColor="text1" w:themeTint="FF" w:themeShade="FF"/>
          <w:sz w:val="24"/>
          <w:szCs w:val="24"/>
        </w:rPr>
        <w:t xml:space="preserve">er family members are gene positive or at risk. Furthermore, according to </w:t>
      </w:r>
      <w:r w:rsidRPr="69441A9A" w:rsidR="50D5625F">
        <w:rPr>
          <w:rFonts w:ascii="Arial" w:hAnsi="Arial" w:eastAsia="Arial" w:cs="Arial"/>
          <w:color w:val="000000" w:themeColor="text1" w:themeTint="FF" w:themeShade="FF"/>
          <w:sz w:val="24"/>
          <w:szCs w:val="24"/>
        </w:rPr>
        <w:t>Butchmaltby</w:t>
      </w:r>
      <w:r w:rsidRPr="69441A9A" w:rsidR="50D5625F">
        <w:rPr>
          <w:rFonts w:ascii="Arial" w:hAnsi="Arial" w:eastAsia="Arial" w:cs="Arial"/>
          <w:color w:val="000000" w:themeColor="text1" w:themeTint="FF" w:themeShade="FF"/>
          <w:sz w:val="24"/>
          <w:szCs w:val="24"/>
        </w:rPr>
        <w:t xml:space="preserve"> (2025), survivors’ guilt can manifest in multiple ways, including the minimisation of one’s own relief, reluctance to discuss test results, and a sense of obligation to support affected relatives. This introduces a dimension of ethical and moral distress that is largely absent from biomedical models of testing outcomes (Thomason, 2019).</w:t>
      </w:r>
    </w:p>
    <w:p w:rsidRPr="00D25DFE" w:rsidR="00D25DFE" w:rsidP="69441A9A" w:rsidRDefault="00D25DFE" w14:paraId="57656D0E" w14:textId="77777777">
      <w:pPr>
        <w:rPr>
          <w:rFonts w:ascii="Arial" w:hAnsi="Arial" w:eastAsia="Arial" w:cs="Arial"/>
        </w:rPr>
      </w:pPr>
    </w:p>
    <w:p w:rsidR="00311C18" w:rsidP="69441A9A" w:rsidRDefault="00D25DFE" w14:paraId="5C397443" w14:textId="35FD65B5">
      <w:pPr>
        <w:pStyle w:val="Heading3"/>
        <w:rPr>
          <w:rStyle w:val="Heading3Char"/>
          <w:rFonts w:ascii="Arial" w:hAnsi="Arial" w:eastAsia="Arial" w:cs="Arial"/>
          <w:b w:val="1"/>
          <w:bCs w:val="1"/>
        </w:rPr>
      </w:pPr>
      <w:bookmarkStart w:name="_Toc238028862" w:id="18"/>
      <w:r w:rsidRPr="69441A9A" w:rsidR="00D25DFE">
        <w:rPr>
          <w:rStyle w:val="Heading3Char"/>
          <w:rFonts w:ascii="Arial" w:hAnsi="Arial" w:eastAsia="Arial" w:cs="Arial"/>
          <w:b w:val="1"/>
          <w:bCs w:val="1"/>
        </w:rPr>
        <w:t>Identity Dislocation and the Loss of the “At Risk” Narrative</w:t>
      </w:r>
      <w:bookmarkEnd w:id="18"/>
    </w:p>
    <w:p w:rsidRPr="00F236B2" w:rsidR="00F236B2" w:rsidP="69441A9A" w:rsidRDefault="00F236B2" w14:paraId="53292935" w14:textId="77777777">
      <w:pPr>
        <w:rPr>
          <w:rFonts w:ascii="Arial" w:hAnsi="Arial" w:eastAsia="Arial" w:cs="Arial"/>
        </w:rPr>
      </w:pPr>
    </w:p>
    <w:p w:rsidR="00364396" w:rsidP="69441A9A" w:rsidRDefault="00364396" w14:paraId="754F2E93" w14:textId="1FA47CDB">
      <w:pPr>
        <w:pStyle w:val="Normal"/>
        <w:spacing w:before="240"/>
        <w:jc w:val="both"/>
        <w:rPr>
          <w:rFonts w:ascii="Arial" w:hAnsi="Arial" w:eastAsia="Arial" w:cs="Arial"/>
          <w:color w:val="000000" w:themeColor="text1"/>
          <w:sz w:val="24"/>
          <w:szCs w:val="24"/>
        </w:rPr>
      </w:pPr>
      <w:r w:rsidRPr="69441A9A" w:rsidR="00364396">
        <w:rPr>
          <w:rFonts w:ascii="Arial" w:hAnsi="Arial" w:eastAsia="Arial" w:cs="Arial"/>
          <w:color w:val="000000" w:themeColor="text1" w:themeTint="FF" w:themeShade="FF"/>
          <w:sz w:val="24"/>
          <w:szCs w:val="24"/>
        </w:rPr>
        <w:t>For individuals raised within families affected by HD, the identity of being “at risk” often becomes deeply embedded within their sense of self (</w:t>
      </w:r>
      <w:r w:rsidRPr="69441A9A" w:rsidR="00364396">
        <w:rPr>
          <w:rFonts w:ascii="Arial" w:hAnsi="Arial" w:eastAsia="Arial" w:cs="Arial"/>
          <w:color w:val="000000" w:themeColor="text1" w:themeTint="FF" w:themeShade="FF"/>
          <w:sz w:val="24"/>
          <w:szCs w:val="24"/>
        </w:rPr>
        <w:t>Tiller</w:t>
      </w:r>
      <w:r w:rsidRPr="69441A9A" w:rsidR="754AD276">
        <w:rPr>
          <w:rFonts w:ascii="Arial" w:hAnsi="Arial" w:eastAsia="Arial" w:cs="Arial"/>
          <w:color w:val="000000" w:themeColor="text1" w:themeTint="FF" w:themeShade="FF"/>
          <w:sz w:val="24"/>
          <w:szCs w:val="24"/>
        </w:rPr>
        <w:t>er</w:t>
      </w:r>
      <w:r w:rsidRPr="69441A9A" w:rsidR="754AD276">
        <w:rPr>
          <w:rFonts w:ascii="Arial" w:hAnsi="Arial" w:eastAsia="Arial" w:cs="Arial"/>
          <w:noProof w:val="0"/>
          <w:color w:val="000000" w:themeColor="text1" w:themeTint="FF" w:themeShade="FF"/>
          <w:sz w:val="24"/>
          <w:szCs w:val="24"/>
          <w:lang w:val="en-GB"/>
        </w:rPr>
        <w:t>å</w:t>
      </w:r>
      <w:r w:rsidRPr="69441A9A" w:rsidR="00364396">
        <w:rPr>
          <w:rFonts w:ascii="Arial" w:hAnsi="Arial" w:eastAsia="Arial" w:cs="Arial"/>
          <w:color w:val="000000" w:themeColor="text1" w:themeTint="FF" w:themeShade="FF"/>
          <w:sz w:val="24"/>
          <w:szCs w:val="24"/>
        </w:rPr>
        <w:t>s</w:t>
      </w:r>
      <w:r w:rsidRPr="69441A9A" w:rsidR="00364396">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2020). Therefore, Gibbons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(2024) argue that a gene-negative result disrupts this narrative, requiring </w:t>
      </w:r>
      <w:r w:rsidRPr="69441A9A" w:rsidR="00364396">
        <w:rPr>
          <w:rFonts w:ascii="Arial" w:hAnsi="Arial" w:eastAsia="Arial" w:cs="Arial"/>
          <w:color w:val="000000" w:themeColor="text1" w:themeTint="FF" w:themeShade="FF"/>
          <w:sz w:val="24"/>
          <w:szCs w:val="24"/>
        </w:rPr>
        <w:t xml:space="preserve">individuals to construct a new identity that is no longer organised around risk. </w:t>
      </w:r>
      <w:r w:rsidRPr="69441A9A" w:rsidR="00364396">
        <w:rPr>
          <w:rFonts w:ascii="Arial" w:hAnsi="Arial" w:eastAsia="Arial" w:cs="Arial"/>
          <w:color w:val="000000" w:themeColor="text1" w:themeTint="FF" w:themeShade="FF"/>
          <w:sz w:val="24"/>
          <w:szCs w:val="24"/>
        </w:rPr>
        <w:t>Osawa</w:t>
      </w:r>
      <w:r w:rsidRPr="69441A9A" w:rsidR="00364396">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(202</w:t>
      </w:r>
      <w:r w:rsidRPr="69441A9A" w:rsidR="177C1A96">
        <w:rPr>
          <w:rFonts w:ascii="Arial" w:hAnsi="Arial" w:eastAsia="Arial" w:cs="Arial"/>
          <w:color w:val="000000" w:themeColor="text1" w:themeTint="FF" w:themeShade="FF"/>
          <w:sz w:val="24"/>
          <w:szCs w:val="24"/>
        </w:rPr>
        <w:t>5</w:t>
      </w:r>
      <w:r w:rsidRPr="69441A9A" w:rsidR="00364396">
        <w:rPr>
          <w:rFonts w:ascii="Arial" w:hAnsi="Arial" w:eastAsia="Arial" w:cs="Arial"/>
          <w:color w:val="000000" w:themeColor="text1" w:themeTint="FF" w:themeShade="FF"/>
          <w:sz w:val="24"/>
          <w:szCs w:val="24"/>
        </w:rPr>
        <w:t xml:space="preserve">) suggest that individuals may experience a sense of loss—not of health, but of a familiar narrative framework through which they understood their lives. This highlights a significant conceptual point: the removal of risk does not simply restore a prior </w:t>
      </w:r>
      <w:r w:rsidRPr="69441A9A" w:rsidR="00364396">
        <w:rPr>
          <w:rFonts w:ascii="Arial" w:hAnsi="Arial" w:eastAsia="Arial" w:cs="Arial"/>
          <w:color w:val="000000" w:themeColor="text1" w:themeTint="FF" w:themeShade="FF"/>
          <w:sz w:val="24"/>
          <w:szCs w:val="24"/>
        </w:rPr>
        <w:t>identity, yet</w:t>
      </w:r>
      <w:r w:rsidRPr="69441A9A" w:rsidR="00364396">
        <w:rPr>
          <w:rFonts w:ascii="Arial" w:hAnsi="Arial" w:eastAsia="Arial" w:cs="Arial"/>
          <w:color w:val="000000" w:themeColor="text1" w:themeTint="FF" w:themeShade="FF"/>
          <w:sz w:val="24"/>
          <w:szCs w:val="24"/>
        </w:rPr>
        <w:t xml:space="preserve"> necessitates the creation of a new one (Viau, 2023).</w:t>
      </w:r>
    </w:p>
    <w:p w:rsidR="00F236B2" w:rsidP="69441A9A" w:rsidRDefault="00F236B2" w14:paraId="253FA2F1" w14:textId="77777777">
      <w:pPr>
        <w:spacing w:before="240"/>
        <w:jc w:val="both"/>
        <w:rPr>
          <w:rFonts w:ascii="Arial" w:hAnsi="Arial" w:eastAsia="Arial" w:cs="Arial"/>
          <w:color w:val="000000" w:themeColor="text1"/>
          <w:sz w:val="24"/>
          <w:szCs w:val="24"/>
        </w:rPr>
      </w:pPr>
    </w:p>
    <w:p w:rsidRPr="00F236B2" w:rsidR="00F236B2" w:rsidP="69441A9A" w:rsidRDefault="00935C05" w14:paraId="5290DB04" w14:textId="77777777">
      <w:pPr>
        <w:pStyle w:val="Heading3"/>
        <w:rPr>
          <w:rFonts w:ascii="Arial" w:hAnsi="Arial" w:eastAsia="Arial" w:cs="Arial"/>
        </w:rPr>
      </w:pPr>
      <w:bookmarkStart w:name="_Toc238028863" w:id="19"/>
      <w:r w:rsidRPr="69441A9A" w:rsidR="00935C05">
        <w:rPr>
          <w:rFonts w:ascii="Arial" w:hAnsi="Arial" w:eastAsia="Arial" w:cs="Arial"/>
        </w:rPr>
        <w:t xml:space="preserve">Sub </w:t>
      </w:r>
      <w:r w:rsidRPr="69441A9A" w:rsidR="00364396">
        <w:rPr>
          <w:rFonts w:ascii="Arial" w:hAnsi="Arial" w:eastAsia="Arial" w:cs="Arial"/>
        </w:rPr>
        <w:t>Psychological Residue and the Persistence of Fear</w:t>
      </w:r>
      <w:bookmarkEnd w:id="19"/>
    </w:p>
    <w:p w:rsidRPr="005120BC" w:rsidR="004A211B" w:rsidP="69441A9A" w:rsidRDefault="00364396" w14:paraId="3BC815FF" w14:textId="485940FE">
      <w:pPr>
        <w:pStyle w:val="Normal"/>
        <w:jc w:val="both"/>
        <w:rPr>
          <w:rFonts w:ascii="Arial" w:hAnsi="Arial" w:eastAsia="Arial" w:cs="Arial"/>
          <w:color w:val="000000" w:themeColor="text1"/>
          <w:sz w:val="24"/>
          <w:szCs w:val="24"/>
        </w:rPr>
      </w:pPr>
      <w:r>
        <w:br/>
      </w:r>
      <w:r w:rsidRPr="69441A9A" w:rsidR="5486FA90">
        <w:rPr>
          <w:rFonts w:ascii="Arial" w:hAnsi="Arial" w:eastAsia="Arial" w:cs="Arial"/>
          <w:b w:val="0"/>
          <w:bCs w:val="0"/>
          <w:noProof w:val="0"/>
          <w:color w:val="000000" w:themeColor="text1" w:themeTint="FF" w:themeShade="FF"/>
          <w:sz w:val="24"/>
          <w:szCs w:val="24"/>
          <w:lang w:val="en-GB"/>
        </w:rPr>
        <w:t>Leite</w:t>
      </w:r>
      <w:r w:rsidRPr="69441A9A" w:rsidR="5486FA90">
        <w:rPr>
          <w:rFonts w:ascii="Arial" w:hAnsi="Arial" w:eastAsia="Arial" w:cs="Arial"/>
          <w:b w:val="0"/>
          <w:bCs w:val="0"/>
          <w:noProof w:val="0"/>
          <w:color w:val="000000" w:themeColor="text1" w:themeTint="FF" w:themeShade="FF"/>
          <w:sz w:val="24"/>
          <w:szCs w:val="24"/>
          <w:lang w:val="en-GB"/>
        </w:rPr>
        <w:t xml:space="preserve"> et al. (201</w:t>
      </w:r>
      <w:r w:rsidRPr="69441A9A" w:rsidR="288DFB36">
        <w:rPr>
          <w:rFonts w:ascii="Arial" w:hAnsi="Arial" w:eastAsia="Arial" w:cs="Arial"/>
          <w:b w:val="0"/>
          <w:bCs w:val="0"/>
          <w:noProof w:val="0"/>
          <w:color w:val="000000" w:themeColor="text1" w:themeTint="FF" w:themeShade="FF"/>
          <w:sz w:val="24"/>
          <w:szCs w:val="24"/>
          <w:lang w:val="en-GB"/>
        </w:rPr>
        <w:t>7</w:t>
      </w:r>
      <w:r w:rsidRPr="69441A9A" w:rsidR="5486FA90">
        <w:rPr>
          <w:rFonts w:ascii="Arial" w:hAnsi="Arial" w:eastAsia="Arial" w:cs="Arial"/>
          <w:b w:val="0"/>
          <w:bCs w:val="0"/>
          <w:noProof w:val="0"/>
          <w:color w:val="000000" w:themeColor="text1" w:themeTint="FF" w:themeShade="FF"/>
          <w:sz w:val="24"/>
          <w:szCs w:val="24"/>
          <w:lang w:val="en-GB"/>
        </w:rPr>
        <w:t>)</w:t>
      </w:r>
      <w:r w:rsidRPr="69441A9A" w:rsidR="109C41D9">
        <w:rPr>
          <w:rFonts w:ascii="Arial" w:hAnsi="Arial" w:eastAsia="Arial" w:cs="Arial"/>
          <w:b w:val="0"/>
          <w:bCs w:val="0"/>
          <w:noProof w:val="0"/>
          <w:color w:val="000000" w:themeColor="text1" w:themeTint="FF" w:themeShade="FF"/>
          <w:sz w:val="24"/>
          <w:szCs w:val="24"/>
          <w:lang w:val="en-GB"/>
        </w:rPr>
        <w:t xml:space="preserve"> and </w:t>
      </w:r>
      <w:r w:rsidRPr="69441A9A" w:rsidR="109C41D9">
        <w:rPr>
          <w:rFonts w:ascii="Arial" w:hAnsi="Arial" w:eastAsia="Arial" w:cs="Arial"/>
          <w:noProof w:val="0"/>
          <w:color w:val="000000" w:themeColor="text1" w:themeTint="FF" w:themeShade="FF"/>
          <w:sz w:val="24"/>
          <w:szCs w:val="24"/>
          <w:lang w:val="en-GB"/>
        </w:rPr>
        <w:t>Lêdo et al. (2016)</w:t>
      </w:r>
      <w:r w:rsidRPr="69441A9A" w:rsidR="4BAFA0C1">
        <w:rPr>
          <w:rFonts w:ascii="Arial" w:hAnsi="Arial" w:eastAsia="Arial" w:cs="Arial"/>
          <w:b w:val="1"/>
          <w:bCs w:val="1"/>
          <w:noProof w:val="0"/>
          <w:color w:val="000000" w:themeColor="text1" w:themeTint="FF" w:themeShade="FF"/>
          <w:sz w:val="24"/>
          <w:szCs w:val="24"/>
          <w:lang w:val="en-GB"/>
        </w:rPr>
        <w:t xml:space="preserve"> </w:t>
      </w:r>
      <w:r w:rsidRPr="69441A9A" w:rsidR="4BAFA0C1">
        <w:rPr>
          <w:rFonts w:ascii="Arial" w:hAnsi="Arial" w:eastAsia="Arial" w:cs="Arial"/>
          <w:b w:val="0"/>
          <w:bCs w:val="0"/>
          <w:noProof w:val="0"/>
          <w:color w:val="000000" w:themeColor="text1" w:themeTint="FF" w:themeShade="FF"/>
          <w:sz w:val="24"/>
          <w:szCs w:val="24"/>
          <w:lang w:val="en-GB"/>
        </w:rPr>
        <w:t>found that some individuals undergoing presymptomatic testing for HD experienced psychological difficulties, including anxiety, in the years following testing, particularly among those who were symptomatic or approaching the expected age of disease onset</w:t>
      </w:r>
      <w:r w:rsidRPr="69441A9A" w:rsidR="402EC320">
        <w:rPr>
          <w:rFonts w:ascii="Arial" w:hAnsi="Arial" w:eastAsia="Arial" w:cs="Arial"/>
          <w:b w:val="0"/>
          <w:bCs w:val="0"/>
          <w:color w:val="000000" w:themeColor="text1" w:themeTint="FF" w:themeShade="FF"/>
          <w:sz w:val="24"/>
          <w:szCs w:val="24"/>
        </w:rPr>
        <w:t xml:space="preserve"> </w:t>
      </w:r>
      <w:r w:rsidRPr="69441A9A" w:rsidR="402EC320">
        <w:rPr>
          <w:rFonts w:ascii="Arial" w:hAnsi="Arial" w:eastAsia="Arial" w:cs="Arial"/>
          <w:color w:val="000000" w:themeColor="text1" w:themeTint="FF" w:themeShade="FF"/>
          <w:sz w:val="24"/>
          <w:szCs w:val="24"/>
        </w:rPr>
        <w:t>This may include hypervigilance to bodily sensations, fear of misdiagnosis, or difficulty fully trusting the genet</w:t>
      </w:r>
      <w:r w:rsidRPr="69441A9A" w:rsidR="402EC320">
        <w:rPr>
          <w:rFonts w:ascii="Arial" w:hAnsi="Arial" w:eastAsia="Arial" w:cs="Arial"/>
          <w:color w:val="000000" w:themeColor="text1" w:themeTint="FF" w:themeShade="FF"/>
          <w:sz w:val="24"/>
          <w:szCs w:val="24"/>
        </w:rPr>
        <w:t xml:space="preserve">ic </w:t>
      </w:r>
      <w:r w:rsidRPr="69441A9A" w:rsidR="402EC320">
        <w:rPr>
          <w:rFonts w:ascii="Arial" w:hAnsi="Arial" w:eastAsia="Arial" w:cs="Arial"/>
          <w:color w:val="000000" w:themeColor="text1" w:themeTint="FF" w:themeShade="FF"/>
          <w:sz w:val="24"/>
          <w:szCs w:val="24"/>
        </w:rPr>
        <w:t xml:space="preserve">test result (Mocanu </w:t>
      </w:r>
      <w:r w:rsidRPr="69441A9A" w:rsidR="3CC10950">
        <w:rPr>
          <w:rFonts w:ascii="Arial" w:hAnsi="Arial" w:eastAsia="Arial" w:cs="Arial"/>
          <w:i w:val="1"/>
          <w:iCs w:val="1"/>
          <w:color w:val="000000" w:themeColor="text1" w:themeTint="FF" w:themeShade="FF"/>
          <w:sz w:val="24"/>
          <w:szCs w:val="24"/>
        </w:rPr>
        <w:t>et al</w:t>
      </w:r>
      <w:r w:rsidRPr="69441A9A" w:rsidR="402EC320">
        <w:rPr>
          <w:rFonts w:ascii="Arial" w:hAnsi="Arial" w:eastAsia="Arial" w:cs="Arial"/>
          <w:color w:val="000000" w:themeColor="text1" w:themeTint="FF" w:themeShade="FF"/>
          <w:sz w:val="24"/>
          <w:szCs w:val="24"/>
        </w:rPr>
        <w:t xml:space="preserve">., 2025). Howard </w:t>
      </w:r>
      <w:r w:rsidRPr="69441A9A" w:rsidR="3CC10950">
        <w:rPr>
          <w:rFonts w:ascii="Arial" w:hAnsi="Arial" w:eastAsia="Arial" w:cs="Arial"/>
          <w:i w:val="1"/>
          <w:iCs w:val="1"/>
          <w:color w:val="000000" w:themeColor="text1" w:themeTint="FF" w:themeShade="FF"/>
          <w:sz w:val="24"/>
          <w:szCs w:val="24"/>
        </w:rPr>
        <w:t>et al</w:t>
      </w:r>
      <w:r w:rsidRPr="69441A9A" w:rsidR="402EC320">
        <w:rPr>
          <w:rFonts w:ascii="Arial" w:hAnsi="Arial" w:eastAsia="Arial" w:cs="Arial"/>
          <w:color w:val="000000" w:themeColor="text1" w:themeTint="FF" w:themeShade="FF"/>
          <w:sz w:val="24"/>
          <w:szCs w:val="24"/>
        </w:rPr>
        <w:t>. (2025) argue that such responses can be understood as the psychological residue of prolonged exposure to the possibility of illness. This suggests that risk is not solely a biological construct but also a psychological and experiential one</w:t>
      </w:r>
      <w:r w:rsidRPr="69441A9A" w:rsidR="402EC320">
        <w:rPr>
          <w:rFonts w:ascii="Arial" w:hAnsi="Arial" w:eastAsia="Arial" w:cs="Arial"/>
          <w:color w:val="000000" w:themeColor="text1" w:themeTint="FF" w:themeShade="FF"/>
          <w:sz w:val="24"/>
          <w:szCs w:val="24"/>
        </w:rPr>
        <w:t>. Even when genetic risk is removed, the emotional imprint of living with uncertainty may persist, challenging assumptions that testing provides definitive psychological closure (</w:t>
      </w:r>
      <w:r w:rsidRPr="69441A9A" w:rsidR="402EC320">
        <w:rPr>
          <w:rFonts w:ascii="Arial" w:hAnsi="Arial" w:eastAsia="Arial" w:cs="Arial"/>
          <w:color w:val="000000" w:themeColor="text1" w:themeTint="FF" w:themeShade="FF"/>
          <w:sz w:val="24"/>
          <w:szCs w:val="24"/>
        </w:rPr>
        <w:t>Fymat</w:t>
      </w:r>
      <w:r w:rsidRPr="69441A9A" w:rsidR="402EC320">
        <w:rPr>
          <w:rFonts w:ascii="Arial" w:hAnsi="Arial" w:eastAsia="Arial" w:cs="Arial"/>
          <w:color w:val="000000" w:themeColor="text1" w:themeTint="FF" w:themeShade="FF"/>
          <w:sz w:val="24"/>
          <w:szCs w:val="24"/>
        </w:rPr>
        <w:t>, 2024).</w:t>
      </w:r>
    </w:p>
    <w:p w:rsidR="00F236B2" w:rsidP="69441A9A" w:rsidRDefault="00F236B2" w14:paraId="06181A11" w14:textId="77777777">
      <w:pPr>
        <w:rPr>
          <w:rFonts w:ascii="Arial" w:hAnsi="Arial" w:eastAsia="Arial" w:cs="Arial"/>
          <w:color w:val="000000" w:themeColor="text1"/>
        </w:rPr>
      </w:pPr>
    </w:p>
    <w:p w:rsidR="00364396" w:rsidP="69441A9A" w:rsidRDefault="00233C61" w14:paraId="79BAB968" w14:textId="6B59659D">
      <w:pPr>
        <w:pStyle w:val="Heading3"/>
        <w:rPr>
          <w:rFonts w:ascii="Arial" w:hAnsi="Arial" w:eastAsia="Arial" w:cs="Arial"/>
        </w:rPr>
      </w:pPr>
      <w:bookmarkStart w:name="_Toc238028864" w:id="20"/>
      <w:r w:rsidRPr="69441A9A" w:rsidR="00233C61">
        <w:rPr>
          <w:rFonts w:ascii="Arial" w:hAnsi="Arial" w:eastAsia="Arial" w:cs="Arial"/>
        </w:rPr>
        <w:t xml:space="preserve">Sub </w:t>
      </w:r>
      <w:r w:rsidRPr="69441A9A" w:rsidR="00364396">
        <w:rPr>
          <w:rFonts w:ascii="Arial" w:hAnsi="Arial" w:eastAsia="Arial" w:cs="Arial"/>
        </w:rPr>
        <w:t>Relational Repositioning</w:t>
      </w:r>
      <w:bookmarkEnd w:id="20"/>
    </w:p>
    <w:p w:rsidR="00364396" w:rsidP="69441A9A" w:rsidRDefault="00364396" w14:paraId="0B67BC4D" w14:textId="6AB4C066">
      <w:pPr>
        <w:pStyle w:val="Normal"/>
        <w:spacing w:before="240"/>
        <w:rPr>
          <w:rFonts w:ascii="Arial" w:hAnsi="Arial" w:eastAsia="Arial" w:cs="Arial"/>
          <w:color w:val="000000" w:themeColor="text1"/>
          <w:sz w:val="24"/>
          <w:szCs w:val="24"/>
        </w:rPr>
      </w:pPr>
      <w:r>
        <w:br/>
      </w:r>
      <w:r w:rsidRPr="69441A9A" w:rsidR="16B396BB">
        <w:rPr>
          <w:rFonts w:ascii="Arial" w:hAnsi="Arial" w:eastAsia="Arial" w:cs="Arial"/>
          <w:color w:val="000000" w:themeColor="text1" w:themeTint="FF" w:themeShade="FF"/>
          <w:sz w:val="24"/>
          <w:szCs w:val="24"/>
        </w:rPr>
        <w:t xml:space="preserve">While a gene-negative result for HD removes the individual’s personal risk of developing the disease, it does not disentangle them from the familial context in which the condition persists (Fahy </w:t>
      </w:r>
      <w:r w:rsidRPr="69441A9A" w:rsidR="42E41995">
        <w:rPr>
          <w:rFonts w:ascii="Arial" w:hAnsi="Arial" w:eastAsia="Arial" w:cs="Arial"/>
          <w:i w:val="1"/>
          <w:iCs w:val="1"/>
          <w:color w:val="000000" w:themeColor="text1" w:themeTint="FF" w:themeShade="FF"/>
          <w:sz w:val="24"/>
          <w:szCs w:val="24"/>
        </w:rPr>
        <w:t>et al</w:t>
      </w:r>
      <w:r w:rsidRPr="69441A9A" w:rsidR="16B396BB">
        <w:rPr>
          <w:rFonts w:ascii="Arial" w:hAnsi="Arial" w:eastAsia="Arial" w:cs="Arial"/>
          <w:color w:val="000000" w:themeColor="text1" w:themeTint="FF" w:themeShade="FF"/>
          <w:sz w:val="24"/>
          <w:szCs w:val="24"/>
        </w:rPr>
        <w:t xml:space="preserve">., 2023). As noted by Viau (2023), this can produce a form of relational displacement, whereby individuals must renegotiate their position within a family system still </w:t>
      </w:r>
      <w:r w:rsidRPr="69441A9A" w:rsidR="16B396BB">
        <w:rPr>
          <w:rFonts w:ascii="Arial" w:hAnsi="Arial" w:eastAsia="Arial" w:cs="Arial"/>
          <w:color w:val="000000" w:themeColor="text1" w:themeTint="FF" w:themeShade="FF"/>
          <w:sz w:val="24"/>
          <w:szCs w:val="24"/>
        </w:rPr>
        <w:t xml:space="preserve">structured around genetic risk and illness. This displacement is often characterised by an ambiguous status of individuals navigating the tension between difference and belonging (Stuttgen </w:t>
      </w:r>
      <w:r w:rsidRPr="69441A9A" w:rsidR="42E41995">
        <w:rPr>
          <w:rFonts w:ascii="Arial" w:hAnsi="Arial" w:eastAsia="Arial" w:cs="Arial"/>
          <w:i w:val="1"/>
          <w:iCs w:val="1"/>
          <w:color w:val="000000" w:themeColor="text1" w:themeTint="FF" w:themeShade="FF"/>
          <w:sz w:val="24"/>
          <w:szCs w:val="24"/>
        </w:rPr>
        <w:t>et al</w:t>
      </w:r>
      <w:r w:rsidRPr="69441A9A" w:rsidR="16B396BB">
        <w:rPr>
          <w:rFonts w:ascii="Arial" w:hAnsi="Arial" w:eastAsia="Arial" w:cs="Arial"/>
          <w:color w:val="000000" w:themeColor="text1" w:themeTint="FF" w:themeShade="FF"/>
          <w:sz w:val="24"/>
          <w:szCs w:val="24"/>
        </w:rPr>
        <w:t>., 2020).</w:t>
      </w:r>
    </w:p>
    <w:p w:rsidRPr="00364396" w:rsidR="00233C61" w:rsidP="69441A9A" w:rsidRDefault="00233C61" w14:paraId="782B604A" w14:textId="77777777">
      <w:pPr>
        <w:spacing w:before="240"/>
        <w:jc w:val="both"/>
        <w:rPr>
          <w:rFonts w:ascii="Arial" w:hAnsi="Arial" w:eastAsia="Arial" w:cs="Arial"/>
          <w:sz w:val="24"/>
          <w:szCs w:val="24"/>
        </w:rPr>
      </w:pPr>
    </w:p>
    <w:p w:rsidRPr="00364396" w:rsidR="00364396" w:rsidP="69441A9A" w:rsidRDefault="00364396" w14:paraId="25AF90A5" w14:textId="6BF43B03">
      <w:pPr>
        <w:spacing w:before="240"/>
        <w:jc w:val="both"/>
        <w:rPr>
          <w:rFonts w:ascii="Arial" w:hAnsi="Arial" w:eastAsia="Arial" w:cs="Arial"/>
          <w:sz w:val="24"/>
          <w:szCs w:val="24"/>
        </w:rPr>
      </w:pPr>
      <w:r w:rsidRPr="69441A9A" w:rsidR="00364396">
        <w:rPr>
          <w:rFonts w:ascii="Arial" w:hAnsi="Arial" w:eastAsia="Arial" w:cs="Arial"/>
          <w:color w:val="000000" w:themeColor="text1" w:themeTint="FF" w:themeShade="FF"/>
          <w:sz w:val="24"/>
          <w:szCs w:val="24"/>
        </w:rPr>
        <w:t xml:space="preserve">One participant in Osawa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(2025) described feeling </w:t>
      </w:r>
      <w:r w:rsidRPr="69441A9A" w:rsidR="00364396">
        <w:rPr>
          <w:rFonts w:ascii="Arial" w:hAnsi="Arial" w:eastAsia="Arial" w:cs="Arial"/>
          <w:color w:val="000000" w:themeColor="text1" w:themeTint="FF" w:themeShade="FF"/>
          <w:sz w:val="24"/>
          <w:szCs w:val="24"/>
        </w:rPr>
        <w:t>“like an outsider looking in”</w:t>
      </w:r>
      <w:r w:rsidRPr="69441A9A" w:rsidR="00364396">
        <w:rPr>
          <w:rFonts w:ascii="Arial" w:hAnsi="Arial" w:eastAsia="Arial" w:cs="Arial"/>
          <w:color w:val="000000" w:themeColor="text1" w:themeTint="FF" w:themeShade="FF"/>
          <w:sz w:val="24"/>
          <w:szCs w:val="24"/>
        </w:rPr>
        <w:t xml:space="preserve"> during family discussions about disease progression, despite being expected to take on caregiving responsibilities for an affected parent. This illustrates a tension between exclusion and obligation: gene-negative individuals may be distanced from the shared identity of risk, while still being implicitly positioned as sources of stability, support, or even relief for other family members (Gibbons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2024).</w:t>
      </w:r>
    </w:p>
    <w:p w:rsidRPr="00364396" w:rsidR="00364396" w:rsidP="69441A9A" w:rsidRDefault="00364396" w14:paraId="5B4CC608" w14:textId="77777777">
      <w:pPr>
        <w:spacing w:before="240"/>
        <w:jc w:val="both"/>
        <w:rPr>
          <w:rStyle w:val="Strong"/>
          <w:rFonts w:ascii="Arial" w:hAnsi="Arial" w:eastAsia="Arial" w:cs="Arial"/>
          <w:i w:val="1"/>
          <w:iCs w:val="1"/>
          <w:color w:val="000000" w:themeColor="text1"/>
          <w:sz w:val="24"/>
          <w:szCs w:val="24"/>
        </w:rPr>
      </w:pPr>
    </w:p>
    <w:p w:rsidR="09BD0229" w:rsidP="69441A9A" w:rsidRDefault="09BD0229" w14:paraId="7844CBD8" w14:textId="5038205F">
      <w:pPr>
        <w:spacing w:before="240"/>
        <w:jc w:val="both"/>
        <w:rPr>
          <w:rStyle w:val="Strong"/>
          <w:rFonts w:ascii="Arial" w:hAnsi="Arial" w:eastAsia="Arial" w:cs="Arial"/>
          <w:i w:val="1"/>
          <w:iCs w:val="1"/>
          <w:color w:val="000000" w:themeColor="text1" w:themeTint="FF" w:themeShade="FF"/>
          <w:sz w:val="24"/>
          <w:szCs w:val="24"/>
        </w:rPr>
      </w:pPr>
    </w:p>
    <w:p w:rsidR="00364396" w:rsidP="69441A9A" w:rsidRDefault="00364396" w14:paraId="2B5614AC" w14:textId="32E5C890">
      <w:pPr>
        <w:pStyle w:val="Heading2"/>
        <w:rPr>
          <w:rStyle w:val="Strong"/>
          <w:rFonts w:ascii="Arial" w:hAnsi="Arial" w:eastAsia="Arial" w:cs="Arial"/>
          <w:b w:val="1"/>
          <w:bCs w:val="1"/>
        </w:rPr>
      </w:pPr>
      <w:bookmarkStart w:name="_Toc238028865" w:id="21"/>
      <w:r w:rsidRPr="69441A9A" w:rsidR="00364396">
        <w:rPr>
          <w:rStyle w:val="Strong"/>
          <w:rFonts w:ascii="Arial" w:hAnsi="Arial" w:eastAsia="Arial" w:cs="Arial"/>
          <w:b w:val="1"/>
          <w:bCs w:val="1"/>
        </w:rPr>
        <w:t>Premature Disengagement from Counselling Support</w:t>
      </w:r>
      <w:bookmarkEnd w:id="21"/>
      <w:r w:rsidRPr="69441A9A" w:rsidR="00364396">
        <w:rPr>
          <w:rStyle w:val="Strong"/>
          <w:rFonts w:ascii="Arial" w:hAnsi="Arial" w:eastAsia="Arial" w:cs="Arial"/>
          <w:b w:val="1"/>
          <w:bCs w:val="1"/>
        </w:rPr>
        <w:t xml:space="preserve"> </w:t>
      </w:r>
    </w:p>
    <w:p w:rsidRPr="00F236B2" w:rsidR="00F236B2" w:rsidP="69441A9A" w:rsidRDefault="00F236B2" w14:paraId="215A5FCB" w14:textId="77777777">
      <w:pPr>
        <w:rPr>
          <w:rFonts w:ascii="Arial" w:hAnsi="Arial" w:eastAsia="Arial" w:cs="Arial"/>
        </w:rPr>
      </w:pPr>
    </w:p>
    <w:p w:rsidR="00364396" w:rsidP="69441A9A" w:rsidRDefault="00364396" w14:paraId="2063D650" w14:textId="02A4EC33">
      <w:pPr>
        <w:pStyle w:val="NormalWeb"/>
        <w:spacing w:before="240" w:beforeAutospacing="off" w:after="240" w:afterAutospacing="off" w:line="480" w:lineRule="auto"/>
        <w:jc w:val="both"/>
        <w:rPr>
          <w:rFonts w:ascii="Arial" w:hAnsi="Arial" w:eastAsia="Arial" w:cs="Arial"/>
          <w:color w:val="000000" w:themeColor="text1"/>
        </w:rPr>
      </w:pPr>
      <w:r w:rsidRPr="69441A9A" w:rsidR="16B396BB">
        <w:rPr>
          <w:rFonts w:ascii="Arial" w:hAnsi="Arial" w:eastAsia="Arial" w:cs="Arial"/>
          <w:color w:val="000000" w:themeColor="text1" w:themeTint="FF" w:themeShade="FF"/>
        </w:rPr>
        <w:t xml:space="preserve"> A significant concern </w:t>
      </w:r>
      <w:r w:rsidRPr="69441A9A" w:rsidR="16B396BB">
        <w:rPr>
          <w:rFonts w:ascii="Arial" w:hAnsi="Arial" w:eastAsia="Arial" w:cs="Arial"/>
          <w:color w:val="000000" w:themeColor="text1" w:themeTint="FF" w:themeShade="FF"/>
        </w:rPr>
        <w:t>identified</w:t>
      </w:r>
      <w:r w:rsidRPr="69441A9A" w:rsidR="16B396BB">
        <w:rPr>
          <w:rFonts w:ascii="Arial" w:hAnsi="Arial" w:eastAsia="Arial" w:cs="Arial"/>
          <w:color w:val="000000" w:themeColor="text1" w:themeTint="FF" w:themeShade="FF"/>
        </w:rPr>
        <w:t xml:space="preserve"> within the literature is the tendency for healthcare systems to discharge gene-negative individuals from counselling services shortly after result disclosure (Gunn </w:t>
      </w:r>
      <w:r w:rsidRPr="69441A9A" w:rsidR="42E41995">
        <w:rPr>
          <w:rFonts w:ascii="Arial" w:hAnsi="Arial" w:eastAsia="Arial" w:cs="Arial"/>
          <w:i w:val="1"/>
          <w:iCs w:val="1"/>
          <w:color w:val="000000" w:themeColor="text1" w:themeTint="FF" w:themeShade="FF"/>
        </w:rPr>
        <w:t>et al</w:t>
      </w:r>
      <w:r w:rsidRPr="69441A9A" w:rsidR="16B396BB">
        <w:rPr>
          <w:rFonts w:ascii="Arial" w:hAnsi="Arial" w:eastAsia="Arial" w:cs="Arial"/>
          <w:color w:val="000000" w:themeColor="text1" w:themeTint="FF" w:themeShade="FF"/>
        </w:rPr>
        <w:t xml:space="preserve">., 2023; </w:t>
      </w:r>
      <w:r w:rsidRPr="69441A9A" w:rsidR="16B396BB">
        <w:rPr>
          <w:rFonts w:ascii="Arial" w:hAnsi="Arial" w:eastAsia="Arial" w:cs="Arial"/>
          <w:color w:val="000000" w:themeColor="text1" w:themeTint="FF" w:themeShade="FF"/>
        </w:rPr>
        <w:t>M</w:t>
      </w:r>
      <w:r w:rsidRPr="69441A9A" w:rsidR="275A7704">
        <w:rPr>
          <w:rFonts w:ascii="Arial" w:hAnsi="Arial" w:eastAsia="Arial" w:cs="Arial"/>
          <w:color w:val="000000" w:themeColor="text1" w:themeTint="FF" w:themeShade="FF"/>
        </w:rPr>
        <w:t>oc</w:t>
      </w:r>
      <w:r w:rsidRPr="69441A9A" w:rsidR="16B396BB">
        <w:rPr>
          <w:rFonts w:ascii="Arial" w:hAnsi="Arial" w:eastAsia="Arial" w:cs="Arial"/>
          <w:color w:val="000000" w:themeColor="text1" w:themeTint="FF" w:themeShade="FF"/>
        </w:rPr>
        <w:t>anu</w:t>
      </w:r>
      <w:r w:rsidRPr="69441A9A" w:rsidR="16B396BB">
        <w:rPr>
          <w:rFonts w:ascii="Arial" w:hAnsi="Arial" w:eastAsia="Arial" w:cs="Arial"/>
          <w:color w:val="000000" w:themeColor="text1" w:themeTint="FF" w:themeShade="FF"/>
        </w:rPr>
        <w:t xml:space="preserve"> </w:t>
      </w:r>
      <w:r w:rsidRPr="69441A9A" w:rsidR="42E41995">
        <w:rPr>
          <w:rFonts w:ascii="Arial" w:hAnsi="Arial" w:eastAsia="Arial" w:cs="Arial"/>
          <w:i w:val="1"/>
          <w:iCs w:val="1"/>
          <w:color w:val="000000" w:themeColor="text1" w:themeTint="FF" w:themeShade="FF"/>
        </w:rPr>
        <w:t>et al</w:t>
      </w:r>
      <w:r w:rsidRPr="69441A9A" w:rsidR="16B396BB">
        <w:rPr>
          <w:rFonts w:ascii="Arial" w:hAnsi="Arial" w:eastAsia="Arial" w:cs="Arial"/>
          <w:color w:val="000000" w:themeColor="text1" w:themeTint="FF" w:themeShade="FF"/>
        </w:rPr>
        <w:t>. 2025). This reflects an implicit assumption that the absence of genetic risk equates to the absence of psychological need (</w:t>
      </w:r>
      <w:r w:rsidRPr="69441A9A" w:rsidR="16B396BB">
        <w:rPr>
          <w:rFonts w:ascii="Arial" w:hAnsi="Arial" w:eastAsia="Arial" w:cs="Arial"/>
          <w:color w:val="000000" w:themeColor="text1" w:themeTint="FF" w:themeShade="FF"/>
        </w:rPr>
        <w:t>Lindo</w:t>
      </w:r>
      <w:r w:rsidRPr="69441A9A" w:rsidR="16B396BB">
        <w:rPr>
          <w:rFonts w:ascii="Arial" w:hAnsi="Arial" w:eastAsia="Arial" w:cs="Arial"/>
          <w:color w:val="000000" w:themeColor="text1" w:themeTint="FF" w:themeShade="FF"/>
        </w:rPr>
        <w:t xml:space="preserve"> </w:t>
      </w:r>
      <w:r w:rsidRPr="69441A9A" w:rsidR="42E41995">
        <w:rPr>
          <w:rFonts w:ascii="Arial" w:hAnsi="Arial" w:eastAsia="Arial" w:cs="Arial"/>
          <w:i w:val="1"/>
          <w:iCs w:val="1"/>
          <w:color w:val="000000" w:themeColor="text1" w:themeTint="FF" w:themeShade="FF"/>
        </w:rPr>
        <w:t>et al</w:t>
      </w:r>
      <w:r w:rsidRPr="69441A9A" w:rsidR="16B396BB">
        <w:rPr>
          <w:rFonts w:ascii="Arial" w:hAnsi="Arial" w:eastAsia="Arial" w:cs="Arial"/>
          <w:color w:val="000000" w:themeColor="text1" w:themeTint="FF" w:themeShade="FF"/>
        </w:rPr>
        <w:t>., 202</w:t>
      </w:r>
      <w:r w:rsidRPr="69441A9A" w:rsidR="24162CE4">
        <w:rPr>
          <w:rFonts w:ascii="Arial" w:hAnsi="Arial" w:eastAsia="Arial" w:cs="Arial"/>
          <w:color w:val="000000" w:themeColor="text1" w:themeTint="FF" w:themeShade="FF"/>
        </w:rPr>
        <w:t>6</w:t>
      </w:r>
      <w:r w:rsidRPr="69441A9A" w:rsidR="16B396BB">
        <w:rPr>
          <w:rFonts w:ascii="Arial" w:hAnsi="Arial" w:eastAsia="Arial" w:cs="Arial"/>
          <w:color w:val="000000" w:themeColor="text1" w:themeTint="FF" w:themeShade="FF"/>
        </w:rPr>
        <w:t xml:space="preserve">). However, such an assumption is increasingly challenged by empirical findings demonstrating that gene-negative individuals frequently experience complex and enduring emotional responses, including survivor guilt, identity disruption, and persistent anxiety about familial risk, extending beyond the testing period (Viau, 2023; </w:t>
      </w:r>
      <w:r w:rsidRPr="69441A9A" w:rsidR="16B396BB">
        <w:rPr>
          <w:rFonts w:ascii="Arial" w:hAnsi="Arial" w:eastAsia="Arial" w:cs="Arial"/>
          <w:color w:val="000000" w:themeColor="text1" w:themeTint="FF" w:themeShade="FF"/>
        </w:rPr>
        <w:t>Osawa</w:t>
      </w:r>
      <w:r w:rsidRPr="69441A9A" w:rsidR="16B396BB">
        <w:rPr>
          <w:rFonts w:ascii="Arial" w:hAnsi="Arial" w:eastAsia="Arial" w:cs="Arial"/>
          <w:color w:val="000000" w:themeColor="text1" w:themeTint="FF" w:themeShade="FF"/>
        </w:rPr>
        <w:t xml:space="preserve"> </w:t>
      </w:r>
      <w:r w:rsidRPr="69441A9A" w:rsidR="42E41995">
        <w:rPr>
          <w:rFonts w:ascii="Arial" w:hAnsi="Arial" w:eastAsia="Arial" w:cs="Arial"/>
          <w:i w:val="1"/>
          <w:iCs w:val="1"/>
          <w:color w:val="000000" w:themeColor="text1" w:themeTint="FF" w:themeShade="FF"/>
        </w:rPr>
        <w:t>et al</w:t>
      </w:r>
      <w:r w:rsidRPr="69441A9A" w:rsidR="16B396BB">
        <w:rPr>
          <w:rFonts w:ascii="Arial" w:hAnsi="Arial" w:eastAsia="Arial" w:cs="Arial"/>
          <w:color w:val="000000" w:themeColor="text1" w:themeTint="FF" w:themeShade="FF"/>
        </w:rPr>
        <w:t>., 202</w:t>
      </w:r>
      <w:r w:rsidRPr="69441A9A" w:rsidR="222D3A27">
        <w:rPr>
          <w:rFonts w:ascii="Arial" w:hAnsi="Arial" w:eastAsia="Arial" w:cs="Arial"/>
          <w:color w:val="000000" w:themeColor="text1" w:themeTint="FF" w:themeShade="FF"/>
        </w:rPr>
        <w:t>5</w:t>
      </w:r>
      <w:r w:rsidRPr="69441A9A" w:rsidR="16B396BB">
        <w:rPr>
          <w:rFonts w:ascii="Arial" w:hAnsi="Arial" w:eastAsia="Arial" w:cs="Arial"/>
          <w:color w:val="000000" w:themeColor="text1" w:themeTint="FF" w:themeShade="FF"/>
        </w:rPr>
        <w:t>).</w:t>
      </w:r>
    </w:p>
    <w:p w:rsidRPr="00364396" w:rsidR="00233C61" w:rsidP="69441A9A" w:rsidRDefault="00233C61" w14:paraId="0631786E" w14:textId="77777777">
      <w:pPr>
        <w:pStyle w:val="NormalWeb"/>
        <w:spacing w:before="240" w:beforeAutospacing="off" w:after="240" w:afterAutospacing="off" w:line="480" w:lineRule="auto"/>
        <w:jc w:val="both"/>
        <w:rPr>
          <w:rFonts w:ascii="Arial" w:hAnsi="Arial" w:eastAsia="Arial" w:cs="Arial"/>
        </w:rPr>
      </w:pPr>
    </w:p>
    <w:p w:rsidR="00364396" w:rsidP="69441A9A" w:rsidRDefault="00364396" w14:paraId="31218E02" w14:textId="05E7FC97">
      <w:pPr>
        <w:spacing w:before="240"/>
        <w:jc w:val="both"/>
        <w:rPr>
          <w:rFonts w:ascii="Arial" w:hAnsi="Arial" w:eastAsia="Arial" w:cs="Arial"/>
          <w:color w:val="000000" w:themeColor="text1"/>
          <w:sz w:val="24"/>
          <w:szCs w:val="24"/>
        </w:rPr>
      </w:pPr>
      <w:r w:rsidRPr="69441A9A" w:rsidR="00364396">
        <w:rPr>
          <w:rFonts w:ascii="Arial" w:hAnsi="Arial" w:eastAsia="Arial" w:cs="Arial"/>
          <w:color w:val="000000" w:themeColor="text1" w:themeTint="FF" w:themeShade="FF"/>
          <w:sz w:val="24"/>
          <w:szCs w:val="24"/>
        </w:rPr>
        <w:t>Despite these well-documented challenges, clinical pathways often involve little to no structured follow-up for gene-negative patients, in contrast to the ongoing surveillance and support typically offered to gene-positive individuals (</w:t>
      </w:r>
      <w:r w:rsidRPr="69441A9A" w:rsidR="00364396">
        <w:rPr>
          <w:rFonts w:ascii="Arial" w:hAnsi="Arial" w:eastAsia="Arial" w:cs="Arial"/>
          <w:color w:val="000000" w:themeColor="text1" w:themeTint="FF" w:themeShade="FF"/>
          <w:sz w:val="24"/>
          <w:szCs w:val="24"/>
        </w:rPr>
        <w:t>Stopford</w:t>
      </w:r>
      <w:r w:rsidRPr="69441A9A" w:rsidR="00364396">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20</w:t>
      </w:r>
      <w:r w:rsidRPr="69441A9A" w:rsidR="7C19011E">
        <w:rPr>
          <w:rFonts w:ascii="Arial" w:hAnsi="Arial" w:eastAsia="Arial" w:cs="Arial"/>
          <w:color w:val="000000" w:themeColor="text1" w:themeTint="FF" w:themeShade="FF"/>
          <w:sz w:val="24"/>
          <w:szCs w:val="24"/>
        </w:rPr>
        <w:t>20</w:t>
      </w:r>
      <w:r w:rsidRPr="69441A9A" w:rsidR="00364396">
        <w:rPr>
          <w:rFonts w:ascii="Arial" w:hAnsi="Arial" w:eastAsia="Arial" w:cs="Arial"/>
          <w:color w:val="000000" w:themeColor="text1" w:themeTint="FF" w:themeShade="FF"/>
          <w:sz w:val="24"/>
          <w:szCs w:val="24"/>
        </w:rPr>
        <w:t xml:space="preserve">). This disparity highlights a systemic gap in care provision; whereby psychological needs are narrowly interpreted through a risk-status lens. As a result, the discontinuation of counselling support may inadvertently invalidate the lived experiences of gene-negative individuals and leave them without </w:t>
      </w:r>
      <w:r w:rsidRPr="69441A9A" w:rsidR="00364396">
        <w:rPr>
          <w:rFonts w:ascii="Arial" w:hAnsi="Arial" w:eastAsia="Arial" w:cs="Arial"/>
          <w:color w:val="000000" w:themeColor="text1" w:themeTint="FF" w:themeShade="FF"/>
          <w:sz w:val="24"/>
          <w:szCs w:val="24"/>
        </w:rPr>
        <w:t>appropriate resources</w:t>
      </w:r>
      <w:r w:rsidRPr="69441A9A" w:rsidR="00364396">
        <w:rPr>
          <w:rFonts w:ascii="Arial" w:hAnsi="Arial" w:eastAsia="Arial" w:cs="Arial"/>
          <w:color w:val="000000" w:themeColor="text1" w:themeTint="FF" w:themeShade="FF"/>
          <w:sz w:val="24"/>
          <w:szCs w:val="24"/>
        </w:rPr>
        <w:t xml:space="preserve"> to process their results (Mocanu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2025).</w:t>
      </w:r>
    </w:p>
    <w:p w:rsidRPr="00364396" w:rsidR="00233C61" w:rsidP="69441A9A" w:rsidRDefault="00233C61" w14:paraId="1D891D87" w14:textId="77777777">
      <w:pPr>
        <w:spacing w:before="240"/>
        <w:jc w:val="both"/>
        <w:rPr>
          <w:rFonts w:ascii="Arial" w:hAnsi="Arial" w:eastAsia="Arial" w:cs="Arial"/>
          <w:sz w:val="24"/>
          <w:szCs w:val="24"/>
        </w:rPr>
      </w:pPr>
    </w:p>
    <w:p w:rsidR="00364396" w:rsidP="69441A9A" w:rsidRDefault="00364396" w14:paraId="6F51BF7C" w14:textId="019B66BC">
      <w:pPr>
        <w:spacing w:before="240"/>
        <w:jc w:val="both"/>
        <w:rPr>
          <w:rFonts w:ascii="Arial" w:hAnsi="Arial" w:eastAsia="Arial" w:cs="Arial"/>
          <w:color w:val="000000" w:themeColor="text1"/>
          <w:sz w:val="24"/>
          <w:szCs w:val="24"/>
        </w:rPr>
      </w:pPr>
      <w:r w:rsidRPr="69441A9A" w:rsidR="16B396BB">
        <w:rPr>
          <w:rFonts w:ascii="Arial" w:hAnsi="Arial" w:eastAsia="Arial" w:cs="Arial"/>
          <w:color w:val="000000" w:themeColor="text1" w:themeTint="FF" w:themeShade="FF"/>
          <w:sz w:val="24"/>
          <w:szCs w:val="24"/>
        </w:rPr>
        <w:t xml:space="preserve">Therefore, </w:t>
      </w:r>
      <w:r w:rsidRPr="69441A9A" w:rsidR="16B396BB">
        <w:rPr>
          <w:rFonts w:ascii="Arial" w:hAnsi="Arial" w:eastAsia="Arial" w:cs="Arial"/>
          <w:color w:val="000000" w:themeColor="text1" w:themeTint="FF" w:themeShade="FF"/>
          <w:sz w:val="24"/>
          <w:szCs w:val="24"/>
        </w:rPr>
        <w:t>Stopfo</w:t>
      </w:r>
      <w:r w:rsidRPr="69441A9A" w:rsidR="16B396BB">
        <w:rPr>
          <w:rFonts w:ascii="Arial" w:hAnsi="Arial" w:eastAsia="Arial" w:cs="Arial"/>
          <w:color w:val="000000" w:themeColor="text1" w:themeTint="FF" w:themeShade="FF"/>
          <w:sz w:val="24"/>
          <w:szCs w:val="24"/>
        </w:rPr>
        <w:t>rd</w:t>
      </w:r>
      <w:r w:rsidRPr="69441A9A" w:rsidR="16B396BB">
        <w:rPr>
          <w:rFonts w:ascii="Arial" w:hAnsi="Arial" w:eastAsia="Arial" w:cs="Arial"/>
          <w:color w:val="000000" w:themeColor="text1" w:themeTint="FF" w:themeShade="FF"/>
          <w:sz w:val="24"/>
          <w:szCs w:val="24"/>
        </w:rPr>
        <w:t xml:space="preserve"> </w:t>
      </w:r>
      <w:r w:rsidRPr="69441A9A" w:rsidR="42E41995">
        <w:rPr>
          <w:rFonts w:ascii="Arial" w:hAnsi="Arial" w:eastAsia="Arial" w:cs="Arial"/>
          <w:i w:val="1"/>
          <w:iCs w:val="1"/>
          <w:color w:val="000000" w:themeColor="text1" w:themeTint="FF" w:themeShade="FF"/>
          <w:sz w:val="24"/>
          <w:szCs w:val="24"/>
        </w:rPr>
        <w:t>et al</w:t>
      </w:r>
      <w:r w:rsidRPr="69441A9A" w:rsidR="16B396BB">
        <w:rPr>
          <w:rFonts w:ascii="Arial" w:hAnsi="Arial" w:eastAsia="Arial" w:cs="Arial"/>
          <w:color w:val="000000" w:themeColor="text1" w:themeTint="FF" w:themeShade="FF"/>
          <w:sz w:val="24"/>
          <w:szCs w:val="24"/>
        </w:rPr>
        <w:t>. (20</w:t>
      </w:r>
      <w:r w:rsidRPr="69441A9A" w:rsidR="786FC6EF">
        <w:rPr>
          <w:rFonts w:ascii="Arial" w:hAnsi="Arial" w:eastAsia="Arial" w:cs="Arial"/>
          <w:color w:val="000000" w:themeColor="text1" w:themeTint="FF" w:themeShade="FF"/>
          <w:sz w:val="24"/>
          <w:szCs w:val="24"/>
        </w:rPr>
        <w:t>19</w:t>
      </w:r>
      <w:r w:rsidRPr="69441A9A" w:rsidR="16B396BB">
        <w:rPr>
          <w:rFonts w:ascii="Arial" w:hAnsi="Arial" w:eastAsia="Arial" w:cs="Arial"/>
          <w:color w:val="000000" w:themeColor="text1" w:themeTint="FF" w:themeShade="FF"/>
          <w:sz w:val="24"/>
          <w:szCs w:val="24"/>
        </w:rPr>
        <w:t xml:space="preserve">) argue that the current model of predictive genetic counselling is insufficiently attuned to the longitudinal and relational dimensions of psychological adjustment. The lack of continued support not only reflects a gap in service provision but also reinforces the broader critique that predictive testing frameworks </w:t>
      </w:r>
      <w:r w:rsidRPr="69441A9A" w:rsidR="16B396BB">
        <w:rPr>
          <w:rFonts w:ascii="Arial" w:hAnsi="Arial" w:eastAsia="Arial" w:cs="Arial"/>
          <w:color w:val="000000" w:themeColor="text1" w:themeTint="FF" w:themeShade="FF"/>
          <w:sz w:val="24"/>
          <w:szCs w:val="24"/>
        </w:rPr>
        <w:t>remain</w:t>
      </w:r>
      <w:r w:rsidRPr="69441A9A" w:rsidR="16B396BB">
        <w:rPr>
          <w:rFonts w:ascii="Arial" w:hAnsi="Arial" w:eastAsia="Arial" w:cs="Arial"/>
          <w:color w:val="000000" w:themeColor="text1" w:themeTint="FF" w:themeShade="FF"/>
          <w:sz w:val="24"/>
          <w:szCs w:val="24"/>
        </w:rPr>
        <w:t xml:space="preserve"> </w:t>
      </w:r>
      <w:r w:rsidRPr="69441A9A" w:rsidR="16B396BB">
        <w:rPr>
          <w:rFonts w:ascii="Arial" w:hAnsi="Arial" w:eastAsia="Arial" w:cs="Arial"/>
          <w:color w:val="000000" w:themeColor="text1" w:themeTint="FF" w:themeShade="FF"/>
          <w:sz w:val="24"/>
          <w:szCs w:val="24"/>
        </w:rPr>
        <w:t>predominantly biomedical</w:t>
      </w:r>
      <w:r w:rsidRPr="69441A9A" w:rsidR="16B396BB">
        <w:rPr>
          <w:rFonts w:ascii="Arial" w:hAnsi="Arial" w:eastAsia="Arial" w:cs="Arial"/>
          <w:color w:val="000000" w:themeColor="text1" w:themeTint="FF" w:themeShade="FF"/>
          <w:sz w:val="24"/>
          <w:szCs w:val="24"/>
        </w:rPr>
        <w:t xml:space="preserve">, rather than biopsychosocial, in orientation (Hensman </w:t>
      </w:r>
      <w:r w:rsidRPr="69441A9A" w:rsidR="42E41995">
        <w:rPr>
          <w:rFonts w:ascii="Arial" w:hAnsi="Arial" w:eastAsia="Arial" w:cs="Arial"/>
          <w:i w:val="1"/>
          <w:iCs w:val="1"/>
          <w:color w:val="000000" w:themeColor="text1" w:themeTint="FF" w:themeShade="FF"/>
          <w:sz w:val="24"/>
          <w:szCs w:val="24"/>
        </w:rPr>
        <w:t>et al</w:t>
      </w:r>
      <w:r w:rsidRPr="69441A9A" w:rsidR="16B396BB">
        <w:rPr>
          <w:rFonts w:ascii="Arial" w:hAnsi="Arial" w:eastAsia="Arial" w:cs="Arial"/>
          <w:color w:val="000000" w:themeColor="text1" w:themeTint="FF" w:themeShade="FF"/>
          <w:sz w:val="24"/>
          <w:szCs w:val="24"/>
        </w:rPr>
        <w:t xml:space="preserve">., 2026). This gap in service provision is particularly relevant to the present study, which </w:t>
      </w:r>
      <w:r w:rsidRPr="69441A9A" w:rsidR="16B396BB">
        <w:rPr>
          <w:rFonts w:ascii="Arial" w:hAnsi="Arial" w:eastAsia="Arial" w:cs="Arial"/>
          <w:color w:val="000000" w:themeColor="text1" w:themeTint="FF" w:themeShade="FF"/>
          <w:sz w:val="24"/>
          <w:szCs w:val="24"/>
        </w:rPr>
        <w:t>seeks</w:t>
      </w:r>
      <w:r w:rsidRPr="69441A9A" w:rsidR="16B396BB">
        <w:rPr>
          <w:rFonts w:ascii="Arial" w:hAnsi="Arial" w:eastAsia="Arial" w:cs="Arial"/>
          <w:color w:val="000000" w:themeColor="text1" w:themeTint="FF" w:themeShade="FF"/>
          <w:sz w:val="24"/>
          <w:szCs w:val="24"/>
        </w:rPr>
        <w:t xml:space="preserve"> to understand the therapeutic needs of individuals following predictive testing for HD and explore how counselling professionals may complement existing genetic counselling pathways. Furthermore, little attention has been given to the type of therapeutic support individuals may find most beneficial following testing, including whether specialist knowledge of HD is required or whether broader counselling qualities such as empathy, acceptance, and the therapeutic relationship are of greater significance (</w:t>
      </w:r>
      <w:r w:rsidRPr="69441A9A" w:rsidR="16B396BB">
        <w:rPr>
          <w:rFonts w:ascii="Arial" w:hAnsi="Arial" w:eastAsia="Arial" w:cs="Arial"/>
          <w:color w:val="000000" w:themeColor="text1" w:themeTint="FF" w:themeShade="FF"/>
          <w:sz w:val="24"/>
          <w:szCs w:val="24"/>
        </w:rPr>
        <w:t>Schriger</w:t>
      </w:r>
      <w:r w:rsidRPr="69441A9A" w:rsidR="16B396BB">
        <w:rPr>
          <w:rFonts w:ascii="Arial" w:hAnsi="Arial" w:eastAsia="Arial" w:cs="Arial"/>
          <w:color w:val="000000" w:themeColor="text1" w:themeTint="FF" w:themeShade="FF"/>
          <w:sz w:val="24"/>
          <w:szCs w:val="24"/>
        </w:rPr>
        <w:t xml:space="preserve"> </w:t>
      </w:r>
      <w:r w:rsidRPr="69441A9A" w:rsidR="42E41995">
        <w:rPr>
          <w:rFonts w:ascii="Arial" w:hAnsi="Arial" w:eastAsia="Arial" w:cs="Arial"/>
          <w:i w:val="1"/>
          <w:iCs w:val="1"/>
          <w:color w:val="000000" w:themeColor="text1" w:themeTint="FF" w:themeShade="FF"/>
          <w:sz w:val="24"/>
          <w:szCs w:val="24"/>
        </w:rPr>
        <w:t>et al</w:t>
      </w:r>
      <w:r w:rsidRPr="69441A9A" w:rsidR="16B396BB">
        <w:rPr>
          <w:rFonts w:ascii="Arial" w:hAnsi="Arial" w:eastAsia="Arial" w:cs="Arial"/>
          <w:color w:val="000000" w:themeColor="text1" w:themeTint="FF" w:themeShade="FF"/>
          <w:sz w:val="24"/>
          <w:szCs w:val="24"/>
        </w:rPr>
        <w:t>., 2025).</w:t>
      </w:r>
    </w:p>
    <w:p w:rsidRPr="00364396" w:rsidR="00A67C35" w:rsidP="69441A9A" w:rsidRDefault="00A67C35" w14:paraId="58721624" w14:textId="77777777">
      <w:pPr>
        <w:spacing w:before="240"/>
        <w:jc w:val="both"/>
        <w:rPr>
          <w:rFonts w:ascii="Arial" w:hAnsi="Arial" w:eastAsia="Arial" w:cs="Arial"/>
          <w:sz w:val="24"/>
          <w:szCs w:val="24"/>
        </w:rPr>
      </w:pPr>
    </w:p>
    <w:p w:rsidR="00364396" w:rsidP="69441A9A" w:rsidRDefault="00364396" w14:paraId="2E2BF34E" w14:textId="33F60061">
      <w:pPr>
        <w:pStyle w:val="Heading2"/>
        <w:rPr>
          <w:rStyle w:val="Strong"/>
          <w:rFonts w:ascii="Arial" w:hAnsi="Arial" w:eastAsia="Arial" w:cs="Arial"/>
          <w:b w:val="1"/>
          <w:bCs w:val="1"/>
        </w:rPr>
      </w:pPr>
      <w:bookmarkStart w:name="_Toc238028866" w:id="22"/>
      <w:r w:rsidRPr="69441A9A" w:rsidR="00364396">
        <w:rPr>
          <w:rStyle w:val="Strong"/>
          <w:rFonts w:ascii="Arial" w:hAnsi="Arial" w:eastAsia="Arial" w:cs="Arial"/>
          <w:b w:val="1"/>
          <w:bCs w:val="1"/>
        </w:rPr>
        <w:t>Integrative Analysis: Moving Beyond the Binary Framework</w:t>
      </w:r>
      <w:bookmarkEnd w:id="22"/>
      <w:r w:rsidRPr="69441A9A" w:rsidR="00364396">
        <w:rPr>
          <w:rStyle w:val="Strong"/>
          <w:rFonts w:ascii="Arial" w:hAnsi="Arial" w:eastAsia="Arial" w:cs="Arial"/>
          <w:b w:val="1"/>
          <w:bCs w:val="1"/>
        </w:rPr>
        <w:t xml:space="preserve"> </w:t>
      </w:r>
    </w:p>
    <w:p w:rsidRPr="00A67C35" w:rsidR="00A67C35" w:rsidP="69441A9A" w:rsidRDefault="00A67C35" w14:paraId="2311D5AE" w14:textId="77777777">
      <w:pPr>
        <w:rPr>
          <w:rFonts w:ascii="Arial" w:hAnsi="Arial" w:eastAsia="Arial" w:cs="Arial"/>
        </w:rPr>
      </w:pPr>
    </w:p>
    <w:p w:rsidR="00364396" w:rsidP="69441A9A" w:rsidRDefault="00364396" w14:paraId="6721C988" w14:textId="37416825">
      <w:pPr>
        <w:pStyle w:val="Normal"/>
        <w:spacing w:before="240"/>
        <w:jc w:val="both"/>
        <w:rPr>
          <w:rFonts w:ascii="Arial" w:hAnsi="Arial" w:eastAsia="Arial" w:cs="Arial"/>
          <w:color w:val="000000" w:themeColor="text1"/>
          <w:sz w:val="24"/>
          <w:szCs w:val="24"/>
        </w:rPr>
      </w:pPr>
      <w:r w:rsidRPr="69441A9A" w:rsidR="00364396">
        <w:rPr>
          <w:rFonts w:ascii="Arial" w:hAnsi="Arial" w:eastAsia="Arial" w:cs="Arial"/>
          <w:color w:val="000000" w:themeColor="text1" w:themeTint="FF" w:themeShade="FF"/>
          <w:sz w:val="24"/>
          <w:szCs w:val="24"/>
        </w:rPr>
        <w:t xml:space="preserve">clinical synthesis of the literature </w:t>
      </w:r>
      <w:r w:rsidRPr="69441A9A" w:rsidR="00364396">
        <w:rPr>
          <w:rFonts w:ascii="Arial" w:hAnsi="Arial" w:eastAsia="Arial" w:cs="Arial"/>
          <w:color w:val="000000" w:themeColor="text1" w:themeTint="FF" w:themeShade="FF"/>
          <w:sz w:val="24"/>
          <w:szCs w:val="24"/>
        </w:rPr>
        <w:t>demonstrates</w:t>
      </w:r>
      <w:r w:rsidRPr="69441A9A" w:rsidR="00364396">
        <w:rPr>
          <w:rFonts w:ascii="Arial" w:hAnsi="Arial" w:eastAsia="Arial" w:cs="Arial"/>
          <w:color w:val="000000" w:themeColor="text1" w:themeTint="FF" w:themeShade="FF"/>
          <w:sz w:val="24"/>
          <w:szCs w:val="24"/>
        </w:rPr>
        <w:t xml:space="preserve"> that the psychological consequences of predictive genetic testing for HD cannot be meaningfully reduced to a binary distinction between “positive” and “negative” test outcomes (</w:t>
      </w:r>
      <w:r w:rsidRPr="69441A9A" w:rsidR="00364396">
        <w:rPr>
          <w:rFonts w:ascii="Arial" w:hAnsi="Arial" w:eastAsia="Arial" w:cs="Arial"/>
          <w:color w:val="000000" w:themeColor="text1" w:themeTint="FF" w:themeShade="FF"/>
          <w:sz w:val="24"/>
          <w:szCs w:val="24"/>
        </w:rPr>
        <w:t>Tiller</w:t>
      </w:r>
      <w:r w:rsidRPr="69441A9A" w:rsidR="73E64A66">
        <w:rPr>
          <w:rFonts w:ascii="Arial" w:hAnsi="Arial" w:eastAsia="Arial" w:cs="Arial"/>
          <w:noProof w:val="0"/>
          <w:color w:val="000000" w:themeColor="text1" w:themeTint="FF" w:themeShade="FF"/>
          <w:sz w:val="24"/>
          <w:szCs w:val="24"/>
          <w:lang w:val="en-GB"/>
        </w:rPr>
        <w:t>å</w:t>
      </w:r>
      <w:r w:rsidRPr="69441A9A" w:rsidR="00364396">
        <w:rPr>
          <w:rFonts w:ascii="Arial" w:hAnsi="Arial" w:eastAsia="Arial" w:cs="Arial"/>
          <w:color w:val="000000" w:themeColor="text1" w:themeTint="FF" w:themeShade="FF"/>
          <w:sz w:val="24"/>
          <w:szCs w:val="24"/>
        </w:rPr>
        <w:t>s</w:t>
      </w:r>
      <w:r w:rsidRPr="69441A9A" w:rsidR="00364396">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2020; Ballard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2024). Although the manifestation of distress differs across groups, both gene-positive and gene-negative individuals </w:t>
      </w:r>
      <w:r w:rsidRPr="69441A9A" w:rsidR="00364396">
        <w:rPr>
          <w:rFonts w:ascii="Arial" w:hAnsi="Arial" w:eastAsia="Arial" w:cs="Arial"/>
          <w:color w:val="000000" w:themeColor="text1" w:themeTint="FF" w:themeShade="FF"/>
          <w:sz w:val="24"/>
          <w:szCs w:val="24"/>
        </w:rPr>
        <w:t>frequently</w:t>
      </w:r>
      <w:r w:rsidRPr="69441A9A" w:rsidR="00364396">
        <w:rPr>
          <w:rFonts w:ascii="Arial" w:hAnsi="Arial" w:eastAsia="Arial" w:cs="Arial"/>
          <w:color w:val="000000" w:themeColor="text1" w:themeTint="FF" w:themeShade="FF"/>
          <w:sz w:val="24"/>
          <w:szCs w:val="24"/>
        </w:rPr>
        <w:t xml:space="preserve"> experience profound disruptions to identity, temporality, relational positioning, and assumptions about their future (Oliveri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2018). Existing research therefore challenges the implicit hierarchy often present within the </w:t>
      </w:r>
      <w:r w:rsidRPr="69441A9A" w:rsidR="00364396">
        <w:rPr>
          <w:rFonts w:ascii="Arial" w:hAnsi="Arial" w:eastAsia="Arial" w:cs="Arial"/>
          <w:color w:val="000000" w:themeColor="text1" w:themeTint="FF" w:themeShade="FF"/>
          <w:sz w:val="24"/>
          <w:szCs w:val="24"/>
        </w:rPr>
        <w:t>literature,</w:t>
      </w:r>
      <w:r w:rsidRPr="69441A9A" w:rsidR="00364396">
        <w:rPr>
          <w:rFonts w:ascii="Arial" w:hAnsi="Arial" w:eastAsia="Arial" w:cs="Arial"/>
          <w:color w:val="000000" w:themeColor="text1" w:themeTint="FF" w:themeShade="FF"/>
          <w:sz w:val="24"/>
          <w:szCs w:val="24"/>
        </w:rPr>
        <w:t xml:space="preserve"> whereby gene-positive results are positioned as inherently more psychologically burdensome than gene-negative outcomes (Gong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2016).</w:t>
      </w:r>
    </w:p>
    <w:p w:rsidRPr="00364396" w:rsidR="009C5C14" w:rsidP="69441A9A" w:rsidRDefault="009C5C14" w14:paraId="7C0E9372" w14:textId="77777777">
      <w:pPr>
        <w:spacing w:before="240"/>
        <w:jc w:val="both"/>
        <w:rPr>
          <w:rFonts w:ascii="Arial" w:hAnsi="Arial" w:eastAsia="Arial" w:cs="Arial"/>
          <w:sz w:val="24"/>
          <w:szCs w:val="24"/>
        </w:rPr>
      </w:pPr>
    </w:p>
    <w:p w:rsidR="00364396" w:rsidP="69441A9A" w:rsidRDefault="00364396" w14:paraId="163D4A37" w14:textId="2085D7FA">
      <w:pPr>
        <w:spacing w:before="240"/>
        <w:jc w:val="both"/>
        <w:rPr>
          <w:rFonts w:ascii="Arial" w:hAnsi="Arial" w:eastAsia="Arial" w:cs="Arial"/>
          <w:color w:val="000000" w:themeColor="text1"/>
          <w:sz w:val="24"/>
          <w:szCs w:val="24"/>
        </w:rPr>
      </w:pPr>
      <w:r w:rsidRPr="69441A9A" w:rsidR="00364396">
        <w:rPr>
          <w:rFonts w:ascii="Arial" w:hAnsi="Arial" w:eastAsia="Arial" w:cs="Arial"/>
          <w:color w:val="000000" w:themeColor="text1" w:themeTint="FF" w:themeShade="FF"/>
          <w:sz w:val="24"/>
          <w:szCs w:val="24"/>
        </w:rPr>
        <w:t xml:space="preserve">Instead, </w:t>
      </w:r>
      <w:r w:rsidRPr="69441A9A" w:rsidR="00364396">
        <w:rPr>
          <w:rFonts w:ascii="Arial" w:hAnsi="Arial" w:eastAsia="Arial" w:cs="Arial"/>
          <w:color w:val="000000" w:themeColor="text1" w:themeTint="FF" w:themeShade="FF"/>
          <w:sz w:val="24"/>
          <w:szCs w:val="24"/>
        </w:rPr>
        <w:t>Tilleras</w:t>
      </w:r>
      <w:r w:rsidRPr="69441A9A" w:rsidR="00364396">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(2020) argue that each result produces distinct, yet equally complex, forms of psychological loss and adaptation. According to Crozier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(2015) for gene-positive individuals, testing may precipitate the loss of an “open future,” requiring confrontation with </w:t>
      </w:r>
      <w:r w:rsidRPr="69441A9A" w:rsidR="00364396">
        <w:rPr>
          <w:rFonts w:ascii="Arial" w:hAnsi="Arial" w:eastAsia="Arial" w:cs="Arial"/>
          <w:color w:val="000000" w:themeColor="text1" w:themeTint="FF" w:themeShade="FF"/>
          <w:sz w:val="24"/>
          <w:szCs w:val="24"/>
        </w:rPr>
        <w:t>anticipated</w:t>
      </w:r>
      <w:r w:rsidRPr="69441A9A" w:rsidR="00364396">
        <w:rPr>
          <w:rFonts w:ascii="Arial" w:hAnsi="Arial" w:eastAsia="Arial" w:cs="Arial"/>
          <w:color w:val="000000" w:themeColor="text1" w:themeTint="FF" w:themeShade="FF"/>
          <w:sz w:val="24"/>
          <w:szCs w:val="24"/>
        </w:rPr>
        <w:t xml:space="preserve"> decline, altered life trajectories, and the incorporation of genetic risk into one’s self-concept. Conversely, Viau (2023) states that gene-negative individuals may experience the destabilisation or loss of an identity organised around </w:t>
      </w:r>
      <w:r w:rsidRPr="69441A9A" w:rsidR="00364396">
        <w:rPr>
          <w:rFonts w:ascii="Arial" w:hAnsi="Arial" w:eastAsia="Arial" w:cs="Arial"/>
          <w:color w:val="000000" w:themeColor="text1" w:themeTint="FF" w:themeShade="FF"/>
          <w:sz w:val="24"/>
          <w:szCs w:val="24"/>
        </w:rPr>
        <w:t>anticipated</w:t>
      </w:r>
      <w:r w:rsidRPr="69441A9A" w:rsidR="00364396">
        <w:rPr>
          <w:rFonts w:ascii="Arial" w:hAnsi="Arial" w:eastAsia="Arial" w:cs="Arial"/>
          <w:color w:val="000000" w:themeColor="text1" w:themeTint="FF" w:themeShade="FF"/>
          <w:sz w:val="24"/>
          <w:szCs w:val="24"/>
        </w:rPr>
        <w:t xml:space="preserve"> illness. It is therefore argued that relief following a negative result is often accompanied by disorientation, survivors’ guilt, or difficulties renegotiating familial and social relationships (</w:t>
      </w:r>
      <w:r w:rsidRPr="69441A9A" w:rsidR="00364396">
        <w:rPr>
          <w:rFonts w:ascii="Arial" w:hAnsi="Arial" w:eastAsia="Arial" w:cs="Arial"/>
          <w:color w:val="000000" w:themeColor="text1" w:themeTint="FF" w:themeShade="FF"/>
          <w:sz w:val="24"/>
          <w:szCs w:val="24"/>
        </w:rPr>
        <w:t>Osawa</w:t>
      </w:r>
      <w:r w:rsidRPr="69441A9A" w:rsidR="00364396">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202</w:t>
      </w:r>
      <w:r w:rsidRPr="69441A9A" w:rsidR="1138CF40">
        <w:rPr>
          <w:rFonts w:ascii="Arial" w:hAnsi="Arial" w:eastAsia="Arial" w:cs="Arial"/>
          <w:color w:val="000000" w:themeColor="text1" w:themeTint="FF" w:themeShade="FF"/>
          <w:sz w:val="24"/>
          <w:szCs w:val="24"/>
        </w:rPr>
        <w:t>5</w:t>
      </w:r>
      <w:r w:rsidRPr="69441A9A" w:rsidR="00364396">
        <w:rPr>
          <w:rFonts w:ascii="Arial" w:hAnsi="Arial" w:eastAsia="Arial" w:cs="Arial"/>
          <w:color w:val="000000" w:themeColor="text1" w:themeTint="FF" w:themeShade="FF"/>
          <w:sz w:val="24"/>
          <w:szCs w:val="24"/>
        </w:rPr>
        <w:t>).</w:t>
      </w:r>
    </w:p>
    <w:p w:rsidRPr="00364396" w:rsidR="009C5C14" w:rsidP="69441A9A" w:rsidRDefault="009C5C14" w14:paraId="432B6AF1" w14:textId="77777777">
      <w:pPr>
        <w:spacing w:before="240"/>
        <w:jc w:val="both"/>
        <w:rPr>
          <w:rFonts w:ascii="Arial" w:hAnsi="Arial" w:eastAsia="Arial" w:cs="Arial"/>
          <w:sz w:val="24"/>
          <w:szCs w:val="24"/>
        </w:rPr>
      </w:pPr>
    </w:p>
    <w:p w:rsidR="00364396" w:rsidP="69441A9A" w:rsidRDefault="00364396" w14:paraId="4854D15C" w14:textId="6526E908">
      <w:pPr>
        <w:spacing w:before="240"/>
        <w:jc w:val="both"/>
        <w:rPr>
          <w:rFonts w:ascii="Arial" w:hAnsi="Arial" w:eastAsia="Arial" w:cs="Arial"/>
          <w:color w:val="000000" w:themeColor="text1"/>
          <w:sz w:val="24"/>
          <w:szCs w:val="24"/>
        </w:rPr>
      </w:pPr>
      <w:r w:rsidRPr="69441A9A" w:rsidR="402EC320">
        <w:rPr>
          <w:rFonts w:ascii="Arial" w:hAnsi="Arial" w:eastAsia="Arial" w:cs="Arial"/>
          <w:color w:val="000000" w:themeColor="text1" w:themeTint="FF" w:themeShade="FF"/>
          <w:sz w:val="24"/>
          <w:szCs w:val="24"/>
        </w:rPr>
        <w:t>In both cases, predictive testing initiates an ongoing process of meaning-making rather than a singular moment of psychological resolution. Consequently, the literature increasingly conceptualises adaptation to genetic knowledge as a dynamic and longi</w:t>
      </w:r>
      <w:r w:rsidRPr="69441A9A" w:rsidR="402EC320">
        <w:rPr>
          <w:rFonts w:ascii="Arial" w:hAnsi="Arial" w:eastAsia="Arial" w:cs="Arial"/>
          <w:color w:val="000000" w:themeColor="text1" w:themeTint="FF" w:themeShade="FF"/>
          <w:sz w:val="24"/>
          <w:szCs w:val="24"/>
        </w:rPr>
        <w:t>tudinal p</w:t>
      </w:r>
      <w:r w:rsidRPr="69441A9A" w:rsidR="402EC320">
        <w:rPr>
          <w:rFonts w:ascii="Arial" w:hAnsi="Arial" w:eastAsia="Arial" w:cs="Arial"/>
          <w:color w:val="000000" w:themeColor="text1" w:themeTint="FF" w:themeShade="FF"/>
          <w:sz w:val="24"/>
          <w:szCs w:val="24"/>
        </w:rPr>
        <w:t>rocess of identity reconstruction, rather than a short-term emotional reaction to test disclosure (</w:t>
      </w:r>
      <w:r w:rsidRPr="69441A9A" w:rsidR="402EC320">
        <w:rPr>
          <w:rFonts w:ascii="Arial" w:hAnsi="Arial" w:eastAsia="Arial" w:cs="Arial"/>
          <w:color w:val="000000" w:themeColor="text1" w:themeTint="FF" w:themeShade="FF"/>
          <w:sz w:val="24"/>
          <w:szCs w:val="24"/>
        </w:rPr>
        <w:t>Smedley</w:t>
      </w:r>
      <w:r w:rsidRPr="69441A9A" w:rsidR="38F57CD9">
        <w:rPr>
          <w:rFonts w:ascii="Arial" w:hAnsi="Arial" w:eastAsia="Arial" w:cs="Arial"/>
          <w:color w:val="000000" w:themeColor="text1" w:themeTint="FF" w:themeShade="FF"/>
          <w:sz w:val="24"/>
          <w:szCs w:val="24"/>
        </w:rPr>
        <w:t xml:space="preserve"> and Coulson,</w:t>
      </w:r>
      <w:r w:rsidRPr="69441A9A" w:rsidR="402EC320">
        <w:rPr>
          <w:rFonts w:ascii="Arial" w:hAnsi="Arial" w:eastAsia="Arial" w:cs="Arial"/>
          <w:color w:val="000000" w:themeColor="text1" w:themeTint="FF" w:themeShade="FF"/>
          <w:sz w:val="24"/>
          <w:szCs w:val="24"/>
        </w:rPr>
        <w:t xml:space="preserve"> 2019).</w:t>
      </w:r>
    </w:p>
    <w:p w:rsidRPr="00364396" w:rsidR="009C5C14" w:rsidP="69441A9A" w:rsidRDefault="009C5C14" w14:paraId="20386AE4" w14:textId="77777777">
      <w:pPr>
        <w:spacing w:before="240"/>
        <w:jc w:val="both"/>
        <w:rPr>
          <w:rFonts w:ascii="Arial" w:hAnsi="Arial" w:eastAsia="Arial" w:cs="Arial"/>
          <w:sz w:val="24"/>
          <w:szCs w:val="24"/>
        </w:rPr>
      </w:pPr>
    </w:p>
    <w:p w:rsidR="00364396" w:rsidP="69441A9A" w:rsidRDefault="00364396" w14:paraId="78F084CB" w14:textId="373E963A">
      <w:pPr>
        <w:spacing w:before="240"/>
        <w:jc w:val="both"/>
        <w:rPr>
          <w:rFonts w:ascii="Arial" w:hAnsi="Arial" w:eastAsia="Arial" w:cs="Arial"/>
          <w:color w:val="000000" w:themeColor="text1"/>
          <w:sz w:val="24"/>
          <w:szCs w:val="24"/>
        </w:rPr>
      </w:pPr>
      <w:r w:rsidRPr="69441A9A" w:rsidR="00364396">
        <w:rPr>
          <w:rFonts w:ascii="Arial" w:hAnsi="Arial" w:eastAsia="Arial" w:cs="Arial"/>
          <w:color w:val="000000" w:themeColor="text1" w:themeTint="FF" w:themeShade="FF"/>
          <w:sz w:val="24"/>
          <w:szCs w:val="24"/>
        </w:rPr>
        <w:t>Furthermore, a consistent finding across the literature is that pre-test psychological functioning is one of the strongest predictors of post-test adjustment (</w:t>
      </w:r>
      <w:r w:rsidRPr="69441A9A" w:rsidR="00364396">
        <w:rPr>
          <w:rFonts w:ascii="Arial" w:hAnsi="Arial" w:eastAsia="Arial" w:cs="Arial"/>
          <w:color w:val="000000" w:themeColor="text1" w:themeTint="FF" w:themeShade="FF"/>
          <w:sz w:val="24"/>
          <w:szCs w:val="24"/>
        </w:rPr>
        <w:t>Decruyenaere</w:t>
      </w:r>
      <w:r w:rsidRPr="69441A9A" w:rsidR="00364396">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1999). Therefore, predictive testing should not be understood as the sole origin of psychological distress; rather, it functions as a catalyst that intensifies existing vulnerabilities, coping patterns, and relational dynamics (Macleod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xml:space="preserve">., 2013). This has important clinical implications, suggesting that psychological outcomes are shaped not only by genetic status, but also by the broader emotional, familial, and sociocultural contexts in which testing occurs (Ballard </w:t>
      </w:r>
      <w:r w:rsidRPr="69441A9A" w:rsidR="005120BC">
        <w:rPr>
          <w:rFonts w:ascii="Arial" w:hAnsi="Arial" w:eastAsia="Arial" w:cs="Arial"/>
          <w:i w:val="1"/>
          <w:iCs w:val="1"/>
          <w:color w:val="000000" w:themeColor="text1" w:themeTint="FF" w:themeShade="FF"/>
          <w:sz w:val="24"/>
          <w:szCs w:val="24"/>
        </w:rPr>
        <w:t>et al</w:t>
      </w:r>
      <w:r w:rsidRPr="69441A9A" w:rsidR="00364396">
        <w:rPr>
          <w:rFonts w:ascii="Arial" w:hAnsi="Arial" w:eastAsia="Arial" w:cs="Arial"/>
          <w:color w:val="000000" w:themeColor="text1" w:themeTint="FF" w:themeShade="FF"/>
          <w:sz w:val="24"/>
          <w:szCs w:val="24"/>
        </w:rPr>
        <w:t>., 2024).</w:t>
      </w:r>
    </w:p>
    <w:p w:rsidRPr="00364396" w:rsidR="009C5C14" w:rsidP="69441A9A" w:rsidRDefault="009C5C14" w14:paraId="7BBF7E0D" w14:textId="77777777">
      <w:pPr>
        <w:spacing w:before="240"/>
        <w:jc w:val="both"/>
        <w:rPr>
          <w:rFonts w:ascii="Arial" w:hAnsi="Arial" w:eastAsia="Arial" w:cs="Arial"/>
          <w:sz w:val="24"/>
          <w:szCs w:val="24"/>
        </w:rPr>
      </w:pPr>
    </w:p>
    <w:p w:rsidR="009C5C14" w:rsidP="69441A9A" w:rsidRDefault="00364396" w14:paraId="33A22592" w14:textId="475ED76C">
      <w:pPr>
        <w:spacing w:before="240"/>
        <w:jc w:val="both"/>
        <w:rPr>
          <w:rFonts w:ascii="Arial" w:hAnsi="Arial" w:eastAsia="Arial" w:cs="Arial"/>
          <w:color w:val="000000" w:themeColor="text1"/>
          <w:sz w:val="24"/>
          <w:szCs w:val="24"/>
        </w:rPr>
      </w:pPr>
      <w:r w:rsidRPr="69441A9A" w:rsidR="402EC320">
        <w:rPr>
          <w:rFonts w:ascii="Arial" w:hAnsi="Arial" w:eastAsia="Arial" w:cs="Arial"/>
          <w:color w:val="000000" w:themeColor="text1" w:themeTint="FF" w:themeShade="FF"/>
          <w:sz w:val="24"/>
          <w:szCs w:val="24"/>
        </w:rPr>
        <w:t>Whilst a substantial body of research has explored psychological responses to predictive testing, comparatively less attention has been given to how individuals themselves understand their therapeutic needs following testing, particularly within the UK context. Furthermore, limited research has explored how counselling and psychotherapy practitioners may best support individuals beyond the point of genetic counselling and result disclosure. Overall, the evidence indicates that the central psychological challenge of predictive genetic testing is not simply whether an individual receives a favourable or unfavourable result, but how genetic knowledge is i</w:t>
      </w:r>
      <w:r w:rsidRPr="69441A9A" w:rsidR="402EC320">
        <w:rPr>
          <w:rFonts w:ascii="Arial" w:hAnsi="Arial" w:eastAsia="Arial" w:cs="Arial"/>
          <w:color w:val="000000" w:themeColor="text1" w:themeTint="FF" w:themeShade="FF"/>
          <w:sz w:val="24"/>
          <w:szCs w:val="24"/>
        </w:rPr>
        <w:t>ntegrate</w:t>
      </w:r>
      <w:r w:rsidRPr="69441A9A" w:rsidR="402EC320">
        <w:rPr>
          <w:rFonts w:ascii="Arial" w:hAnsi="Arial" w:eastAsia="Arial" w:cs="Arial"/>
          <w:color w:val="000000" w:themeColor="text1" w:themeTint="FF" w:themeShade="FF"/>
          <w:sz w:val="24"/>
          <w:szCs w:val="24"/>
        </w:rPr>
        <w:t>d into identity, relationships, and future orientation over time (</w:t>
      </w:r>
      <w:r w:rsidRPr="69441A9A" w:rsidR="402EC320">
        <w:rPr>
          <w:rFonts w:ascii="Arial" w:hAnsi="Arial" w:eastAsia="Arial" w:cs="Arial"/>
          <w:color w:val="000000" w:themeColor="text1" w:themeTint="FF" w:themeShade="FF"/>
          <w:sz w:val="24"/>
          <w:szCs w:val="24"/>
        </w:rPr>
        <w:t>Macl</w:t>
      </w:r>
      <w:r w:rsidRPr="69441A9A" w:rsidR="402EC320">
        <w:rPr>
          <w:rFonts w:ascii="Arial" w:hAnsi="Arial" w:eastAsia="Arial" w:cs="Arial"/>
          <w:color w:val="000000" w:themeColor="text1" w:themeTint="FF" w:themeShade="FF"/>
          <w:sz w:val="24"/>
          <w:szCs w:val="24"/>
        </w:rPr>
        <w:t xml:space="preserve">eod </w:t>
      </w:r>
      <w:r w:rsidRPr="69441A9A" w:rsidR="3CC10950">
        <w:rPr>
          <w:rFonts w:ascii="Arial" w:hAnsi="Arial" w:eastAsia="Arial" w:cs="Arial"/>
          <w:i w:val="1"/>
          <w:iCs w:val="1"/>
          <w:color w:val="000000" w:themeColor="text1" w:themeTint="FF" w:themeShade="FF"/>
          <w:sz w:val="24"/>
          <w:szCs w:val="24"/>
        </w:rPr>
        <w:t>et al</w:t>
      </w:r>
      <w:r w:rsidRPr="69441A9A" w:rsidR="402EC320">
        <w:rPr>
          <w:rFonts w:ascii="Arial" w:hAnsi="Arial" w:eastAsia="Arial" w:cs="Arial"/>
          <w:color w:val="000000" w:themeColor="text1" w:themeTint="FF" w:themeShade="FF"/>
          <w:sz w:val="24"/>
          <w:szCs w:val="24"/>
        </w:rPr>
        <w:t>., 201</w:t>
      </w:r>
      <w:r w:rsidRPr="69441A9A" w:rsidR="7168B08C">
        <w:rPr>
          <w:rFonts w:ascii="Arial" w:hAnsi="Arial" w:eastAsia="Arial" w:cs="Arial"/>
          <w:color w:val="000000" w:themeColor="text1" w:themeTint="FF" w:themeShade="FF"/>
          <w:sz w:val="24"/>
          <w:szCs w:val="24"/>
        </w:rPr>
        <w:t>4</w:t>
      </w:r>
      <w:r w:rsidRPr="69441A9A" w:rsidR="402EC320">
        <w:rPr>
          <w:rFonts w:ascii="Arial" w:hAnsi="Arial" w:eastAsia="Arial" w:cs="Arial"/>
          <w:color w:val="000000" w:themeColor="text1" w:themeTint="FF" w:themeShade="FF"/>
          <w:sz w:val="24"/>
          <w:szCs w:val="24"/>
        </w:rPr>
        <w:t>).</w:t>
      </w:r>
    </w:p>
    <w:p w:rsidR="00A67C35" w:rsidP="69441A9A" w:rsidRDefault="00A67C35" w14:paraId="2D7B8616" w14:textId="77777777">
      <w:pPr>
        <w:spacing w:before="240"/>
        <w:jc w:val="both"/>
        <w:rPr>
          <w:rFonts w:ascii="Arial" w:hAnsi="Arial" w:eastAsia="Arial" w:cs="Arial"/>
          <w:color w:val="000000" w:themeColor="text1"/>
          <w:sz w:val="24"/>
          <w:szCs w:val="24"/>
        </w:rPr>
      </w:pPr>
    </w:p>
    <w:p w:rsidR="00364396" w:rsidP="69441A9A" w:rsidRDefault="00A67C35" w14:paraId="3E235FCD" w14:textId="32827703">
      <w:pPr>
        <w:pStyle w:val="Heading2"/>
        <w:rPr>
          <w:rFonts w:ascii="Arial" w:hAnsi="Arial" w:eastAsia="Arial" w:cs="Arial"/>
        </w:rPr>
      </w:pPr>
      <w:r w:rsidRPr="69441A9A" w:rsidR="00A67C35">
        <w:rPr>
          <w:rFonts w:ascii="Arial" w:hAnsi="Arial" w:eastAsia="Arial" w:cs="Arial"/>
        </w:rPr>
        <w:t xml:space="preserve"> </w:t>
      </w:r>
      <w:bookmarkStart w:name="_Toc238028867" w:id="23"/>
      <w:r w:rsidRPr="69441A9A" w:rsidR="00364396">
        <w:rPr>
          <w:rFonts w:ascii="Arial" w:hAnsi="Arial" w:eastAsia="Arial" w:cs="Arial"/>
        </w:rPr>
        <w:t>Implications for Counselling Practice</w:t>
      </w:r>
      <w:bookmarkEnd w:id="23"/>
      <w:r w:rsidRPr="69441A9A" w:rsidR="00364396">
        <w:rPr>
          <w:rFonts w:ascii="Arial" w:hAnsi="Arial" w:eastAsia="Arial" w:cs="Arial"/>
        </w:rPr>
        <w:t xml:space="preserve"> </w:t>
      </w:r>
    </w:p>
    <w:p w:rsidR="00A67C35" w:rsidP="69441A9A" w:rsidRDefault="00A67C35" w14:paraId="353C9A7D" w14:textId="77777777">
      <w:pPr>
        <w:rPr>
          <w:rFonts w:ascii="Arial" w:hAnsi="Arial" w:eastAsia="Arial" w:cs="Arial"/>
        </w:rPr>
      </w:pPr>
    </w:p>
    <w:p w:rsidR="00B732FA" w:rsidP="69441A9A" w:rsidRDefault="00B732FA" w14:paraId="0BC49357" w14:textId="25A4C71C">
      <w:pPr>
        <w:spacing w:before="240"/>
        <w:jc w:val="both"/>
        <w:rPr>
          <w:rFonts w:ascii="Arial" w:hAnsi="Arial" w:eastAsia="Arial" w:cs="Arial"/>
          <w:color w:val="000000" w:themeColor="text1"/>
          <w:sz w:val="24"/>
          <w:szCs w:val="24"/>
        </w:rPr>
      </w:pPr>
      <w:r w:rsidRPr="69441A9A" w:rsidR="00B732FA">
        <w:rPr>
          <w:rFonts w:ascii="Arial" w:hAnsi="Arial" w:eastAsia="Arial" w:cs="Arial"/>
          <w:color w:val="000000" w:themeColor="text1" w:themeTint="FF" w:themeShade="FF"/>
          <w:sz w:val="24"/>
          <w:szCs w:val="24"/>
        </w:rPr>
        <w:t>I</w:t>
      </w:r>
      <w:r w:rsidRPr="69441A9A" w:rsidR="00B732FA">
        <w:rPr>
          <w:rFonts w:ascii="Arial" w:hAnsi="Arial" w:eastAsia="Arial" w:cs="Arial"/>
          <w:color w:val="000000" w:themeColor="text1" w:themeTint="FF" w:themeShade="FF"/>
          <w:sz w:val="24"/>
          <w:szCs w:val="24"/>
        </w:rPr>
        <w:t xml:space="preserve">mportantly, genetic counselling and counselling/psychotherapy fulfil distinct yet complementary functions. Whereas genetic counselling primarily focuses on informed </w:t>
      </w:r>
      <w:r w:rsidRPr="69441A9A" w:rsidR="00B732FA">
        <w:rPr>
          <w:rFonts w:ascii="Arial" w:hAnsi="Arial" w:eastAsia="Arial" w:cs="Arial"/>
          <w:color w:val="000000" w:themeColor="text1" w:themeTint="FF" w:themeShade="FF"/>
          <w:sz w:val="24"/>
          <w:szCs w:val="24"/>
        </w:rPr>
        <w:t xml:space="preserve">decision-making, risk communication, and preparation for testing outcomes, (Shiloh, 1996; Mcallister </w:t>
      </w:r>
      <w:r w:rsidRPr="69441A9A" w:rsidR="005120BC">
        <w:rPr>
          <w:rFonts w:ascii="Arial" w:hAnsi="Arial" w:eastAsia="Arial" w:cs="Arial"/>
          <w:i w:val="1"/>
          <w:iCs w:val="1"/>
          <w:color w:val="000000" w:themeColor="text1" w:themeTint="FF" w:themeShade="FF"/>
          <w:sz w:val="24"/>
          <w:szCs w:val="24"/>
        </w:rPr>
        <w:t>et al</w:t>
      </w:r>
      <w:r w:rsidRPr="69441A9A" w:rsidR="00B732FA">
        <w:rPr>
          <w:rFonts w:ascii="Arial" w:hAnsi="Arial" w:eastAsia="Arial" w:cs="Arial"/>
          <w:color w:val="000000" w:themeColor="text1" w:themeTint="FF" w:themeShade="FF"/>
          <w:sz w:val="24"/>
          <w:szCs w:val="24"/>
        </w:rPr>
        <w:t xml:space="preserve">., 2011) counselling and psychotherapy may provide opportunities for longer-term emotional adjustment, identity reconstruction, grief processing, and exploration of relational and existential concerns (Austin </w:t>
      </w:r>
      <w:r w:rsidRPr="69441A9A" w:rsidR="005120BC">
        <w:rPr>
          <w:rFonts w:ascii="Arial" w:hAnsi="Arial" w:eastAsia="Arial" w:cs="Arial"/>
          <w:i w:val="1"/>
          <w:iCs w:val="1"/>
          <w:color w:val="000000" w:themeColor="text1" w:themeTint="FF" w:themeShade="FF"/>
          <w:sz w:val="24"/>
          <w:szCs w:val="24"/>
        </w:rPr>
        <w:t>et al</w:t>
      </w:r>
      <w:r w:rsidRPr="69441A9A" w:rsidR="00B732FA">
        <w:rPr>
          <w:rFonts w:ascii="Arial" w:hAnsi="Arial" w:eastAsia="Arial" w:cs="Arial"/>
          <w:color w:val="000000" w:themeColor="text1" w:themeTint="FF" w:themeShade="FF"/>
          <w:sz w:val="24"/>
          <w:szCs w:val="24"/>
        </w:rPr>
        <w:t>., 2014).</w:t>
      </w:r>
    </w:p>
    <w:p w:rsidRPr="00364396" w:rsidR="00B732FA" w:rsidP="69441A9A" w:rsidRDefault="00B732FA" w14:paraId="0F551F84" w14:textId="77777777">
      <w:pPr>
        <w:spacing w:before="240"/>
        <w:jc w:val="both"/>
        <w:rPr>
          <w:rFonts w:ascii="Arial" w:hAnsi="Arial" w:eastAsia="Arial" w:cs="Arial"/>
          <w:sz w:val="24"/>
          <w:szCs w:val="24"/>
        </w:rPr>
      </w:pPr>
    </w:p>
    <w:p w:rsidR="00B732FA" w:rsidP="69441A9A" w:rsidRDefault="00B732FA" w14:paraId="4FA6B330" w14:textId="7D999AC3">
      <w:pPr>
        <w:spacing w:before="240"/>
        <w:jc w:val="both"/>
        <w:rPr>
          <w:rFonts w:ascii="Arial" w:hAnsi="Arial" w:eastAsia="Arial" w:cs="Arial"/>
          <w:color w:val="000000" w:themeColor="text1"/>
          <w:sz w:val="24"/>
          <w:szCs w:val="24"/>
        </w:rPr>
      </w:pPr>
      <w:r w:rsidRPr="69441A9A" w:rsidR="00B732FA">
        <w:rPr>
          <w:rFonts w:ascii="Arial" w:hAnsi="Arial" w:eastAsia="Arial" w:cs="Arial"/>
          <w:color w:val="000000" w:themeColor="text1" w:themeTint="FF" w:themeShade="FF"/>
          <w:sz w:val="24"/>
          <w:szCs w:val="24"/>
        </w:rPr>
        <w:t>The complexity and variability of both gene-positive and gene-negative experiences highlight the need for a more nuanced and psychologically informed approach to counselling practice (</w:t>
      </w:r>
      <w:r w:rsidRPr="69441A9A" w:rsidR="00B732FA">
        <w:rPr>
          <w:rFonts w:ascii="Arial" w:hAnsi="Arial" w:eastAsia="Arial" w:cs="Arial"/>
          <w:color w:val="000000" w:themeColor="text1" w:themeTint="FF" w:themeShade="FF"/>
          <w:sz w:val="24"/>
          <w:szCs w:val="24"/>
        </w:rPr>
        <w:t>Zarotti</w:t>
      </w:r>
      <w:r w:rsidRPr="69441A9A" w:rsidR="00B732FA">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B732FA">
        <w:rPr>
          <w:rFonts w:ascii="Arial" w:hAnsi="Arial" w:eastAsia="Arial" w:cs="Arial"/>
          <w:color w:val="000000" w:themeColor="text1" w:themeTint="FF" w:themeShade="FF"/>
          <w:sz w:val="24"/>
          <w:szCs w:val="24"/>
        </w:rPr>
        <w:t xml:space="preserve">., 2020). Existing literature suggests that traditional models of genetic counselling, which are often organised around the testing event itself or the binary outcome of results, may inadequately capture the ongoing and evolving nature of psychological adaptation following predictive testing (Ballard </w:t>
      </w:r>
      <w:r w:rsidRPr="69441A9A" w:rsidR="005120BC">
        <w:rPr>
          <w:rFonts w:ascii="Arial" w:hAnsi="Arial" w:eastAsia="Arial" w:cs="Arial"/>
          <w:i w:val="1"/>
          <w:iCs w:val="1"/>
          <w:color w:val="000000" w:themeColor="text1" w:themeTint="FF" w:themeShade="FF"/>
          <w:sz w:val="24"/>
          <w:szCs w:val="24"/>
        </w:rPr>
        <w:t>et al</w:t>
      </w:r>
      <w:r w:rsidRPr="69441A9A" w:rsidR="00B732FA">
        <w:rPr>
          <w:rFonts w:ascii="Arial" w:hAnsi="Arial" w:eastAsia="Arial" w:cs="Arial"/>
          <w:color w:val="000000" w:themeColor="text1" w:themeTint="FF" w:themeShade="FF"/>
          <w:sz w:val="24"/>
          <w:szCs w:val="24"/>
        </w:rPr>
        <w:t xml:space="preserve">., 2025). Rather than conceptualising counselling as a time-limited intervention centred on decision-making and disclosure, scholars argue for a longitudinal, process-orientated framework that acknowledges adjustment as dynamic, recursive, and deeply embedded within broader personal, relational, and existential contexts (Pierron </w:t>
      </w:r>
      <w:r w:rsidRPr="69441A9A" w:rsidR="005120BC">
        <w:rPr>
          <w:rFonts w:ascii="Arial" w:hAnsi="Arial" w:eastAsia="Arial" w:cs="Arial"/>
          <w:i w:val="1"/>
          <w:iCs w:val="1"/>
          <w:color w:val="000000" w:themeColor="text1" w:themeTint="FF" w:themeShade="FF"/>
          <w:sz w:val="24"/>
          <w:szCs w:val="24"/>
        </w:rPr>
        <w:t>et al</w:t>
      </w:r>
      <w:r w:rsidRPr="69441A9A" w:rsidR="00B732FA">
        <w:rPr>
          <w:rFonts w:ascii="Arial" w:hAnsi="Arial" w:eastAsia="Arial" w:cs="Arial"/>
          <w:color w:val="000000" w:themeColor="text1" w:themeTint="FF" w:themeShade="FF"/>
          <w:sz w:val="24"/>
          <w:szCs w:val="24"/>
        </w:rPr>
        <w:t>., 2021).</w:t>
      </w:r>
    </w:p>
    <w:p w:rsidRPr="00364396" w:rsidR="00B732FA" w:rsidP="69441A9A" w:rsidRDefault="00B732FA" w14:paraId="49352708" w14:textId="77777777">
      <w:pPr>
        <w:spacing w:before="240"/>
        <w:jc w:val="both"/>
        <w:rPr>
          <w:rFonts w:ascii="Arial" w:hAnsi="Arial" w:eastAsia="Arial" w:cs="Arial"/>
          <w:sz w:val="24"/>
          <w:szCs w:val="24"/>
        </w:rPr>
      </w:pPr>
    </w:p>
    <w:p w:rsidR="00B732FA" w:rsidP="69441A9A" w:rsidRDefault="00B732FA" w14:paraId="17273BA5" w14:textId="1F507440">
      <w:pPr>
        <w:spacing w:before="240"/>
        <w:jc w:val="both"/>
        <w:rPr>
          <w:rFonts w:ascii="Arial" w:hAnsi="Arial" w:eastAsia="Arial" w:cs="Arial"/>
          <w:color w:val="000000" w:themeColor="text1"/>
          <w:sz w:val="24"/>
          <w:szCs w:val="24"/>
        </w:rPr>
      </w:pPr>
      <w:r w:rsidRPr="69441A9A" w:rsidR="42E6C2BC">
        <w:rPr>
          <w:rFonts w:ascii="Arial" w:hAnsi="Arial" w:eastAsia="Arial" w:cs="Arial"/>
          <w:color w:val="000000" w:themeColor="text1" w:themeTint="FF" w:themeShade="FF"/>
          <w:sz w:val="24"/>
          <w:szCs w:val="24"/>
        </w:rPr>
        <w:t>Furthermore, the literature increasingly emphasises the importance of addressing processes of identity reconstruction and meaning making within counselling interventions (</w:t>
      </w:r>
      <w:r w:rsidRPr="69441A9A" w:rsidR="42E6C2BC">
        <w:rPr>
          <w:rFonts w:ascii="Arial" w:hAnsi="Arial" w:eastAsia="Arial" w:cs="Arial"/>
          <w:color w:val="000000" w:themeColor="text1" w:themeTint="FF" w:themeShade="FF"/>
          <w:sz w:val="24"/>
          <w:szCs w:val="24"/>
        </w:rPr>
        <w:t>Stopfo</w:t>
      </w:r>
      <w:r w:rsidRPr="69441A9A" w:rsidR="42E6C2BC">
        <w:rPr>
          <w:rFonts w:ascii="Arial" w:hAnsi="Arial" w:eastAsia="Arial" w:cs="Arial"/>
          <w:color w:val="000000" w:themeColor="text1" w:themeTint="FF" w:themeShade="FF"/>
          <w:sz w:val="24"/>
          <w:szCs w:val="24"/>
        </w:rPr>
        <w:t>rd</w:t>
      </w:r>
      <w:r w:rsidRPr="69441A9A" w:rsidR="42E6C2BC">
        <w:rPr>
          <w:rFonts w:ascii="Arial" w:hAnsi="Arial" w:eastAsia="Arial" w:cs="Arial"/>
          <w:color w:val="000000" w:themeColor="text1" w:themeTint="FF" w:themeShade="FF"/>
          <w:sz w:val="24"/>
          <w:szCs w:val="24"/>
        </w:rPr>
        <w:t xml:space="preserve"> </w:t>
      </w:r>
      <w:r w:rsidRPr="69441A9A" w:rsidR="42E41995">
        <w:rPr>
          <w:rFonts w:ascii="Arial" w:hAnsi="Arial" w:eastAsia="Arial" w:cs="Arial"/>
          <w:i w:val="1"/>
          <w:iCs w:val="1"/>
          <w:color w:val="000000" w:themeColor="text1" w:themeTint="FF" w:themeShade="FF"/>
          <w:sz w:val="24"/>
          <w:szCs w:val="24"/>
        </w:rPr>
        <w:t>et al</w:t>
      </w:r>
      <w:r w:rsidRPr="69441A9A" w:rsidR="42E6C2BC">
        <w:rPr>
          <w:rFonts w:ascii="Arial" w:hAnsi="Arial" w:eastAsia="Arial" w:cs="Arial"/>
          <w:color w:val="000000" w:themeColor="text1" w:themeTint="FF" w:themeShade="FF"/>
          <w:sz w:val="24"/>
          <w:szCs w:val="24"/>
        </w:rPr>
        <w:t>., 20</w:t>
      </w:r>
      <w:r w:rsidRPr="69441A9A" w:rsidR="2F0B2276">
        <w:rPr>
          <w:rFonts w:ascii="Arial" w:hAnsi="Arial" w:eastAsia="Arial" w:cs="Arial"/>
          <w:color w:val="000000" w:themeColor="text1" w:themeTint="FF" w:themeShade="FF"/>
          <w:sz w:val="24"/>
          <w:szCs w:val="24"/>
        </w:rPr>
        <w:t>19</w:t>
      </w:r>
      <w:r w:rsidRPr="69441A9A" w:rsidR="42E6C2BC">
        <w:rPr>
          <w:rFonts w:ascii="Arial" w:hAnsi="Arial" w:eastAsia="Arial" w:cs="Arial"/>
          <w:color w:val="000000" w:themeColor="text1" w:themeTint="FF" w:themeShade="FF"/>
          <w:sz w:val="24"/>
          <w:szCs w:val="24"/>
        </w:rPr>
        <w:t xml:space="preserve">). Counsellors therefore need to be equipped to engage therapeutically with existential concerns, uncertainty, loss, and changing relational dynamics, rather than focusing exclusively on psychoeducation or risk communication (Goldman, 2020). However, the literature </w:t>
      </w:r>
      <w:r w:rsidRPr="69441A9A" w:rsidR="42E6C2BC">
        <w:rPr>
          <w:rFonts w:ascii="Arial" w:hAnsi="Arial" w:eastAsia="Arial" w:cs="Arial"/>
          <w:color w:val="000000" w:themeColor="text1" w:themeTint="FF" w:themeShade="FF"/>
          <w:sz w:val="24"/>
          <w:szCs w:val="24"/>
        </w:rPr>
        <w:t>remains</w:t>
      </w:r>
      <w:r w:rsidRPr="69441A9A" w:rsidR="42E6C2BC">
        <w:rPr>
          <w:rFonts w:ascii="Arial" w:hAnsi="Arial" w:eastAsia="Arial" w:cs="Arial"/>
          <w:color w:val="000000" w:themeColor="text1" w:themeTint="FF" w:themeShade="FF"/>
          <w:sz w:val="24"/>
          <w:szCs w:val="24"/>
        </w:rPr>
        <w:t xml:space="preserve"> unclear </w:t>
      </w:r>
      <w:r w:rsidRPr="69441A9A" w:rsidR="42E6C2BC">
        <w:rPr>
          <w:rFonts w:ascii="Arial" w:hAnsi="Arial" w:eastAsia="Arial" w:cs="Arial"/>
          <w:color w:val="000000" w:themeColor="text1" w:themeTint="FF" w:themeShade="FF"/>
          <w:sz w:val="24"/>
          <w:szCs w:val="24"/>
        </w:rPr>
        <w:t>regarding</w:t>
      </w:r>
      <w:r w:rsidRPr="69441A9A" w:rsidR="42E6C2BC">
        <w:rPr>
          <w:rFonts w:ascii="Arial" w:hAnsi="Arial" w:eastAsia="Arial" w:cs="Arial"/>
          <w:color w:val="000000" w:themeColor="text1" w:themeTint="FF" w:themeShade="FF"/>
          <w:sz w:val="24"/>
          <w:szCs w:val="24"/>
        </w:rPr>
        <w:t xml:space="preserve"> the extent to which effective therapeutic support depends upon specialist knowledge of HD and predictive genetics, as opposed to the provision of core therapeutic conditions such as empathy, acceptance, authenticity, and a strong therapeutic alliance (Stubbe, 2018).</w:t>
      </w:r>
    </w:p>
    <w:p w:rsidRPr="00364396" w:rsidR="00B732FA" w:rsidP="69441A9A" w:rsidRDefault="00B732FA" w14:paraId="5727E555" w14:textId="77777777">
      <w:pPr>
        <w:spacing w:before="240"/>
        <w:jc w:val="both"/>
        <w:rPr>
          <w:rFonts w:ascii="Arial" w:hAnsi="Arial" w:eastAsia="Arial" w:cs="Arial"/>
          <w:sz w:val="24"/>
          <w:szCs w:val="24"/>
        </w:rPr>
      </w:pPr>
    </w:p>
    <w:p w:rsidRPr="00364396" w:rsidR="00B732FA" w:rsidP="69441A9A" w:rsidRDefault="00B732FA" w14:paraId="3095D728" w14:textId="3911D058">
      <w:pPr>
        <w:spacing w:before="240"/>
        <w:jc w:val="both"/>
        <w:rPr>
          <w:rFonts w:ascii="Arial" w:hAnsi="Arial" w:eastAsia="Arial" w:cs="Arial"/>
          <w:sz w:val="24"/>
          <w:szCs w:val="24"/>
        </w:rPr>
      </w:pPr>
      <w:r w:rsidRPr="69441A9A" w:rsidR="00B732FA">
        <w:rPr>
          <w:rFonts w:ascii="Arial" w:hAnsi="Arial" w:eastAsia="Arial" w:cs="Arial"/>
          <w:color w:val="000000" w:themeColor="text1" w:themeTint="FF" w:themeShade="FF"/>
          <w:sz w:val="24"/>
          <w:szCs w:val="24"/>
        </w:rPr>
        <w:t>Such integrative approaches arguably provide a more holistic and ethically responsive framework for supporting individuals navigating the multifaceted psychological implications of predictive genetic testing (</w:t>
      </w:r>
      <w:r w:rsidRPr="69441A9A" w:rsidR="00B732FA">
        <w:rPr>
          <w:rFonts w:ascii="Arial" w:hAnsi="Arial" w:eastAsia="Arial" w:cs="Arial"/>
          <w:color w:val="000000" w:themeColor="text1" w:themeTint="FF" w:themeShade="FF"/>
          <w:sz w:val="24"/>
          <w:szCs w:val="24"/>
        </w:rPr>
        <w:t>Banaszkiewicz</w:t>
      </w:r>
      <w:r w:rsidRPr="69441A9A" w:rsidR="00B732FA">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B732FA">
        <w:rPr>
          <w:rFonts w:ascii="Arial" w:hAnsi="Arial" w:eastAsia="Arial" w:cs="Arial"/>
          <w:color w:val="000000" w:themeColor="text1" w:themeTint="FF" w:themeShade="FF"/>
          <w:sz w:val="24"/>
          <w:szCs w:val="24"/>
        </w:rPr>
        <w:t>., 2012). Overall, the literature suggests that counselling practice should move beyond predominantly informational and decision-focused models towards approaches that recognise predictive genetic testing as an ongoing psychosocial process rather than a singular medical event. This shift has significant implications for counsellor training, service provision, and long-term psychological support pathways within genetic healthcare settings (</w:t>
      </w:r>
      <w:r w:rsidRPr="69441A9A" w:rsidR="00B732FA">
        <w:rPr>
          <w:rFonts w:ascii="Arial" w:hAnsi="Arial" w:eastAsia="Arial" w:cs="Arial"/>
          <w:color w:val="000000" w:themeColor="text1" w:themeTint="FF" w:themeShade="FF"/>
          <w:sz w:val="24"/>
          <w:szCs w:val="24"/>
        </w:rPr>
        <w:t>Theed</w:t>
      </w:r>
      <w:r w:rsidRPr="69441A9A" w:rsidR="00B732FA">
        <w:rPr>
          <w:rFonts w:ascii="Arial" w:hAnsi="Arial" w:eastAsia="Arial" w:cs="Arial"/>
          <w:color w:val="000000" w:themeColor="text1" w:themeTint="FF" w:themeShade="FF"/>
          <w:sz w:val="24"/>
          <w:szCs w:val="24"/>
        </w:rPr>
        <w:t xml:space="preserve"> </w:t>
      </w:r>
      <w:r w:rsidRPr="69441A9A" w:rsidR="005120BC">
        <w:rPr>
          <w:rFonts w:ascii="Arial" w:hAnsi="Arial" w:eastAsia="Arial" w:cs="Arial"/>
          <w:i w:val="1"/>
          <w:iCs w:val="1"/>
          <w:color w:val="000000" w:themeColor="text1" w:themeTint="FF" w:themeShade="FF"/>
          <w:sz w:val="24"/>
          <w:szCs w:val="24"/>
        </w:rPr>
        <w:t>et al</w:t>
      </w:r>
      <w:r w:rsidRPr="69441A9A" w:rsidR="00B732FA">
        <w:rPr>
          <w:rFonts w:ascii="Arial" w:hAnsi="Arial" w:eastAsia="Arial" w:cs="Arial"/>
          <w:color w:val="000000" w:themeColor="text1" w:themeTint="FF" w:themeShade="FF"/>
          <w:sz w:val="24"/>
          <w:szCs w:val="24"/>
        </w:rPr>
        <w:t>., 2018).</w:t>
      </w:r>
    </w:p>
    <w:p w:rsidRPr="00A67C35" w:rsidR="00A67C35" w:rsidP="69441A9A" w:rsidRDefault="00B732FA" w14:paraId="11CCE3C7" w14:textId="20CE6261">
      <w:pPr>
        <w:rPr>
          <w:rFonts w:ascii="Arial" w:hAnsi="Arial" w:eastAsia="Arial" w:cs="Arial"/>
        </w:rPr>
      </w:pPr>
      <w:r>
        <w:br/>
      </w:r>
    </w:p>
    <w:p w:rsidRPr="00A67C35" w:rsidR="00A67C35" w:rsidP="69441A9A" w:rsidRDefault="00B732FA" w14:paraId="6FF88F30" w14:textId="5DAB47FE">
      <w:pPr>
        <w:pStyle w:val="Heading2"/>
        <w:rPr>
          <w:rFonts w:ascii="Arial" w:hAnsi="Arial" w:eastAsia="Arial" w:cs="Arial"/>
        </w:rPr>
      </w:pPr>
      <w:r w:rsidRPr="69441A9A" w:rsidR="00B732FA">
        <w:rPr>
          <w:rFonts w:ascii="Arial" w:hAnsi="Arial" w:eastAsia="Arial" w:cs="Arial"/>
        </w:rPr>
        <w:t xml:space="preserve"> </w:t>
      </w:r>
      <w:bookmarkStart w:name="_Toc238028868" w:id="24"/>
      <w:r w:rsidRPr="69441A9A" w:rsidR="00A67C35">
        <w:rPr>
          <w:rFonts w:ascii="Arial" w:hAnsi="Arial" w:eastAsia="Arial" w:cs="Arial"/>
        </w:rPr>
        <w:t>Conclusion</w:t>
      </w:r>
      <w:bookmarkEnd w:id="24"/>
      <w:r w:rsidRPr="69441A9A" w:rsidR="00A67C35">
        <w:rPr>
          <w:rFonts w:ascii="Arial" w:hAnsi="Arial" w:eastAsia="Arial" w:cs="Arial"/>
        </w:rPr>
        <w:t xml:space="preserve"> </w:t>
      </w:r>
    </w:p>
    <w:p w:rsidRPr="00B732FA" w:rsidR="00364396" w:rsidP="69441A9A" w:rsidRDefault="00364396" w14:paraId="3E908E87" w14:textId="43610EE8">
      <w:pPr>
        <w:pStyle w:val="Normal"/>
        <w:jc w:val="both"/>
        <w:rPr>
          <w:rFonts w:ascii="Arial" w:hAnsi="Arial" w:eastAsia="Arial" w:cs="Arial"/>
          <w:sz w:val="24"/>
          <w:szCs w:val="24"/>
        </w:rPr>
      </w:pPr>
      <w:r>
        <w:br/>
      </w:r>
      <w:r w:rsidRPr="69441A9A" w:rsidR="16B396BB">
        <w:rPr>
          <w:rFonts w:ascii="Arial" w:hAnsi="Arial" w:eastAsia="Arial" w:cs="Arial"/>
          <w:sz w:val="24"/>
          <w:szCs w:val="24"/>
        </w:rPr>
        <w:t>Predictive testing for HD carries psychological consequences that cannot be understood solely through the binary distinction of gene-positive or gene-negative outcomes (</w:t>
      </w:r>
      <w:r w:rsidRPr="69441A9A" w:rsidR="16B396BB">
        <w:rPr>
          <w:rFonts w:ascii="Arial" w:hAnsi="Arial" w:eastAsia="Arial" w:cs="Arial"/>
          <w:sz w:val="24"/>
          <w:szCs w:val="24"/>
        </w:rPr>
        <w:t>Tiller</w:t>
      </w:r>
      <w:r w:rsidRPr="69441A9A" w:rsidR="4036B455">
        <w:rPr>
          <w:rFonts w:ascii="Arial" w:hAnsi="Arial" w:eastAsia="Arial" w:cs="Arial"/>
          <w:noProof w:val="0"/>
          <w:color w:val="000000" w:themeColor="text1" w:themeTint="FF" w:themeShade="FF"/>
          <w:sz w:val="24"/>
          <w:szCs w:val="24"/>
          <w:lang w:val="en-GB"/>
        </w:rPr>
        <w:t>å</w:t>
      </w:r>
      <w:r w:rsidRPr="69441A9A" w:rsidR="16B396BB">
        <w:rPr>
          <w:rFonts w:ascii="Arial" w:hAnsi="Arial" w:eastAsia="Arial" w:cs="Arial"/>
          <w:sz w:val="24"/>
          <w:szCs w:val="24"/>
        </w:rPr>
        <w:t>s</w:t>
      </w:r>
      <w:r w:rsidRPr="69441A9A" w:rsidR="16B396BB">
        <w:rPr>
          <w:rFonts w:ascii="Arial" w:hAnsi="Arial" w:eastAsia="Arial" w:cs="Arial"/>
          <w:sz w:val="24"/>
          <w:szCs w:val="24"/>
        </w:rPr>
        <w:t xml:space="preserve"> </w:t>
      </w:r>
      <w:r w:rsidRPr="69441A9A" w:rsidR="42E41995">
        <w:rPr>
          <w:rFonts w:ascii="Arial" w:hAnsi="Arial" w:eastAsia="Arial" w:cs="Arial"/>
          <w:i w:val="1"/>
          <w:iCs w:val="1"/>
          <w:sz w:val="24"/>
          <w:szCs w:val="24"/>
        </w:rPr>
        <w:t>et al</w:t>
      </w:r>
      <w:r w:rsidRPr="69441A9A" w:rsidR="16B396BB">
        <w:rPr>
          <w:rFonts w:ascii="Arial" w:hAnsi="Arial" w:eastAsia="Arial" w:cs="Arial"/>
          <w:sz w:val="24"/>
          <w:szCs w:val="24"/>
        </w:rPr>
        <w:t>., 2020). Rather, its impact lies in the profound and often enduring processes through which individuals renegotiate their sense of identity, temporality, embodiment, and interpersonal relationships (</w:t>
      </w:r>
      <w:r w:rsidRPr="69441A9A" w:rsidR="16B396BB">
        <w:rPr>
          <w:rFonts w:ascii="Arial" w:hAnsi="Arial" w:eastAsia="Arial" w:cs="Arial"/>
          <w:sz w:val="24"/>
          <w:szCs w:val="24"/>
        </w:rPr>
        <w:t>Lindo</w:t>
      </w:r>
      <w:r w:rsidRPr="69441A9A" w:rsidR="16B396BB">
        <w:rPr>
          <w:rFonts w:ascii="Arial" w:hAnsi="Arial" w:eastAsia="Arial" w:cs="Arial"/>
          <w:sz w:val="24"/>
          <w:szCs w:val="24"/>
        </w:rPr>
        <w:t xml:space="preserve"> </w:t>
      </w:r>
      <w:r w:rsidRPr="69441A9A" w:rsidR="42E41995">
        <w:rPr>
          <w:rFonts w:ascii="Arial" w:hAnsi="Arial" w:eastAsia="Arial" w:cs="Arial"/>
          <w:i w:val="1"/>
          <w:iCs w:val="1"/>
          <w:sz w:val="24"/>
          <w:szCs w:val="24"/>
        </w:rPr>
        <w:t>et al</w:t>
      </w:r>
      <w:r w:rsidRPr="69441A9A" w:rsidR="16B396BB">
        <w:rPr>
          <w:rFonts w:ascii="Arial" w:hAnsi="Arial" w:eastAsia="Arial" w:cs="Arial"/>
          <w:sz w:val="24"/>
          <w:szCs w:val="24"/>
        </w:rPr>
        <w:t>., 202</w:t>
      </w:r>
      <w:r w:rsidRPr="69441A9A" w:rsidR="5EE24064">
        <w:rPr>
          <w:rFonts w:ascii="Arial" w:hAnsi="Arial" w:eastAsia="Arial" w:cs="Arial"/>
          <w:sz w:val="24"/>
          <w:szCs w:val="24"/>
        </w:rPr>
        <w:t>6</w:t>
      </w:r>
      <w:r w:rsidRPr="69441A9A" w:rsidR="16B396BB">
        <w:rPr>
          <w:rFonts w:ascii="Arial" w:hAnsi="Arial" w:eastAsia="Arial" w:cs="Arial"/>
          <w:sz w:val="24"/>
          <w:szCs w:val="24"/>
        </w:rPr>
        <w:t xml:space="preserve">). Both outcomes can generate complex forms of emotional adjustment, uncertainty, and existential reorientation that extend far beyond the moment of result disclosure (Crozier </w:t>
      </w:r>
      <w:r w:rsidRPr="69441A9A" w:rsidR="42E41995">
        <w:rPr>
          <w:rFonts w:ascii="Arial" w:hAnsi="Arial" w:eastAsia="Arial" w:cs="Arial"/>
          <w:i w:val="1"/>
          <w:iCs w:val="1"/>
          <w:sz w:val="24"/>
          <w:szCs w:val="24"/>
        </w:rPr>
        <w:t>et al</w:t>
      </w:r>
      <w:r w:rsidRPr="69441A9A" w:rsidR="16B396BB">
        <w:rPr>
          <w:rFonts w:ascii="Arial" w:hAnsi="Arial" w:eastAsia="Arial" w:cs="Arial"/>
          <w:sz w:val="24"/>
          <w:szCs w:val="24"/>
        </w:rPr>
        <w:t>., 2015).</w:t>
      </w:r>
    </w:p>
    <w:p w:rsidRPr="00B732FA" w:rsidR="008F4467" w:rsidP="69441A9A" w:rsidRDefault="008F4467" w14:paraId="538BDD8D" w14:textId="77777777">
      <w:pPr>
        <w:pStyle w:val="NormalWeb"/>
        <w:spacing w:before="240" w:beforeAutospacing="off" w:after="240" w:afterAutospacing="off" w:line="480" w:lineRule="auto"/>
        <w:jc w:val="both"/>
        <w:rPr>
          <w:rFonts w:ascii="Arial" w:hAnsi="Arial" w:eastAsia="Arial" w:cs="Arial"/>
        </w:rPr>
      </w:pPr>
    </w:p>
    <w:p w:rsidRPr="00B732FA" w:rsidR="00364396" w:rsidP="69441A9A" w:rsidRDefault="00364396" w14:paraId="4AB89993" w14:textId="6F71E584">
      <w:pPr>
        <w:spacing w:before="240"/>
        <w:jc w:val="both"/>
        <w:rPr>
          <w:rFonts w:ascii="Arial" w:hAnsi="Arial" w:eastAsia="Arial" w:cs="Arial"/>
          <w:sz w:val="24"/>
          <w:szCs w:val="24"/>
        </w:rPr>
      </w:pPr>
      <w:r w:rsidRPr="69441A9A" w:rsidR="16B396BB">
        <w:rPr>
          <w:rFonts w:ascii="Arial" w:hAnsi="Arial" w:eastAsia="Arial" w:cs="Arial"/>
          <w:color w:val="000000" w:themeColor="text1" w:themeTint="FF" w:themeShade="FF"/>
          <w:sz w:val="24"/>
          <w:szCs w:val="24"/>
        </w:rPr>
        <w:t xml:space="preserve">Recognising this complexity challenges reductive biomedical frameworks and underscores the importance of counselling practices that are longitudinal, relational, and psychologically nuanced (Hedtke, 2014). Although genetic counselling </w:t>
      </w:r>
      <w:r w:rsidRPr="69441A9A" w:rsidR="16B396BB">
        <w:rPr>
          <w:rFonts w:ascii="Arial" w:hAnsi="Arial" w:eastAsia="Arial" w:cs="Arial"/>
          <w:color w:val="000000" w:themeColor="text1" w:themeTint="FF" w:themeShade="FF"/>
          <w:sz w:val="24"/>
          <w:szCs w:val="24"/>
        </w:rPr>
        <w:t>remains</w:t>
      </w:r>
      <w:r w:rsidRPr="69441A9A" w:rsidR="16B396BB">
        <w:rPr>
          <w:rFonts w:ascii="Arial" w:hAnsi="Arial" w:eastAsia="Arial" w:cs="Arial"/>
          <w:color w:val="000000" w:themeColor="text1" w:themeTint="FF" w:themeShade="FF"/>
          <w:sz w:val="24"/>
          <w:szCs w:val="24"/>
        </w:rPr>
        <w:t xml:space="preserve"> a vital </w:t>
      </w:r>
      <w:r w:rsidRPr="69441A9A" w:rsidR="16B396BB">
        <w:rPr>
          <w:rFonts w:ascii="Arial" w:hAnsi="Arial" w:eastAsia="Arial" w:cs="Arial"/>
          <w:color w:val="000000" w:themeColor="text1" w:themeTint="FF" w:themeShade="FF"/>
          <w:sz w:val="24"/>
          <w:szCs w:val="24"/>
        </w:rPr>
        <w:t>component</w:t>
      </w:r>
      <w:r w:rsidRPr="69441A9A" w:rsidR="16B396BB">
        <w:rPr>
          <w:rFonts w:ascii="Arial" w:hAnsi="Arial" w:eastAsia="Arial" w:cs="Arial"/>
          <w:color w:val="000000" w:themeColor="text1" w:themeTint="FF" w:themeShade="FF"/>
          <w:sz w:val="24"/>
          <w:szCs w:val="24"/>
        </w:rPr>
        <w:t xml:space="preserve"> of </w:t>
      </w:r>
      <w:r w:rsidRPr="69441A9A" w:rsidR="16B396BB">
        <w:rPr>
          <w:rFonts w:ascii="Arial" w:hAnsi="Arial" w:eastAsia="Arial" w:cs="Arial"/>
          <w:color w:val="000000" w:themeColor="text1" w:themeTint="FF" w:themeShade="FF"/>
          <w:sz w:val="24"/>
          <w:szCs w:val="24"/>
        </w:rPr>
        <w:t>predictive testing pathways, many psychological challenges associated with HD extend beyond decision-making and result disclosure (</w:t>
      </w:r>
      <w:r w:rsidRPr="69441A9A" w:rsidR="16B396BB">
        <w:rPr>
          <w:rFonts w:ascii="Arial" w:hAnsi="Arial" w:eastAsia="Arial" w:cs="Arial"/>
          <w:color w:val="000000" w:themeColor="text1" w:themeTint="FF" w:themeShade="FF"/>
          <w:sz w:val="24"/>
          <w:szCs w:val="24"/>
        </w:rPr>
        <w:t>Dimond</w:t>
      </w:r>
      <w:r w:rsidRPr="69441A9A" w:rsidR="0D5B9473">
        <w:rPr>
          <w:rFonts w:ascii="Arial" w:hAnsi="Arial" w:eastAsia="Arial" w:cs="Arial"/>
          <w:color w:val="000000" w:themeColor="text1" w:themeTint="FF" w:themeShade="FF"/>
          <w:sz w:val="24"/>
          <w:szCs w:val="24"/>
        </w:rPr>
        <w:t xml:space="preserve"> </w:t>
      </w:r>
      <w:r w:rsidRPr="69441A9A" w:rsidR="42E41995">
        <w:rPr>
          <w:rFonts w:ascii="Arial" w:hAnsi="Arial" w:eastAsia="Arial" w:cs="Arial"/>
          <w:i w:val="1"/>
          <w:iCs w:val="1"/>
          <w:color w:val="000000" w:themeColor="text1" w:themeTint="FF" w:themeShade="FF"/>
          <w:sz w:val="24"/>
          <w:szCs w:val="24"/>
        </w:rPr>
        <w:t>et</w:t>
      </w:r>
      <w:r w:rsidRPr="69441A9A" w:rsidR="0356E9F6">
        <w:rPr>
          <w:rFonts w:ascii="Arial" w:hAnsi="Arial" w:eastAsia="Arial" w:cs="Arial"/>
          <w:i w:val="1"/>
          <w:iCs w:val="1"/>
          <w:color w:val="000000" w:themeColor="text1" w:themeTint="FF" w:themeShade="FF"/>
          <w:sz w:val="24"/>
          <w:szCs w:val="24"/>
        </w:rPr>
        <w:t xml:space="preserve"> </w:t>
      </w:r>
      <w:r w:rsidRPr="69441A9A" w:rsidR="42E41995">
        <w:rPr>
          <w:rFonts w:ascii="Arial" w:hAnsi="Arial" w:eastAsia="Arial" w:cs="Arial"/>
          <w:i w:val="1"/>
          <w:iCs w:val="1"/>
          <w:color w:val="000000" w:themeColor="text1" w:themeTint="FF" w:themeShade="FF"/>
          <w:sz w:val="24"/>
          <w:szCs w:val="24"/>
        </w:rPr>
        <w:t>al</w:t>
      </w:r>
      <w:r w:rsidRPr="69441A9A" w:rsidR="16B396BB">
        <w:rPr>
          <w:rFonts w:ascii="Arial" w:hAnsi="Arial" w:eastAsia="Arial" w:cs="Arial"/>
          <w:color w:val="000000" w:themeColor="text1" w:themeTint="FF" w:themeShade="FF"/>
          <w:sz w:val="24"/>
          <w:szCs w:val="24"/>
        </w:rPr>
        <w:t>.,202</w:t>
      </w:r>
      <w:r w:rsidRPr="69441A9A" w:rsidR="0DBEA557">
        <w:rPr>
          <w:rFonts w:ascii="Arial" w:hAnsi="Arial" w:eastAsia="Arial" w:cs="Arial"/>
          <w:color w:val="000000" w:themeColor="text1" w:themeTint="FF" w:themeShade="FF"/>
          <w:sz w:val="24"/>
          <w:szCs w:val="24"/>
        </w:rPr>
        <w:t>2</w:t>
      </w:r>
      <w:r w:rsidRPr="69441A9A" w:rsidR="16B396BB">
        <w:rPr>
          <w:rFonts w:ascii="Arial" w:hAnsi="Arial" w:eastAsia="Arial" w:cs="Arial"/>
          <w:color w:val="000000" w:themeColor="text1" w:themeTint="FF" w:themeShade="FF"/>
          <w:sz w:val="24"/>
          <w:szCs w:val="24"/>
        </w:rPr>
        <w:t xml:space="preserve">f). Greater understanding is therefore needed </w:t>
      </w:r>
      <w:r w:rsidRPr="69441A9A" w:rsidR="16B396BB">
        <w:rPr>
          <w:rFonts w:ascii="Arial" w:hAnsi="Arial" w:eastAsia="Arial" w:cs="Arial"/>
          <w:color w:val="000000" w:themeColor="text1" w:themeTint="FF" w:themeShade="FF"/>
          <w:sz w:val="24"/>
          <w:szCs w:val="24"/>
        </w:rPr>
        <w:t>regarding</w:t>
      </w:r>
      <w:r w:rsidRPr="69441A9A" w:rsidR="16B396BB">
        <w:rPr>
          <w:rFonts w:ascii="Arial" w:hAnsi="Arial" w:eastAsia="Arial" w:cs="Arial"/>
          <w:color w:val="000000" w:themeColor="text1" w:themeTint="FF" w:themeShade="FF"/>
          <w:sz w:val="24"/>
          <w:szCs w:val="24"/>
        </w:rPr>
        <w:t xml:space="preserve"> how individuals experience their therapeutic needs following testing and how counselling professionals may best support ongoing psychological adjustment. Furthermore, the existing literature </w:t>
      </w:r>
      <w:r w:rsidRPr="69441A9A" w:rsidR="16B396BB">
        <w:rPr>
          <w:rFonts w:ascii="Arial" w:hAnsi="Arial" w:eastAsia="Arial" w:cs="Arial"/>
          <w:color w:val="000000" w:themeColor="text1" w:themeTint="FF" w:themeShade="FF"/>
          <w:sz w:val="24"/>
          <w:szCs w:val="24"/>
        </w:rPr>
        <w:t>provides</w:t>
      </w:r>
      <w:r w:rsidRPr="69441A9A" w:rsidR="16B396BB">
        <w:rPr>
          <w:rFonts w:ascii="Arial" w:hAnsi="Arial" w:eastAsia="Arial" w:cs="Arial"/>
          <w:color w:val="000000" w:themeColor="text1" w:themeTint="FF" w:themeShade="FF"/>
          <w:sz w:val="24"/>
          <w:szCs w:val="24"/>
        </w:rPr>
        <w:t xml:space="preserve"> limited insight into whether individuals </w:t>
      </w:r>
      <w:r w:rsidRPr="69441A9A" w:rsidR="16B396BB">
        <w:rPr>
          <w:rFonts w:ascii="Arial" w:hAnsi="Arial" w:eastAsia="Arial" w:cs="Arial"/>
          <w:color w:val="000000" w:themeColor="text1" w:themeTint="FF" w:themeShade="FF"/>
          <w:sz w:val="24"/>
          <w:szCs w:val="24"/>
        </w:rPr>
        <w:t>require</w:t>
      </w:r>
      <w:r w:rsidRPr="69441A9A" w:rsidR="16B396BB">
        <w:rPr>
          <w:rFonts w:ascii="Arial" w:hAnsi="Arial" w:eastAsia="Arial" w:cs="Arial"/>
          <w:color w:val="000000" w:themeColor="text1" w:themeTint="FF" w:themeShade="FF"/>
          <w:sz w:val="24"/>
          <w:szCs w:val="24"/>
        </w:rPr>
        <w:t xml:space="preserve"> specialist HD-focused therapeutic support or whether the benefits of counselling are primarily derived from broader relational and humanistic therapeutic processes.</w:t>
      </w:r>
    </w:p>
    <w:p w:rsidRPr="00B732FA" w:rsidR="00364396" w:rsidP="69441A9A" w:rsidRDefault="00364396" w14:paraId="26E86FA6" w14:textId="77777777">
      <w:pPr>
        <w:pStyle w:val="NormalWeb"/>
        <w:spacing w:before="240" w:beforeAutospacing="off" w:after="240" w:afterAutospacing="off"/>
        <w:jc w:val="both"/>
        <w:rPr>
          <w:rFonts w:ascii="Arial" w:hAnsi="Arial" w:eastAsia="Arial" w:cs="Arial"/>
          <w:b w:val="1"/>
          <w:bCs w:val="1"/>
          <w:color w:val="000000" w:themeColor="text1"/>
        </w:rPr>
      </w:pPr>
    </w:p>
    <w:p w:rsidRPr="00B732FA" w:rsidR="00364396" w:rsidP="69441A9A" w:rsidRDefault="00364396" w14:paraId="3E100594" w14:textId="77777777">
      <w:pPr>
        <w:jc w:val="both"/>
        <w:rPr>
          <w:rFonts w:ascii="Arial" w:hAnsi="Arial" w:eastAsia="Arial" w:cs="Arial"/>
          <w:b w:val="1"/>
          <w:bCs w:val="1"/>
          <w:color w:val="000000"/>
          <w:sz w:val="24"/>
          <w:szCs w:val="24"/>
          <w:lang w:eastAsia="en-US"/>
        </w:rPr>
      </w:pPr>
    </w:p>
    <w:p w:rsidRPr="00B732FA" w:rsidR="002F15DD" w:rsidP="69441A9A" w:rsidRDefault="002F15DD" w14:paraId="65071E4B" w14:textId="77777777">
      <w:pPr>
        <w:jc w:val="both"/>
        <w:rPr>
          <w:rFonts w:ascii="Arial" w:hAnsi="Arial" w:eastAsia="Arial" w:cs="Arial"/>
          <w:sz w:val="24"/>
          <w:szCs w:val="24"/>
        </w:rPr>
      </w:pPr>
    </w:p>
    <w:p w:rsidRPr="00325652" w:rsidR="004658B4" w:rsidP="69441A9A" w:rsidRDefault="004658B4" w14:paraId="09CBD41D" w14:textId="60557976">
      <w:pPr>
        <w:pStyle w:val="Heading1"/>
        <w:rPr>
          <w:rFonts w:ascii="ui-sans-serif" w:hAnsi="ui-sans-serif" w:eastAsia="ui-sans-serif" w:cs="ui-sans-serif"/>
          <w:b w:val="1"/>
          <w:bCs w:val="1"/>
          <w:noProof w:val="0"/>
          <w:color w:val="0D0D0D" w:themeColor="text1" w:themeTint="F2" w:themeShade="FF"/>
          <w:sz w:val="24"/>
          <w:szCs w:val="24"/>
          <w:lang w:val="en-GB"/>
        </w:rPr>
      </w:pPr>
      <w:bookmarkStart w:name="_Toc238028869" w:id="25"/>
      <w:r w:rsidRPr="69441A9A" w:rsidR="284B1A23">
        <w:rPr>
          <w:rFonts w:ascii="Arial" w:hAnsi="Arial" w:eastAsia="Arial" w:cs="Arial"/>
          <w:noProof w:val="0"/>
          <w:sz w:val="24"/>
          <w:szCs w:val="24"/>
        </w:rPr>
        <w:t xml:space="preserve">Chapter 2: </w:t>
      </w:r>
      <w:r w:rsidRPr="69441A9A" w:rsidR="54D3D752">
        <w:rPr>
          <w:rFonts w:ascii="Arial" w:hAnsi="Arial" w:eastAsia="Arial" w:cs="Arial"/>
          <w:noProof w:val="0"/>
          <w:sz w:val="24"/>
          <w:szCs w:val="24"/>
        </w:rPr>
        <w:t>Methodology and Method</w:t>
      </w:r>
      <w:bookmarkEnd w:id="25"/>
      <w:r w:rsidRPr="69441A9A" w:rsidR="54D3D752">
        <w:rPr>
          <w:rFonts w:ascii="Arial" w:hAnsi="Arial" w:eastAsia="Arial" w:cs="Arial"/>
          <w:noProof w:val="0"/>
          <w:sz w:val="24"/>
          <w:szCs w:val="24"/>
        </w:rPr>
        <w:t xml:space="preserve"> </w:t>
      </w:r>
      <w:r>
        <w:br/>
      </w:r>
      <w:r>
        <w:br/>
      </w:r>
      <w:r w:rsidRPr="69441A9A" w:rsidR="4D05CF16">
        <w:rPr>
          <w:rFonts w:ascii="ui-sans-serif" w:hAnsi="ui-sans-serif" w:eastAsia="ui-sans-serif" w:cs="ui-sans-serif"/>
          <w:b w:val="1"/>
          <w:bCs w:val="1"/>
          <w:noProof w:val="0"/>
          <w:color w:val="0D0D0D" w:themeColor="text1" w:themeTint="F2" w:themeShade="FF"/>
          <w:sz w:val="24"/>
          <w:szCs w:val="24"/>
          <w:lang w:val="en-GB"/>
        </w:rPr>
        <w:t>Introduction</w:t>
      </w:r>
    </w:p>
    <w:p w:rsidRPr="00325652" w:rsidR="004658B4" w:rsidP="69441A9A" w:rsidRDefault="004658B4" w14:paraId="26A00F50" w14:textId="35FC2AE8">
      <w:pPr>
        <w:spacing w:before="60" w:beforeAutospacing="off" w:after="60" w:afterAutospacing="off"/>
        <w:rPr>
          <w:rFonts w:ascii="ui-sans-serif" w:hAnsi="ui-sans-serif" w:eastAsia="ui-sans-serif" w:cs="ui-sans-serif"/>
          <w:b w:val="1"/>
          <w:bCs w:val="1"/>
          <w:noProof w:val="0"/>
          <w:color w:val="0D0D0D" w:themeColor="text1" w:themeTint="F2" w:themeShade="FF"/>
          <w:sz w:val="24"/>
          <w:szCs w:val="24"/>
          <w:lang w:val="en-GB"/>
        </w:rPr>
      </w:pPr>
      <w:r w:rsidRPr="69441A9A" w:rsidR="4D05CF16">
        <w:rPr>
          <w:rFonts w:ascii="ui-sans-serif" w:hAnsi="ui-sans-serif" w:eastAsia="ui-sans-serif" w:cs="ui-sans-serif"/>
          <w:noProof w:val="0"/>
          <w:color w:val="0D0D0D" w:themeColor="text1" w:themeTint="F2" w:themeShade="FF"/>
          <w:sz w:val="24"/>
          <w:szCs w:val="24"/>
          <w:lang w:val="en-GB"/>
        </w:rPr>
        <w:t>This chapter outlines and justifies the methodological approach and research methods adopted in this study. It details participant recruitment and sampling, data collection and analysis, ethical considerations, and researcher positionality.</w:t>
      </w:r>
      <w:r>
        <w:br/>
      </w:r>
      <w:r>
        <w:br/>
      </w:r>
      <w:r w:rsidRPr="69441A9A" w:rsidR="588AD30A">
        <w:rPr>
          <w:rFonts w:ascii="ui-sans-serif" w:hAnsi="ui-sans-serif" w:eastAsia="ui-sans-serif" w:cs="ui-sans-serif"/>
          <w:b w:val="1"/>
          <w:bCs w:val="1"/>
          <w:noProof w:val="0"/>
          <w:color w:val="0D0D0D" w:themeColor="text1" w:themeTint="F2" w:themeShade="FF"/>
          <w:sz w:val="24"/>
          <w:szCs w:val="24"/>
          <w:lang w:val="en-GB"/>
        </w:rPr>
        <w:t xml:space="preserve">2.1 </w:t>
      </w:r>
      <w:r w:rsidRPr="69441A9A" w:rsidR="4D05CF16">
        <w:rPr>
          <w:rFonts w:ascii="ui-sans-serif" w:hAnsi="ui-sans-serif" w:eastAsia="ui-sans-serif" w:cs="ui-sans-serif"/>
          <w:b w:val="1"/>
          <w:bCs w:val="1"/>
          <w:noProof w:val="0"/>
          <w:color w:val="0D0D0D" w:themeColor="text1" w:themeTint="F2" w:themeShade="FF"/>
          <w:sz w:val="24"/>
          <w:szCs w:val="24"/>
          <w:lang w:val="en-GB"/>
        </w:rPr>
        <w:t>Research Design</w:t>
      </w:r>
    </w:p>
    <w:p w:rsidRPr="00325652" w:rsidR="004658B4" w:rsidP="69441A9A" w:rsidRDefault="004658B4" w14:paraId="7524AE08" w14:textId="1270DAA1">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This study employed a qualitative methodology using Interpretative Phenomenological Analysis (IPA) (Smith et al., 2022). Qualitative research seeks to understand people, experiences, and social phenomena within their contexts (Cypress, 2015). It explores how individuals make sense of and assign meaning to their experiences, prioritising participants’ perspectives while recognising the researcher’s reflexive role in knowledge production and interpretation (Aspers and Corte, 2021; Cypress, 2015). As this study explored the lived experiences of HDA ambassadors who had undergone genetic testing for HD, a qualitative approach was appropriate. It enabled exploration of the subjective meanings participants attributed to their genetic testing journeys and provided insight into their therapeutic support needs (Smith et al., 2022).</w:t>
      </w:r>
    </w:p>
    <w:p w:rsidRPr="00325652" w:rsidR="004658B4" w:rsidP="69441A9A" w:rsidRDefault="004658B4" w14:paraId="0D088765" w14:textId="0713FC45">
      <w:pPr>
        <w:pStyle w:val="Heading2"/>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br/>
      </w:r>
      <w:r w:rsidRPr="69441A9A" w:rsidR="5595F1C2">
        <w:rPr>
          <w:rFonts w:ascii="ui-sans-serif" w:hAnsi="ui-sans-serif" w:eastAsia="ui-sans-serif" w:cs="ui-sans-serif"/>
          <w:b w:val="1"/>
          <w:bCs w:val="1"/>
          <w:noProof w:val="0"/>
          <w:color w:val="0D0D0D" w:themeColor="text1" w:themeTint="F2" w:themeShade="FF"/>
          <w:sz w:val="24"/>
          <w:szCs w:val="24"/>
          <w:lang w:val="en-GB"/>
        </w:rPr>
        <w:t xml:space="preserve">2.1.2 </w:t>
      </w:r>
      <w:r w:rsidRPr="69441A9A" w:rsidR="4D05CF16">
        <w:rPr>
          <w:rFonts w:ascii="ui-sans-serif" w:hAnsi="ui-sans-serif" w:eastAsia="ui-sans-serif" w:cs="ui-sans-serif"/>
          <w:b w:val="1"/>
          <w:bCs w:val="1"/>
          <w:noProof w:val="0"/>
          <w:color w:val="0D0D0D" w:themeColor="text1" w:themeTint="F2" w:themeShade="FF"/>
          <w:sz w:val="24"/>
          <w:szCs w:val="24"/>
          <w:lang w:val="en-GB"/>
        </w:rPr>
        <w:t>Phenomenology and Interpretive Analysis</w:t>
      </w:r>
    </w:p>
    <w:p w:rsidRPr="00325652" w:rsidR="004658B4" w:rsidP="69441A9A" w:rsidRDefault="004658B4" w14:paraId="5A0AE394" w14:textId="05B3CDD7">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Phenomenology was adopted as the methodological framework because it seeks to understand how individuals experience and attribute meaning to phenomena within their lives (Smith et al., 2022). Meaning is understood as constructed through personal and social experience, with reality subjectively experienced and shaped by context (Johnson, 2024; McLeod, 2024). Rather than establishing objective facts, phenomenological research explores how individuals perceive, interpret, and make sense of their experiences.</w:t>
      </w:r>
    </w:p>
    <w:p w:rsidRPr="00325652" w:rsidR="004658B4" w:rsidP="69441A9A" w:rsidRDefault="004658B4" w14:paraId="3C8AF60B" w14:textId="22F7AC27">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A central aim is therefore to understand the meaning of an experience while recognising that the same phenomenon may be experienced differently. This was particularly relevant to the present study, which explored lived experiences and therapeutic needs following genetic testing for HD. Phenomenological inquiry prioritises depth and meaning over findings readily generalisable to wider populations (Olaka, 2025).</w:t>
      </w:r>
    </w:p>
    <w:p w:rsidRPr="00325652" w:rsidR="004658B4" w:rsidP="69441A9A" w:rsidRDefault="004658B4" w14:paraId="015FBCE6" w14:textId="4B15D991">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IPA was selected because the study sought to develop a deeper understanding of the psychological impact of genetic testing, participants’ therapeutic support needs, and how counselling practitioners may respond to these needs. IPA identifies patterns of meaning across accounts while maintaining attention to individual experience (Smith et al., 2022). As an interpretive methodology, it also requires ongoing reflexivity regarding how the researcher’s position and experiences may influence the research process (Engward and Goldspink, 2020).</w:t>
      </w:r>
    </w:p>
    <w:p w:rsidRPr="00325652" w:rsidR="004658B4" w:rsidP="69441A9A" w:rsidRDefault="004658B4" w14:paraId="1AF83464" w14:textId="1A46D1BA">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Genetic testing for Huntington’s Disease may fundamentally alter perceptions of the future, identity, relationships, and life choices (Hensman Moss et al., 2026), making experiences complex and deeply personal (Craufurd and Snowdenl, 2014). Understanding these experiences therefore requires more than identifying common responses; it requires consideration of how individuals interpret genetic knowledge within their own lives. IPA was particularly suited to this aim because it explores how people construct meaning from significant and potentially life-changing experiences.</w:t>
      </w:r>
    </w:p>
    <w:p w:rsidRPr="00325652" w:rsidR="004658B4" w:rsidP="69441A9A" w:rsidRDefault="004658B4" w14:paraId="57DF7E56" w14:textId="346EE754">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According to Smith et al. (2022), IPA is grounded in phenomenology, hermeneutics, and ideography. Phenomenology focuses on lived experience, enabling participants to describe the psychological, emotional, and relational impact of genetic testing in their own terms. This allowed the study to foreground participants’ voices and the meanings they attached to genetic knowledge and risk.</w:t>
      </w:r>
    </w:p>
    <w:p w:rsidRPr="00325652" w:rsidR="004658B4" w:rsidP="69441A9A" w:rsidRDefault="004658B4" w14:paraId="50AF8F8D" w14:textId="2F06B1BB">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Hermeneutics, the theory of interpretation, recognises that understanding develops through interaction between participant and researcher (McLeod et al., 2023). Within IPA, participants make sense of their experiences while the researcher interprets this sense-making process (Smith &amp; Osborn, 2015). This double hermeneutic was relevant to exploring the psychological consequences of Huntington’s Disease and genetic testing, where experiences may include uncertainty, anticipatory grief, fear, relief, resilience, and changes in self-identity (Tillerås et al., 2023). Analysis was therefore informed by the hermeneutic circle, moving between individual accounts and the wider dataset to develop nuanced interpretations.</w:t>
      </w:r>
    </w:p>
    <w:p w:rsidRPr="00325652" w:rsidR="004658B4" w:rsidP="69441A9A" w:rsidRDefault="004658B4" w14:paraId="66475428" w14:textId="16DF366E">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IPA’s ideographic commitment further supports in-depth exploration of individual experience. Experiences of genetic testing are unlikely to be uniform, as personal circumstances, family history, coping strategies, and test outcomes may influence responses to genetic risk. Each participant’s account was therefore analysed individually before similarities and differences across cases were considered. This preserved the distinctiveness of individual narratives while enabling shared themes concerning psychological support and therapeutic needs to emerge.</w:t>
      </w:r>
    </w:p>
    <w:p w:rsidRPr="00325652" w:rsidR="004658B4" w:rsidP="69441A9A" w:rsidRDefault="004658B4" w14:paraId="1CCA41B0" w14:textId="51CB2CA4">
      <w:pPr>
        <w:spacing w:before="240" w:beforeAutospacing="off" w:after="240" w:afterAutospacing="off"/>
        <w:rPr>
          <w:rFonts w:ascii="ui-sans-serif" w:hAnsi="ui-sans-serif" w:eastAsia="ui-sans-serif" w:cs="ui-sans-serif"/>
          <w:b w:val="1"/>
          <w:bCs w:val="1"/>
          <w:noProof w:val="0"/>
          <w:color w:val="0D0D0D" w:themeColor="text1" w:themeTint="F2" w:themeShade="FF"/>
          <w:sz w:val="24"/>
          <w:szCs w:val="24"/>
          <w:lang w:val="en-GB"/>
        </w:rPr>
      </w:pPr>
      <w:r w:rsidRPr="69441A9A" w:rsidR="4D05CF16">
        <w:rPr>
          <w:rFonts w:ascii="ui-sans-serif" w:hAnsi="ui-sans-serif" w:eastAsia="ui-sans-serif" w:cs="ui-sans-serif"/>
          <w:noProof w:val="0"/>
          <w:color w:val="0D0D0D" w:themeColor="text1" w:themeTint="F2" w:themeShade="FF"/>
          <w:sz w:val="24"/>
          <w:szCs w:val="24"/>
          <w:lang w:val="en-GB"/>
        </w:rPr>
        <w:t xml:space="preserve">Alternative qualitative methodologies were considered but were less closely aligned with the study aims. The purpose was to understand lived experience and </w:t>
      </w:r>
      <w:r w:rsidRPr="69441A9A" w:rsidR="4D05CF16">
        <w:rPr>
          <w:rFonts w:ascii="ui-sans-serif" w:hAnsi="ui-sans-serif" w:eastAsia="ui-sans-serif" w:cs="ui-sans-serif"/>
          <w:noProof w:val="0"/>
          <w:color w:val="0D0D0D" w:themeColor="text1" w:themeTint="F2" w:themeShade="FF"/>
          <w:sz w:val="24"/>
          <w:szCs w:val="24"/>
          <w:lang w:val="en-GB"/>
        </w:rPr>
        <w:t>meaning-making</w:t>
      </w:r>
      <w:r w:rsidRPr="69441A9A" w:rsidR="4D05CF16">
        <w:rPr>
          <w:rFonts w:ascii="ui-sans-serif" w:hAnsi="ui-sans-serif" w:eastAsia="ui-sans-serif" w:cs="ui-sans-serif"/>
          <w:noProof w:val="0"/>
          <w:color w:val="0D0D0D" w:themeColor="text1" w:themeTint="F2" w:themeShade="FF"/>
          <w:sz w:val="24"/>
          <w:szCs w:val="24"/>
          <w:lang w:val="en-GB"/>
        </w:rPr>
        <w:t xml:space="preserve"> rather than develop a theoretical model. Although thematic analysis can </w:t>
      </w:r>
      <w:r w:rsidRPr="69441A9A" w:rsidR="4D05CF16">
        <w:rPr>
          <w:rFonts w:ascii="ui-sans-serif" w:hAnsi="ui-sans-serif" w:eastAsia="ui-sans-serif" w:cs="ui-sans-serif"/>
          <w:noProof w:val="0"/>
          <w:color w:val="0D0D0D" w:themeColor="text1" w:themeTint="F2" w:themeShade="FF"/>
          <w:sz w:val="24"/>
          <w:szCs w:val="24"/>
          <w:lang w:val="en-GB"/>
        </w:rPr>
        <w:t>identify</w:t>
      </w:r>
      <w:r w:rsidRPr="69441A9A" w:rsidR="4D05CF16">
        <w:rPr>
          <w:rFonts w:ascii="ui-sans-serif" w:hAnsi="ui-sans-serif" w:eastAsia="ui-sans-serif" w:cs="ui-sans-serif"/>
          <w:noProof w:val="0"/>
          <w:color w:val="0D0D0D" w:themeColor="text1" w:themeTint="F2" w:themeShade="FF"/>
          <w:sz w:val="24"/>
          <w:szCs w:val="24"/>
          <w:lang w:val="en-GB"/>
        </w:rPr>
        <w:t xml:space="preserve"> patterns within qualitative data, it does not offer the same idiographic depth of engagement with individual meaning-making that is central to IPA (</w:t>
      </w:r>
      <w:r w:rsidRPr="69441A9A" w:rsidR="4D05CF16">
        <w:rPr>
          <w:rFonts w:ascii="ui-sans-serif" w:hAnsi="ui-sans-serif" w:eastAsia="ui-sans-serif" w:cs="ui-sans-serif"/>
          <w:noProof w:val="0"/>
          <w:color w:val="0D0D0D" w:themeColor="text1" w:themeTint="F2" w:themeShade="FF"/>
          <w:sz w:val="24"/>
          <w:szCs w:val="24"/>
          <w:lang w:val="en-GB"/>
        </w:rPr>
        <w:t>Spiemacrs</w:t>
      </w:r>
      <w:r w:rsidRPr="69441A9A" w:rsidR="4D05CF16">
        <w:rPr>
          <w:rFonts w:ascii="ui-sans-serif" w:hAnsi="ui-sans-serif" w:eastAsia="ui-sans-serif" w:cs="ui-sans-serif"/>
          <w:noProof w:val="0"/>
          <w:color w:val="0D0D0D" w:themeColor="text1" w:themeTint="F2" w:themeShade="FF"/>
          <w:sz w:val="24"/>
          <w:szCs w:val="24"/>
          <w:lang w:val="en-GB"/>
        </w:rPr>
        <w:t xml:space="preserve"> &amp; Riley, 2019). IPA therefore supported the study’s intention to examine the relationship between advances in genetic knowledge and the psychological experience of living with genetic knowledge. By foregrounding personal accounts, it enabled exploration of the emotional and therapeutic challenges associated with genetic testing and their relevance to counselling practice.</w:t>
      </w:r>
      <w:r>
        <w:br/>
      </w:r>
      <w:r>
        <w:br/>
      </w:r>
      <w:r w:rsidRPr="69441A9A" w:rsidR="22E4FE3E">
        <w:rPr>
          <w:rFonts w:ascii="ui-sans-serif" w:hAnsi="ui-sans-serif" w:eastAsia="ui-sans-serif" w:cs="ui-sans-serif"/>
          <w:b w:val="1"/>
          <w:bCs w:val="1"/>
          <w:noProof w:val="0"/>
          <w:color w:val="0D0D0D" w:themeColor="text1" w:themeTint="F2" w:themeShade="FF"/>
          <w:sz w:val="24"/>
          <w:szCs w:val="24"/>
          <w:lang w:val="en-GB"/>
        </w:rPr>
        <w:t xml:space="preserve">2.2 </w:t>
      </w:r>
      <w:r w:rsidRPr="69441A9A" w:rsidR="4D05CF16">
        <w:rPr>
          <w:rFonts w:ascii="ui-sans-serif" w:hAnsi="ui-sans-serif" w:eastAsia="ui-sans-serif" w:cs="ui-sans-serif"/>
          <w:b w:val="1"/>
          <w:bCs w:val="1"/>
          <w:noProof w:val="0"/>
          <w:color w:val="0D0D0D" w:themeColor="text1" w:themeTint="F2" w:themeShade="FF"/>
          <w:sz w:val="24"/>
          <w:szCs w:val="24"/>
          <w:lang w:val="en-GB"/>
        </w:rPr>
        <w:t>Participants</w:t>
      </w:r>
    </w:p>
    <w:p w:rsidRPr="00325652" w:rsidR="004658B4" w:rsidP="69441A9A" w:rsidRDefault="004658B4" w14:paraId="664894BA" w14:textId="163535ED">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Consistent with IPA’s phenomenological and ideographic foundations, purposive homogeneous sampling was used to recruit six participants. The emphasis was on rich and detailed accounts rather than sample size. IPA is suited to smaller samples because this permits individual cases to be examined in depth while enabling patterns across participants to be considered (Smith et al., 2022). A sample of six was therefore considered appropriate for developing a nuanced understanding of predictive genetic testing for HD.</w:t>
      </w:r>
    </w:p>
    <w:p w:rsidRPr="00325652" w:rsidR="004658B4" w:rsidP="69441A9A" w:rsidRDefault="004658B4" w14:paraId="26056D3F" w14:textId="4269991B">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Participants were recruited through the Huntington’s Disease Association (HDA) in the UK. Study information was shared with HDA ambassadors meeting the inclusion criteria, and interested individuals contacted the researcher directly. Participants were given an opportunity to ask questions before providing informed consent. All had direct experience of predictive genetic testing for HD and could therefore provide first-hand accounts of the phenomenon under investigation. Their ambassador roles also involved advocacy and community engagement, providing opportunities to reflect on HD within both their own lives and the wider HD community.</w:t>
      </w:r>
    </w:p>
    <w:p w:rsidRPr="00325652" w:rsidR="004658B4" w:rsidP="69441A9A" w:rsidRDefault="004658B4" w14:paraId="5F0A6318" w14:textId="25B42CC5">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Although this engagement did not diminish the personal nature of their experiences, ambassadors were anticipated to be able to articulate the psychological, relational, and practical dimensions of genetic testing. Their position as individuals with lived experience and advocates offered insight relevant to the research aims. While participants shared the experience of predictive genetic testing, their accounts reflected differing circumstances, family experiences, and responses to genetic risk, allowing both convergence and divergence to be explored.</w:t>
      </w:r>
    </w:p>
    <w:p w:rsidRPr="00325652" w:rsidR="004658B4" w:rsidP="69441A9A" w:rsidRDefault="004658B4" w14:paraId="64E29CC1" w14:textId="6FD2E6F1">
      <w:pPr>
        <w:spacing w:before="240" w:beforeAutospacing="off" w:after="240" w:afterAutospacing="off"/>
        <w:rPr>
          <w:rFonts w:ascii="ui-sans-serif" w:hAnsi="ui-sans-serif" w:eastAsia="ui-sans-serif" w:cs="ui-sans-serif"/>
          <w:noProof w:val="0"/>
          <w:color w:val="0D0D0D" w:themeColor="text1" w:themeTint="F2" w:themeShade="FF"/>
          <w:sz w:val="24"/>
          <w:szCs w:val="24"/>
          <w:lang w:val="en-GB"/>
        </w:rPr>
      </w:pPr>
      <w:r w:rsidRPr="69441A9A" w:rsidR="4D05CF16">
        <w:rPr>
          <w:rFonts w:ascii="ui-sans-serif" w:hAnsi="ui-sans-serif" w:eastAsia="ui-sans-serif" w:cs="ui-sans-serif"/>
          <w:noProof w:val="0"/>
          <w:color w:val="0D0D0D" w:themeColor="text1" w:themeTint="F2" w:themeShade="FF"/>
          <w:sz w:val="24"/>
          <w:szCs w:val="24"/>
          <w:lang w:val="en-GB"/>
        </w:rPr>
        <w:t xml:space="preserve">Inclusion criteria required participants to be aged 18 years or over, be an HDA ambassador, and have undergone predictive genetic testing for HD. Participants </w:t>
      </w:r>
      <w:r w:rsidRPr="69441A9A" w:rsidR="4D05CF16">
        <w:rPr>
          <w:rFonts w:ascii="ui-sans-serif" w:hAnsi="ui-sans-serif" w:eastAsia="ui-sans-serif" w:cs="ui-sans-serif"/>
          <w:noProof w:val="0"/>
          <w:color w:val="0D0D0D" w:themeColor="text1" w:themeTint="F2" w:themeShade="FF"/>
          <w:sz w:val="24"/>
          <w:szCs w:val="24"/>
          <w:lang w:val="en-GB"/>
        </w:rPr>
        <w:t>were also required</w:t>
      </w:r>
      <w:r w:rsidRPr="69441A9A" w:rsidR="4D05CF16">
        <w:rPr>
          <w:rFonts w:ascii="ui-sans-serif" w:hAnsi="ui-sans-serif" w:eastAsia="ui-sans-serif" w:cs="ui-sans-serif"/>
          <w:noProof w:val="0"/>
          <w:color w:val="0D0D0D" w:themeColor="text1" w:themeTint="F2" w:themeShade="FF"/>
          <w:sz w:val="24"/>
          <w:szCs w:val="24"/>
          <w:lang w:val="en-GB"/>
        </w:rPr>
        <w:t xml:space="preserve"> to provide informed consent and complete an in-depth semi-structured interview.</w:t>
      </w:r>
      <w:r>
        <w:br/>
      </w:r>
    </w:p>
    <w:p w:rsidRPr="00325652" w:rsidR="004658B4" w:rsidP="69441A9A" w:rsidRDefault="004658B4" w14:paraId="38536435" w14:textId="76BB2073">
      <w:pPr>
        <w:pStyle w:val="Heading2"/>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rsidRPr="69441A9A" w:rsidR="6B409129">
        <w:rPr>
          <w:rFonts w:ascii="ui-sans-serif" w:hAnsi="ui-sans-serif" w:eastAsia="ui-sans-serif" w:cs="ui-sans-serif"/>
          <w:b w:val="1"/>
          <w:bCs w:val="1"/>
          <w:noProof w:val="0"/>
          <w:color w:val="0D0D0D" w:themeColor="text1" w:themeTint="F2" w:themeShade="FF"/>
          <w:sz w:val="24"/>
          <w:szCs w:val="24"/>
          <w:lang w:val="en-GB"/>
        </w:rPr>
        <w:t xml:space="preserve">2.3 </w:t>
      </w:r>
      <w:r w:rsidRPr="69441A9A" w:rsidR="4D05CF16">
        <w:rPr>
          <w:rFonts w:ascii="ui-sans-serif" w:hAnsi="ui-sans-serif" w:eastAsia="ui-sans-serif" w:cs="ui-sans-serif"/>
          <w:b w:val="1"/>
          <w:bCs w:val="1"/>
          <w:noProof w:val="0"/>
          <w:color w:val="0D0D0D" w:themeColor="text1" w:themeTint="F2" w:themeShade="FF"/>
          <w:sz w:val="24"/>
          <w:szCs w:val="24"/>
          <w:lang w:val="en-GB"/>
        </w:rPr>
        <w:t>Data Collection</w:t>
      </w:r>
    </w:p>
    <w:p w:rsidRPr="00325652" w:rsidR="004658B4" w:rsidP="69441A9A" w:rsidRDefault="004658B4" w14:paraId="0DE5860A" w14:textId="340D3D21">
      <w:pPr>
        <w:pStyle w:val="Heading3"/>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rsidRPr="69441A9A" w:rsidR="3A24CE70">
        <w:rPr>
          <w:rFonts w:ascii="ui-sans-serif" w:hAnsi="ui-sans-serif" w:eastAsia="ui-sans-serif" w:cs="ui-sans-serif"/>
          <w:b w:val="1"/>
          <w:bCs w:val="1"/>
          <w:noProof w:val="0"/>
          <w:color w:val="0D0D0D" w:themeColor="text1" w:themeTint="F2" w:themeShade="FF"/>
          <w:sz w:val="24"/>
          <w:szCs w:val="24"/>
          <w:lang w:val="en-GB"/>
        </w:rPr>
        <w:t xml:space="preserve">2.3.1 </w:t>
      </w:r>
      <w:r w:rsidRPr="69441A9A" w:rsidR="4D05CF16">
        <w:rPr>
          <w:rFonts w:ascii="ui-sans-serif" w:hAnsi="ui-sans-serif" w:eastAsia="ui-sans-serif" w:cs="ui-sans-serif"/>
          <w:b w:val="1"/>
          <w:bCs w:val="1"/>
          <w:noProof w:val="0"/>
          <w:color w:val="0D0D0D" w:themeColor="text1" w:themeTint="F2" w:themeShade="FF"/>
          <w:sz w:val="24"/>
          <w:szCs w:val="24"/>
          <w:lang w:val="en-GB"/>
        </w:rPr>
        <w:t>Semi-Structured Interviews</w:t>
      </w:r>
    </w:p>
    <w:p w:rsidRPr="00325652" w:rsidR="004658B4" w:rsidP="69441A9A" w:rsidRDefault="004658B4" w14:paraId="35435E90" w14:textId="6CD185DE">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Data were collected through semi-structured interviews, consistent with IPA’s focus on how individuals understand significant life experiences (Smith &amp; Osborn, 2008). This flexible approach enabled participants to describe their experiences of genetic counselling and predictive testing in their own words while allowing the researcher to explore issues they considered meaningful. Unlike structured approaches, semi-structured interviews support collaborative and participant-led discussion (Smith &amp; Osborn, 2008).</w:t>
      </w:r>
    </w:p>
    <w:p w:rsidRPr="00325652" w:rsidR="004658B4" w:rsidP="69441A9A" w:rsidRDefault="004658B4" w14:paraId="08C8CE6A" w14:textId="161B985F">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An interview schedule of open-ended questions was developed in accordance with the study aims. Questions explored experiences of genetic testing, perceptions of genetic counselling, emotional responses to test results, and psychological support following testing. Consistent with IPA interviewing, questions followed a funnelled structure, moving from broad to more focused areas. This allowed participants to establish what was important to them before addressing specific research areas and reduced the likelihood of imposing researcher assumptions.</w:t>
      </w:r>
    </w:p>
    <w:p w:rsidRPr="00325652" w:rsidR="004658B4" w:rsidP="69441A9A" w:rsidRDefault="004658B4" w14:paraId="6C177A20" w14:textId="48F409D0">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Participants received an information sheet (Appendix A) and an overview of interview topics before providing informed consent (Appendix B). The interview schedule (Appendix C) was piloted with one ambassador and reviewed by the researcher’s supervisor for clarity, relevance, and sensitivity.</w:t>
      </w:r>
    </w:p>
    <w:p w:rsidRPr="00325652" w:rsidR="004658B4" w:rsidP="69441A9A" w:rsidRDefault="004658B4" w14:paraId="6E361529" w14:textId="7D7B3273">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Data collection took place over three months. Participants were interviewed once via Microsoft Teams for approximately 60 minutes. Online interviewing enabled participation from ambassadors across different UK regions and provided a convenient setting for discussing personal experiences. Consent was revisited at the beginning of each interview, and participants were reminded of their right to withdraw without consequence.</w:t>
      </w:r>
    </w:p>
    <w:p w:rsidRPr="00325652" w:rsidR="004658B4" w:rsidP="69441A9A" w:rsidRDefault="004658B4" w14:paraId="6D484B61" w14:textId="4BCB44A0">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Interviews were audio recorded using Microsoft Teams and transcribed verbatim. In keeping with IPA, transcripts focused primarily on content and meaning rather than detailed linguistic or prosodic features. Participants were assigned pseudonyms and identifying information was removed from transcripts and reported extracts. However, given their public-facing roles as HDA ambassadors, it was acknowledged that some information might remain recognisable.</w:t>
      </w:r>
    </w:p>
    <w:p w:rsidRPr="00325652" w:rsidR="004658B4" w:rsidP="69441A9A" w:rsidRDefault="004658B4" w14:paraId="4F356C5D" w14:textId="010E15AA">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Given the sensitive nature of HD and predictive testing, particular attention was given to rapport and participant wellbeing. Rapport was supported through clear communication, informed consent, flexibility in arranging interviews, active listening, empathetic engagement, and appropriate probing. The researcher also had established rapport with participants through her own HDA ambassador role. Following each interview, participants were debriefed and provided with information about available support services (Appendix D) should participation evoke distress.</w:t>
      </w:r>
    </w:p>
    <w:p w:rsidRPr="00325652" w:rsidR="004658B4" w:rsidP="69441A9A" w:rsidRDefault="004658B4" w14:paraId="723891FC" w14:textId="1AA39709">
      <w:pPr>
        <w:pStyle w:val="Heading2"/>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rsidRPr="69441A9A" w:rsidR="3FF7F735">
        <w:rPr>
          <w:rFonts w:ascii="ui-sans-serif" w:hAnsi="ui-sans-serif" w:eastAsia="ui-sans-serif" w:cs="ui-sans-serif"/>
          <w:b w:val="1"/>
          <w:bCs w:val="1"/>
          <w:noProof w:val="0"/>
          <w:color w:val="0D0D0D" w:themeColor="text1" w:themeTint="F2" w:themeShade="FF"/>
          <w:sz w:val="24"/>
          <w:szCs w:val="24"/>
          <w:lang w:val="en-GB"/>
        </w:rPr>
        <w:t xml:space="preserve">2.4 </w:t>
      </w:r>
      <w:r w:rsidRPr="69441A9A" w:rsidR="4D05CF16">
        <w:rPr>
          <w:rFonts w:ascii="ui-sans-serif" w:hAnsi="ui-sans-serif" w:eastAsia="ui-sans-serif" w:cs="ui-sans-serif"/>
          <w:b w:val="1"/>
          <w:bCs w:val="1"/>
          <w:noProof w:val="0"/>
          <w:color w:val="0D0D0D" w:themeColor="text1" w:themeTint="F2" w:themeShade="FF"/>
          <w:sz w:val="24"/>
          <w:szCs w:val="24"/>
          <w:lang w:val="en-GB"/>
        </w:rPr>
        <w:t>Data Analysis</w:t>
      </w:r>
    </w:p>
    <w:p w:rsidRPr="00325652" w:rsidR="004658B4" w:rsidP="69441A9A" w:rsidRDefault="004658B4" w14:paraId="678056C6" w14:textId="08304ABD">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Interview transcripts were analysed using IPA (Smith et al., 2022), consistent with the aim of exploring how individuals made sense of genetic counselling, predictive genetic testing, and psychological support.</w:t>
      </w:r>
    </w:p>
    <w:p w:rsidRPr="00325652" w:rsidR="004658B4" w:rsidP="69441A9A" w:rsidRDefault="004658B4" w14:paraId="0967F1A1" w14:textId="1CAAD320">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Analysis began with repeated reading of each transcript alongside the original audio recordings to promote immersion and familiarity with each participant’s account. Initial reflections documented significant experiences, emotions, and meanings, with attention to participants’ experiences of genetic risk information and the psychological impact of testing.</w:t>
      </w:r>
    </w:p>
    <w:p w:rsidRPr="00325652" w:rsidR="004658B4" w:rsidP="69441A9A" w:rsidRDefault="004658B4" w14:paraId="20F9E9F5" w14:textId="15F1EE29">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Detailed exploratory noting then examined both the content of participants’ accounts and how meaning was communicated. Descriptive, linguistic, and conceptual comments were recorded before being developed into concise experiential statements capturing the psychological significance of participants’ accounts.</w:t>
      </w:r>
    </w:p>
    <w:p w:rsidRPr="00325652" w:rsidR="004658B4" w:rsidP="69441A9A" w:rsidRDefault="004658B4" w14:paraId="7FD5FACA" w14:textId="071227E7">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Connections between experiential statements were explored within each transcript, leading to preliminary themes. Consistent with IPA’s ideographic focus, each participant was analysed independently before similarities and differences across cases were considered. Reflexive notes were maintained throughout to encourage critical awareness of the researcher’s assumptions and experiences as someone personally impacted by HD and to consider their potential influence on interpretation.</w:t>
      </w:r>
    </w:p>
    <w:p w:rsidRPr="00325652" w:rsidR="004658B4" w:rsidP="69441A9A" w:rsidRDefault="004658B4" w14:paraId="05319C39" w14:textId="5EFE0421">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Following individual case analysis, themes were compared across participants to identify shared patterns concerning genetic counselling, test-result disclosure, emotional adjustment, and therapeutic support. Related themes were clustered into overarching themes and sub-themes reflecting convergence and divergence. Themes were repeatedly reviewed against the original transcripts to ensure interpretations remained grounded in participants’ accounts.</w:t>
      </w:r>
    </w:p>
    <w:p w:rsidRPr="00325652" w:rsidR="004658B4" w:rsidP="69441A9A" w:rsidRDefault="004658B4" w14:paraId="2644F89D" w14:textId="593EDF2D">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The final stage involved constructing a narrative account of the findings. Themes were presented and interpreted in relation to the research aims, supported by participant quotations illustrating the meanings attributed to their experiences. Pseudonyms were used throughout to protect confidentiality.</w:t>
      </w:r>
    </w:p>
    <w:p w:rsidRPr="00325652" w:rsidR="004658B4" w:rsidP="69441A9A" w:rsidRDefault="004658B4" w14:paraId="74B1C9FE" w14:textId="66C2B0DD">
      <w:pPr>
        <w:pStyle w:val="Heading2"/>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rsidRPr="69441A9A" w:rsidR="06266CF2">
        <w:rPr>
          <w:rFonts w:ascii="ui-sans-serif" w:hAnsi="ui-sans-serif" w:eastAsia="ui-sans-serif" w:cs="ui-sans-serif"/>
          <w:b w:val="1"/>
          <w:bCs w:val="1"/>
          <w:noProof w:val="0"/>
          <w:color w:val="0D0D0D" w:themeColor="text1" w:themeTint="F2" w:themeShade="FF"/>
          <w:sz w:val="24"/>
          <w:szCs w:val="24"/>
          <w:lang w:val="en-GB"/>
        </w:rPr>
        <w:t xml:space="preserve">2.5 </w:t>
      </w:r>
      <w:r w:rsidRPr="69441A9A" w:rsidR="4D05CF16">
        <w:rPr>
          <w:rFonts w:ascii="ui-sans-serif" w:hAnsi="ui-sans-serif" w:eastAsia="ui-sans-serif" w:cs="ui-sans-serif"/>
          <w:b w:val="1"/>
          <w:bCs w:val="1"/>
          <w:noProof w:val="0"/>
          <w:color w:val="0D0D0D" w:themeColor="text1" w:themeTint="F2" w:themeShade="FF"/>
          <w:sz w:val="24"/>
          <w:szCs w:val="24"/>
          <w:lang w:val="en-GB"/>
        </w:rPr>
        <w:t>Ethical Considerations</w:t>
      </w:r>
    </w:p>
    <w:p w:rsidRPr="00325652" w:rsidR="004658B4" w:rsidP="69441A9A" w:rsidRDefault="004658B4" w14:paraId="5CE952C5" w14:textId="1F5DF362">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The study adhered to relevant UK ethical guidance, including that of the British Association for Counselling and Psychotherapy (BACP) and the Health Research Authority (HRA), with particular attention to the sensitivities associated with HD. HD research can involve uncertainty, anticipatory grief, identity disruption, and familial responsibility, making ethical rigour particularly important.</w:t>
      </w:r>
    </w:p>
    <w:p w:rsidRPr="00325652" w:rsidR="004658B4" w:rsidP="69441A9A" w:rsidRDefault="004658B4" w14:paraId="320E1D45" w14:textId="62511389">
      <w:pPr>
        <w:pStyle w:val="Heading3"/>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rsidRPr="69441A9A" w:rsidR="63852FFC">
        <w:rPr>
          <w:rFonts w:ascii="ui-sans-serif" w:hAnsi="ui-sans-serif" w:eastAsia="ui-sans-serif" w:cs="ui-sans-serif"/>
          <w:b w:val="1"/>
          <w:bCs w:val="1"/>
          <w:noProof w:val="0"/>
          <w:color w:val="0D0D0D" w:themeColor="text1" w:themeTint="F2" w:themeShade="FF"/>
          <w:sz w:val="24"/>
          <w:szCs w:val="24"/>
          <w:lang w:val="en-GB"/>
        </w:rPr>
        <w:t xml:space="preserve">2.6 </w:t>
      </w:r>
      <w:r w:rsidRPr="69441A9A" w:rsidR="4D05CF16">
        <w:rPr>
          <w:rFonts w:ascii="ui-sans-serif" w:hAnsi="ui-sans-serif" w:eastAsia="ui-sans-serif" w:cs="ui-sans-serif"/>
          <w:b w:val="1"/>
          <w:bCs w:val="1"/>
          <w:noProof w:val="0"/>
          <w:color w:val="0D0D0D" w:themeColor="text1" w:themeTint="F2" w:themeShade="FF"/>
          <w:sz w:val="24"/>
          <w:szCs w:val="24"/>
          <w:lang w:val="en-GB"/>
        </w:rPr>
        <w:t>Pilot Interview</w:t>
      </w:r>
    </w:p>
    <w:p w:rsidRPr="00325652" w:rsidR="004658B4" w:rsidP="69441A9A" w:rsidRDefault="004658B4" w14:paraId="446944C0" w14:textId="528D9A99">
      <w:pPr>
        <w:spacing w:before="60" w:beforeAutospacing="off" w:after="60" w:afterAutospacing="off"/>
        <w:rPr>
          <w:rFonts w:ascii="ui-sans-serif" w:hAnsi="ui-sans-serif" w:eastAsia="ui-sans-serif" w:cs="ui-sans-serif"/>
          <w:b w:val="1"/>
          <w:bCs w:val="1"/>
          <w:noProof w:val="0"/>
          <w:color w:val="0D0D0D" w:themeColor="text1" w:themeTint="F2" w:themeShade="FF"/>
          <w:sz w:val="24"/>
          <w:szCs w:val="24"/>
          <w:lang w:val="en-GB"/>
        </w:rPr>
      </w:pPr>
      <w:r w:rsidRPr="69441A9A" w:rsidR="4D05CF16">
        <w:rPr>
          <w:rFonts w:ascii="ui-sans-serif" w:hAnsi="ui-sans-serif" w:eastAsia="ui-sans-serif" w:cs="ui-sans-serif"/>
          <w:noProof w:val="0"/>
          <w:color w:val="0D0D0D" w:themeColor="text1" w:themeTint="F2" w:themeShade="FF"/>
          <w:sz w:val="24"/>
          <w:szCs w:val="24"/>
          <w:lang w:val="en-GB"/>
        </w:rPr>
        <w:t xml:space="preserve">A pilot interview was conducted before the main data collection to assess the clarity, relevance, and sensitivity of the semi-structured interview schedule and interview process. The pilot involved an </w:t>
      </w:r>
      <w:r w:rsidRPr="69441A9A" w:rsidR="4D05CF16">
        <w:rPr>
          <w:rFonts w:ascii="ui-sans-serif" w:hAnsi="ui-sans-serif" w:eastAsia="ui-sans-serif" w:cs="ui-sans-serif"/>
          <w:noProof w:val="0"/>
          <w:color w:val="0D0D0D" w:themeColor="text1" w:themeTint="F2" w:themeShade="FF"/>
          <w:sz w:val="24"/>
          <w:szCs w:val="24"/>
          <w:lang w:val="en-GB"/>
        </w:rPr>
        <w:t>additional</w:t>
      </w:r>
      <w:r w:rsidRPr="69441A9A" w:rsidR="4D05CF16">
        <w:rPr>
          <w:rFonts w:ascii="ui-sans-serif" w:hAnsi="ui-sans-serif" w:eastAsia="ui-sans-serif" w:cs="ui-sans-serif"/>
          <w:noProof w:val="0"/>
          <w:color w:val="0D0D0D" w:themeColor="text1" w:themeTint="F2" w:themeShade="FF"/>
          <w:sz w:val="24"/>
          <w:szCs w:val="24"/>
          <w:lang w:val="en-GB"/>
        </w:rPr>
        <w:t xml:space="preserve"> HDA ambassador and enabled the researcher to reflect critically on the questions and consider amendments that might improve data quality and participant wellbeing. The schedule was considered </w:t>
      </w:r>
      <w:r w:rsidRPr="69441A9A" w:rsidR="4D05CF16">
        <w:rPr>
          <w:rFonts w:ascii="ui-sans-serif" w:hAnsi="ui-sans-serif" w:eastAsia="ui-sans-serif" w:cs="ui-sans-serif"/>
          <w:noProof w:val="0"/>
          <w:color w:val="0D0D0D" w:themeColor="text1" w:themeTint="F2" w:themeShade="FF"/>
          <w:sz w:val="24"/>
          <w:szCs w:val="24"/>
          <w:lang w:val="en-GB"/>
        </w:rPr>
        <w:t>appropriate</w:t>
      </w:r>
      <w:r w:rsidRPr="69441A9A" w:rsidR="4D05CF16">
        <w:rPr>
          <w:rFonts w:ascii="ui-sans-serif" w:hAnsi="ui-sans-serif" w:eastAsia="ui-sans-serif" w:cs="ui-sans-serif"/>
          <w:noProof w:val="0"/>
          <w:color w:val="0D0D0D" w:themeColor="text1" w:themeTint="F2" w:themeShade="FF"/>
          <w:sz w:val="24"/>
          <w:szCs w:val="24"/>
          <w:lang w:val="en-GB"/>
        </w:rPr>
        <w:t xml:space="preserve"> and no substantive modifications were </w:t>
      </w:r>
      <w:r w:rsidRPr="69441A9A" w:rsidR="4D05CF16">
        <w:rPr>
          <w:rFonts w:ascii="ui-sans-serif" w:hAnsi="ui-sans-serif" w:eastAsia="ui-sans-serif" w:cs="ui-sans-serif"/>
          <w:noProof w:val="0"/>
          <w:color w:val="0D0D0D" w:themeColor="text1" w:themeTint="F2" w:themeShade="FF"/>
          <w:sz w:val="24"/>
          <w:szCs w:val="24"/>
          <w:lang w:val="en-GB"/>
        </w:rPr>
        <w:t>required</w:t>
      </w:r>
      <w:r w:rsidRPr="69441A9A" w:rsidR="4D05CF16">
        <w:rPr>
          <w:rFonts w:ascii="ui-sans-serif" w:hAnsi="ui-sans-serif" w:eastAsia="ui-sans-serif" w:cs="ui-sans-serif"/>
          <w:noProof w:val="0"/>
          <w:color w:val="0D0D0D" w:themeColor="text1" w:themeTint="F2" w:themeShade="FF"/>
          <w:sz w:val="24"/>
          <w:szCs w:val="24"/>
          <w:lang w:val="en-GB"/>
        </w:rPr>
        <w:t>.</w:t>
      </w:r>
      <w:r>
        <w:br/>
      </w:r>
      <w:r w:rsidRPr="69441A9A" w:rsidR="169E50BE">
        <w:rPr>
          <w:rFonts w:ascii="ui-sans-serif" w:hAnsi="ui-sans-serif" w:eastAsia="ui-sans-serif" w:cs="ui-sans-serif"/>
          <w:b w:val="1"/>
          <w:bCs w:val="1"/>
          <w:noProof w:val="0"/>
          <w:color w:val="0D0D0D" w:themeColor="text1" w:themeTint="F2" w:themeShade="FF"/>
          <w:sz w:val="24"/>
          <w:szCs w:val="24"/>
          <w:lang w:val="en-GB"/>
        </w:rPr>
        <w:t xml:space="preserve">2.7 </w:t>
      </w:r>
      <w:r w:rsidRPr="69441A9A" w:rsidR="4D05CF16">
        <w:rPr>
          <w:rFonts w:ascii="ui-sans-serif" w:hAnsi="ui-sans-serif" w:eastAsia="ui-sans-serif" w:cs="ui-sans-serif"/>
          <w:b w:val="1"/>
          <w:bCs w:val="1"/>
          <w:noProof w:val="0"/>
          <w:color w:val="0D0D0D" w:themeColor="text1" w:themeTint="F2" w:themeShade="FF"/>
          <w:sz w:val="24"/>
          <w:szCs w:val="24"/>
          <w:lang w:val="en-GB"/>
        </w:rPr>
        <w:t>Informed Consent</w:t>
      </w:r>
    </w:p>
    <w:p w:rsidRPr="00325652" w:rsidR="004658B4" w:rsidP="69441A9A" w:rsidRDefault="004658B4" w14:paraId="18744651" w14:textId="32FC2DA2">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Informed consent was treated as an ongoing process rather than a single event. Participants received clear information regarding the study aims, voluntary participation, and their right to withdraw. Given the hereditary nature of HD, consent discussions also recognised the relational implications of sharing experiences that might indirectly disclose information about family members.</w:t>
      </w:r>
    </w:p>
    <w:p w:rsidRPr="00325652" w:rsidR="004658B4" w:rsidP="69441A9A" w:rsidRDefault="004658B4" w14:paraId="29BE7CC1" w14:textId="00D0ACCE">
      <w:pPr>
        <w:pStyle w:val="Heading3"/>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rsidRPr="69441A9A" w:rsidR="0712AFC8">
        <w:rPr>
          <w:rFonts w:ascii="ui-sans-serif" w:hAnsi="ui-sans-serif" w:eastAsia="ui-sans-serif" w:cs="ui-sans-serif"/>
          <w:b w:val="1"/>
          <w:bCs w:val="1"/>
          <w:noProof w:val="0"/>
          <w:color w:val="0D0D0D" w:themeColor="text1" w:themeTint="F2" w:themeShade="FF"/>
          <w:sz w:val="24"/>
          <w:szCs w:val="24"/>
          <w:lang w:val="en-GB"/>
        </w:rPr>
        <w:t xml:space="preserve">2.8 </w:t>
      </w:r>
      <w:r w:rsidRPr="69441A9A" w:rsidR="4D05CF16">
        <w:rPr>
          <w:rFonts w:ascii="ui-sans-serif" w:hAnsi="ui-sans-serif" w:eastAsia="ui-sans-serif" w:cs="ui-sans-serif"/>
          <w:b w:val="1"/>
          <w:bCs w:val="1"/>
          <w:noProof w:val="0"/>
          <w:color w:val="0D0D0D" w:themeColor="text1" w:themeTint="F2" w:themeShade="FF"/>
          <w:sz w:val="24"/>
          <w:szCs w:val="24"/>
          <w:lang w:val="en-GB"/>
        </w:rPr>
        <w:t>Managing Emotional Risk</w:t>
      </w:r>
    </w:p>
    <w:p w:rsidRPr="00325652" w:rsidR="004658B4" w:rsidP="69441A9A" w:rsidRDefault="004658B4" w14:paraId="30ED75C1" w14:textId="49C21DE8">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Because HD narratives can involve distressing themes, interviews were conducted sensitively, with attention to emotional cues and participant pacing. A distress protocol included pausing interviews, offering breaks, and signposting appropriate support services. Given evidence that psychological support following predictive testing may be limited, ethical containment was an important responsibility of the researcher.</w:t>
      </w:r>
    </w:p>
    <w:p w:rsidRPr="00325652" w:rsidR="004658B4" w:rsidP="69441A9A" w:rsidRDefault="004658B4" w14:paraId="4CB77308" w14:textId="3641F9E0">
      <w:pPr>
        <w:pStyle w:val="Heading3"/>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rsidRPr="69441A9A" w:rsidR="12C29E5A">
        <w:rPr>
          <w:rFonts w:ascii="ui-sans-serif" w:hAnsi="ui-sans-serif" w:eastAsia="ui-sans-serif" w:cs="ui-sans-serif"/>
          <w:b w:val="1"/>
          <w:bCs w:val="1"/>
          <w:noProof w:val="0"/>
          <w:color w:val="0D0D0D" w:themeColor="text1" w:themeTint="F2" w:themeShade="FF"/>
          <w:sz w:val="24"/>
          <w:szCs w:val="24"/>
          <w:lang w:val="en-GB"/>
        </w:rPr>
        <w:t xml:space="preserve">2.9 </w:t>
      </w:r>
      <w:r w:rsidRPr="69441A9A" w:rsidR="4D05CF16">
        <w:rPr>
          <w:rFonts w:ascii="ui-sans-serif" w:hAnsi="ui-sans-serif" w:eastAsia="ui-sans-serif" w:cs="ui-sans-serif"/>
          <w:b w:val="1"/>
          <w:bCs w:val="1"/>
          <w:noProof w:val="0"/>
          <w:color w:val="0D0D0D" w:themeColor="text1" w:themeTint="F2" w:themeShade="FF"/>
          <w:sz w:val="24"/>
          <w:szCs w:val="24"/>
          <w:lang w:val="en-GB"/>
        </w:rPr>
        <w:t>Confidentiality and Anonymity</w:t>
      </w:r>
    </w:p>
    <w:p w:rsidRPr="00325652" w:rsidR="004658B4" w:rsidP="69441A9A" w:rsidRDefault="004658B4" w14:paraId="1CA78DEE" w14:textId="167A96CB">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Confidentiality was prioritised through anonymisation of personal and familial details. Participants were informed that, although efforts would be made to protect their identities, complete anonymity of family members could not be guaranteed. Data handling followed GDPR principles and institutional ethical requirements.</w:t>
      </w:r>
    </w:p>
    <w:p w:rsidRPr="00325652" w:rsidR="004658B4" w:rsidP="69441A9A" w:rsidRDefault="004658B4" w14:paraId="09ABFE08" w14:textId="4838D002">
      <w:pPr>
        <w:pStyle w:val="Heading3"/>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rsidRPr="69441A9A" w:rsidR="41439B16">
        <w:rPr>
          <w:rFonts w:ascii="ui-sans-serif" w:hAnsi="ui-sans-serif" w:eastAsia="ui-sans-serif" w:cs="ui-sans-serif"/>
          <w:b w:val="1"/>
          <w:bCs w:val="1"/>
          <w:noProof w:val="0"/>
          <w:color w:val="0D0D0D" w:themeColor="text1" w:themeTint="F2" w:themeShade="FF"/>
          <w:sz w:val="24"/>
          <w:szCs w:val="24"/>
          <w:lang w:val="en-GB"/>
        </w:rPr>
        <w:t xml:space="preserve">2.10 </w:t>
      </w:r>
      <w:r w:rsidRPr="69441A9A" w:rsidR="4D05CF16">
        <w:rPr>
          <w:rFonts w:ascii="ui-sans-serif" w:hAnsi="ui-sans-serif" w:eastAsia="ui-sans-serif" w:cs="ui-sans-serif"/>
          <w:b w:val="1"/>
          <w:bCs w:val="1"/>
          <w:noProof w:val="0"/>
          <w:color w:val="0D0D0D" w:themeColor="text1" w:themeTint="F2" w:themeShade="FF"/>
          <w:sz w:val="24"/>
          <w:szCs w:val="24"/>
          <w:lang w:val="en-GB"/>
        </w:rPr>
        <w:t>Power, Representation, and Voice</w:t>
      </w:r>
    </w:p>
    <w:p w:rsidRPr="00325652" w:rsidR="004658B4" w:rsidP="69441A9A" w:rsidRDefault="004658B4" w14:paraId="7C936649" w14:textId="55E26AE5">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The study sought to represent participants’ experiences with nuance and respect, avoiding deterministic or pathologising interpretations. As HD literature identifies both distress and resilience, analysis aimed to reflect the complexity of participants’ experiences rather than reduce them to predetermined categories.</w:t>
      </w:r>
    </w:p>
    <w:p w:rsidRPr="00325652" w:rsidR="004658B4" w:rsidP="69441A9A" w:rsidRDefault="004658B4" w14:paraId="4805F526" w14:textId="0FB6B366">
      <w:pPr>
        <w:pStyle w:val="Heading3"/>
        <w:numPr>
          <w:ilvl w:val="0"/>
          <w:numId w:val="0"/>
        </w:numPr>
        <w:spacing w:before="240" w:beforeAutospacing="off" w:after="60" w:afterAutospacing="off"/>
        <w:ind w:left="0"/>
        <w:rPr>
          <w:rFonts w:ascii="ui-sans-serif" w:hAnsi="ui-sans-serif" w:eastAsia="ui-sans-serif" w:cs="ui-sans-serif"/>
          <w:b w:val="1"/>
          <w:bCs w:val="1"/>
          <w:noProof w:val="0"/>
          <w:color w:val="0D0D0D" w:themeColor="text1" w:themeTint="F2" w:themeShade="FF"/>
          <w:sz w:val="24"/>
          <w:szCs w:val="24"/>
          <w:lang w:val="en-GB"/>
        </w:rPr>
      </w:pPr>
      <w:r w:rsidRPr="69441A9A" w:rsidR="383F1E5F">
        <w:rPr>
          <w:rFonts w:ascii="ui-sans-serif" w:hAnsi="ui-sans-serif" w:eastAsia="ui-sans-serif" w:cs="ui-sans-serif"/>
          <w:b w:val="1"/>
          <w:bCs w:val="1"/>
          <w:noProof w:val="0"/>
          <w:color w:val="0D0D0D" w:themeColor="text1" w:themeTint="F2" w:themeShade="FF"/>
          <w:sz w:val="24"/>
          <w:szCs w:val="24"/>
          <w:lang w:val="en-GB"/>
        </w:rPr>
        <w:t xml:space="preserve">2.11 </w:t>
      </w:r>
      <w:r w:rsidRPr="69441A9A" w:rsidR="4D05CF16">
        <w:rPr>
          <w:rFonts w:ascii="ui-sans-serif" w:hAnsi="ui-sans-serif" w:eastAsia="ui-sans-serif" w:cs="ui-sans-serif"/>
          <w:b w:val="1"/>
          <w:bCs w:val="1"/>
          <w:noProof w:val="0"/>
          <w:color w:val="0D0D0D" w:themeColor="text1" w:themeTint="F2" w:themeShade="FF"/>
          <w:sz w:val="24"/>
          <w:szCs w:val="24"/>
          <w:lang w:val="en-GB"/>
        </w:rPr>
        <w:t>Researcher Positionality</w:t>
      </w:r>
    </w:p>
    <w:p w:rsidRPr="00325652" w:rsidR="004658B4" w:rsidP="69441A9A" w:rsidRDefault="004658B4" w14:paraId="6770797C" w14:textId="33525892">
      <w:pPr>
        <w:spacing w:before="60" w:beforeAutospacing="off" w:after="60" w:afterAutospacing="off"/>
      </w:pPr>
      <w:r w:rsidRPr="69441A9A" w:rsidR="4D05CF16">
        <w:rPr>
          <w:rFonts w:ascii="ui-sans-serif" w:hAnsi="ui-sans-serif" w:eastAsia="ui-sans-serif" w:cs="ui-sans-serif"/>
          <w:noProof w:val="0"/>
          <w:color w:val="0D0D0D" w:themeColor="text1" w:themeTint="F2" w:themeShade="FF"/>
          <w:sz w:val="24"/>
          <w:szCs w:val="24"/>
          <w:lang w:val="en-GB"/>
        </w:rPr>
        <w:t>The researcher occupies an insider position as an HD-impacted individual and ambassador. This offers potential strengths, including enhanced rapport, experiential understanding, and cultural familiarity, but also creates methodological and ethical complexities. Participants may disclose sensitive material more readily or assume shared understanding, making boundary clarity important.</w:t>
      </w:r>
    </w:p>
    <w:p w:rsidRPr="00325652" w:rsidR="004658B4" w:rsidP="69441A9A" w:rsidRDefault="004658B4" w14:paraId="6241BED5" w14:textId="76823718">
      <w:pPr>
        <w:spacing w:before="240" w:beforeAutospacing="off" w:after="240" w:afterAutospacing="off"/>
      </w:pPr>
      <w:r w:rsidRPr="69441A9A" w:rsidR="4D05CF16">
        <w:rPr>
          <w:rFonts w:ascii="ui-sans-serif" w:hAnsi="ui-sans-serif" w:eastAsia="ui-sans-serif" w:cs="ui-sans-serif"/>
          <w:noProof w:val="0"/>
          <w:color w:val="0D0D0D" w:themeColor="text1" w:themeTint="F2" w:themeShade="FF"/>
          <w:sz w:val="24"/>
          <w:szCs w:val="24"/>
          <w:lang w:val="en-GB"/>
        </w:rPr>
        <w:t>Reflexive practice was embedded throughout the research through a reflexive journal, supervisory dialogue, and monitoring of emotional responses during interviews. These practices supported critical awareness of the researcher’s influence and helped prevent personal experience from overshadowing participants’ voices or shaping interpretation without consideration.</w:t>
      </w:r>
    </w:p>
    <w:p w:rsidRPr="00325652" w:rsidR="004658B4" w:rsidP="69441A9A" w:rsidRDefault="004658B4" w14:paraId="079E83C7" w14:textId="49DB1B76">
      <w:pPr>
        <w:spacing w:before="240" w:beforeAutospacing="off" w:after="0" w:afterAutospacing="off"/>
      </w:pPr>
      <w:r w:rsidRPr="69441A9A" w:rsidR="4D05CF16">
        <w:rPr>
          <w:rFonts w:ascii="ui-sans-serif" w:hAnsi="ui-sans-serif" w:eastAsia="ui-sans-serif" w:cs="ui-sans-serif"/>
          <w:noProof w:val="0"/>
          <w:color w:val="0D0D0D" w:themeColor="text1" w:themeTint="F2" w:themeShade="FF"/>
          <w:sz w:val="24"/>
          <w:szCs w:val="24"/>
          <w:lang w:val="en-GB"/>
        </w:rPr>
        <w:t>The dual role of ambassador and researcher required explicit boundary management. Participants were reminded that the researcher was acting in an academic capacity rather than providing advocacy or therapeutic support. Maintaining this distinction supported ethical integrity while allowing experiential knowledge to contribute to the depth and sensitivity of the study.</w:t>
      </w:r>
    </w:p>
    <w:p w:rsidRPr="00325652" w:rsidR="004658B4" w:rsidP="69441A9A" w:rsidRDefault="004658B4" w14:paraId="7DDE2D11" w14:textId="51E65097">
      <w:pPr>
        <w:rPr>
          <w:rFonts w:ascii="Arial" w:hAnsi="Arial" w:eastAsia="Arial" w:cs="Arial"/>
          <w:sz w:val="24"/>
          <w:szCs w:val="24"/>
        </w:rPr>
      </w:pPr>
    </w:p>
    <w:p w:rsidR="69441A9A" w:rsidP="69441A9A" w:rsidRDefault="69441A9A" w14:paraId="1A370B38" w14:textId="05D22EDA">
      <w:pPr>
        <w:rPr>
          <w:rFonts w:ascii="Arial" w:hAnsi="Arial" w:eastAsia="Arial" w:cs="Arial"/>
          <w:sz w:val="24"/>
          <w:szCs w:val="24"/>
        </w:rPr>
      </w:pPr>
    </w:p>
    <w:p w:rsidR="00B675FB" w:rsidP="69441A9A" w:rsidRDefault="00B675FB" w14:paraId="6A1B63DC" w14:textId="3BC6F281">
      <w:pPr>
        <w:pStyle w:val="Heading1"/>
        <w:ind w:left="0"/>
        <w:rPr>
          <w:rFonts w:ascii="Arial" w:hAnsi="Arial" w:eastAsia="Arial" w:cs="Arial"/>
        </w:rPr>
      </w:pPr>
      <w:r w:rsidR="663E9881">
        <w:drawing>
          <wp:anchor distT="0" distB="0" distL="114300" distR="114300" simplePos="0" relativeHeight="251660288" behindDoc="0" locked="0" layoutInCell="1" allowOverlap="1" wp14:editId="5CABE26F" wp14:anchorId="769DBF80">
            <wp:simplePos x="0" y="0"/>
            <wp:positionH relativeFrom="column">
              <wp:posOffset>-200025</wp:posOffset>
            </wp:positionH>
            <wp:positionV relativeFrom="paragraph">
              <wp:posOffset>-3495675</wp:posOffset>
            </wp:positionV>
            <wp:extent cx="4701540" cy="1320578"/>
            <wp:effectExtent l="0" t="0" r="0" b="0"/>
            <wp:wrapNone/>
            <wp:docPr id="419006581"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4"/>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val="0"/>
                        </a:ext>
                      </a:extLst>
                    </a:blip>
                    <a:srcRect/>
                    <a:stretch>
                      <a:fillRect/>
                    </a:stretch>
                  </pic:blipFill>
                  <pic:spPr bwMode="auto">
                    <a:xfrm>
                      <a:off x="0" y="0"/>
                      <a:ext cx="4701540" cy="1320578"/>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name="_Toc238028884" w:id="40"/>
      <w:r w:rsidRPr="69441A9A" w:rsidR="355F48E0">
        <w:rPr>
          <w:rFonts w:ascii="Arial" w:hAnsi="Arial" w:eastAsia="Arial" w:cs="Arial"/>
          <w:noProof w:val="0"/>
        </w:rPr>
        <w:t>Findings</w:t>
      </w:r>
      <w:bookmarkEnd w:id="40"/>
      <w:r w:rsidRPr="69441A9A" w:rsidR="355F48E0">
        <w:rPr>
          <w:rFonts w:ascii="Arial" w:hAnsi="Arial" w:eastAsia="Arial" w:cs="Arial"/>
          <w:noProof w:val="0"/>
        </w:rPr>
        <w:t xml:space="preserve"> </w:t>
      </w:r>
      <w:bookmarkStart w:name="_Toc238028885" w:id="41"/>
      <w:r>
        <w:br/>
      </w:r>
      <w:r>
        <w:br/>
      </w:r>
      <w:r w:rsidRPr="69441A9A" w:rsidR="6868AC59">
        <w:rPr>
          <w:rFonts w:ascii="Arial" w:hAnsi="Arial" w:eastAsia="Arial" w:cs="Arial"/>
        </w:rPr>
        <w:t>Introduction</w:t>
      </w:r>
      <w:bookmarkEnd w:id="41"/>
      <w:r w:rsidRPr="69441A9A" w:rsidR="6868AC59">
        <w:rPr>
          <w:rFonts w:ascii="Arial" w:hAnsi="Arial" w:eastAsia="Arial" w:cs="Arial"/>
        </w:rPr>
        <w:t xml:space="preserve"> </w:t>
      </w:r>
    </w:p>
    <w:p w:rsidR="27E9B928" w:rsidP="69441A9A" w:rsidRDefault="27E9B928" w14:paraId="653AB614" w14:textId="15F3A5F5">
      <w:pPr>
        <w:pStyle w:val="Normal"/>
      </w:pPr>
      <w:r w:rsidR="27E9B928">
        <w:drawing>
          <wp:inline wp14:editId="0E693320" wp14:anchorId="148C5FBC">
            <wp:extent cx="5800725" cy="1685925"/>
            <wp:effectExtent l="0" t="0" r="0" b="0"/>
            <wp:docPr id="19055866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5586663" name="Picture 1905586663"/>
                    <pic:cNvPicPr/>
                  </pic:nvPicPr>
                  <pic:blipFill>
                    <a:blip xmlns:r="http://schemas.openxmlformats.org/officeDocument/2006/relationships" r:embed="rId1293189788">
                      <a:extLst>
                        <a:ext uri="{28A0092B-C50C-407E-A947-70E740481C1C}">
                          <a14:useLocalDpi xmlns:a14="http://schemas.microsoft.com/office/drawing/2010/main"/>
                        </a:ext>
                      </a:extLst>
                    </a:blip>
                    <a:stretch>
                      <a:fillRect/>
                    </a:stretch>
                  </pic:blipFill>
                  <pic:spPr>
                    <a:xfrm>
                      <a:off x="0" y="0"/>
                      <a:ext cx="5800725" cy="1685925"/>
                    </a:xfrm>
                    <a:prstGeom prst="rect">
                      <a:avLst/>
                    </a:prstGeom>
                  </pic:spPr>
                </pic:pic>
              </a:graphicData>
            </a:graphic>
          </wp:inline>
        </w:drawing>
      </w:r>
    </w:p>
    <w:p w:rsidRPr="0089524A" w:rsidR="0089524A" w:rsidP="69441A9A" w:rsidRDefault="0089524A" w14:paraId="20D1D853" w14:textId="7779B2B6">
      <w:pPr>
        <w:pStyle w:val="Normal"/>
        <w:jc w:val="both"/>
        <w:rPr>
          <w:rFonts w:ascii="Arial" w:hAnsi="Arial" w:eastAsia="Arial" w:cs="Arial"/>
        </w:rPr>
      </w:pPr>
      <w:r w:rsidRPr="69441A9A" w:rsidR="172F9D26">
        <w:rPr>
          <w:rFonts w:ascii="Arial" w:hAnsi="Arial" w:eastAsia="Arial" w:cs="Arial"/>
          <w:color w:val="000000" w:themeColor="text1" w:themeTint="FF" w:themeShade="FF"/>
          <w:sz w:val="24"/>
          <w:szCs w:val="24"/>
        </w:rPr>
        <w:t>This chapter presen</w:t>
      </w:r>
      <w:r w:rsidRPr="69441A9A" w:rsidR="172F9D26">
        <w:rPr>
          <w:rFonts w:ascii="Arial" w:hAnsi="Arial" w:eastAsia="Arial" w:cs="Arial"/>
          <w:color w:val="000000" w:themeColor="text1" w:themeTint="FF" w:themeShade="FF"/>
          <w:sz w:val="24"/>
          <w:szCs w:val="24"/>
        </w:rPr>
        <w:t>ts the findings from the Interpretative Phenomenological Analysis (IPA) of six semi-structured interviews conducted with HDA ambassadors who had undergone predictive genetic testing for HD.</w:t>
      </w:r>
      <w:r>
        <w:br/>
      </w:r>
    </w:p>
    <w:p w:rsidR="0089524A" w:rsidP="69441A9A" w:rsidRDefault="0089524A" w14:paraId="7DD54021" w14:textId="361240AD">
      <w:pPr>
        <w:pStyle w:val="Normal"/>
        <w:spacing w:before="240"/>
        <w:jc w:val="both"/>
        <w:rPr>
          <w:rFonts w:ascii="Arial" w:hAnsi="Arial" w:eastAsia="Arial" w:cs="Arial"/>
          <w:color w:val="000000" w:themeColor="text1"/>
          <w:sz w:val="24"/>
          <w:szCs w:val="24"/>
        </w:rPr>
      </w:pPr>
      <w:r w:rsidRPr="69441A9A" w:rsidR="172F9D26">
        <w:rPr>
          <w:rFonts w:ascii="Arial" w:hAnsi="Arial" w:eastAsia="Arial" w:cs="Arial"/>
          <w:color w:val="000000" w:themeColor="text1" w:themeTint="FF" w:themeShade="FF"/>
          <w:sz w:val="24"/>
          <w:szCs w:val="24"/>
        </w:rPr>
        <w:t xml:space="preserve">Five group experiential themes were </w:t>
      </w:r>
      <w:r w:rsidRPr="69441A9A" w:rsidR="172F9D26">
        <w:rPr>
          <w:rFonts w:ascii="Arial" w:hAnsi="Arial" w:eastAsia="Arial" w:cs="Arial"/>
          <w:color w:val="000000" w:themeColor="text1" w:themeTint="FF" w:themeShade="FF"/>
          <w:sz w:val="24"/>
          <w:szCs w:val="24"/>
        </w:rPr>
        <w:t>identified</w:t>
      </w:r>
      <w:r w:rsidRPr="69441A9A" w:rsidR="172F9D26">
        <w:rPr>
          <w:rFonts w:ascii="Arial" w:hAnsi="Arial" w:eastAsia="Arial" w:cs="Arial"/>
          <w:color w:val="000000" w:themeColor="text1" w:themeTint="FF" w:themeShade="FF"/>
          <w:sz w:val="24"/>
          <w:szCs w:val="24"/>
        </w:rPr>
        <w:t xml:space="preserve"> from the analysis, each </w:t>
      </w:r>
      <w:r w:rsidRPr="69441A9A" w:rsidR="172F9D26">
        <w:rPr>
          <w:rFonts w:ascii="Arial" w:hAnsi="Arial" w:eastAsia="Arial" w:cs="Arial"/>
          <w:color w:val="000000" w:themeColor="text1" w:themeTint="FF" w:themeShade="FF"/>
          <w:sz w:val="24"/>
          <w:szCs w:val="24"/>
        </w:rPr>
        <w:t>comprising</w:t>
      </w:r>
      <w:r w:rsidRPr="69441A9A" w:rsidR="172F9D26">
        <w:rPr>
          <w:rFonts w:ascii="Arial" w:hAnsi="Arial" w:eastAsia="Arial" w:cs="Arial"/>
          <w:color w:val="000000" w:themeColor="text1" w:themeTint="FF" w:themeShade="FF"/>
          <w:sz w:val="24"/>
          <w:szCs w:val="24"/>
        </w:rPr>
        <w:t xml:space="preserve"> several interconnected personal experiential themes that capture </w:t>
      </w:r>
      <w:r w:rsidRPr="69441A9A" w:rsidR="172F9D26">
        <w:rPr>
          <w:rFonts w:ascii="Arial" w:hAnsi="Arial" w:eastAsia="Arial" w:cs="Arial"/>
          <w:color w:val="000000" w:themeColor="text1" w:themeTint="FF" w:themeShade="FF"/>
          <w:sz w:val="24"/>
          <w:szCs w:val="24"/>
        </w:rPr>
        <w:t>different aspects</w:t>
      </w:r>
      <w:r w:rsidRPr="69441A9A" w:rsidR="172F9D26">
        <w:rPr>
          <w:rFonts w:ascii="Arial" w:hAnsi="Arial" w:eastAsia="Arial" w:cs="Arial"/>
          <w:color w:val="000000" w:themeColor="text1" w:themeTint="FF" w:themeShade="FF"/>
          <w:sz w:val="24"/>
          <w:szCs w:val="24"/>
        </w:rPr>
        <w:t xml:space="preserve"> of </w:t>
      </w:r>
      <w:r w:rsidRPr="69441A9A" w:rsidR="172F9D26">
        <w:rPr>
          <w:rFonts w:ascii="Arial" w:hAnsi="Arial" w:eastAsia="Arial" w:cs="Arial"/>
          <w:color w:val="000000" w:themeColor="text1" w:themeTint="FF" w:themeShade="FF"/>
          <w:sz w:val="24"/>
          <w:szCs w:val="24"/>
        </w:rPr>
        <w:t>participants'</w:t>
      </w:r>
      <w:r w:rsidRPr="69441A9A" w:rsidR="172F9D26">
        <w:rPr>
          <w:rFonts w:ascii="Arial" w:hAnsi="Arial" w:eastAsia="Arial" w:cs="Arial"/>
          <w:color w:val="000000" w:themeColor="text1" w:themeTint="FF" w:themeShade="FF"/>
          <w:sz w:val="24"/>
          <w:szCs w:val="24"/>
        </w:rPr>
        <w:t xml:space="preserve"> lived experiences. Although participants differed in their personal histories, family circumstances, and genetic outcomes, there was considerable overlap in how they described the emotional and relational impact of predictive testing. Equally, </w:t>
      </w:r>
      <w:r w:rsidRPr="69441A9A" w:rsidR="172F9D26">
        <w:rPr>
          <w:rFonts w:ascii="Arial" w:hAnsi="Arial" w:eastAsia="Arial" w:cs="Arial"/>
          <w:color w:val="000000" w:themeColor="text1" w:themeTint="FF" w:themeShade="FF"/>
          <w:sz w:val="24"/>
          <w:szCs w:val="24"/>
        </w:rPr>
        <w:t>important areas</w:t>
      </w:r>
      <w:r w:rsidRPr="69441A9A" w:rsidR="172F9D26">
        <w:rPr>
          <w:rFonts w:ascii="Arial" w:hAnsi="Arial" w:eastAsia="Arial" w:cs="Arial"/>
          <w:color w:val="000000" w:themeColor="text1" w:themeTint="FF" w:themeShade="FF"/>
          <w:sz w:val="24"/>
          <w:szCs w:val="24"/>
        </w:rPr>
        <w:t xml:space="preserve"> of divergence reflected the unique ways in which individuals interpreted and made sen</w:t>
      </w:r>
      <w:r w:rsidRPr="69441A9A" w:rsidR="172F9D26">
        <w:rPr>
          <w:rFonts w:ascii="Arial" w:hAnsi="Arial" w:eastAsia="Arial" w:cs="Arial"/>
          <w:color w:val="000000" w:themeColor="text1" w:themeTint="FF" w:themeShade="FF"/>
          <w:sz w:val="24"/>
          <w:szCs w:val="24"/>
        </w:rPr>
        <w:t>se of their experiences.</w:t>
      </w:r>
    </w:p>
    <w:p w:rsidRPr="0089524A" w:rsidR="0089524A" w:rsidP="69441A9A" w:rsidRDefault="0089524A" w14:paraId="0AE39C6F" w14:textId="24BC3CD5">
      <w:pPr>
        <w:pStyle w:val="Normal"/>
        <w:spacing w:before="240"/>
        <w:jc w:val="both"/>
        <w:rPr>
          <w:rFonts w:ascii="Arial" w:hAnsi="Arial" w:eastAsia="Arial" w:cs="Arial"/>
        </w:rPr>
      </w:pPr>
    </w:p>
    <w:p w:rsidRPr="0089524A" w:rsidR="0089524A" w:rsidP="69441A9A" w:rsidRDefault="0089524A" w14:paraId="790A20BB" w14:textId="21092AAA">
      <w:pPr>
        <w:pStyle w:val="Normal"/>
        <w:spacing w:before="240"/>
        <w:jc w:val="both"/>
        <w:rPr>
          <w:rFonts w:ascii="Arial" w:hAnsi="Arial" w:eastAsia="Arial" w:cs="Arial"/>
          <w:color w:val="000000" w:themeColor="text1"/>
        </w:rPr>
      </w:pPr>
      <w:r w:rsidRPr="69441A9A" w:rsidR="172F9D26">
        <w:rPr>
          <w:rFonts w:ascii="Arial" w:hAnsi="Arial" w:eastAsia="Arial" w:cs="Arial"/>
          <w:color w:val="000000" w:themeColor="text1" w:themeTint="FF" w:themeShade="FF"/>
          <w:sz w:val="24"/>
          <w:szCs w:val="24"/>
        </w:rPr>
        <w:t xml:space="preserve">Each theme is presented in turn. Due to the word limit of this dissertation, a summary of the first theme, which reflects the lived experience prior to genetic testing, is presented, with the full interpretation available in Appendix </w:t>
      </w:r>
      <w:r w:rsidRPr="69441A9A" w:rsidR="5DFAF567">
        <w:rPr>
          <w:rFonts w:ascii="Arial" w:hAnsi="Arial" w:eastAsia="Arial" w:cs="Arial"/>
          <w:color w:val="000000" w:themeColor="text1" w:themeTint="FF" w:themeShade="FF"/>
          <w:sz w:val="24"/>
          <w:szCs w:val="24"/>
        </w:rPr>
        <w:t>E</w:t>
      </w:r>
      <w:r w:rsidRPr="69441A9A" w:rsidR="172F9D26">
        <w:rPr>
          <w:rFonts w:ascii="Arial" w:hAnsi="Arial" w:eastAsia="Arial" w:cs="Arial"/>
          <w:color w:val="000000" w:themeColor="text1" w:themeTint="FF" w:themeShade="FF"/>
          <w:sz w:val="24"/>
          <w:szCs w:val="24"/>
        </w:rPr>
        <w:t xml:space="preserve">. The remaining four themes, which reflect lived experience following genetic testing, are discussed fully and supported by verbatim extracts from participants' interviews. Pseudonyms have been used throughout to protect confidentiality, while quotations have been selected to illustrate both shared experiences and individual variations within the data. Interpretations are grounded in participants' </w:t>
      </w:r>
      <w:r w:rsidRPr="69441A9A" w:rsidR="172F9D26">
        <w:rPr>
          <w:rFonts w:ascii="Arial" w:hAnsi="Arial" w:eastAsia="Arial" w:cs="Arial"/>
          <w:color w:val="000000" w:themeColor="text1" w:themeTint="FF" w:themeShade="FF"/>
          <w:sz w:val="24"/>
          <w:szCs w:val="24"/>
        </w:rPr>
        <w:t xml:space="preserve">accounts and remain faithful to the phenomenological commitment of IPA, with wider connections to existing literature reserved for the </w:t>
      </w:r>
      <w:r w:rsidRPr="69441A9A" w:rsidR="172F9D26">
        <w:rPr>
          <w:rFonts w:ascii="Arial" w:hAnsi="Arial" w:eastAsia="Arial" w:cs="Arial"/>
          <w:color w:val="000000" w:themeColor="text1" w:themeTint="FF" w:themeShade="FF"/>
          <w:sz w:val="24"/>
          <w:szCs w:val="24"/>
        </w:rPr>
        <w:t>subsequent</w:t>
      </w:r>
      <w:r w:rsidRPr="69441A9A" w:rsidR="172F9D26">
        <w:rPr>
          <w:rFonts w:ascii="Arial" w:hAnsi="Arial" w:eastAsia="Arial" w:cs="Arial"/>
          <w:color w:val="000000" w:themeColor="text1" w:themeTint="FF" w:themeShade="FF"/>
          <w:sz w:val="24"/>
          <w:szCs w:val="24"/>
        </w:rPr>
        <w:t xml:space="preserve"> discussion chapter.</w:t>
      </w:r>
      <w:r>
        <w:br/>
      </w:r>
    </w:p>
    <w:p w:rsidR="005E50B8" w:rsidP="69441A9A" w:rsidRDefault="005E50B8" w14:paraId="2DAA6C6E" w14:textId="11B15D3D">
      <w:pPr>
        <w:pStyle w:val="Normal"/>
        <w:rPr>
          <w:rFonts w:ascii="Arial" w:hAnsi="Arial" w:eastAsia="Arial" w:cs="Arial"/>
        </w:rPr>
      </w:pPr>
      <w:r w:rsidR="45971CA5">
        <w:drawing>
          <wp:anchor distT="0" distB="0" distL="114300" distR="114300" simplePos="0" relativeHeight="251661312" behindDoc="0" locked="0" layoutInCell="1" allowOverlap="1" wp14:editId="76F406CC" wp14:anchorId="1326604C">
            <wp:simplePos x="0" y="0"/>
            <wp:positionH relativeFrom="column">
              <wp:posOffset>-47625</wp:posOffset>
            </wp:positionH>
            <wp:positionV relativeFrom="paragraph">
              <wp:posOffset>476250</wp:posOffset>
            </wp:positionV>
            <wp:extent cx="3985260" cy="4549775"/>
            <wp:effectExtent l="0" t="0" r="0" b="0"/>
            <wp:wrapNone/>
            <wp:docPr id="204538352" name="Picture 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5"/>
                    <pic:cNvPicPr>
                      <a:picLocks noChangeAspect="1" noChangeArrowheads="1"/>
                    </pic:cNvPicPr>
                  </pic:nvPicPr>
                  <pic:blipFill rotWithShape="1">
                    <a:blip xmlns:r="http://schemas.openxmlformats.org/officeDocument/2006/relationships" r:embed="rId12">
                      <a:extLst>
                        <a:ext uri="{28A0092B-C50C-407E-A947-70E740481C1C}">
                          <a14:useLocalDpi xmlns:a14="http://schemas.microsoft.com/office/drawing/2010/main" val="0"/>
                        </a:ext>
                      </a:extLst>
                    </a:blip>
                    <a:srcRect t="6104"/>
                    <a:stretch>
                      <a:fillRect/>
                    </a:stretch>
                  </pic:blipFill>
                  <pic:spPr bwMode="auto">
                    <a:xfrm>
                      <a:off x="0" y="0"/>
                      <a:ext cx="3985260" cy="4549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724E71EA" wp14:editId="0FFC0B61">
                <wp:extent xmlns:wp="http://schemas.openxmlformats.org/drawingml/2006/wordprocessingDrawing" cx="914400" cy="358140"/>
                <wp:effectExtent xmlns:wp="http://schemas.openxmlformats.org/drawingml/2006/wordprocessingDrawing" l="0" t="0" r="6350" b="3810"/>
                <wp:docPr xmlns:wp="http://schemas.openxmlformats.org/drawingml/2006/wordprocessingDrawing" id="491131431" name="Text Box 5"/>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914400" cy="358140"/>
                        </a:xfrm>
                        <a:prstGeom prst="rect">
                          <a:avLst/>
                        </a:prstGeom>
                        <a:solidFill>
                          <a:schemeClr val="lt1"/>
                        </a:solidFill>
                        <a:ln w="6350">
                          <a:noFill/>
                        </a:ln>
                      </wps:spPr>
                      <wps:txbx>
                        <w:txbxContent xmlns:w="http://schemas.openxmlformats.org/wordprocessingml/2006/main">
                          <w:p xmlns:w14="http://schemas.microsoft.com/office/word/2010/wordml" w:rsidRPr="00AF5F5D" w:rsidR="00F221D2" w:rsidRDefault="00F221D2" w14:paraId="3802C79D" w14:textId="60A68905">
                            <w:pPr>
                              <w:rPr>
                                <w:rFonts w:cs="Arial"/>
                                <w:bCs w:val="0"/>
                                <w:sz w:val="20"/>
                                <w:szCs w:val="20"/>
                              </w:rPr>
                            </w:pPr>
                            <w:r w:rsidRPr="00AF5F5D">
                              <w:rPr>
                                <w:rFonts w:eastAsia="Times New Roman" w:cs="Arial"/>
                                <w:bCs w:val="0"/>
                                <w:color w:val="000000" w:themeColor="text1"/>
                                <w:sz w:val="20"/>
                                <w:szCs w:val="20"/>
                              </w:rPr>
                              <w:t>Table 4.1: Participant Characteristics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inline>
            </w:drawing>
          </mc:Choice>
          <mc:Fallback xmlns:mc="http://schemas.openxmlformats.org/markup-compatibility/2006">
            <w:pict xmlns:w14="http://schemas.microsoft.com/office/word/2010/wordml" xmlns:w="http://schemas.openxmlformats.org/wordprocessingml/2006/main" w14:anchorId="305D881D">
              <v:shapetype xmlns:o="urn:schemas-microsoft-com:office:office" xmlns:v="urn:schemas-microsoft-com:vml" id="_x0000_t202" coordsize="21600,21600" o:spt="202" path="m,l,21600r21600,l21600,xe" w14:anchorId="1589A635">
                <v:stroke joinstyle="miter"/>
                <v:path gradientshapeok="t" o:connecttype="rect"/>
              </v:shapetype>
              <v:shape xmlns:o="urn:schemas-microsoft-com:office:office" xmlns:v="urn:schemas-microsoft-com:vml" id="Text Box 5" style="position:absolute;margin-left:198.3pt;margin-top:27.5pt;width:1in;height:28.2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">
                <v:textbox>
                  <w:txbxContent>
                    <w:p w:rsidRPr="00AF5F5D" w:rsidR="00F221D2" w:rsidRDefault="00F221D2" w14:paraId="31D465DA" w14:textId="60A68905">
                      <w:pPr>
                        <w:rPr>
                          <w:rFonts w:cs="Arial"/>
                          <w:bCs w:val="0"/>
                          <w:sz w:val="20"/>
                          <w:szCs w:val="20"/>
                        </w:rPr>
                      </w:pPr>
                      <w:r w:rsidRPr="00AF5F5D">
                        <w:rPr>
                          <w:rFonts w:eastAsia="Times New Roman" w:cs="Arial"/>
                          <w:bCs w:val="0"/>
                          <w:color w:val="000000" w:themeColor="text1"/>
                          <w:sz w:val="20"/>
                          <w:szCs w:val="20"/>
                        </w:rPr>
                        <w:t>Table 4.1: Participant Characteristics</w:t>
                      </w:r>
                    </w:p>
                  </w:txbxContent>
                </v:textbox>
              </v:shape>
            </w:pict>
          </mc:Fallback>
        </mc:AlternateContent>
      </w:r>
    </w:p>
    <w:p w:rsidR="00C5486D" w:rsidP="69441A9A" w:rsidRDefault="00AF5F5D" w14:paraId="1D6AA6A6" w14:textId="6F618A8C">
      <w:pPr>
        <w:rPr>
          <w:rFonts w:ascii="Arial" w:hAnsi="Arial" w:eastAsia="Arial" w:cs="Arial"/>
        </w:rPr>
      </w:pPr>
    </w:p>
    <w:p w:rsidRPr="005E50B8" w:rsidR="00C5486D" w:rsidP="69441A9A" w:rsidRDefault="00F36B74" w14:paraId="23937D76" w14:textId="103BFC71">
      <w:pPr>
        <w:rPr>
          <w:rFonts w:ascii="Arial" w:hAnsi="Arial" w:eastAsia="Arial" w:cs="Arial"/>
        </w:rPr>
      </w:pPr>
    </w:p>
    <w:p w:rsidR="00F36B74" w:rsidP="69441A9A" w:rsidRDefault="00F36B74" w14:paraId="325D56DD" w14:textId="77777777">
      <w:pPr>
        <w:rPr>
          <w:rFonts w:ascii="Arial" w:hAnsi="Arial" w:eastAsia="Arial" w:cs="Arial"/>
        </w:rPr>
      </w:pPr>
    </w:p>
    <w:p w:rsidR="00F36B74" w:rsidP="69441A9A" w:rsidRDefault="00F36B74" w14:paraId="67B7E532" w14:textId="77777777">
      <w:pPr>
        <w:rPr>
          <w:rFonts w:ascii="Arial" w:hAnsi="Arial" w:eastAsia="Arial" w:cs="Arial"/>
        </w:rPr>
      </w:pPr>
    </w:p>
    <w:p w:rsidR="006F59DE" w:rsidP="69441A9A" w:rsidRDefault="006F59DE" w14:paraId="0359E887" w14:textId="772638CD">
      <w:pPr>
        <w:rPr>
          <w:rFonts w:ascii="Arial" w:hAnsi="Arial" w:eastAsia="Arial" w:cs="Arial"/>
        </w:rPr>
      </w:pPr>
    </w:p>
    <w:p w:rsidR="006F59DE" w:rsidP="69441A9A" w:rsidRDefault="006F59DE" w14:paraId="7187124A" w14:textId="5FCE4A67">
      <w:pPr>
        <w:rPr>
          <w:rFonts w:ascii="Arial" w:hAnsi="Arial" w:eastAsia="Arial" w:cs="Arial"/>
        </w:rPr>
      </w:pPr>
    </w:p>
    <w:p w:rsidR="006F59DE" w:rsidP="5CA63BDD" w:rsidRDefault="006F59DE" w14:paraId="4EBA045D" w14:textId="3CA22E7E">
      <w:pPr>
        <w:pStyle w:val="Normal"/>
        <w:rPr>
          <w:rFonts w:ascii="Arial" w:hAnsi="Arial" w:eastAsia="Arial" w:cs="Arial"/>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1707B7E2" wp14:editId="60DECF05">
                <wp:extent xmlns:wp="http://schemas.openxmlformats.org/drawingml/2006/wordprocessingDrawing" cx="4579620" cy="441960"/>
                <wp:effectExtent xmlns:wp="http://schemas.openxmlformats.org/drawingml/2006/wordprocessingDrawing" l="0" t="0" r="0" b="0"/>
                <wp:docPr xmlns:wp="http://schemas.openxmlformats.org/drawingml/2006/wordprocessingDrawing" id="1073619455" name="Text Box 7"/>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4579620" cy="441960"/>
                        </a:xfrm>
                        <a:prstGeom prst="rect">
                          <a:avLst/>
                        </a:prstGeom>
                        <a:solidFill>
                          <a:schemeClr val="lt1"/>
                        </a:solidFill>
                        <a:ln w="6350">
                          <a:noFill/>
                        </a:ln>
                      </wps:spPr>
                      <wps:txbx>
                        <w:txbxContent xmlns:w="http://schemas.openxmlformats.org/wordprocessingml/2006/main">
                          <w:p xmlns:w14="http://schemas.microsoft.com/office/word/2010/wordml" w:rsidRPr="00C43A02" w:rsidR="00C43A02" w:rsidP="00C43A02" w:rsidRDefault="00C43A02" w14:paraId="1BDD5195" w14:textId="131D1239">
                            <w:pPr>
                              <w:spacing w:before="240"/>
                              <w:rPr>
                                <w:rFonts w:cs="Arial"/>
                                <w:bCs w:val="0"/>
                                <w:color w:val="000000" w:themeColor="text1"/>
                                <w:sz w:val="20"/>
                                <w:szCs w:val="20"/>
                              </w:rPr>
                            </w:pPr>
                            <w:r w:rsidRPr="00C43A02">
                              <w:rPr>
                                <w:rFonts w:eastAsia="Times New Roman" w:cs="Arial"/>
                                <w:bCs w:val="0"/>
                                <w:color w:val="000000" w:themeColor="text1"/>
                                <w:sz w:val="20"/>
                                <w:szCs w:val="20"/>
                              </w:rPr>
                              <w:t>Table 4.2 Summary of Group Experiential Themes</w:t>
                            </w:r>
                            <w:r w:rsidR="002F4411">
                              <w:rPr>
                                <w:rFonts w:eastAsia="Times New Roman" w:cs="Arial"/>
                                <w:bCs w:val="0"/>
                                <w:color w:val="000000" w:themeColor="text1"/>
                                <w:sz w:val="20"/>
                                <w:szCs w:val="20"/>
                              </w:rPr>
                              <w:t xml:space="preserve"> (G</w:t>
                            </w:r>
                            <w:r w:rsidR="00FB2549">
                              <w:rPr>
                                <w:rFonts w:eastAsia="Times New Roman" w:cs="Arial"/>
                                <w:bCs w:val="0"/>
                                <w:color w:val="000000" w:themeColor="text1"/>
                                <w:sz w:val="20"/>
                                <w:szCs w:val="20"/>
                              </w:rPr>
                              <w:t>ET</w:t>
                            </w:r>
                            <w:r w:rsidR="002F4411">
                              <w:rPr>
                                <w:rFonts w:eastAsia="Times New Roman" w:cs="Arial"/>
                                <w:bCs w:val="0"/>
                                <w:color w:val="000000" w:themeColor="text1"/>
                                <w:sz w:val="20"/>
                                <w:szCs w:val="20"/>
                              </w:rPr>
                              <w:t xml:space="preserve">s) </w:t>
                            </w:r>
                            <w:r w:rsidRPr="00C43A02">
                              <w:rPr>
                                <w:rFonts w:eastAsia="Times New Roman" w:cs="Arial"/>
                                <w:bCs w:val="0"/>
                                <w:color w:val="000000" w:themeColor="text1"/>
                                <w:sz w:val="20"/>
                                <w:szCs w:val="20"/>
                              </w:rPr>
                              <w:t>and Sub-Themes</w:t>
                            </w:r>
                          </w:p>
                          <w:p xmlns:w14="http://schemas.microsoft.com/office/word/2010/wordml" w:rsidR="00AF5F5D" w:rsidRDefault="00AF5F5D" w14:paraId="31D10C99"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mc="http://schemas.openxmlformats.org/markup-compatibility/2006">
            <w:pict xmlns:w14="http://schemas.microsoft.com/office/word/2010/wordml" xmlns:w="http://schemas.openxmlformats.org/wordprocessingml/2006/main" w14:anchorId="780F7FC3">
              <v:shape xmlns:o="urn:schemas-microsoft-com:office:office" xmlns:v="urn:schemas-microsoft-com:vml" id="Text Box 7" style="position:absolute;margin-left:210.6pt;margin-top:4.55pt;width:360.6pt;height:34.8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27"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" w14:anchorId="567D2F43">
                <v:textbox>
                  <w:txbxContent>
                    <w:p w:rsidRPr="00C43A02" w:rsidR="00C43A02" w:rsidP="00C43A02" w:rsidRDefault="00C43A02" w14:paraId="470E5BB7" w14:textId="131D1239">
                      <w:pPr>
                        <w:spacing w:before="240"/>
                        <w:rPr>
                          <w:rFonts w:cs="Arial"/>
                          <w:bCs w:val="0"/>
                          <w:color w:val="000000" w:themeColor="text1"/>
                          <w:sz w:val="20"/>
                          <w:szCs w:val="20"/>
                        </w:rPr>
                      </w:pPr>
                      <w:r w:rsidRPr="00C43A02">
                        <w:rPr>
                          <w:rFonts w:eastAsia="Times New Roman" w:cs="Arial"/>
                          <w:bCs w:val="0"/>
                          <w:color w:val="000000" w:themeColor="text1"/>
                          <w:sz w:val="20"/>
                          <w:szCs w:val="20"/>
                        </w:rPr>
                        <w:t>Table 4.2 Summary of Group Experiential Themes</w:t>
                      </w:r>
                      <w:r w:rsidR="002F4411">
                        <w:rPr>
                          <w:rFonts w:eastAsia="Times New Roman" w:cs="Arial"/>
                          <w:bCs w:val="0"/>
                          <w:color w:val="000000" w:themeColor="text1"/>
                          <w:sz w:val="20"/>
                          <w:szCs w:val="20"/>
                        </w:rPr>
                        <w:t xml:space="preserve"> (G</w:t>
                      </w:r>
                      <w:r w:rsidR="00FB2549">
                        <w:rPr>
                          <w:rFonts w:eastAsia="Times New Roman" w:cs="Arial"/>
                          <w:bCs w:val="0"/>
                          <w:color w:val="000000" w:themeColor="text1"/>
                          <w:sz w:val="20"/>
                          <w:szCs w:val="20"/>
                        </w:rPr>
                        <w:t>ET</w:t>
                      </w:r>
                      <w:r w:rsidR="002F4411">
                        <w:rPr>
                          <w:rFonts w:eastAsia="Times New Roman" w:cs="Arial"/>
                          <w:bCs w:val="0"/>
                          <w:color w:val="000000" w:themeColor="text1"/>
                          <w:sz w:val="20"/>
                          <w:szCs w:val="20"/>
                        </w:rPr>
                        <w:t xml:space="preserve">s) </w:t>
                      </w:r>
                      <w:r w:rsidRPr="00C43A02">
                        <w:rPr>
                          <w:rFonts w:eastAsia="Times New Roman" w:cs="Arial"/>
                          <w:bCs w:val="0"/>
                          <w:color w:val="000000" w:themeColor="text1"/>
                          <w:sz w:val="20"/>
                          <w:szCs w:val="20"/>
                        </w:rPr>
                        <w:t>and Sub-Themes</w:t>
                      </w:r>
                    </w:p>
                    <w:p w:rsidR="00AF5F5D" w:rsidRDefault="00AF5F5D" w14:paraId="672A6659" w14:textId="77777777"/>
                  </w:txbxContent>
                </v:textbox>
                <w10:wrap xmlns:w10="urn:schemas-microsoft-com:office:word" anchorx="page"/>
              </v:shape>
            </w:pict>
          </mc:Fallback>
        </mc:AlternateContent>
      </w:r>
    </w:p>
    <w:p w:rsidR="006F59DE" w:rsidP="69441A9A" w:rsidRDefault="006F59DE" w14:paraId="0EF911D3" w14:noSpellErr="1" w14:textId="6F636044">
      <w:pPr>
        <w:rPr>
          <w:rFonts w:ascii="Arial" w:hAnsi="Arial" w:eastAsia="Arial" w:cs="Arial"/>
        </w:rPr>
      </w:pPr>
    </w:p>
    <w:p w:rsidR="00F36B74" w:rsidP="5CA63BDD" w:rsidRDefault="00F36B74" w14:paraId="0983C888" w14:textId="4CC4FB5E">
      <w:pPr>
        <w:pStyle w:val="Normal"/>
      </w:pPr>
    </w:p>
    <w:p w:rsidR="006F59DE" w:rsidP="69441A9A" w:rsidRDefault="006F59DE" w14:paraId="4D3D2A43" w14:textId="120DEDC8">
      <w:pPr>
        <w:rPr>
          <w:rFonts w:ascii="Arial" w:hAnsi="Arial" w:eastAsia="Arial" w:cs="Arial"/>
        </w:rPr>
      </w:pPr>
    </w:p>
    <w:p w:rsidR="006F59DE" w:rsidP="69441A9A" w:rsidRDefault="006F59DE" w14:paraId="448C1570" w14:textId="105E1027" w14:noSpellErr="1">
      <w:pPr>
        <w:rPr>
          <w:rFonts w:ascii="Arial" w:hAnsi="Arial" w:eastAsia="Arial" w:cs="Arial"/>
        </w:rPr>
      </w:pPr>
    </w:p>
    <w:p w:rsidR="00443726" w:rsidP="69441A9A" w:rsidRDefault="00443726" w14:paraId="6DF9CB58" w14:textId="77777777">
      <w:pPr>
        <w:spacing w:before="299" w:after="299"/>
        <w:rPr>
          <w:rFonts w:ascii="Arial" w:hAnsi="Arial" w:eastAsia="Arial" w:cs="Arial"/>
          <w:b w:val="1"/>
          <w:bCs w:val="1"/>
          <w:color w:val="000000" w:themeColor="text1"/>
          <w:sz w:val="24"/>
          <w:szCs w:val="24"/>
        </w:rPr>
      </w:pPr>
    </w:p>
    <w:p w:rsidRPr="00067068" w:rsidR="00443726" w:rsidP="69441A9A" w:rsidRDefault="006F59DE" w14:paraId="00D1D175" w14:textId="0C5D2FA7">
      <w:pPr>
        <w:pStyle w:val="Heading2"/>
        <w:rPr>
          <w:rFonts w:ascii="Arial" w:hAnsi="Arial" w:eastAsia="Arial" w:cs="Arial"/>
        </w:rPr>
      </w:pPr>
      <w:bookmarkStart w:name="_Toc238028886" w:id="42"/>
      <w:r w:rsidRPr="69441A9A" w:rsidR="006F59DE">
        <w:rPr>
          <w:rFonts w:ascii="Arial" w:hAnsi="Arial" w:eastAsia="Arial" w:cs="Arial"/>
        </w:rPr>
        <w:t>Theme One: Living with Lifelong Uncertainty</w:t>
      </w:r>
      <w:bookmarkEnd w:id="42"/>
    </w:p>
    <w:p w:rsidR="006F59DE" w:rsidP="69441A9A" w:rsidRDefault="006F59DE" w14:paraId="6A92D48E" w14:textId="29B0DB17">
      <w:pPr>
        <w:spacing w:before="299" w:after="299"/>
        <w:jc w:val="both"/>
        <w:rPr>
          <w:rFonts w:ascii="Arial" w:hAnsi="Arial" w:eastAsia="Arial" w:cs="Arial"/>
          <w:color w:val="000000" w:themeColor="text1"/>
          <w:sz w:val="24"/>
          <w:szCs w:val="24"/>
        </w:rPr>
      </w:pPr>
      <w:r>
        <w:br/>
      </w:r>
      <w:r w:rsidRPr="69441A9A" w:rsidR="006F59DE">
        <w:rPr>
          <w:rFonts w:ascii="Arial" w:hAnsi="Arial" w:eastAsia="Arial" w:cs="Arial"/>
          <w:color w:val="000000" w:themeColor="text1" w:themeTint="FF" w:themeShade="FF"/>
          <w:sz w:val="24"/>
          <w:szCs w:val="24"/>
        </w:rPr>
        <w:t>Living with lifelong uncertainty was a shared experience across all six participants. Participants entered predictive testing with years of experience of HD through family histories, affected relatives and an awareness of inherited risk. This history shaped how they understood themselves, their bodies and their futures before testing had taken place.</w:t>
      </w:r>
    </w:p>
    <w:p w:rsidRPr="00443726" w:rsidR="00443726" w:rsidP="69441A9A" w:rsidRDefault="00443726" w14:paraId="7DBA7D99" w14:textId="77777777">
      <w:pPr>
        <w:spacing w:before="299" w:after="299"/>
        <w:jc w:val="both"/>
        <w:rPr>
          <w:rFonts w:ascii="Arial" w:hAnsi="Arial" w:eastAsia="Arial" w:cs="Arial"/>
          <w:color w:val="000000" w:themeColor="text1"/>
          <w:sz w:val="24"/>
          <w:szCs w:val="24"/>
        </w:rPr>
      </w:pPr>
    </w:p>
    <w:p w:rsidR="006F59DE" w:rsidP="69441A9A" w:rsidRDefault="006F59DE" w14:paraId="1DF13144"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Readiness emerged gradually as participants negotiated between the protective functions of uncertainty and the increasing burden of not knowing. Although uncertainty could preserve hope, postpone difficult decisions or allow participants to maintain distance from HD, it eventually became restrictive for many. Testing was therefore experienced as a deeply personal decision to confront a future that had often been anticipated for years.</w:t>
      </w:r>
    </w:p>
    <w:p w:rsidRPr="00443726" w:rsidR="00443726" w:rsidP="69441A9A" w:rsidRDefault="00443726" w14:paraId="757CEA5E" w14:textId="77777777">
      <w:pPr>
        <w:spacing w:before="240"/>
        <w:jc w:val="both"/>
        <w:rPr>
          <w:rFonts w:ascii="Arial" w:hAnsi="Arial" w:eastAsia="Arial" w:cs="Arial"/>
          <w:color w:val="000000" w:themeColor="text1"/>
          <w:sz w:val="24"/>
          <w:szCs w:val="24"/>
        </w:rPr>
      </w:pPr>
    </w:p>
    <w:p w:rsidR="00595246" w:rsidP="69441A9A" w:rsidRDefault="006F59DE" w14:paraId="6E8EDD4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Importantly, receiving a genetic result did not necessarily resolve the psychological impact of HD. Instead, certainty initiated a further process of adjustment, requiring participants to integrate the result into their identities, relationships and expectations for the future. </w:t>
      </w:r>
    </w:p>
    <w:p w:rsidR="00595246" w:rsidP="69441A9A" w:rsidRDefault="00595246" w14:paraId="2EF1105D" w14:textId="77777777">
      <w:pPr>
        <w:spacing w:before="240"/>
        <w:jc w:val="both"/>
        <w:rPr>
          <w:rFonts w:ascii="Arial" w:hAnsi="Arial" w:eastAsia="Arial" w:cs="Arial"/>
          <w:color w:val="000000" w:themeColor="text1"/>
          <w:sz w:val="24"/>
          <w:szCs w:val="24"/>
        </w:rPr>
      </w:pPr>
    </w:p>
    <w:p w:rsidRPr="00595246" w:rsidR="00595246" w:rsidP="69441A9A" w:rsidRDefault="00595246" w14:paraId="2FBA7898" w14:textId="683501AB">
      <w:pPr>
        <w:pStyle w:val="Heading3"/>
        <w:rPr>
          <w:rFonts w:ascii="Arial" w:hAnsi="Arial" w:eastAsia="Arial" w:cs="Arial"/>
        </w:rPr>
      </w:pPr>
      <w:bookmarkStart w:name="_Toc238028887" w:id="43"/>
      <w:r w:rsidRPr="69441A9A" w:rsidR="00595246">
        <w:rPr>
          <w:rFonts w:ascii="Arial" w:hAnsi="Arial" w:eastAsia="Arial" w:cs="Arial"/>
        </w:rPr>
        <w:t>Theme One Summary</w:t>
      </w:r>
      <w:bookmarkEnd w:id="43"/>
    </w:p>
    <w:p w:rsidR="009F57C3" w:rsidP="69441A9A" w:rsidRDefault="006F59DE" w14:paraId="6EF403F7" w14:textId="79CC554B">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findings therefore suggest that predictive testing should be understood not as a single event, but as a transition from living with genetic uncertainty to learning how to live with certainty. This summary has been retained as it provides important context for the remaining findings.</w:t>
      </w:r>
    </w:p>
    <w:p w:rsidR="00067068" w:rsidP="69441A9A" w:rsidRDefault="00067068" w14:paraId="5E43F786" w14:textId="77777777">
      <w:pPr>
        <w:spacing w:before="240"/>
        <w:jc w:val="both"/>
        <w:rPr>
          <w:rFonts w:ascii="Arial" w:hAnsi="Arial" w:eastAsia="Arial" w:cs="Arial"/>
          <w:color w:val="000000" w:themeColor="text1"/>
          <w:sz w:val="24"/>
          <w:szCs w:val="24"/>
        </w:rPr>
      </w:pPr>
    </w:p>
    <w:p w:rsidR="006F59DE" w:rsidP="69441A9A" w:rsidRDefault="006F59DE" w14:paraId="48FBC3D6" w14:textId="29A3AFE7">
      <w:pPr>
        <w:pStyle w:val="Heading2"/>
        <w:rPr>
          <w:rFonts w:ascii="Arial" w:hAnsi="Arial" w:eastAsia="Arial" w:cs="Arial"/>
        </w:rPr>
      </w:pPr>
      <w:bookmarkStart w:name="_Toc238028888" w:id="44"/>
      <w:r w:rsidRPr="69441A9A" w:rsidR="006F59DE">
        <w:rPr>
          <w:rFonts w:ascii="Arial" w:hAnsi="Arial" w:eastAsia="Arial" w:cs="Arial"/>
        </w:rPr>
        <w:t>Theme Two: Making Sense of Knowing</w:t>
      </w:r>
      <w:bookmarkEnd w:id="44"/>
    </w:p>
    <w:p w:rsidRPr="00067068" w:rsidR="00067068" w:rsidP="69441A9A" w:rsidRDefault="00067068" w14:paraId="54E670AF" w14:textId="77777777">
      <w:pPr>
        <w:rPr>
          <w:rFonts w:ascii="Arial" w:hAnsi="Arial" w:eastAsia="Arial" w:cs="Arial"/>
        </w:rPr>
      </w:pPr>
    </w:p>
    <w:p w:rsidR="009F57C3" w:rsidP="69441A9A" w:rsidRDefault="006F59DE" w14:paraId="662E5C17"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Receiving a predictive genetic test result marked a new period of psychological adjustment. Having lived with the possibility of HD for many years, participants had already developed assumptions about themselves and their futures. The result therefore required them to reconsider what knowing meant for their identities, relationships and futures. Whilst some results confirmed prior expectations, others disrupted long-held assumptions, with meaning developing gradually as participants integrated genetic knowledge into everyday life.</w:t>
      </w:r>
    </w:p>
    <w:p w:rsidR="00067068" w:rsidP="69441A9A" w:rsidRDefault="00067068" w14:paraId="31EAE3F6" w14:textId="77777777">
      <w:pPr>
        <w:spacing w:before="240"/>
        <w:jc w:val="both"/>
        <w:rPr>
          <w:rFonts w:ascii="Arial" w:hAnsi="Arial" w:eastAsia="Arial" w:cs="Arial"/>
          <w:color w:val="000000" w:themeColor="text1"/>
          <w:sz w:val="24"/>
          <w:szCs w:val="24"/>
        </w:rPr>
      </w:pPr>
    </w:p>
    <w:p w:rsidRPr="00067068" w:rsidR="006F59DE" w:rsidP="69441A9A" w:rsidRDefault="006F59DE" w14:paraId="7D94C32D" w14:textId="0BCB8C69">
      <w:pPr>
        <w:pStyle w:val="Heading3"/>
        <w:rPr>
          <w:rFonts w:ascii="Arial" w:hAnsi="Arial" w:eastAsia="Arial" w:cs="Arial"/>
          <w:sz w:val="28"/>
          <w:szCs w:val="28"/>
        </w:rPr>
      </w:pPr>
      <w:bookmarkStart w:name="_Toc238028889" w:id="45"/>
      <w:r w:rsidRPr="69441A9A" w:rsidR="006F59DE">
        <w:rPr>
          <w:rFonts w:ascii="Arial" w:hAnsi="Arial" w:eastAsia="Arial" w:cs="Arial"/>
          <w:sz w:val="28"/>
          <w:szCs w:val="28"/>
        </w:rPr>
        <w:t>When the Result Became Real</w:t>
      </w:r>
      <w:bookmarkEnd w:id="45"/>
    </w:p>
    <w:p w:rsidRPr="00443726" w:rsidR="009F57C3" w:rsidP="69441A9A" w:rsidRDefault="009F57C3" w14:paraId="7443C034" w14:textId="77777777">
      <w:pPr>
        <w:spacing w:before="240"/>
        <w:jc w:val="both"/>
        <w:rPr>
          <w:rFonts w:ascii="Arial" w:hAnsi="Arial" w:eastAsia="Arial" w:cs="Arial"/>
          <w:b w:val="1"/>
          <w:bCs w:val="1"/>
          <w:color w:val="000000" w:themeColor="text1"/>
          <w:sz w:val="24"/>
          <w:szCs w:val="24"/>
        </w:rPr>
      </w:pPr>
    </w:p>
    <w:p w:rsidR="006F59DE" w:rsidP="69441A9A" w:rsidRDefault="006F59DE" w14:paraId="4F109EC4"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Participants rarely described receiving their genetic result as a single moment in which its full emotional meaning became immediately apparent. Instead, the significance of knowing appeared to unfold gradually. For some, the testing process itself made HD increasingly tangible, while for others the result confirmed an experience they had already begun to live. This suggests that the emotional impact of predictive testing was shaped not simply by the information received, but by how that information interacted with what participants already believed about themselves.</w:t>
      </w:r>
    </w:p>
    <w:p w:rsidRPr="00443726" w:rsidR="009F57C3" w:rsidP="69441A9A" w:rsidRDefault="009F57C3" w14:paraId="5E2E91F8" w14:textId="77777777">
      <w:pPr>
        <w:spacing w:before="240"/>
        <w:jc w:val="both"/>
        <w:rPr>
          <w:rFonts w:ascii="Arial" w:hAnsi="Arial" w:eastAsia="Arial" w:cs="Arial"/>
          <w:color w:val="000000" w:themeColor="text1"/>
          <w:sz w:val="24"/>
          <w:szCs w:val="24"/>
        </w:rPr>
      </w:pPr>
    </w:p>
    <w:p w:rsidR="006F59DE" w:rsidP="69441A9A" w:rsidRDefault="006F59DE" w14:paraId="4BA7A423"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Ashley described this transition during the testing process:</w:t>
      </w:r>
    </w:p>
    <w:p w:rsidRPr="00443726" w:rsidR="009F57C3" w:rsidP="69441A9A" w:rsidRDefault="009F57C3" w14:paraId="003B9EC7" w14:textId="77777777">
      <w:pPr>
        <w:spacing w:before="240"/>
        <w:jc w:val="both"/>
        <w:rPr>
          <w:rFonts w:ascii="Arial" w:hAnsi="Arial" w:eastAsia="Arial" w:cs="Arial"/>
          <w:color w:val="000000" w:themeColor="text1"/>
          <w:sz w:val="24"/>
          <w:szCs w:val="24"/>
        </w:rPr>
      </w:pPr>
    </w:p>
    <w:p w:rsidR="006F59DE" w:rsidP="69441A9A" w:rsidRDefault="006F59DE" w14:paraId="7950B1DF"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“The reality had kicked in... there is no escaping... a result at the end of the day.”</w:t>
      </w:r>
    </w:p>
    <w:p w:rsidRPr="009F57C3" w:rsidR="009F57C3" w:rsidP="69441A9A" w:rsidRDefault="009F57C3" w14:paraId="13AF608B" w14:textId="77777777">
      <w:pPr>
        <w:spacing w:before="240"/>
        <w:jc w:val="both"/>
        <w:rPr>
          <w:rFonts w:ascii="Arial" w:hAnsi="Arial" w:eastAsia="Arial" w:cs="Arial"/>
          <w:i w:val="1"/>
          <w:iCs w:val="1"/>
          <w:color w:val="000000" w:themeColor="text1"/>
          <w:sz w:val="24"/>
          <w:szCs w:val="24"/>
        </w:rPr>
      </w:pPr>
    </w:p>
    <w:p w:rsidR="006F59DE" w:rsidP="69441A9A" w:rsidRDefault="006F59DE" w14:paraId="27C4AC14"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phrase “the reality had kicked in” suggests a movement from an anticipated possibility towards something increasingly concrete. His reference to “no escaping” conveys a sense of inevitability, with the testing process itself narrowing the distance between himself and the possibility of a genetic result. Importantly, the result had not yet been disclosed when HD became psychologically real. Attending appointments, completing assessments and waiting for an outcome appeared to transform inherited risk from something that could be held at a distance into something that had to be confronted.</w:t>
      </w:r>
    </w:p>
    <w:p w:rsidRPr="00443726" w:rsidR="009F57C3" w:rsidP="69441A9A" w:rsidRDefault="009F57C3" w14:paraId="701EA04B" w14:textId="77777777">
      <w:pPr>
        <w:spacing w:before="240"/>
        <w:jc w:val="both"/>
        <w:rPr>
          <w:rFonts w:ascii="Arial" w:hAnsi="Arial" w:eastAsia="Arial" w:cs="Arial"/>
          <w:color w:val="000000" w:themeColor="text1"/>
          <w:sz w:val="24"/>
          <w:szCs w:val="24"/>
        </w:rPr>
      </w:pPr>
    </w:p>
    <w:p w:rsidRPr="00443726" w:rsidR="006F59DE" w:rsidP="69441A9A" w:rsidRDefault="006F59DE" w14:paraId="3F0A3CAE"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This indicates that adjustment may begin before genetic status is formally known. For Ashley, the psychological transition was already underway during testing, meaning that the disclosure itself represented one point within a longer process rather than an isolated event.</w:t>
      </w:r>
    </w:p>
    <w:p w:rsidR="006F59DE" w:rsidP="69441A9A" w:rsidRDefault="006F59DE" w14:paraId="06C6A8A5"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Jessica experienced knowing differently. Rather than describing the result primarily through shock or fear, she repeatedly characterised her diagnosis as:</w:t>
      </w:r>
    </w:p>
    <w:p w:rsidRPr="00443726" w:rsidR="009F57C3" w:rsidP="69441A9A" w:rsidRDefault="009F57C3" w14:paraId="3231AEF1" w14:textId="77777777">
      <w:pPr>
        <w:spacing w:before="240"/>
        <w:jc w:val="both"/>
        <w:rPr>
          <w:rFonts w:ascii="Arial" w:hAnsi="Arial" w:eastAsia="Arial" w:cs="Arial"/>
          <w:color w:val="000000" w:themeColor="text1"/>
          <w:sz w:val="24"/>
          <w:szCs w:val="24"/>
        </w:rPr>
      </w:pPr>
    </w:p>
    <w:p w:rsidR="006F59DE" w:rsidP="69441A9A" w:rsidRDefault="006F59DE" w14:paraId="0E4075B8"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“Validation.”</w:t>
      </w:r>
    </w:p>
    <w:p w:rsidRPr="009F57C3" w:rsidR="009F57C3" w:rsidP="69441A9A" w:rsidRDefault="009F57C3" w14:paraId="0FB5BB7F" w14:textId="77777777">
      <w:pPr>
        <w:spacing w:before="240"/>
        <w:jc w:val="both"/>
        <w:rPr>
          <w:rFonts w:ascii="Arial" w:hAnsi="Arial" w:eastAsia="Arial" w:cs="Arial"/>
          <w:i w:val="1"/>
          <w:iCs w:val="1"/>
          <w:color w:val="000000" w:themeColor="text1"/>
          <w:sz w:val="24"/>
          <w:szCs w:val="24"/>
        </w:rPr>
      </w:pPr>
    </w:p>
    <w:p w:rsidRPr="00443726" w:rsidR="006F59DE" w:rsidP="69441A9A" w:rsidRDefault="006F59DE" w14:paraId="59F0DB06"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brevity of this response is striking. Whereas Ashley's account conveys an increasing confrontation with an uncertain future, Jessica's single word suggests that the result provided coherence to experiences that had already been present. She had been living with neurological symptoms and attempting to understand them before receiving genetic confirmation. Consequently, the result did not introduce an entirely unfamiliar reality; it gave an explanation to something she had already begun to experience.</w:t>
      </w:r>
    </w:p>
    <w:p w:rsidR="006F59DE" w:rsidP="69441A9A" w:rsidRDefault="006F59DE" w14:paraId="080F6474"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“Validation” therefore appears to capture more than confirmation of a genetic fact. It reflects the emotional significance of having previous experiences recognised and made intelligible. The result allowed Jessica to locate her symptoms within an explanation that made sense of her lived experience, reducing some of the ambiguity surrounding what had previously been difficult to understand.</w:t>
      </w:r>
    </w:p>
    <w:p w:rsidRPr="00443726" w:rsidR="009F57C3" w:rsidP="69441A9A" w:rsidRDefault="009F57C3" w14:paraId="2480BB1F" w14:textId="77777777">
      <w:pPr>
        <w:spacing w:before="240"/>
        <w:jc w:val="both"/>
        <w:rPr>
          <w:rFonts w:ascii="Arial" w:hAnsi="Arial" w:eastAsia="Arial" w:cs="Arial"/>
          <w:color w:val="000000" w:themeColor="text1"/>
          <w:sz w:val="24"/>
          <w:szCs w:val="24"/>
        </w:rPr>
      </w:pPr>
    </w:p>
    <w:p w:rsidRPr="00443726" w:rsidR="006F59DE" w:rsidP="69441A9A" w:rsidRDefault="006F59DE" w14:paraId="518D5F80"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Isaac similarly approached testing with an expectation of the likely outcome:</w:t>
      </w:r>
    </w:p>
    <w:p w:rsidR="006F59DE" w:rsidP="69441A9A" w:rsidRDefault="006F59DE" w14:paraId="37959588"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“Personally, I sort of thought I knew.”</w:t>
      </w:r>
    </w:p>
    <w:p w:rsidRPr="009F57C3" w:rsidR="009F57C3" w:rsidP="69441A9A" w:rsidRDefault="009F57C3" w14:paraId="3D42FCD7" w14:textId="77777777">
      <w:pPr>
        <w:spacing w:before="240"/>
        <w:jc w:val="both"/>
        <w:rPr>
          <w:rFonts w:ascii="Arial" w:hAnsi="Arial" w:eastAsia="Arial" w:cs="Arial"/>
          <w:i w:val="1"/>
          <w:iCs w:val="1"/>
          <w:color w:val="000000" w:themeColor="text1"/>
          <w:sz w:val="24"/>
          <w:szCs w:val="24"/>
        </w:rPr>
      </w:pPr>
    </w:p>
    <w:p w:rsidR="006F59DE" w:rsidP="69441A9A" w:rsidRDefault="006F59DE" w14:paraId="009648B1"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tentative phrasing of “sort of” is important. Although Isaac appeared to have anticipated a positive result, his language retains a degree of uncertainty. He did not claim complete knowledge but suggested that he had already constructed an expectation based upon his experiences of HD and his understanding of his own future. The eventual result therefore entered an already developing narrative about who he believed himself to be.</w:t>
      </w:r>
    </w:p>
    <w:p w:rsidRPr="00443726" w:rsidR="009F57C3" w:rsidP="69441A9A" w:rsidRDefault="009F57C3" w14:paraId="3A97F729" w14:textId="77777777">
      <w:pPr>
        <w:spacing w:before="240"/>
        <w:jc w:val="both"/>
        <w:rPr>
          <w:rFonts w:ascii="Arial" w:hAnsi="Arial" w:eastAsia="Arial" w:cs="Arial"/>
          <w:color w:val="000000" w:themeColor="text1"/>
          <w:sz w:val="24"/>
          <w:szCs w:val="24"/>
        </w:rPr>
      </w:pPr>
    </w:p>
    <w:p w:rsidR="006F59DE" w:rsidP="69441A9A" w:rsidRDefault="006F59DE" w14:paraId="206F7051"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For both Jessica and Isaac, genetic confirmation therefore had a different meaning from the abstract possibility of testing. Their accounts suggest that participants did not approach predictive testing as psychologically neutral individuals awaiting information. Instead, they brought existing interpretations, expectations and embodied experiences to the result.</w:t>
      </w:r>
    </w:p>
    <w:p w:rsidRPr="00443726" w:rsidR="009F57C3" w:rsidP="69441A9A" w:rsidRDefault="009F57C3" w14:paraId="3AF9DACD" w14:textId="77777777">
      <w:pPr>
        <w:spacing w:before="240"/>
        <w:jc w:val="both"/>
        <w:rPr>
          <w:rFonts w:ascii="Arial" w:hAnsi="Arial" w:eastAsia="Arial" w:cs="Arial"/>
          <w:color w:val="000000" w:themeColor="text1"/>
          <w:sz w:val="24"/>
          <w:szCs w:val="24"/>
        </w:rPr>
      </w:pPr>
    </w:p>
    <w:p w:rsidR="006F59DE" w:rsidP="69441A9A" w:rsidRDefault="006F59DE" w14:paraId="6E3487E0"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Negative results generated another form of adjustment. Rachel knew intellectually that she had tested negative, yet continued to interpret experiences such as forgetfulness and </w:t>
      </w:r>
      <w:r w:rsidRPr="69441A9A" w:rsidR="006F59DE">
        <w:rPr>
          <w:rFonts w:ascii="Arial" w:hAnsi="Arial" w:eastAsia="Arial" w:cs="Arial"/>
          <w:color w:val="000000" w:themeColor="text1" w:themeTint="FF" w:themeShade="FF"/>
          <w:sz w:val="24"/>
          <w:szCs w:val="24"/>
        </w:rPr>
        <w:t>clumsiness as possible indicators of HD. Her experience illustrates a distinction between knowing a genetic result and experiencing oneself in accordance with that knowledge. Although the genetic uncertainty had been resolved, the meanings previously attached to everyday bodily experiences did not immediately disappear.</w:t>
      </w:r>
    </w:p>
    <w:p w:rsidRPr="00443726" w:rsidR="009F57C3" w:rsidP="69441A9A" w:rsidRDefault="009F57C3" w14:paraId="5C29FD8F" w14:textId="77777777">
      <w:pPr>
        <w:spacing w:before="240"/>
        <w:jc w:val="both"/>
        <w:rPr>
          <w:rFonts w:ascii="Arial" w:hAnsi="Arial" w:eastAsia="Arial" w:cs="Arial"/>
          <w:color w:val="000000" w:themeColor="text1"/>
          <w:sz w:val="24"/>
          <w:szCs w:val="24"/>
        </w:rPr>
      </w:pPr>
    </w:p>
    <w:p w:rsidRPr="00443726" w:rsidR="006F59DE" w:rsidP="69441A9A" w:rsidRDefault="006F59DE" w14:paraId="704D8768"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Nathan's reaction was particularly revealing:</w:t>
      </w:r>
    </w:p>
    <w:p w:rsidR="006F59DE" w:rsidP="69441A9A" w:rsidRDefault="006F59DE" w14:paraId="6950A015"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“Can we retest?”</w:t>
      </w:r>
    </w:p>
    <w:p w:rsidRPr="009F57C3" w:rsidR="009F57C3" w:rsidP="69441A9A" w:rsidRDefault="009F57C3" w14:paraId="30E31946" w14:textId="77777777">
      <w:pPr>
        <w:spacing w:before="240"/>
        <w:jc w:val="both"/>
        <w:rPr>
          <w:rFonts w:ascii="Arial" w:hAnsi="Arial" w:eastAsia="Arial" w:cs="Arial"/>
          <w:i w:val="1"/>
          <w:iCs w:val="1"/>
          <w:color w:val="000000" w:themeColor="text1"/>
          <w:sz w:val="24"/>
          <w:szCs w:val="24"/>
        </w:rPr>
      </w:pPr>
    </w:p>
    <w:p w:rsidRPr="00443726" w:rsidR="006F59DE" w:rsidP="69441A9A" w:rsidRDefault="006F59DE" w14:paraId="551A36D8"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Initially, this response could appear to represent disbelief. However, within the wider context of his account, it suggested something more complex. Nathan explained:</w:t>
      </w:r>
    </w:p>
    <w:p w:rsidR="006F59DE" w:rsidP="69441A9A" w:rsidRDefault="006F59DE" w14:paraId="69B6E7EA"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“I'd lived 20 years of my life convinced I was gene positive.”</w:t>
      </w:r>
    </w:p>
    <w:p w:rsidRPr="009F57C3" w:rsidR="009F57C3" w:rsidP="69441A9A" w:rsidRDefault="009F57C3" w14:paraId="1C05E754" w14:textId="77777777">
      <w:pPr>
        <w:spacing w:before="240"/>
        <w:jc w:val="both"/>
        <w:rPr>
          <w:rFonts w:ascii="Arial" w:hAnsi="Arial" w:eastAsia="Arial" w:cs="Arial"/>
          <w:i w:val="1"/>
          <w:iCs w:val="1"/>
          <w:color w:val="000000" w:themeColor="text1"/>
          <w:sz w:val="24"/>
          <w:szCs w:val="24"/>
        </w:rPr>
      </w:pPr>
    </w:p>
    <w:p w:rsidR="006F59DE" w:rsidP="69441A9A" w:rsidRDefault="006F59DE" w14:paraId="28EBE7FB"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significance of his response lies in the extent to which his expectation of developing HD had become embedded within his identity. A negative result did not simply remove a feared possibility; it challenged a future that he had spent much of his life assuming was inevitable. His request to retest can therefore be understood as an expression of the difficulty of reconciling genetic certainty with an identity organised around anticipated illness.</w:t>
      </w:r>
    </w:p>
    <w:p w:rsidRPr="00443726" w:rsidR="009F57C3" w:rsidP="69441A9A" w:rsidRDefault="009F57C3" w14:paraId="6A2EFCE4" w14:textId="77777777">
      <w:pPr>
        <w:spacing w:before="240"/>
        <w:jc w:val="both"/>
        <w:rPr>
          <w:rFonts w:ascii="Arial" w:hAnsi="Arial" w:eastAsia="Arial" w:cs="Arial"/>
          <w:color w:val="000000" w:themeColor="text1"/>
          <w:sz w:val="24"/>
          <w:szCs w:val="24"/>
        </w:rPr>
      </w:pPr>
    </w:p>
    <w:p w:rsidR="009F57C3" w:rsidP="69441A9A" w:rsidRDefault="006F59DE" w14:paraId="0B74A2C2"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Across these accounts, the result became “real” in different ways. For Ashley, reality emerged through the testing process; for Jessica, the result validated an already embodied experience; for Isaac, it confirmed an anticipated future; while Rachel and Nathan demonstrated that negative results could require participants to reconsider meanings that </w:t>
      </w:r>
      <w:r w:rsidRPr="69441A9A" w:rsidR="006F59DE">
        <w:rPr>
          <w:rFonts w:ascii="Arial" w:hAnsi="Arial" w:eastAsia="Arial" w:cs="Arial"/>
          <w:color w:val="000000" w:themeColor="text1" w:themeTint="FF" w:themeShade="FF"/>
          <w:sz w:val="24"/>
          <w:szCs w:val="24"/>
        </w:rPr>
        <w:t>had developed over many years. Knowing genetic status was therefore not synonymous with immediately knowing how to live with it.</w:t>
      </w:r>
    </w:p>
    <w:p w:rsidR="00C8292E" w:rsidP="69441A9A" w:rsidRDefault="00C8292E" w14:paraId="00CC3EC8" w14:textId="77777777">
      <w:pPr>
        <w:spacing w:before="240"/>
        <w:jc w:val="both"/>
        <w:rPr>
          <w:rFonts w:ascii="Arial" w:hAnsi="Arial" w:eastAsia="Arial" w:cs="Arial"/>
          <w:color w:val="000000" w:themeColor="text1"/>
          <w:sz w:val="24"/>
          <w:szCs w:val="24"/>
        </w:rPr>
      </w:pPr>
    </w:p>
    <w:p w:rsidRPr="00C8292E" w:rsidR="006F59DE" w:rsidP="69441A9A" w:rsidRDefault="006F59DE" w14:paraId="7D2F5834" w14:textId="631F1444">
      <w:pPr>
        <w:pStyle w:val="Heading3"/>
        <w:rPr>
          <w:rFonts w:ascii="Arial" w:hAnsi="Arial" w:eastAsia="Arial" w:cs="Arial"/>
          <w:sz w:val="28"/>
          <w:szCs w:val="28"/>
        </w:rPr>
      </w:pPr>
      <w:bookmarkStart w:name="_Toc238028890" w:id="46"/>
      <w:r w:rsidRPr="69441A9A" w:rsidR="006F59DE">
        <w:rPr>
          <w:rFonts w:ascii="Arial" w:hAnsi="Arial" w:eastAsia="Arial" w:cs="Arial"/>
          <w:sz w:val="28"/>
          <w:szCs w:val="28"/>
        </w:rPr>
        <w:t>Reconstructing Identity</w:t>
      </w:r>
      <w:bookmarkEnd w:id="46"/>
    </w:p>
    <w:p w:rsidRPr="00443726" w:rsidR="009F57C3" w:rsidP="69441A9A" w:rsidRDefault="009F57C3" w14:paraId="7CD11FDC" w14:textId="77777777">
      <w:pPr>
        <w:spacing w:before="240"/>
        <w:jc w:val="both"/>
        <w:rPr>
          <w:rFonts w:ascii="Arial" w:hAnsi="Arial" w:eastAsia="Arial" w:cs="Arial"/>
          <w:b w:val="1"/>
          <w:bCs w:val="1"/>
          <w:color w:val="000000" w:themeColor="text1"/>
          <w:sz w:val="24"/>
          <w:szCs w:val="24"/>
        </w:rPr>
      </w:pPr>
    </w:p>
    <w:p w:rsidR="006F59DE" w:rsidP="69441A9A" w:rsidRDefault="006F59DE" w14:paraId="1C57C2CC"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significance of predictive testing extended beyond participants' immediate responses to receiving their results. For individuals who had spent years living with the possibility of HD, genetic risk could become woven into expectations about relationships, work, family and the future. Receiving a result therefore required participants to reconsider aspects of an identity that had developed under conditions of uncertainty.</w:t>
      </w:r>
    </w:p>
    <w:p w:rsidRPr="00443726" w:rsidR="009F57C3" w:rsidP="69441A9A" w:rsidRDefault="009F57C3" w14:paraId="4B6DDE21" w14:textId="77777777">
      <w:pPr>
        <w:spacing w:before="240"/>
        <w:jc w:val="both"/>
        <w:rPr>
          <w:rFonts w:ascii="Arial" w:hAnsi="Arial" w:eastAsia="Arial" w:cs="Arial"/>
          <w:color w:val="000000" w:themeColor="text1"/>
          <w:sz w:val="24"/>
          <w:szCs w:val="24"/>
        </w:rPr>
      </w:pPr>
    </w:p>
    <w:p w:rsidR="006F59DE" w:rsidP="69441A9A" w:rsidRDefault="006F59DE" w14:paraId="6DD8C1FB"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Nathan's experience provides the clearest illustration of this process. Reflecting on his negative result, he described:</w:t>
      </w:r>
    </w:p>
    <w:p w:rsidRPr="00443726" w:rsidR="009F57C3" w:rsidP="69441A9A" w:rsidRDefault="009F57C3" w14:paraId="433F4863" w14:textId="77777777">
      <w:pPr>
        <w:spacing w:before="240"/>
        <w:jc w:val="both"/>
        <w:rPr>
          <w:rFonts w:ascii="Arial" w:hAnsi="Arial" w:eastAsia="Arial" w:cs="Arial"/>
          <w:color w:val="000000" w:themeColor="text1"/>
          <w:sz w:val="24"/>
          <w:szCs w:val="24"/>
        </w:rPr>
      </w:pPr>
    </w:p>
    <w:p w:rsidR="006F59DE" w:rsidP="69441A9A" w:rsidRDefault="006F59DE" w14:paraId="2F96AB07"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“My whole life was a corridor, it was just one door at the end... getting that result of gene negative, every possible outcome and door opened at the same time.”</w:t>
      </w:r>
    </w:p>
    <w:p w:rsidRPr="009F57C3" w:rsidR="009F57C3" w:rsidP="69441A9A" w:rsidRDefault="009F57C3" w14:paraId="08E47900" w14:textId="77777777">
      <w:pPr>
        <w:spacing w:before="240"/>
        <w:jc w:val="both"/>
        <w:rPr>
          <w:rFonts w:ascii="Arial" w:hAnsi="Arial" w:eastAsia="Arial" w:cs="Arial"/>
          <w:i w:val="1"/>
          <w:iCs w:val="1"/>
          <w:color w:val="000000" w:themeColor="text1"/>
          <w:sz w:val="24"/>
          <w:szCs w:val="24"/>
        </w:rPr>
      </w:pPr>
    </w:p>
    <w:p w:rsidRPr="00443726" w:rsidR="006F59DE" w:rsidP="69441A9A" w:rsidRDefault="006F59DE" w14:paraId="422BF44C"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metaphor of the “corridor” conveys a future experienced as narrow and predetermined. A corridor implies movement in a particular direction, while the “one door” suggests a single anticipated endpoint. Nathan's description therefore captures the extent to which HD had structured his imagination of the future, even before he knew his genetic status.</w:t>
      </w:r>
    </w:p>
    <w:p w:rsidRPr="00443726" w:rsidR="006F59DE" w:rsidP="69441A9A" w:rsidRDefault="006F59DE" w14:paraId="2B47EFC3"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The significance of the negative result was consequently not simply that he was free from the genetic mutation. Rather, it transformed the structure of the future itself. The opening of “every possible outcome and door” conveys </w:t>
      </w:r>
      <w:r w:rsidRPr="69441A9A" w:rsidR="006F59DE">
        <w:rPr>
          <w:rFonts w:ascii="Arial" w:hAnsi="Arial" w:eastAsia="Arial" w:cs="Arial"/>
          <w:color w:val="000000" w:themeColor="text1" w:themeTint="FF" w:themeShade="FF"/>
          <w:sz w:val="24"/>
          <w:szCs w:val="24"/>
        </w:rPr>
        <w:t>possibility, but</w:t>
      </w:r>
      <w:r w:rsidRPr="69441A9A" w:rsidR="006F59DE">
        <w:rPr>
          <w:rFonts w:ascii="Arial" w:hAnsi="Arial" w:eastAsia="Arial" w:cs="Arial"/>
          <w:color w:val="000000" w:themeColor="text1" w:themeTint="FF" w:themeShade="FF"/>
          <w:sz w:val="24"/>
          <w:szCs w:val="24"/>
        </w:rPr>
        <w:t xml:space="preserve"> also suggests disorientation. A future that had previously appeared restricted suddenly became open-ended.</w:t>
      </w:r>
    </w:p>
    <w:p w:rsidRPr="00443726" w:rsidR="006F59DE" w:rsidP="69441A9A" w:rsidRDefault="006F59DE" w14:paraId="01C5D1C1"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This helps contextualise his earlier response:</w:t>
      </w:r>
    </w:p>
    <w:p w:rsidR="006F59DE" w:rsidP="69441A9A" w:rsidRDefault="006F59DE" w14:paraId="1D0C7849"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“Can we retest?”</w:t>
      </w:r>
    </w:p>
    <w:p w:rsidRPr="009F57C3" w:rsidR="0025324F" w:rsidP="69441A9A" w:rsidRDefault="0025324F" w14:paraId="6D2CCDCB" w14:textId="77777777">
      <w:pPr>
        <w:spacing w:before="240"/>
        <w:jc w:val="both"/>
        <w:rPr>
          <w:rFonts w:ascii="Arial" w:hAnsi="Arial" w:eastAsia="Arial" w:cs="Arial"/>
          <w:i w:val="1"/>
          <w:iCs w:val="1"/>
          <w:color w:val="000000" w:themeColor="text1"/>
          <w:sz w:val="24"/>
          <w:szCs w:val="24"/>
        </w:rPr>
      </w:pPr>
    </w:p>
    <w:p w:rsidR="006F59DE" w:rsidP="69441A9A" w:rsidRDefault="006F59DE" w14:paraId="026F5195"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apparent contradiction between receiving a result that removed a feared outcome and questioning whether the result could be correct becomes more understandable when considered as an identity transition. Nathan was not simply having difficulty believing a laboratory result; he was confronting the loss of a future around which much of his identity had been organised.</w:t>
      </w:r>
    </w:p>
    <w:p w:rsidRPr="00443726" w:rsidR="0025324F" w:rsidP="69441A9A" w:rsidRDefault="0025324F" w14:paraId="26D598B0" w14:textId="77777777">
      <w:pPr>
        <w:spacing w:before="240"/>
        <w:jc w:val="both"/>
        <w:rPr>
          <w:rFonts w:ascii="Arial" w:hAnsi="Arial" w:eastAsia="Arial" w:cs="Arial"/>
          <w:color w:val="000000" w:themeColor="text1"/>
          <w:sz w:val="24"/>
          <w:szCs w:val="24"/>
        </w:rPr>
      </w:pPr>
    </w:p>
    <w:p w:rsidR="006F59DE" w:rsidP="69441A9A" w:rsidRDefault="006F59DE" w14:paraId="03996912"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Rachel experienced identity reconstruction more gradually. Following her negative result, she continued to monitor herself for signs of HD. This suggests that genetic information did not immediately override the assumptions through which she had previously understood her body. Her adjustment occurred through repeated everyday experiences in which ordinary forgetfulness or clumsiness could gradually be separated from the expectation of HD.</w:t>
      </w:r>
    </w:p>
    <w:p w:rsidRPr="00443726" w:rsidR="0025324F" w:rsidP="69441A9A" w:rsidRDefault="0025324F" w14:paraId="60CFBC58" w14:textId="77777777">
      <w:pPr>
        <w:spacing w:before="240"/>
        <w:jc w:val="both"/>
        <w:rPr>
          <w:rFonts w:ascii="Arial" w:hAnsi="Arial" w:eastAsia="Arial" w:cs="Arial"/>
          <w:color w:val="000000" w:themeColor="text1"/>
          <w:sz w:val="24"/>
          <w:szCs w:val="24"/>
        </w:rPr>
      </w:pPr>
    </w:p>
    <w:p w:rsidRPr="00443726" w:rsidR="006F59DE" w:rsidP="69441A9A" w:rsidRDefault="006F59DE" w14:paraId="2F6083E6"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Her experience highlights the embodied dimension of identity reconstruction. The genetic result changed what Rachel knew, but it took longer to change how she interpreted herself. Certainty therefore had to become lived rather than simply understood.</w:t>
      </w:r>
    </w:p>
    <w:p w:rsidR="006F59DE" w:rsidP="69441A9A" w:rsidRDefault="006F59DE" w14:paraId="24B0ED68"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Positive results generated a different form of identity adjustment. Ashley continued to discuss work, friendships and future aspirations alongside HD. His account did not suggest that receiving a positive result erased his previous identity. Instead, HD appeared to become one part of a broader sense of self.</w:t>
      </w:r>
    </w:p>
    <w:p w:rsidRPr="00443726" w:rsidR="0025324F" w:rsidP="69441A9A" w:rsidRDefault="0025324F" w14:paraId="786D1A62" w14:textId="77777777">
      <w:pPr>
        <w:spacing w:before="240"/>
        <w:jc w:val="both"/>
        <w:rPr>
          <w:rFonts w:ascii="Arial" w:hAnsi="Arial" w:eastAsia="Arial" w:cs="Arial"/>
          <w:color w:val="000000" w:themeColor="text1"/>
          <w:sz w:val="24"/>
          <w:szCs w:val="24"/>
        </w:rPr>
      </w:pPr>
    </w:p>
    <w:p w:rsidR="006F59DE" w:rsidP="69441A9A" w:rsidRDefault="006F59DE" w14:paraId="329077B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This is significant because it suggests that adaptation did not necessarily involve rejecting or overcoming the diagnosis. For Ashley, continuing to locate work, relationships and aspirations alongside HD appeared to preserve aspects of identity that existed independently of his genetic status. The diagnosis could therefore be incorporated without becoming the organising principle of his entire life.</w:t>
      </w:r>
    </w:p>
    <w:p w:rsidRPr="00443726" w:rsidR="0025324F" w:rsidP="69441A9A" w:rsidRDefault="0025324F" w14:paraId="0D2A0EF4" w14:textId="77777777">
      <w:pPr>
        <w:spacing w:before="240"/>
        <w:jc w:val="both"/>
        <w:rPr>
          <w:rFonts w:ascii="Arial" w:hAnsi="Arial" w:eastAsia="Arial" w:cs="Arial"/>
          <w:color w:val="000000" w:themeColor="text1"/>
          <w:sz w:val="24"/>
          <w:szCs w:val="24"/>
        </w:rPr>
      </w:pPr>
    </w:p>
    <w:p w:rsidRPr="00443726" w:rsidR="006F59DE" w:rsidP="69441A9A" w:rsidRDefault="006F59DE" w14:paraId="6B4DDA98"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Clara described another form of identity change:</w:t>
      </w:r>
    </w:p>
    <w:p w:rsidR="006F59DE" w:rsidP="69441A9A" w:rsidRDefault="006F59DE" w14:paraId="24C7EE5F"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“My anxiety went away... knowledge is power.”</w:t>
      </w:r>
    </w:p>
    <w:p w:rsidRPr="0025324F" w:rsidR="0025324F" w:rsidP="69441A9A" w:rsidRDefault="0025324F" w14:paraId="1FC06A34" w14:textId="77777777">
      <w:pPr>
        <w:spacing w:before="240"/>
        <w:jc w:val="both"/>
        <w:rPr>
          <w:rFonts w:ascii="Arial" w:hAnsi="Arial" w:eastAsia="Arial" w:cs="Arial"/>
          <w:i w:val="1"/>
          <w:iCs w:val="1"/>
          <w:color w:val="000000" w:themeColor="text1"/>
          <w:sz w:val="24"/>
          <w:szCs w:val="24"/>
        </w:rPr>
      </w:pPr>
    </w:p>
    <w:p w:rsidR="006F59DE" w:rsidP="69441A9A" w:rsidRDefault="006F59DE" w14:paraId="25107905"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movement from anxiety to “knowledge” suggests a shift in her relationship with uncertainty. Before testing, uncertainty required her to continually anticipate what might happen. After testing, the result provided a fixed point from which she could begin to act.</w:t>
      </w:r>
    </w:p>
    <w:p w:rsidRPr="00443726" w:rsidR="0025324F" w:rsidP="69441A9A" w:rsidRDefault="0025324F" w14:paraId="1075F23A" w14:textId="77777777">
      <w:pPr>
        <w:spacing w:before="240"/>
        <w:jc w:val="both"/>
        <w:rPr>
          <w:rFonts w:ascii="Arial" w:hAnsi="Arial" w:eastAsia="Arial" w:cs="Arial"/>
          <w:color w:val="000000" w:themeColor="text1"/>
          <w:sz w:val="24"/>
          <w:szCs w:val="24"/>
        </w:rPr>
      </w:pPr>
    </w:p>
    <w:p w:rsidRPr="00443726" w:rsidR="006F59DE" w:rsidP="69441A9A" w:rsidRDefault="006F59DE" w14:paraId="03FF8BBD"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Her statement that “knowledge is power” therefore appears to express more than satisfaction at having information. Knowledge altered her position from someone waiting for an unknown future to someone able to respond to a known reality. The result consequently contributed to a renewed sense of agency.</w:t>
      </w:r>
    </w:p>
    <w:p w:rsidR="006F59DE" w:rsidP="69441A9A" w:rsidRDefault="006F59DE" w14:paraId="7DA079BE"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Jessica's experience again differed. Her repeated use of “validation” suggests that her diagnosis did not require the construction of an entirely new identity. Instead, the result appeared to provide a framework through which an existing sense of self could be understood. Her previous experiences were not invalidated by the diagnosis; they were reinterpreted within it.</w:t>
      </w:r>
    </w:p>
    <w:p w:rsidRPr="00443726" w:rsidR="0025324F" w:rsidP="69441A9A" w:rsidRDefault="0025324F" w14:paraId="2D4BFF4D" w14:textId="77777777">
      <w:pPr>
        <w:spacing w:before="240"/>
        <w:jc w:val="both"/>
        <w:rPr>
          <w:rFonts w:ascii="Arial" w:hAnsi="Arial" w:eastAsia="Arial" w:cs="Arial"/>
          <w:color w:val="000000" w:themeColor="text1"/>
          <w:sz w:val="24"/>
          <w:szCs w:val="24"/>
        </w:rPr>
      </w:pPr>
    </w:p>
    <w:p w:rsidR="006F59DE" w:rsidP="69441A9A" w:rsidRDefault="006F59DE" w14:paraId="106B750C"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Across participants, identity reconstruction therefore took multiple forms. Nathan had to open himself to a future he had never expected to inhabit; Rachel had to relearn how to interpret her body; Ashley incorporated HD without allowing it to replace existing aspects of identity; Clara experienced greater agency through certainty; and Jessica found an explanatory framework for experiences that had previously lacked one.</w:t>
      </w:r>
    </w:p>
    <w:p w:rsidRPr="00443726" w:rsidR="0025324F" w:rsidP="69441A9A" w:rsidRDefault="0025324F" w14:paraId="7AA5F967" w14:textId="77777777">
      <w:pPr>
        <w:spacing w:before="240"/>
        <w:jc w:val="both"/>
        <w:rPr>
          <w:rFonts w:ascii="Arial" w:hAnsi="Arial" w:eastAsia="Arial" w:cs="Arial"/>
          <w:color w:val="000000" w:themeColor="text1"/>
          <w:sz w:val="24"/>
          <w:szCs w:val="24"/>
        </w:rPr>
      </w:pPr>
    </w:p>
    <w:p w:rsidR="0025324F" w:rsidP="69441A9A" w:rsidRDefault="006F59DE" w14:paraId="454A0546"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These differences demonstrate that the psychological consequences of knowing were closely connected to the identity participants had constructed before testing. Genetic status did not simply change who participants were; it altered the meaning of who they had believed themselves to be.</w:t>
      </w:r>
    </w:p>
    <w:p w:rsidR="00C8292E" w:rsidP="69441A9A" w:rsidRDefault="00C8292E" w14:paraId="14E891E3" w14:textId="77777777">
      <w:pPr>
        <w:spacing w:before="240"/>
        <w:jc w:val="both"/>
        <w:rPr>
          <w:rFonts w:ascii="Arial" w:hAnsi="Arial" w:eastAsia="Arial" w:cs="Arial"/>
          <w:color w:val="000000" w:themeColor="text1"/>
          <w:sz w:val="24"/>
          <w:szCs w:val="24"/>
        </w:rPr>
      </w:pPr>
    </w:p>
    <w:p w:rsidRPr="00C8292E" w:rsidR="006F59DE" w:rsidP="69441A9A" w:rsidRDefault="006F59DE" w14:paraId="05760D21" w14:textId="64105FCD">
      <w:pPr>
        <w:pStyle w:val="Heading3"/>
        <w:rPr>
          <w:rFonts w:ascii="Arial" w:hAnsi="Arial" w:eastAsia="Arial" w:cs="Arial"/>
          <w:sz w:val="28"/>
          <w:szCs w:val="28"/>
        </w:rPr>
      </w:pPr>
      <w:bookmarkStart w:name="_Toc238028891" w:id="47"/>
      <w:r w:rsidRPr="69441A9A" w:rsidR="006F59DE">
        <w:rPr>
          <w:rFonts w:ascii="Arial" w:hAnsi="Arial" w:eastAsia="Arial" w:cs="Arial"/>
          <w:sz w:val="28"/>
          <w:szCs w:val="28"/>
        </w:rPr>
        <w:t>Making Meaning Over Time</w:t>
      </w:r>
      <w:bookmarkEnd w:id="47"/>
    </w:p>
    <w:p w:rsidRPr="00443726" w:rsidR="0025324F" w:rsidP="69441A9A" w:rsidRDefault="0025324F" w14:paraId="274066F5" w14:textId="77777777">
      <w:pPr>
        <w:spacing w:before="240"/>
        <w:jc w:val="both"/>
        <w:rPr>
          <w:rFonts w:ascii="Arial" w:hAnsi="Arial" w:eastAsia="Arial" w:cs="Arial"/>
          <w:b w:val="1"/>
          <w:bCs w:val="1"/>
          <w:color w:val="000000" w:themeColor="text1"/>
          <w:sz w:val="24"/>
          <w:szCs w:val="24"/>
        </w:rPr>
      </w:pPr>
    </w:p>
    <w:p w:rsidR="006F59DE" w:rsidP="69441A9A" w:rsidRDefault="006F59DE" w14:paraId="1CE24E35"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Although the result could produce an immediate emotional response, participants' accounts suggested that its deeper meaning developed through subsequent experiences. Genetic testing resolved one question—whether the altered gene had been inherited—but it did not resolve how participants should understand their lives in light of that knowledge.</w:t>
      </w:r>
    </w:p>
    <w:p w:rsidRPr="00443726" w:rsidR="0025324F" w:rsidP="69441A9A" w:rsidRDefault="0025324F" w14:paraId="4D921FF8" w14:textId="77777777">
      <w:pPr>
        <w:spacing w:before="240"/>
        <w:jc w:val="both"/>
        <w:rPr>
          <w:rFonts w:ascii="Arial" w:hAnsi="Arial" w:eastAsia="Arial" w:cs="Arial"/>
          <w:color w:val="000000" w:themeColor="text1"/>
          <w:sz w:val="24"/>
          <w:szCs w:val="24"/>
        </w:rPr>
      </w:pPr>
    </w:p>
    <w:p w:rsidRPr="00443726" w:rsidR="006F59DE" w:rsidP="69441A9A" w:rsidRDefault="006F59DE" w14:paraId="30DF08F8"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Nathan's metaphor of the corridor again illustrates this transition:</w:t>
      </w:r>
    </w:p>
    <w:p w:rsidR="006F59DE" w:rsidP="69441A9A" w:rsidRDefault="006F59DE" w14:paraId="7767D108"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“My whole life was a corridor, it was just one door at the end... getting that result of gene negative, every possible outcome and door opened at the same time.”</w:t>
      </w:r>
    </w:p>
    <w:p w:rsidRPr="0025324F" w:rsidR="0025324F" w:rsidP="69441A9A" w:rsidRDefault="0025324F" w14:paraId="53510626" w14:textId="77777777">
      <w:pPr>
        <w:spacing w:before="240"/>
        <w:jc w:val="both"/>
        <w:rPr>
          <w:rFonts w:ascii="Arial" w:hAnsi="Arial" w:eastAsia="Arial" w:cs="Arial"/>
          <w:i w:val="1"/>
          <w:iCs w:val="1"/>
          <w:color w:val="000000" w:themeColor="text1"/>
          <w:sz w:val="24"/>
          <w:szCs w:val="24"/>
        </w:rPr>
      </w:pPr>
    </w:p>
    <w:p w:rsidR="006F59DE" w:rsidP="69441A9A" w:rsidRDefault="006F59DE" w14:paraId="64CB0FEC"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metaphor captures a paradox within his experience. Genetic certainty created greater freedom while simultaneously requiring him to navigate possibilities that had previously been excluded from consideration. His future was no longer defined by an anticipated progression towards HD, but this did not mean that the future immediately became straightforward.</w:t>
      </w:r>
    </w:p>
    <w:p w:rsidRPr="00443726" w:rsidR="0025324F" w:rsidP="69441A9A" w:rsidRDefault="0025324F" w14:paraId="69DA263B" w14:textId="77777777">
      <w:pPr>
        <w:spacing w:before="240"/>
        <w:jc w:val="both"/>
        <w:rPr>
          <w:rFonts w:ascii="Arial" w:hAnsi="Arial" w:eastAsia="Arial" w:cs="Arial"/>
          <w:color w:val="000000" w:themeColor="text1"/>
          <w:sz w:val="24"/>
          <w:szCs w:val="24"/>
        </w:rPr>
      </w:pPr>
    </w:p>
    <w:p w:rsidR="006F59DE" w:rsidP="69441A9A" w:rsidRDefault="006F59DE" w14:paraId="5D2EBFD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Meaning therefore developed through learning how to inhabit possibilities that had previously seemed unavailable. The negative result changed not only what Nathan expected to happen, but what he believed he could reasonably plan for.</w:t>
      </w:r>
    </w:p>
    <w:p w:rsidRPr="00443726" w:rsidR="0025324F" w:rsidP="69441A9A" w:rsidRDefault="0025324F" w14:paraId="2F01AD30" w14:textId="77777777">
      <w:pPr>
        <w:spacing w:before="240"/>
        <w:jc w:val="both"/>
        <w:rPr>
          <w:rFonts w:ascii="Arial" w:hAnsi="Arial" w:eastAsia="Arial" w:cs="Arial"/>
          <w:color w:val="000000" w:themeColor="text1"/>
          <w:sz w:val="24"/>
          <w:szCs w:val="24"/>
        </w:rPr>
      </w:pPr>
    </w:p>
    <w:p w:rsidR="006F59DE" w:rsidP="69441A9A" w:rsidRDefault="006F59DE" w14:paraId="6582F658"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Rachel's process was quieter. Her negative result did not immediately transform the way she experienced her body. Instead, everyday experiences gradually acquired different meanings. Forgetfulness or clumsiness, which might previously have triggered concern about HD, could increasingly be interpreted without the same threat.</w:t>
      </w:r>
    </w:p>
    <w:p w:rsidRPr="00443726" w:rsidR="0025324F" w:rsidP="69441A9A" w:rsidRDefault="0025324F" w14:paraId="22814FAD" w14:textId="77777777">
      <w:pPr>
        <w:spacing w:before="240"/>
        <w:jc w:val="both"/>
        <w:rPr>
          <w:rFonts w:ascii="Arial" w:hAnsi="Arial" w:eastAsia="Arial" w:cs="Arial"/>
          <w:color w:val="000000" w:themeColor="text1"/>
          <w:sz w:val="24"/>
          <w:szCs w:val="24"/>
        </w:rPr>
      </w:pPr>
    </w:p>
    <w:p w:rsidR="006F59DE" w:rsidP="69441A9A" w:rsidRDefault="006F59DE" w14:paraId="6C317A3D"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This gradual change is important because it demonstrates that psychological adjustment occurred through lived experience rather than through the delivery of information alone. </w:t>
      </w:r>
      <w:r w:rsidRPr="69441A9A" w:rsidR="006F59DE">
        <w:rPr>
          <w:rFonts w:ascii="Arial" w:hAnsi="Arial" w:eastAsia="Arial" w:cs="Arial"/>
          <w:color w:val="000000" w:themeColor="text1" w:themeTint="FF" w:themeShade="FF"/>
          <w:sz w:val="24"/>
          <w:szCs w:val="24"/>
        </w:rPr>
        <w:t>Rachel had already known that she was negative; what changed over time was her ability to trust that knowledge in everyday life.</w:t>
      </w:r>
    </w:p>
    <w:p w:rsidRPr="00443726" w:rsidR="0025324F" w:rsidP="69441A9A" w:rsidRDefault="0025324F" w14:paraId="3495DEFF" w14:textId="77777777">
      <w:pPr>
        <w:spacing w:before="240"/>
        <w:jc w:val="both"/>
        <w:rPr>
          <w:rFonts w:ascii="Arial" w:hAnsi="Arial" w:eastAsia="Arial" w:cs="Arial"/>
          <w:color w:val="000000" w:themeColor="text1"/>
          <w:sz w:val="24"/>
          <w:szCs w:val="24"/>
        </w:rPr>
      </w:pPr>
    </w:p>
    <w:p w:rsidRPr="00443726" w:rsidR="006F59DE" w:rsidP="69441A9A" w:rsidRDefault="006F59DE" w14:paraId="412B620F"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For Clara, meaning was closely associated with agency:</w:t>
      </w:r>
    </w:p>
    <w:p w:rsidR="006F59DE" w:rsidP="69441A9A" w:rsidRDefault="006F59DE" w14:paraId="385DA281"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“Knowledge is power.”</w:t>
      </w:r>
    </w:p>
    <w:p w:rsidRPr="0025324F" w:rsidR="0025324F" w:rsidP="69441A9A" w:rsidRDefault="0025324F" w14:paraId="6171E9BB" w14:textId="77777777">
      <w:pPr>
        <w:spacing w:before="240"/>
        <w:jc w:val="both"/>
        <w:rPr>
          <w:rFonts w:ascii="Arial" w:hAnsi="Arial" w:eastAsia="Arial" w:cs="Arial"/>
          <w:i w:val="1"/>
          <w:iCs w:val="1"/>
          <w:color w:val="000000" w:themeColor="text1"/>
          <w:sz w:val="24"/>
          <w:szCs w:val="24"/>
        </w:rPr>
      </w:pPr>
    </w:p>
    <w:p w:rsidR="006F59DE" w:rsidP="69441A9A" w:rsidRDefault="006F59DE" w14:paraId="7B300C85"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 statement suggests that certainty enabled her to move from anticipation towards action. Rather than continually asking whether HD might shape her future, she could begin making decisions with greater confidence. Meaning therefore emerged through the practical consequences of knowing.</w:t>
      </w:r>
    </w:p>
    <w:p w:rsidRPr="00443726" w:rsidR="0025324F" w:rsidP="69441A9A" w:rsidRDefault="0025324F" w14:paraId="209A83A2" w14:textId="77777777">
      <w:pPr>
        <w:spacing w:before="240"/>
        <w:jc w:val="both"/>
        <w:rPr>
          <w:rFonts w:ascii="Arial" w:hAnsi="Arial" w:eastAsia="Arial" w:cs="Arial"/>
          <w:color w:val="000000" w:themeColor="text1"/>
          <w:sz w:val="24"/>
          <w:szCs w:val="24"/>
        </w:rPr>
      </w:pPr>
    </w:p>
    <w:p w:rsidR="006F59DE" w:rsidP="69441A9A" w:rsidRDefault="006F59DE" w14:paraId="7D5D4C77"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Ashley similarly demonstrated an ability to integrate genetic knowledge within an existing life. His continued emphasis on work, friendships and future ambitions suggests that the meaning of a positive result was not necessarily to reorganise life around HD. Instead, HD could be acknowledged while other aspects of life retained their importance.</w:t>
      </w:r>
    </w:p>
    <w:p w:rsidRPr="00443726" w:rsidR="0025324F" w:rsidP="69441A9A" w:rsidRDefault="0025324F" w14:paraId="01B6F660" w14:textId="77777777">
      <w:pPr>
        <w:spacing w:before="240"/>
        <w:jc w:val="both"/>
        <w:rPr>
          <w:rFonts w:ascii="Arial" w:hAnsi="Arial" w:eastAsia="Arial" w:cs="Arial"/>
          <w:color w:val="000000" w:themeColor="text1"/>
          <w:sz w:val="24"/>
          <w:szCs w:val="24"/>
        </w:rPr>
      </w:pPr>
    </w:p>
    <w:p w:rsidRPr="00443726" w:rsidR="006F59DE" w:rsidP="69441A9A" w:rsidRDefault="006F59DE" w14:paraId="7F4B5EB2"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This integration appears particularly significant in understanding adaptation. Ashley did not describe a return to a life unaffected by HD, but neither did he present his diagnosis as the entirety of his future. Meaning was created through maintaining continuity between the person he had been before testing and the person he was becoming afterwards.</w:t>
      </w:r>
    </w:p>
    <w:p w:rsidRPr="00443726" w:rsidR="006F59DE" w:rsidP="69441A9A" w:rsidRDefault="006F59DE" w14:paraId="097CE168"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For Jessica, meaning emerged through understanding and connection. Her repeated description of the result as:</w:t>
      </w:r>
    </w:p>
    <w:p w:rsidR="006F59DE" w:rsidP="69441A9A" w:rsidRDefault="006F59DE" w14:paraId="16E0074F"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i w:val="1"/>
          <w:iCs w:val="1"/>
          <w:color w:val="000000" w:themeColor="text1" w:themeTint="FF" w:themeShade="FF"/>
          <w:sz w:val="24"/>
          <w:szCs w:val="24"/>
        </w:rPr>
        <w:t>“Validation.”</w:t>
      </w:r>
    </w:p>
    <w:p w:rsidRPr="0025324F" w:rsidR="0025324F" w:rsidP="69441A9A" w:rsidRDefault="0025324F" w14:paraId="0DF273C2" w14:textId="77777777">
      <w:pPr>
        <w:spacing w:before="240"/>
        <w:jc w:val="both"/>
        <w:rPr>
          <w:rFonts w:ascii="Arial" w:hAnsi="Arial" w:eastAsia="Arial" w:cs="Arial"/>
          <w:i w:val="1"/>
          <w:iCs w:val="1"/>
          <w:color w:val="000000" w:themeColor="text1"/>
          <w:sz w:val="24"/>
          <w:szCs w:val="24"/>
        </w:rPr>
      </w:pPr>
    </w:p>
    <w:p w:rsidR="006F59DE" w:rsidP="69441A9A" w:rsidRDefault="0025324F" w14:paraId="2B8521D7" w14:textId="6E440056">
      <w:pPr>
        <w:spacing w:before="240"/>
        <w:jc w:val="both"/>
        <w:rPr>
          <w:rFonts w:ascii="Arial" w:hAnsi="Arial" w:eastAsia="Arial" w:cs="Arial"/>
          <w:color w:val="000000" w:themeColor="text1"/>
          <w:sz w:val="24"/>
          <w:szCs w:val="24"/>
        </w:rPr>
      </w:pPr>
      <w:r w:rsidRPr="69441A9A" w:rsidR="0025324F">
        <w:rPr>
          <w:rFonts w:ascii="Arial" w:hAnsi="Arial" w:eastAsia="Arial" w:cs="Arial"/>
          <w:color w:val="000000" w:themeColor="text1" w:themeTint="FF" w:themeShade="FF"/>
          <w:sz w:val="24"/>
          <w:szCs w:val="24"/>
        </w:rPr>
        <w:t>I</w:t>
      </w:r>
      <w:r w:rsidRPr="69441A9A" w:rsidR="006F59DE">
        <w:rPr>
          <w:rFonts w:ascii="Arial" w:hAnsi="Arial" w:eastAsia="Arial" w:cs="Arial"/>
          <w:color w:val="000000" w:themeColor="text1" w:themeTint="FF" w:themeShade="FF"/>
          <w:sz w:val="24"/>
          <w:szCs w:val="24"/>
        </w:rPr>
        <w:t>ndicates the importance of having previous experiences confirmed and made intelligible. However, her wider account also suggested that this understanding extended beyond herself through raising awareness and supporting others affected by HD. Her experience therefore demonstrates how personal meaning could develop into a sense of purpose within the wider HD community.</w:t>
      </w:r>
    </w:p>
    <w:p w:rsidRPr="00443726" w:rsidR="0025324F" w:rsidP="69441A9A" w:rsidRDefault="0025324F" w14:paraId="6F23B8AD" w14:textId="77777777">
      <w:pPr>
        <w:spacing w:before="240"/>
        <w:jc w:val="both"/>
        <w:rPr>
          <w:rFonts w:ascii="Arial" w:hAnsi="Arial" w:eastAsia="Arial" w:cs="Arial"/>
          <w:color w:val="000000" w:themeColor="text1"/>
          <w:sz w:val="24"/>
          <w:szCs w:val="24"/>
        </w:rPr>
      </w:pPr>
    </w:p>
    <w:p w:rsidR="006F59DE" w:rsidP="69441A9A" w:rsidRDefault="006F59DE" w14:paraId="2D6FFB2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Isaac appeared to demonstrate a quieter form of meaning-making. Having anticipated HD for many years, certainty provided a basis from which he could consider practical decisions and future support. Rather than suggesting that the diagnosis could simply be accepted and left behind, his account reflected an emerging capacity to live alongside difficult knowledge.</w:t>
      </w:r>
    </w:p>
    <w:p w:rsidRPr="00443726" w:rsidR="0025324F" w:rsidP="69441A9A" w:rsidRDefault="0025324F" w14:paraId="27B4C75F" w14:textId="77777777">
      <w:pPr>
        <w:spacing w:before="240"/>
        <w:jc w:val="both"/>
        <w:rPr>
          <w:rFonts w:ascii="Arial" w:hAnsi="Arial" w:eastAsia="Arial" w:cs="Arial"/>
          <w:color w:val="000000" w:themeColor="text1"/>
          <w:sz w:val="24"/>
          <w:szCs w:val="24"/>
        </w:rPr>
      </w:pPr>
    </w:p>
    <w:p w:rsidR="006F59DE" w:rsidP="69441A9A" w:rsidRDefault="006F59DE" w14:paraId="3C034DB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Across these accounts, meaning was therefore not fixed at the point of disclosure. Participants continually reinterpreted their results as they encountered new experiences, made decisions and renegotiated their understanding of the future. Positive and negative results produced different forms of psychological work, but neither provided a complete answer to what life would mean afterwards.</w:t>
      </w:r>
    </w:p>
    <w:p w:rsidRPr="00443726" w:rsidR="0025324F" w:rsidP="69441A9A" w:rsidRDefault="0025324F" w14:paraId="159AB0AC" w14:textId="77777777">
      <w:pPr>
        <w:spacing w:before="240"/>
        <w:jc w:val="both"/>
        <w:rPr>
          <w:rFonts w:ascii="Arial" w:hAnsi="Arial" w:eastAsia="Arial" w:cs="Arial"/>
          <w:color w:val="000000" w:themeColor="text1"/>
          <w:sz w:val="24"/>
          <w:szCs w:val="24"/>
        </w:rPr>
      </w:pPr>
    </w:p>
    <w:p w:rsidR="0025324F" w:rsidP="69441A9A" w:rsidRDefault="006F59DE" w14:paraId="2AC79A0C"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Predictive testing consequently changed the nature of uncertainty rather than eliminating uncertainty altogether. Participants no longer had to ask whether they had inherited the altered gene, but they were required to confront new questions about identity, relationships, possibilities and how they wanted to live. The result therefore became meaningful through </w:t>
      </w:r>
      <w:r w:rsidRPr="69441A9A" w:rsidR="006F59DE">
        <w:rPr>
          <w:rFonts w:ascii="Arial" w:hAnsi="Arial" w:eastAsia="Arial" w:cs="Arial"/>
          <w:color w:val="000000" w:themeColor="text1" w:themeTint="FF" w:themeShade="FF"/>
          <w:sz w:val="24"/>
          <w:szCs w:val="24"/>
        </w:rPr>
        <w:t>experience: by being incorporated into everyday life rather than simply remembered as a moment of disclosure.</w:t>
      </w:r>
    </w:p>
    <w:p w:rsidR="00F4459C" w:rsidP="69441A9A" w:rsidRDefault="00F4459C" w14:paraId="3E1F6E9F" w14:textId="77777777">
      <w:pPr>
        <w:spacing w:before="240"/>
        <w:jc w:val="both"/>
        <w:rPr>
          <w:rFonts w:ascii="Arial" w:hAnsi="Arial" w:eastAsia="Arial" w:cs="Arial"/>
          <w:color w:val="000000" w:themeColor="text1"/>
          <w:sz w:val="24"/>
          <w:szCs w:val="24"/>
        </w:rPr>
      </w:pPr>
    </w:p>
    <w:p w:rsidRPr="00F4459C" w:rsidR="006F59DE" w:rsidP="69441A9A" w:rsidRDefault="006F59DE" w14:paraId="65C9BFBF" w14:textId="7E2EAE2E">
      <w:pPr>
        <w:pStyle w:val="Heading3"/>
        <w:rPr>
          <w:rFonts w:ascii="Arial" w:hAnsi="Arial" w:eastAsia="Arial" w:cs="Arial"/>
          <w:sz w:val="28"/>
          <w:szCs w:val="28"/>
        </w:rPr>
      </w:pPr>
      <w:bookmarkStart w:name="_Toc238028892" w:id="48"/>
      <w:r w:rsidRPr="69441A9A" w:rsidR="006F59DE">
        <w:rPr>
          <w:rFonts w:ascii="Arial" w:hAnsi="Arial" w:eastAsia="Arial" w:cs="Arial"/>
          <w:sz w:val="28"/>
          <w:szCs w:val="28"/>
        </w:rPr>
        <w:t>Theme</w:t>
      </w:r>
      <w:r w:rsidRPr="69441A9A" w:rsidR="009C28C3">
        <w:rPr>
          <w:rFonts w:ascii="Arial" w:hAnsi="Arial" w:eastAsia="Arial" w:cs="Arial"/>
          <w:sz w:val="28"/>
          <w:szCs w:val="28"/>
        </w:rPr>
        <w:t xml:space="preserve"> </w:t>
      </w:r>
      <w:r w:rsidRPr="69441A9A" w:rsidR="00F4459C">
        <w:rPr>
          <w:rFonts w:ascii="Arial" w:hAnsi="Arial" w:eastAsia="Arial" w:cs="Arial"/>
          <w:sz w:val="28"/>
          <w:szCs w:val="28"/>
        </w:rPr>
        <w:t>Two</w:t>
      </w:r>
      <w:r w:rsidRPr="69441A9A" w:rsidR="009C28C3">
        <w:rPr>
          <w:rFonts w:ascii="Arial" w:hAnsi="Arial" w:eastAsia="Arial" w:cs="Arial"/>
          <w:sz w:val="28"/>
          <w:szCs w:val="28"/>
        </w:rPr>
        <w:t xml:space="preserve"> </w:t>
      </w:r>
      <w:r w:rsidRPr="69441A9A" w:rsidR="006F59DE">
        <w:rPr>
          <w:rFonts w:ascii="Arial" w:hAnsi="Arial" w:eastAsia="Arial" w:cs="Arial"/>
          <w:sz w:val="28"/>
          <w:szCs w:val="28"/>
        </w:rPr>
        <w:t xml:space="preserve"> Summary</w:t>
      </w:r>
      <w:bookmarkEnd w:id="48"/>
    </w:p>
    <w:p w:rsidRPr="00F4459C" w:rsidR="00F4459C" w:rsidP="69441A9A" w:rsidRDefault="00F4459C" w14:paraId="740B5381" w14:textId="77777777">
      <w:pPr>
        <w:rPr>
          <w:rFonts w:ascii="Arial" w:hAnsi="Arial" w:eastAsia="Arial" w:cs="Arial"/>
        </w:rPr>
      </w:pPr>
    </w:p>
    <w:p w:rsidR="009C28C3" w:rsidP="69441A9A" w:rsidRDefault="006F59DE" w14:paraId="4351884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Making sense of knowing was an ongoing process rather than an immediate response to receiving a genetic result. Participants gradually integrated genetic knowledge into their identities and future expectations, with adjustment shaped by whether the result confirmed or disrupted what they had anticipated. Genetic certainty therefore did not necessarily produce psychological certainty, as participants continued to make meaning of their results through everyday life.</w:t>
      </w:r>
    </w:p>
    <w:p w:rsidR="009C28C3" w:rsidP="69441A9A" w:rsidRDefault="009C28C3" w14:paraId="023D4188" w14:textId="77777777">
      <w:pPr>
        <w:spacing w:before="240"/>
        <w:jc w:val="both"/>
        <w:rPr>
          <w:rFonts w:ascii="Arial" w:hAnsi="Arial" w:eastAsia="Arial" w:cs="Arial"/>
          <w:color w:val="000000" w:themeColor="text1"/>
          <w:sz w:val="24"/>
          <w:szCs w:val="24"/>
        </w:rPr>
      </w:pPr>
    </w:p>
    <w:p w:rsidR="006F59DE" w:rsidP="69441A9A" w:rsidRDefault="006F59DE" w14:paraId="07CDE0CD" w14:textId="644551B2">
      <w:pPr>
        <w:pStyle w:val="Heading2"/>
        <w:rPr>
          <w:rFonts w:ascii="Arial" w:hAnsi="Arial" w:eastAsia="Arial" w:cs="Arial"/>
        </w:rPr>
      </w:pPr>
      <w:bookmarkStart w:name="_Toc238028893" w:id="49"/>
      <w:r w:rsidRPr="69441A9A" w:rsidR="006F59DE">
        <w:rPr>
          <w:rFonts w:ascii="Arial" w:hAnsi="Arial" w:eastAsia="Arial" w:cs="Arial"/>
        </w:rPr>
        <w:t>Theme Three: The Relational Experience of Predictive Genetic Testing</w:t>
      </w:r>
      <w:bookmarkEnd w:id="49"/>
    </w:p>
    <w:p w:rsidR="0006623F" w:rsidP="69441A9A" w:rsidRDefault="0006623F" w14:paraId="3E4A8945" w14:textId="77777777">
      <w:pPr>
        <w:rPr>
          <w:rFonts w:ascii="Arial" w:hAnsi="Arial" w:eastAsia="Arial" w:cs="Arial"/>
        </w:rPr>
      </w:pPr>
    </w:p>
    <w:p w:rsidR="0006623F" w:rsidP="69441A9A" w:rsidRDefault="0006623F" w14:paraId="6B2ECDA3" w14:textId="45FEED8E">
      <w:pPr>
        <w:jc w:val="both"/>
        <w:rPr>
          <w:rFonts w:ascii="Arial" w:hAnsi="Arial" w:eastAsia="Arial" w:cs="Arial"/>
          <w:color w:val="000000" w:themeColor="text1"/>
          <w:sz w:val="24"/>
          <w:szCs w:val="24"/>
        </w:rPr>
      </w:pPr>
      <w:r w:rsidRPr="69441A9A" w:rsidR="0006623F">
        <w:rPr>
          <w:rFonts w:ascii="Arial" w:hAnsi="Arial" w:eastAsia="Arial" w:cs="Arial"/>
          <w:color w:val="000000" w:themeColor="text1" w:themeTint="FF" w:themeShade="FF"/>
          <w:sz w:val="24"/>
          <w:szCs w:val="24"/>
        </w:rPr>
        <w:t>Participants' accounts demonstrated that predictive testing was experienced within a wider relational context. Decisions surrounding testing, disclosure and future planning were shaped by concerns for partners, children, parents and siblings, with HD experienced as something with emotional and practical consequences across family relationships.</w:t>
      </w:r>
    </w:p>
    <w:p w:rsidR="0006623F" w:rsidP="69441A9A" w:rsidRDefault="0006623F" w14:paraId="13C59DC2" w14:textId="77777777">
      <w:pPr>
        <w:rPr>
          <w:rFonts w:ascii="Arial" w:hAnsi="Arial" w:eastAsia="Arial" w:cs="Arial"/>
        </w:rPr>
      </w:pPr>
    </w:p>
    <w:p w:rsidRPr="0006623F" w:rsidR="0006623F" w:rsidP="69441A9A" w:rsidRDefault="0006623F" w14:paraId="07FC92C3" w14:textId="57AC1C88">
      <w:pPr>
        <w:pStyle w:val="Heading3"/>
        <w:rPr>
          <w:rFonts w:ascii="Arial" w:hAnsi="Arial" w:eastAsia="Arial" w:cs="Arial"/>
          <w:sz w:val="28"/>
          <w:szCs w:val="28"/>
        </w:rPr>
      </w:pPr>
      <w:bookmarkStart w:name="_Toc238028894" w:id="50"/>
      <w:r w:rsidRPr="69441A9A" w:rsidR="0006623F">
        <w:rPr>
          <w:rFonts w:ascii="Arial" w:hAnsi="Arial" w:eastAsia="Arial" w:cs="Arial"/>
          <w:sz w:val="28"/>
          <w:szCs w:val="28"/>
        </w:rPr>
        <w:t>Protecting Loved Ones</w:t>
      </w:r>
      <w:bookmarkEnd w:id="50"/>
    </w:p>
    <w:p w:rsidRPr="00443726" w:rsidR="009C28C3" w:rsidP="69441A9A" w:rsidRDefault="009C28C3" w14:paraId="5BD23F29" w14:textId="77777777">
      <w:pPr>
        <w:spacing w:before="240"/>
        <w:jc w:val="both"/>
        <w:rPr>
          <w:rFonts w:ascii="Arial" w:hAnsi="Arial" w:eastAsia="Arial" w:cs="Arial"/>
          <w:b w:val="1"/>
          <w:bCs w:val="1"/>
          <w:color w:val="000000" w:themeColor="text1"/>
          <w:sz w:val="24"/>
          <w:szCs w:val="24"/>
        </w:rPr>
      </w:pPr>
    </w:p>
    <w:p w:rsidR="006F59DE" w:rsidP="69441A9A" w:rsidRDefault="006F59DE" w14:paraId="2A1A83BF"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 prominent aspect of participants' accounts was the extent to which predictive testing was embedded within close relationships. Participants frequently described prioritising the wellbeing of partners, children, parents and siblings above their own emotional needs. Testing was therefore shaped not only by a desire for personal certainty, but by a desire to protect loved ones from uncertainty, future burden or emotional distress.</w:t>
      </w:r>
    </w:p>
    <w:p w:rsidRPr="00443726" w:rsidR="009C28C3" w:rsidP="69441A9A" w:rsidRDefault="009C28C3" w14:paraId="56D5AA30" w14:textId="77777777">
      <w:pPr>
        <w:spacing w:before="240"/>
        <w:jc w:val="both"/>
        <w:rPr>
          <w:rFonts w:ascii="Arial" w:hAnsi="Arial" w:eastAsia="Arial" w:cs="Arial"/>
          <w:color w:val="000000" w:themeColor="text1"/>
          <w:sz w:val="24"/>
          <w:szCs w:val="24"/>
        </w:rPr>
      </w:pPr>
    </w:p>
    <w:p w:rsidR="006F59DE" w:rsidP="69441A9A" w:rsidRDefault="006F59DE" w14:paraId="563CF51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For several participants, this protective position developed long before predictive testing. Growing up alongside HD meant many had witnessed family members experience the condition and, at times, assumed caring responsibilities from an early age. These experiences appeared to cultivate an enduring sense of responsibility towards others.</w:t>
      </w:r>
    </w:p>
    <w:p w:rsidRPr="00443726" w:rsidR="009C28C3" w:rsidP="69441A9A" w:rsidRDefault="009C28C3" w14:paraId="2E59E20D" w14:textId="77777777">
      <w:pPr>
        <w:spacing w:before="240"/>
        <w:jc w:val="both"/>
        <w:rPr>
          <w:rFonts w:ascii="Arial" w:hAnsi="Arial" w:eastAsia="Arial" w:cs="Arial"/>
          <w:color w:val="000000" w:themeColor="text1"/>
          <w:sz w:val="24"/>
          <w:szCs w:val="24"/>
        </w:rPr>
      </w:pPr>
    </w:p>
    <w:p w:rsidR="006F59DE" w:rsidP="69441A9A" w:rsidRDefault="006F59DE" w14:paraId="7B93CFF1"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Rachel, for example, described becoming responsible for seeking information, supporting relatives through diagnosis and coordinating access to services. Her account centred less on her own uncertainty than on ensuring her father, brother and later her nephew were supported. Her own emotional needs consequently appeared secondary, suggesting that living at risk involved carrying responsibility not only for oneself, but also for the wellbeing of others.</w:t>
      </w:r>
    </w:p>
    <w:p w:rsidRPr="00443726" w:rsidR="009C28C3" w:rsidP="69441A9A" w:rsidRDefault="009C28C3" w14:paraId="7E59C973" w14:textId="77777777">
      <w:pPr>
        <w:spacing w:before="240"/>
        <w:jc w:val="both"/>
        <w:rPr>
          <w:rFonts w:ascii="Arial" w:hAnsi="Arial" w:eastAsia="Arial" w:cs="Arial"/>
          <w:color w:val="000000" w:themeColor="text1"/>
          <w:sz w:val="24"/>
          <w:szCs w:val="24"/>
        </w:rPr>
      </w:pPr>
    </w:p>
    <w:p w:rsidR="006F59DE" w:rsidP="69441A9A" w:rsidRDefault="006F59DE" w14:paraId="709D4729"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Similarly, Jessica's reflections demonstrated how a positive result quickly shifted her focus towards her family. Although the result provided an explanation for symptoms she had experienced for years, much of its emotional significance concerned her daughters and grandchildren. Knowledge of carrying the HD gene appeared to bring an ongoing responsibility to support, prepare and protect family members navigating their own potential futures.</w:t>
      </w:r>
    </w:p>
    <w:p w:rsidRPr="00443726" w:rsidR="009C28C3" w:rsidP="69441A9A" w:rsidRDefault="009C28C3" w14:paraId="65CB3AD4" w14:textId="77777777">
      <w:pPr>
        <w:spacing w:before="240"/>
        <w:jc w:val="both"/>
        <w:rPr>
          <w:rFonts w:ascii="Arial" w:hAnsi="Arial" w:eastAsia="Arial" w:cs="Arial"/>
          <w:color w:val="000000" w:themeColor="text1"/>
          <w:sz w:val="24"/>
          <w:szCs w:val="24"/>
        </w:rPr>
      </w:pPr>
    </w:p>
    <w:p w:rsidR="006F59DE" w:rsidP="69441A9A" w:rsidRDefault="006F59DE" w14:paraId="5CBFDE6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For Nathan, protecting loved ones was closely intertwined with family planning. Having initially pursued non-disclosure preimplantation genetic diagnosis, he delayed predictive testing until he felt psychologically prepared. His account reflected an attempt to balance his own emotional readiness with a desire to minimise future harm for those closest to him. Testing was therefore experienced not simply as obtaining genetic information, but as part of fulfilling perceived responsibilities towards future family life.</w:t>
      </w:r>
    </w:p>
    <w:p w:rsidRPr="00443726" w:rsidR="009C28C3" w:rsidP="69441A9A" w:rsidRDefault="009C28C3" w14:paraId="56872FBD" w14:textId="77777777">
      <w:pPr>
        <w:spacing w:before="240"/>
        <w:jc w:val="both"/>
        <w:rPr>
          <w:rFonts w:ascii="Arial" w:hAnsi="Arial" w:eastAsia="Arial" w:cs="Arial"/>
          <w:color w:val="000000" w:themeColor="text1"/>
          <w:sz w:val="24"/>
          <w:szCs w:val="24"/>
        </w:rPr>
      </w:pPr>
    </w:p>
    <w:p w:rsidR="009C28C3" w:rsidP="69441A9A" w:rsidRDefault="006F59DE" w14:paraId="64F53D5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Protective behaviours also became evident within established relationships. Isaac and Laura's interview illustrated how both partners attempted to shield one another from emotional distress whilst navigating a positive result together. Laura described trying to remain strong for Isaac whilst acknowledging the diagnosis' impact on her own wellbeing. Equally, Isaac appeared concerned about the effect of his diagnosis on Laura, often minimising his own struggles. Their accounts suggest that emotional protection may inadvertently limit opportunities for both partners to acknowledge and process their own psychological needs.</w:t>
      </w:r>
    </w:p>
    <w:p w:rsidR="0006623F" w:rsidP="69441A9A" w:rsidRDefault="0006623F" w14:paraId="235F19E8" w14:textId="77777777">
      <w:pPr>
        <w:spacing w:before="240"/>
        <w:jc w:val="both"/>
        <w:rPr>
          <w:rFonts w:ascii="Arial" w:hAnsi="Arial" w:eastAsia="Arial" w:cs="Arial"/>
          <w:color w:val="000000" w:themeColor="text1"/>
          <w:sz w:val="24"/>
          <w:szCs w:val="24"/>
        </w:rPr>
      </w:pPr>
    </w:p>
    <w:p w:rsidRPr="0006623F" w:rsidR="0006623F" w:rsidP="69441A9A" w:rsidRDefault="0006623F" w14:paraId="2B6246EE" w14:textId="2563B980">
      <w:pPr>
        <w:pStyle w:val="Heading3"/>
        <w:rPr>
          <w:rFonts w:ascii="Arial" w:hAnsi="Arial" w:eastAsia="Arial" w:cs="Arial"/>
          <w:sz w:val="28"/>
          <w:szCs w:val="28"/>
        </w:rPr>
      </w:pPr>
      <w:bookmarkStart w:name="_Toc238028895" w:id="51"/>
      <w:r w:rsidRPr="69441A9A" w:rsidR="0006623F">
        <w:rPr>
          <w:rFonts w:ascii="Arial" w:hAnsi="Arial" w:eastAsia="Arial" w:cs="Arial"/>
          <w:sz w:val="28"/>
          <w:szCs w:val="28"/>
        </w:rPr>
        <w:t>Communication, Parenting and Future Generations</w:t>
      </w:r>
      <w:bookmarkEnd w:id="51"/>
    </w:p>
    <w:p w:rsidR="006F59DE" w:rsidP="69441A9A" w:rsidRDefault="006F59DE" w14:paraId="538AC72D" w14:textId="205834A3">
      <w:pPr>
        <w:pStyle w:val="ListParagraph"/>
        <w:ind w:left="0"/>
        <w:jc w:val="both"/>
        <w:rPr>
          <w:rFonts w:ascii="Arial" w:hAnsi="Arial" w:eastAsia="Arial" w:cs="Arial"/>
          <w:color w:val="000000" w:themeColor="text1"/>
          <w:sz w:val="24"/>
          <w:szCs w:val="24"/>
        </w:rPr>
      </w:pPr>
      <w:r>
        <w:br/>
      </w:r>
      <w:r>
        <w:br/>
      </w:r>
      <w:r w:rsidRPr="69441A9A" w:rsidR="006F59DE">
        <w:rPr>
          <w:rFonts w:ascii="Arial" w:hAnsi="Arial" w:eastAsia="Arial" w:cs="Arial"/>
          <w:color w:val="000000" w:themeColor="text1" w:themeTint="FF" w:themeShade="FF"/>
          <w:sz w:val="24"/>
          <w:szCs w:val="24"/>
        </w:rPr>
        <w:t xml:space="preserve">Participants' accounts demonstrated that communication surrounding HD was rarely straightforward. Decisions about whether, when and how to disclose information required participants to negotiate competing responsibilities. Whilst open communication could help </w:t>
      </w:r>
      <w:r w:rsidRPr="69441A9A" w:rsidR="006F59DE">
        <w:rPr>
          <w:rFonts w:ascii="Arial" w:hAnsi="Arial" w:eastAsia="Arial" w:cs="Arial"/>
          <w:color w:val="000000" w:themeColor="text1" w:themeTint="FF" w:themeShade="FF"/>
          <w:sz w:val="24"/>
          <w:szCs w:val="24"/>
        </w:rPr>
        <w:t>prepare family members for the future, disclosure also carried the potential to create fear, uncertainty or guilt.</w:t>
      </w:r>
    </w:p>
    <w:p w:rsidRPr="00443726" w:rsidR="009C28C3" w:rsidP="69441A9A" w:rsidRDefault="009C28C3" w14:paraId="32EF923A" w14:textId="77777777">
      <w:pPr>
        <w:spacing w:before="240"/>
        <w:jc w:val="both"/>
        <w:rPr>
          <w:rFonts w:ascii="Arial" w:hAnsi="Arial" w:eastAsia="Arial" w:cs="Arial"/>
          <w:color w:val="000000" w:themeColor="text1"/>
          <w:sz w:val="24"/>
          <w:szCs w:val="24"/>
        </w:rPr>
      </w:pPr>
    </w:p>
    <w:p w:rsidR="006F59DE" w:rsidP="69441A9A" w:rsidRDefault="006F59DE" w14:paraId="0E07EE21"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Rachel reflected on growing up when little information about the condition was available and conversations were limited. Much of her understanding therefore developed through witnessing changes in family members rather than through explicit discussion. As she assumed greater responsibility within her family, she actively sought information and encouraged more open conversations. This appeared to represent an attempt to protect future generations from the confusion she had experienced herself.</w:t>
      </w:r>
    </w:p>
    <w:p w:rsidRPr="00443726" w:rsidR="009C28C3" w:rsidP="69441A9A" w:rsidRDefault="009C28C3" w14:paraId="6C85814B" w14:textId="77777777">
      <w:pPr>
        <w:spacing w:before="240"/>
        <w:jc w:val="both"/>
        <w:rPr>
          <w:rFonts w:ascii="Arial" w:hAnsi="Arial" w:eastAsia="Arial" w:cs="Arial"/>
          <w:color w:val="000000" w:themeColor="text1"/>
          <w:sz w:val="24"/>
          <w:szCs w:val="24"/>
        </w:rPr>
      </w:pPr>
    </w:p>
    <w:p w:rsidR="006F59DE" w:rsidP="69441A9A" w:rsidRDefault="006F59DE" w14:paraId="6147273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Similarly, Jessica's account illustrated how communication evolved following her positive result. She reflected on conversations with her daughters and how knowledge of the condition should be shared across the wider family. Rather than viewing disclosure as simply informing relatives of her diagnosis, she appeared to understand communication as an ongoing responsibility requiring sensitivity to individual readiness and emotional needs. Predictive testing therefore altered her role within the family, positioning her as a source of information, reassurance and guidance.</w:t>
      </w:r>
    </w:p>
    <w:p w:rsidRPr="00443726" w:rsidR="009C28C3" w:rsidP="69441A9A" w:rsidRDefault="009C28C3" w14:paraId="0C7A4899" w14:textId="77777777">
      <w:pPr>
        <w:spacing w:before="240"/>
        <w:jc w:val="both"/>
        <w:rPr>
          <w:rFonts w:ascii="Arial" w:hAnsi="Arial" w:eastAsia="Arial" w:cs="Arial"/>
          <w:color w:val="000000" w:themeColor="text1"/>
          <w:sz w:val="24"/>
          <w:szCs w:val="24"/>
        </w:rPr>
      </w:pPr>
    </w:p>
    <w:p w:rsidR="006F59DE" w:rsidP="69441A9A" w:rsidRDefault="006F59DE" w14:paraId="01B8C19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Parenting further extended these responsibilities across generations. Following her positive result, Jessica repeatedly reflected on the implications of her diagnosis for her daughters and grandchildren. Rather than understanding herself as the sole recipient of the diagnosis, Jessica appeared to experience the result as something that reverberated across generations, bringing responsibilities to support, inform and prepare her family. Predictive </w:t>
      </w:r>
      <w:r w:rsidRPr="69441A9A" w:rsidR="006F59DE">
        <w:rPr>
          <w:rFonts w:ascii="Arial" w:hAnsi="Arial" w:eastAsia="Arial" w:cs="Arial"/>
          <w:color w:val="000000" w:themeColor="text1" w:themeTint="FF" w:themeShade="FF"/>
          <w:sz w:val="24"/>
          <w:szCs w:val="24"/>
        </w:rPr>
        <w:t>testing therefore reshaped her identity not only as an individual living with HD, but as a parent whose experience carried implications beyond herself.</w:t>
      </w:r>
    </w:p>
    <w:p w:rsidRPr="00443726" w:rsidR="009C28C3" w:rsidP="69441A9A" w:rsidRDefault="009C28C3" w14:paraId="0E641B5B" w14:textId="77777777">
      <w:pPr>
        <w:spacing w:before="240"/>
        <w:jc w:val="both"/>
        <w:rPr>
          <w:rFonts w:ascii="Arial" w:hAnsi="Arial" w:eastAsia="Arial" w:cs="Arial"/>
          <w:color w:val="000000" w:themeColor="text1"/>
          <w:sz w:val="24"/>
          <w:szCs w:val="24"/>
        </w:rPr>
      </w:pPr>
    </w:p>
    <w:p w:rsidR="006F59DE" w:rsidP="69441A9A" w:rsidRDefault="006F59DE" w14:paraId="27E7E925"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Rachel similarly described concerns for her children as significant in her decision to pursue testing. Although she had lived with uncertainty for many years, the possibility that her children and future grandchildren could be affected appeared to intensify her need for certainty. Her negative result brought relief for her immediate family, yet this was tempered by awareness that her brother and nephew continued to live with HD. Parenthood was therefore not experienced simply as relief from transmitting risk, but alongside an awareness of the unequal consequences experienced within the wider family.</w:t>
      </w:r>
    </w:p>
    <w:p w:rsidRPr="00443726" w:rsidR="009C28C3" w:rsidP="69441A9A" w:rsidRDefault="009C28C3" w14:paraId="3491BADE" w14:textId="77777777">
      <w:pPr>
        <w:spacing w:before="240"/>
        <w:jc w:val="both"/>
        <w:rPr>
          <w:rFonts w:ascii="Arial" w:hAnsi="Arial" w:eastAsia="Arial" w:cs="Arial"/>
          <w:color w:val="000000" w:themeColor="text1"/>
          <w:sz w:val="24"/>
          <w:szCs w:val="24"/>
        </w:rPr>
      </w:pPr>
    </w:p>
    <w:p w:rsidR="009C28C3" w:rsidP="69441A9A" w:rsidRDefault="006F59DE" w14:paraId="73F23586"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For Nathan, parenthood was central to his experience of testing. He and his partner initially pursued non-disclosure preimplantation genetic diagnosis, reducing the risk of passing on HD without immediately confronting his own genetic status. He later underwent testing when he felt psychologically ready. His account highlights that readiness for parenthood and readiness for predictive testing were not synonymous. Delaying testing appeared less an act of avoidance than a careful negotiation between emotional capacity and responsibility towards his future family.</w:t>
      </w:r>
    </w:p>
    <w:p w:rsidR="0006623F" w:rsidP="69441A9A" w:rsidRDefault="0006623F" w14:paraId="13172058" w14:textId="77777777">
      <w:pPr>
        <w:spacing w:before="240"/>
        <w:jc w:val="both"/>
        <w:rPr>
          <w:rFonts w:ascii="Arial" w:hAnsi="Arial" w:eastAsia="Arial" w:cs="Arial"/>
          <w:color w:val="000000" w:themeColor="text1"/>
          <w:sz w:val="24"/>
          <w:szCs w:val="24"/>
        </w:rPr>
      </w:pPr>
    </w:p>
    <w:p w:rsidR="006F59DE" w:rsidP="69441A9A" w:rsidRDefault="006F59DE" w14:paraId="06E7ECC4" w14:textId="003489FA">
      <w:pPr>
        <w:pStyle w:val="Heading3"/>
        <w:rPr>
          <w:rFonts w:ascii="Arial" w:hAnsi="Arial" w:eastAsia="Arial" w:cs="Arial"/>
          <w:sz w:val="28"/>
          <w:szCs w:val="28"/>
        </w:rPr>
      </w:pPr>
      <w:bookmarkStart w:name="_Toc238028896" w:id="52"/>
      <w:r w:rsidRPr="69441A9A" w:rsidR="006F59DE">
        <w:rPr>
          <w:rFonts w:ascii="Arial" w:hAnsi="Arial" w:eastAsia="Arial" w:cs="Arial"/>
          <w:sz w:val="28"/>
          <w:szCs w:val="28"/>
        </w:rPr>
        <w:t>The Impact on Partners and Relatives</w:t>
      </w:r>
      <w:bookmarkEnd w:id="52"/>
    </w:p>
    <w:p w:rsidRPr="0006623F" w:rsidR="0006623F" w:rsidP="69441A9A" w:rsidRDefault="0006623F" w14:paraId="39F42A1D" w14:textId="77777777">
      <w:pPr>
        <w:rPr>
          <w:rFonts w:ascii="Arial" w:hAnsi="Arial" w:eastAsia="Arial" w:cs="Arial"/>
        </w:rPr>
      </w:pPr>
    </w:p>
    <w:p w:rsidR="006F59DE" w:rsidP="69441A9A" w:rsidRDefault="006F59DE" w14:paraId="0A72C7C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Participants' accounts also revealed the significant emotional impact of predictive testing on partners and wider family members. HD was rarely experienced as affecting only the </w:t>
      </w:r>
      <w:r w:rsidRPr="69441A9A" w:rsidR="006F59DE">
        <w:rPr>
          <w:rFonts w:ascii="Arial" w:hAnsi="Arial" w:eastAsia="Arial" w:cs="Arial"/>
          <w:color w:val="000000" w:themeColor="text1" w:themeTint="FF" w:themeShade="FF"/>
          <w:sz w:val="24"/>
          <w:szCs w:val="24"/>
        </w:rPr>
        <w:t>individual undergoing testing, with emotional consequences extending across relationships before and after genetic results were received.</w:t>
      </w:r>
    </w:p>
    <w:p w:rsidRPr="00443726" w:rsidR="009C28C3" w:rsidP="69441A9A" w:rsidRDefault="009C28C3" w14:paraId="40641FB8" w14:textId="77777777">
      <w:pPr>
        <w:spacing w:before="240"/>
        <w:jc w:val="both"/>
        <w:rPr>
          <w:rFonts w:ascii="Arial" w:hAnsi="Arial" w:eastAsia="Arial" w:cs="Arial"/>
          <w:color w:val="000000" w:themeColor="text1"/>
          <w:sz w:val="24"/>
          <w:szCs w:val="24"/>
        </w:rPr>
      </w:pPr>
    </w:p>
    <w:p w:rsidR="009C28C3" w:rsidP="69441A9A" w:rsidRDefault="006F59DE" w14:paraId="1343BF6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This was most evident within Isaac and Laura's joint interview. Although Isaac underwent predictive testing, Laura repeatedly described experiencing the diagnosis alongside him. Both reflected on the distress associated with receiving the result and the absence of immediate emotional support.</w:t>
      </w:r>
    </w:p>
    <w:p w:rsidR="009C28C3" w:rsidP="69441A9A" w:rsidRDefault="009C28C3" w14:paraId="57A49031" w14:textId="77777777">
      <w:pPr>
        <w:spacing w:before="240"/>
        <w:jc w:val="both"/>
        <w:rPr>
          <w:rFonts w:ascii="Arial" w:hAnsi="Arial" w:eastAsia="Arial" w:cs="Arial"/>
          <w:color w:val="000000" w:themeColor="text1"/>
          <w:sz w:val="24"/>
          <w:szCs w:val="24"/>
        </w:rPr>
      </w:pPr>
    </w:p>
    <w:p w:rsidR="009C28C3" w:rsidP="69441A9A" w:rsidRDefault="006F59DE" w14:paraId="700B9EF1"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 Laura described professionals as having</w:t>
      </w:r>
      <w:r w:rsidRPr="69441A9A" w:rsidR="009C28C3">
        <w:rPr>
          <w:rFonts w:ascii="Arial" w:hAnsi="Arial" w:eastAsia="Arial" w:cs="Arial"/>
          <w:color w:val="000000" w:themeColor="text1" w:themeTint="FF" w:themeShade="FF"/>
          <w:sz w:val="24"/>
          <w:szCs w:val="24"/>
        </w:rPr>
        <w:t>:</w:t>
      </w:r>
    </w:p>
    <w:p w:rsidR="009C28C3" w:rsidP="69441A9A" w:rsidRDefault="006F59DE" w14:paraId="2EEEB4B8" w14:textId="77777777">
      <w:pPr>
        <w:spacing w:before="240"/>
        <w:jc w:val="both"/>
        <w:rPr>
          <w:rFonts w:ascii="Arial" w:hAnsi="Arial" w:eastAsia="Arial" w:cs="Arial"/>
          <w:i w:val="1"/>
          <w:iCs w:val="1"/>
          <w:color w:val="000000" w:themeColor="text1"/>
          <w:sz w:val="24"/>
          <w:szCs w:val="24"/>
        </w:rPr>
      </w:pPr>
      <w:r w:rsidRPr="69441A9A" w:rsidR="006F59DE">
        <w:rPr>
          <w:rFonts w:ascii="Arial" w:hAnsi="Arial" w:eastAsia="Arial" w:cs="Arial"/>
          <w:color w:val="000000" w:themeColor="text1" w:themeTint="FF" w:themeShade="FF"/>
          <w:sz w:val="24"/>
          <w:szCs w:val="24"/>
        </w:rPr>
        <w:t xml:space="preserve"> </w:t>
      </w:r>
      <w:r w:rsidRPr="69441A9A" w:rsidR="006F59DE">
        <w:rPr>
          <w:rFonts w:ascii="Arial" w:hAnsi="Arial" w:eastAsia="Arial" w:cs="Arial"/>
          <w:i w:val="1"/>
          <w:iCs w:val="1"/>
          <w:color w:val="000000" w:themeColor="text1" w:themeTint="FF" w:themeShade="FF"/>
          <w:sz w:val="24"/>
          <w:szCs w:val="24"/>
        </w:rPr>
        <w:t>"let a grenade off and then just left us to deal with it"</w:t>
      </w:r>
    </w:p>
    <w:p w:rsidR="009C28C3" w:rsidP="69441A9A" w:rsidRDefault="009C28C3" w14:paraId="569878FD" w14:textId="77777777">
      <w:pPr>
        <w:spacing w:before="240"/>
        <w:jc w:val="both"/>
        <w:rPr>
          <w:rFonts w:ascii="Arial" w:hAnsi="Arial" w:eastAsia="Arial" w:cs="Arial"/>
          <w:i w:val="1"/>
          <w:iCs w:val="1"/>
          <w:color w:val="000000" w:themeColor="text1"/>
          <w:sz w:val="24"/>
          <w:szCs w:val="24"/>
        </w:rPr>
      </w:pPr>
    </w:p>
    <w:p w:rsidR="006F59DE" w:rsidP="69441A9A" w:rsidRDefault="006F59DE" w14:paraId="706746C7" w14:textId="25E84BC8">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 </w:t>
      </w:r>
      <w:r w:rsidRPr="69441A9A" w:rsidR="009C28C3">
        <w:rPr>
          <w:rFonts w:ascii="Arial" w:hAnsi="Arial" w:eastAsia="Arial" w:cs="Arial"/>
          <w:color w:val="000000" w:themeColor="text1" w:themeTint="FF" w:themeShade="FF"/>
          <w:sz w:val="24"/>
          <w:szCs w:val="24"/>
        </w:rPr>
        <w:t xml:space="preserve">This captured </w:t>
      </w:r>
      <w:r w:rsidRPr="69441A9A" w:rsidR="006F59DE">
        <w:rPr>
          <w:rFonts w:ascii="Arial" w:hAnsi="Arial" w:eastAsia="Arial" w:cs="Arial"/>
          <w:color w:val="000000" w:themeColor="text1" w:themeTint="FF" w:themeShade="FF"/>
          <w:sz w:val="24"/>
          <w:szCs w:val="24"/>
        </w:rPr>
        <w:t xml:space="preserve"> their sense of abandonment following disclosure. Rather than being included within the care pathway, Laura appeared expected to provide emotional support whilst simultaneously processing the diagnosis herself. Her account suggests that partners may assume substantial psychological responsibility despite remaining outside the formal focus of clinical care.</w:t>
      </w:r>
    </w:p>
    <w:p w:rsidRPr="00443726" w:rsidR="009C28C3" w:rsidP="69441A9A" w:rsidRDefault="009C28C3" w14:paraId="1FD9F862" w14:textId="77777777">
      <w:pPr>
        <w:spacing w:before="240"/>
        <w:jc w:val="both"/>
        <w:rPr>
          <w:rFonts w:ascii="Arial" w:hAnsi="Arial" w:eastAsia="Arial" w:cs="Arial"/>
          <w:color w:val="000000" w:themeColor="text1"/>
          <w:sz w:val="24"/>
          <w:szCs w:val="24"/>
        </w:rPr>
      </w:pPr>
    </w:p>
    <w:p w:rsidR="006F59DE" w:rsidP="69441A9A" w:rsidRDefault="006F59DE" w14:paraId="45133B8D"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Rachel's account similarly demonstrated that the emotional impact of HD continued despite her negative result. Although she no longer faced personal genetic risk, supporting her father, brother and nephew meant that HD remained central to family life. She described continuing concern, responsibility and survivor guilt as relatives remained affected. Her experience </w:t>
      </w:r>
      <w:r w:rsidRPr="69441A9A" w:rsidR="006F59DE">
        <w:rPr>
          <w:rFonts w:ascii="Arial" w:hAnsi="Arial" w:eastAsia="Arial" w:cs="Arial"/>
          <w:color w:val="000000" w:themeColor="text1" w:themeTint="FF" w:themeShade="FF"/>
          <w:sz w:val="24"/>
          <w:szCs w:val="24"/>
        </w:rPr>
        <w:t>suggests that adjustment cannot be understood solely through genetic status; relationships with affected relatives continued to shape her psychological experience.</w:t>
      </w:r>
    </w:p>
    <w:p w:rsidRPr="00443726" w:rsidR="009C28C3" w:rsidP="69441A9A" w:rsidRDefault="009C28C3" w14:paraId="0BD88F9B" w14:textId="77777777">
      <w:pPr>
        <w:spacing w:before="240"/>
        <w:jc w:val="both"/>
        <w:rPr>
          <w:rFonts w:ascii="Arial" w:hAnsi="Arial" w:eastAsia="Arial" w:cs="Arial"/>
          <w:color w:val="000000" w:themeColor="text1"/>
          <w:sz w:val="24"/>
          <w:szCs w:val="24"/>
        </w:rPr>
      </w:pPr>
    </w:p>
    <w:p w:rsidR="006F59DE" w:rsidP="69441A9A" w:rsidRDefault="006F59DE" w14:paraId="0DE0626C"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Jessica likewise returned to the implications of her diagnosis for her daughters and grandchildren, whilst Nathan reflected on the experiences of his parents following his negative result. In both accounts, the emotional responses of significant others became intertwined with their own meaning-making. Predictive testing therefore had consequences that extended beyond the person receiving the result.</w:t>
      </w:r>
    </w:p>
    <w:p w:rsidRPr="00443726" w:rsidR="009C28C3" w:rsidP="69441A9A" w:rsidRDefault="009C28C3" w14:paraId="2DB07D4B" w14:textId="77777777">
      <w:pPr>
        <w:spacing w:before="240"/>
        <w:jc w:val="both"/>
        <w:rPr>
          <w:rFonts w:ascii="Arial" w:hAnsi="Arial" w:eastAsia="Arial" w:cs="Arial"/>
          <w:color w:val="000000" w:themeColor="text1"/>
          <w:sz w:val="24"/>
          <w:szCs w:val="24"/>
        </w:rPr>
      </w:pPr>
    </w:p>
    <w:p w:rsidR="006F59DE" w:rsidP="69441A9A" w:rsidRDefault="006F59DE" w14:paraId="742C86AC"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Participants also described monitoring the emotional wellbeing of those around them. Protecting loved ones could involve concealing personal distress, remaining optimistic for family members or assuming caregiving responsibilities despite experiencing uncertainty or grief themselves. Whilst these behaviours could strengthen relationships, they also created additional emotional burdens. Emotional adjustment therefore emerged as a shared process in which individual needs could remain unspoken.</w:t>
      </w:r>
    </w:p>
    <w:p w:rsidRPr="009C28C3" w:rsidR="009C28C3" w:rsidP="69441A9A" w:rsidRDefault="009C28C3" w14:paraId="745DA5F0" w14:textId="77777777">
      <w:pPr>
        <w:spacing w:before="240"/>
        <w:jc w:val="both"/>
        <w:rPr>
          <w:rFonts w:ascii="Arial" w:hAnsi="Arial" w:eastAsia="Arial" w:cs="Arial"/>
          <w:b w:val="1"/>
          <w:bCs w:val="1"/>
          <w:color w:val="000000" w:themeColor="text1"/>
          <w:sz w:val="24"/>
          <w:szCs w:val="24"/>
        </w:rPr>
      </w:pPr>
    </w:p>
    <w:p w:rsidRPr="0006623F" w:rsidR="009C28C3" w:rsidP="69441A9A" w:rsidRDefault="009C28C3" w14:paraId="0C136141" w14:textId="338554A2">
      <w:pPr>
        <w:pStyle w:val="Heading3"/>
        <w:rPr>
          <w:rFonts w:ascii="Arial" w:hAnsi="Arial" w:eastAsia="Arial" w:cs="Arial"/>
          <w:sz w:val="28"/>
          <w:szCs w:val="28"/>
        </w:rPr>
      </w:pPr>
      <w:bookmarkStart w:name="_Toc238028897" w:id="53"/>
      <w:r w:rsidRPr="69441A9A" w:rsidR="009C28C3">
        <w:rPr>
          <w:rFonts w:ascii="Arial" w:hAnsi="Arial" w:eastAsia="Arial" w:cs="Arial"/>
          <w:sz w:val="28"/>
          <w:szCs w:val="28"/>
        </w:rPr>
        <w:t xml:space="preserve">Theme </w:t>
      </w:r>
      <w:r w:rsidRPr="69441A9A" w:rsidR="0006623F">
        <w:rPr>
          <w:rFonts w:ascii="Arial" w:hAnsi="Arial" w:eastAsia="Arial" w:cs="Arial"/>
          <w:sz w:val="28"/>
          <w:szCs w:val="28"/>
        </w:rPr>
        <w:t>Three</w:t>
      </w:r>
      <w:r w:rsidRPr="69441A9A" w:rsidR="009C28C3">
        <w:rPr>
          <w:rFonts w:ascii="Arial" w:hAnsi="Arial" w:eastAsia="Arial" w:cs="Arial"/>
          <w:sz w:val="28"/>
          <w:szCs w:val="28"/>
        </w:rPr>
        <w:t xml:space="preserve"> Summary</w:t>
      </w:r>
      <w:bookmarkEnd w:id="53"/>
      <w:r w:rsidRPr="69441A9A" w:rsidR="009C28C3">
        <w:rPr>
          <w:rFonts w:ascii="Arial" w:hAnsi="Arial" w:eastAsia="Arial" w:cs="Arial"/>
          <w:sz w:val="28"/>
          <w:szCs w:val="28"/>
        </w:rPr>
        <w:t xml:space="preserve"> </w:t>
      </w:r>
    </w:p>
    <w:p w:rsidRPr="009C28C3" w:rsidR="009C28C3" w:rsidP="69441A9A" w:rsidRDefault="009C28C3" w14:paraId="603F330A" w14:textId="77777777">
      <w:pPr>
        <w:spacing w:before="240"/>
        <w:jc w:val="both"/>
        <w:rPr>
          <w:rFonts w:ascii="Arial" w:hAnsi="Arial" w:eastAsia="Arial" w:cs="Arial"/>
          <w:b w:val="1"/>
          <w:bCs w:val="1"/>
          <w:color w:val="000000" w:themeColor="text1"/>
          <w:sz w:val="24"/>
          <w:szCs w:val="24"/>
        </w:rPr>
      </w:pPr>
    </w:p>
    <w:p w:rsidR="009C28C3" w:rsidP="69441A9A" w:rsidRDefault="006F59DE" w14:paraId="5B1DDF20"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Taken together, participants' accounts demonstrate that predictive testing for HD was fundamentally relational. Decisions surrounding testing, disclosure and future planning were negotiated within family relationships, whilst coping involved balancing personal emotional needs against perceived responsibilities towards others. Family relationships provided important sources of strength but also placed considerable psychological demands on </w:t>
      </w:r>
      <w:r w:rsidRPr="69441A9A" w:rsidR="006F59DE">
        <w:rPr>
          <w:rFonts w:ascii="Arial" w:hAnsi="Arial" w:eastAsia="Arial" w:cs="Arial"/>
          <w:color w:val="000000" w:themeColor="text1" w:themeTint="FF" w:themeShade="FF"/>
          <w:sz w:val="24"/>
          <w:szCs w:val="24"/>
        </w:rPr>
        <w:t>partners and relatives, many of whom experienced the consequences of HD without being direct recipients of clinical support.</w:t>
      </w:r>
    </w:p>
    <w:p w:rsidR="0006623F" w:rsidP="69441A9A" w:rsidRDefault="0006623F" w14:paraId="78042724" w14:textId="77777777">
      <w:pPr>
        <w:spacing w:before="240"/>
        <w:jc w:val="both"/>
        <w:rPr>
          <w:rFonts w:ascii="Arial" w:hAnsi="Arial" w:eastAsia="Arial" w:cs="Arial"/>
          <w:color w:val="000000" w:themeColor="text1"/>
          <w:sz w:val="24"/>
          <w:szCs w:val="24"/>
        </w:rPr>
      </w:pPr>
    </w:p>
    <w:p w:rsidRPr="0006623F" w:rsidR="006F59DE" w:rsidP="69441A9A" w:rsidRDefault="006F59DE" w14:paraId="6B377296" w14:textId="4D2E5B32">
      <w:pPr>
        <w:pStyle w:val="Heading2"/>
        <w:rPr>
          <w:rFonts w:ascii="Arial" w:hAnsi="Arial" w:eastAsia="Arial" w:cs="Arial"/>
        </w:rPr>
      </w:pPr>
      <w:bookmarkStart w:name="_Toc238028898" w:id="54"/>
      <w:r w:rsidRPr="69441A9A" w:rsidR="006F59DE">
        <w:rPr>
          <w:rFonts w:ascii="Arial" w:hAnsi="Arial" w:eastAsia="Arial" w:cs="Arial"/>
        </w:rPr>
        <w:t>Theme 4: Experiences of Therapeutic Support</w:t>
      </w:r>
      <w:bookmarkEnd w:id="54"/>
    </w:p>
    <w:p w:rsidRPr="0006623F" w:rsidR="0006623F" w:rsidP="69441A9A" w:rsidRDefault="0006623F" w14:paraId="105EF114" w14:textId="77777777">
      <w:pPr>
        <w:rPr>
          <w:rFonts w:ascii="Arial" w:hAnsi="Arial" w:eastAsia="Arial" w:cs="Arial"/>
        </w:rPr>
      </w:pPr>
    </w:p>
    <w:p w:rsidR="009C28C3" w:rsidP="69441A9A" w:rsidRDefault="006F59DE" w14:paraId="576CB827"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Therapeutic support emerged as a significant aspect of participants' experiences of predictive testing, extending beyond the provision of genetic information or the practicalities of the testing pathway. Across the interviews, participants reflected on whether they felt emotionally recognised throughout a process that many described as psychologically complex and continually evolving.</w:t>
      </w:r>
    </w:p>
    <w:p w:rsidR="00CD4B31" w:rsidP="69441A9A" w:rsidRDefault="00CD4B31" w14:paraId="2E44CF5C" w14:textId="77777777">
      <w:pPr>
        <w:spacing w:before="240"/>
        <w:jc w:val="both"/>
        <w:rPr>
          <w:rFonts w:ascii="Arial" w:hAnsi="Arial" w:eastAsia="Arial" w:cs="Arial"/>
          <w:color w:val="000000" w:themeColor="text1"/>
          <w:sz w:val="24"/>
          <w:szCs w:val="24"/>
        </w:rPr>
      </w:pPr>
    </w:p>
    <w:p w:rsidRPr="00CD4B31" w:rsidR="00CD4B31" w:rsidP="69441A9A" w:rsidRDefault="00CD4B31" w14:paraId="1AD4D5BD" w14:textId="77777777">
      <w:pPr>
        <w:pStyle w:val="Heading3"/>
        <w:rPr>
          <w:rFonts w:ascii="Arial" w:hAnsi="Arial" w:eastAsia="Arial" w:cs="Arial"/>
          <w:sz w:val="28"/>
          <w:szCs w:val="28"/>
        </w:rPr>
      </w:pPr>
      <w:bookmarkStart w:name="_Toc238028899" w:id="55"/>
      <w:r w:rsidRPr="69441A9A" w:rsidR="00CD4B31">
        <w:rPr>
          <w:rFonts w:ascii="Arial" w:hAnsi="Arial" w:eastAsia="Arial" w:cs="Arial"/>
          <w:sz w:val="28"/>
          <w:szCs w:val="28"/>
        </w:rPr>
        <w:t>Feeling heard and Understood</w:t>
      </w:r>
      <w:bookmarkEnd w:id="55"/>
    </w:p>
    <w:p w:rsidR="006F59DE" w:rsidP="69441A9A" w:rsidRDefault="006F59DE" w14:paraId="65246611" w14:textId="63BBA262">
      <w:pPr>
        <w:spacing w:before="240"/>
        <w:jc w:val="both"/>
        <w:rPr>
          <w:rFonts w:ascii="Arial" w:hAnsi="Arial" w:eastAsia="Arial" w:cs="Arial"/>
          <w:color w:val="000000" w:themeColor="text1"/>
          <w:sz w:val="24"/>
          <w:szCs w:val="24"/>
        </w:rPr>
      </w:pPr>
      <w:r>
        <w:br/>
      </w:r>
      <w:r w:rsidRPr="69441A9A" w:rsidR="006F59DE">
        <w:rPr>
          <w:rFonts w:ascii="Arial" w:hAnsi="Arial" w:eastAsia="Arial" w:cs="Arial"/>
          <w:color w:val="000000" w:themeColor="text1" w:themeTint="FF" w:themeShade="FF"/>
          <w:sz w:val="24"/>
          <w:szCs w:val="24"/>
        </w:rPr>
        <w:t>One of the clearest features of participants' accounts was the importance of feeling genuinely heard. Whilst genetic counselling was consistently valued for providing information and supporting informed decision-making, participants repeatedly suggested that information alone could not address the emotional complexity of predictive testing. Instead, therapeutic encounters became meaningful when professionals created space for participants to explore uncertainty, fear and the personal significance of living with HD.</w:t>
      </w:r>
    </w:p>
    <w:p w:rsidRPr="00443726" w:rsidR="009C28C3" w:rsidP="69441A9A" w:rsidRDefault="009C28C3" w14:paraId="5884D71D" w14:textId="77777777">
      <w:pPr>
        <w:spacing w:before="240"/>
        <w:jc w:val="both"/>
        <w:rPr>
          <w:rFonts w:ascii="Arial" w:hAnsi="Arial" w:eastAsia="Arial" w:cs="Arial"/>
          <w:color w:val="000000" w:themeColor="text1"/>
          <w:sz w:val="24"/>
          <w:szCs w:val="24"/>
        </w:rPr>
      </w:pPr>
    </w:p>
    <w:p w:rsidR="006F59DE" w:rsidP="69441A9A" w:rsidRDefault="006F59DE" w14:paraId="406C871F"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This was particularly evident in the experiences of Clara and Jessica, both of whom reflected positively on long-standing relationships with their genetic counsellors. Rather than describing appointments as isolated events centred on genetic testing, they portrayed these </w:t>
      </w:r>
      <w:r w:rsidRPr="69441A9A" w:rsidR="006F59DE">
        <w:rPr>
          <w:rFonts w:ascii="Arial" w:hAnsi="Arial" w:eastAsia="Arial" w:cs="Arial"/>
          <w:color w:val="000000" w:themeColor="text1" w:themeTint="FF" w:themeShade="FF"/>
          <w:sz w:val="24"/>
          <w:szCs w:val="24"/>
        </w:rPr>
        <w:t>relationships as places they could return to as their lives and emotional needs changed. Being supported by professionals who already understood their family histories and previous experiences appeared to reduce the burden of repeatedly explaining themselves, allowing conversations to develop naturally over time. For both participants, feeling heard was closely connected to feeling recognised as individuals rather than simply as people at genetic risk.</w:t>
      </w:r>
    </w:p>
    <w:p w:rsidRPr="00443726" w:rsidR="009C28C3" w:rsidP="69441A9A" w:rsidRDefault="009C28C3" w14:paraId="7CE789D9" w14:textId="77777777">
      <w:pPr>
        <w:spacing w:before="240"/>
        <w:jc w:val="both"/>
        <w:rPr>
          <w:rFonts w:ascii="Arial" w:hAnsi="Arial" w:eastAsia="Arial" w:cs="Arial"/>
          <w:color w:val="000000" w:themeColor="text1"/>
          <w:sz w:val="24"/>
          <w:szCs w:val="24"/>
        </w:rPr>
      </w:pPr>
    </w:p>
    <w:p w:rsidR="006F59DE" w:rsidP="69441A9A" w:rsidRDefault="006F59DE" w14:paraId="1E888E26"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Jessica described gradually coming to terms with what her positive result meant, not only for herself but for her wider family, whilst Clara reflected on continuing to draw upon established professional relationships as different stages of life brought new questions and concerns. This suggests that the need for emotional support did not diminish once clinical decisions had been made. Instead, participants appeared to benefit from knowing that trusted professionals remained available as the implications of predictive testing unfolded throughout everyday life.</w:t>
      </w:r>
    </w:p>
    <w:p w:rsidRPr="00443726" w:rsidR="009C28C3" w:rsidP="69441A9A" w:rsidRDefault="009C28C3" w14:paraId="773EF640" w14:textId="77777777">
      <w:pPr>
        <w:spacing w:before="240"/>
        <w:jc w:val="both"/>
        <w:rPr>
          <w:rFonts w:ascii="Arial" w:hAnsi="Arial" w:eastAsia="Arial" w:cs="Arial"/>
          <w:color w:val="000000" w:themeColor="text1"/>
          <w:sz w:val="24"/>
          <w:szCs w:val="24"/>
        </w:rPr>
      </w:pPr>
    </w:p>
    <w:p w:rsidR="006F59DE" w:rsidP="69441A9A" w:rsidRDefault="006F59DE" w14:paraId="77C21221"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Nathan's interview offered a different but equally important perspective. Having spent much of his life preparing himself psychologically to develop HD, receiving confirmation that he had not inherited the altered gene disrupted the future he had imagined for himself. What appeared particularly significant was that these difficulties only became fully understandable through working with a clinical psychologist, who helped him make sense of emotions that he had initially believed were difficult to justify. His account illustrates how psychological support may become most valuable after testing, when participants begin reconstructing their identities in light of new knowledge.</w:t>
      </w:r>
    </w:p>
    <w:p w:rsidR="008E3FB2" w:rsidP="69441A9A" w:rsidRDefault="008E3FB2" w14:paraId="0D933D44" w14:textId="77777777">
      <w:pPr>
        <w:spacing w:before="240"/>
        <w:jc w:val="both"/>
        <w:rPr>
          <w:rFonts w:ascii="Arial" w:hAnsi="Arial" w:eastAsia="Arial" w:cs="Arial"/>
          <w:color w:val="000000" w:themeColor="text1"/>
          <w:sz w:val="24"/>
          <w:szCs w:val="24"/>
        </w:rPr>
      </w:pPr>
    </w:p>
    <w:p w:rsidRPr="008E3FB2" w:rsidR="008E3FB2" w:rsidP="69441A9A" w:rsidRDefault="008E3FB2" w14:paraId="3F941E60" w14:textId="1D915FD4">
      <w:pPr>
        <w:pStyle w:val="Heading3"/>
        <w:rPr>
          <w:rFonts w:ascii="Arial" w:hAnsi="Arial" w:eastAsia="Arial" w:cs="Arial"/>
          <w:sz w:val="28"/>
          <w:szCs w:val="28"/>
        </w:rPr>
      </w:pPr>
      <w:bookmarkStart w:name="_Toc238028900" w:id="56"/>
      <w:r w:rsidRPr="69441A9A" w:rsidR="008E3FB2">
        <w:rPr>
          <w:rFonts w:ascii="Arial" w:hAnsi="Arial" w:eastAsia="Arial" w:cs="Arial"/>
          <w:sz w:val="28"/>
          <w:szCs w:val="28"/>
        </w:rPr>
        <w:t>Continuity and Unmet Psychological Needs</w:t>
      </w:r>
      <w:bookmarkEnd w:id="56"/>
    </w:p>
    <w:p w:rsidR="009C28C3" w:rsidP="69441A9A" w:rsidRDefault="009C28C3" w14:paraId="0D4A1B44" w14:textId="77777777">
      <w:pPr>
        <w:spacing w:before="240"/>
        <w:jc w:val="both"/>
        <w:rPr>
          <w:rFonts w:ascii="Arial" w:hAnsi="Arial" w:eastAsia="Arial" w:cs="Arial"/>
          <w:color w:val="000000" w:themeColor="text1"/>
          <w:sz w:val="24"/>
          <w:szCs w:val="24"/>
        </w:rPr>
      </w:pPr>
    </w:p>
    <w:p w:rsidR="006F59DE" w:rsidP="69441A9A" w:rsidRDefault="006F59DE" w14:paraId="58432922" w14:textId="1963308C">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Across participants, continuity appeared to provide a sense of stability within an otherwise uncertain future. Trust developed through relationships in which participants felt confident that emotional responses would be acknowledged without judgement, regardless of whether they reflected fear, relief, guilt or uncertainty. Clara and Jessica described maintaining contact with familiar genetic counsellors over a number of years, allowing them to return to trusted professionals when life events prompted them to reconsider the implications of knowing.</w:t>
      </w:r>
    </w:p>
    <w:p w:rsidRPr="00443726" w:rsidR="009C28C3" w:rsidP="69441A9A" w:rsidRDefault="009C28C3" w14:paraId="58D25DBE" w14:textId="77777777">
      <w:pPr>
        <w:spacing w:before="240"/>
        <w:jc w:val="both"/>
        <w:rPr>
          <w:rFonts w:ascii="Arial" w:hAnsi="Arial" w:eastAsia="Arial" w:cs="Arial"/>
          <w:color w:val="000000" w:themeColor="text1"/>
          <w:sz w:val="24"/>
          <w:szCs w:val="24"/>
        </w:rPr>
      </w:pPr>
    </w:p>
    <w:p w:rsidR="006F59DE" w:rsidP="69441A9A" w:rsidRDefault="006F59DE" w14:paraId="238DD1CC"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In contrast, not all participants experienced the same opportunities to explore the emotional consequences of predictive testing. Isaac and Laura's interview illustrated how receiving accurate clinical information did not necessarily translate into feeling emotionally supported. Laura's description of professionals having "let a grenade off and then just left us to deal with it" reflected more than dissatisfaction with services; it captured the abrupt transition from structured clinical care to managing the emotional realities of HD within everyday life. Rather than feeling included within the care pathway, Laura appeared to occupy an uncertain position whereby she was expected to provide emotional support whilst simultaneously attempting to process the diagnosis herself.</w:t>
      </w:r>
    </w:p>
    <w:p w:rsidRPr="00443726" w:rsidR="009C28C3" w:rsidP="69441A9A" w:rsidRDefault="009C28C3" w14:paraId="244EE6E2" w14:textId="77777777">
      <w:pPr>
        <w:spacing w:before="240"/>
        <w:jc w:val="both"/>
        <w:rPr>
          <w:rFonts w:ascii="Arial" w:hAnsi="Arial" w:eastAsia="Arial" w:cs="Arial"/>
          <w:color w:val="000000" w:themeColor="text1"/>
          <w:sz w:val="24"/>
          <w:szCs w:val="24"/>
        </w:rPr>
      </w:pPr>
    </w:p>
    <w:p w:rsidR="006F59DE" w:rsidP="69441A9A" w:rsidRDefault="006F59DE" w14:paraId="12B64DC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Rachel's reflections further reinforced the distinction between information and emotional support. Although she valued the knowledge and guidance provided by genetics services, she described years of supporting multiple family members through HD before recognising the cumulative emotional impact this had on her own wellbeing. Her experience suggests </w:t>
      </w:r>
      <w:r w:rsidRPr="69441A9A" w:rsidR="006F59DE">
        <w:rPr>
          <w:rFonts w:ascii="Arial" w:hAnsi="Arial" w:eastAsia="Arial" w:cs="Arial"/>
          <w:color w:val="000000" w:themeColor="text1" w:themeTint="FF" w:themeShade="FF"/>
          <w:sz w:val="24"/>
          <w:szCs w:val="24"/>
        </w:rPr>
        <w:t>that participants were often expected to recognise when they needed psychological support and actively pursue it themselves, despite already carrying considerable emotional responsibilities within their families.</w:t>
      </w:r>
    </w:p>
    <w:p w:rsidRPr="00443726" w:rsidR="009C28C3" w:rsidP="69441A9A" w:rsidRDefault="009C28C3" w14:paraId="42092EC8" w14:textId="77777777">
      <w:pPr>
        <w:spacing w:before="240"/>
        <w:jc w:val="both"/>
        <w:rPr>
          <w:rFonts w:ascii="Arial" w:hAnsi="Arial" w:eastAsia="Arial" w:cs="Arial"/>
          <w:color w:val="000000" w:themeColor="text1"/>
          <w:sz w:val="24"/>
          <w:szCs w:val="24"/>
        </w:rPr>
      </w:pPr>
    </w:p>
    <w:p w:rsidR="006F59DE" w:rsidP="69441A9A" w:rsidRDefault="006F59DE" w14:paraId="76D2E737"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Nathan's account demonstrated how experiences could vary depending on the availability of specialist psychological services. Whilst he described receiving comprehensive support throughout predictive testing, working with a clinical psychologist became essential after receiving his negative result, helping him understand emotions that had not been anticipated during the testing process. His experience challenged assumptions that support is only necessary for individuals receiving a positive result, instead demonstrating that psychological adjustment may continue regardless of genetic outcome.</w:t>
      </w:r>
    </w:p>
    <w:p w:rsidR="009C28C3" w:rsidP="69441A9A" w:rsidRDefault="009C28C3" w14:paraId="45112F50" w14:textId="77777777">
      <w:pPr>
        <w:spacing w:before="240"/>
        <w:jc w:val="both"/>
        <w:rPr>
          <w:rFonts w:ascii="Arial" w:hAnsi="Arial" w:eastAsia="Arial" w:cs="Arial"/>
          <w:color w:val="000000" w:themeColor="text1"/>
          <w:sz w:val="24"/>
          <w:szCs w:val="24"/>
        </w:rPr>
      </w:pPr>
    </w:p>
    <w:p w:rsidR="009C28C3" w:rsidP="69441A9A" w:rsidRDefault="009C28C3" w14:paraId="20B9771B" w14:textId="64B4AB91">
      <w:pPr>
        <w:pStyle w:val="Heading3"/>
        <w:rPr>
          <w:rFonts w:ascii="Arial" w:hAnsi="Arial" w:eastAsia="Arial" w:cs="Arial"/>
          <w:sz w:val="28"/>
          <w:szCs w:val="28"/>
        </w:rPr>
      </w:pPr>
      <w:bookmarkStart w:name="_Toc238028901" w:id="57"/>
      <w:r w:rsidRPr="69441A9A" w:rsidR="009C28C3">
        <w:rPr>
          <w:rFonts w:ascii="Arial" w:hAnsi="Arial" w:eastAsia="Arial" w:cs="Arial"/>
          <w:sz w:val="28"/>
          <w:szCs w:val="28"/>
        </w:rPr>
        <w:t>Theme 4 Summary</w:t>
      </w:r>
      <w:bookmarkEnd w:id="57"/>
      <w:r w:rsidRPr="69441A9A" w:rsidR="009C28C3">
        <w:rPr>
          <w:rFonts w:ascii="Arial" w:hAnsi="Arial" w:eastAsia="Arial" w:cs="Arial"/>
          <w:sz w:val="28"/>
          <w:szCs w:val="28"/>
        </w:rPr>
        <w:t xml:space="preserve"> </w:t>
      </w:r>
    </w:p>
    <w:p w:rsidRPr="008E3FB2" w:rsidR="008E3FB2" w:rsidP="69441A9A" w:rsidRDefault="008E3FB2" w14:paraId="46F13D86" w14:textId="77777777">
      <w:pPr>
        <w:rPr>
          <w:rFonts w:ascii="Arial" w:hAnsi="Arial" w:eastAsia="Arial" w:cs="Arial"/>
        </w:rPr>
      </w:pPr>
    </w:p>
    <w:p w:rsidR="009C28C3" w:rsidP="69441A9A" w:rsidRDefault="006F59DE" w14:paraId="5B255CC0"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Across the interviews, participants rarely suggested that psychological support was unnecessary. Instead, they described needing different forms of emotional support at different stages of their journeys, with these needs often changing as family relationships evolved, symptoms developed or future plans were reconsidered. Whilst some participants benefited from enduring therapeutic relationships or access to specialist services, others described reaching points where emotional support became difficult to access, leaving them to rely on family members, voluntary organisations or their own determination to find help.</w:t>
      </w:r>
    </w:p>
    <w:p w:rsidR="009C28C3" w:rsidP="69441A9A" w:rsidRDefault="006F59DE" w14:paraId="24E39C8C" w14:textId="33C2E326">
      <w:pPr>
        <w:pStyle w:val="Heading2"/>
        <w:rPr>
          <w:rFonts w:ascii="Arial" w:hAnsi="Arial" w:eastAsia="Arial" w:cs="Arial"/>
        </w:rPr>
      </w:pPr>
      <w:bookmarkStart w:name="_Toc238028902" w:id="58"/>
      <w:r w:rsidRPr="69441A9A" w:rsidR="006F59DE">
        <w:rPr>
          <w:rFonts w:ascii="Arial" w:hAnsi="Arial" w:eastAsia="Arial" w:cs="Arial"/>
        </w:rPr>
        <w:t>Theme Five: Living Beyond Predictive Testing</w:t>
      </w:r>
      <w:bookmarkEnd w:id="58"/>
    </w:p>
    <w:p w:rsidRPr="008E3FB2" w:rsidR="008E3FB2" w:rsidP="69441A9A" w:rsidRDefault="008E3FB2" w14:paraId="6029AB62" w14:textId="77777777">
      <w:pPr>
        <w:rPr>
          <w:rFonts w:ascii="Arial" w:hAnsi="Arial" w:eastAsia="Arial" w:cs="Arial"/>
        </w:rPr>
      </w:pPr>
    </w:p>
    <w:p w:rsidRPr="008E3FB2" w:rsidR="006F59DE" w:rsidP="69441A9A" w:rsidRDefault="006F59DE" w14:paraId="13FD28F6" w14:textId="4C8E9185">
      <w:pPr>
        <w:pStyle w:val="Heading3"/>
        <w:rPr>
          <w:rFonts w:ascii="Arial" w:hAnsi="Arial" w:eastAsia="Arial" w:cs="Arial"/>
          <w:sz w:val="28"/>
          <w:szCs w:val="28"/>
        </w:rPr>
      </w:pPr>
      <w:bookmarkStart w:name="_Toc238028903" w:id="59"/>
      <w:r w:rsidRPr="69441A9A" w:rsidR="006F59DE">
        <w:rPr>
          <w:rFonts w:ascii="Arial" w:hAnsi="Arial" w:eastAsia="Arial" w:cs="Arial"/>
          <w:sz w:val="28"/>
          <w:szCs w:val="28"/>
        </w:rPr>
        <w:t>Rebuilding Life After Testing</w:t>
      </w:r>
      <w:bookmarkEnd w:id="59"/>
    </w:p>
    <w:p w:rsidRPr="00443726" w:rsidR="009C28C3" w:rsidP="69441A9A" w:rsidRDefault="009C28C3" w14:paraId="74A0FD89" w14:textId="77777777">
      <w:pPr>
        <w:spacing w:before="240"/>
        <w:jc w:val="both"/>
        <w:rPr>
          <w:rFonts w:ascii="Arial" w:hAnsi="Arial" w:eastAsia="Arial" w:cs="Arial"/>
          <w:b w:val="1"/>
          <w:bCs w:val="1"/>
          <w:color w:val="000000" w:themeColor="text1"/>
          <w:sz w:val="24"/>
          <w:szCs w:val="24"/>
        </w:rPr>
      </w:pPr>
    </w:p>
    <w:p w:rsidR="006F59DE" w:rsidP="69441A9A" w:rsidRDefault="006F59DE" w14:paraId="72192222"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One of the strongest features across participants' accounts was the desire to regain a sense of control over lives that had often been shaped by uncertainty for many years. Receiving a predictive test result did not remove every uncertainty associated with HD; however, participants repeatedly described it as providing a greater sense of agency over decisions that had previously felt beyond their control.</w:t>
      </w:r>
    </w:p>
    <w:p w:rsidRPr="00443726" w:rsidR="009C28C3" w:rsidP="69441A9A" w:rsidRDefault="009C28C3" w14:paraId="1F7A5F24" w14:textId="77777777">
      <w:pPr>
        <w:spacing w:before="240"/>
        <w:jc w:val="both"/>
        <w:rPr>
          <w:rFonts w:ascii="Arial" w:hAnsi="Arial" w:eastAsia="Arial" w:cs="Arial"/>
          <w:color w:val="000000" w:themeColor="text1"/>
          <w:sz w:val="24"/>
          <w:szCs w:val="24"/>
        </w:rPr>
      </w:pPr>
    </w:p>
    <w:p w:rsidR="006F59DE" w:rsidP="69441A9A" w:rsidRDefault="006F59DE" w14:paraId="493F581B"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Participants who received negative predictive test results described reclaiming control in different but equally complex ways. For Nathan, learning that he had not inherited the altered HD gene initially disrupted rather than restored his sense of direction. Having expected much of his future to be shaped by HD, he found himself confronting possibilities that had previously seemed inaccessible. Over time, however, his account reflected a gradual movement towards embracing opportunities that had once felt unrealistic. Similarly, Rachel described how receiving a negative result enabled her to make decisions about her own life with greater confidence, despite continuing to live alongside HD through the experiences of close family members.</w:t>
      </w:r>
    </w:p>
    <w:p w:rsidRPr="00443726" w:rsidR="009C28C3" w:rsidP="69441A9A" w:rsidRDefault="009C28C3" w14:paraId="0FFB0E15" w14:textId="77777777">
      <w:pPr>
        <w:spacing w:before="240"/>
        <w:jc w:val="both"/>
        <w:rPr>
          <w:rFonts w:ascii="Arial" w:hAnsi="Arial" w:eastAsia="Arial" w:cs="Arial"/>
          <w:color w:val="000000" w:themeColor="text1"/>
          <w:sz w:val="24"/>
          <w:szCs w:val="24"/>
        </w:rPr>
      </w:pPr>
    </w:p>
    <w:p w:rsidR="006F59DE" w:rsidP="69441A9A" w:rsidRDefault="006F59DE" w14:paraId="1E23D110"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Across the interviews, rebuilding life after predictive testing involved putting this renewed sense of agency into practice. Participants described gradually returning to everyday life, although this was rarely experienced as a return to life as it had been before testing. Instead, they spoke about establishing a "new normal", in which HD remained part of their lives but no longer dominated every decision or thought.</w:t>
      </w:r>
    </w:p>
    <w:p w:rsidRPr="00443726" w:rsidR="009C28C3" w:rsidP="69441A9A" w:rsidRDefault="009C28C3" w14:paraId="20771C40" w14:textId="77777777">
      <w:pPr>
        <w:spacing w:before="240"/>
        <w:jc w:val="both"/>
        <w:rPr>
          <w:rFonts w:ascii="Arial" w:hAnsi="Arial" w:eastAsia="Arial" w:cs="Arial"/>
          <w:color w:val="000000" w:themeColor="text1"/>
          <w:sz w:val="24"/>
          <w:szCs w:val="24"/>
        </w:rPr>
      </w:pPr>
    </w:p>
    <w:p w:rsidR="006F59DE" w:rsidP="69441A9A" w:rsidRDefault="006F59DE" w14:paraId="5F1810B4"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Clara and Jessica both described this movement towards a life that felt increasingly their own. Although living with a positive predictive test result continued to influence future planning, neither participant portrayed their lives as being defined solely by their diagnosis. Instead, they reflected on continuing with careers, maintaining relationships and making plans that remained important to them despite recognising the uncertainty that still lay ahead.</w:t>
      </w:r>
    </w:p>
    <w:p w:rsidRPr="00443726" w:rsidR="009C28C3" w:rsidP="69441A9A" w:rsidRDefault="009C28C3" w14:paraId="16D27CAE" w14:textId="77777777">
      <w:pPr>
        <w:spacing w:before="240"/>
        <w:jc w:val="both"/>
        <w:rPr>
          <w:rFonts w:ascii="Arial" w:hAnsi="Arial" w:eastAsia="Arial" w:cs="Arial"/>
          <w:color w:val="000000" w:themeColor="text1"/>
          <w:sz w:val="24"/>
          <w:szCs w:val="24"/>
        </w:rPr>
      </w:pPr>
    </w:p>
    <w:p w:rsidR="006F59DE" w:rsidP="69441A9A" w:rsidRDefault="006F59DE" w14:paraId="3945A494"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 similar process was evident within Nathan's account, although his journey reflected the unique challenges associated with rebuilding life after a negative predictive test result. Rather than simply resuming the future he had imagined before learning about HD, he described needing to construct an entirely different future from the one he had expected for much of his life. This involved reconsidering ambitions, relationships and possibilities that had previously seemed unattainable because he had assumed he would eventually develop the condition. His experience illustrates that adapting to predictive testing may involve significant psychological adjustment regardless of genetic outcome.</w:t>
      </w:r>
    </w:p>
    <w:p w:rsidRPr="00443726" w:rsidR="009C28C3" w:rsidP="69441A9A" w:rsidRDefault="009C28C3" w14:paraId="0E5C5C85" w14:textId="77777777">
      <w:pPr>
        <w:spacing w:before="240"/>
        <w:jc w:val="both"/>
        <w:rPr>
          <w:rFonts w:ascii="Arial" w:hAnsi="Arial" w:eastAsia="Arial" w:cs="Arial"/>
          <w:color w:val="000000" w:themeColor="text1"/>
          <w:sz w:val="24"/>
          <w:szCs w:val="24"/>
        </w:rPr>
      </w:pPr>
    </w:p>
    <w:p w:rsidR="009C28C3" w:rsidP="69441A9A" w:rsidRDefault="006F59DE" w14:paraId="66DDA79E"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For Rachel, Isaac and Laura, rebuilding life appeared closely connected to adapting to changing family roles. Rachel spoke about balancing concern for affected relatives with maintaining her own future, whilst Isaac and Laura described making conscious efforts to focus on the life they continued to share rather than allowing the diagnosis to define every interaction. Their accounts suggest that rebuilding life was not characterised by distancing oneself from HD, but by creating space for experiences of connection, enjoyment and normality alongside the realities of the condition.</w:t>
      </w:r>
    </w:p>
    <w:p w:rsidR="008E3FB2" w:rsidP="69441A9A" w:rsidRDefault="008E3FB2" w14:paraId="75EF2F58" w14:textId="77777777">
      <w:pPr>
        <w:spacing w:before="240"/>
        <w:jc w:val="both"/>
        <w:rPr>
          <w:rFonts w:ascii="Arial" w:hAnsi="Arial" w:eastAsia="Arial" w:cs="Arial"/>
          <w:color w:val="000000" w:themeColor="text1"/>
          <w:sz w:val="24"/>
          <w:szCs w:val="24"/>
        </w:rPr>
      </w:pPr>
    </w:p>
    <w:p w:rsidR="006F59DE" w:rsidP="69441A9A" w:rsidRDefault="006F59DE" w14:paraId="3FC79DC7" w14:textId="5626D9F7">
      <w:pPr>
        <w:pStyle w:val="Heading3"/>
        <w:rPr>
          <w:rFonts w:ascii="Arial" w:hAnsi="Arial" w:eastAsia="Arial" w:cs="Arial"/>
          <w:sz w:val="28"/>
          <w:szCs w:val="28"/>
        </w:rPr>
      </w:pPr>
      <w:bookmarkStart w:name="_Toc238028904" w:id="60"/>
      <w:r w:rsidRPr="69441A9A" w:rsidR="006F59DE">
        <w:rPr>
          <w:rFonts w:ascii="Arial" w:hAnsi="Arial" w:eastAsia="Arial" w:cs="Arial"/>
          <w:sz w:val="28"/>
          <w:szCs w:val="28"/>
        </w:rPr>
        <w:t>Finding Purpose and Hope</w:t>
      </w:r>
      <w:bookmarkEnd w:id="60"/>
    </w:p>
    <w:p w:rsidRPr="008E3FB2" w:rsidR="008E3FB2" w:rsidP="69441A9A" w:rsidRDefault="008E3FB2" w14:paraId="1247AE00" w14:textId="77777777">
      <w:pPr>
        <w:rPr>
          <w:rFonts w:ascii="Arial" w:hAnsi="Arial" w:eastAsia="Arial" w:cs="Arial"/>
        </w:rPr>
      </w:pPr>
    </w:p>
    <w:p w:rsidRPr="00443726" w:rsidR="009C28C3" w:rsidP="69441A9A" w:rsidRDefault="009C28C3" w14:paraId="664D6D98" w14:textId="77777777">
      <w:pPr>
        <w:spacing w:before="240"/>
        <w:jc w:val="both"/>
        <w:rPr>
          <w:rFonts w:ascii="Arial" w:hAnsi="Arial" w:eastAsia="Arial" w:cs="Arial"/>
          <w:b w:val="1"/>
          <w:bCs w:val="1"/>
          <w:color w:val="000000" w:themeColor="text1"/>
          <w:sz w:val="24"/>
          <w:szCs w:val="24"/>
        </w:rPr>
      </w:pPr>
    </w:p>
    <w:p w:rsidR="006F59DE" w:rsidP="69441A9A" w:rsidRDefault="006F59DE" w14:paraId="67FCB73A"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Although participants acknowledged that HD continued to shape their lives, their accounts also reflected a gradual movement towards finding purpose beyond their genetic status. Hope was rarely described as believing that difficulties would disappear or that the future had become certain. Instead, participants appeared to redefine hope as the ability to continue investing in meaningful aspects of life despite ongoing uncertainty. Across the interviews, purpose emerged through relationships, family, personal achievements and supporting others, suggesting that living beyond predictive testing involved recognising that HD remained only one part of a much broader life experience.</w:t>
      </w:r>
    </w:p>
    <w:p w:rsidRPr="00443726" w:rsidR="009C28C3" w:rsidP="69441A9A" w:rsidRDefault="009C28C3" w14:paraId="15010B62" w14:textId="77777777">
      <w:pPr>
        <w:spacing w:before="240"/>
        <w:jc w:val="both"/>
        <w:rPr>
          <w:rFonts w:ascii="Arial" w:hAnsi="Arial" w:eastAsia="Arial" w:cs="Arial"/>
          <w:color w:val="000000" w:themeColor="text1"/>
          <w:sz w:val="24"/>
          <w:szCs w:val="24"/>
        </w:rPr>
      </w:pPr>
    </w:p>
    <w:p w:rsidR="006F59DE" w:rsidP="69441A9A" w:rsidRDefault="006F59DE" w14:paraId="650E2766" w14:textId="0ECBE2EA">
      <w:pPr>
        <w:spacing w:before="240"/>
        <w:jc w:val="both"/>
        <w:rPr>
          <w:rFonts w:ascii="Arial" w:hAnsi="Arial" w:eastAsia="Arial" w:cs="Arial"/>
          <w:color w:val="000000" w:themeColor="text1"/>
          <w:sz w:val="24"/>
          <w:szCs w:val="24"/>
        </w:rPr>
      </w:pPr>
      <w:r w:rsidRPr="69441A9A" w:rsidR="0B8B3061">
        <w:rPr>
          <w:rFonts w:ascii="Arial" w:hAnsi="Arial" w:eastAsia="Arial" w:cs="Arial"/>
          <w:color w:val="000000" w:themeColor="text1" w:themeTint="FF" w:themeShade="FF"/>
          <w:sz w:val="24"/>
          <w:szCs w:val="24"/>
        </w:rPr>
        <w:t xml:space="preserve">For several participants, this shift was reflected in a growing appreciation of the present. Rather than allowing concerns about the future to dominate everyday life, they described becoming increasingly intentional about valuing experiences that remained within their control. Participants </w:t>
      </w:r>
      <w:r w:rsidRPr="69441A9A" w:rsidR="0B8B3061">
        <w:rPr>
          <w:rFonts w:ascii="Arial" w:hAnsi="Arial" w:eastAsia="Arial" w:cs="Arial"/>
          <w:color w:val="000000" w:themeColor="text1" w:themeTint="FF" w:themeShade="FF"/>
          <w:sz w:val="24"/>
          <w:szCs w:val="24"/>
        </w:rPr>
        <w:t>appeared to develop</w:t>
      </w:r>
      <w:r w:rsidRPr="69441A9A" w:rsidR="0B8B3061">
        <w:rPr>
          <w:rFonts w:ascii="Arial" w:hAnsi="Arial" w:eastAsia="Arial" w:cs="Arial"/>
          <w:color w:val="000000" w:themeColor="text1" w:themeTint="FF" w:themeShade="FF"/>
          <w:sz w:val="24"/>
          <w:szCs w:val="24"/>
        </w:rPr>
        <w:t xml:space="preserve"> a different relationship with uncertainty, acknowledging its presence whilst ch</w:t>
      </w:r>
      <w:r w:rsidRPr="69441A9A" w:rsidR="0B8B3061">
        <w:rPr>
          <w:rFonts w:ascii="Arial" w:hAnsi="Arial" w:eastAsia="Arial" w:cs="Arial"/>
          <w:color w:val="000000" w:themeColor="text1" w:themeTint="FF" w:themeShade="FF"/>
          <w:sz w:val="24"/>
          <w:szCs w:val="24"/>
        </w:rPr>
        <w:t>s</w:t>
      </w:r>
      <w:r w:rsidRPr="69441A9A" w:rsidR="44306843">
        <w:rPr>
          <w:rFonts w:ascii="Arial" w:hAnsi="Arial" w:eastAsia="Arial" w:cs="Arial"/>
          <w:color w:val="000000" w:themeColor="text1" w:themeTint="FF" w:themeShade="FF"/>
          <w:sz w:val="24"/>
          <w:szCs w:val="24"/>
        </w:rPr>
        <w:t>top</w:t>
      </w:r>
      <w:r w:rsidRPr="69441A9A" w:rsidR="0B8B3061">
        <w:rPr>
          <w:rFonts w:ascii="Arial" w:hAnsi="Arial" w:eastAsia="Arial" w:cs="Arial"/>
          <w:color w:val="000000" w:themeColor="text1" w:themeTint="FF" w:themeShade="FF"/>
          <w:sz w:val="24"/>
          <w:szCs w:val="24"/>
        </w:rPr>
        <w:t xml:space="preserve">ing not to allow it to overshadow opportunities for enjoyment, </w:t>
      </w:r>
      <w:r w:rsidRPr="69441A9A" w:rsidR="0B8B3061">
        <w:rPr>
          <w:rFonts w:ascii="Arial" w:hAnsi="Arial" w:eastAsia="Arial" w:cs="Arial"/>
          <w:color w:val="000000" w:themeColor="text1" w:themeTint="FF" w:themeShade="FF"/>
          <w:sz w:val="24"/>
          <w:szCs w:val="24"/>
        </w:rPr>
        <w:t>connection</w:t>
      </w:r>
      <w:r w:rsidRPr="69441A9A" w:rsidR="0B8B3061">
        <w:rPr>
          <w:rFonts w:ascii="Arial" w:hAnsi="Arial" w:eastAsia="Arial" w:cs="Arial"/>
          <w:color w:val="000000" w:themeColor="text1" w:themeTint="FF" w:themeShade="FF"/>
          <w:sz w:val="24"/>
          <w:szCs w:val="24"/>
        </w:rPr>
        <w:t xml:space="preserve"> and personal fulfilment.</w:t>
      </w:r>
    </w:p>
    <w:p w:rsidRPr="00443726" w:rsidR="009C28C3" w:rsidP="69441A9A" w:rsidRDefault="009C28C3" w14:paraId="009C1D4A" w14:textId="77777777">
      <w:pPr>
        <w:spacing w:before="240"/>
        <w:jc w:val="both"/>
        <w:rPr>
          <w:rFonts w:ascii="Arial" w:hAnsi="Arial" w:eastAsia="Arial" w:cs="Arial"/>
          <w:color w:val="000000" w:themeColor="text1"/>
          <w:sz w:val="24"/>
          <w:szCs w:val="24"/>
        </w:rPr>
      </w:pPr>
    </w:p>
    <w:p w:rsidR="006F59DE" w:rsidP="69441A9A" w:rsidRDefault="006F59DE" w14:paraId="6B0A7381"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Clara and Jessica both reflected this gradual change in perspective. Although they remained aware of the challenges associated with living with a positive predictive test result, they described continuing to invest in careers, relationships and future plans that reflected their personal values rather than their diagnosis alone. Rather than describing themselves as </w:t>
      </w:r>
      <w:r w:rsidRPr="69441A9A" w:rsidR="006F59DE">
        <w:rPr>
          <w:rFonts w:ascii="Arial" w:hAnsi="Arial" w:eastAsia="Arial" w:cs="Arial"/>
          <w:color w:val="000000" w:themeColor="text1" w:themeTint="FF" w:themeShade="FF"/>
          <w:sz w:val="24"/>
          <w:szCs w:val="24"/>
        </w:rPr>
        <w:t>being defined by HD, both participants appeared to position it as one aspect of their lives amongst many others.</w:t>
      </w:r>
    </w:p>
    <w:p w:rsidRPr="00443726" w:rsidR="009C28C3" w:rsidP="69441A9A" w:rsidRDefault="009C28C3" w14:paraId="5A1B5D91" w14:textId="77777777">
      <w:pPr>
        <w:spacing w:before="240"/>
        <w:jc w:val="both"/>
        <w:rPr>
          <w:rFonts w:ascii="Arial" w:hAnsi="Arial" w:eastAsia="Arial" w:cs="Arial"/>
          <w:color w:val="000000" w:themeColor="text1"/>
          <w:sz w:val="24"/>
          <w:szCs w:val="24"/>
        </w:rPr>
      </w:pPr>
    </w:p>
    <w:p w:rsidR="006F59DE" w:rsidP="69441A9A" w:rsidRDefault="006F59DE" w14:paraId="0AFE1AF2"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Purpose also emerged through participants' relationships with others affected by HD. Rachel described drawing meaning from supporting family members whilst becoming involved in raising awareness of the condition. Although she openly acknowledged the emotional burden associated with caring for loved ones, she reflected on the importance of using her experiences to help others navigating similar situations. Similarly, Nathan reflected on sharing his own experiences with others considering predictive testing, recognising that openly discussing the unexpected psychological impact of receiving a negative result might help others feel less isolated in their own adjustment. These accounts illustrate that participants increasingly viewed their lived experiences as something that could benefit others.</w:t>
      </w:r>
    </w:p>
    <w:p w:rsidRPr="00443726" w:rsidR="009C28C3" w:rsidP="69441A9A" w:rsidRDefault="009C28C3" w14:paraId="71D6DB85" w14:textId="77777777">
      <w:pPr>
        <w:spacing w:before="240"/>
        <w:jc w:val="both"/>
        <w:rPr>
          <w:rFonts w:ascii="Arial" w:hAnsi="Arial" w:eastAsia="Arial" w:cs="Arial"/>
          <w:color w:val="000000" w:themeColor="text1"/>
          <w:sz w:val="24"/>
          <w:szCs w:val="24"/>
        </w:rPr>
      </w:pPr>
    </w:p>
    <w:p w:rsidR="006F59DE" w:rsidP="69441A9A" w:rsidRDefault="006F59DE" w14:paraId="515C6BC9"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For Isaac and Laura, hope appeared less closely connected to long-term expectations and more closely associated with preserving the quality of everyday life together. Rather than focusing exclusively on disease progression, they described making conscious efforts to enjoy shared experiences, maintain family relationships and continue creating memories despite the uncertainties that remained. Their interview suggested that meaningful experiences continued to exist alongside the realities of HD.</w:t>
      </w:r>
    </w:p>
    <w:p w:rsidRPr="00443726" w:rsidR="008E3FB2" w:rsidP="69441A9A" w:rsidRDefault="008E3FB2" w14:paraId="67B88E40" w14:textId="77777777">
      <w:pPr>
        <w:spacing w:before="240"/>
        <w:jc w:val="both"/>
        <w:rPr>
          <w:rFonts w:ascii="Arial" w:hAnsi="Arial" w:eastAsia="Arial" w:cs="Arial"/>
          <w:color w:val="000000" w:themeColor="text1"/>
          <w:sz w:val="24"/>
          <w:szCs w:val="24"/>
        </w:rPr>
      </w:pPr>
    </w:p>
    <w:p w:rsidR="006F59DE" w:rsidP="69441A9A" w:rsidRDefault="006F59DE" w14:paraId="619FEEDC"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 xml:space="preserve">Collectively, participants' accounts suggest that living beyond predictive testing was characterised by an ongoing search for purpose rather than the resolution of uncertainty. Although HD remained an enduring part of participants' lives, it did not define the totality of </w:t>
      </w:r>
      <w:r w:rsidRPr="69441A9A" w:rsidR="006F59DE">
        <w:rPr>
          <w:rFonts w:ascii="Arial" w:hAnsi="Arial" w:eastAsia="Arial" w:cs="Arial"/>
          <w:color w:val="000000" w:themeColor="text1" w:themeTint="FF" w:themeShade="FF"/>
          <w:sz w:val="24"/>
          <w:szCs w:val="24"/>
        </w:rPr>
        <w:t>their experiences. Instead, participants described continuing to build meaningful relationships, pursue personal goals and support others whilst acknowledging the realities of living with genetic knowledge. Hope therefore emerged not through certainty, but through participants' growing ability to recognise that meaningful lives could continue alongside the enduring presence of HD.</w:t>
      </w:r>
    </w:p>
    <w:p w:rsidR="009C28C3" w:rsidP="69441A9A" w:rsidRDefault="009C28C3" w14:paraId="40B7DE75" w14:textId="20E20908">
      <w:pPr>
        <w:spacing w:before="240"/>
        <w:jc w:val="both"/>
        <w:rPr>
          <w:rFonts w:ascii="Arial" w:hAnsi="Arial" w:eastAsia="Arial" w:cs="Arial"/>
          <w:color w:val="000000" w:themeColor="text1"/>
          <w:sz w:val="24"/>
          <w:szCs w:val="24"/>
        </w:rPr>
      </w:pPr>
    </w:p>
    <w:p w:rsidR="6A370997" w:rsidP="69441A9A" w:rsidRDefault="6A370997" w14:paraId="604E7A76" w14:textId="6C7CE50D">
      <w:pPr>
        <w:spacing w:before="240"/>
        <w:jc w:val="both"/>
        <w:rPr>
          <w:rFonts w:ascii="Arial" w:hAnsi="Arial" w:eastAsia="Arial" w:cs="Arial"/>
          <w:color w:val="000000" w:themeColor="text1" w:themeTint="FF" w:themeShade="FF"/>
          <w:sz w:val="24"/>
          <w:szCs w:val="24"/>
        </w:rPr>
      </w:pPr>
    </w:p>
    <w:p w:rsidR="00210487" w:rsidP="69441A9A" w:rsidRDefault="00210487" w14:paraId="38345D35" w14:textId="1C088F55">
      <w:pPr>
        <w:pStyle w:val="Heading3"/>
        <w:rPr>
          <w:rFonts w:ascii="Arial" w:hAnsi="Arial" w:eastAsia="Arial" w:cs="Arial"/>
          <w:sz w:val="28"/>
          <w:szCs w:val="28"/>
        </w:rPr>
      </w:pPr>
      <w:bookmarkStart w:name="_Toc238028905" w:id="61"/>
      <w:r w:rsidRPr="69441A9A" w:rsidR="00210487">
        <w:rPr>
          <w:rFonts w:ascii="Arial" w:hAnsi="Arial" w:eastAsia="Arial" w:cs="Arial"/>
          <w:sz w:val="28"/>
          <w:szCs w:val="28"/>
        </w:rPr>
        <w:t>Theme 5 Summary</w:t>
      </w:r>
      <w:bookmarkEnd w:id="61"/>
      <w:r w:rsidRPr="69441A9A" w:rsidR="00210487">
        <w:rPr>
          <w:rFonts w:ascii="Arial" w:hAnsi="Arial" w:eastAsia="Arial" w:cs="Arial"/>
          <w:sz w:val="28"/>
          <w:szCs w:val="28"/>
        </w:rPr>
        <w:t xml:space="preserve"> </w:t>
      </w:r>
    </w:p>
    <w:p w:rsidRPr="008E3FB2" w:rsidR="008E3FB2" w:rsidP="69441A9A" w:rsidRDefault="008E3FB2" w14:paraId="208A3EF5" w14:textId="77777777">
      <w:pPr>
        <w:rPr>
          <w:rFonts w:ascii="Arial" w:hAnsi="Arial" w:eastAsia="Arial" w:cs="Arial"/>
        </w:rPr>
      </w:pPr>
    </w:p>
    <w:p w:rsidR="00210487" w:rsidP="69441A9A" w:rsidRDefault="006F59DE" w14:paraId="3FBC264D" w14:textId="77777777">
      <w:pPr>
        <w:spacing w:before="240"/>
        <w:jc w:val="both"/>
        <w:rPr>
          <w:rFonts w:ascii="Arial" w:hAnsi="Arial" w:eastAsia="Arial" w:cs="Arial"/>
          <w:color w:val="000000" w:themeColor="text1"/>
          <w:sz w:val="24"/>
          <w:szCs w:val="24"/>
        </w:rPr>
      </w:pPr>
      <w:r w:rsidRPr="69441A9A" w:rsidR="006F59DE">
        <w:rPr>
          <w:rFonts w:ascii="Arial" w:hAnsi="Arial" w:eastAsia="Arial" w:cs="Arial"/>
          <w:color w:val="000000" w:themeColor="text1" w:themeTint="FF" w:themeShade="FF"/>
          <w:sz w:val="24"/>
          <w:szCs w:val="24"/>
        </w:rPr>
        <w:t>These accounts suggest that psychological support is not solely required to prepare individuals for predictive testing but remains an important aspect of adjustment long after a genetic result has been received. Psychological adjustment rarely followed the structured timeframe of predictive testing; instead, participants described emotional responses that continued to evolve as family circumstances changed, identities shifted and the realities of living with certainty became more established. This suggests that therapeutic support may be most helpful when it is accessible beyond the immediate testing encounter, allowing individuals to return to psychological needs as they emerge and change over time.</w:t>
      </w:r>
    </w:p>
    <w:p w:rsidR="006F59DE" w:rsidP="69441A9A" w:rsidRDefault="006F59DE" w14:paraId="32A89008" w14:textId="6CCDF905">
      <w:pPr>
        <w:pStyle w:val="Heading1"/>
        <w:spacing w:before="241" w:beforeAutospacing="off" w:after="120" w:afterAutospacing="off"/>
        <w:rPr>
          <w:rFonts w:ascii="ui-sans-serif" w:hAnsi="ui-sans-serif" w:eastAsia="ui-sans-serif" w:cs="ui-sans-serif"/>
          <w:b w:val="1"/>
          <w:bCs w:val="1"/>
          <w:noProof w:val="0"/>
          <w:color w:val="0D0D0D" w:themeColor="text1" w:themeTint="F2" w:themeShade="FF"/>
          <w:sz w:val="32"/>
          <w:szCs w:val="32"/>
          <w:lang w:val="en-GB"/>
        </w:rPr>
      </w:pPr>
      <w:r w:rsidRPr="69441A9A" w:rsidR="22C4B748">
        <w:rPr>
          <w:rFonts w:ascii="ui-sans-serif" w:hAnsi="ui-sans-serif" w:eastAsia="ui-sans-serif" w:cs="ui-sans-serif"/>
          <w:b w:val="1"/>
          <w:bCs w:val="1"/>
          <w:noProof w:val="0"/>
          <w:color w:val="0D0D0D" w:themeColor="text1" w:themeTint="F2" w:themeShade="FF"/>
          <w:sz w:val="32"/>
          <w:szCs w:val="32"/>
          <w:lang w:val="en-GB"/>
        </w:rPr>
        <w:t>Discussion</w:t>
      </w:r>
      <w:r>
        <w:br/>
      </w:r>
    </w:p>
    <w:p w:rsidR="006F59DE" w:rsidP="69441A9A" w:rsidRDefault="006F59DE" w14:paraId="21347ECA" w14:textId="7DC1BB07">
      <w:pPr>
        <w:pStyle w:val="Heading2"/>
        <w:numPr>
          <w:ilvl w:val="0"/>
          <w:numId w:val="0"/>
        </w:numPr>
        <w:spacing w:before="240" w:beforeAutospacing="off" w:after="60" w:afterAutospacing="off"/>
        <w:ind w:left="0"/>
        <w:rPr>
          <w:rFonts w:ascii="Arial" w:hAnsi="Arial" w:eastAsia="Arial" w:cs="Arial"/>
          <w:b w:val="1"/>
          <w:bCs w:val="1"/>
          <w:noProof w:val="0"/>
          <w:color w:val="0D0D0D" w:themeColor="text1" w:themeTint="F2" w:themeShade="FF"/>
          <w:sz w:val="24"/>
          <w:szCs w:val="24"/>
          <w:lang w:val="en-GB"/>
        </w:rPr>
      </w:pPr>
      <w:r w:rsidRPr="69441A9A" w:rsidR="22C4B748">
        <w:rPr>
          <w:rFonts w:ascii="Arial" w:hAnsi="Arial" w:eastAsia="Arial" w:cs="Arial"/>
          <w:b w:val="1"/>
          <w:bCs w:val="1"/>
          <w:noProof w:val="0"/>
          <w:color w:val="0D0D0D" w:themeColor="text1" w:themeTint="F2" w:themeShade="FF"/>
          <w:sz w:val="24"/>
          <w:szCs w:val="24"/>
          <w:lang w:val="en-GB"/>
        </w:rPr>
        <w:t>4.1 Introduction</w:t>
      </w:r>
    </w:p>
    <w:p w:rsidR="006F59DE" w:rsidP="69441A9A" w:rsidRDefault="006F59DE" w14:paraId="739693CE" w14:textId="477A9E44">
      <w:pPr>
        <w:spacing w:before="60" w:beforeAutospacing="off" w:after="6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This chapter discusses the findings of the present study in relation to the existing literature, the research aims, and the implications for counselling practice. Using an Interpretative Phenomenological Analysis (IPA) approach, the discussion explores how participants made sense of their experiences of predictive genetic counselling and testing for HD and considers what these experiences reveal about their longer-term psychological and therapeutic needs. Rather than repeating the findings, the chapter interprets participants' accounts within the context of the existing evidence.</w:t>
      </w:r>
    </w:p>
    <w:p w:rsidR="006F59DE" w:rsidP="69441A9A" w:rsidRDefault="006F59DE" w14:paraId="7962B6F8" w14:textId="55309F7A">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discussion is organised around the five superordinate themes identified through the analysis. Each theme is examined in relation to the literature, highlighting areas of convergence and divergence whilst considering the contribution of the present study. Overall, the findings suggest that predictive testing is not experienced as a single clinical event but as an ongoing psychological process that continues to influence identity, relationships and future orientation beyond the point of result disclosure. This is significant for counselling practice because it challenges an assumption that psychological adjustment occurs alongside, or immediately following, the receipt of a genetic result. Instead, the findings suggest that the meaning of genetic knowledge may change as individuals encounter different stages of life, relationships and future decisions. Finally, the chapter considers the implications of these findings for counselling practice, with particular attention to the role of counselling and psychotherapy in supporting longer-term psychological adjustment following predictive genetic testing.</w:t>
      </w:r>
    </w:p>
    <w:p w:rsidR="006F59DE" w:rsidP="69441A9A" w:rsidRDefault="006F59DE" w14:paraId="389BE137" w14:textId="6A974F37">
      <w:pPr>
        <w:pStyle w:val="Heading2"/>
        <w:numPr>
          <w:ilvl w:val="0"/>
          <w:numId w:val="0"/>
        </w:numPr>
        <w:spacing w:before="240" w:beforeAutospacing="off" w:after="60" w:afterAutospacing="off"/>
        <w:ind w:left="0"/>
        <w:rPr>
          <w:rFonts w:ascii="Arial" w:hAnsi="Arial" w:eastAsia="Arial" w:cs="Arial"/>
          <w:b w:val="1"/>
          <w:bCs w:val="1"/>
          <w:noProof w:val="0"/>
          <w:color w:val="0D0D0D" w:themeColor="text1" w:themeTint="F2" w:themeShade="FF"/>
          <w:sz w:val="24"/>
          <w:szCs w:val="24"/>
          <w:lang w:val="en-GB"/>
        </w:rPr>
      </w:pPr>
      <w:r w:rsidRPr="69441A9A" w:rsidR="22C4B748">
        <w:rPr>
          <w:rFonts w:ascii="Arial" w:hAnsi="Arial" w:eastAsia="Arial" w:cs="Arial"/>
          <w:b w:val="1"/>
          <w:bCs w:val="1"/>
          <w:noProof w:val="0"/>
          <w:color w:val="0D0D0D" w:themeColor="text1" w:themeTint="F2" w:themeShade="FF"/>
          <w:sz w:val="24"/>
          <w:szCs w:val="24"/>
          <w:lang w:val="en-GB"/>
        </w:rPr>
        <w:t>4.1 Theme One: Living with Lifelong Uncertainty</w:t>
      </w:r>
    </w:p>
    <w:p w:rsidR="006F59DE" w:rsidP="69441A9A" w:rsidRDefault="006F59DE" w14:paraId="7FCBC5D0" w14:textId="31748E2A">
      <w:pPr>
        <w:spacing w:before="60" w:beforeAutospacing="off" w:after="6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findings suggest that uncertainty formed a central feature of participants' experiences of Huntington's disease (HD), extending from growing up alongside affected relatives to living with their own inherited risk (Cooper et al., 2025; Wieringa et al., 2022; Gracey, 2026). Participants described uncertainty not only in relation to whether they had inherited the altered gene, but also regarding symptom onset, future planning and the impact of HD on their lives. Rachel's vigilance towards ordinary bodily changes and Clara's description of living in the "precipice of knowing and not knowing" illustrate how genetic risk became embedded within everyday experiences.</w:t>
      </w:r>
    </w:p>
    <w:p w:rsidR="006F59DE" w:rsidP="69441A9A" w:rsidRDefault="006F59DE" w14:paraId="0851E32D" w14:textId="5EB9A270">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Importantly, uncertainty was not experienced solely as psychologically harmful. Nathan's decision to delay testing and Clara's avoidance of predictive testing suggest that not knowing could also provide psychological protection, allowing participants to maintain distance from HD until they felt ready to know. This supports Taylor's (1983) argument that uncertainty can preserve hope and psychological equilibrium when individuals are confronted with threatening life events. Participants therefore appeared to negotiate uncertainty according to their emotional readiness and circumstances rather than viewing certainty as inherently preferable.</w:t>
      </w:r>
    </w:p>
    <w:p w:rsidR="006F59DE" w:rsidP="69441A9A" w:rsidRDefault="006F59DE" w14:paraId="26AFCB4F" w14:textId="1ADD92B9">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For some participants, however, the burden of continued uncertainty eventually outweighed its protective function. Predictive testing consequently represented an opportunity to regain agency, although receiving a result did not eliminate uncertainty but transformed its nature. This suggests that predictive testing may be better understood as a transition between different forms of uncertainty rather than its resolution, with psychological adjustment continuing beyond the point of receiving a genetic result. This distinction is important therapeutically, as it indicates that supporting someone to obtain certainty about genetic status does not necessarily mean that the psychological uncertainty surrounding their future has been resolved.</w:t>
      </w:r>
    </w:p>
    <w:p w:rsidR="006F59DE" w:rsidP="69441A9A" w:rsidRDefault="006F59DE" w14:paraId="14392251" w14:textId="7D6AF8D6">
      <w:pPr>
        <w:pStyle w:val="Heading2"/>
        <w:numPr>
          <w:ilvl w:val="0"/>
          <w:numId w:val="0"/>
        </w:numPr>
        <w:spacing w:before="240" w:beforeAutospacing="off" w:after="60" w:afterAutospacing="off"/>
        <w:ind w:left="0"/>
        <w:rPr>
          <w:rFonts w:ascii="Arial" w:hAnsi="Arial" w:eastAsia="Arial" w:cs="Arial"/>
          <w:b w:val="1"/>
          <w:bCs w:val="1"/>
          <w:noProof w:val="0"/>
          <w:color w:val="0D0D0D" w:themeColor="text1" w:themeTint="F2" w:themeShade="FF"/>
          <w:sz w:val="24"/>
          <w:szCs w:val="24"/>
          <w:lang w:val="en-GB"/>
        </w:rPr>
      </w:pPr>
      <w:r w:rsidRPr="69441A9A" w:rsidR="22C4B748">
        <w:rPr>
          <w:rFonts w:ascii="Arial" w:hAnsi="Arial" w:eastAsia="Arial" w:cs="Arial"/>
          <w:b w:val="1"/>
          <w:bCs w:val="1"/>
          <w:noProof w:val="0"/>
          <w:color w:val="0D0D0D" w:themeColor="text1" w:themeTint="F2" w:themeShade="FF"/>
          <w:sz w:val="24"/>
          <w:szCs w:val="24"/>
          <w:lang w:val="en-GB"/>
        </w:rPr>
        <w:t>4.2 Theme Two: Making Sense of Knowing</w:t>
      </w:r>
    </w:p>
    <w:p w:rsidR="006F59DE" w:rsidP="69441A9A" w:rsidRDefault="006F59DE" w14:paraId="7C791A28" w14:textId="3080895F">
      <w:pPr>
        <w:spacing w:before="60" w:beforeAutospacing="off" w:after="6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second theme highlights that receiving a predictive genetic test result represented the beginning of psychological adjustment rather than its conclusion. Although predictive testing resolved uncertainty surrounding participants' genetic status, it also required them to integrate this knowledge into their understanding of themselves and their futures. This supports previous literature suggesting that predictive testing for HD constitutes a process of biographical disruption, whereby individuals must renegotiate previously held assumptions about identity, relationships and future life trajectories (Sharma et al., 2024; Hensman Moss et al., 2025). However, the present findings suggest that this process is gradual and continues beyond result disclosure.</w:t>
      </w:r>
    </w:p>
    <w:p w:rsidR="006F59DE" w:rsidP="69441A9A" w:rsidRDefault="006F59DE" w14:paraId="49B0895D" w14:textId="167FA837">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Consistent with previous research, participants described identity as continually reconstructed following predictive testing rather than fundamentally replaced (Lindo et al., 2026; Ferluga, 2024). Gene-positive participants reflected upon incorporating certainty of future illness into an existing sense of self, whilst gene-negative participants described adapting to futures they had never expected to experience. Nathan's account illustrates this particularly clearly, as receiving a negative result challenged an identity that had been organised around anticipated illness for many years. Similarly, Rachel's continuing difficulty trusting her negative result suggests that identity does not change immediately following genetic information but develops through ongoing lived experience. These findings support narrative perspectives, which propose that individuals reconstruct personal narratives following significant life events in order to restore coherence and meaning (Frank, 1995; Lindo et al., 2025).</w:t>
      </w:r>
    </w:p>
    <w:p w:rsidR="006F59DE" w:rsidP="69441A9A" w:rsidRDefault="006F59DE" w14:paraId="2CF8F545" w14:textId="61AD6A29">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Participants' accounts also demonstrate that certainty did not remove psychological complexity. Whilst previous literature suggests that predictive testing can facilitate future planning and restore a sense of control (Pearce, 2025; Zarotti et al., 2020), the present findings indicate that certainty simultaneously introduced new emotional and existential challenges. Jessica's description of her result as “Validation” illustrates how knowing could provide coherence to previously unexplained experiences, whilst Nathan's experience demonstrates that a negative result could instead disrupt an identity organised around anticipated illness. Rather than representing an endpoint, certainty therefore appeared to initiate an ongoing process of meaning-making in which participants continually interpreted what their result meant for their identities, relationships and future aspirations. This reflects Lee and Bongiovanni's (2023) argument that adjustment following predictive testing is dynamic rather than static and supports previous suggestions that adaptation involves integrating genetic knowledge into everyday life rather than achieving complete psychological resolution (Smedley and Coulson, 2019).</w:t>
      </w:r>
    </w:p>
    <w:p w:rsidR="006F59DE" w:rsidP="69441A9A" w:rsidRDefault="006F59DE" w14:paraId="0E178877" w14:textId="1971D543">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findings therefore complicate a simple understanding of predictive testing as providing either reassurance or distress. The psychological meaning of the result appeared dependent upon the life narrative into which it was incorporated. A negative result could represent freedom for one person while creating a need to reconstruct identity for another. Similarly, a positive result did not necessarily prevent participants from developing meaningful futures. This reinforces the importance of counselling approaches that remain curious about the individual's meaning of genetic knowledge rather than assuming that the emotional response can be predicted from the test outcome alone.</w:t>
      </w:r>
    </w:p>
    <w:p w:rsidR="006F59DE" w:rsidP="69441A9A" w:rsidRDefault="006F59DE" w14:paraId="0CDE7EC9" w14:textId="0FBD3418">
      <w:pPr>
        <w:pStyle w:val="Heading2"/>
        <w:numPr>
          <w:ilvl w:val="0"/>
          <w:numId w:val="0"/>
        </w:numPr>
        <w:spacing w:before="240" w:beforeAutospacing="off" w:after="60" w:afterAutospacing="off"/>
        <w:ind w:left="0"/>
        <w:rPr>
          <w:rFonts w:ascii="Arial" w:hAnsi="Arial" w:eastAsia="Arial" w:cs="Arial"/>
          <w:b w:val="1"/>
          <w:bCs w:val="1"/>
          <w:noProof w:val="0"/>
          <w:color w:val="0D0D0D" w:themeColor="text1" w:themeTint="F2" w:themeShade="FF"/>
          <w:sz w:val="24"/>
          <w:szCs w:val="24"/>
          <w:lang w:val="en-GB"/>
        </w:rPr>
      </w:pPr>
      <w:r w:rsidRPr="69441A9A" w:rsidR="22C4B748">
        <w:rPr>
          <w:rFonts w:ascii="Arial" w:hAnsi="Arial" w:eastAsia="Arial" w:cs="Arial"/>
          <w:b w:val="1"/>
          <w:bCs w:val="1"/>
          <w:noProof w:val="0"/>
          <w:color w:val="0D0D0D" w:themeColor="text1" w:themeTint="F2" w:themeShade="FF"/>
          <w:sz w:val="24"/>
          <w:szCs w:val="24"/>
          <w:lang w:val="en-GB"/>
        </w:rPr>
        <w:t>4.3 Theme Three: The Relational Experience of Predictive Genetic Testing</w:t>
      </w:r>
    </w:p>
    <w:p w:rsidR="006F59DE" w:rsidP="69441A9A" w:rsidRDefault="006F59DE" w14:paraId="21402F9B" w14:textId="27122DCB">
      <w:pPr>
        <w:spacing w:before="60" w:beforeAutospacing="off" w:after="6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findings reinforce that predictive genetic testing for Huntington's disease (HD) is fundamentally relational rather than solely an individual experience. Although testing was experienced as a personal decision, its psychological impact extended across partners, parents, children and wider family networks. This supports previous literature suggesting that genetic knowledge is embedded within family systems and reshapes interpersonal relationships, responsibilities and future decision-making (Gong et al., 2016; Macleod et al., 2014).</w:t>
      </w:r>
    </w:p>
    <w:p w:rsidR="006F59DE" w:rsidP="69441A9A" w:rsidRDefault="006F59DE" w14:paraId="5A180771" w14:textId="21BE22F4">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A prominent finding was participants' perceived responsibility to protect loved ones. Participants described navigating reproductive decisions, future planning and disclosure with awareness of how their choices might affect others (Theed et al., 2017; Maltby et al., 2021). Communication therefore involved balancing openness with protection, suggesting that disclosure could itself become a form of emotional care. This reflects family systems perspectives, which understand adjustment to illness as a shared rather than individual process (Rolland, 1994).</w:t>
      </w:r>
    </w:p>
    <w:p w:rsidR="006F59DE" w:rsidP="69441A9A" w:rsidRDefault="006F59DE" w14:paraId="2EF4E667" w14:textId="5B333910">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findings also demonstrate that partners and relatives could experience significant psychological consequences despite not being the focus of clinical care. Laura's description of professionals having "let a grenade off and then just left us to deal with it" illustrates the emotional burden experienced by partners alongside limited recognition or support. This is consistent with Theed et al. (2018), who highlight the predominantly individual focus of predictive testing despite the familial nature of HD.</w:t>
      </w:r>
    </w:p>
    <w:p w:rsidR="006F59DE" w:rsidP="69441A9A" w:rsidRDefault="006F59DE" w14:paraId="503B7A44" w14:textId="69EE529B">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Overall, adjustment following predictive testing cannot be understood independently of participants' relational contexts. The findings therefore support counselling approaches that recognise partners and family members as integral to psychological adjustment rather than peripheral to it. They also suggest that the consequences of genetic knowledge may extend beyond the individual who receives the result, creating a wider relational need for psychological support.</w:t>
      </w:r>
    </w:p>
    <w:p w:rsidR="006F59DE" w:rsidP="69441A9A" w:rsidRDefault="006F59DE" w14:paraId="60903A9C" w14:textId="7A37624C">
      <w:pPr>
        <w:pStyle w:val="Heading2"/>
        <w:numPr>
          <w:ilvl w:val="0"/>
          <w:numId w:val="0"/>
        </w:numPr>
        <w:spacing w:before="240" w:beforeAutospacing="off" w:after="60" w:afterAutospacing="off"/>
        <w:ind w:left="0"/>
        <w:rPr>
          <w:rFonts w:ascii="Arial" w:hAnsi="Arial" w:eastAsia="Arial" w:cs="Arial"/>
          <w:b w:val="1"/>
          <w:bCs w:val="1"/>
          <w:noProof w:val="0"/>
          <w:color w:val="0D0D0D" w:themeColor="text1" w:themeTint="F2" w:themeShade="FF"/>
          <w:sz w:val="24"/>
          <w:szCs w:val="24"/>
          <w:lang w:val="en-GB"/>
        </w:rPr>
      </w:pPr>
      <w:r w:rsidRPr="69441A9A" w:rsidR="22C4B748">
        <w:rPr>
          <w:rFonts w:ascii="Arial" w:hAnsi="Arial" w:eastAsia="Arial" w:cs="Arial"/>
          <w:b w:val="1"/>
          <w:bCs w:val="1"/>
          <w:noProof w:val="0"/>
          <w:color w:val="0D0D0D" w:themeColor="text1" w:themeTint="F2" w:themeShade="FF"/>
          <w:sz w:val="24"/>
          <w:szCs w:val="24"/>
          <w:lang w:val="en-GB"/>
        </w:rPr>
        <w:t>4.4 Theme Four: Experiences of Therapeutic Support</w:t>
      </w:r>
    </w:p>
    <w:p w:rsidR="006F59DE" w:rsidP="69441A9A" w:rsidRDefault="006F59DE" w14:paraId="42378156" w14:textId="607AC5FE">
      <w:pPr>
        <w:spacing w:before="60" w:beforeAutospacing="off" w:after="6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findings highlight a distinction between genetic counselling and longer-term psychological support. Whilst participants valued genetic counselling for providing information and supporting informed decision-making, their accounts suggested that information alone did not address the emotional consequences of predictive testing. Feeling heard and understood, alongside continuity with trusted professionals, appeared particularly important as participants continued to negotiate uncertainty, identity and changing family circumstances. However, access to emotional support was inconsistent. Laura's description of professionals having "let a grenade off and then just left us to deal with it" illustrates the gap between receiving genetic information and being supported to manage its consequences. Nathan's experience further demonstrates that psychological need was not dependent upon receiving a positive result; his negative result disrupted an anticipated future and required specialist psychological support to reconstruct his sense of direction.</w:t>
      </w:r>
    </w:p>
    <w:p w:rsidR="006F59DE" w:rsidP="69441A9A" w:rsidRDefault="006F59DE" w14:paraId="7E349597" w14:textId="0E4B4C15">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These findings suggest that psychological adjustment to predictive testing is longitudinal rather than confined to the testing encounter. Therapeutic support therefore needs to extend beyond genetic information provision, with genetic counsellors playing an important role in recognising ongoing psychological needs and facilitating appropriate support. This is particularly important where partners and family members may also experience significant emotional consequences despite remaining outside the formal focus of genetic testing.</w:t>
      </w:r>
    </w:p>
    <w:p w:rsidR="006F59DE" w:rsidP="69441A9A" w:rsidRDefault="006F59DE" w14:paraId="652B6F07" w14:textId="56E00E51">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For counselling practice, the findings indicate that the therapeutic task may be less about helping individuals to achieve a fixed state of adjustment and more about providing a space in which meanings can be revisited as circumstances change. Participants' experiences suggest that psychological needs may emerge at different points rather than being identifiable solely at the time of testing. Continuity, empathy and psychological safety may therefore be particularly valuable in enabling individuals to explore difficult emotions without reducing their experiences to the genetic outcome.</w:t>
      </w:r>
    </w:p>
    <w:p w:rsidR="006F59DE" w:rsidP="69441A9A" w:rsidRDefault="006F59DE" w14:paraId="3A499103" w14:textId="5A42CF7E">
      <w:pPr>
        <w:pStyle w:val="Heading2"/>
        <w:numPr>
          <w:ilvl w:val="0"/>
          <w:numId w:val="0"/>
        </w:numPr>
        <w:spacing w:before="240" w:beforeAutospacing="off" w:after="60" w:afterAutospacing="off"/>
        <w:ind w:left="0"/>
        <w:rPr>
          <w:rFonts w:ascii="Arial" w:hAnsi="Arial" w:eastAsia="Arial" w:cs="Arial"/>
          <w:b w:val="1"/>
          <w:bCs w:val="1"/>
          <w:noProof w:val="0"/>
          <w:color w:val="0D0D0D" w:themeColor="text1" w:themeTint="F2" w:themeShade="FF"/>
          <w:sz w:val="24"/>
          <w:szCs w:val="24"/>
          <w:lang w:val="en-GB"/>
        </w:rPr>
      </w:pPr>
      <w:r w:rsidRPr="69441A9A" w:rsidR="22C4B748">
        <w:rPr>
          <w:rFonts w:ascii="Arial" w:hAnsi="Arial" w:eastAsia="Arial" w:cs="Arial"/>
          <w:b w:val="1"/>
          <w:bCs w:val="1"/>
          <w:noProof w:val="0"/>
          <w:color w:val="0D0D0D" w:themeColor="text1" w:themeTint="F2" w:themeShade="FF"/>
          <w:sz w:val="24"/>
          <w:szCs w:val="24"/>
          <w:lang w:val="en-GB"/>
        </w:rPr>
        <w:t>4.5 Theme Five: Living Beyond Predictive Testing</w:t>
      </w:r>
    </w:p>
    <w:p w:rsidR="006F59DE" w:rsidP="69441A9A" w:rsidRDefault="006F59DE" w14:paraId="56CB34D5" w14:textId="1AB1B238">
      <w:pPr>
        <w:spacing w:before="60" w:beforeAutospacing="off" w:after="6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final theme suggests that psychological adjustment following predictive genetic testing does not conclude once a result has been disclosed. Participants described adjustment as an ongoing process shaped by changing circumstances, relationships and future expectations. Although certainty enabled future planning for some participants (Spargo et al, 2025), it did not eliminate uncertainty, supporting Lee and Bongiovanni's (2023) suggestion that adaptation following predictive testing is dynamic rather than linear.</w:t>
      </w:r>
    </w:p>
    <w:p w:rsidR="006F59DE" w:rsidP="69441A9A" w:rsidRDefault="006F59DE" w14:paraId="5EB869CB" w14:textId="40968BA2">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Participants described gradually rebuilding life beyond the genetic result, establishing a "new normal" whilst continuing to pursue relationships, aspirations and meaningful experiences without allowing HD to define every aspect of identity. This was evident across both positive and negative outcomes, suggesting that rebuilding involved adapting to the meaning of the result rather than simply accepting it. For Nathan, a negative result disrupted a future organised around anticipated illness, whilst participants living with positive results continued to invest in relationships, careers and future plans.</w:t>
      </w:r>
    </w:p>
    <w:p w:rsidR="006F59DE" w:rsidP="69441A9A" w:rsidRDefault="006F59DE" w14:paraId="7EBCE64E" w14:textId="7B9EBA51">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Hope emerged not through certainty that difficulties would disappear, but through continued investment in relationships, personal goals and supporting others. Meaningful lives could therefore continue alongside the enduring presence of HD, with purpose developing through connection, family, achievement and helping others. Predictive testing may consequently be understood as a transition within a broader life journey rather than its endpoint. This offers an important counterpoint to deficit-focused understandings of genetic risk, as participants' accounts demonstrate that living with genetic knowledge can involve both vulnerability and agency. Psychological adaptation was therefore not synonymous with the absence of distress, but appeared to involve developing ways of living meaningfully alongside an enduring genetic reality.</w:t>
      </w:r>
    </w:p>
    <w:p w:rsidR="006F59DE" w:rsidP="69441A9A" w:rsidRDefault="006F59DE" w14:paraId="0765850D" w14:textId="66DA9BC3">
      <w:pPr>
        <w:pStyle w:val="Heading2"/>
        <w:numPr>
          <w:ilvl w:val="0"/>
          <w:numId w:val="0"/>
        </w:numPr>
        <w:spacing w:before="240" w:beforeAutospacing="off" w:after="60" w:afterAutospacing="off"/>
        <w:ind w:left="0"/>
        <w:rPr>
          <w:rFonts w:ascii="Arial" w:hAnsi="Arial" w:eastAsia="Arial" w:cs="Arial"/>
          <w:b w:val="1"/>
          <w:bCs w:val="1"/>
          <w:noProof w:val="0"/>
          <w:color w:val="0D0D0D" w:themeColor="text1" w:themeTint="F2" w:themeShade="FF"/>
          <w:sz w:val="24"/>
          <w:szCs w:val="24"/>
          <w:lang w:val="en-GB"/>
        </w:rPr>
      </w:pPr>
      <w:r w:rsidRPr="69441A9A" w:rsidR="22C4B748">
        <w:rPr>
          <w:rFonts w:ascii="Arial" w:hAnsi="Arial" w:eastAsia="Arial" w:cs="Arial"/>
          <w:b w:val="1"/>
          <w:bCs w:val="1"/>
          <w:noProof w:val="0"/>
          <w:color w:val="0D0D0D" w:themeColor="text1" w:themeTint="F2" w:themeShade="FF"/>
          <w:sz w:val="24"/>
          <w:szCs w:val="24"/>
          <w:lang w:val="en-GB"/>
        </w:rPr>
        <w:t>4.6 Methodological Limitations, Considerations and Reflection</w:t>
      </w:r>
    </w:p>
    <w:p w:rsidR="006F59DE" w:rsidP="69441A9A" w:rsidRDefault="006F59DE" w14:paraId="701B82A9" w14:textId="1E4F2DBE">
      <w:pPr>
        <w:spacing w:before="60" w:beforeAutospacing="off" w:after="6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This study's interpretative phenomenological approach enabled detailed exploration of participants' lived experiences of predictive genetic testing; however, several methodological considerations constrain interpretation. The small, purposive sample is consistent with IPA's idiographic focus but limits transferability beyond the participants and contexts represented. Participants also reflected retrospectively on experiences that had unfolded over considerable periods, meaning accounts were shaped by memory, subsequent experiences and present interpretations. This is particularly relevant given that psychological adjustment appeared to evolve beyond the point of testing.</w:t>
      </w:r>
    </w:p>
    <w:p w:rsidR="006F59DE" w:rsidP="69441A9A" w:rsidRDefault="006F59DE" w14:paraId="5B98F64B" w14:textId="62D2C2D0">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interview context also warrants consideration. Participants' willingness and ability to articulate emotionally complex experiences may have varied, meaning some experiences may have remained unspoken. The researcher was therefore not a neutral recipient of participants' accounts; interpretation was shaped through the researcher–participant interaction and analytic process. Reflexive awareness was consequently important in recognising how pre-existing understandings of HD and expectations regarding psychological impact could influence interpretation, whilst remaining attentive to interpretations grounded in participants' accounts.</w:t>
      </w:r>
    </w:p>
    <w:p w:rsidR="006F59DE" w:rsidP="69441A9A" w:rsidRDefault="006F59DE" w14:paraId="0C93DC7C" w14:textId="7422EFB7">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The findings should therefore be understood as interpretations of participants' experiences rather than objective representations of predictive testing. Nevertheless, convergence and divergence across accounts strengthen the credibility of the analysis, particularly where participants experienced genetic outcomes differently. Importantly, the findings highlight a gap between the provision of genetic information and the longer-term psychological support required to navigate its consequences. Participants' accounts suggest a need for more accessible and sustained therapeutic support beyond the immediate testing pathway. Genetic counsellors therefore have an important role in recognising ongoing psychological needs, facilitating appropriate therapeutic support and ensuring individuals and their families are not left to manage the emotional consequences of genetic knowledge alone.</w:t>
      </w:r>
    </w:p>
    <w:p w:rsidR="006F59DE" w:rsidP="69441A9A" w:rsidRDefault="006F59DE" w14:paraId="4F724FFE" w14:textId="5FBCE2A4">
      <w:pPr>
        <w:pStyle w:val="Heading2"/>
        <w:numPr>
          <w:ilvl w:val="0"/>
          <w:numId w:val="0"/>
        </w:numPr>
        <w:spacing w:before="240" w:beforeAutospacing="off" w:after="60" w:afterAutospacing="off"/>
        <w:ind w:left="0"/>
        <w:rPr>
          <w:rFonts w:ascii="Arial" w:hAnsi="Arial" w:eastAsia="Arial" w:cs="Arial"/>
          <w:b w:val="1"/>
          <w:bCs w:val="1"/>
          <w:noProof w:val="0"/>
          <w:color w:val="0D0D0D" w:themeColor="text1" w:themeTint="F2" w:themeShade="FF"/>
          <w:sz w:val="24"/>
          <w:szCs w:val="24"/>
          <w:lang w:val="en-GB"/>
        </w:rPr>
      </w:pPr>
      <w:r w:rsidRPr="69441A9A" w:rsidR="22C4B748">
        <w:rPr>
          <w:rFonts w:ascii="Arial" w:hAnsi="Arial" w:eastAsia="Arial" w:cs="Arial"/>
          <w:b w:val="1"/>
          <w:bCs w:val="1"/>
          <w:noProof w:val="0"/>
          <w:color w:val="0D0D0D" w:themeColor="text1" w:themeTint="F2" w:themeShade="FF"/>
          <w:sz w:val="24"/>
          <w:szCs w:val="24"/>
          <w:lang w:val="en-GB"/>
        </w:rPr>
        <w:t>4.7 Conclusion</w:t>
      </w:r>
    </w:p>
    <w:p w:rsidR="006F59DE" w:rsidP="69441A9A" w:rsidRDefault="006F59DE" w14:paraId="4BC62947" w14:textId="7AC747B8">
      <w:pPr>
        <w:spacing w:before="60" w:beforeAutospacing="off" w:after="6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This study explored the lived experiences of individuals who had undergone predictive genetic testing for Huntington's disease (HD) and considered the implications of these experiences for counselling practice. Collectively, the findings suggest that the psychological impact of predictive genetic testing cannot be understood solely through the binary distinction of gene-positive and gene-negative outcomes. Rather, participants' accounts indicate that adapting to predictive genetic knowledge is an ongoing process through which individuals negotiate identity, uncertainty, relationships, grief, and future planning long after testing has concluded.</w:t>
      </w:r>
    </w:p>
    <w:p w:rsidR="006F59DE" w:rsidP="69441A9A" w:rsidRDefault="006F59DE" w14:paraId="2DE701A6" w14:textId="11253CFB">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Whilst these findings support existing literature describing the enduring psychological impact of predictive testing (Crozier et al., 2015; Zarotti et al., 2020), they also suggest that therapeutic needs frequently extend beyond the genetic counselling pathway. Although genetic counselling remains fundamental in facilitating informed decision-making and communicating genetic risk (Arning et al., 2015), counselling and psychotherapy may complement this process by supporting individuals as they make sense of the emotional, relational, and existential consequences of living with genetic knowledge. The findings further suggest that therapeutic support is shaped not only by knowledge of HD, but by a collaborative therapeutic relationship characterised by empathy, acceptance, authenticity, and psychological safety.</w:t>
      </w:r>
    </w:p>
    <w:p w:rsidR="006F59DE" w:rsidP="69441A9A" w:rsidRDefault="006F59DE" w14:paraId="4B4C9D05" w14:textId="06951946">
      <w:pPr>
        <w:spacing w:before="240" w:beforeAutospacing="off" w:after="240" w:afterAutospacing="off"/>
        <w:rPr>
          <w:rFonts w:ascii="Arial" w:hAnsi="Arial" w:eastAsia="Arial" w:cs="Arial"/>
          <w:noProof w:val="0"/>
          <w:color w:val="0D0D0D" w:themeColor="text1" w:themeTint="F2" w:themeShade="FF"/>
          <w:sz w:val="24"/>
          <w:szCs w:val="24"/>
          <w:lang w:val="en-GB"/>
        </w:rPr>
      </w:pPr>
      <w:r w:rsidRPr="69441A9A" w:rsidR="22C4B748">
        <w:rPr>
          <w:rFonts w:ascii="Arial" w:hAnsi="Arial" w:eastAsia="Arial" w:cs="Arial"/>
          <w:noProof w:val="0"/>
          <w:color w:val="0D0D0D" w:themeColor="text1" w:themeTint="F2" w:themeShade="FF"/>
          <w:sz w:val="24"/>
          <w:szCs w:val="24"/>
          <w:lang w:val="en-GB"/>
        </w:rPr>
        <w:t>As an Interpretative Phenomenological Analysis, this study offers an in-depth understanding of an area that remains underexplored within counselling research. Further research is needed to examine longer-term therapeutic support following predictive testing and how counselling services can work alongside genetic counselling to better meet individuals' evolving psychological needs. Overall, this study contributes to a more nuanced understanding of predictive genetic testing and its implications for counselling practice by recognising psychological adjustment as an ongoing process rather than a single response to genetic knowledge.</w:t>
      </w:r>
    </w:p>
    <w:p w:rsidR="006F59DE" w:rsidP="69441A9A" w:rsidRDefault="006F59DE" w14:paraId="5890C5A8" w14:textId="047C1F34">
      <w:pPr>
        <w:spacing w:before="240"/>
        <w:rPr>
          <w:rFonts w:ascii="Arial" w:hAnsi="Arial" w:eastAsia="Arial" w:cs="Arial"/>
          <w:sz w:val="24"/>
          <w:szCs w:val="24"/>
        </w:rPr>
      </w:pPr>
    </w:p>
    <w:p w:rsidR="006F59DE" w:rsidP="69441A9A" w:rsidRDefault="006F59DE" w14:paraId="1F85A5C1" w14:textId="22446EA6">
      <w:pPr>
        <w:spacing w:before="240"/>
        <w:rPr>
          <w:rFonts w:ascii="Arial" w:hAnsi="Arial" w:eastAsia="Arial" w:cs="Arial"/>
          <w:color w:val="000000" w:themeColor="text1"/>
          <w:sz w:val="24"/>
          <w:szCs w:val="24"/>
        </w:rPr>
      </w:pPr>
    </w:p>
    <w:p w:rsidR="006F59DE" w:rsidP="69441A9A" w:rsidRDefault="006F59DE" w14:paraId="44EF9263" w14:textId="77777777">
      <w:pPr>
        <w:rPr>
          <w:rFonts w:ascii="Arial" w:hAnsi="Arial" w:eastAsia="Arial" w:cs="Arial"/>
          <w:sz w:val="24"/>
          <w:szCs w:val="24"/>
        </w:rPr>
      </w:pPr>
    </w:p>
    <w:p w:rsidR="0011089A" w:rsidP="663E9881" w:rsidRDefault="006E5409" w14:paraId="6370C8A9" w14:textId="0BE94B8A">
      <w:pPr>
        <w:pStyle w:val="Headingbackmatter"/>
        <w:spacing w:before="240" w:beforeAutospacing="off" w:after="240" w:afterAutospacing="off" w:line="240" w:lineRule="auto"/>
        <w:ind w:left="720"/>
        <w:jc w:val="left"/>
        <w:rPr/>
      </w:pPr>
      <w:bookmarkStart w:name="_Toc238028915" w:id="71"/>
      <w:r w:rsidRPr="69441A9A" w:rsidR="1CC9ED2D">
        <w:rPr>
          <w:rFonts w:ascii="Arial" w:hAnsi="Arial" w:eastAsia="Arial" w:cs="Arial"/>
          <w:noProof w:val="0"/>
          <w:sz w:val="24"/>
          <w:szCs w:val="24"/>
        </w:rPr>
        <w:t>Reference list</w:t>
      </w:r>
      <w:bookmarkEnd w:id="71"/>
      <w:r>
        <w:br/>
      </w:r>
      <w:r>
        <w:br/>
      </w:r>
      <w:r w:rsidRPr="69441A9A" w:rsidR="4B05B16C">
        <w:rPr>
          <w:rFonts w:ascii="Arial" w:hAnsi="Arial" w:eastAsia="Arial" w:cs="Arial"/>
          <w:b w:val="0"/>
          <w:bCs w:val="0"/>
          <w:noProof/>
          <w:color w:val="000000" w:themeColor="text1" w:themeTint="FF" w:themeShade="FF"/>
          <w:sz w:val="24"/>
          <w:szCs w:val="24"/>
          <w:lang w:val="en-GB"/>
        </w:rPr>
        <w:t xml:space="preserve">Arning, L., Witt, C.N., Epplen, J.T. and Stemmler, S. (2015) ‘Genetic counselling for predictive testing in Huntington’s disease in one centre since 1993. Gender-specific aspects </w:t>
      </w:r>
      <w:r w:rsidRPr="69441A9A" w:rsidR="4B05B16C">
        <w:rPr>
          <w:rFonts w:ascii="Arial" w:hAnsi="Arial" w:eastAsia="Arial" w:cs="Arial"/>
          <w:b w:val="0"/>
          <w:bCs w:val="0"/>
          <w:noProof/>
          <w:color w:val="000000" w:themeColor="text1" w:themeTint="FF" w:themeShade="FF"/>
          <w:sz w:val="24"/>
          <w:szCs w:val="24"/>
          <w:lang w:val="en-GB"/>
        </w:rPr>
        <w:t xml:space="preserve">of decision-making’, </w:t>
      </w:r>
      <w:r w:rsidRPr="69441A9A" w:rsidR="4B05B16C">
        <w:rPr>
          <w:rFonts w:ascii="Arial" w:hAnsi="Arial" w:eastAsia="Arial" w:cs="Arial"/>
          <w:b w:val="0"/>
          <w:bCs w:val="0"/>
          <w:i w:val="1"/>
          <w:iCs w:val="1"/>
          <w:noProof/>
          <w:color w:val="000000" w:themeColor="text1" w:themeTint="FF" w:themeShade="FF"/>
          <w:sz w:val="24"/>
          <w:szCs w:val="24"/>
          <w:lang w:val="en-GB"/>
        </w:rPr>
        <w:t>Journal of Huntington’s Disease</w:t>
      </w:r>
      <w:r w:rsidRPr="69441A9A" w:rsidR="4B05B16C">
        <w:rPr>
          <w:rFonts w:ascii="Arial" w:hAnsi="Arial" w:eastAsia="Arial" w:cs="Arial"/>
          <w:b w:val="0"/>
          <w:bCs w:val="0"/>
          <w:noProof/>
          <w:color w:val="000000" w:themeColor="text1" w:themeTint="FF" w:themeShade="FF"/>
          <w:sz w:val="24"/>
          <w:szCs w:val="24"/>
          <w:lang w:val="en-GB"/>
        </w:rPr>
        <w:t>, 4(1), pp. 87–98.</w:t>
      </w:r>
      <w:r w:rsidRPr="69441A9A" w:rsidR="23695595">
        <w:rPr>
          <w:rFonts w:ascii="Arial" w:hAnsi="Arial" w:eastAsia="Arial" w:cs="Arial"/>
          <w:b w:val="0"/>
          <w:bCs w:val="0"/>
          <w:noProof/>
          <w:color w:val="000000" w:themeColor="text1" w:themeTint="FF" w:themeShade="FF"/>
          <w:sz w:val="24"/>
          <w:szCs w:val="24"/>
          <w:lang w:val="en-GB"/>
        </w:rPr>
        <w:t xml:space="preserve"> Available at:</w:t>
      </w:r>
      <w:r w:rsidRPr="69441A9A" w:rsidR="4B05B16C">
        <w:rPr>
          <w:rFonts w:ascii="Arial" w:hAnsi="Arial" w:eastAsia="Arial" w:cs="Arial"/>
          <w:b w:val="0"/>
          <w:bCs w:val="0"/>
          <w:noProof/>
          <w:color w:val="000000" w:themeColor="text1" w:themeTint="FF" w:themeShade="FF"/>
          <w:sz w:val="24"/>
          <w:szCs w:val="24"/>
          <w:lang w:val="en-GB"/>
        </w:rPr>
        <w:t xml:space="preserve"> </w:t>
      </w:r>
      <w:hyperlink r:id="R5b9e6b88397442bc">
        <w:r w:rsidRPr="69441A9A" w:rsidR="4B05B16C">
          <w:rPr>
            <w:rStyle w:val="Hyperlink"/>
            <w:rFonts w:ascii="Arial" w:hAnsi="Arial" w:eastAsia="Arial" w:cs="Arial"/>
            <w:b w:val="0"/>
            <w:bCs w:val="0"/>
            <w:noProof/>
            <w:sz w:val="24"/>
            <w:szCs w:val="24"/>
            <w:lang w:val="en-GB"/>
          </w:rPr>
          <w:t>https://doi.org/10.3233/JHD-150140</w:t>
        </w:r>
      </w:hyperlink>
      <w:r>
        <w:br/>
      </w:r>
      <w:r>
        <w:br/>
      </w:r>
      <w:r w:rsidRPr="69441A9A" w:rsidR="5AE2D213">
        <w:rPr>
          <w:rFonts w:ascii="Arial" w:hAnsi="Arial" w:eastAsia="Arial" w:cs="Arial"/>
          <w:b w:val="0"/>
          <w:bCs w:val="0"/>
          <w:noProof/>
          <w:color w:val="000000" w:themeColor="text1" w:themeTint="FF" w:themeShade="FF"/>
          <w:sz w:val="24"/>
          <w:szCs w:val="24"/>
          <w:lang w:val="en-GB"/>
        </w:rPr>
        <w:t xml:space="preserve">Aspers, P. and Corte, U. (2019) ‘What is qualitative in qualitative research?’, </w:t>
      </w:r>
      <w:r w:rsidRPr="69441A9A" w:rsidR="5AE2D213">
        <w:rPr>
          <w:rFonts w:ascii="Arial" w:hAnsi="Arial" w:eastAsia="Arial" w:cs="Arial"/>
          <w:b w:val="0"/>
          <w:bCs w:val="0"/>
          <w:i w:val="1"/>
          <w:iCs w:val="1"/>
          <w:noProof/>
          <w:color w:val="000000" w:themeColor="text1" w:themeTint="FF" w:themeShade="FF"/>
          <w:sz w:val="24"/>
          <w:szCs w:val="24"/>
          <w:lang w:val="en-GB"/>
        </w:rPr>
        <w:t>Qualitative Sociology</w:t>
      </w:r>
      <w:r w:rsidRPr="69441A9A" w:rsidR="5AE2D213">
        <w:rPr>
          <w:rFonts w:ascii="Arial" w:hAnsi="Arial" w:eastAsia="Arial" w:cs="Arial"/>
          <w:b w:val="0"/>
          <w:bCs w:val="0"/>
          <w:noProof/>
          <w:color w:val="000000" w:themeColor="text1" w:themeTint="FF" w:themeShade="FF"/>
          <w:sz w:val="24"/>
          <w:szCs w:val="24"/>
          <w:lang w:val="en-GB"/>
        </w:rPr>
        <w:t>, 42(2), pp. 139–160.</w:t>
      </w:r>
      <w:r w:rsidRPr="69441A9A" w:rsidR="5B4CD9C5">
        <w:rPr>
          <w:rFonts w:ascii="Arial" w:hAnsi="Arial" w:eastAsia="Arial" w:cs="Arial"/>
          <w:b w:val="0"/>
          <w:bCs w:val="0"/>
          <w:noProof/>
          <w:color w:val="000000" w:themeColor="text1" w:themeTint="FF" w:themeShade="FF"/>
          <w:sz w:val="24"/>
          <w:szCs w:val="24"/>
          <w:lang w:val="en-GB"/>
        </w:rPr>
        <w:t xml:space="preserve"> Available at:</w:t>
      </w:r>
      <w:r w:rsidRPr="69441A9A" w:rsidR="5AE2D213">
        <w:rPr>
          <w:rFonts w:ascii="Arial" w:hAnsi="Arial" w:eastAsia="Arial" w:cs="Arial"/>
          <w:b w:val="0"/>
          <w:bCs w:val="0"/>
          <w:noProof/>
          <w:color w:val="000000" w:themeColor="text1" w:themeTint="FF" w:themeShade="FF"/>
          <w:sz w:val="24"/>
          <w:szCs w:val="24"/>
          <w:lang w:val="en-GB"/>
        </w:rPr>
        <w:t xml:space="preserve"> </w:t>
      </w:r>
      <w:hyperlink r:id="R22b3304c448e401b">
        <w:r w:rsidRPr="69441A9A" w:rsidR="5AE2D213">
          <w:rPr>
            <w:rStyle w:val="Hyperlink"/>
            <w:rFonts w:ascii="Arial" w:hAnsi="Arial" w:eastAsia="Arial" w:cs="Arial"/>
            <w:b w:val="0"/>
            <w:bCs w:val="0"/>
            <w:noProof/>
            <w:sz w:val="24"/>
            <w:szCs w:val="24"/>
            <w:lang w:val="en-GB"/>
          </w:rPr>
          <w:t>https://doi.org/10.1007/s11133-019-9413-7</w:t>
        </w:r>
      </w:hyperlink>
      <w:r>
        <w:br/>
      </w:r>
      <w:r>
        <w:br/>
      </w:r>
      <w:r w:rsidRPr="69441A9A" w:rsidR="47126338">
        <w:rPr>
          <w:rFonts w:ascii="Arial" w:hAnsi="Arial" w:eastAsia="Arial" w:cs="Arial"/>
          <w:b w:val="0"/>
          <w:bCs w:val="0"/>
          <w:noProof/>
          <w:color w:val="000000" w:themeColor="text1" w:themeTint="FF" w:themeShade="FF"/>
          <w:sz w:val="24"/>
          <w:szCs w:val="24"/>
          <w:lang w:val="en-GB"/>
        </w:rPr>
        <w:t xml:space="preserve">Austin, J., Semaka, A. and Hadjipavlou, G. (2014) ‘Conceptualizing genetic counseling as psychotherapy in the era of genomic medicine’, </w:t>
      </w:r>
      <w:r w:rsidRPr="69441A9A" w:rsidR="47126338">
        <w:rPr>
          <w:rFonts w:ascii="Arial" w:hAnsi="Arial" w:eastAsia="Arial" w:cs="Arial"/>
          <w:b w:val="0"/>
          <w:bCs w:val="0"/>
          <w:i w:val="1"/>
          <w:iCs w:val="1"/>
          <w:noProof/>
          <w:color w:val="000000" w:themeColor="text1" w:themeTint="FF" w:themeShade="FF"/>
          <w:sz w:val="24"/>
          <w:szCs w:val="24"/>
          <w:lang w:val="en-GB"/>
        </w:rPr>
        <w:t>Journal of Genetic Counseling</w:t>
      </w:r>
      <w:r w:rsidRPr="69441A9A" w:rsidR="47126338">
        <w:rPr>
          <w:rFonts w:ascii="Arial" w:hAnsi="Arial" w:eastAsia="Arial" w:cs="Arial"/>
          <w:b w:val="0"/>
          <w:bCs w:val="0"/>
          <w:noProof/>
          <w:color w:val="000000" w:themeColor="text1" w:themeTint="FF" w:themeShade="FF"/>
          <w:sz w:val="24"/>
          <w:szCs w:val="24"/>
          <w:lang w:val="en-GB"/>
        </w:rPr>
        <w:t>, 23(6), pp. 903–909.</w:t>
      </w:r>
      <w:r w:rsidRPr="69441A9A" w:rsidR="4CF70C4F">
        <w:rPr>
          <w:rFonts w:ascii="Arial" w:hAnsi="Arial" w:eastAsia="Arial" w:cs="Arial"/>
          <w:b w:val="0"/>
          <w:bCs w:val="0"/>
          <w:noProof/>
          <w:color w:val="000000" w:themeColor="text1" w:themeTint="FF" w:themeShade="FF"/>
          <w:sz w:val="24"/>
          <w:szCs w:val="24"/>
          <w:lang w:val="en-GB"/>
        </w:rPr>
        <w:t xml:space="preserve"> Available at:</w:t>
      </w:r>
      <w:r w:rsidRPr="69441A9A" w:rsidR="47126338">
        <w:rPr>
          <w:rFonts w:ascii="Arial" w:hAnsi="Arial" w:eastAsia="Arial" w:cs="Arial"/>
          <w:b w:val="0"/>
          <w:bCs w:val="0"/>
          <w:noProof/>
          <w:color w:val="000000" w:themeColor="text1" w:themeTint="FF" w:themeShade="FF"/>
          <w:sz w:val="24"/>
          <w:szCs w:val="24"/>
          <w:lang w:val="en-GB"/>
        </w:rPr>
        <w:t xml:space="preserve"> </w:t>
      </w:r>
      <w:hyperlink r:id="Rbed9411d7da24826">
        <w:r w:rsidRPr="69441A9A" w:rsidR="47126338">
          <w:rPr>
            <w:rStyle w:val="Hyperlink"/>
            <w:rFonts w:ascii="Arial" w:hAnsi="Arial" w:eastAsia="Arial" w:cs="Arial"/>
            <w:b w:val="0"/>
            <w:bCs w:val="0"/>
            <w:noProof/>
            <w:sz w:val="24"/>
            <w:szCs w:val="24"/>
            <w:lang w:val="en-GB"/>
          </w:rPr>
          <w:t>https://doi.org/10.1007/s10897-014-9728-1</w:t>
        </w:r>
      </w:hyperlink>
      <w:r>
        <w:br/>
      </w:r>
      <w:r>
        <w:br/>
      </w:r>
      <w:r w:rsidRPr="69441A9A" w:rsidR="62622A80">
        <w:rPr>
          <w:rFonts w:ascii="Arial" w:hAnsi="Arial" w:eastAsia="Arial" w:cs="Arial"/>
          <w:b w:val="0"/>
          <w:bCs w:val="0"/>
          <w:noProof w:val="0"/>
          <w:color w:val="000000" w:themeColor="text1" w:themeTint="FF" w:themeShade="FF"/>
          <w:sz w:val="24"/>
          <w:szCs w:val="24"/>
          <w:lang w:val="en-GB"/>
        </w:rPr>
        <w:t xml:space="preserve">Baldini, U.Y., Verweij, K.J.H., </w:t>
      </w:r>
      <w:r w:rsidRPr="69441A9A" w:rsidR="62622A80">
        <w:rPr>
          <w:rFonts w:ascii="Arial" w:hAnsi="Arial" w:eastAsia="Arial" w:cs="Arial"/>
          <w:b w:val="0"/>
          <w:bCs w:val="0"/>
          <w:noProof w:val="0"/>
          <w:color w:val="000000" w:themeColor="text1" w:themeTint="FF" w:themeShade="FF"/>
          <w:sz w:val="24"/>
          <w:szCs w:val="24"/>
          <w:lang w:val="en-GB"/>
        </w:rPr>
        <w:t>Bergamin</w:t>
      </w:r>
      <w:r w:rsidRPr="69441A9A" w:rsidR="62622A80">
        <w:rPr>
          <w:rFonts w:ascii="Arial" w:hAnsi="Arial" w:eastAsia="Arial" w:cs="Arial"/>
          <w:b w:val="0"/>
          <w:bCs w:val="0"/>
          <w:noProof w:val="0"/>
          <w:color w:val="000000" w:themeColor="text1" w:themeTint="FF" w:themeShade="FF"/>
          <w:sz w:val="24"/>
          <w:szCs w:val="24"/>
          <w:lang w:val="en-GB"/>
        </w:rPr>
        <w:t xml:space="preserve">, J., </w:t>
      </w:r>
      <w:r w:rsidRPr="69441A9A" w:rsidR="62622A80">
        <w:rPr>
          <w:rFonts w:ascii="Arial" w:hAnsi="Arial" w:eastAsia="Arial" w:cs="Arial"/>
          <w:b w:val="0"/>
          <w:bCs w:val="0"/>
          <w:noProof w:val="0"/>
          <w:color w:val="000000" w:themeColor="text1" w:themeTint="FF" w:themeShade="FF"/>
          <w:sz w:val="24"/>
          <w:szCs w:val="24"/>
          <w:lang w:val="en-GB"/>
        </w:rPr>
        <w:t>Luigjes</w:t>
      </w:r>
      <w:r w:rsidRPr="69441A9A" w:rsidR="62622A80">
        <w:rPr>
          <w:rFonts w:ascii="Arial" w:hAnsi="Arial" w:eastAsia="Arial" w:cs="Arial"/>
          <w:b w:val="0"/>
          <w:bCs w:val="0"/>
          <w:noProof w:val="0"/>
          <w:color w:val="000000" w:themeColor="text1" w:themeTint="FF" w:themeShade="FF"/>
          <w:sz w:val="24"/>
          <w:szCs w:val="24"/>
          <w:lang w:val="en-GB"/>
        </w:rPr>
        <w:t xml:space="preserve">, J., Mocking, R.J.T., Denys, D., </w:t>
      </w:r>
      <w:r w:rsidRPr="69441A9A" w:rsidR="62622A80">
        <w:rPr>
          <w:rFonts w:ascii="Arial" w:hAnsi="Arial" w:eastAsia="Arial" w:cs="Arial"/>
          <w:b w:val="0"/>
          <w:bCs w:val="0"/>
          <w:noProof w:val="0"/>
          <w:color w:val="000000" w:themeColor="text1" w:themeTint="FF" w:themeShade="FF"/>
          <w:sz w:val="24"/>
          <w:szCs w:val="24"/>
          <w:lang w:val="en-GB"/>
        </w:rPr>
        <w:t>Nieman, D.H</w:t>
      </w:r>
      <w:r w:rsidRPr="69441A9A" w:rsidR="62622A80">
        <w:rPr>
          <w:rFonts w:ascii="Arial" w:hAnsi="Arial" w:eastAsia="Arial" w:cs="Arial"/>
          <w:b w:val="0"/>
          <w:bCs w:val="0"/>
          <w:noProof w:val="0"/>
          <w:color w:val="000000" w:themeColor="text1" w:themeTint="FF" w:themeShade="FF"/>
          <w:sz w:val="24"/>
          <w:szCs w:val="24"/>
          <w:lang w:val="en-GB"/>
        </w:rPr>
        <w:t xml:space="preserve">. and </w:t>
      </w:r>
      <w:r w:rsidRPr="69441A9A" w:rsidR="62622A80">
        <w:rPr>
          <w:rFonts w:ascii="Arial" w:hAnsi="Arial" w:eastAsia="Arial" w:cs="Arial"/>
          <w:b w:val="0"/>
          <w:bCs w:val="0"/>
          <w:noProof w:val="0"/>
          <w:color w:val="000000" w:themeColor="text1" w:themeTint="FF" w:themeShade="FF"/>
          <w:sz w:val="24"/>
          <w:szCs w:val="24"/>
          <w:lang w:val="en-GB"/>
        </w:rPr>
        <w:t>Vulink</w:t>
      </w:r>
      <w:r w:rsidRPr="69441A9A" w:rsidR="62622A80">
        <w:rPr>
          <w:rFonts w:ascii="Arial" w:hAnsi="Arial" w:eastAsia="Arial" w:cs="Arial"/>
          <w:b w:val="0"/>
          <w:bCs w:val="0"/>
          <w:noProof w:val="0"/>
          <w:color w:val="000000" w:themeColor="text1" w:themeTint="FF" w:themeShade="FF"/>
          <w:sz w:val="24"/>
          <w:szCs w:val="24"/>
          <w:lang w:val="en-GB"/>
        </w:rPr>
        <w:t xml:space="preserve">, N.C. (2024) ‘Existential concerns in psychopathology: a transdiagnostic network analysis’, </w:t>
      </w:r>
      <w:r w:rsidRPr="69441A9A" w:rsidR="62622A80">
        <w:rPr>
          <w:rFonts w:ascii="Arial" w:hAnsi="Arial" w:eastAsia="Arial" w:cs="Arial"/>
          <w:b w:val="0"/>
          <w:bCs w:val="0"/>
          <w:i w:val="1"/>
          <w:iCs w:val="1"/>
          <w:noProof w:val="0"/>
          <w:color w:val="000000" w:themeColor="text1" w:themeTint="FF" w:themeShade="FF"/>
          <w:sz w:val="24"/>
          <w:szCs w:val="24"/>
          <w:lang w:val="en-GB"/>
        </w:rPr>
        <w:t>Cogent Mental Health</w:t>
      </w:r>
      <w:r w:rsidRPr="69441A9A" w:rsidR="62622A80">
        <w:rPr>
          <w:rFonts w:ascii="Arial" w:hAnsi="Arial" w:eastAsia="Arial" w:cs="Arial"/>
          <w:b w:val="0"/>
          <w:bCs w:val="0"/>
          <w:noProof w:val="0"/>
          <w:color w:val="000000" w:themeColor="text1" w:themeTint="FF" w:themeShade="FF"/>
          <w:sz w:val="24"/>
          <w:szCs w:val="24"/>
          <w:lang w:val="en-GB"/>
        </w:rPr>
        <w:t xml:space="preserve">, 3(1), Article 2313869. Available at: </w:t>
      </w:r>
      <w:hyperlink r:id="R22f3a99756b049d4">
        <w:r w:rsidRPr="69441A9A" w:rsidR="62622A80">
          <w:rPr>
            <w:rStyle w:val="Hyperlink"/>
            <w:rFonts w:ascii="Arial" w:hAnsi="Arial" w:eastAsia="Arial" w:cs="Arial"/>
            <w:b w:val="0"/>
            <w:bCs w:val="0"/>
            <w:noProof w:val="0"/>
            <w:sz w:val="24"/>
            <w:szCs w:val="24"/>
            <w:lang w:val="en-GB"/>
          </w:rPr>
          <w:t>https://doi.org/10.1080/28324765.2024.2313869</w:t>
        </w:r>
      </w:hyperlink>
      <w:r>
        <w:br/>
      </w:r>
      <w:r>
        <w:br/>
      </w:r>
      <w:r w:rsidRPr="69441A9A" w:rsidR="5EBC98D9">
        <w:rPr>
          <w:rFonts w:ascii="Arial" w:hAnsi="Arial" w:eastAsia="Arial" w:cs="Arial"/>
          <w:b w:val="0"/>
          <w:bCs w:val="0"/>
          <w:noProof/>
          <w:color w:val="000000" w:themeColor="text1" w:themeTint="FF" w:themeShade="FF"/>
          <w:sz w:val="24"/>
          <w:szCs w:val="24"/>
          <w:lang w:val="en-GB"/>
        </w:rPr>
        <w:t xml:space="preserve">Ballard, L.M., Doheny, S., Dimond, R., Lucassen, A.M. and Clarke, A.J. (2025) ‘Predictive genetic testing for Huntington's disease: exploring participant experiences of uncertainty and ambivalence between clinic appointments’, </w:t>
      </w:r>
      <w:r w:rsidRPr="69441A9A" w:rsidR="5EBC98D9">
        <w:rPr>
          <w:rFonts w:ascii="Arial" w:hAnsi="Arial" w:eastAsia="Arial" w:cs="Arial"/>
          <w:b w:val="0"/>
          <w:bCs w:val="0"/>
          <w:i w:val="1"/>
          <w:iCs w:val="1"/>
          <w:noProof/>
          <w:color w:val="000000" w:themeColor="text1" w:themeTint="FF" w:themeShade="FF"/>
          <w:sz w:val="24"/>
          <w:szCs w:val="24"/>
          <w:lang w:val="en-GB"/>
        </w:rPr>
        <w:t>Journal of Genetic Counseling</w:t>
      </w:r>
      <w:r w:rsidRPr="69441A9A" w:rsidR="5EBC98D9">
        <w:rPr>
          <w:rFonts w:ascii="Arial" w:hAnsi="Arial" w:eastAsia="Arial" w:cs="Arial"/>
          <w:b w:val="0"/>
          <w:bCs w:val="0"/>
          <w:noProof/>
          <w:color w:val="000000" w:themeColor="text1" w:themeTint="FF" w:themeShade="FF"/>
          <w:sz w:val="24"/>
          <w:szCs w:val="24"/>
          <w:lang w:val="en-GB"/>
        </w:rPr>
        <w:t xml:space="preserve">, 34(1), e1911. Available at: </w:t>
      </w:r>
      <w:hyperlink r:id="Rd345199f60c645e7">
        <w:r w:rsidRPr="69441A9A" w:rsidR="5EBC98D9">
          <w:rPr>
            <w:rStyle w:val="Hyperlink"/>
            <w:rFonts w:ascii="Arial" w:hAnsi="Arial" w:eastAsia="Arial" w:cs="Arial"/>
            <w:b w:val="0"/>
            <w:bCs w:val="0"/>
            <w:noProof/>
            <w:sz w:val="24"/>
            <w:szCs w:val="24"/>
            <w:lang w:val="en-GB"/>
          </w:rPr>
          <w:t>https://doi.org/10.1002/jgc4.1911</w:t>
        </w:r>
      </w:hyperlink>
      <w:r>
        <w:br/>
      </w:r>
      <w:r>
        <w:br/>
      </w:r>
      <w:r w:rsidRPr="69441A9A" w:rsidR="1DA064E6">
        <w:rPr>
          <w:rFonts w:ascii="Arial" w:hAnsi="Arial" w:eastAsia="Arial" w:cs="Arial"/>
          <w:b w:val="0"/>
          <w:bCs w:val="0"/>
          <w:noProof w:val="0"/>
          <w:color w:val="000000" w:themeColor="text1" w:themeTint="FF" w:themeShade="FF"/>
          <w:sz w:val="24"/>
          <w:szCs w:val="24"/>
          <w:lang w:val="en-GB"/>
        </w:rPr>
        <w:t xml:space="preserve">Banaszkiewicz, K., Sitek, E.J., Rudzińska, M., </w:t>
      </w:r>
      <w:r w:rsidRPr="69441A9A" w:rsidR="1DA064E6">
        <w:rPr>
          <w:rFonts w:ascii="Arial" w:hAnsi="Arial" w:eastAsia="Arial" w:cs="Arial"/>
          <w:b w:val="0"/>
          <w:bCs w:val="0"/>
          <w:noProof w:val="0"/>
          <w:color w:val="000000" w:themeColor="text1" w:themeTint="FF" w:themeShade="FF"/>
          <w:sz w:val="24"/>
          <w:szCs w:val="24"/>
          <w:lang w:val="en-GB"/>
        </w:rPr>
        <w:t>Sołtan</w:t>
      </w:r>
      <w:r w:rsidRPr="69441A9A" w:rsidR="1DA064E6">
        <w:rPr>
          <w:rFonts w:ascii="Arial" w:hAnsi="Arial" w:eastAsia="Arial" w:cs="Arial"/>
          <w:b w:val="0"/>
          <w:bCs w:val="0"/>
          <w:noProof w:val="0"/>
          <w:color w:val="000000" w:themeColor="text1" w:themeTint="FF" w:themeShade="FF"/>
          <w:sz w:val="24"/>
          <w:szCs w:val="24"/>
          <w:lang w:val="en-GB"/>
        </w:rPr>
        <w:t xml:space="preserve">, W., Sławek, J. and </w:t>
      </w:r>
      <w:r w:rsidRPr="69441A9A" w:rsidR="1DA064E6">
        <w:rPr>
          <w:rFonts w:ascii="Arial" w:hAnsi="Arial" w:eastAsia="Arial" w:cs="Arial"/>
          <w:b w:val="0"/>
          <w:bCs w:val="0"/>
          <w:noProof w:val="0"/>
          <w:color w:val="000000" w:themeColor="text1" w:themeTint="FF" w:themeShade="FF"/>
          <w:sz w:val="24"/>
          <w:szCs w:val="24"/>
          <w:lang w:val="en-GB"/>
        </w:rPr>
        <w:t>Szczudlik</w:t>
      </w:r>
      <w:r w:rsidRPr="69441A9A" w:rsidR="1DA064E6">
        <w:rPr>
          <w:rFonts w:ascii="Arial" w:hAnsi="Arial" w:eastAsia="Arial" w:cs="Arial"/>
          <w:b w:val="0"/>
          <w:bCs w:val="0"/>
          <w:noProof w:val="0"/>
          <w:color w:val="000000" w:themeColor="text1" w:themeTint="FF" w:themeShade="FF"/>
          <w:sz w:val="24"/>
          <w:szCs w:val="24"/>
          <w:lang w:val="en-GB"/>
        </w:rPr>
        <w:t xml:space="preserve">, A. (2012) ‘Huntington’s disease from the patient, caregiver and physician’s perspectives: three sides of the same coin?’, </w:t>
      </w:r>
      <w:r w:rsidRPr="69441A9A" w:rsidR="1DA064E6">
        <w:rPr>
          <w:rFonts w:ascii="Arial" w:hAnsi="Arial" w:eastAsia="Arial" w:cs="Arial"/>
          <w:b w:val="0"/>
          <w:bCs w:val="0"/>
          <w:i w:val="1"/>
          <w:iCs w:val="1"/>
          <w:noProof w:val="0"/>
          <w:color w:val="000000" w:themeColor="text1" w:themeTint="FF" w:themeShade="FF"/>
          <w:sz w:val="24"/>
          <w:szCs w:val="24"/>
          <w:lang w:val="en-GB"/>
        </w:rPr>
        <w:t>Journal of Neural Transmission</w:t>
      </w:r>
      <w:r w:rsidRPr="69441A9A" w:rsidR="1DA064E6">
        <w:rPr>
          <w:rFonts w:ascii="Arial" w:hAnsi="Arial" w:eastAsia="Arial" w:cs="Arial"/>
          <w:b w:val="0"/>
          <w:bCs w:val="0"/>
          <w:noProof w:val="0"/>
          <w:color w:val="000000" w:themeColor="text1" w:themeTint="FF" w:themeShade="FF"/>
          <w:sz w:val="24"/>
          <w:szCs w:val="24"/>
          <w:lang w:val="en-GB"/>
        </w:rPr>
        <w:t xml:space="preserve">, 119(11), pp. 1361–1365. Available at: </w:t>
      </w:r>
      <w:hyperlink r:id="R924261ca761b4586">
        <w:r w:rsidRPr="69441A9A" w:rsidR="1DA064E6">
          <w:rPr>
            <w:rStyle w:val="Hyperlink"/>
            <w:rFonts w:ascii="Arial" w:hAnsi="Arial" w:eastAsia="Arial" w:cs="Arial"/>
            <w:b w:val="0"/>
            <w:bCs w:val="0"/>
            <w:noProof w:val="0"/>
            <w:sz w:val="24"/>
            <w:szCs w:val="24"/>
            <w:lang w:val="en-GB"/>
          </w:rPr>
          <w:t>https://doi.org/10.1007/s00702-012-0787-x</w:t>
        </w:r>
      </w:hyperlink>
      <w:r w:rsidRPr="69441A9A" w:rsidR="1DA064E6">
        <w:rPr>
          <w:rFonts w:ascii="Arial" w:hAnsi="Arial" w:eastAsia="Arial" w:cs="Arial"/>
          <w:b w:val="0"/>
          <w:bCs w:val="0"/>
          <w:noProof w:val="0"/>
          <w:color w:val="000000" w:themeColor="text1" w:themeTint="FF" w:themeShade="FF"/>
          <w:sz w:val="24"/>
          <w:szCs w:val="24"/>
          <w:lang w:val="en-GB"/>
        </w:rPr>
        <w:t xml:space="preserve"> </w:t>
      </w:r>
      <w:r>
        <w:br/>
      </w:r>
      <w:r w:rsidRPr="69441A9A" w:rsidR="64372215">
        <w:rPr>
          <w:rFonts w:ascii="Arial" w:hAnsi="Arial" w:eastAsia="Arial" w:cs="Arial"/>
          <w:b w:val="0"/>
          <w:bCs w:val="0"/>
          <w:noProof w:val="0"/>
          <w:color w:val="000000" w:themeColor="text1" w:themeTint="FF" w:themeShade="FF"/>
          <w:sz w:val="24"/>
          <w:szCs w:val="24"/>
          <w:lang w:val="en-GB"/>
        </w:rPr>
        <w:t xml:space="preserve"> </w:t>
      </w:r>
      <w:r>
        <w:br/>
      </w:r>
      <w:r w:rsidRPr="69441A9A" w:rsidR="15C1E744">
        <w:rPr>
          <w:rFonts w:ascii="Arial" w:hAnsi="Arial" w:eastAsia="Arial" w:cs="Arial"/>
          <w:b w:val="0"/>
          <w:bCs w:val="0"/>
          <w:noProof/>
          <w:color w:val="000000" w:themeColor="text1" w:themeTint="FF" w:themeShade="FF"/>
          <w:sz w:val="24"/>
          <w:szCs w:val="24"/>
          <w:lang w:val="en-GB"/>
        </w:rPr>
        <w:t xml:space="preserve">Bordet, C., Brice, S., Maupain, C., Gandjbakhch, E., Isidor, B., Palmyre, A., Moerman, A., Toutain, A., Akloul, L., Brehin, A.-C., Sawka, C., Rooryck-Thambo, C., Schaefer, E., Nguyen, K., Dupin Deguine, D., Rouzier, C., Billy, G., Séné, K., Denjoy, I., Leheup, B., Planes, M., Mazzella, J.-M., Staraci, S., Hebert, M., Le Boette, E., Michon, C.-C., Babonneau, M.-L., Curjol, A., Bekhechi, A., Mansouri, R., Raji, I., Pruny, J.-F., Fressart, V., Ader, F., Richard, P., Tezenas du Montcel, S., Gargiulo, M. and Charron, P. (2020) ‘Psychosocial impact of predictive genetic testing in hereditary heart diseases: The PREDICT study’, </w:t>
      </w:r>
      <w:r w:rsidRPr="69441A9A" w:rsidR="15C1E744">
        <w:rPr>
          <w:rFonts w:ascii="Arial" w:hAnsi="Arial" w:eastAsia="Arial" w:cs="Arial"/>
          <w:b w:val="0"/>
          <w:bCs w:val="0"/>
          <w:i w:val="1"/>
          <w:iCs w:val="1"/>
          <w:noProof/>
          <w:color w:val="000000" w:themeColor="text1" w:themeTint="FF" w:themeShade="FF"/>
          <w:sz w:val="24"/>
          <w:szCs w:val="24"/>
          <w:lang w:val="en-GB"/>
        </w:rPr>
        <w:t>Journal of Clinical Medicine</w:t>
      </w:r>
      <w:r w:rsidRPr="69441A9A" w:rsidR="15C1E744">
        <w:rPr>
          <w:rFonts w:ascii="Arial" w:hAnsi="Arial" w:eastAsia="Arial" w:cs="Arial"/>
          <w:b w:val="0"/>
          <w:bCs w:val="0"/>
          <w:noProof/>
          <w:color w:val="000000" w:themeColor="text1" w:themeTint="FF" w:themeShade="FF"/>
          <w:sz w:val="24"/>
          <w:szCs w:val="24"/>
          <w:lang w:val="en-GB"/>
        </w:rPr>
        <w:t xml:space="preserve">, 9(5), p. 1365. Available at: </w:t>
      </w:r>
      <w:hyperlink r:id="R91bc44db59184c94">
        <w:r w:rsidRPr="69441A9A" w:rsidR="15C1E744">
          <w:rPr>
            <w:rStyle w:val="Hyperlink"/>
            <w:rFonts w:ascii="Arial" w:hAnsi="Arial" w:eastAsia="Arial" w:cs="Arial"/>
            <w:b w:val="0"/>
            <w:bCs w:val="0"/>
            <w:noProof/>
            <w:sz w:val="24"/>
            <w:szCs w:val="24"/>
            <w:lang w:val="en-GB"/>
          </w:rPr>
          <w:t>https://doi.org/10.3390/jcm9051365</w:t>
        </w:r>
      </w:hyperlink>
      <w:r w:rsidRPr="69441A9A" w:rsidR="15C1E744">
        <w:rPr>
          <w:rFonts w:ascii="Arial" w:hAnsi="Arial" w:eastAsia="Arial" w:cs="Arial"/>
          <w:b w:val="0"/>
          <w:bCs w:val="0"/>
          <w:noProof/>
          <w:color w:val="000000" w:themeColor="text1" w:themeTint="FF" w:themeShade="FF"/>
          <w:sz w:val="24"/>
          <w:szCs w:val="24"/>
          <w:lang w:val="en-GB"/>
        </w:rPr>
        <w:t>.</w:t>
      </w:r>
      <w:r>
        <w:br/>
      </w:r>
      <w:r>
        <w:br/>
      </w:r>
      <w:r w:rsidRPr="69441A9A" w:rsidR="28805B48">
        <w:rPr>
          <w:rFonts w:ascii="Arial" w:hAnsi="Arial" w:eastAsia="Arial" w:cs="Arial"/>
          <w:b w:val="0"/>
          <w:bCs w:val="0"/>
          <w:noProof w:val="0"/>
          <w:color w:val="000000" w:themeColor="text1" w:themeTint="FF" w:themeShade="FF"/>
          <w:sz w:val="24"/>
          <w:szCs w:val="24"/>
          <w:lang w:val="en-GB"/>
        </w:rPr>
        <w:t xml:space="preserve">Broadstock, M., Michie, S. and Marteau, T. (2000) ‘Psychological consequences of predictive genetic testing: a systematic review’, </w:t>
      </w:r>
      <w:r w:rsidRPr="69441A9A" w:rsidR="28805B48">
        <w:rPr>
          <w:rFonts w:ascii="Arial" w:hAnsi="Arial" w:eastAsia="Arial" w:cs="Arial"/>
          <w:b w:val="0"/>
          <w:bCs w:val="0"/>
          <w:i w:val="1"/>
          <w:iCs w:val="1"/>
          <w:noProof w:val="0"/>
          <w:color w:val="000000" w:themeColor="text1" w:themeTint="FF" w:themeShade="FF"/>
          <w:sz w:val="24"/>
          <w:szCs w:val="24"/>
          <w:lang w:val="en-GB"/>
        </w:rPr>
        <w:t>European Journal of Human Genetics</w:t>
      </w:r>
      <w:r w:rsidRPr="69441A9A" w:rsidR="28805B48">
        <w:rPr>
          <w:rFonts w:ascii="Arial" w:hAnsi="Arial" w:eastAsia="Arial" w:cs="Arial"/>
          <w:b w:val="0"/>
          <w:bCs w:val="0"/>
          <w:noProof w:val="0"/>
          <w:color w:val="000000" w:themeColor="text1" w:themeTint="FF" w:themeShade="FF"/>
          <w:sz w:val="24"/>
          <w:szCs w:val="24"/>
          <w:lang w:val="en-GB"/>
        </w:rPr>
        <w:t xml:space="preserve">, 8(10), pp. 731–738. Available at: </w:t>
      </w:r>
      <w:hyperlink r:id="R257290b240a44148">
        <w:r w:rsidRPr="69441A9A" w:rsidR="28805B48">
          <w:rPr>
            <w:rStyle w:val="Hyperlink"/>
            <w:rFonts w:ascii="Arial" w:hAnsi="Arial" w:eastAsia="Arial" w:cs="Arial"/>
            <w:b w:val="0"/>
            <w:bCs w:val="0"/>
            <w:noProof w:val="0"/>
            <w:sz w:val="24"/>
            <w:szCs w:val="24"/>
            <w:lang w:val="en-GB"/>
          </w:rPr>
          <w:t>https://doi.org/10.1038/sj.ejhg.5200532</w:t>
        </w:r>
      </w:hyperlink>
      <w:r>
        <w:br/>
      </w:r>
      <w:r>
        <w:br/>
      </w:r>
      <w:r w:rsidRPr="69441A9A" w:rsidR="6C5D4951">
        <w:rPr>
          <w:rFonts w:ascii="Arial" w:hAnsi="Arial" w:eastAsia="Arial" w:cs="Arial"/>
          <w:b w:val="0"/>
          <w:bCs w:val="0"/>
          <w:noProof w:val="0"/>
          <w:color w:val="000000" w:themeColor="text1" w:themeTint="FF" w:themeShade="FF"/>
          <w:sz w:val="24"/>
          <w:szCs w:val="24"/>
          <w:lang w:val="en-GB"/>
        </w:rPr>
        <w:t xml:space="preserve">Butchmaltby (2025) ‘Testing negative for Huntington’s disease’, </w:t>
      </w:r>
      <w:r w:rsidRPr="69441A9A" w:rsidR="6C5D4951">
        <w:rPr>
          <w:rFonts w:ascii="Arial" w:hAnsi="Arial" w:eastAsia="Arial" w:cs="Arial"/>
          <w:b w:val="0"/>
          <w:bCs w:val="0"/>
          <w:i w:val="1"/>
          <w:iCs w:val="1"/>
          <w:noProof w:val="0"/>
          <w:color w:val="000000" w:themeColor="text1" w:themeTint="FF" w:themeShade="FF"/>
          <w:sz w:val="24"/>
          <w:szCs w:val="24"/>
          <w:lang w:val="en-GB"/>
        </w:rPr>
        <w:t>Mayo Clinic Connect</w:t>
      </w:r>
      <w:r w:rsidRPr="69441A9A" w:rsidR="6C5D4951">
        <w:rPr>
          <w:rFonts w:ascii="Arial" w:hAnsi="Arial" w:eastAsia="Arial" w:cs="Arial"/>
          <w:b w:val="0"/>
          <w:bCs w:val="0"/>
          <w:noProof w:val="0"/>
          <w:color w:val="000000" w:themeColor="text1" w:themeTint="FF" w:themeShade="FF"/>
          <w:sz w:val="24"/>
          <w:szCs w:val="24"/>
          <w:lang w:val="en-GB"/>
        </w:rPr>
        <w:t xml:space="preserve">, 4 June. Available at: </w:t>
      </w:r>
      <w:hyperlink r:id="Re6df248b19784c98">
        <w:r w:rsidRPr="69441A9A" w:rsidR="6C5D4951">
          <w:rPr>
            <w:rStyle w:val="Hyperlink"/>
            <w:rFonts w:ascii="Arial" w:hAnsi="Arial" w:eastAsia="Arial" w:cs="Arial"/>
            <w:b w:val="0"/>
            <w:bCs w:val="0"/>
            <w:noProof w:val="0"/>
            <w:sz w:val="24"/>
            <w:szCs w:val="24"/>
            <w:lang w:val="en-GB"/>
          </w:rPr>
          <w:t>https://connect.mayoclinic.org/discussion/testing-negative-for-huntingtons-disease/</w:t>
        </w:r>
      </w:hyperlink>
    </w:p>
    <w:p w:rsidR="0011089A" w:rsidP="663E9881" w:rsidRDefault="006E5409" w14:paraId="6EF56F68" w14:textId="7FF922CB">
      <w:pPr>
        <w:spacing w:before="0" w:beforeAutospacing="off" w:after="0" w:afterAutospacing="off" w:line="278" w:lineRule="auto"/>
        <w:ind w:left="720"/>
        <w:jc w:val="left"/>
        <w:rPr>
          <w:rFonts w:ascii="Arial" w:hAnsi="Arial" w:eastAsia="Arial" w:cs="Arial"/>
          <w:noProof w:val="0"/>
          <w:sz w:val="24"/>
          <w:szCs w:val="24"/>
          <w:lang w:val="en-GB"/>
        </w:rPr>
      </w:pPr>
      <w:r w:rsidRPr="663E9881" w:rsidR="4F417819">
        <w:rPr>
          <w:rFonts w:ascii="Arial" w:hAnsi="Arial" w:eastAsia="Arial" w:cs="Arial"/>
          <w:noProof w:val="0"/>
          <w:color w:val="000000" w:themeColor="text1" w:themeTint="FF" w:themeShade="FF"/>
          <w:sz w:val="24"/>
          <w:szCs w:val="24"/>
          <w:lang w:val="en-GB"/>
        </w:rPr>
        <w:t xml:space="preserve">Chisholm, L.Z., Flavin, K.T., Paulsen, J.S. and Ready, R.E. (2013) 'Psychological well-being in persons affected by Huntington's disease: A comparison of at-risk, prodromal, and symptomatic groups', </w:t>
      </w:r>
      <w:r w:rsidRPr="663E9881" w:rsidR="4F417819">
        <w:rPr>
          <w:rFonts w:ascii="Arial" w:hAnsi="Arial" w:eastAsia="Arial" w:cs="Arial"/>
          <w:i w:val="1"/>
          <w:iCs w:val="1"/>
          <w:noProof w:val="0"/>
          <w:color w:val="000000" w:themeColor="text1" w:themeTint="FF" w:themeShade="FF"/>
          <w:sz w:val="24"/>
          <w:szCs w:val="24"/>
          <w:lang w:val="en-GB"/>
        </w:rPr>
        <w:t>Journal of Health Psychology</w:t>
      </w:r>
      <w:r w:rsidRPr="663E9881" w:rsidR="4F417819">
        <w:rPr>
          <w:rFonts w:ascii="Arial" w:hAnsi="Arial" w:eastAsia="Arial" w:cs="Arial"/>
          <w:noProof w:val="0"/>
          <w:color w:val="000000" w:themeColor="text1" w:themeTint="FF" w:themeShade="FF"/>
          <w:sz w:val="24"/>
          <w:szCs w:val="24"/>
          <w:lang w:val="en-GB"/>
        </w:rPr>
        <w:t xml:space="preserve">, 18(3), pp. 408–418. Available at: </w:t>
      </w:r>
      <w:hyperlink r:id="R43590b4ea6494325">
        <w:r w:rsidRPr="663E9881" w:rsidR="4F417819">
          <w:rPr>
            <w:rStyle w:val="Hyperlink"/>
            <w:rFonts w:ascii="Arial" w:hAnsi="Arial" w:eastAsia="Arial" w:cs="Arial"/>
            <w:strike w:val="0"/>
            <w:dstrike w:val="0"/>
            <w:noProof w:val="0"/>
            <w:sz w:val="24"/>
            <w:szCs w:val="24"/>
            <w:lang w:val="en-GB"/>
          </w:rPr>
          <w:t>https://doi.org/10.1177/1359105312444646</w:t>
        </w:r>
      </w:hyperlink>
      <w:r w:rsidRPr="663E9881" w:rsidR="4F417819">
        <w:rPr>
          <w:rFonts w:ascii="Arial" w:hAnsi="Arial" w:eastAsia="Arial" w:cs="Arial"/>
          <w:noProof w:val="0"/>
          <w:color w:val="000000" w:themeColor="text1" w:themeTint="FF" w:themeShade="FF"/>
          <w:sz w:val="24"/>
          <w:szCs w:val="24"/>
          <w:lang w:val="en-GB"/>
        </w:rPr>
        <w:t>.</w:t>
      </w:r>
    </w:p>
    <w:p w:rsidR="0011089A" w:rsidP="6A370997" w:rsidRDefault="006E5409" w14:paraId="0D57919B" w14:textId="014E4C39">
      <w:pPr>
        <w:pStyle w:val="Normal"/>
        <w:spacing w:before="0" w:beforeAutospacing="off" w:after="0" w:afterAutospacing="off" w:line="240" w:lineRule="auto"/>
        <w:ind w:left="720"/>
        <w:jc w:val="left"/>
      </w:pPr>
      <w:r>
        <w:br/>
      </w:r>
      <w:r w:rsidRPr="6A370997" w:rsidR="4199DB23">
        <w:rPr>
          <w:rFonts w:ascii="Arial" w:hAnsi="Arial" w:eastAsia="Arial" w:cs="Arial"/>
          <w:noProof w:val="0"/>
          <w:color w:val="000000" w:themeColor="text1" w:themeTint="FF" w:themeShade="FF"/>
          <w:sz w:val="24"/>
          <w:szCs w:val="24"/>
          <w:lang w:val="en-GB"/>
        </w:rPr>
        <w:t xml:space="preserve">Cooper, H., Simpson, J., Dale, M. and Eccles, F.J.R. (2025) ‘Maintaining psychological well-being when living at risk of Huntington’s disease: an interpretative phenomenological analysis’, </w:t>
      </w:r>
      <w:r w:rsidRPr="6A370997" w:rsidR="4199DB23">
        <w:rPr>
          <w:rFonts w:ascii="Arial" w:hAnsi="Arial" w:eastAsia="Arial" w:cs="Arial"/>
          <w:i w:val="1"/>
          <w:iCs w:val="1"/>
          <w:noProof w:val="0"/>
          <w:color w:val="000000" w:themeColor="text1" w:themeTint="FF" w:themeShade="FF"/>
          <w:sz w:val="24"/>
          <w:szCs w:val="24"/>
          <w:lang w:val="en-GB"/>
        </w:rPr>
        <w:t>Journal of Genetic Counseling</w:t>
      </w:r>
      <w:r w:rsidRPr="6A370997" w:rsidR="4199DB23">
        <w:rPr>
          <w:rFonts w:ascii="Arial" w:hAnsi="Arial" w:eastAsia="Arial" w:cs="Arial"/>
          <w:noProof w:val="0"/>
          <w:color w:val="000000" w:themeColor="text1" w:themeTint="FF" w:themeShade="FF"/>
          <w:sz w:val="24"/>
          <w:szCs w:val="24"/>
          <w:lang w:val="en-GB"/>
        </w:rPr>
        <w:t xml:space="preserve">, 34(2), e1965. Available at: </w:t>
      </w:r>
      <w:hyperlink r:id="Rbdb3245bc10e4e82">
        <w:r w:rsidRPr="6A370997" w:rsidR="4199DB23">
          <w:rPr>
            <w:rStyle w:val="Hyperlink"/>
            <w:noProof w:val="0"/>
            <w:sz w:val="24"/>
            <w:szCs w:val="24"/>
            <w:lang w:val="en-GB"/>
          </w:rPr>
          <w:t>https://doi.org/10.1002/jgc4.1965</w:t>
        </w:r>
      </w:hyperlink>
    </w:p>
    <w:p w:rsidR="0011089A" w:rsidP="663E9881" w:rsidRDefault="006E5409" w14:paraId="0340741A" w14:textId="15726FA1">
      <w:pPr>
        <w:spacing w:before="0" w:beforeAutospacing="off" w:after="0" w:afterAutospacing="off" w:line="278" w:lineRule="auto"/>
        <w:ind w:left="720"/>
        <w:jc w:val="left"/>
        <w:rPr>
          <w:rFonts w:ascii="Arial" w:hAnsi="Arial" w:eastAsia="Arial" w:cs="Arial"/>
          <w:noProof w:val="0"/>
          <w:color w:val="000000" w:themeColor="text1" w:themeTint="FF" w:themeShade="FF"/>
          <w:sz w:val="24"/>
          <w:szCs w:val="24"/>
          <w:lang w:val="en-GB"/>
        </w:rPr>
      </w:pPr>
    </w:p>
    <w:p w:rsidR="0011089A" w:rsidP="6A370997" w:rsidRDefault="006E5409" w14:paraId="39F06C08" w14:textId="69817AD9">
      <w:pPr>
        <w:pStyle w:val="Normal"/>
        <w:bidi w:val="0"/>
        <w:spacing w:before="0" w:beforeAutospacing="off" w:after="0" w:afterAutospacing="off" w:line="278" w:lineRule="auto"/>
        <w:ind w:left="720" w:right="0"/>
        <w:jc w:val="left"/>
      </w:pPr>
      <w:r w:rsidRPr="6A370997" w:rsidR="1936BB64">
        <w:rPr>
          <w:rFonts w:ascii="Arial" w:hAnsi="Arial" w:eastAsia="Arial" w:cs="Arial"/>
          <w:noProof w:val="0"/>
          <w:color w:val="000000" w:themeColor="text1" w:themeTint="FF" w:themeShade="FF"/>
          <w:sz w:val="24"/>
          <w:szCs w:val="24"/>
          <w:lang w:val="en-GB"/>
        </w:rPr>
        <w:t xml:space="preserve">Craufurd, D. and Snowden, J.S. (2014) ‘Neuropsychiatry and neuropsychology’, in Bates, G., Tabrizi, S.J. and Jones, L. (eds.) </w:t>
      </w:r>
      <w:r w:rsidRPr="6A370997" w:rsidR="1936BB64">
        <w:rPr>
          <w:rFonts w:ascii="Arial" w:hAnsi="Arial" w:eastAsia="Arial" w:cs="Arial"/>
          <w:i w:val="1"/>
          <w:iCs w:val="1"/>
          <w:noProof w:val="0"/>
          <w:color w:val="000000" w:themeColor="text1" w:themeTint="FF" w:themeShade="FF"/>
          <w:sz w:val="24"/>
          <w:szCs w:val="24"/>
          <w:lang w:val="en-GB"/>
        </w:rPr>
        <w:t>Huntington’s Disease</w:t>
      </w:r>
      <w:r w:rsidRPr="6A370997" w:rsidR="1936BB64">
        <w:rPr>
          <w:rFonts w:ascii="Arial" w:hAnsi="Arial" w:eastAsia="Arial" w:cs="Arial"/>
          <w:noProof w:val="0"/>
          <w:color w:val="000000" w:themeColor="text1" w:themeTint="FF" w:themeShade="FF"/>
          <w:sz w:val="24"/>
          <w:szCs w:val="24"/>
          <w:lang w:val="en-GB"/>
        </w:rPr>
        <w:t xml:space="preserve">. Oxford University Press, pp. 36–65. Available at: </w:t>
      </w:r>
      <w:hyperlink r:id="R4ce15e07a36841e8">
        <w:r w:rsidRPr="6A370997" w:rsidR="1936BB64">
          <w:rPr>
            <w:rStyle w:val="Hyperlink"/>
            <w:noProof w:val="0"/>
            <w:sz w:val="24"/>
            <w:szCs w:val="24"/>
            <w:lang w:val="en-GB"/>
          </w:rPr>
          <w:t>https://doi.org/10.1093/med/9780199929146.003.0003</w:t>
        </w:r>
      </w:hyperlink>
      <w:r>
        <w:br/>
      </w:r>
      <w:r>
        <w:br/>
      </w:r>
      <w:r w:rsidRPr="6A370997" w:rsidR="1109309F">
        <w:rPr>
          <w:rFonts w:ascii="Arial" w:hAnsi="Arial" w:eastAsia="Arial" w:cs="Arial"/>
          <w:noProof w:val="0"/>
          <w:color w:val="000000" w:themeColor="text1" w:themeTint="FF" w:themeShade="FF"/>
          <w:sz w:val="24"/>
          <w:szCs w:val="24"/>
          <w:lang w:val="en-GB"/>
        </w:rPr>
        <w:t xml:space="preserve">Crozier, S., Robertson, N. and Dale, M. (2015) ‘The psychological impact of predictive genetic testing for Huntington’s disease: a systematic review of the literature’, </w:t>
      </w:r>
      <w:r w:rsidRPr="6A370997" w:rsidR="1109309F">
        <w:rPr>
          <w:rFonts w:ascii="Arial" w:hAnsi="Arial" w:eastAsia="Arial" w:cs="Arial"/>
          <w:i w:val="1"/>
          <w:iCs w:val="1"/>
          <w:noProof w:val="0"/>
          <w:color w:val="000000" w:themeColor="text1" w:themeTint="FF" w:themeShade="FF"/>
          <w:sz w:val="24"/>
          <w:szCs w:val="24"/>
          <w:lang w:val="en-GB"/>
        </w:rPr>
        <w:t>Journal of Genetic Counseling</w:t>
      </w:r>
      <w:r w:rsidRPr="6A370997" w:rsidR="1109309F">
        <w:rPr>
          <w:rFonts w:ascii="Arial" w:hAnsi="Arial" w:eastAsia="Arial" w:cs="Arial"/>
          <w:noProof w:val="0"/>
          <w:color w:val="000000" w:themeColor="text1" w:themeTint="FF" w:themeShade="FF"/>
          <w:sz w:val="24"/>
          <w:szCs w:val="24"/>
          <w:lang w:val="en-GB"/>
        </w:rPr>
        <w:t>, 24(1), pp. 29–39. Available at:</w:t>
      </w:r>
      <w:r w:rsidRPr="6A370997" w:rsidR="1109309F">
        <w:rPr>
          <w:rFonts w:ascii="Arial" w:hAnsi="Arial" w:eastAsia="Arial" w:cs="Arial"/>
          <w:noProof w:val="0"/>
          <w:color w:val="000000" w:themeColor="text1" w:themeTint="FF" w:themeShade="FF"/>
          <w:sz w:val="24"/>
          <w:szCs w:val="24"/>
          <w:lang w:val="en-GB"/>
        </w:rPr>
        <w:t xml:space="preserve"> </w:t>
      </w:r>
      <w:hyperlink r:id="R30bb3acca83e4772">
        <w:r w:rsidRPr="6A370997" w:rsidR="1109309F">
          <w:rPr>
            <w:rStyle w:val="Hyperlink"/>
            <w:noProof w:val="0"/>
            <w:sz w:val="24"/>
            <w:szCs w:val="24"/>
            <w:lang w:val="en-GB"/>
          </w:rPr>
          <w:t>https://doi.org/10.1007/s10897-014-9755-y</w:t>
        </w:r>
      </w:hyperlink>
    </w:p>
    <w:p w:rsidR="0011089A" w:rsidP="6A370997" w:rsidRDefault="006E5409" w14:paraId="4749AE2E" w14:textId="14BD8266">
      <w:pPr>
        <w:pStyle w:val="Normal"/>
        <w:bidi w:val="0"/>
        <w:spacing w:before="0" w:beforeAutospacing="off" w:after="0" w:afterAutospacing="off" w:line="278" w:lineRule="auto"/>
        <w:ind w:left="720" w:right="0"/>
        <w:jc w:val="left"/>
      </w:pPr>
      <w:r>
        <w:br/>
      </w:r>
      <w:r w:rsidRPr="6A370997" w:rsidR="21465796">
        <w:rPr>
          <w:rFonts w:ascii="Arial" w:hAnsi="Arial" w:eastAsia="Arial" w:cs="Arial"/>
          <w:noProof w:val="0"/>
          <w:color w:val="000000" w:themeColor="text1" w:themeTint="FF" w:themeShade="FF"/>
          <w:sz w:val="24"/>
          <w:szCs w:val="24"/>
          <w:lang w:val="en-GB"/>
        </w:rPr>
        <w:t xml:space="preserve">Cypress, B.S. (2015) ‘Qualitative research: the “what,” “why,” “who,” and “how”!’ </w:t>
      </w:r>
      <w:r w:rsidRPr="6A370997" w:rsidR="21465796">
        <w:rPr>
          <w:rFonts w:ascii="Arial" w:hAnsi="Arial" w:eastAsia="Arial" w:cs="Arial"/>
          <w:i w:val="1"/>
          <w:iCs w:val="1"/>
          <w:noProof w:val="0"/>
          <w:color w:val="000000" w:themeColor="text1" w:themeTint="FF" w:themeShade="FF"/>
          <w:sz w:val="24"/>
          <w:szCs w:val="24"/>
          <w:lang w:val="en-GB"/>
        </w:rPr>
        <w:t>Dimensions of Critical Care Nursing</w:t>
      </w:r>
      <w:r w:rsidRPr="6A370997" w:rsidR="21465796">
        <w:rPr>
          <w:rFonts w:ascii="Arial" w:hAnsi="Arial" w:eastAsia="Arial" w:cs="Arial"/>
          <w:noProof w:val="0"/>
          <w:color w:val="000000" w:themeColor="text1" w:themeTint="FF" w:themeShade="FF"/>
          <w:sz w:val="24"/>
          <w:szCs w:val="24"/>
          <w:lang w:val="en-GB"/>
        </w:rPr>
        <w:t xml:space="preserve">, 34(6), pp. 356–361. Available at: </w:t>
      </w:r>
      <w:hyperlink r:id="R4986af6323384089">
        <w:r w:rsidRPr="6A370997" w:rsidR="21465796">
          <w:rPr>
            <w:rStyle w:val="Hyperlink"/>
            <w:noProof w:val="0"/>
            <w:sz w:val="24"/>
            <w:szCs w:val="24"/>
            <w:lang w:val="en-GB"/>
          </w:rPr>
          <w:t>https://doi.org/10.1097/DCC.0000000000000150</w:t>
        </w:r>
      </w:hyperlink>
    </w:p>
    <w:p w:rsidR="0011089A" w:rsidP="6A370997" w:rsidRDefault="006E5409" w14:paraId="0AF5F77A" w14:textId="1FA9DF15">
      <w:pPr>
        <w:pStyle w:val="Normal"/>
        <w:bidi w:val="0"/>
        <w:spacing w:before="0" w:beforeAutospacing="off" w:after="0" w:afterAutospacing="off" w:line="278" w:lineRule="auto"/>
        <w:ind w:left="720" w:right="0"/>
        <w:jc w:val="left"/>
      </w:pPr>
      <w:r>
        <w:br/>
      </w:r>
      <w:r w:rsidRPr="6A370997" w:rsidR="35FA16B6">
        <w:rPr>
          <w:rFonts w:ascii="Arial" w:hAnsi="Arial" w:eastAsia="Arial" w:cs="Arial"/>
          <w:noProof w:val="0"/>
          <w:color w:val="000000" w:themeColor="text1" w:themeTint="FF" w:themeShade="FF"/>
          <w:sz w:val="24"/>
          <w:szCs w:val="24"/>
          <w:lang w:val="en-GB"/>
        </w:rPr>
        <w:t>Decruyenaere, M., Evers-</w:t>
      </w:r>
      <w:r w:rsidRPr="6A370997" w:rsidR="35FA16B6">
        <w:rPr>
          <w:rFonts w:ascii="Arial" w:hAnsi="Arial" w:eastAsia="Arial" w:cs="Arial"/>
          <w:noProof w:val="0"/>
          <w:color w:val="000000" w:themeColor="text1" w:themeTint="FF" w:themeShade="FF"/>
          <w:sz w:val="24"/>
          <w:szCs w:val="24"/>
          <w:lang w:val="en-GB"/>
        </w:rPr>
        <w:t>Kiebooms</w:t>
      </w:r>
      <w:r w:rsidRPr="6A370997" w:rsidR="35FA16B6">
        <w:rPr>
          <w:rFonts w:ascii="Arial" w:hAnsi="Arial" w:eastAsia="Arial" w:cs="Arial"/>
          <w:noProof w:val="0"/>
          <w:color w:val="000000" w:themeColor="text1" w:themeTint="FF" w:themeShade="FF"/>
          <w:sz w:val="24"/>
          <w:szCs w:val="24"/>
          <w:lang w:val="en-GB"/>
        </w:rPr>
        <w:t xml:space="preserve">, G., </w:t>
      </w:r>
      <w:r w:rsidRPr="6A370997" w:rsidR="35FA16B6">
        <w:rPr>
          <w:rFonts w:ascii="Arial" w:hAnsi="Arial" w:eastAsia="Arial" w:cs="Arial"/>
          <w:noProof w:val="0"/>
          <w:color w:val="000000" w:themeColor="text1" w:themeTint="FF" w:themeShade="FF"/>
          <w:sz w:val="24"/>
          <w:szCs w:val="24"/>
          <w:lang w:val="en-GB"/>
        </w:rPr>
        <w:t>Boogaerts</w:t>
      </w:r>
      <w:r w:rsidRPr="6A370997" w:rsidR="35FA16B6">
        <w:rPr>
          <w:rFonts w:ascii="Arial" w:hAnsi="Arial" w:eastAsia="Arial" w:cs="Arial"/>
          <w:noProof w:val="0"/>
          <w:color w:val="000000" w:themeColor="text1" w:themeTint="FF" w:themeShade="FF"/>
          <w:sz w:val="24"/>
          <w:szCs w:val="24"/>
          <w:lang w:val="en-GB"/>
        </w:rPr>
        <w:t xml:space="preserve">, A., </w:t>
      </w:r>
      <w:r w:rsidRPr="6A370997" w:rsidR="35FA16B6">
        <w:rPr>
          <w:rFonts w:ascii="Arial" w:hAnsi="Arial" w:eastAsia="Arial" w:cs="Arial"/>
          <w:noProof w:val="0"/>
          <w:color w:val="000000" w:themeColor="text1" w:themeTint="FF" w:themeShade="FF"/>
          <w:sz w:val="24"/>
          <w:szCs w:val="24"/>
          <w:lang w:val="en-GB"/>
        </w:rPr>
        <w:t>Cassiman</w:t>
      </w:r>
      <w:r w:rsidRPr="6A370997" w:rsidR="35FA16B6">
        <w:rPr>
          <w:rFonts w:ascii="Arial" w:hAnsi="Arial" w:eastAsia="Arial" w:cs="Arial"/>
          <w:noProof w:val="0"/>
          <w:color w:val="000000" w:themeColor="text1" w:themeTint="FF" w:themeShade="FF"/>
          <w:sz w:val="24"/>
          <w:szCs w:val="24"/>
          <w:lang w:val="en-GB"/>
        </w:rPr>
        <w:t xml:space="preserve">, J.J., </w:t>
      </w:r>
      <w:r w:rsidRPr="6A370997" w:rsidR="35FA16B6">
        <w:rPr>
          <w:rFonts w:ascii="Arial" w:hAnsi="Arial" w:eastAsia="Arial" w:cs="Arial"/>
          <w:noProof w:val="0"/>
          <w:color w:val="000000" w:themeColor="text1" w:themeTint="FF" w:themeShade="FF"/>
          <w:sz w:val="24"/>
          <w:szCs w:val="24"/>
          <w:lang w:val="en-GB"/>
        </w:rPr>
        <w:t>Cloostermans</w:t>
      </w:r>
      <w:r w:rsidRPr="6A370997" w:rsidR="35FA16B6">
        <w:rPr>
          <w:rFonts w:ascii="Arial" w:hAnsi="Arial" w:eastAsia="Arial" w:cs="Arial"/>
          <w:noProof w:val="0"/>
          <w:color w:val="000000" w:themeColor="text1" w:themeTint="FF" w:themeShade="FF"/>
          <w:sz w:val="24"/>
          <w:szCs w:val="24"/>
          <w:lang w:val="en-GB"/>
        </w:rPr>
        <w:t xml:space="preserve">, T., </w:t>
      </w:r>
      <w:r w:rsidRPr="6A370997" w:rsidR="35FA16B6">
        <w:rPr>
          <w:rFonts w:ascii="Arial" w:hAnsi="Arial" w:eastAsia="Arial" w:cs="Arial"/>
          <w:noProof w:val="0"/>
          <w:color w:val="000000" w:themeColor="text1" w:themeTint="FF" w:themeShade="FF"/>
          <w:sz w:val="24"/>
          <w:szCs w:val="24"/>
          <w:lang w:val="en-GB"/>
        </w:rPr>
        <w:t>Demyttenaere</w:t>
      </w:r>
      <w:r w:rsidRPr="6A370997" w:rsidR="35FA16B6">
        <w:rPr>
          <w:rFonts w:ascii="Arial" w:hAnsi="Arial" w:eastAsia="Arial" w:cs="Arial"/>
          <w:noProof w:val="0"/>
          <w:color w:val="000000" w:themeColor="text1" w:themeTint="FF" w:themeShade="FF"/>
          <w:sz w:val="24"/>
          <w:szCs w:val="24"/>
          <w:lang w:val="en-GB"/>
        </w:rPr>
        <w:t xml:space="preserve">, K., Dom, R. and </w:t>
      </w:r>
      <w:r w:rsidRPr="6A370997" w:rsidR="35FA16B6">
        <w:rPr>
          <w:rFonts w:ascii="Arial" w:hAnsi="Arial" w:eastAsia="Arial" w:cs="Arial"/>
          <w:noProof w:val="0"/>
          <w:color w:val="000000" w:themeColor="text1" w:themeTint="FF" w:themeShade="FF"/>
          <w:sz w:val="24"/>
          <w:szCs w:val="24"/>
          <w:lang w:val="en-GB"/>
        </w:rPr>
        <w:t>Fryns</w:t>
      </w:r>
      <w:r w:rsidRPr="6A370997" w:rsidR="35FA16B6">
        <w:rPr>
          <w:rFonts w:ascii="Arial" w:hAnsi="Arial" w:eastAsia="Arial" w:cs="Arial"/>
          <w:noProof w:val="0"/>
          <w:color w:val="000000" w:themeColor="text1" w:themeTint="FF" w:themeShade="FF"/>
          <w:sz w:val="24"/>
          <w:szCs w:val="24"/>
          <w:lang w:val="en-GB"/>
        </w:rPr>
        <w:t xml:space="preserve">, J.P. (1999) ‘Psychological functioning before predictive testing for Huntington’s disease: the role of the parental disease, risk perception, and subjective proximity of the disease’, </w:t>
      </w:r>
      <w:r w:rsidRPr="6A370997" w:rsidR="35FA16B6">
        <w:rPr>
          <w:rFonts w:ascii="Arial" w:hAnsi="Arial" w:eastAsia="Arial" w:cs="Arial"/>
          <w:i w:val="1"/>
          <w:iCs w:val="1"/>
          <w:noProof w:val="0"/>
          <w:color w:val="000000" w:themeColor="text1" w:themeTint="FF" w:themeShade="FF"/>
          <w:sz w:val="24"/>
          <w:szCs w:val="24"/>
          <w:lang w:val="en-GB"/>
        </w:rPr>
        <w:t>Journal of Medical Genetics</w:t>
      </w:r>
      <w:r w:rsidRPr="6A370997" w:rsidR="35FA16B6">
        <w:rPr>
          <w:rFonts w:ascii="Arial" w:hAnsi="Arial" w:eastAsia="Arial" w:cs="Arial"/>
          <w:noProof w:val="0"/>
          <w:color w:val="000000" w:themeColor="text1" w:themeTint="FF" w:themeShade="FF"/>
          <w:sz w:val="24"/>
          <w:szCs w:val="24"/>
          <w:lang w:val="en-GB"/>
        </w:rPr>
        <w:t xml:space="preserve">, 36(12), pp. 897–905. Available at: </w:t>
      </w:r>
      <w:hyperlink r:id="R64c02fe0e0ef4d0e">
        <w:r w:rsidRPr="6A370997" w:rsidR="35FA16B6">
          <w:rPr>
            <w:rStyle w:val="Hyperlink"/>
            <w:noProof w:val="0"/>
            <w:sz w:val="24"/>
            <w:szCs w:val="24"/>
            <w:lang w:val="en-GB"/>
          </w:rPr>
          <w:t>https://doi.org/10.1136/jmg.36.12.897</w:t>
        </w:r>
      </w:hyperlink>
      <w:r>
        <w:br/>
      </w:r>
      <w:r>
        <w:br/>
      </w:r>
      <w:r w:rsidRPr="6A370997" w:rsidR="1E90C66C">
        <w:rPr>
          <w:rFonts w:ascii="Arial" w:hAnsi="Arial" w:eastAsia="Arial" w:cs="Arial"/>
          <w:b w:val="0"/>
          <w:bCs w:val="0"/>
          <w:noProof w:val="0"/>
          <w:color w:val="000000" w:themeColor="text1" w:themeTint="FF" w:themeShade="FF"/>
          <w:sz w:val="24"/>
          <w:szCs w:val="24"/>
          <w:lang w:val="en-GB"/>
        </w:rPr>
        <w:t xml:space="preserve">Dimond, R., Doheny, S., Ballard, </w:t>
      </w:r>
      <w:r w:rsidRPr="6A370997" w:rsidR="1E90C66C">
        <w:rPr>
          <w:rFonts w:ascii="Arial" w:hAnsi="Arial" w:eastAsia="Arial" w:cs="Arial"/>
          <w:b w:val="0"/>
          <w:bCs w:val="0"/>
          <w:noProof w:val="0"/>
          <w:color w:val="000000" w:themeColor="text1" w:themeTint="FF" w:themeShade="FF"/>
          <w:sz w:val="24"/>
          <w:szCs w:val="24"/>
          <w:lang w:val="en-GB"/>
        </w:rPr>
        <w:t>L.</w:t>
      </w:r>
      <w:r w:rsidRPr="6A370997" w:rsidR="1E90C66C">
        <w:rPr>
          <w:rFonts w:ascii="Arial" w:hAnsi="Arial" w:eastAsia="Arial" w:cs="Arial"/>
          <w:b w:val="0"/>
          <w:bCs w:val="0"/>
          <w:noProof w:val="0"/>
          <w:color w:val="000000" w:themeColor="text1" w:themeTint="FF" w:themeShade="FF"/>
          <w:sz w:val="24"/>
          <w:szCs w:val="24"/>
          <w:lang w:val="en-GB"/>
        </w:rPr>
        <w:t xml:space="preserve"> and Clarke, A. (2022) ‘Genetic testing and family entanglements’, </w:t>
      </w:r>
      <w:r w:rsidRPr="6A370997" w:rsidR="1E90C66C">
        <w:rPr>
          <w:rFonts w:ascii="Arial" w:hAnsi="Arial" w:eastAsia="Arial" w:cs="Arial"/>
          <w:b w:val="0"/>
          <w:bCs w:val="0"/>
          <w:i w:val="1"/>
          <w:iCs w:val="1"/>
          <w:noProof w:val="0"/>
          <w:color w:val="000000" w:themeColor="text1" w:themeTint="FF" w:themeShade="FF"/>
          <w:sz w:val="24"/>
          <w:szCs w:val="24"/>
          <w:lang w:val="en-GB"/>
        </w:rPr>
        <w:t>Social Science &amp; Medicine</w:t>
      </w:r>
      <w:r w:rsidRPr="6A370997" w:rsidR="1E90C66C">
        <w:rPr>
          <w:rFonts w:ascii="Arial" w:hAnsi="Arial" w:eastAsia="Arial" w:cs="Arial"/>
          <w:b w:val="0"/>
          <w:bCs w:val="0"/>
          <w:noProof w:val="0"/>
          <w:color w:val="000000" w:themeColor="text1" w:themeTint="FF" w:themeShade="FF"/>
          <w:sz w:val="24"/>
          <w:szCs w:val="24"/>
          <w:lang w:val="en-GB"/>
        </w:rPr>
        <w:t xml:space="preserve">, 298, 114857. Available at: </w:t>
      </w:r>
      <w:hyperlink r:id="Rdea6ccd9effb47ac">
        <w:r w:rsidRPr="6A370997" w:rsidR="1E90C66C">
          <w:rPr>
            <w:rStyle w:val="Hyperlink"/>
            <w:b w:val="0"/>
            <w:bCs w:val="0"/>
            <w:noProof w:val="0"/>
            <w:color w:val="000000" w:themeColor="text1" w:themeTint="FF" w:themeShade="FF"/>
            <w:sz w:val="24"/>
            <w:szCs w:val="24"/>
            <w:lang w:val="en-GB"/>
          </w:rPr>
          <w:t>https://doi.org/10.1016/j.socscimed.2022.114857</w:t>
        </w:r>
      </w:hyperlink>
      <w:r>
        <w:br/>
      </w:r>
      <w:r>
        <w:br/>
      </w:r>
      <w:r w:rsidRPr="6A370997" w:rsidR="75720AD0">
        <w:rPr>
          <w:rFonts w:ascii="Arial" w:hAnsi="Arial" w:eastAsia="Arial" w:cs="Arial"/>
          <w:noProof w:val="0"/>
          <w:color w:val="000000" w:themeColor="text1" w:themeTint="FF" w:themeShade="FF"/>
          <w:sz w:val="24"/>
          <w:szCs w:val="24"/>
          <w:lang w:val="en-GB"/>
        </w:rPr>
        <w:t>Doheny, S., Dimond, R., Ballard, L., Lucassen, A., Turnpenny, P. and Clarke, A. (2026) ‘</w:t>
      </w:r>
      <w:r w:rsidRPr="6A370997" w:rsidR="75720AD0">
        <w:rPr>
          <w:rFonts w:ascii="Arial" w:hAnsi="Arial" w:eastAsia="Arial" w:cs="Arial"/>
          <w:noProof w:val="0"/>
          <w:color w:val="000000" w:themeColor="text1" w:themeTint="FF" w:themeShade="FF"/>
          <w:sz w:val="24"/>
          <w:szCs w:val="24"/>
          <w:lang w:val="en-GB"/>
        </w:rPr>
        <w:t>Counseling</w:t>
      </w:r>
      <w:r w:rsidRPr="6A370997" w:rsidR="75720AD0">
        <w:rPr>
          <w:rFonts w:ascii="Arial" w:hAnsi="Arial" w:eastAsia="Arial" w:cs="Arial"/>
          <w:noProof w:val="0"/>
          <w:color w:val="000000" w:themeColor="text1" w:themeTint="FF" w:themeShade="FF"/>
          <w:sz w:val="24"/>
          <w:szCs w:val="24"/>
          <w:lang w:val="en-GB"/>
        </w:rPr>
        <w:t xml:space="preserve"> patients in the predictive genetics clinic for Huntington’s disease: a qualitative analysis of ethnographic observations’, </w:t>
      </w:r>
      <w:r w:rsidRPr="6A370997" w:rsidR="75720AD0">
        <w:rPr>
          <w:rFonts w:ascii="Arial" w:hAnsi="Arial" w:eastAsia="Arial" w:cs="Arial"/>
          <w:i w:val="1"/>
          <w:iCs w:val="1"/>
          <w:noProof w:val="0"/>
          <w:color w:val="000000" w:themeColor="text1" w:themeTint="FF" w:themeShade="FF"/>
          <w:sz w:val="24"/>
          <w:szCs w:val="24"/>
          <w:lang w:val="en-GB"/>
        </w:rPr>
        <w:t xml:space="preserve">Journal of Genetic </w:t>
      </w:r>
      <w:r w:rsidRPr="6A370997" w:rsidR="75720AD0">
        <w:rPr>
          <w:rFonts w:ascii="Arial" w:hAnsi="Arial" w:eastAsia="Arial" w:cs="Arial"/>
          <w:i w:val="1"/>
          <w:iCs w:val="1"/>
          <w:noProof w:val="0"/>
          <w:color w:val="000000" w:themeColor="text1" w:themeTint="FF" w:themeShade="FF"/>
          <w:sz w:val="24"/>
          <w:szCs w:val="24"/>
          <w:lang w:val="en-GB"/>
        </w:rPr>
        <w:t>Counseling</w:t>
      </w:r>
      <w:r w:rsidRPr="6A370997" w:rsidR="75720AD0">
        <w:rPr>
          <w:rFonts w:ascii="Arial" w:hAnsi="Arial" w:eastAsia="Arial" w:cs="Arial"/>
          <w:noProof w:val="0"/>
          <w:color w:val="000000" w:themeColor="text1" w:themeTint="FF" w:themeShade="FF"/>
          <w:sz w:val="24"/>
          <w:szCs w:val="24"/>
          <w:lang w:val="en-GB"/>
        </w:rPr>
        <w:t xml:space="preserve">, 35(3), e70240. Available at: </w:t>
      </w:r>
      <w:hyperlink r:id="Rd4e66879d38c46bd">
        <w:r w:rsidRPr="6A370997" w:rsidR="75720AD0">
          <w:rPr>
            <w:rStyle w:val="Hyperlink"/>
            <w:noProof w:val="0"/>
            <w:sz w:val="24"/>
            <w:szCs w:val="24"/>
            <w:lang w:val="en-GB"/>
          </w:rPr>
          <w:t>https://doi.org/10.1002/jgc4.70240</w:t>
        </w:r>
      </w:hyperlink>
      <w:r>
        <w:br/>
      </w:r>
      <w:r>
        <w:br/>
      </w:r>
      <w:r w:rsidRPr="6A370997" w:rsidR="48A598C6">
        <w:rPr>
          <w:rFonts w:ascii="Arial" w:hAnsi="Arial" w:eastAsia="Arial" w:cs="Arial"/>
          <w:b w:val="0"/>
          <w:bCs w:val="0"/>
          <w:noProof w:val="0"/>
          <w:color w:val="000000" w:themeColor="text1" w:themeTint="FF" w:themeShade="FF"/>
          <w:sz w:val="24"/>
          <w:szCs w:val="24"/>
          <w:lang w:val="en-GB"/>
        </w:rPr>
        <w:t xml:space="preserve">Engward, H. and </w:t>
      </w:r>
      <w:r w:rsidRPr="6A370997" w:rsidR="48A598C6">
        <w:rPr>
          <w:rFonts w:ascii="Arial" w:hAnsi="Arial" w:eastAsia="Arial" w:cs="Arial"/>
          <w:b w:val="0"/>
          <w:bCs w:val="0"/>
          <w:noProof w:val="0"/>
          <w:color w:val="000000" w:themeColor="text1" w:themeTint="FF" w:themeShade="FF"/>
          <w:sz w:val="24"/>
          <w:szCs w:val="24"/>
          <w:lang w:val="en-GB"/>
        </w:rPr>
        <w:t>Goldspink</w:t>
      </w:r>
      <w:r w:rsidRPr="6A370997" w:rsidR="48A598C6">
        <w:rPr>
          <w:rFonts w:ascii="Arial" w:hAnsi="Arial" w:eastAsia="Arial" w:cs="Arial"/>
          <w:b w:val="0"/>
          <w:bCs w:val="0"/>
          <w:noProof w:val="0"/>
          <w:color w:val="000000" w:themeColor="text1" w:themeTint="FF" w:themeShade="FF"/>
          <w:sz w:val="24"/>
          <w:szCs w:val="24"/>
          <w:lang w:val="en-GB"/>
        </w:rPr>
        <w:t xml:space="preserve">, S. (2020) ‘Lodgers in the house: living with the data in interpretive phenomenological analysis research’, </w:t>
      </w:r>
      <w:r w:rsidRPr="6A370997" w:rsidR="48A598C6">
        <w:rPr>
          <w:rFonts w:ascii="Arial" w:hAnsi="Arial" w:eastAsia="Arial" w:cs="Arial"/>
          <w:b w:val="0"/>
          <w:bCs w:val="0"/>
          <w:i w:val="1"/>
          <w:iCs w:val="1"/>
          <w:noProof w:val="0"/>
          <w:color w:val="000000" w:themeColor="text1" w:themeTint="FF" w:themeShade="FF"/>
          <w:sz w:val="24"/>
          <w:szCs w:val="24"/>
          <w:lang w:val="en-GB"/>
        </w:rPr>
        <w:t>Reflective Practice</w:t>
      </w:r>
      <w:r w:rsidRPr="6A370997" w:rsidR="48A598C6">
        <w:rPr>
          <w:rFonts w:ascii="Arial" w:hAnsi="Arial" w:eastAsia="Arial" w:cs="Arial"/>
          <w:b w:val="0"/>
          <w:bCs w:val="0"/>
          <w:noProof w:val="0"/>
          <w:color w:val="000000" w:themeColor="text1" w:themeTint="FF" w:themeShade="FF"/>
          <w:sz w:val="24"/>
          <w:szCs w:val="24"/>
          <w:lang w:val="en-GB"/>
        </w:rPr>
        <w:t xml:space="preserve">, 21(1), pp. </w:t>
      </w:r>
      <w:r w:rsidRPr="6A370997" w:rsidR="48A598C6">
        <w:rPr>
          <w:rFonts w:ascii="Arial" w:hAnsi="Arial" w:eastAsia="Arial" w:cs="Arial"/>
          <w:b w:val="0"/>
          <w:bCs w:val="0"/>
          <w:noProof w:val="0"/>
          <w:color w:val="000000" w:themeColor="text1" w:themeTint="FF" w:themeShade="FF"/>
          <w:sz w:val="24"/>
          <w:szCs w:val="24"/>
          <w:lang w:val="en-GB"/>
        </w:rPr>
        <w:t xml:space="preserve">41–53. Available at: </w:t>
      </w:r>
      <w:hyperlink r:id="R548d972dfe804ed5">
        <w:r w:rsidRPr="6A370997" w:rsidR="48A598C6">
          <w:rPr>
            <w:rStyle w:val="Hyperlink"/>
            <w:b w:val="0"/>
            <w:bCs w:val="0"/>
            <w:noProof w:val="0"/>
            <w:sz w:val="24"/>
            <w:szCs w:val="24"/>
            <w:lang w:val="en-GB"/>
          </w:rPr>
          <w:t>https://doi.org/10.1080/14623943.2019.1708305</w:t>
        </w:r>
      </w:hyperlink>
    </w:p>
    <w:p w:rsidR="0011089A" w:rsidP="6A370997" w:rsidRDefault="006E5409" w14:paraId="4D4B1649" w14:textId="1BB0E06C">
      <w:pPr>
        <w:pStyle w:val="Normal"/>
        <w:bidi w:val="0"/>
        <w:spacing w:before="0" w:beforeAutospacing="off" w:after="0" w:afterAutospacing="off" w:line="278" w:lineRule="auto"/>
        <w:ind w:left="720" w:right="0"/>
        <w:jc w:val="left"/>
      </w:pPr>
      <w:r>
        <w:br/>
      </w:r>
      <w:r w:rsidRPr="6A370997" w:rsidR="72316BE1">
        <w:rPr>
          <w:rFonts w:ascii="Arial" w:hAnsi="Arial" w:eastAsia="Arial" w:cs="Arial"/>
          <w:noProof w:val="0"/>
          <w:color w:val="000000" w:themeColor="text1" w:themeTint="FF" w:themeShade="FF"/>
          <w:sz w:val="24"/>
          <w:szCs w:val="24"/>
          <w:lang w:val="en-GB"/>
        </w:rPr>
        <w:t xml:space="preserve">tchegary, H. and Fowler, K. (2008) ‘They had the right to know.’ Genetic risk and perceptions of responsibility, </w:t>
      </w:r>
      <w:r w:rsidRPr="6A370997" w:rsidR="72316BE1">
        <w:rPr>
          <w:rFonts w:ascii="Arial" w:hAnsi="Arial" w:eastAsia="Arial" w:cs="Arial"/>
          <w:i w:val="1"/>
          <w:iCs w:val="1"/>
          <w:noProof w:val="0"/>
          <w:color w:val="000000" w:themeColor="text1" w:themeTint="FF" w:themeShade="FF"/>
          <w:sz w:val="24"/>
          <w:szCs w:val="24"/>
          <w:lang w:val="en-GB"/>
        </w:rPr>
        <w:t>Psychology &amp; Health</w:t>
      </w:r>
      <w:r w:rsidRPr="6A370997" w:rsidR="72316BE1">
        <w:rPr>
          <w:rFonts w:ascii="Arial" w:hAnsi="Arial" w:eastAsia="Arial" w:cs="Arial"/>
          <w:noProof w:val="0"/>
          <w:color w:val="000000" w:themeColor="text1" w:themeTint="FF" w:themeShade="FF"/>
          <w:sz w:val="24"/>
          <w:szCs w:val="24"/>
          <w:lang w:val="en-GB"/>
        </w:rPr>
        <w:t>, 23(6), pp. 707–727. Available a</w:t>
      </w:r>
      <w:r w:rsidRPr="6A370997" w:rsidR="72316BE1">
        <w:rPr>
          <w:rFonts w:ascii="Arial" w:hAnsi="Arial" w:eastAsia="Arial" w:cs="Arial"/>
          <w:noProof w:val="0"/>
          <w:color w:val="000000" w:themeColor="text1" w:themeTint="FF" w:themeShade="FF"/>
          <w:sz w:val="24"/>
          <w:szCs w:val="24"/>
          <w:lang w:val="en-GB"/>
        </w:rPr>
        <w:t xml:space="preserve">t: </w:t>
      </w:r>
      <w:hyperlink r:id="R34bfe95e4d754cbf">
        <w:r w:rsidRPr="6A370997" w:rsidR="72316BE1">
          <w:rPr>
            <w:rStyle w:val="Hyperlink"/>
            <w:noProof w:val="0"/>
            <w:sz w:val="24"/>
            <w:szCs w:val="24"/>
            <w:lang w:val="en-GB"/>
          </w:rPr>
          <w:t>https://doi.org/10.1080/14768320701235249</w:t>
        </w:r>
      </w:hyperlink>
    </w:p>
    <w:p w:rsidR="0011089A" w:rsidP="6A370997" w:rsidRDefault="006E5409" w14:paraId="77298F94" w14:textId="38DEC41D">
      <w:pPr>
        <w:pStyle w:val="Normal"/>
        <w:bidi w:val="0"/>
        <w:spacing w:before="0" w:beforeAutospacing="off" w:after="0" w:afterAutospacing="off" w:line="278" w:lineRule="auto"/>
        <w:ind w:left="720" w:right="0"/>
        <w:jc w:val="left"/>
      </w:pPr>
      <w:r>
        <w:br/>
      </w:r>
      <w:r w:rsidRPr="6A370997" w:rsidR="2601F2D7">
        <w:rPr>
          <w:rFonts w:ascii="Arial" w:hAnsi="Arial" w:eastAsia="Arial" w:cs="Arial"/>
          <w:noProof w:val="0"/>
          <w:color w:val="000000" w:themeColor="text1" w:themeTint="FF" w:themeShade="FF"/>
          <w:sz w:val="24"/>
          <w:szCs w:val="24"/>
          <w:lang w:val="en-GB"/>
        </w:rPr>
        <w:t xml:space="preserve">Exuzides, A., Reddy, S.R., Chang, E., Ta, J.T., Patel, A.M., Paydar, C. and Yohrling, G.J. (2022) ‘Epidemiology of Huntington’s disease in the United States Medicare and Medicaid populations’, </w:t>
      </w:r>
      <w:r w:rsidRPr="6A370997" w:rsidR="2601F2D7">
        <w:rPr>
          <w:rFonts w:ascii="Arial" w:hAnsi="Arial" w:eastAsia="Arial" w:cs="Arial"/>
          <w:i w:val="1"/>
          <w:iCs w:val="1"/>
          <w:noProof w:val="0"/>
          <w:color w:val="000000" w:themeColor="text1" w:themeTint="FF" w:themeShade="FF"/>
          <w:sz w:val="24"/>
          <w:szCs w:val="24"/>
          <w:lang w:val="en-GB"/>
        </w:rPr>
        <w:t>Neuroepidemiology</w:t>
      </w:r>
      <w:r w:rsidRPr="6A370997" w:rsidR="2601F2D7">
        <w:rPr>
          <w:rFonts w:ascii="Arial" w:hAnsi="Arial" w:eastAsia="Arial" w:cs="Arial"/>
          <w:noProof w:val="0"/>
          <w:color w:val="000000" w:themeColor="text1" w:themeTint="FF" w:themeShade="FF"/>
          <w:sz w:val="24"/>
          <w:szCs w:val="24"/>
          <w:lang w:val="en-GB"/>
        </w:rPr>
        <w:t xml:space="preserve">, 56(3), pp. 192–200. Available </w:t>
      </w:r>
      <w:r w:rsidRPr="6A370997" w:rsidR="2601F2D7">
        <w:rPr>
          <w:rFonts w:ascii="Arial" w:hAnsi="Arial" w:eastAsia="Arial" w:cs="Arial"/>
          <w:noProof w:val="0"/>
          <w:color w:val="000000" w:themeColor="text1" w:themeTint="FF" w:themeShade="FF"/>
          <w:sz w:val="24"/>
          <w:szCs w:val="24"/>
          <w:lang w:val="en-GB"/>
        </w:rPr>
        <w:t xml:space="preserve">at: </w:t>
      </w:r>
      <w:hyperlink r:id="Rb1a483fe572044a8">
        <w:r w:rsidRPr="6A370997" w:rsidR="2601F2D7">
          <w:rPr>
            <w:rStyle w:val="Hyperlink"/>
            <w:noProof w:val="0"/>
            <w:sz w:val="24"/>
            <w:szCs w:val="24"/>
            <w:lang w:val="en-GB"/>
          </w:rPr>
          <w:t>https://doi.org/10.1159/000524732</w:t>
        </w:r>
      </w:hyperlink>
    </w:p>
    <w:p w:rsidR="0011089A" w:rsidP="6A370997" w:rsidRDefault="006E5409" w14:paraId="08620356" w14:textId="15387034">
      <w:pPr>
        <w:pStyle w:val="Normal"/>
        <w:bidi w:val="0"/>
        <w:spacing w:before="0" w:beforeAutospacing="off" w:after="0" w:afterAutospacing="off" w:line="278" w:lineRule="auto"/>
        <w:ind w:left="720" w:right="0"/>
        <w:jc w:val="left"/>
      </w:pPr>
      <w:r>
        <w:br/>
      </w:r>
      <w:r w:rsidRPr="6A370997" w:rsidR="554D4331">
        <w:rPr>
          <w:rFonts w:ascii="Arial" w:hAnsi="Arial" w:eastAsia="Arial" w:cs="Arial"/>
          <w:noProof w:val="0"/>
          <w:color w:val="000000" w:themeColor="text1" w:themeTint="FF" w:themeShade="FF"/>
          <w:sz w:val="24"/>
          <w:szCs w:val="24"/>
          <w:lang w:val="en-GB"/>
        </w:rPr>
        <w:t xml:space="preserve">Fahy, N., Rice, C., Lahiri, N., Desai, R. and Stott, J. (2023) ‘Genetic risk for Huntington Disease and reproductive decision-making: a systematic review’, </w:t>
      </w:r>
      <w:r w:rsidRPr="6A370997" w:rsidR="554D4331">
        <w:rPr>
          <w:rFonts w:ascii="Arial" w:hAnsi="Arial" w:eastAsia="Arial" w:cs="Arial"/>
          <w:i w:val="1"/>
          <w:iCs w:val="1"/>
          <w:noProof w:val="0"/>
          <w:color w:val="000000" w:themeColor="text1" w:themeTint="FF" w:themeShade="FF"/>
          <w:sz w:val="24"/>
          <w:szCs w:val="24"/>
          <w:lang w:val="en-GB"/>
        </w:rPr>
        <w:t>Clinical Genetics</w:t>
      </w:r>
      <w:r w:rsidRPr="6A370997" w:rsidR="554D4331">
        <w:rPr>
          <w:rFonts w:ascii="Arial" w:hAnsi="Arial" w:eastAsia="Arial" w:cs="Arial"/>
          <w:noProof w:val="0"/>
          <w:color w:val="000000" w:themeColor="text1" w:themeTint="FF" w:themeShade="FF"/>
          <w:sz w:val="24"/>
          <w:szCs w:val="24"/>
          <w:lang w:val="en-GB"/>
        </w:rPr>
        <w:t xml:space="preserve">, 104(2), pp. 147–162. Available at: </w:t>
      </w:r>
      <w:hyperlink r:id="Rcf21d068ecd2443a">
        <w:r w:rsidRPr="6A370997" w:rsidR="554D4331">
          <w:rPr>
            <w:rStyle w:val="Hyperlink"/>
            <w:noProof w:val="0"/>
            <w:sz w:val="24"/>
            <w:szCs w:val="24"/>
            <w:lang w:val="en-GB"/>
          </w:rPr>
          <w:t>https://doi.org/10.1111/cge.14345</w:t>
        </w:r>
      </w:hyperlink>
    </w:p>
    <w:p w:rsidR="0011089A" w:rsidP="6A370997" w:rsidRDefault="006E5409" w14:paraId="7F0DEA6B" w14:textId="12B8854A">
      <w:pPr>
        <w:pStyle w:val="Normal"/>
        <w:bidi w:val="0"/>
        <w:spacing w:before="0" w:beforeAutospacing="off" w:after="0" w:afterAutospacing="off" w:line="278" w:lineRule="auto"/>
        <w:ind w:left="720" w:right="0"/>
        <w:jc w:val="left"/>
      </w:pPr>
      <w:r>
        <w:br/>
      </w:r>
      <w:r w:rsidRPr="6A370997" w:rsidR="61B5499D">
        <w:rPr>
          <w:rFonts w:ascii="Arial" w:hAnsi="Arial" w:eastAsia="Arial" w:cs="Arial"/>
          <w:noProof w:val="0"/>
          <w:color w:val="000000" w:themeColor="text1" w:themeTint="FF" w:themeShade="FF"/>
          <w:sz w:val="24"/>
          <w:szCs w:val="24"/>
          <w:lang w:val="en-GB"/>
        </w:rPr>
        <w:t xml:space="preserve">Ferluga, L. (2024) ‘The impact of Huntington’s disease on mental health’, </w:t>
      </w:r>
      <w:r w:rsidRPr="6A370997" w:rsidR="61B5499D">
        <w:rPr>
          <w:rFonts w:ascii="Arial" w:hAnsi="Arial" w:eastAsia="Arial" w:cs="Arial"/>
          <w:i w:val="1"/>
          <w:iCs w:val="1"/>
          <w:noProof w:val="0"/>
          <w:color w:val="000000" w:themeColor="text1" w:themeTint="FF" w:themeShade="FF"/>
          <w:sz w:val="24"/>
          <w:szCs w:val="24"/>
          <w:lang w:val="en-GB"/>
        </w:rPr>
        <w:t>Synapticure</w:t>
      </w:r>
      <w:r w:rsidRPr="6A370997" w:rsidR="61B5499D">
        <w:rPr>
          <w:rFonts w:ascii="Arial" w:hAnsi="Arial" w:eastAsia="Arial" w:cs="Arial"/>
          <w:noProof w:val="0"/>
          <w:color w:val="000000" w:themeColor="text1" w:themeTint="FF" w:themeShade="FF"/>
          <w:sz w:val="24"/>
          <w:szCs w:val="24"/>
          <w:lang w:val="en-GB"/>
        </w:rPr>
        <w:t xml:space="preserve">, 13 May. Available at: </w:t>
      </w:r>
      <w:hyperlink r:id="R8f85740c0b4e4535">
        <w:r w:rsidRPr="6A370997" w:rsidR="61B5499D">
          <w:rPr>
            <w:rStyle w:val="Hyperlink"/>
            <w:noProof w:val="0"/>
            <w:sz w:val="24"/>
            <w:szCs w:val="24"/>
            <w:lang w:val="en-GB"/>
          </w:rPr>
          <w:t>https://www.synapticure.com/blog/the-impact-of-huntingtons-disease-on-mental-health</w:t>
        </w:r>
      </w:hyperlink>
      <w:r>
        <w:br/>
      </w:r>
      <w:r>
        <w:br/>
      </w:r>
      <w:r w:rsidRPr="6A370997" w:rsidR="60DE544D">
        <w:rPr>
          <w:rFonts w:ascii="Arial" w:hAnsi="Arial" w:eastAsia="Arial" w:cs="Arial"/>
          <w:noProof w:val="0"/>
          <w:color w:val="000000" w:themeColor="text1" w:themeTint="FF" w:themeShade="FF"/>
          <w:sz w:val="24"/>
          <w:szCs w:val="24"/>
          <w:lang w:val="en-GB"/>
        </w:rPr>
        <w:t xml:space="preserve">Frank, A.W. (1995) </w:t>
      </w:r>
      <w:r w:rsidRPr="6A370997" w:rsidR="60DE544D">
        <w:rPr>
          <w:rFonts w:ascii="Arial" w:hAnsi="Arial" w:eastAsia="Arial" w:cs="Arial"/>
          <w:i w:val="1"/>
          <w:iCs w:val="1"/>
          <w:noProof w:val="0"/>
          <w:color w:val="000000" w:themeColor="text1" w:themeTint="FF" w:themeShade="FF"/>
          <w:sz w:val="24"/>
          <w:szCs w:val="24"/>
          <w:lang w:val="en-GB"/>
        </w:rPr>
        <w:t>The wounded storyteller: body, illness, and ethics</w:t>
      </w:r>
      <w:r w:rsidRPr="6A370997" w:rsidR="60DE544D">
        <w:rPr>
          <w:rFonts w:ascii="Arial" w:hAnsi="Arial" w:eastAsia="Arial" w:cs="Arial"/>
          <w:noProof w:val="0"/>
          <w:color w:val="000000" w:themeColor="text1" w:themeTint="FF" w:themeShade="FF"/>
          <w:sz w:val="24"/>
          <w:szCs w:val="24"/>
          <w:lang w:val="en-GB"/>
        </w:rPr>
        <w:t>. Chicago: University of Chicago Press.</w:t>
      </w:r>
      <w:r>
        <w:br/>
      </w:r>
      <w:r>
        <w:br/>
      </w:r>
      <w:r w:rsidRPr="6A370997" w:rsidR="686AE124">
        <w:rPr>
          <w:rFonts w:ascii="Arial" w:hAnsi="Arial" w:eastAsia="Arial" w:cs="Arial"/>
          <w:b w:val="0"/>
          <w:bCs w:val="0"/>
          <w:noProof w:val="0"/>
          <w:color w:val="000000" w:themeColor="text1" w:themeTint="FF" w:themeShade="FF"/>
          <w:sz w:val="24"/>
          <w:szCs w:val="24"/>
          <w:lang w:val="en-GB"/>
        </w:rPr>
        <w:t>Gatto, R.G., Weissmann, C., Amin, M., Angeles-López, Q.D., García-Lara, L., Salinas Castellanos, L.C.,</w:t>
      </w:r>
      <w:r w:rsidRPr="6A370997" w:rsidR="686AE124">
        <w:rPr>
          <w:rFonts w:ascii="Arial" w:hAnsi="Arial" w:eastAsia="Arial" w:cs="Arial"/>
          <w:b w:val="0"/>
          <w:bCs w:val="0"/>
          <w:noProof w:val="0"/>
          <w:color w:val="000000" w:themeColor="text1" w:themeTint="FF" w:themeShade="FF"/>
          <w:sz w:val="24"/>
          <w:szCs w:val="24"/>
          <w:lang w:val="en-GB"/>
        </w:rPr>
        <w:t xml:space="preserve"> </w:t>
      </w:r>
      <w:r w:rsidRPr="6A370997" w:rsidR="686AE124">
        <w:rPr>
          <w:rFonts w:ascii="Arial" w:hAnsi="Arial" w:eastAsia="Arial" w:cs="Arial"/>
          <w:b w:val="0"/>
          <w:bCs w:val="0"/>
          <w:noProof w:val="0"/>
          <w:color w:val="000000" w:themeColor="text1" w:themeTint="FF" w:themeShade="FF"/>
          <w:sz w:val="24"/>
          <w:szCs w:val="24"/>
          <w:lang w:val="en-GB"/>
        </w:rPr>
        <w:t>Deyoun</w:t>
      </w:r>
      <w:r w:rsidRPr="6A370997" w:rsidR="686AE124">
        <w:rPr>
          <w:rFonts w:ascii="Arial" w:hAnsi="Arial" w:eastAsia="Arial" w:cs="Arial"/>
          <w:b w:val="0"/>
          <w:bCs w:val="0"/>
          <w:noProof w:val="0"/>
          <w:color w:val="000000" w:themeColor="text1" w:themeTint="FF" w:themeShade="FF"/>
          <w:sz w:val="24"/>
          <w:szCs w:val="24"/>
          <w:lang w:val="en-GB"/>
        </w:rPr>
        <w:t>g</w:t>
      </w:r>
      <w:r w:rsidRPr="6A370997" w:rsidR="686AE124">
        <w:rPr>
          <w:rFonts w:ascii="Arial" w:hAnsi="Arial" w:eastAsia="Arial" w:cs="Arial"/>
          <w:b w:val="0"/>
          <w:bCs w:val="0"/>
          <w:noProof w:val="0"/>
          <w:color w:val="000000" w:themeColor="text1" w:themeTint="FF" w:themeShade="FF"/>
          <w:sz w:val="24"/>
          <w:szCs w:val="24"/>
          <w:lang w:val="en-GB"/>
        </w:rPr>
        <w:t>, D., Segovia, J.,</w:t>
      </w:r>
      <w:r w:rsidRPr="6A370997" w:rsidR="686AE124">
        <w:rPr>
          <w:rFonts w:ascii="Arial" w:hAnsi="Arial" w:eastAsia="Arial" w:cs="Arial"/>
          <w:b w:val="0"/>
          <w:bCs w:val="0"/>
          <w:noProof w:val="0"/>
          <w:color w:val="000000" w:themeColor="text1" w:themeTint="FF" w:themeShade="FF"/>
          <w:sz w:val="24"/>
          <w:szCs w:val="24"/>
          <w:lang w:val="en-GB"/>
        </w:rPr>
        <w:t xml:space="preserve"> </w:t>
      </w:r>
      <w:r w:rsidRPr="6A370997" w:rsidR="686AE124">
        <w:rPr>
          <w:rFonts w:ascii="Arial" w:hAnsi="Arial" w:eastAsia="Arial" w:cs="Arial"/>
          <w:b w:val="0"/>
          <w:bCs w:val="0"/>
          <w:noProof w:val="0"/>
          <w:color w:val="000000" w:themeColor="text1" w:themeTint="FF" w:themeShade="FF"/>
          <w:sz w:val="24"/>
          <w:szCs w:val="24"/>
          <w:lang w:val="en-GB"/>
        </w:rPr>
        <w:t>Marec</w:t>
      </w:r>
      <w:r w:rsidRPr="6A370997" w:rsidR="686AE124">
        <w:rPr>
          <w:rFonts w:ascii="Arial" w:hAnsi="Arial" w:eastAsia="Arial" w:cs="Arial"/>
          <w:b w:val="0"/>
          <w:bCs w:val="0"/>
          <w:noProof w:val="0"/>
          <w:color w:val="000000" w:themeColor="text1" w:themeTint="FF" w:themeShade="FF"/>
          <w:sz w:val="24"/>
          <w:szCs w:val="24"/>
          <w:lang w:val="en-GB"/>
        </w:rPr>
        <w:t>i</w:t>
      </w:r>
      <w:r w:rsidRPr="6A370997" w:rsidR="686AE124">
        <w:rPr>
          <w:rFonts w:ascii="Arial" w:hAnsi="Arial" w:eastAsia="Arial" w:cs="Arial"/>
          <w:b w:val="0"/>
          <w:bCs w:val="0"/>
          <w:noProof w:val="0"/>
          <w:color w:val="000000" w:themeColor="text1" w:themeTint="FF" w:themeShade="FF"/>
          <w:sz w:val="24"/>
          <w:szCs w:val="24"/>
          <w:lang w:val="en-GB"/>
        </w:rPr>
        <w:t xml:space="preserve">, T.H., Uchitel, O.D. and Magin, R.L. (2021) ‘Evaluation of early microstructural changes in the R6/1 mouse model of Huntington’s disease by ultra-high field diffusion MR imaging’, </w:t>
      </w:r>
      <w:r w:rsidRPr="6A370997" w:rsidR="686AE124">
        <w:rPr>
          <w:rFonts w:ascii="Arial" w:hAnsi="Arial" w:eastAsia="Arial" w:cs="Arial"/>
          <w:b w:val="0"/>
          <w:bCs w:val="0"/>
          <w:i w:val="1"/>
          <w:iCs w:val="1"/>
          <w:noProof w:val="0"/>
          <w:color w:val="000000" w:themeColor="text1" w:themeTint="FF" w:themeShade="FF"/>
          <w:sz w:val="24"/>
          <w:szCs w:val="24"/>
          <w:lang w:val="en-GB"/>
        </w:rPr>
        <w:t>Neurobiology of Aging</w:t>
      </w:r>
      <w:r w:rsidRPr="6A370997" w:rsidR="686AE124">
        <w:rPr>
          <w:rFonts w:ascii="Arial" w:hAnsi="Arial" w:eastAsia="Arial" w:cs="Arial"/>
          <w:b w:val="0"/>
          <w:bCs w:val="0"/>
          <w:noProof w:val="0"/>
          <w:color w:val="000000" w:themeColor="text1" w:themeTint="FF" w:themeShade="FF"/>
          <w:sz w:val="24"/>
          <w:szCs w:val="24"/>
          <w:lang w:val="en-GB"/>
        </w:rPr>
        <w:t xml:space="preserve">, 102, pp. 32–49. Available at: </w:t>
      </w:r>
      <w:hyperlink r:id="Rc5a9cb7f4b3c45e9">
        <w:r w:rsidRPr="6A370997" w:rsidR="686AE124">
          <w:rPr>
            <w:rStyle w:val="Hyperlink"/>
            <w:b w:val="0"/>
            <w:bCs w:val="0"/>
            <w:noProof w:val="0"/>
            <w:color w:val="000000" w:themeColor="text1" w:themeTint="FF" w:themeShade="FF"/>
            <w:sz w:val="24"/>
            <w:szCs w:val="24"/>
            <w:lang w:val="en-GB"/>
          </w:rPr>
          <w:t>https://doi.org/10.1016/j.neurobiolaging.2021.02.006</w:t>
        </w:r>
      </w:hyperlink>
    </w:p>
    <w:p w:rsidR="0011089A" w:rsidP="6A370997" w:rsidRDefault="006E5409" w14:paraId="0FEBAEEE" w14:textId="56F17807">
      <w:pPr>
        <w:pStyle w:val="Normal"/>
        <w:suppressLineNumbers w:val="0"/>
        <w:bidi w:val="0"/>
        <w:spacing w:before="0" w:beforeAutospacing="off" w:after="0" w:afterAutospacing="off" w:line="278" w:lineRule="auto"/>
        <w:ind w:left="720" w:right="0"/>
        <w:jc w:val="left"/>
        <w:rPr>
          <w:rFonts w:ascii="Arial" w:hAnsi="Arial" w:eastAsia="Arial" w:cs="Arial"/>
          <w:noProof w:val="0"/>
          <w:color w:val="000000" w:themeColor="text1" w:themeTint="FF" w:themeShade="FF"/>
          <w:sz w:val="24"/>
          <w:szCs w:val="24"/>
          <w:lang w:val="en-GB"/>
        </w:rPr>
      </w:pPr>
    </w:p>
    <w:p w:rsidR="0011089A" w:rsidP="6A370997" w:rsidRDefault="006E5409" w14:paraId="1AB8BD64" w14:textId="719DCD91">
      <w:pPr>
        <w:pStyle w:val="Normal"/>
        <w:spacing w:before="0" w:beforeAutospacing="off" w:after="0" w:afterAutospacing="off" w:line="278" w:lineRule="auto"/>
        <w:ind w:left="720"/>
        <w:jc w:val="left"/>
      </w:pPr>
      <w:r w:rsidRPr="6A370997" w:rsidR="3656CF26">
        <w:rPr>
          <w:rFonts w:ascii="Arial" w:hAnsi="Arial" w:eastAsia="Arial" w:cs="Arial"/>
          <w:noProof w:val="0"/>
          <w:color w:val="000000" w:themeColor="text1" w:themeTint="FF" w:themeShade="FF"/>
          <w:sz w:val="24"/>
          <w:szCs w:val="24"/>
          <w:lang w:val="en-GB"/>
        </w:rPr>
        <w:t xml:space="preserve">Gavgani, P.M. and García-Domínguez, M. (2025) ‘Revolutionizing Huntington’s disease treatment: breakthroughs in AAV-mediated gene therapy’, </w:t>
      </w:r>
      <w:r w:rsidRPr="6A370997" w:rsidR="3656CF26">
        <w:rPr>
          <w:rFonts w:ascii="Arial" w:hAnsi="Arial" w:eastAsia="Arial" w:cs="Arial"/>
          <w:i w:val="1"/>
          <w:iCs w:val="1"/>
          <w:noProof w:val="0"/>
          <w:color w:val="000000" w:themeColor="text1" w:themeTint="FF" w:themeShade="FF"/>
          <w:sz w:val="24"/>
          <w:szCs w:val="24"/>
          <w:lang w:val="en-GB"/>
        </w:rPr>
        <w:t>Cells</w:t>
      </w:r>
      <w:r w:rsidRPr="6A370997" w:rsidR="3656CF26">
        <w:rPr>
          <w:rFonts w:ascii="Arial" w:hAnsi="Arial" w:eastAsia="Arial" w:cs="Arial"/>
          <w:noProof w:val="0"/>
          <w:color w:val="000000" w:themeColor="text1" w:themeTint="FF" w:themeShade="FF"/>
          <w:sz w:val="24"/>
          <w:szCs w:val="24"/>
          <w:lang w:val="en-GB"/>
        </w:rPr>
        <w:t xml:space="preserve">, 14(19), 1514. Available at: </w:t>
      </w:r>
      <w:hyperlink r:id="Rfecb5fdb12af4675">
        <w:r w:rsidRPr="6A370997" w:rsidR="3656CF26">
          <w:rPr>
            <w:rStyle w:val="Hyperlink"/>
            <w:noProof w:val="0"/>
            <w:sz w:val="24"/>
            <w:szCs w:val="24"/>
            <w:lang w:val="en-GB"/>
          </w:rPr>
          <w:t>https://doi.org/10.3390/cells14191514</w:t>
        </w:r>
      </w:hyperlink>
      <w:r>
        <w:br/>
      </w:r>
      <w:r>
        <w:br/>
      </w:r>
      <w:r w:rsidRPr="6A370997" w:rsidR="7F97F430">
        <w:rPr>
          <w:rFonts w:ascii="Arial" w:hAnsi="Arial" w:eastAsia="Arial" w:cs="Arial"/>
          <w:b w:val="0"/>
          <w:bCs w:val="0"/>
          <w:noProof w:val="0"/>
          <w:color w:val="000000" w:themeColor="text1" w:themeTint="FF" w:themeShade="FF"/>
          <w:sz w:val="24"/>
          <w:szCs w:val="24"/>
          <w:lang w:val="en-GB"/>
        </w:rPr>
        <w:t xml:space="preserve">Gibbons, C., Woo, R., Waddick, J. and Fung, W.L.A. (2024) ‘Emotional reactions to genotype negative results for Huntington’s disease: a scoping review of qualitative findings’, </w:t>
      </w:r>
      <w:r w:rsidRPr="6A370997" w:rsidR="7F97F430">
        <w:rPr>
          <w:rFonts w:ascii="Arial" w:hAnsi="Arial" w:eastAsia="Arial" w:cs="Arial"/>
          <w:b w:val="0"/>
          <w:bCs w:val="0"/>
          <w:i w:val="1"/>
          <w:iCs w:val="1"/>
          <w:noProof w:val="0"/>
          <w:color w:val="000000" w:themeColor="text1" w:themeTint="FF" w:themeShade="FF"/>
          <w:sz w:val="24"/>
          <w:szCs w:val="24"/>
          <w:lang w:val="en-GB"/>
        </w:rPr>
        <w:t>Journal of Huntington’s Disease</w:t>
      </w:r>
      <w:r w:rsidRPr="6A370997" w:rsidR="7F97F430">
        <w:rPr>
          <w:rFonts w:ascii="Arial" w:hAnsi="Arial" w:eastAsia="Arial" w:cs="Arial"/>
          <w:b w:val="0"/>
          <w:bCs w:val="0"/>
          <w:noProof w:val="0"/>
          <w:color w:val="000000" w:themeColor="text1" w:themeTint="FF" w:themeShade="FF"/>
          <w:sz w:val="24"/>
          <w:szCs w:val="24"/>
          <w:lang w:val="en-GB"/>
        </w:rPr>
        <w:t xml:space="preserve">, 13(S1), p. S9. Available at: </w:t>
      </w:r>
      <w:hyperlink r:id="R72868a3e1e9b47c9">
        <w:r w:rsidRPr="6A370997" w:rsidR="7F97F430">
          <w:rPr>
            <w:rStyle w:val="Hyperlink"/>
            <w:b w:val="0"/>
            <w:bCs w:val="0"/>
            <w:noProof w:val="0"/>
            <w:sz w:val="24"/>
            <w:szCs w:val="24"/>
            <w:lang w:val="en-GB"/>
          </w:rPr>
          <w:t>https://doi.org/10.3233/JHD-249004</w:t>
        </w:r>
      </w:hyperlink>
    </w:p>
    <w:p w:rsidR="0011089A" w:rsidP="6A370997" w:rsidRDefault="006E5409" w14:paraId="30B33198" w14:textId="7CA93066">
      <w:pPr>
        <w:pStyle w:val="Normal"/>
        <w:suppressLineNumbers w:val="0"/>
        <w:bidi w:val="0"/>
        <w:spacing w:before="0" w:beforeAutospacing="off" w:after="0" w:afterAutospacing="off" w:line="278" w:lineRule="auto"/>
        <w:ind w:left="720" w:right="0"/>
        <w:jc w:val="left"/>
      </w:pPr>
      <w:r>
        <w:br/>
      </w:r>
      <w:r w:rsidRPr="6A370997" w:rsidR="0C101A7A">
        <w:rPr>
          <w:rFonts w:ascii="Arial" w:hAnsi="Arial" w:eastAsia="Arial" w:cs="Arial"/>
          <w:noProof w:val="0"/>
          <w:color w:val="000000" w:themeColor="text1" w:themeTint="FF" w:themeShade="FF"/>
          <w:sz w:val="24"/>
          <w:szCs w:val="24"/>
          <w:lang w:val="en-GB"/>
        </w:rPr>
        <w:t xml:space="preserve">Goldman, J.S. (2020) ‘Predictive genetic </w:t>
      </w:r>
      <w:r w:rsidRPr="6A370997" w:rsidR="0C101A7A">
        <w:rPr>
          <w:rFonts w:ascii="Arial" w:hAnsi="Arial" w:eastAsia="Arial" w:cs="Arial"/>
          <w:noProof w:val="0"/>
          <w:color w:val="000000" w:themeColor="text1" w:themeTint="FF" w:themeShade="FF"/>
          <w:sz w:val="24"/>
          <w:szCs w:val="24"/>
          <w:lang w:val="en-GB"/>
        </w:rPr>
        <w:t>counseling</w:t>
      </w:r>
      <w:r w:rsidRPr="6A370997" w:rsidR="0C101A7A">
        <w:rPr>
          <w:rFonts w:ascii="Arial" w:hAnsi="Arial" w:eastAsia="Arial" w:cs="Arial"/>
          <w:noProof w:val="0"/>
          <w:color w:val="000000" w:themeColor="text1" w:themeTint="FF" w:themeShade="FF"/>
          <w:sz w:val="24"/>
          <w:szCs w:val="24"/>
          <w:lang w:val="en-GB"/>
        </w:rPr>
        <w:t xml:space="preserve"> for neurodegenerative diseases: past, present, and future’, </w:t>
      </w:r>
      <w:r w:rsidRPr="6A370997" w:rsidR="0C101A7A">
        <w:rPr>
          <w:rFonts w:ascii="Arial" w:hAnsi="Arial" w:eastAsia="Arial" w:cs="Arial"/>
          <w:i w:val="1"/>
          <w:iCs w:val="1"/>
          <w:noProof w:val="0"/>
          <w:color w:val="000000" w:themeColor="text1" w:themeTint="FF" w:themeShade="FF"/>
          <w:sz w:val="24"/>
          <w:szCs w:val="24"/>
          <w:lang w:val="en-GB"/>
        </w:rPr>
        <w:t>Cold Spring Harbor Perspectives in Medicine</w:t>
      </w:r>
      <w:r w:rsidRPr="6A370997" w:rsidR="0C101A7A">
        <w:rPr>
          <w:rFonts w:ascii="Arial" w:hAnsi="Arial" w:eastAsia="Arial" w:cs="Arial"/>
          <w:noProof w:val="0"/>
          <w:color w:val="000000" w:themeColor="text1" w:themeTint="FF" w:themeShade="FF"/>
          <w:sz w:val="24"/>
          <w:szCs w:val="24"/>
          <w:lang w:val="en-GB"/>
        </w:rPr>
        <w:t xml:space="preserve">, 10(7), a036525. Available at: </w:t>
      </w:r>
      <w:hyperlink r:id="R28b9da7fd1d24f83">
        <w:r w:rsidRPr="6A370997" w:rsidR="0C101A7A">
          <w:rPr>
            <w:rStyle w:val="Hyperlink"/>
            <w:noProof w:val="0"/>
            <w:sz w:val="24"/>
            <w:szCs w:val="24"/>
            <w:lang w:val="en-GB"/>
          </w:rPr>
          <w:t>https://doi.org/10.1101/cshperspect.a036525</w:t>
        </w:r>
      </w:hyperlink>
      <w:r>
        <w:br/>
      </w:r>
      <w:r>
        <w:br/>
      </w:r>
      <w:r w:rsidRPr="6A370997" w:rsidR="5A64B7FB">
        <w:rPr>
          <w:rFonts w:ascii="Arial" w:hAnsi="Arial" w:eastAsia="Arial" w:cs="Arial"/>
          <w:b w:val="0"/>
          <w:bCs w:val="0"/>
          <w:noProof w:val="0"/>
          <w:color w:val="0D0D0D" w:themeColor="text1" w:themeTint="F2" w:themeShade="FF"/>
          <w:sz w:val="24"/>
          <w:szCs w:val="24"/>
          <w:lang w:val="en-GB"/>
        </w:rPr>
        <w:t xml:space="preserve">Gong, P., </w:t>
      </w:r>
      <w:r w:rsidRPr="6A370997" w:rsidR="5A64B7FB">
        <w:rPr>
          <w:rFonts w:ascii="Arial" w:hAnsi="Arial" w:eastAsia="Arial" w:cs="Arial"/>
          <w:b w:val="0"/>
          <w:bCs w:val="0"/>
          <w:noProof w:val="0"/>
          <w:color w:val="0D0D0D" w:themeColor="text1" w:themeTint="F2" w:themeShade="FF"/>
          <w:sz w:val="24"/>
          <w:szCs w:val="24"/>
          <w:lang w:val="en-GB"/>
        </w:rPr>
        <w:t>Fanos</w:t>
      </w:r>
      <w:r w:rsidRPr="6A370997" w:rsidR="5A64B7FB">
        <w:rPr>
          <w:rFonts w:ascii="Arial" w:hAnsi="Arial" w:eastAsia="Arial" w:cs="Arial"/>
          <w:b w:val="0"/>
          <w:bCs w:val="0"/>
          <w:noProof w:val="0"/>
          <w:color w:val="0D0D0D" w:themeColor="text1" w:themeTint="F2" w:themeShade="FF"/>
          <w:sz w:val="24"/>
          <w:szCs w:val="24"/>
          <w:lang w:val="en-GB"/>
        </w:rPr>
        <w:t xml:space="preserve">, J.H., Korty, L., Siskind, C.E. and Hanson-Kahn, A.K. (2016) ‘Impact of Huntington Disease Gene-Positive Status on Pre-Symptomatic Young Adults and Recommendations for Genetic </w:t>
      </w:r>
      <w:r w:rsidRPr="6A370997" w:rsidR="5A64B7FB">
        <w:rPr>
          <w:rFonts w:ascii="Arial" w:hAnsi="Arial" w:eastAsia="Arial" w:cs="Arial"/>
          <w:b w:val="0"/>
          <w:bCs w:val="0"/>
          <w:noProof w:val="0"/>
          <w:color w:val="0D0D0D" w:themeColor="text1" w:themeTint="F2" w:themeShade="FF"/>
          <w:sz w:val="24"/>
          <w:szCs w:val="24"/>
          <w:lang w:val="en-GB"/>
        </w:rPr>
        <w:t>Counselors</w:t>
      </w:r>
      <w:r w:rsidRPr="6A370997" w:rsidR="5A64B7FB">
        <w:rPr>
          <w:rFonts w:ascii="Arial" w:hAnsi="Arial" w:eastAsia="Arial" w:cs="Arial"/>
          <w:b w:val="0"/>
          <w:bCs w:val="0"/>
          <w:noProof w:val="0"/>
          <w:color w:val="0D0D0D" w:themeColor="text1" w:themeTint="F2" w:themeShade="FF"/>
          <w:sz w:val="24"/>
          <w:szCs w:val="24"/>
          <w:lang w:val="en-GB"/>
        </w:rPr>
        <w:t xml:space="preserve">’, </w:t>
      </w:r>
      <w:r w:rsidRPr="6A370997" w:rsidR="5A64B7FB">
        <w:rPr>
          <w:rFonts w:ascii="Arial" w:hAnsi="Arial" w:eastAsia="Arial" w:cs="Arial"/>
          <w:b w:val="0"/>
          <w:bCs w:val="0"/>
          <w:i w:val="1"/>
          <w:iCs w:val="1"/>
          <w:noProof w:val="0"/>
          <w:color w:val="0D0D0D" w:themeColor="text1" w:themeTint="F2" w:themeShade="FF"/>
          <w:sz w:val="24"/>
          <w:szCs w:val="24"/>
          <w:lang w:val="en-GB"/>
        </w:rPr>
        <w:t xml:space="preserve">Journal of Genetic </w:t>
      </w:r>
      <w:r w:rsidRPr="6A370997" w:rsidR="5A64B7FB">
        <w:rPr>
          <w:rFonts w:ascii="Arial" w:hAnsi="Arial" w:eastAsia="Arial" w:cs="Arial"/>
          <w:b w:val="0"/>
          <w:bCs w:val="0"/>
          <w:i w:val="1"/>
          <w:iCs w:val="1"/>
          <w:noProof w:val="0"/>
          <w:color w:val="0D0D0D" w:themeColor="text1" w:themeTint="F2" w:themeShade="FF"/>
          <w:sz w:val="24"/>
          <w:szCs w:val="24"/>
          <w:lang w:val="en-GB"/>
        </w:rPr>
        <w:t>Counseling</w:t>
      </w:r>
      <w:r w:rsidRPr="6A370997" w:rsidR="5A64B7FB">
        <w:rPr>
          <w:rFonts w:ascii="Arial" w:hAnsi="Arial" w:eastAsia="Arial" w:cs="Arial"/>
          <w:b w:val="0"/>
          <w:bCs w:val="0"/>
          <w:noProof w:val="0"/>
          <w:color w:val="0D0D0D" w:themeColor="text1" w:themeTint="F2" w:themeShade="FF"/>
          <w:sz w:val="24"/>
          <w:szCs w:val="24"/>
          <w:lang w:val="en-GB"/>
        </w:rPr>
        <w:t xml:space="preserve">, 25(6), pp. 1188–1197. Available at: </w:t>
      </w:r>
      <w:hyperlink r:id="Rf3028c971fca4bf9">
        <w:r w:rsidRPr="6A370997" w:rsidR="5A64B7FB">
          <w:rPr>
            <w:rStyle w:val="Hyperlink"/>
            <w:rFonts w:ascii="Arial" w:hAnsi="Arial" w:eastAsia="Arial" w:cs="Arial"/>
            <w:b w:val="0"/>
            <w:bCs w:val="0"/>
            <w:noProof w:val="0"/>
            <w:sz w:val="24"/>
            <w:szCs w:val="24"/>
            <w:lang w:val="en-GB"/>
          </w:rPr>
          <w:t>https://doi.org/10.1007/s10897-016-9951-z</w:t>
        </w:r>
      </w:hyperlink>
      <w:r>
        <w:br/>
      </w:r>
      <w:r w:rsidRPr="6A370997" w:rsidR="0B612176">
        <w:rPr>
          <w:rFonts w:ascii="Arial" w:hAnsi="Arial" w:eastAsia="Arial" w:cs="Arial"/>
          <w:noProof w:val="0"/>
          <w:color w:val="0D0D0D" w:themeColor="text1" w:themeTint="F2" w:themeShade="FF"/>
          <w:sz w:val="24"/>
          <w:szCs w:val="24"/>
          <w:lang w:val="en-GB"/>
        </w:rPr>
        <w:t xml:space="preserve">Gracey, M. (2026) ‘Split Between Two Worlds: The Psychological Challenges for People at Risk of Huntington’s Disease’. </w:t>
      </w:r>
      <w:r w:rsidRPr="6A370997" w:rsidR="0B612176">
        <w:rPr>
          <w:rFonts w:ascii="Arial" w:hAnsi="Arial" w:eastAsia="Arial" w:cs="Arial"/>
          <w:i w:val="1"/>
          <w:iCs w:val="1"/>
          <w:noProof w:val="0"/>
          <w:color w:val="0D0D0D" w:themeColor="text1" w:themeTint="F2" w:themeShade="FF"/>
          <w:sz w:val="24"/>
          <w:szCs w:val="24"/>
          <w:lang w:val="en-GB"/>
        </w:rPr>
        <w:t>HDBuzz</w:t>
      </w:r>
      <w:r w:rsidRPr="6A370997" w:rsidR="0B612176">
        <w:rPr>
          <w:rFonts w:ascii="Arial" w:hAnsi="Arial" w:eastAsia="Arial" w:cs="Arial"/>
          <w:noProof w:val="0"/>
          <w:color w:val="0D0D0D" w:themeColor="text1" w:themeTint="F2" w:themeShade="FF"/>
          <w:sz w:val="24"/>
          <w:szCs w:val="24"/>
          <w:lang w:val="en-GB"/>
        </w:rPr>
        <w:t xml:space="preserve">, 16 February. Available at: </w:t>
      </w:r>
      <w:hyperlink r:id="R1395edd702174f75">
        <w:r w:rsidRPr="6A370997" w:rsidR="0B612176">
          <w:rPr>
            <w:rStyle w:val="Hyperlink"/>
            <w:rFonts w:ascii="Arial" w:hAnsi="Arial" w:eastAsia="Arial" w:cs="Arial"/>
            <w:noProof w:val="0"/>
            <w:sz w:val="24"/>
            <w:szCs w:val="24"/>
            <w:lang w:val="en-GB"/>
          </w:rPr>
          <w:t>https://en.hdbuzz.net/split-between-two-worlds-the-psychological-challenges-for-people-at-risk-of-huntingtons-disease/</w:t>
        </w:r>
      </w:hyperlink>
      <w:r w:rsidRPr="6A370997" w:rsidR="0B612176">
        <w:rPr>
          <w:rFonts w:ascii="Arial" w:hAnsi="Arial" w:eastAsia="Arial" w:cs="Arial"/>
          <w:noProof w:val="0"/>
          <w:color w:val="0D0D0D" w:themeColor="text1" w:themeTint="F2" w:themeShade="FF"/>
          <w:sz w:val="24"/>
          <w:szCs w:val="24"/>
          <w:lang w:val="en-GB"/>
        </w:rPr>
        <w:t xml:space="preserve"> (Accessed: 26 August 2026).</w:t>
      </w:r>
      <w:r>
        <w:br/>
      </w:r>
      <w:r>
        <w:br/>
      </w:r>
      <w:r w:rsidRPr="6A370997" w:rsidR="2B5F936C">
        <w:rPr>
          <w:rFonts w:ascii="Arial" w:hAnsi="Arial" w:eastAsia="Arial" w:cs="Arial"/>
          <w:noProof w:val="0"/>
          <w:color w:val="0D0D0D" w:themeColor="text1" w:themeTint="F2" w:themeShade="FF"/>
          <w:sz w:val="24"/>
          <w:szCs w:val="24"/>
          <w:lang w:val="en-GB"/>
        </w:rPr>
        <w:t xml:space="preserve">Gunn, S., Dale, M., Ovaska-Stafford, N. and Maltby, J. (2023) ‘Mental health symptoms among those affected by Huntington’s disease: A cross-sectional study’, </w:t>
      </w:r>
      <w:r w:rsidRPr="6A370997" w:rsidR="2B5F936C">
        <w:rPr>
          <w:rFonts w:ascii="Arial" w:hAnsi="Arial" w:eastAsia="Arial" w:cs="Arial"/>
          <w:i w:val="1"/>
          <w:iCs w:val="1"/>
          <w:noProof w:val="0"/>
          <w:color w:val="0D0D0D" w:themeColor="text1" w:themeTint="F2" w:themeShade="FF"/>
          <w:sz w:val="24"/>
          <w:szCs w:val="24"/>
          <w:lang w:val="en-GB"/>
        </w:rPr>
        <w:t xml:space="preserve">Brain and </w:t>
      </w:r>
      <w:r w:rsidRPr="6A370997" w:rsidR="2B5F936C">
        <w:rPr>
          <w:rFonts w:ascii="Arial" w:hAnsi="Arial" w:eastAsia="Arial" w:cs="Arial"/>
          <w:i w:val="1"/>
          <w:iCs w:val="1"/>
          <w:noProof w:val="0"/>
          <w:color w:val="0D0D0D" w:themeColor="text1" w:themeTint="F2" w:themeShade="FF"/>
          <w:sz w:val="24"/>
          <w:szCs w:val="24"/>
          <w:lang w:val="en-GB"/>
        </w:rPr>
        <w:t>Behavior</w:t>
      </w:r>
      <w:r w:rsidRPr="6A370997" w:rsidR="2B5F936C">
        <w:rPr>
          <w:rFonts w:ascii="Arial" w:hAnsi="Arial" w:eastAsia="Arial" w:cs="Arial"/>
          <w:noProof w:val="0"/>
          <w:color w:val="0D0D0D" w:themeColor="text1" w:themeTint="F2" w:themeShade="FF"/>
          <w:sz w:val="24"/>
          <w:szCs w:val="24"/>
          <w:lang w:val="en-GB"/>
        </w:rPr>
        <w:t xml:space="preserve">, 13(4), e2954. Available at: </w:t>
      </w:r>
      <w:hyperlink r:id="Rfdc15ea4ae5943be">
        <w:r w:rsidRPr="6A370997" w:rsidR="2B5F936C">
          <w:rPr>
            <w:rStyle w:val="Hyperlink"/>
            <w:rFonts w:ascii="Arial" w:hAnsi="Arial" w:eastAsia="Arial" w:cs="Arial"/>
            <w:noProof w:val="0"/>
            <w:sz w:val="24"/>
            <w:szCs w:val="24"/>
            <w:lang w:val="en-GB"/>
          </w:rPr>
          <w:t>https://doi.org/10.1002/brb3.2954</w:t>
        </w:r>
      </w:hyperlink>
      <w:r>
        <w:br/>
      </w:r>
      <w:r>
        <w:br/>
      </w:r>
      <w:r w:rsidRPr="6A370997" w:rsidR="722CF471">
        <w:rPr>
          <w:rFonts w:ascii="Arial" w:hAnsi="Arial" w:eastAsia="Arial" w:cs="Arial"/>
          <w:noProof w:val="0"/>
          <w:color w:val="0D0D0D" w:themeColor="text1" w:themeTint="F2" w:themeShade="FF"/>
          <w:sz w:val="24"/>
          <w:szCs w:val="24"/>
          <w:lang w:val="en-GB"/>
        </w:rPr>
        <w:t xml:space="preserve">Hagen, N. (2018) ‘The lived experience of Huntington’s disease: A phenomenological perspective on genes, the body and the lived experience of a genetic disease’, </w:t>
      </w:r>
      <w:r w:rsidRPr="6A370997" w:rsidR="722CF471">
        <w:rPr>
          <w:rFonts w:ascii="Arial" w:hAnsi="Arial" w:eastAsia="Arial" w:cs="Arial"/>
          <w:i w:val="1"/>
          <w:iCs w:val="1"/>
          <w:noProof w:val="0"/>
          <w:color w:val="0D0D0D" w:themeColor="text1" w:themeTint="F2" w:themeShade="FF"/>
          <w:sz w:val="24"/>
          <w:szCs w:val="24"/>
          <w:lang w:val="en-GB"/>
        </w:rPr>
        <w:t>Health</w:t>
      </w:r>
      <w:r w:rsidRPr="6A370997" w:rsidR="722CF471">
        <w:rPr>
          <w:rFonts w:ascii="Arial" w:hAnsi="Arial" w:eastAsia="Arial" w:cs="Arial"/>
          <w:noProof w:val="0"/>
          <w:color w:val="0D0D0D" w:themeColor="text1" w:themeTint="F2" w:themeShade="FF"/>
          <w:sz w:val="24"/>
          <w:szCs w:val="24"/>
          <w:lang w:val="en-GB"/>
        </w:rPr>
        <w:t xml:space="preserve">, 22(1), pp. 72–86. Available at: </w:t>
      </w:r>
      <w:hyperlink r:id="Rca31133bb24a4d31">
        <w:r w:rsidRPr="6A370997" w:rsidR="722CF471">
          <w:rPr>
            <w:rStyle w:val="Hyperlink"/>
            <w:rFonts w:ascii="Arial" w:hAnsi="Arial" w:eastAsia="Arial" w:cs="Arial"/>
            <w:noProof w:val="0"/>
            <w:sz w:val="24"/>
            <w:szCs w:val="24"/>
            <w:lang w:val="en-GB"/>
          </w:rPr>
          <w:t>https://doi.org/10.1177/1363459316688516</w:t>
        </w:r>
      </w:hyperlink>
      <w:r w:rsidRPr="6A370997" w:rsidR="722CF471">
        <w:rPr>
          <w:rFonts w:ascii="Arial" w:hAnsi="Arial" w:eastAsia="Arial" w:cs="Arial"/>
          <w:noProof w:val="0"/>
          <w:color w:val="0D0D0D" w:themeColor="text1" w:themeTint="F2" w:themeShade="FF"/>
          <w:sz w:val="24"/>
          <w:szCs w:val="24"/>
          <w:lang w:val="en-GB"/>
        </w:rPr>
        <w:t>.</w:t>
      </w:r>
      <w:r>
        <w:br/>
      </w:r>
      <w:r>
        <w:br/>
      </w:r>
      <w:r w:rsidRPr="6A370997" w:rsidR="03CE7AB1">
        <w:rPr>
          <w:rFonts w:ascii="Arial" w:hAnsi="Arial" w:eastAsia="Arial" w:cs="Arial"/>
          <w:noProof w:val="0"/>
          <w:color w:val="0D0D0D" w:themeColor="text1" w:themeTint="F2" w:themeShade="FF"/>
          <w:sz w:val="24"/>
          <w:szCs w:val="24"/>
          <w:lang w:val="en-GB"/>
        </w:rPr>
        <w:t xml:space="preserve">Hedtke, L. (2014) ‘Creating stories of hope: A narrative approach to illness, death and grief’, </w:t>
      </w:r>
      <w:r w:rsidRPr="6A370997" w:rsidR="03CE7AB1">
        <w:rPr>
          <w:rFonts w:ascii="Arial" w:hAnsi="Arial" w:eastAsia="Arial" w:cs="Arial"/>
          <w:i w:val="1"/>
          <w:iCs w:val="1"/>
          <w:noProof w:val="0"/>
          <w:color w:val="0D0D0D" w:themeColor="text1" w:themeTint="F2" w:themeShade="FF"/>
          <w:sz w:val="24"/>
          <w:szCs w:val="24"/>
          <w:lang w:val="en-GB"/>
        </w:rPr>
        <w:t>Australian and New Zealand Journal of Family Therapy</w:t>
      </w:r>
      <w:r w:rsidRPr="6A370997" w:rsidR="03CE7AB1">
        <w:rPr>
          <w:rFonts w:ascii="Arial" w:hAnsi="Arial" w:eastAsia="Arial" w:cs="Arial"/>
          <w:noProof w:val="0"/>
          <w:color w:val="0D0D0D" w:themeColor="text1" w:themeTint="F2" w:themeShade="FF"/>
          <w:sz w:val="24"/>
          <w:szCs w:val="24"/>
          <w:lang w:val="en-GB"/>
        </w:rPr>
        <w:t>, 35(1), pp. 4–19. DOI: 10.1002/anzf.1040.</w:t>
      </w:r>
      <w:r>
        <w:br/>
      </w:r>
      <w:r>
        <w:br/>
      </w:r>
      <w:r w:rsidRPr="6A370997" w:rsidR="50507E3C">
        <w:rPr>
          <w:rFonts w:ascii="Arial" w:hAnsi="Arial" w:eastAsia="Arial" w:cs="Arial"/>
          <w:noProof w:val="0"/>
          <w:color w:val="0D0D0D" w:themeColor="text1" w:themeTint="F2" w:themeShade="FF"/>
          <w:sz w:val="24"/>
          <w:szCs w:val="24"/>
          <w:lang w:val="en-GB"/>
        </w:rPr>
        <w:t xml:space="preserve">Hensman Moss, D.J., Ireland, R., Chapman, G., MacLeod, R., </w:t>
      </w:r>
      <w:r w:rsidRPr="6A370997" w:rsidR="50507E3C">
        <w:rPr>
          <w:rFonts w:ascii="Arial" w:hAnsi="Arial" w:eastAsia="Arial" w:cs="Arial"/>
          <w:noProof w:val="0"/>
          <w:color w:val="0D0D0D" w:themeColor="text1" w:themeTint="F2" w:themeShade="FF"/>
          <w:sz w:val="24"/>
          <w:szCs w:val="24"/>
          <w:lang w:val="en-GB"/>
        </w:rPr>
        <w:t>Labrum</w:t>
      </w:r>
      <w:r w:rsidRPr="6A370997" w:rsidR="50507E3C">
        <w:rPr>
          <w:rFonts w:ascii="Arial" w:hAnsi="Arial" w:eastAsia="Arial" w:cs="Arial"/>
          <w:noProof w:val="0"/>
          <w:color w:val="0D0D0D" w:themeColor="text1" w:themeTint="F2" w:themeShade="FF"/>
          <w:sz w:val="24"/>
          <w:szCs w:val="24"/>
          <w:lang w:val="en-GB"/>
        </w:rPr>
        <w:t xml:space="preserve">, R., Polke, J.M., Monckton, D.G., </w:t>
      </w:r>
      <w:r w:rsidRPr="6A370997" w:rsidR="50507E3C">
        <w:rPr>
          <w:rFonts w:ascii="Arial" w:hAnsi="Arial" w:eastAsia="Arial" w:cs="Arial"/>
          <w:noProof w:val="0"/>
          <w:color w:val="0D0D0D" w:themeColor="text1" w:themeTint="F2" w:themeShade="FF"/>
          <w:sz w:val="24"/>
          <w:szCs w:val="24"/>
          <w:lang w:val="en-GB"/>
        </w:rPr>
        <w:t>Holmans</w:t>
      </w:r>
      <w:r w:rsidRPr="6A370997" w:rsidR="50507E3C">
        <w:rPr>
          <w:rFonts w:ascii="Arial" w:hAnsi="Arial" w:eastAsia="Arial" w:cs="Arial"/>
          <w:noProof w:val="0"/>
          <w:color w:val="0D0D0D" w:themeColor="text1" w:themeTint="F2" w:themeShade="FF"/>
          <w:sz w:val="24"/>
          <w:szCs w:val="24"/>
          <w:lang w:val="en-GB"/>
        </w:rPr>
        <w:t>, P., EHDN Genetic Modifiers Working Group, EHDN Genetic Counselling an</w:t>
      </w:r>
      <w:r w:rsidRPr="6A370997" w:rsidR="50507E3C">
        <w:rPr>
          <w:rFonts w:ascii="Arial" w:hAnsi="Arial" w:eastAsia="Arial" w:cs="Arial"/>
          <w:noProof w:val="0"/>
          <w:color w:val="0D0D0D" w:themeColor="text1" w:themeTint="F2" w:themeShade="FF"/>
          <w:sz w:val="24"/>
          <w:szCs w:val="24"/>
          <w:lang w:val="en-GB"/>
        </w:rPr>
        <w:t xml:space="preserve">d </w:t>
      </w:r>
      <w:r w:rsidRPr="6A370997" w:rsidR="50507E3C">
        <w:rPr>
          <w:rFonts w:ascii="Arial" w:hAnsi="Arial" w:eastAsia="Arial" w:cs="Arial"/>
          <w:noProof w:val="0"/>
          <w:color w:val="0D0D0D" w:themeColor="text1" w:themeTint="F2" w:themeShade="FF"/>
          <w:sz w:val="24"/>
          <w:szCs w:val="24"/>
          <w:lang w:val="en-GB"/>
        </w:rPr>
        <w:t>Testing Working Group, Massey, T.H. and Lahiri, N. (2026) ‘Genetic testing for Huntington’s disease: past, present and future. How could genetic data be used to improve clinica</w:t>
      </w:r>
      <w:r w:rsidRPr="6A370997" w:rsidR="50507E3C">
        <w:rPr>
          <w:rFonts w:ascii="Arial" w:hAnsi="Arial" w:eastAsia="Arial" w:cs="Arial"/>
          <w:noProof w:val="0"/>
          <w:color w:val="0D0D0D" w:themeColor="text1" w:themeTint="F2" w:themeShade="FF"/>
          <w:sz w:val="24"/>
          <w:szCs w:val="24"/>
          <w:lang w:val="en-GB"/>
        </w:rPr>
        <w:t>l p</w:t>
      </w:r>
      <w:r w:rsidRPr="6A370997" w:rsidR="50507E3C">
        <w:rPr>
          <w:rFonts w:ascii="Arial" w:hAnsi="Arial" w:eastAsia="Arial" w:cs="Arial"/>
          <w:noProof w:val="0"/>
          <w:color w:val="0D0D0D" w:themeColor="text1" w:themeTint="F2" w:themeShade="FF"/>
          <w:sz w:val="24"/>
          <w:szCs w:val="24"/>
          <w:lang w:val="en-GB"/>
        </w:rPr>
        <w:t>ractice?</w:t>
      </w:r>
      <w:r w:rsidRPr="6A370997" w:rsidR="50507E3C">
        <w:rPr>
          <w:rFonts w:ascii="Arial" w:hAnsi="Arial" w:eastAsia="Arial" w:cs="Arial"/>
          <w:noProof w:val="0"/>
          <w:color w:val="0D0D0D" w:themeColor="text1" w:themeTint="F2" w:themeShade="FF"/>
          <w:sz w:val="24"/>
          <w:szCs w:val="24"/>
          <w:lang w:val="en-GB"/>
        </w:rPr>
        <w:t>’,</w:t>
      </w:r>
      <w:r w:rsidRPr="6A370997" w:rsidR="50507E3C">
        <w:rPr>
          <w:rFonts w:ascii="Arial" w:hAnsi="Arial" w:eastAsia="Arial" w:cs="Arial"/>
          <w:noProof w:val="0"/>
          <w:color w:val="0D0D0D" w:themeColor="text1" w:themeTint="F2" w:themeShade="FF"/>
          <w:sz w:val="24"/>
          <w:szCs w:val="24"/>
          <w:lang w:val="en-GB"/>
        </w:rPr>
        <w:t xml:space="preserve"> </w:t>
      </w:r>
      <w:r w:rsidRPr="6A370997" w:rsidR="50507E3C">
        <w:rPr>
          <w:rFonts w:ascii="Arial" w:hAnsi="Arial" w:eastAsia="Arial" w:cs="Arial"/>
          <w:i w:val="1"/>
          <w:iCs w:val="1"/>
          <w:noProof w:val="0"/>
          <w:color w:val="0D0D0D" w:themeColor="text1" w:themeTint="F2" w:themeShade="FF"/>
          <w:sz w:val="24"/>
          <w:szCs w:val="24"/>
          <w:lang w:val="en-GB"/>
        </w:rPr>
        <w:t>Journal of Huntington’s Disease</w:t>
      </w:r>
      <w:r w:rsidRPr="6A370997" w:rsidR="50507E3C">
        <w:rPr>
          <w:rFonts w:ascii="Arial" w:hAnsi="Arial" w:eastAsia="Arial" w:cs="Arial"/>
          <w:noProof w:val="0"/>
          <w:color w:val="0D0D0D" w:themeColor="text1" w:themeTint="F2" w:themeShade="FF"/>
          <w:sz w:val="24"/>
          <w:szCs w:val="24"/>
          <w:lang w:val="en-GB"/>
        </w:rPr>
        <w:t>, 15(1), pp. 167–178. DOI: 10.1177/18796397251391953.</w:t>
      </w:r>
      <w:r>
        <w:br/>
      </w:r>
      <w:r>
        <w:br/>
      </w:r>
      <w:r w:rsidRPr="6A370997" w:rsidR="3A035E06">
        <w:rPr>
          <w:rFonts w:ascii="Arial" w:hAnsi="Arial" w:eastAsia="Arial" w:cs="Arial"/>
          <w:noProof w:val="0"/>
          <w:color w:val="0D0D0D" w:themeColor="text1" w:themeTint="F2" w:themeShade="FF"/>
          <w:sz w:val="24"/>
          <w:szCs w:val="24"/>
          <w:lang w:val="en-GB"/>
        </w:rPr>
        <w:t xml:space="preserve">Howard, J., Mazanderani, F., Forrest Keenan, K., Turner, M.R. and </w:t>
      </w:r>
      <w:r w:rsidRPr="6A370997" w:rsidR="3A035E06">
        <w:rPr>
          <w:rFonts w:ascii="Arial" w:hAnsi="Arial" w:eastAsia="Arial" w:cs="Arial"/>
          <w:noProof w:val="0"/>
          <w:color w:val="0D0D0D" w:themeColor="text1" w:themeTint="F2" w:themeShade="FF"/>
          <w:sz w:val="24"/>
          <w:szCs w:val="24"/>
          <w:lang w:val="en-GB"/>
        </w:rPr>
        <w:t>Locock</w:t>
      </w:r>
      <w:r w:rsidRPr="6A370997" w:rsidR="3A035E06">
        <w:rPr>
          <w:rFonts w:ascii="Arial" w:hAnsi="Arial" w:eastAsia="Arial" w:cs="Arial"/>
          <w:noProof w:val="0"/>
          <w:color w:val="0D0D0D" w:themeColor="text1" w:themeTint="F2" w:themeShade="FF"/>
          <w:sz w:val="24"/>
          <w:szCs w:val="24"/>
          <w:lang w:val="en-GB"/>
        </w:rPr>
        <w:t xml:space="preserve">, L. (2024) ‘Fluctuating salience in those living with genetic risk of motor neuron disease: A qualitative interview study’, </w:t>
      </w:r>
      <w:r w:rsidRPr="6A370997" w:rsidR="3A035E06">
        <w:rPr>
          <w:rFonts w:ascii="Arial" w:hAnsi="Arial" w:eastAsia="Arial" w:cs="Arial"/>
          <w:i w:val="1"/>
          <w:iCs w:val="1"/>
          <w:noProof w:val="0"/>
          <w:color w:val="0D0D0D" w:themeColor="text1" w:themeTint="F2" w:themeShade="FF"/>
          <w:sz w:val="24"/>
          <w:szCs w:val="24"/>
          <w:lang w:val="en-GB"/>
        </w:rPr>
        <w:t>Health Expectations</w:t>
      </w:r>
      <w:r w:rsidRPr="6A370997" w:rsidR="3A035E06">
        <w:rPr>
          <w:rFonts w:ascii="Arial" w:hAnsi="Arial" w:eastAsia="Arial" w:cs="Arial"/>
          <w:noProof w:val="0"/>
          <w:color w:val="0D0D0D" w:themeColor="text1" w:themeTint="F2" w:themeShade="FF"/>
          <w:sz w:val="24"/>
          <w:szCs w:val="24"/>
          <w:lang w:val="en-GB"/>
        </w:rPr>
        <w:t>, 27(2), e14024. DOI: 10.1111/hex.14024.</w:t>
      </w:r>
    </w:p>
    <w:p w:rsidR="0011089A" w:rsidP="6A370997" w:rsidRDefault="006E5409" w14:paraId="783ED3B4" w14:textId="0CD2BA96">
      <w:pPr>
        <w:pStyle w:val="Normal"/>
        <w:suppressLineNumbers w:val="0"/>
        <w:bidi w:val="0"/>
        <w:spacing w:before="0" w:beforeAutospacing="off" w:after="0" w:afterAutospacing="off" w:line="278" w:lineRule="auto"/>
        <w:ind w:left="720" w:right="0"/>
        <w:jc w:val="left"/>
        <w:rPr>
          <w:rFonts w:ascii="Arial" w:hAnsi="Arial" w:eastAsia="Arial" w:cs="Arial"/>
          <w:noProof w:val="0"/>
          <w:color w:val="0D0D0D" w:themeColor="text1" w:themeTint="F2" w:themeShade="FF"/>
          <w:sz w:val="24"/>
          <w:szCs w:val="24"/>
          <w:lang w:val="en-GB"/>
        </w:rPr>
      </w:pPr>
    </w:p>
    <w:p w:rsidR="0011089A" w:rsidP="6A370997" w:rsidRDefault="006E5409" w14:paraId="61ACD638" w14:textId="5454F876">
      <w:pPr>
        <w:pStyle w:val="Normal"/>
        <w:bidi w:val="0"/>
        <w:spacing w:before="0" w:beforeAutospacing="off" w:after="0" w:afterAutospacing="off" w:line="278" w:lineRule="auto"/>
        <w:ind w:left="720" w:right="0"/>
        <w:jc w:val="left"/>
        <w:rPr>
          <w:rFonts w:ascii="Arial" w:hAnsi="Arial" w:eastAsia="Arial" w:cs="Arial"/>
          <w:noProof w:val="0"/>
          <w:color w:val="0D0D0D" w:themeColor="text1" w:themeTint="F2" w:themeShade="FF"/>
          <w:sz w:val="24"/>
          <w:szCs w:val="24"/>
          <w:lang w:val="en-GB"/>
        </w:rPr>
      </w:pPr>
      <w:r w:rsidRPr="6A370997" w:rsidR="1B3DD6DA">
        <w:rPr>
          <w:rFonts w:ascii="Arial" w:hAnsi="Arial" w:eastAsia="Arial" w:cs="Arial"/>
          <w:noProof w:val="0"/>
          <w:color w:val="0D0D0D" w:themeColor="text1" w:themeTint="F2" w:themeShade="FF"/>
          <w:sz w:val="24"/>
          <w:szCs w:val="24"/>
          <w:lang w:val="en-GB"/>
        </w:rPr>
        <w:t xml:space="preserve">Johnson, R.M. (2024) ‘Doing phenomenological research into being a healthcare student with a mobile phone’, in Johnson, M., Healey-Benson, F., Adams, C. and Dohn, N.B. (eds) </w:t>
      </w:r>
      <w:r w:rsidRPr="6A370997" w:rsidR="1B3DD6DA">
        <w:rPr>
          <w:rFonts w:ascii="Arial" w:hAnsi="Arial" w:eastAsia="Arial" w:cs="Arial"/>
          <w:i w:val="1"/>
          <w:iCs w:val="1"/>
          <w:noProof w:val="0"/>
          <w:color w:val="0D0D0D" w:themeColor="text1" w:themeTint="F2" w:themeShade="FF"/>
          <w:sz w:val="24"/>
          <w:szCs w:val="24"/>
          <w:lang w:val="en-GB"/>
        </w:rPr>
        <w:t>Phenomenology in Action for Researching Networked Learning</w:t>
      </w:r>
      <w:r w:rsidRPr="6A370997" w:rsidR="1B3DD6DA">
        <w:rPr>
          <w:rFonts w:ascii="Arial" w:hAnsi="Arial" w:eastAsia="Arial" w:cs="Arial"/>
          <w:noProof w:val="0"/>
          <w:color w:val="0D0D0D" w:themeColor="text1" w:themeTint="F2" w:themeShade="FF"/>
          <w:sz w:val="24"/>
          <w:szCs w:val="24"/>
          <w:lang w:val="en-GB"/>
        </w:rPr>
        <w:t>. Cham: Springer, pp. 81–105. DOI: 10.1007/978-3-031-62780-4_5.</w:t>
      </w:r>
    </w:p>
    <w:p w:rsidR="0011089A" w:rsidP="6A370997" w:rsidRDefault="006E5409" w14:paraId="5E79B2D3" w14:textId="4464F39F">
      <w:pPr>
        <w:pStyle w:val="Normal"/>
        <w:bidi w:val="0"/>
        <w:spacing w:before="0" w:beforeAutospacing="off" w:after="0" w:afterAutospacing="off" w:line="278" w:lineRule="auto"/>
        <w:ind w:left="720" w:right="0"/>
        <w:jc w:val="left"/>
        <w:rPr>
          <w:rFonts w:ascii="Arial" w:hAnsi="Arial" w:eastAsia="Arial" w:cs="Arial"/>
          <w:noProof w:val="0"/>
          <w:color w:val="0D0D0D" w:themeColor="text1" w:themeTint="F2" w:themeShade="FF"/>
          <w:sz w:val="24"/>
          <w:szCs w:val="24"/>
          <w:lang w:val="en-GB"/>
        </w:rPr>
      </w:pPr>
    </w:p>
    <w:p w:rsidR="0011089A" w:rsidP="6A370997" w:rsidRDefault="006E5409" w14:paraId="76F5A72C" w14:textId="4BC45D02">
      <w:pPr>
        <w:pStyle w:val="Normal"/>
        <w:bidi w:val="0"/>
        <w:spacing w:before="0" w:beforeAutospacing="off" w:after="0" w:afterAutospacing="off" w:line="278" w:lineRule="auto"/>
        <w:ind w:left="720" w:right="0"/>
        <w:jc w:val="left"/>
        <w:rPr>
          <w:rFonts w:ascii="Arial" w:hAnsi="Arial" w:eastAsia="Arial" w:cs="Arial"/>
          <w:noProof w:val="0"/>
          <w:color w:val="0D0D0D" w:themeColor="text1" w:themeTint="F2" w:themeShade="FF"/>
          <w:sz w:val="24"/>
          <w:szCs w:val="24"/>
          <w:lang w:val="en-GB"/>
        </w:rPr>
      </w:pPr>
      <w:r w:rsidRPr="6A370997" w:rsidR="32B131D2">
        <w:rPr>
          <w:rFonts w:ascii="Arial" w:hAnsi="Arial" w:eastAsia="Arial" w:cs="Arial"/>
          <w:noProof w:val="0"/>
          <w:color w:val="0D0D0D" w:themeColor="text1" w:themeTint="F2" w:themeShade="FF"/>
          <w:sz w:val="24"/>
          <w:szCs w:val="24"/>
          <w:lang w:val="en-GB"/>
        </w:rPr>
        <w:t xml:space="preserve">Kjoelaas, S., Jensen, T.K. and Feragen, K.B. (2022) ‘Dilemmas when talking about Huntington’s disease: A qualitative study of offspring and caregiver experiences in Norway’, </w:t>
      </w:r>
      <w:r w:rsidRPr="6A370997" w:rsidR="32B131D2">
        <w:rPr>
          <w:rFonts w:ascii="Arial" w:hAnsi="Arial" w:eastAsia="Arial" w:cs="Arial"/>
          <w:i w:val="1"/>
          <w:iCs w:val="1"/>
          <w:noProof w:val="0"/>
          <w:color w:val="0D0D0D" w:themeColor="text1" w:themeTint="F2" w:themeShade="FF"/>
          <w:sz w:val="24"/>
          <w:szCs w:val="24"/>
          <w:lang w:val="en-GB"/>
        </w:rPr>
        <w:t>Journal of Genetic Counseling</w:t>
      </w:r>
      <w:r w:rsidRPr="6A370997" w:rsidR="32B131D2">
        <w:rPr>
          <w:rFonts w:ascii="Arial" w:hAnsi="Arial" w:eastAsia="Arial" w:cs="Arial"/>
          <w:noProof w:val="0"/>
          <w:color w:val="0D0D0D" w:themeColor="text1" w:themeTint="F2" w:themeShade="FF"/>
          <w:sz w:val="24"/>
          <w:szCs w:val="24"/>
          <w:lang w:val="en-GB"/>
        </w:rPr>
        <w:t>, 31(6), pp. 1349–1362. DOI: 10.1002/jgc4.1610</w:t>
      </w:r>
    </w:p>
    <w:p w:rsidR="0011089A" w:rsidP="6A370997" w:rsidRDefault="006E5409" w14:paraId="2AE2E008" w14:textId="3BBF412F">
      <w:pPr>
        <w:pStyle w:val="Normal"/>
        <w:bidi w:val="0"/>
        <w:spacing w:before="0" w:beforeAutospacing="off" w:after="0" w:afterAutospacing="off" w:line="278" w:lineRule="auto"/>
        <w:ind w:left="720" w:right="0"/>
        <w:jc w:val="left"/>
        <w:rPr>
          <w:rFonts w:ascii="Arial" w:hAnsi="Arial" w:eastAsia="Arial" w:cs="Arial"/>
          <w:noProof w:val="0"/>
          <w:color w:val="0D0D0D" w:themeColor="text1" w:themeTint="F2" w:themeShade="FF"/>
          <w:sz w:val="24"/>
          <w:szCs w:val="24"/>
          <w:lang w:val="en-GB"/>
        </w:rPr>
      </w:pPr>
    </w:p>
    <w:p w:rsidR="0011089A" w:rsidP="6A370997" w:rsidRDefault="006E5409" w14:paraId="2A2DCB57" w14:textId="36DE95ED">
      <w:pPr>
        <w:pStyle w:val="Normal"/>
        <w:bidi w:val="0"/>
        <w:spacing w:before="0" w:beforeAutospacing="off" w:after="0" w:afterAutospacing="off" w:line="278" w:lineRule="auto"/>
        <w:ind w:left="720" w:right="0"/>
        <w:jc w:val="left"/>
        <w:rPr>
          <w:rFonts w:ascii="Arial" w:hAnsi="Arial" w:eastAsia="Arial" w:cs="Arial"/>
          <w:noProof w:val="0"/>
          <w:color w:val="0D0D0D" w:themeColor="text1" w:themeTint="F2" w:themeShade="FF"/>
          <w:sz w:val="24"/>
          <w:szCs w:val="24"/>
          <w:lang w:val="en-GB"/>
        </w:rPr>
      </w:pPr>
      <w:r w:rsidRPr="6A370997" w:rsidR="1392A46D">
        <w:rPr>
          <w:rFonts w:ascii="Arial" w:hAnsi="Arial" w:eastAsia="Arial" w:cs="Arial"/>
          <w:noProof w:val="0"/>
          <w:color w:val="0D0D0D" w:themeColor="text1" w:themeTint="F2" w:themeShade="FF"/>
          <w:sz w:val="24"/>
          <w:szCs w:val="24"/>
          <w:lang w:val="en-GB"/>
        </w:rPr>
        <w:t xml:space="preserve">Klitzman, R., Thorne, D., Williamson, J., Chung, W. and Marder, K. (2007) ‘Decision-making about reproductive choices among individuals at-risk for Huntington’s disease’, </w:t>
      </w:r>
      <w:r w:rsidRPr="6A370997" w:rsidR="1392A46D">
        <w:rPr>
          <w:rFonts w:ascii="Arial" w:hAnsi="Arial" w:eastAsia="Arial" w:cs="Arial"/>
          <w:i w:val="1"/>
          <w:iCs w:val="1"/>
          <w:noProof w:val="0"/>
          <w:color w:val="0D0D0D" w:themeColor="text1" w:themeTint="F2" w:themeShade="FF"/>
          <w:sz w:val="24"/>
          <w:szCs w:val="24"/>
          <w:lang w:val="en-GB"/>
        </w:rPr>
        <w:t>Journal of Genetic Counseling</w:t>
      </w:r>
      <w:r w:rsidRPr="6A370997" w:rsidR="1392A46D">
        <w:rPr>
          <w:rFonts w:ascii="Arial" w:hAnsi="Arial" w:eastAsia="Arial" w:cs="Arial"/>
          <w:noProof w:val="0"/>
          <w:color w:val="0D0D0D" w:themeColor="text1" w:themeTint="F2" w:themeShade="FF"/>
          <w:sz w:val="24"/>
          <w:szCs w:val="24"/>
          <w:lang w:val="en-GB"/>
        </w:rPr>
        <w:t>, 16(3), pp. 347–362. DOI: 10.1007/s10897-006-9080-1.</w:t>
      </w:r>
    </w:p>
    <w:p w:rsidR="0011089A" w:rsidP="6A370997" w:rsidRDefault="006E5409" w14:paraId="210F3157" w14:textId="4073C691">
      <w:pPr>
        <w:pStyle w:val="Normal"/>
        <w:bidi w:val="0"/>
        <w:spacing w:before="0" w:beforeAutospacing="off" w:after="0" w:afterAutospacing="off" w:line="278" w:lineRule="auto"/>
        <w:ind w:left="720" w:right="0"/>
        <w:jc w:val="left"/>
        <w:rPr>
          <w:rFonts w:ascii="ui-sans-serif" w:hAnsi="ui-sans-serif" w:eastAsia="ui-sans-serif" w:cs="ui-sans-serif"/>
          <w:noProof w:val="0"/>
          <w:color w:val="0D0D0D" w:themeColor="text1" w:themeTint="F2" w:themeShade="FF"/>
          <w:sz w:val="24"/>
          <w:szCs w:val="24"/>
          <w:lang w:val="en-GB"/>
        </w:rPr>
      </w:pPr>
      <w:r>
        <w:br/>
      </w:r>
      <w:r w:rsidRPr="6A370997" w:rsidR="21C44407">
        <w:rPr>
          <w:rFonts w:ascii="Arial" w:hAnsi="Arial" w:eastAsia="Arial" w:cs="Arial"/>
          <w:noProof w:val="0"/>
          <w:color w:val="0D0D0D" w:themeColor="text1" w:themeTint="F2" w:themeShade="FF"/>
          <w:sz w:val="24"/>
          <w:szCs w:val="24"/>
          <w:lang w:val="en-GB"/>
        </w:rPr>
        <w:t xml:space="preserve">Lêdo, S., </w:t>
      </w:r>
      <w:r w:rsidRPr="6A370997" w:rsidR="21C44407">
        <w:rPr>
          <w:rFonts w:ascii="Arial" w:hAnsi="Arial" w:eastAsia="Arial" w:cs="Arial"/>
          <w:noProof w:val="0"/>
          <w:color w:val="0D0D0D" w:themeColor="text1" w:themeTint="F2" w:themeShade="FF"/>
          <w:sz w:val="24"/>
          <w:szCs w:val="24"/>
          <w:lang w:val="en-GB"/>
        </w:rPr>
        <w:t>Leite</w:t>
      </w:r>
      <w:r w:rsidRPr="6A370997" w:rsidR="21C44407">
        <w:rPr>
          <w:rFonts w:ascii="Arial" w:hAnsi="Arial" w:eastAsia="Arial" w:cs="Arial"/>
          <w:noProof w:val="0"/>
          <w:color w:val="0D0D0D" w:themeColor="text1" w:themeTint="F2" w:themeShade="FF"/>
          <w:sz w:val="24"/>
          <w:szCs w:val="24"/>
          <w:lang w:val="en-GB"/>
        </w:rPr>
        <w:t xml:space="preserve">, Â., Souto, T., Dinis, M.A. and Sequeiros, J. (2016) ‘Mid- and long-term anxiety levels associated with presymptomatic testing of Huntington’s disease, Machado-Joseph disease, and familial amyloid polyneuropathy’, </w:t>
      </w:r>
      <w:r w:rsidRPr="6A370997" w:rsidR="21C44407">
        <w:rPr>
          <w:rFonts w:ascii="Arial" w:hAnsi="Arial" w:eastAsia="Arial" w:cs="Arial"/>
          <w:i w:val="1"/>
          <w:iCs w:val="1"/>
          <w:noProof w:val="0"/>
          <w:color w:val="0D0D0D" w:themeColor="text1" w:themeTint="F2" w:themeShade="FF"/>
          <w:sz w:val="24"/>
          <w:szCs w:val="24"/>
          <w:lang w:val="en-GB"/>
        </w:rPr>
        <w:t xml:space="preserve">Revista Brasileira de </w:t>
      </w:r>
      <w:r w:rsidRPr="6A370997" w:rsidR="21C44407">
        <w:rPr>
          <w:rFonts w:ascii="Arial" w:hAnsi="Arial" w:eastAsia="Arial" w:cs="Arial"/>
          <w:i w:val="1"/>
          <w:iCs w:val="1"/>
          <w:noProof w:val="0"/>
          <w:color w:val="0D0D0D" w:themeColor="text1" w:themeTint="F2" w:themeShade="FF"/>
          <w:sz w:val="24"/>
          <w:szCs w:val="24"/>
          <w:lang w:val="en-GB"/>
        </w:rPr>
        <w:t>Psiquiatria</w:t>
      </w:r>
      <w:r w:rsidRPr="6A370997" w:rsidR="21C44407">
        <w:rPr>
          <w:rFonts w:ascii="Arial" w:hAnsi="Arial" w:eastAsia="Arial" w:cs="Arial"/>
          <w:noProof w:val="0"/>
          <w:color w:val="0D0D0D" w:themeColor="text1" w:themeTint="F2" w:themeShade="FF"/>
          <w:sz w:val="24"/>
          <w:szCs w:val="24"/>
          <w:lang w:val="en-GB"/>
        </w:rPr>
        <w:t>, 38(2), pp. 113–120. DOI: 10.1590/1516-4446-2014-1617.</w:t>
      </w:r>
      <w:r>
        <w:br/>
      </w:r>
      <w:r>
        <w:br/>
      </w:r>
      <w:r w:rsidRPr="6A370997" w:rsidR="308CCE66">
        <w:rPr>
          <w:rFonts w:ascii="Arial" w:hAnsi="Arial" w:eastAsia="Arial" w:cs="Arial"/>
          <w:noProof w:val="0"/>
          <w:color w:val="0D0D0D" w:themeColor="text1" w:themeTint="F2" w:themeShade="FF"/>
          <w:sz w:val="24"/>
          <w:szCs w:val="24"/>
          <w:lang w:val="en-GB"/>
        </w:rPr>
        <w:t xml:space="preserve">Lee, </w:t>
      </w:r>
      <w:r w:rsidRPr="6A370997" w:rsidR="308CCE66">
        <w:rPr>
          <w:rFonts w:ascii="Arial" w:hAnsi="Arial" w:eastAsia="Arial" w:cs="Arial"/>
          <w:noProof w:val="0"/>
          <w:color w:val="0D0D0D" w:themeColor="text1" w:themeTint="F2" w:themeShade="FF"/>
          <w:sz w:val="24"/>
          <w:szCs w:val="24"/>
          <w:lang w:val="en-GB"/>
        </w:rPr>
        <w:t>I.</w:t>
      </w:r>
      <w:r w:rsidRPr="6A370997" w:rsidR="308CCE66">
        <w:rPr>
          <w:rFonts w:ascii="Arial" w:hAnsi="Arial" w:eastAsia="Arial" w:cs="Arial"/>
          <w:noProof w:val="0"/>
          <w:color w:val="0D0D0D" w:themeColor="text1" w:themeTint="F2" w:themeShade="FF"/>
          <w:sz w:val="24"/>
          <w:szCs w:val="24"/>
          <w:lang w:val="en-GB"/>
        </w:rPr>
        <w:t xml:space="preserve"> and Bongiovanni, A. (2023) ‘Motivation vs. hopelessness: The well-being following predictive testing for Huntington’s disease’, </w:t>
      </w:r>
      <w:r w:rsidRPr="6A370997" w:rsidR="308CCE66">
        <w:rPr>
          <w:rFonts w:ascii="Arial" w:hAnsi="Arial" w:eastAsia="Arial" w:cs="Arial"/>
          <w:i w:val="1"/>
          <w:iCs w:val="1"/>
          <w:noProof w:val="0"/>
          <w:color w:val="0D0D0D" w:themeColor="text1" w:themeTint="F2" w:themeShade="FF"/>
          <w:sz w:val="24"/>
          <w:szCs w:val="24"/>
          <w:lang w:val="en-GB"/>
        </w:rPr>
        <w:t>Journal of Student Research</w:t>
      </w:r>
      <w:r w:rsidRPr="6A370997" w:rsidR="308CCE66">
        <w:rPr>
          <w:rFonts w:ascii="Arial" w:hAnsi="Arial" w:eastAsia="Arial" w:cs="Arial"/>
          <w:noProof w:val="0"/>
          <w:color w:val="0D0D0D" w:themeColor="text1" w:themeTint="F2" w:themeShade="FF"/>
          <w:sz w:val="24"/>
          <w:szCs w:val="24"/>
          <w:lang w:val="en-GB"/>
        </w:rPr>
        <w:t>, 12(4). DOI: 10.47611/</w:t>
      </w:r>
      <w:r w:rsidRPr="6A370997" w:rsidR="308CCE66">
        <w:rPr>
          <w:rFonts w:ascii="Arial" w:hAnsi="Arial" w:eastAsia="Arial" w:cs="Arial"/>
          <w:noProof w:val="0"/>
          <w:color w:val="0D0D0D" w:themeColor="text1" w:themeTint="F2" w:themeShade="FF"/>
          <w:sz w:val="24"/>
          <w:szCs w:val="24"/>
          <w:lang w:val="en-GB"/>
        </w:rPr>
        <w:t>jsrhs.v</w:t>
      </w:r>
      <w:r w:rsidRPr="6A370997" w:rsidR="308CCE66">
        <w:rPr>
          <w:rFonts w:ascii="Arial" w:hAnsi="Arial" w:eastAsia="Arial" w:cs="Arial"/>
          <w:noProof w:val="0"/>
          <w:color w:val="0D0D0D" w:themeColor="text1" w:themeTint="F2" w:themeShade="FF"/>
          <w:sz w:val="24"/>
          <w:szCs w:val="24"/>
          <w:lang w:val="en-GB"/>
        </w:rPr>
        <w:t>12i4.5783.</w:t>
      </w:r>
      <w:r>
        <w:br/>
      </w:r>
      <w:r>
        <w:br/>
      </w:r>
      <w:r w:rsidRPr="6A370997" w:rsidR="452D1C49">
        <w:rPr>
          <w:rFonts w:ascii="Arial" w:hAnsi="Arial" w:eastAsia="Arial" w:cs="Arial"/>
          <w:noProof w:val="0"/>
          <w:color w:val="0D0D0D" w:themeColor="text1" w:themeTint="F2" w:themeShade="FF"/>
          <w:sz w:val="24"/>
          <w:szCs w:val="24"/>
          <w:lang w:val="en-GB"/>
        </w:rPr>
        <w:t>Leite</w:t>
      </w:r>
      <w:r w:rsidRPr="6A370997" w:rsidR="452D1C49">
        <w:rPr>
          <w:rFonts w:ascii="Arial" w:hAnsi="Arial" w:eastAsia="Arial" w:cs="Arial"/>
          <w:noProof w:val="0"/>
          <w:color w:val="0D0D0D" w:themeColor="text1" w:themeTint="F2" w:themeShade="FF"/>
          <w:sz w:val="24"/>
          <w:szCs w:val="24"/>
          <w:lang w:val="en-GB"/>
        </w:rPr>
        <w:t xml:space="preserve">, Â.M.T., Dinis, M.A.P., Pinto, S.M.L.S., Pinto, A.M.B.C., Gomes, A.I.P. and Sousa, H.F.P. (2017) ‘Long-term negative psychological impact of presymptomatic testing for Huntington’s Disease’. </w:t>
      </w:r>
      <w:r w:rsidRPr="6A370997" w:rsidR="452D1C49">
        <w:rPr>
          <w:rFonts w:ascii="Arial" w:hAnsi="Arial" w:eastAsia="Arial" w:cs="Arial"/>
          <w:i w:val="1"/>
          <w:iCs w:val="1"/>
          <w:noProof w:val="0"/>
          <w:color w:val="0D0D0D" w:themeColor="text1" w:themeTint="F2" w:themeShade="FF"/>
          <w:sz w:val="24"/>
          <w:szCs w:val="24"/>
          <w:lang w:val="en-GB"/>
        </w:rPr>
        <w:t>Journal of Health, Medicine and Nursing</w:t>
      </w:r>
      <w:r w:rsidRPr="6A370997" w:rsidR="452D1C49">
        <w:rPr>
          <w:rFonts w:ascii="Arial" w:hAnsi="Arial" w:eastAsia="Arial" w:cs="Arial"/>
          <w:noProof w:val="0"/>
          <w:color w:val="0D0D0D" w:themeColor="text1" w:themeTint="F2" w:themeShade="FF"/>
          <w:sz w:val="24"/>
          <w:szCs w:val="24"/>
          <w:lang w:val="en-GB"/>
        </w:rPr>
        <w:t>, 34.</w:t>
      </w:r>
    </w:p>
    <w:p w:rsidR="0011089A" w:rsidP="6A370997" w:rsidRDefault="006E5409" w14:paraId="56FDE6D7" w14:textId="6C6F4315">
      <w:pPr>
        <w:pStyle w:val="Normal"/>
        <w:bidi w:val="0"/>
        <w:spacing w:before="0" w:beforeAutospacing="off" w:after="0" w:afterAutospacing="off" w:line="278" w:lineRule="auto"/>
        <w:ind w:left="720" w:right="0"/>
        <w:jc w:val="left"/>
      </w:pPr>
      <w:r>
        <w:br/>
      </w:r>
      <w:r w:rsidRPr="6A370997" w:rsidR="2B0EAD3F">
        <w:rPr>
          <w:rFonts w:ascii="Arial" w:hAnsi="Arial" w:eastAsia="Arial" w:cs="Arial"/>
          <w:noProof w:val="0"/>
          <w:color w:val="0D0D0D" w:themeColor="text1" w:themeTint="F2" w:themeShade="FF"/>
          <w:sz w:val="24"/>
          <w:szCs w:val="24"/>
          <w:lang w:val="en-GB"/>
        </w:rPr>
        <w:t xml:space="preserve">Li, X., Tong, H., Xu, S., Zhou, G., Yang, T., Yin, S., Yang, S., Li, X. and Li, S. (2024) ‘Neuroinflammatory proteins in Huntington’s disease: Insights into mechanisms, diagnosis, and therapeutic implications’, </w:t>
      </w:r>
      <w:r w:rsidRPr="6A370997" w:rsidR="2B0EAD3F">
        <w:rPr>
          <w:rFonts w:ascii="Arial" w:hAnsi="Arial" w:eastAsia="Arial" w:cs="Arial"/>
          <w:i w:val="1"/>
          <w:iCs w:val="1"/>
          <w:noProof w:val="0"/>
          <w:color w:val="0D0D0D" w:themeColor="text1" w:themeTint="F2" w:themeShade="FF"/>
          <w:sz w:val="24"/>
          <w:szCs w:val="24"/>
          <w:lang w:val="en-GB"/>
        </w:rPr>
        <w:t>International Journal of Molecular Sciences</w:t>
      </w:r>
      <w:r w:rsidRPr="6A370997" w:rsidR="2B0EAD3F">
        <w:rPr>
          <w:rFonts w:ascii="Arial" w:hAnsi="Arial" w:eastAsia="Arial" w:cs="Arial"/>
          <w:noProof w:val="0"/>
          <w:color w:val="0D0D0D" w:themeColor="text1" w:themeTint="F2" w:themeShade="FF"/>
          <w:sz w:val="24"/>
          <w:szCs w:val="24"/>
          <w:lang w:val="en-GB"/>
        </w:rPr>
        <w:t xml:space="preserve">, 25(21), 11787. Available at: </w:t>
      </w:r>
      <w:hyperlink r:id="R88f4dc8d1b9d4991">
        <w:r w:rsidRPr="6A370997" w:rsidR="2B0EAD3F">
          <w:rPr>
            <w:rStyle w:val="Hyperlink"/>
            <w:rFonts w:ascii="Arial" w:hAnsi="Arial" w:eastAsia="Arial" w:cs="Arial"/>
            <w:noProof w:val="0"/>
            <w:sz w:val="24"/>
            <w:szCs w:val="24"/>
            <w:lang w:val="en-GB"/>
          </w:rPr>
          <w:t>https://doi.org/10.3390/ijms252111787</w:t>
        </w:r>
      </w:hyperlink>
      <w:r>
        <w:br/>
      </w:r>
      <w:r>
        <w:br/>
      </w:r>
      <w:r w:rsidRPr="6A370997" w:rsidR="16E2A90E">
        <w:rPr>
          <w:rFonts w:ascii="Arial" w:hAnsi="Arial" w:eastAsia="Arial" w:cs="Arial"/>
          <w:noProof w:val="0"/>
          <w:color w:val="0D0D0D" w:themeColor="text1" w:themeTint="F2" w:themeShade="FF"/>
          <w:sz w:val="24"/>
          <w:szCs w:val="24"/>
          <w:lang w:val="en-GB"/>
        </w:rPr>
        <w:t xml:space="preserve">Lindo, P., Tindall, T., Buswell, S., Lock, </w:t>
      </w:r>
      <w:r w:rsidRPr="6A370997" w:rsidR="16E2A90E">
        <w:rPr>
          <w:rFonts w:ascii="Arial" w:hAnsi="Arial" w:eastAsia="Arial" w:cs="Arial"/>
          <w:noProof w:val="0"/>
          <w:color w:val="0D0D0D" w:themeColor="text1" w:themeTint="F2" w:themeShade="FF"/>
          <w:sz w:val="24"/>
          <w:szCs w:val="24"/>
          <w:lang w:val="en-GB"/>
        </w:rPr>
        <w:t>S.</w:t>
      </w:r>
      <w:r w:rsidRPr="6A370997" w:rsidR="16E2A90E">
        <w:rPr>
          <w:rFonts w:ascii="Arial" w:hAnsi="Arial" w:eastAsia="Arial" w:cs="Arial"/>
          <w:noProof w:val="0"/>
          <w:color w:val="0D0D0D" w:themeColor="text1" w:themeTint="F2" w:themeShade="FF"/>
          <w:sz w:val="24"/>
          <w:szCs w:val="24"/>
          <w:lang w:val="en-GB"/>
        </w:rPr>
        <w:t xml:space="preserve"> and Gunn, S. (2026) ‘Psychosocial impacts of Huntington’s disease on individuals, relatives and family systems: A thematic synthesis’, </w:t>
      </w:r>
      <w:r w:rsidRPr="6A370997" w:rsidR="16E2A90E">
        <w:rPr>
          <w:rFonts w:ascii="Arial" w:hAnsi="Arial" w:eastAsia="Arial" w:cs="Arial"/>
          <w:i w:val="1"/>
          <w:iCs w:val="1"/>
          <w:noProof w:val="0"/>
          <w:color w:val="0D0D0D" w:themeColor="text1" w:themeTint="F2" w:themeShade="FF"/>
          <w:sz w:val="24"/>
          <w:szCs w:val="24"/>
          <w:lang w:val="en-GB"/>
        </w:rPr>
        <w:t>Clinical Genetics</w:t>
      </w:r>
      <w:r w:rsidRPr="6A370997" w:rsidR="16E2A90E">
        <w:rPr>
          <w:rFonts w:ascii="Arial" w:hAnsi="Arial" w:eastAsia="Arial" w:cs="Arial"/>
          <w:noProof w:val="0"/>
          <w:color w:val="0D0D0D" w:themeColor="text1" w:themeTint="F2" w:themeShade="FF"/>
          <w:sz w:val="24"/>
          <w:szCs w:val="24"/>
          <w:lang w:val="en-GB"/>
        </w:rPr>
        <w:t xml:space="preserve">, 109(3), pp. 403–415. </w:t>
      </w:r>
      <w:r w:rsidRPr="6A370997" w:rsidR="16E2A90E">
        <w:rPr>
          <w:rFonts w:ascii="Arial" w:hAnsi="Arial" w:eastAsia="Arial" w:cs="Arial"/>
          <w:noProof w:val="0"/>
          <w:color w:val="0D0D0D" w:themeColor="text1" w:themeTint="F2" w:themeShade="FF"/>
          <w:sz w:val="24"/>
          <w:szCs w:val="24"/>
          <w:lang w:val="en-GB"/>
        </w:rPr>
        <w:t>doi</w:t>
      </w:r>
      <w:r w:rsidRPr="6A370997" w:rsidR="16E2A90E">
        <w:rPr>
          <w:rFonts w:ascii="Arial" w:hAnsi="Arial" w:eastAsia="Arial" w:cs="Arial"/>
          <w:noProof w:val="0"/>
          <w:color w:val="0D0D0D" w:themeColor="text1" w:themeTint="F2" w:themeShade="FF"/>
          <w:sz w:val="24"/>
          <w:szCs w:val="24"/>
          <w:lang w:val="en-GB"/>
        </w:rPr>
        <w:t>: 10.1111/cge.70102</w:t>
      </w:r>
    </w:p>
    <w:p w:rsidR="0011089A" w:rsidP="6A370997" w:rsidRDefault="006E5409" w14:paraId="7F9460E5" w14:textId="4252C4B7">
      <w:pPr>
        <w:pStyle w:val="Normal"/>
        <w:bidi w:val="0"/>
        <w:spacing w:before="0" w:beforeAutospacing="off" w:after="0" w:afterAutospacing="off" w:line="278" w:lineRule="auto"/>
        <w:ind w:left="720" w:right="0"/>
        <w:jc w:val="left"/>
      </w:pPr>
      <w:r>
        <w:br/>
      </w:r>
      <w:r w:rsidRPr="6A370997" w:rsidR="4493BEEF">
        <w:rPr>
          <w:rFonts w:ascii="Arial" w:hAnsi="Arial" w:eastAsia="Arial" w:cs="Arial"/>
          <w:noProof w:val="0"/>
          <w:color w:val="0D0D0D" w:themeColor="text1" w:themeTint="F2" w:themeShade="FF"/>
          <w:sz w:val="24"/>
          <w:szCs w:val="24"/>
          <w:lang w:val="en-GB"/>
        </w:rPr>
        <w:t xml:space="preserve">MacLeod, R. and Tibben, A. (2014) ‘Genetic counseling and testing’, in Bates, G.P., Tabrizi, S.J. and Jones, L. (eds.) </w:t>
      </w:r>
      <w:r w:rsidRPr="6A370997" w:rsidR="4493BEEF">
        <w:rPr>
          <w:rFonts w:ascii="Arial" w:hAnsi="Arial" w:eastAsia="Arial" w:cs="Arial"/>
          <w:i w:val="1"/>
          <w:iCs w:val="1"/>
          <w:noProof w:val="0"/>
          <w:color w:val="0D0D0D" w:themeColor="text1" w:themeTint="F2" w:themeShade="FF"/>
          <w:sz w:val="24"/>
          <w:szCs w:val="24"/>
          <w:lang w:val="en-GB"/>
        </w:rPr>
        <w:t>Huntington’s disease</w:t>
      </w:r>
      <w:r w:rsidRPr="6A370997" w:rsidR="4493BEEF">
        <w:rPr>
          <w:rFonts w:ascii="Arial" w:hAnsi="Arial" w:eastAsia="Arial" w:cs="Arial"/>
          <w:noProof w:val="0"/>
          <w:color w:val="0D0D0D" w:themeColor="text1" w:themeTint="F2" w:themeShade="FF"/>
          <w:sz w:val="24"/>
          <w:szCs w:val="24"/>
          <w:lang w:val="en-GB"/>
        </w:rPr>
        <w:t>. 4th edn. Oxford: Oxford University Press, pp. 165–182. doi: 10.1093/med/9780199929146.003.0008.</w:t>
      </w:r>
    </w:p>
    <w:p w:rsidR="0011089A" w:rsidP="6A370997" w:rsidRDefault="006E5409" w14:paraId="63603CA1" w14:textId="6439A171">
      <w:pPr>
        <w:pStyle w:val="Normal"/>
        <w:bidi w:val="0"/>
        <w:spacing w:before="0" w:beforeAutospacing="off" w:after="0" w:afterAutospacing="off" w:line="278" w:lineRule="auto"/>
        <w:ind w:left="720" w:right="0"/>
        <w:jc w:val="left"/>
      </w:pPr>
      <w:r>
        <w:br/>
      </w:r>
      <w:r w:rsidRPr="6A370997" w:rsidR="06783EC1">
        <w:rPr>
          <w:rFonts w:ascii="Arial" w:hAnsi="Arial" w:eastAsia="Arial" w:cs="Arial"/>
          <w:noProof w:val="0"/>
          <w:color w:val="0D0D0D" w:themeColor="text1" w:themeTint="F2" w:themeShade="FF"/>
          <w:sz w:val="24"/>
          <w:szCs w:val="24"/>
          <w:lang w:val="en-GB"/>
        </w:rPr>
        <w:t xml:space="preserve">MacLeod, R., Beach, A., Henriques, S., Knopp, J., Nelson, K. and Kerzin-Storrar, L. (2014) ‘Experiences of predictive testing in young people at risk of Huntington’s disease, familial cardiomyopathy or hereditary breast and ovarian cancer’, </w:t>
      </w:r>
      <w:r w:rsidRPr="6A370997" w:rsidR="06783EC1">
        <w:rPr>
          <w:rFonts w:ascii="Arial" w:hAnsi="Arial" w:eastAsia="Arial" w:cs="Arial"/>
          <w:i w:val="1"/>
          <w:iCs w:val="1"/>
          <w:noProof w:val="0"/>
          <w:color w:val="0D0D0D" w:themeColor="text1" w:themeTint="F2" w:themeShade="FF"/>
          <w:sz w:val="24"/>
          <w:szCs w:val="24"/>
          <w:lang w:val="en-GB"/>
        </w:rPr>
        <w:t>European Journal of Human Genetics</w:t>
      </w:r>
      <w:r w:rsidRPr="6A370997" w:rsidR="06783EC1">
        <w:rPr>
          <w:rFonts w:ascii="Arial" w:hAnsi="Arial" w:eastAsia="Arial" w:cs="Arial"/>
          <w:noProof w:val="0"/>
          <w:color w:val="0D0D0D" w:themeColor="text1" w:themeTint="F2" w:themeShade="FF"/>
          <w:sz w:val="24"/>
          <w:szCs w:val="24"/>
          <w:lang w:val="en-GB"/>
        </w:rPr>
        <w:t>, 22(3), pp. 396–401. doi: 10.1038/ejhg.2013.14</w:t>
      </w:r>
    </w:p>
    <w:p w:rsidR="463C24C6" w:rsidP="6A370997" w:rsidRDefault="463C24C6" w14:paraId="531FC979" w14:textId="277211C9">
      <w:pPr>
        <w:pStyle w:val="Normal"/>
        <w:bidi w:val="0"/>
        <w:spacing w:before="0" w:beforeAutospacing="off" w:after="0" w:afterAutospacing="off" w:line="278" w:lineRule="auto"/>
        <w:ind w:left="720" w:right="0"/>
        <w:jc w:val="left"/>
      </w:pPr>
      <w:r>
        <w:br/>
      </w:r>
      <w:r w:rsidRPr="6A370997" w:rsidR="4F7623EE">
        <w:rPr>
          <w:rFonts w:ascii="Arial" w:hAnsi="Arial" w:eastAsia="Arial" w:cs="Arial"/>
          <w:noProof w:val="0"/>
          <w:color w:val="0D0D0D" w:themeColor="text1" w:themeTint="F2" w:themeShade="FF"/>
          <w:sz w:val="24"/>
          <w:szCs w:val="24"/>
          <w:lang w:val="en-GB"/>
        </w:rPr>
        <w:t xml:space="preserve">MacLeod, R., Moldovan, R., Stopford, C. and Ferrer-Duch, M. (2018) ‘Genetic counselling and narrative practices: a model of support following a “negative” predictive test for Huntington’s disease’, </w:t>
      </w:r>
      <w:r w:rsidRPr="6A370997" w:rsidR="4F7623EE">
        <w:rPr>
          <w:rFonts w:ascii="Arial" w:hAnsi="Arial" w:eastAsia="Arial" w:cs="Arial"/>
          <w:i w:val="1"/>
          <w:iCs w:val="1"/>
          <w:noProof w:val="0"/>
          <w:color w:val="0D0D0D" w:themeColor="text1" w:themeTint="F2" w:themeShade="FF"/>
          <w:sz w:val="24"/>
          <w:szCs w:val="24"/>
          <w:lang w:val="en-GB"/>
        </w:rPr>
        <w:t>Journal of Huntington’s Disease</w:t>
      </w:r>
      <w:r w:rsidRPr="6A370997" w:rsidR="4F7623EE">
        <w:rPr>
          <w:rFonts w:ascii="Arial" w:hAnsi="Arial" w:eastAsia="Arial" w:cs="Arial"/>
          <w:noProof w:val="0"/>
          <w:color w:val="0D0D0D" w:themeColor="text1" w:themeTint="F2" w:themeShade="FF"/>
          <w:sz w:val="24"/>
          <w:szCs w:val="24"/>
          <w:lang w:val="en-GB"/>
        </w:rPr>
        <w:t xml:space="preserve">, 7(2), pp. 175–183. </w:t>
      </w:r>
      <w:r w:rsidRPr="6A370997" w:rsidR="4F7623EE">
        <w:rPr>
          <w:rFonts w:ascii="Arial" w:hAnsi="Arial" w:eastAsia="Arial" w:cs="Arial"/>
          <w:noProof w:val="0"/>
          <w:color w:val="0D0D0D" w:themeColor="text1" w:themeTint="F2" w:themeShade="FF"/>
          <w:sz w:val="24"/>
          <w:szCs w:val="24"/>
          <w:lang w:val="en-GB"/>
        </w:rPr>
        <w:t>doi</w:t>
      </w:r>
      <w:r w:rsidRPr="6A370997" w:rsidR="4F7623EE">
        <w:rPr>
          <w:rFonts w:ascii="Arial" w:hAnsi="Arial" w:eastAsia="Arial" w:cs="Arial"/>
          <w:noProof w:val="0"/>
          <w:color w:val="0D0D0D" w:themeColor="text1" w:themeTint="F2" w:themeShade="FF"/>
          <w:sz w:val="24"/>
          <w:szCs w:val="24"/>
          <w:lang w:val="en-GB"/>
        </w:rPr>
        <w:t>: 10.3233/JHD-170276.</w:t>
      </w:r>
      <w:r>
        <w:br/>
      </w:r>
      <w:r>
        <w:br/>
      </w:r>
      <w:r w:rsidRPr="6A370997" w:rsidR="1CDC9980">
        <w:rPr>
          <w:rFonts w:ascii="Arial" w:hAnsi="Arial" w:eastAsia="Arial" w:cs="Arial"/>
          <w:noProof w:val="0"/>
          <w:color w:val="0D0D0D" w:themeColor="text1" w:themeTint="F2" w:themeShade="FF"/>
          <w:sz w:val="24"/>
          <w:szCs w:val="24"/>
          <w:lang w:val="en-GB"/>
        </w:rPr>
        <w:t xml:space="preserve">Maltby, J., Ovaska-Stafford, </w:t>
      </w:r>
      <w:r w:rsidRPr="6A370997" w:rsidR="1CDC9980">
        <w:rPr>
          <w:rFonts w:ascii="Arial" w:hAnsi="Arial" w:eastAsia="Arial" w:cs="Arial"/>
          <w:noProof w:val="0"/>
          <w:color w:val="0D0D0D" w:themeColor="text1" w:themeTint="F2" w:themeShade="FF"/>
          <w:sz w:val="24"/>
          <w:szCs w:val="24"/>
          <w:lang w:val="en-GB"/>
        </w:rPr>
        <w:t>N.</w:t>
      </w:r>
      <w:r w:rsidRPr="6A370997" w:rsidR="1CDC9980">
        <w:rPr>
          <w:rFonts w:ascii="Arial" w:hAnsi="Arial" w:eastAsia="Arial" w:cs="Arial"/>
          <w:noProof w:val="0"/>
          <w:color w:val="0D0D0D" w:themeColor="text1" w:themeTint="F2" w:themeShade="FF"/>
          <w:sz w:val="24"/>
          <w:szCs w:val="24"/>
          <w:lang w:val="en-GB"/>
        </w:rPr>
        <w:t xml:space="preserve"> and Gunn, S. (2021) ‘The structure of mental health symptoms in Huntington’s disease: Comparisons with healthy populations’, </w:t>
      </w:r>
      <w:r w:rsidRPr="6A370997" w:rsidR="1CDC9980">
        <w:rPr>
          <w:rFonts w:ascii="Arial" w:hAnsi="Arial" w:eastAsia="Arial" w:cs="Arial"/>
          <w:i w:val="1"/>
          <w:iCs w:val="1"/>
          <w:noProof w:val="0"/>
          <w:color w:val="0D0D0D" w:themeColor="text1" w:themeTint="F2" w:themeShade="FF"/>
          <w:sz w:val="24"/>
          <w:szCs w:val="24"/>
          <w:lang w:val="en-GB"/>
        </w:rPr>
        <w:t>Journal of Clinical and Experimental Neuropsychology</w:t>
      </w:r>
      <w:r w:rsidRPr="6A370997" w:rsidR="1CDC9980">
        <w:rPr>
          <w:rFonts w:ascii="Arial" w:hAnsi="Arial" w:eastAsia="Arial" w:cs="Arial"/>
          <w:noProof w:val="0"/>
          <w:color w:val="0D0D0D" w:themeColor="text1" w:themeTint="F2" w:themeShade="FF"/>
          <w:sz w:val="24"/>
          <w:szCs w:val="24"/>
          <w:lang w:val="en-GB"/>
        </w:rPr>
        <w:t xml:space="preserve">, 43(7), pp. 737–752. </w:t>
      </w:r>
      <w:r w:rsidRPr="6A370997" w:rsidR="1CDC9980">
        <w:rPr>
          <w:rFonts w:ascii="Arial" w:hAnsi="Arial" w:eastAsia="Arial" w:cs="Arial"/>
          <w:noProof w:val="0"/>
          <w:color w:val="0D0D0D" w:themeColor="text1" w:themeTint="F2" w:themeShade="FF"/>
          <w:sz w:val="24"/>
          <w:szCs w:val="24"/>
          <w:lang w:val="en-GB"/>
        </w:rPr>
        <w:t>doi</w:t>
      </w:r>
      <w:r w:rsidRPr="6A370997" w:rsidR="1CDC9980">
        <w:rPr>
          <w:rFonts w:ascii="Arial" w:hAnsi="Arial" w:eastAsia="Arial" w:cs="Arial"/>
          <w:noProof w:val="0"/>
          <w:color w:val="0D0D0D" w:themeColor="text1" w:themeTint="F2" w:themeShade="FF"/>
          <w:sz w:val="24"/>
          <w:szCs w:val="24"/>
          <w:lang w:val="en-GB"/>
        </w:rPr>
        <w:t>: 10.1080/13803395.2021.2002824</w:t>
      </w:r>
    </w:p>
    <w:p w:rsidR="6A370997" w:rsidP="6A370997" w:rsidRDefault="6A370997" w14:paraId="0A4D960A" w14:textId="3AA1D632">
      <w:pPr>
        <w:pStyle w:val="Normal"/>
        <w:bidi w:val="0"/>
        <w:spacing w:before="0" w:beforeAutospacing="off" w:after="0" w:afterAutospacing="off" w:line="278" w:lineRule="auto"/>
        <w:ind w:left="720" w:right="0"/>
        <w:jc w:val="left"/>
        <w:rPr>
          <w:rFonts w:ascii="Arial" w:hAnsi="Arial" w:eastAsia="Arial" w:cs="Arial"/>
          <w:noProof w:val="0"/>
          <w:color w:val="0D0D0D" w:themeColor="text1" w:themeTint="F2" w:themeShade="FF"/>
          <w:sz w:val="24"/>
          <w:szCs w:val="24"/>
          <w:lang w:val="en-GB"/>
        </w:rPr>
      </w:pPr>
      <w:r>
        <w:br/>
      </w:r>
      <w:r w:rsidRPr="6A370997" w:rsidR="76210729">
        <w:rPr>
          <w:rFonts w:ascii="ui-sans-serif" w:hAnsi="ui-sans-serif" w:eastAsia="ui-sans-serif" w:cs="ui-sans-serif"/>
          <w:noProof w:val="0"/>
          <w:color w:val="0D0D0D" w:themeColor="text1" w:themeTint="F2" w:themeShade="FF"/>
          <w:sz w:val="24"/>
          <w:szCs w:val="24"/>
          <w:lang w:val="en-GB"/>
        </w:rPr>
        <w:t xml:space="preserve">Mason, S.L., Barker, R.A., Andresen, K., Gracey, F. and Ford, C. (2025) ‘The meaning of apathy in Huntington’s disease: A qualitative study of caregiver perspectives’, </w:t>
      </w:r>
      <w:r w:rsidRPr="6A370997" w:rsidR="76210729">
        <w:rPr>
          <w:rFonts w:ascii="ui-sans-serif" w:hAnsi="ui-sans-serif" w:eastAsia="ui-sans-serif" w:cs="ui-sans-serif"/>
          <w:i w:val="1"/>
          <w:iCs w:val="1"/>
          <w:noProof w:val="0"/>
          <w:color w:val="0D0D0D" w:themeColor="text1" w:themeTint="F2" w:themeShade="FF"/>
          <w:sz w:val="24"/>
          <w:szCs w:val="24"/>
          <w:lang w:val="en-GB"/>
        </w:rPr>
        <w:t>Neuropsychological Rehabilitation</w:t>
      </w:r>
      <w:r w:rsidRPr="6A370997" w:rsidR="76210729">
        <w:rPr>
          <w:rFonts w:ascii="ui-sans-serif" w:hAnsi="ui-sans-serif" w:eastAsia="ui-sans-serif" w:cs="ui-sans-serif"/>
          <w:noProof w:val="0"/>
          <w:color w:val="0D0D0D" w:themeColor="text1" w:themeTint="F2" w:themeShade="FF"/>
          <w:sz w:val="24"/>
          <w:szCs w:val="24"/>
          <w:lang w:val="en-GB"/>
        </w:rPr>
        <w:t xml:space="preserve">, 35(5), pp. 1004–1033. </w:t>
      </w:r>
      <w:r w:rsidRPr="6A370997" w:rsidR="76210729">
        <w:rPr>
          <w:rFonts w:ascii="ui-sans-serif" w:hAnsi="ui-sans-serif" w:eastAsia="ui-sans-serif" w:cs="ui-sans-serif"/>
          <w:noProof w:val="0"/>
          <w:color w:val="0D0D0D" w:themeColor="text1" w:themeTint="F2" w:themeShade="FF"/>
          <w:sz w:val="24"/>
          <w:szCs w:val="24"/>
          <w:lang w:val="en-GB"/>
        </w:rPr>
        <w:t>doi</w:t>
      </w:r>
      <w:r w:rsidRPr="6A370997" w:rsidR="76210729">
        <w:rPr>
          <w:rFonts w:ascii="ui-sans-serif" w:hAnsi="ui-sans-serif" w:eastAsia="ui-sans-serif" w:cs="ui-sans-serif"/>
          <w:noProof w:val="0"/>
          <w:color w:val="0D0D0D" w:themeColor="text1" w:themeTint="F2" w:themeShade="FF"/>
          <w:sz w:val="24"/>
          <w:szCs w:val="24"/>
          <w:lang w:val="en-GB"/>
        </w:rPr>
        <w:t>: 10.1080/09602011.2024.2384519.</w:t>
      </w:r>
      <w:r w:rsidRPr="6A370997" w:rsidR="2A8C5FE3">
        <w:rPr>
          <w:rFonts w:ascii="ui-sans-serif" w:hAnsi="ui-sans-serif" w:eastAsia="ui-sans-serif" w:cs="ui-sans-serif"/>
          <w:noProof w:val="0"/>
          <w:color w:val="0D0D0D" w:themeColor="text1" w:themeTint="F2" w:themeShade="FF"/>
          <w:sz w:val="24"/>
          <w:szCs w:val="24"/>
          <w:lang w:val="en-GB"/>
        </w:rPr>
        <w:t xml:space="preserve"> </w:t>
      </w:r>
      <w:r>
        <w:br/>
      </w:r>
      <w:r>
        <w:br/>
      </w:r>
      <w:r w:rsidRPr="6A370997" w:rsidR="2A8C5FE3">
        <w:rPr>
          <w:rFonts w:ascii="Arial" w:hAnsi="Arial" w:eastAsia="Arial" w:cs="Arial"/>
          <w:noProof w:val="0"/>
          <w:color w:val="0D0D0D" w:themeColor="text1" w:themeTint="F2" w:themeShade="FF"/>
          <w:sz w:val="24"/>
          <w:szCs w:val="24"/>
          <w:lang w:val="en-GB"/>
        </w:rPr>
        <w:t xml:space="preserve">Massey, T.H. and McLauchlan, D.J. (2024) ‘Huntington’s disease: A clinical primer for acute and general physicians’, </w:t>
      </w:r>
      <w:r w:rsidRPr="6A370997" w:rsidR="2A8C5FE3">
        <w:rPr>
          <w:rFonts w:ascii="Arial" w:hAnsi="Arial" w:eastAsia="Arial" w:cs="Arial"/>
          <w:i w:val="1"/>
          <w:iCs w:val="1"/>
          <w:noProof w:val="0"/>
          <w:color w:val="0D0D0D" w:themeColor="text1" w:themeTint="F2" w:themeShade="FF"/>
          <w:sz w:val="24"/>
          <w:szCs w:val="24"/>
          <w:lang w:val="en-GB"/>
        </w:rPr>
        <w:t>Clinical Medicine</w:t>
      </w:r>
      <w:r w:rsidRPr="6A370997" w:rsidR="2A8C5FE3">
        <w:rPr>
          <w:rFonts w:ascii="Arial" w:hAnsi="Arial" w:eastAsia="Arial" w:cs="Arial"/>
          <w:noProof w:val="0"/>
          <w:color w:val="0D0D0D" w:themeColor="text1" w:themeTint="F2" w:themeShade="FF"/>
          <w:sz w:val="24"/>
          <w:szCs w:val="24"/>
          <w:lang w:val="en-GB"/>
        </w:rPr>
        <w:t xml:space="preserve">, 24(2), 100200. </w:t>
      </w:r>
      <w:r w:rsidRPr="6A370997" w:rsidR="2A8C5FE3">
        <w:rPr>
          <w:rFonts w:ascii="Arial" w:hAnsi="Arial" w:eastAsia="Arial" w:cs="Arial"/>
          <w:noProof w:val="0"/>
          <w:color w:val="0D0D0D" w:themeColor="text1" w:themeTint="F2" w:themeShade="FF"/>
          <w:sz w:val="24"/>
          <w:szCs w:val="24"/>
          <w:lang w:val="en-GB"/>
        </w:rPr>
        <w:t>doi</w:t>
      </w:r>
      <w:r w:rsidRPr="6A370997" w:rsidR="2A8C5FE3">
        <w:rPr>
          <w:rFonts w:ascii="Arial" w:hAnsi="Arial" w:eastAsia="Arial" w:cs="Arial"/>
          <w:noProof w:val="0"/>
          <w:color w:val="0D0D0D" w:themeColor="text1" w:themeTint="F2" w:themeShade="FF"/>
          <w:sz w:val="24"/>
          <w:szCs w:val="24"/>
          <w:lang w:val="en-GB"/>
        </w:rPr>
        <w:t>: 10.1016/j.clinme.2024.100200</w:t>
      </w:r>
    </w:p>
    <w:p w:rsidR="0011089A" w:rsidP="663E9881" w:rsidRDefault="006E5409" w14:paraId="19EAA61B" w14:textId="3614792B">
      <w:pPr>
        <w:spacing w:before="0" w:beforeAutospacing="off" w:after="0" w:afterAutospacing="off" w:line="278" w:lineRule="auto"/>
        <w:ind w:left="720"/>
        <w:jc w:val="left"/>
        <w:rPr>
          <w:rFonts w:ascii="Arial" w:hAnsi="Arial" w:eastAsia="Arial" w:cs="Arial"/>
          <w:noProof w:val="0"/>
          <w:color w:val="000000" w:themeColor="text1" w:themeTint="FF" w:themeShade="FF"/>
          <w:sz w:val="24"/>
          <w:szCs w:val="24"/>
          <w:lang w:val="en-GB"/>
        </w:rPr>
      </w:pPr>
    </w:p>
    <w:p w:rsidR="0011089A" w:rsidP="6A370997" w:rsidRDefault="006E5409" w14:paraId="612C9EBB" w14:textId="0E22DF28">
      <w:pPr>
        <w:pStyle w:val="Normal"/>
        <w:spacing w:before="0" w:beforeAutospacing="off" w:after="0" w:afterAutospacing="off" w:line="278" w:lineRule="auto"/>
        <w:ind w:left="720"/>
        <w:jc w:val="left"/>
        <w:rPr>
          <w:rFonts w:ascii="Arial" w:hAnsi="Arial" w:eastAsia="Arial" w:cs="Arial"/>
          <w:noProof w:val="0"/>
          <w:color w:val="0D0D0D" w:themeColor="text1" w:themeTint="F2" w:themeShade="FF"/>
          <w:sz w:val="24"/>
          <w:szCs w:val="24"/>
          <w:lang w:val="en-GB"/>
        </w:rPr>
      </w:pPr>
      <w:r w:rsidRPr="6A370997" w:rsidR="0B2DD11C">
        <w:rPr>
          <w:rFonts w:ascii="Arial" w:hAnsi="Arial" w:eastAsia="Arial" w:cs="Arial"/>
          <w:noProof w:val="0"/>
          <w:color w:val="0D0D0D" w:themeColor="text1" w:themeTint="F2" w:themeShade="FF"/>
          <w:sz w:val="24"/>
          <w:szCs w:val="24"/>
          <w:lang w:val="en-GB"/>
        </w:rPr>
        <w:t xml:space="preserve">McAllister, M., Wood, A.M., Dunn, G., Shiloh, S. and Todd, C. (2011) ‘The Genetic Counseling Outcome Scale: a new patient-reported outcome measure for clinical genetics services’, </w:t>
      </w:r>
      <w:r w:rsidRPr="6A370997" w:rsidR="0B2DD11C">
        <w:rPr>
          <w:rFonts w:ascii="Arial" w:hAnsi="Arial" w:eastAsia="Arial" w:cs="Arial"/>
          <w:i w:val="1"/>
          <w:iCs w:val="1"/>
          <w:noProof w:val="0"/>
          <w:color w:val="0D0D0D" w:themeColor="text1" w:themeTint="F2" w:themeShade="FF"/>
          <w:sz w:val="24"/>
          <w:szCs w:val="24"/>
          <w:lang w:val="en-GB"/>
        </w:rPr>
        <w:t>Clinical Genetics</w:t>
      </w:r>
      <w:r w:rsidRPr="6A370997" w:rsidR="0B2DD11C">
        <w:rPr>
          <w:rFonts w:ascii="Arial" w:hAnsi="Arial" w:eastAsia="Arial" w:cs="Arial"/>
          <w:noProof w:val="0"/>
          <w:color w:val="0D0D0D" w:themeColor="text1" w:themeTint="F2" w:themeShade="FF"/>
          <w:sz w:val="24"/>
          <w:szCs w:val="24"/>
          <w:lang w:val="en-GB"/>
        </w:rPr>
        <w:t>, 79(5), pp. 413–424. doi: 10.1111/j.1399-0004.2011.01636.x.</w:t>
      </w:r>
    </w:p>
    <w:p w:rsidR="0011089A" w:rsidP="6A370997" w:rsidRDefault="006E5409" w14:paraId="7317062B" w14:textId="649E36CC">
      <w:pPr>
        <w:pStyle w:val="Normal"/>
        <w:spacing w:before="0" w:beforeAutospacing="off" w:after="0" w:afterAutospacing="off" w:line="278" w:lineRule="auto"/>
        <w:ind w:left="720"/>
        <w:jc w:val="left"/>
      </w:pPr>
      <w:r>
        <w:br/>
      </w:r>
      <w:r w:rsidRPr="6A370997" w:rsidR="348EB55E">
        <w:rPr>
          <w:rFonts w:ascii="Arial" w:hAnsi="Arial" w:eastAsia="Arial" w:cs="Arial"/>
          <w:noProof w:val="0"/>
          <w:color w:val="0D0D0D" w:themeColor="text1" w:themeTint="F2" w:themeShade="FF"/>
          <w:sz w:val="24"/>
          <w:szCs w:val="24"/>
          <w:lang w:val="en-GB"/>
        </w:rPr>
        <w:t xml:space="preserve">McCusker, E.A. and Loy, C.T. (2017) ‘Huntington disease: The complexities of making and disclosing a clinical diagnosis after premanifest genetic testing’, </w:t>
      </w:r>
      <w:r w:rsidRPr="6A370997" w:rsidR="348EB55E">
        <w:rPr>
          <w:rFonts w:ascii="Arial" w:hAnsi="Arial" w:eastAsia="Arial" w:cs="Arial"/>
          <w:i w:val="1"/>
          <w:iCs w:val="1"/>
          <w:noProof w:val="0"/>
          <w:color w:val="0D0D0D" w:themeColor="text1" w:themeTint="F2" w:themeShade="FF"/>
          <w:sz w:val="24"/>
          <w:szCs w:val="24"/>
          <w:lang w:val="en-GB"/>
        </w:rPr>
        <w:t>Tremor and Other Hyperkinetic Movements</w:t>
      </w:r>
      <w:r w:rsidRPr="6A370997" w:rsidR="348EB55E">
        <w:rPr>
          <w:rFonts w:ascii="Arial" w:hAnsi="Arial" w:eastAsia="Arial" w:cs="Arial"/>
          <w:noProof w:val="0"/>
          <w:color w:val="0D0D0D" w:themeColor="text1" w:themeTint="F2" w:themeShade="FF"/>
          <w:sz w:val="24"/>
          <w:szCs w:val="24"/>
          <w:lang w:val="en-GB"/>
        </w:rPr>
        <w:t xml:space="preserve">, 7, Article 467. </w:t>
      </w:r>
      <w:r w:rsidRPr="6A370997" w:rsidR="348EB55E">
        <w:rPr>
          <w:rFonts w:ascii="Arial" w:hAnsi="Arial" w:eastAsia="Arial" w:cs="Arial"/>
          <w:noProof w:val="0"/>
          <w:color w:val="0D0D0D" w:themeColor="text1" w:themeTint="F2" w:themeShade="FF"/>
          <w:sz w:val="24"/>
          <w:szCs w:val="24"/>
          <w:lang w:val="en-GB"/>
        </w:rPr>
        <w:t>doi</w:t>
      </w:r>
      <w:r w:rsidRPr="6A370997" w:rsidR="348EB55E">
        <w:rPr>
          <w:rFonts w:ascii="Arial" w:hAnsi="Arial" w:eastAsia="Arial" w:cs="Arial"/>
          <w:noProof w:val="0"/>
          <w:color w:val="0D0D0D" w:themeColor="text1" w:themeTint="F2" w:themeShade="FF"/>
          <w:sz w:val="24"/>
          <w:szCs w:val="24"/>
          <w:lang w:val="en-GB"/>
        </w:rPr>
        <w:t>: 10.7916/D8PK0TDD.</w:t>
      </w:r>
      <w:r>
        <w:br/>
      </w:r>
      <w:r w:rsidRPr="6A370997" w:rsidR="64372215">
        <w:rPr>
          <w:rFonts w:ascii="Arial" w:hAnsi="Arial" w:eastAsia="Arial" w:cs="Arial"/>
          <w:b w:val="0"/>
          <w:bCs w:val="0"/>
          <w:noProof w:val="0"/>
          <w:color w:val="000000" w:themeColor="text1" w:themeTint="FF" w:themeShade="FF"/>
          <w:sz w:val="24"/>
          <w:szCs w:val="24"/>
          <w:lang w:val="en-GB"/>
        </w:rPr>
        <w:t>.</w:t>
      </w:r>
      <w:r>
        <w:br/>
      </w:r>
      <w:r w:rsidRPr="6A370997" w:rsidR="69779E0C">
        <w:rPr>
          <w:rFonts w:ascii="Arial" w:hAnsi="Arial" w:eastAsia="Arial" w:cs="Arial"/>
          <w:b w:val="0"/>
          <w:bCs w:val="0"/>
          <w:noProof w:val="0"/>
          <w:color w:val="0D0D0D" w:themeColor="text1" w:themeTint="F2" w:themeShade="FF"/>
          <w:sz w:val="24"/>
          <w:szCs w:val="24"/>
          <w:lang w:val="en-GB"/>
        </w:rPr>
        <w:t xml:space="preserve">Meissen, G.J., Myers, R.H., Mastromauro, C.A., Koroshetz, W.J., Klinger, K.W., Farrer, L.A., Watkins, P.A., Gusella, J.F., Bird, E.D. and Martin, J.B. (1988) ‘Predictive testing for Huntington’s disease with use of a linked DNA marker’, </w:t>
      </w:r>
      <w:r w:rsidRPr="6A370997" w:rsidR="69779E0C">
        <w:rPr>
          <w:rFonts w:ascii="Arial" w:hAnsi="Arial" w:eastAsia="Arial" w:cs="Arial"/>
          <w:b w:val="0"/>
          <w:bCs w:val="0"/>
          <w:i w:val="1"/>
          <w:iCs w:val="1"/>
          <w:noProof w:val="0"/>
          <w:color w:val="0D0D0D" w:themeColor="text1" w:themeTint="F2" w:themeShade="FF"/>
          <w:sz w:val="24"/>
          <w:szCs w:val="24"/>
          <w:lang w:val="en-GB"/>
        </w:rPr>
        <w:t>New England J</w:t>
      </w:r>
      <w:r w:rsidRPr="6A370997" w:rsidR="69779E0C">
        <w:rPr>
          <w:rFonts w:ascii="Arial" w:hAnsi="Arial" w:eastAsia="Arial" w:cs="Arial"/>
          <w:b w:val="0"/>
          <w:bCs w:val="0"/>
          <w:i w:val="1"/>
          <w:iCs w:val="1"/>
          <w:noProof w:val="0"/>
          <w:color w:val="0D0D0D" w:themeColor="text1" w:themeTint="F2" w:themeShade="FF"/>
          <w:sz w:val="24"/>
          <w:szCs w:val="24"/>
          <w:lang w:val="en-GB"/>
        </w:rPr>
        <w:t>ournal</w:t>
      </w:r>
      <w:r w:rsidRPr="6A370997" w:rsidR="69779E0C">
        <w:rPr>
          <w:rFonts w:ascii="Arial" w:hAnsi="Arial" w:eastAsia="Arial" w:cs="Arial"/>
          <w:b w:val="0"/>
          <w:bCs w:val="0"/>
          <w:i w:val="1"/>
          <w:iCs w:val="1"/>
          <w:noProof w:val="0"/>
          <w:color w:val="0D0D0D" w:themeColor="text1" w:themeTint="F2" w:themeShade="FF"/>
          <w:sz w:val="24"/>
          <w:szCs w:val="24"/>
          <w:lang w:val="en-GB"/>
        </w:rPr>
        <w:t xml:space="preserve"> of Medicine</w:t>
      </w:r>
      <w:r w:rsidRPr="6A370997" w:rsidR="69779E0C">
        <w:rPr>
          <w:rFonts w:ascii="Arial" w:hAnsi="Arial" w:eastAsia="Arial" w:cs="Arial"/>
          <w:b w:val="0"/>
          <w:bCs w:val="0"/>
          <w:noProof w:val="0"/>
          <w:color w:val="0D0D0D" w:themeColor="text1" w:themeTint="F2" w:themeShade="FF"/>
          <w:sz w:val="24"/>
          <w:szCs w:val="24"/>
          <w:lang w:val="en-GB"/>
        </w:rPr>
        <w:t>, 318(9), pp. 535–542. doi: 10.1056/NEJM198803033180903.</w:t>
      </w:r>
    </w:p>
    <w:p w:rsidR="0011089A" w:rsidP="6A370997" w:rsidRDefault="006E5409" w14:paraId="1A812F64" w14:textId="40E1C381">
      <w:pPr>
        <w:pStyle w:val="Normal"/>
        <w:spacing w:before="0" w:beforeAutospacing="off" w:after="0" w:afterAutospacing="off" w:line="278" w:lineRule="auto"/>
        <w:ind w:left="720"/>
        <w:jc w:val="left"/>
      </w:pPr>
      <w:r>
        <w:br/>
      </w:r>
      <w:r w:rsidRPr="6A370997" w:rsidR="16531183">
        <w:rPr>
          <w:rFonts w:ascii="Arial" w:hAnsi="Arial" w:eastAsia="Arial" w:cs="Arial"/>
          <w:noProof w:val="0"/>
          <w:color w:val="0D0D0D" w:themeColor="text1" w:themeTint="F2" w:themeShade="FF"/>
          <w:sz w:val="24"/>
          <w:szCs w:val="24"/>
          <w:lang w:val="en-GB"/>
        </w:rPr>
        <w:t xml:space="preserve">Mendes, Á., Sequeiros, J. and Clarke, A.J. (2021) ‘Between responsibility and desire: Accounts of reproductive decisions from those at risk for or affected by late-onset neurological diseases’, </w:t>
      </w:r>
      <w:r w:rsidRPr="6A370997" w:rsidR="16531183">
        <w:rPr>
          <w:rFonts w:ascii="Arial" w:hAnsi="Arial" w:eastAsia="Arial" w:cs="Arial"/>
          <w:i w:val="1"/>
          <w:iCs w:val="1"/>
          <w:noProof w:val="0"/>
          <w:color w:val="0D0D0D" w:themeColor="text1" w:themeTint="F2" w:themeShade="FF"/>
          <w:sz w:val="24"/>
          <w:szCs w:val="24"/>
          <w:lang w:val="en-GB"/>
        </w:rPr>
        <w:t xml:space="preserve">Journal of Genetic </w:t>
      </w:r>
      <w:r w:rsidRPr="6A370997" w:rsidR="16531183">
        <w:rPr>
          <w:rFonts w:ascii="Arial" w:hAnsi="Arial" w:eastAsia="Arial" w:cs="Arial"/>
          <w:i w:val="1"/>
          <w:iCs w:val="1"/>
          <w:noProof w:val="0"/>
          <w:color w:val="0D0D0D" w:themeColor="text1" w:themeTint="F2" w:themeShade="FF"/>
          <w:sz w:val="24"/>
          <w:szCs w:val="24"/>
          <w:lang w:val="en-GB"/>
        </w:rPr>
        <w:t>Counseling</w:t>
      </w:r>
      <w:r w:rsidRPr="6A370997" w:rsidR="16531183">
        <w:rPr>
          <w:rFonts w:ascii="Arial" w:hAnsi="Arial" w:eastAsia="Arial" w:cs="Arial"/>
          <w:noProof w:val="0"/>
          <w:color w:val="0D0D0D" w:themeColor="text1" w:themeTint="F2" w:themeShade="FF"/>
          <w:sz w:val="24"/>
          <w:szCs w:val="24"/>
          <w:lang w:val="en-GB"/>
        </w:rPr>
        <w:t xml:space="preserve">, 30(5), pp. 1480–1490. </w:t>
      </w:r>
      <w:r w:rsidRPr="6A370997" w:rsidR="16531183">
        <w:rPr>
          <w:rFonts w:ascii="Arial" w:hAnsi="Arial" w:eastAsia="Arial" w:cs="Arial"/>
          <w:noProof w:val="0"/>
          <w:color w:val="0D0D0D" w:themeColor="text1" w:themeTint="F2" w:themeShade="FF"/>
          <w:sz w:val="24"/>
          <w:szCs w:val="24"/>
          <w:lang w:val="en-GB"/>
        </w:rPr>
        <w:t>doi</w:t>
      </w:r>
      <w:r w:rsidRPr="6A370997" w:rsidR="16531183">
        <w:rPr>
          <w:rFonts w:ascii="Arial" w:hAnsi="Arial" w:eastAsia="Arial" w:cs="Arial"/>
          <w:noProof w:val="0"/>
          <w:color w:val="0D0D0D" w:themeColor="text1" w:themeTint="F2" w:themeShade="FF"/>
          <w:sz w:val="24"/>
          <w:szCs w:val="24"/>
          <w:lang w:val="en-GB"/>
        </w:rPr>
        <w:t>: 10.1002/jgc4.1415.</w:t>
      </w:r>
      <w:r>
        <w:br/>
      </w:r>
      <w:r>
        <w:br/>
      </w:r>
      <w:r w:rsidRPr="6A370997" w:rsidR="23DE3734">
        <w:rPr>
          <w:rFonts w:ascii="Arial" w:hAnsi="Arial" w:eastAsia="Arial" w:cs="Arial"/>
          <w:noProof w:val="0"/>
          <w:color w:val="0D0D0D" w:themeColor="text1" w:themeTint="F2" w:themeShade="FF"/>
          <w:sz w:val="24"/>
          <w:szCs w:val="24"/>
          <w:lang w:val="en-GB"/>
        </w:rPr>
        <w:t xml:space="preserve">Mishel, M.H. (1988) ‘Uncertainty in illness’, </w:t>
      </w:r>
      <w:r w:rsidRPr="6A370997" w:rsidR="23DE3734">
        <w:rPr>
          <w:rFonts w:ascii="Arial" w:hAnsi="Arial" w:eastAsia="Arial" w:cs="Arial"/>
          <w:i w:val="1"/>
          <w:iCs w:val="1"/>
          <w:noProof w:val="0"/>
          <w:color w:val="0D0D0D" w:themeColor="text1" w:themeTint="F2" w:themeShade="FF"/>
          <w:sz w:val="24"/>
          <w:szCs w:val="24"/>
          <w:lang w:val="en-GB"/>
        </w:rPr>
        <w:t>Image: The Journal of Nursing Scholarship</w:t>
      </w:r>
      <w:r w:rsidRPr="6A370997" w:rsidR="23DE3734">
        <w:rPr>
          <w:rFonts w:ascii="Arial" w:hAnsi="Arial" w:eastAsia="Arial" w:cs="Arial"/>
          <w:noProof w:val="0"/>
          <w:color w:val="0D0D0D" w:themeColor="text1" w:themeTint="F2" w:themeShade="FF"/>
          <w:sz w:val="24"/>
          <w:szCs w:val="24"/>
          <w:lang w:val="en-GB"/>
        </w:rPr>
        <w:t xml:space="preserve">, 20(4), pp. 225–232. </w:t>
      </w:r>
      <w:r w:rsidRPr="6A370997" w:rsidR="23DE3734">
        <w:rPr>
          <w:rFonts w:ascii="Arial" w:hAnsi="Arial" w:eastAsia="Arial" w:cs="Arial"/>
          <w:noProof w:val="0"/>
          <w:color w:val="0D0D0D" w:themeColor="text1" w:themeTint="F2" w:themeShade="FF"/>
          <w:sz w:val="24"/>
          <w:szCs w:val="24"/>
          <w:lang w:val="en-GB"/>
        </w:rPr>
        <w:t>doi</w:t>
      </w:r>
      <w:r w:rsidRPr="6A370997" w:rsidR="23DE3734">
        <w:rPr>
          <w:rFonts w:ascii="Arial" w:hAnsi="Arial" w:eastAsia="Arial" w:cs="Arial"/>
          <w:noProof w:val="0"/>
          <w:color w:val="0D0D0D" w:themeColor="text1" w:themeTint="F2" w:themeShade="FF"/>
          <w:sz w:val="24"/>
          <w:szCs w:val="24"/>
          <w:lang w:val="en-GB"/>
        </w:rPr>
        <w:t>: 10.1111/j.1547-</w:t>
      </w:r>
      <w:r w:rsidRPr="6A370997" w:rsidR="23DE3734">
        <w:rPr>
          <w:rFonts w:ascii="Arial" w:hAnsi="Arial" w:eastAsia="Arial" w:cs="Arial"/>
          <w:noProof w:val="0"/>
          <w:color w:val="0D0D0D" w:themeColor="text1" w:themeTint="F2" w:themeShade="FF"/>
          <w:sz w:val="24"/>
          <w:szCs w:val="24"/>
          <w:lang w:val="en-GB"/>
        </w:rPr>
        <w:t>5069.1988.tb</w:t>
      </w:r>
      <w:r w:rsidRPr="6A370997" w:rsidR="23DE3734">
        <w:rPr>
          <w:rFonts w:ascii="Arial" w:hAnsi="Arial" w:eastAsia="Arial" w:cs="Arial"/>
          <w:noProof w:val="0"/>
          <w:color w:val="0D0D0D" w:themeColor="text1" w:themeTint="F2" w:themeShade="FF"/>
          <w:sz w:val="24"/>
          <w:szCs w:val="24"/>
          <w:lang w:val="en-GB"/>
        </w:rPr>
        <w:t>00082.x.</w:t>
      </w:r>
      <w:r>
        <w:br/>
      </w:r>
      <w:r>
        <w:br/>
      </w:r>
      <w:r w:rsidRPr="6A370997" w:rsidR="361F8656">
        <w:rPr>
          <w:rFonts w:ascii="Arial" w:hAnsi="Arial" w:eastAsia="Arial" w:cs="Arial"/>
          <w:noProof w:val="0"/>
          <w:color w:val="0D0D0D" w:themeColor="text1" w:themeTint="F2" w:themeShade="FF"/>
          <w:sz w:val="24"/>
          <w:szCs w:val="24"/>
          <w:lang w:val="en-GB"/>
        </w:rPr>
        <w:t xml:space="preserve">Migliore, S., Jankovic, J. and Squitieri, F. (2019) ‘Genetic </w:t>
      </w:r>
      <w:r w:rsidRPr="6A370997" w:rsidR="361F8656">
        <w:rPr>
          <w:rFonts w:ascii="Arial" w:hAnsi="Arial" w:eastAsia="Arial" w:cs="Arial"/>
          <w:noProof w:val="0"/>
          <w:color w:val="0D0D0D" w:themeColor="text1" w:themeTint="F2" w:themeShade="FF"/>
          <w:sz w:val="24"/>
          <w:szCs w:val="24"/>
          <w:lang w:val="en-GB"/>
        </w:rPr>
        <w:t>counseling</w:t>
      </w:r>
      <w:r w:rsidRPr="6A370997" w:rsidR="361F8656">
        <w:rPr>
          <w:rFonts w:ascii="Arial" w:hAnsi="Arial" w:eastAsia="Arial" w:cs="Arial"/>
          <w:noProof w:val="0"/>
          <w:color w:val="0D0D0D" w:themeColor="text1" w:themeTint="F2" w:themeShade="FF"/>
          <w:sz w:val="24"/>
          <w:szCs w:val="24"/>
          <w:lang w:val="en-GB"/>
        </w:rPr>
        <w:t xml:space="preserve"> in Huntington’s disease: Potential new challenges on horizon?’, </w:t>
      </w:r>
      <w:r w:rsidRPr="6A370997" w:rsidR="361F8656">
        <w:rPr>
          <w:rFonts w:ascii="Arial" w:hAnsi="Arial" w:eastAsia="Arial" w:cs="Arial"/>
          <w:i w:val="1"/>
          <w:iCs w:val="1"/>
          <w:noProof w:val="0"/>
          <w:color w:val="0D0D0D" w:themeColor="text1" w:themeTint="F2" w:themeShade="FF"/>
          <w:sz w:val="24"/>
          <w:szCs w:val="24"/>
          <w:lang w:val="en-GB"/>
        </w:rPr>
        <w:t>Frontiers in Neurology</w:t>
      </w:r>
      <w:r w:rsidRPr="6A370997" w:rsidR="361F8656">
        <w:rPr>
          <w:rFonts w:ascii="Arial" w:hAnsi="Arial" w:eastAsia="Arial" w:cs="Arial"/>
          <w:noProof w:val="0"/>
          <w:color w:val="0D0D0D" w:themeColor="text1" w:themeTint="F2" w:themeShade="FF"/>
          <w:sz w:val="24"/>
          <w:szCs w:val="24"/>
          <w:lang w:val="en-GB"/>
        </w:rPr>
        <w:t xml:space="preserve">, 10, Article 453. </w:t>
      </w:r>
      <w:r w:rsidRPr="6A370997" w:rsidR="361F8656">
        <w:rPr>
          <w:rFonts w:ascii="Arial" w:hAnsi="Arial" w:eastAsia="Arial" w:cs="Arial"/>
          <w:noProof w:val="0"/>
          <w:color w:val="0D0D0D" w:themeColor="text1" w:themeTint="F2" w:themeShade="FF"/>
          <w:sz w:val="24"/>
          <w:szCs w:val="24"/>
          <w:lang w:val="en-GB"/>
        </w:rPr>
        <w:t>doi</w:t>
      </w:r>
      <w:r w:rsidRPr="6A370997" w:rsidR="361F8656">
        <w:rPr>
          <w:rFonts w:ascii="Arial" w:hAnsi="Arial" w:eastAsia="Arial" w:cs="Arial"/>
          <w:noProof w:val="0"/>
          <w:color w:val="0D0D0D" w:themeColor="text1" w:themeTint="F2" w:themeShade="FF"/>
          <w:sz w:val="24"/>
          <w:szCs w:val="24"/>
          <w:lang w:val="en-GB"/>
        </w:rPr>
        <w:t>: 10.3389/fneur.2019.00453.</w:t>
      </w:r>
      <w:r>
        <w:br/>
      </w:r>
      <w:r>
        <w:br/>
      </w:r>
      <w:r w:rsidRPr="6A370997" w:rsidR="10430BBE">
        <w:rPr>
          <w:rFonts w:ascii="Arial" w:hAnsi="Arial" w:eastAsia="Arial" w:cs="Arial"/>
          <w:b w:val="0"/>
          <w:bCs w:val="0"/>
          <w:noProof w:val="0"/>
          <w:color w:val="0D0D0D" w:themeColor="text1" w:themeTint="F2" w:themeShade="FF"/>
          <w:sz w:val="24"/>
          <w:szCs w:val="24"/>
          <w:lang w:val="en-GB"/>
        </w:rPr>
        <w:t xml:space="preserve">Mintz, M. (2023) </w:t>
      </w:r>
      <w:r w:rsidRPr="6A370997" w:rsidR="10430BBE">
        <w:rPr>
          <w:rFonts w:ascii="Arial" w:hAnsi="Arial" w:eastAsia="Arial" w:cs="Arial"/>
          <w:b w:val="0"/>
          <w:bCs w:val="0"/>
          <w:i w:val="1"/>
          <w:iCs w:val="1"/>
          <w:noProof w:val="0"/>
          <w:color w:val="0D0D0D" w:themeColor="text1" w:themeTint="F2" w:themeShade="FF"/>
          <w:sz w:val="24"/>
          <w:szCs w:val="24"/>
          <w:lang w:val="en-GB"/>
        </w:rPr>
        <w:t>Huntington’s disease: A systematic review and overview of treatments</w:t>
      </w:r>
      <w:r w:rsidRPr="6A370997" w:rsidR="10430BBE">
        <w:rPr>
          <w:rFonts w:ascii="Arial" w:hAnsi="Arial" w:eastAsia="Arial" w:cs="Arial"/>
          <w:b w:val="0"/>
          <w:bCs w:val="0"/>
          <w:noProof w:val="0"/>
          <w:color w:val="0D0D0D" w:themeColor="text1" w:themeTint="F2" w:themeShade="FF"/>
          <w:sz w:val="24"/>
          <w:szCs w:val="24"/>
          <w:lang w:val="en-GB"/>
        </w:rPr>
        <w:t>. Undergraduate Honors Thesis. Gardner-Webb University. Available at: https://digitalcommons.gardner-webb.edu/undergrad-honors/50/ (Accessed: 7 August 2026)</w:t>
      </w:r>
      <w:r>
        <w:br/>
      </w:r>
      <w:r>
        <w:br/>
      </w:r>
      <w:r w:rsidRPr="6A370997" w:rsidR="152D694E">
        <w:rPr>
          <w:rFonts w:ascii="ui-sans-serif" w:hAnsi="ui-sans-serif" w:eastAsia="ui-sans-serif" w:cs="ui-sans-serif"/>
          <w:noProof w:val="0"/>
          <w:color w:val="0D0D0D" w:themeColor="text1" w:themeTint="F2" w:themeShade="FF"/>
          <w:sz w:val="24"/>
          <w:szCs w:val="24"/>
          <w:lang w:val="en-GB"/>
        </w:rPr>
        <w:t xml:space="preserve">Pierron, L., Hennessy, J., </w:t>
      </w:r>
      <w:r w:rsidRPr="6A370997" w:rsidR="152D694E">
        <w:rPr>
          <w:rFonts w:ascii="ui-sans-serif" w:hAnsi="ui-sans-serif" w:eastAsia="ui-sans-serif" w:cs="ui-sans-serif"/>
          <w:noProof w:val="0"/>
          <w:color w:val="0D0D0D" w:themeColor="text1" w:themeTint="F2" w:themeShade="FF"/>
          <w:sz w:val="24"/>
          <w:szCs w:val="24"/>
          <w:lang w:val="en-GB"/>
        </w:rPr>
        <w:t>Tezenas</w:t>
      </w:r>
      <w:r w:rsidRPr="6A370997" w:rsidR="152D694E">
        <w:rPr>
          <w:rFonts w:ascii="ui-sans-serif" w:hAnsi="ui-sans-serif" w:eastAsia="ui-sans-serif" w:cs="ui-sans-serif"/>
          <w:noProof w:val="0"/>
          <w:color w:val="0D0D0D" w:themeColor="text1" w:themeTint="F2" w:themeShade="FF"/>
          <w:sz w:val="24"/>
          <w:szCs w:val="24"/>
          <w:lang w:val="en-GB"/>
        </w:rPr>
        <w:t xml:space="preserve"> du </w:t>
      </w:r>
      <w:r w:rsidRPr="6A370997" w:rsidR="152D694E">
        <w:rPr>
          <w:rFonts w:ascii="ui-sans-serif" w:hAnsi="ui-sans-serif" w:eastAsia="ui-sans-serif" w:cs="ui-sans-serif"/>
          <w:noProof w:val="0"/>
          <w:color w:val="0D0D0D" w:themeColor="text1" w:themeTint="F2" w:themeShade="FF"/>
          <w:sz w:val="24"/>
          <w:szCs w:val="24"/>
          <w:lang w:val="en-GB"/>
        </w:rPr>
        <w:t>Montcel</w:t>
      </w:r>
      <w:r w:rsidRPr="6A370997" w:rsidR="152D694E">
        <w:rPr>
          <w:rFonts w:ascii="ui-sans-serif" w:hAnsi="ui-sans-serif" w:eastAsia="ui-sans-serif" w:cs="ui-sans-serif"/>
          <w:noProof w:val="0"/>
          <w:color w:val="0D0D0D" w:themeColor="text1" w:themeTint="F2" w:themeShade="FF"/>
          <w:sz w:val="24"/>
          <w:szCs w:val="24"/>
          <w:lang w:val="en-GB"/>
        </w:rPr>
        <w:t xml:space="preserve">, S., </w:t>
      </w:r>
      <w:r w:rsidRPr="6A370997" w:rsidR="152D694E">
        <w:rPr>
          <w:rFonts w:ascii="ui-sans-serif" w:hAnsi="ui-sans-serif" w:eastAsia="ui-sans-serif" w:cs="ui-sans-serif"/>
          <w:noProof w:val="0"/>
          <w:color w:val="0D0D0D" w:themeColor="text1" w:themeTint="F2" w:themeShade="FF"/>
          <w:sz w:val="24"/>
          <w:szCs w:val="24"/>
          <w:lang w:val="en-GB"/>
        </w:rPr>
        <w:t>Coarelli</w:t>
      </w:r>
      <w:r w:rsidRPr="6A370997" w:rsidR="152D694E">
        <w:rPr>
          <w:rFonts w:ascii="ui-sans-serif" w:hAnsi="ui-sans-serif" w:eastAsia="ui-sans-serif" w:cs="ui-sans-serif"/>
          <w:noProof w:val="0"/>
          <w:color w:val="0D0D0D" w:themeColor="text1" w:themeTint="F2" w:themeShade="FF"/>
          <w:sz w:val="24"/>
          <w:szCs w:val="24"/>
          <w:lang w:val="en-GB"/>
        </w:rPr>
        <w:t xml:space="preserve">, G., Heinzmann, A., Schaerer, E., Herson, A., Petit, E., Gargiulo, M. and Durr, A. (2021) ‘Informing about genetic risk in families with Huntington disease: comparison of attitudes across two decades’, </w:t>
      </w:r>
      <w:r w:rsidRPr="6A370997" w:rsidR="152D694E">
        <w:rPr>
          <w:rFonts w:ascii="ui-sans-serif" w:hAnsi="ui-sans-serif" w:eastAsia="ui-sans-serif" w:cs="ui-sans-serif"/>
          <w:i w:val="1"/>
          <w:iCs w:val="1"/>
          <w:noProof w:val="0"/>
          <w:color w:val="0D0D0D" w:themeColor="text1" w:themeTint="F2" w:themeShade="FF"/>
          <w:sz w:val="24"/>
          <w:szCs w:val="24"/>
          <w:lang w:val="en-GB"/>
        </w:rPr>
        <w:t>European Journal of Human Genetics</w:t>
      </w:r>
      <w:r w:rsidRPr="6A370997" w:rsidR="152D694E">
        <w:rPr>
          <w:rFonts w:ascii="ui-sans-serif" w:hAnsi="ui-sans-serif" w:eastAsia="ui-sans-serif" w:cs="ui-sans-serif"/>
          <w:noProof w:val="0"/>
          <w:color w:val="0D0D0D" w:themeColor="text1" w:themeTint="F2" w:themeShade="FF"/>
          <w:sz w:val="24"/>
          <w:szCs w:val="24"/>
          <w:lang w:val="en-GB"/>
        </w:rPr>
        <w:t xml:space="preserve">, 29(4), pp. 672–679. </w:t>
      </w:r>
      <w:r w:rsidRPr="6A370997" w:rsidR="152D694E">
        <w:rPr>
          <w:rFonts w:ascii="ui-sans-serif" w:hAnsi="ui-sans-serif" w:eastAsia="ui-sans-serif" w:cs="ui-sans-serif"/>
          <w:noProof w:val="0"/>
          <w:color w:val="0D0D0D" w:themeColor="text1" w:themeTint="F2" w:themeShade="FF"/>
          <w:sz w:val="24"/>
          <w:szCs w:val="24"/>
          <w:lang w:val="en-GB"/>
        </w:rPr>
        <w:t>doi</w:t>
      </w:r>
      <w:r w:rsidRPr="6A370997" w:rsidR="152D694E">
        <w:rPr>
          <w:rFonts w:ascii="ui-sans-serif" w:hAnsi="ui-sans-serif" w:eastAsia="ui-sans-serif" w:cs="ui-sans-serif"/>
          <w:noProof w:val="0"/>
          <w:color w:val="0D0D0D" w:themeColor="text1" w:themeTint="F2" w:themeShade="FF"/>
          <w:sz w:val="24"/>
          <w:szCs w:val="24"/>
          <w:lang w:val="en-GB"/>
        </w:rPr>
        <w:t>: 10.1038/s41431-020-00776-8.</w:t>
      </w:r>
    </w:p>
    <w:p w:rsidR="0011089A" w:rsidP="6A370997" w:rsidRDefault="006E5409" w14:paraId="37E714D1" w14:textId="06806551">
      <w:pPr>
        <w:pStyle w:val="Normal"/>
        <w:spacing w:before="0" w:beforeAutospacing="off" w:after="0" w:afterAutospacing="off" w:line="278" w:lineRule="auto"/>
        <w:ind w:left="720"/>
        <w:jc w:val="left"/>
        <w:rPr>
          <w:rFonts w:ascii="ui-sans-serif" w:hAnsi="ui-sans-serif" w:eastAsia="ui-sans-serif" w:cs="ui-sans-serif"/>
          <w:noProof w:val="0"/>
          <w:color w:val="0D0D0D" w:themeColor="text1" w:themeTint="F2" w:themeShade="FF"/>
          <w:sz w:val="24"/>
          <w:szCs w:val="24"/>
          <w:lang w:val="en-GB"/>
        </w:rPr>
      </w:pPr>
    </w:p>
    <w:p w:rsidR="0011089A" w:rsidP="6A370997" w:rsidRDefault="006E5409" w14:paraId="1870D791" w14:textId="3A828E03">
      <w:pPr>
        <w:pStyle w:val="Normal"/>
        <w:spacing w:before="0" w:beforeAutospacing="off" w:after="0" w:afterAutospacing="off" w:line="278" w:lineRule="auto"/>
        <w:ind w:left="720"/>
        <w:jc w:val="left"/>
        <w:rPr>
          <w:rFonts w:ascii="Arial" w:hAnsi="Arial" w:eastAsia="Arial" w:cs="Arial"/>
          <w:noProof w:val="0"/>
          <w:color w:val="0D0D0D" w:themeColor="text1" w:themeTint="F2" w:themeShade="FF"/>
          <w:sz w:val="24"/>
          <w:szCs w:val="24"/>
          <w:lang w:val="en-GB"/>
        </w:rPr>
      </w:pPr>
      <w:r w:rsidRPr="6A370997" w:rsidR="17685676">
        <w:rPr>
          <w:rFonts w:ascii="Arial" w:hAnsi="Arial" w:eastAsia="Arial" w:cs="Arial"/>
          <w:noProof w:val="0"/>
          <w:color w:val="0D0D0D" w:themeColor="text1" w:themeTint="F2" w:themeShade="FF"/>
          <w:sz w:val="24"/>
          <w:szCs w:val="24"/>
          <w:lang w:val="en-GB"/>
        </w:rPr>
        <w:t xml:space="preserve">Osawa, H., Matsukawa, M., Yoshida, A., Torishima, M., Murakami, H., Haruyama, S., Wada, T. and Kosugi, S. (2025) ‘Psychosocial impact on individuals who received negative test results from predictive testing for Huntington’s disease: An exploratory qualitative study’, </w:t>
      </w:r>
      <w:r w:rsidRPr="6A370997" w:rsidR="17685676">
        <w:rPr>
          <w:rFonts w:ascii="Arial" w:hAnsi="Arial" w:eastAsia="Arial" w:cs="Arial"/>
          <w:i w:val="1"/>
          <w:iCs w:val="1"/>
          <w:noProof w:val="0"/>
          <w:color w:val="0D0D0D" w:themeColor="text1" w:themeTint="F2" w:themeShade="FF"/>
          <w:sz w:val="24"/>
          <w:szCs w:val="24"/>
          <w:lang w:val="en-GB"/>
        </w:rPr>
        <w:t>Journal of Genetic Counseling</w:t>
      </w:r>
      <w:r w:rsidRPr="6A370997" w:rsidR="17685676">
        <w:rPr>
          <w:rFonts w:ascii="Arial" w:hAnsi="Arial" w:eastAsia="Arial" w:cs="Arial"/>
          <w:noProof w:val="0"/>
          <w:color w:val="0D0D0D" w:themeColor="text1" w:themeTint="F2" w:themeShade="FF"/>
          <w:sz w:val="24"/>
          <w:szCs w:val="24"/>
          <w:lang w:val="en-GB"/>
        </w:rPr>
        <w:t>, 34(2), e1981. doi: 10.1002/jgc4.1981.</w:t>
      </w:r>
    </w:p>
    <w:p w:rsidR="0011089A" w:rsidP="6A370997" w:rsidRDefault="006E5409" w14:paraId="0E22BF02" w14:textId="568A15BB">
      <w:pPr>
        <w:pStyle w:val="Normal"/>
        <w:spacing w:before="0" w:beforeAutospacing="off" w:after="0" w:afterAutospacing="off" w:line="278" w:lineRule="auto"/>
        <w:ind w:left="720"/>
        <w:jc w:val="left"/>
      </w:pPr>
      <w:r w:rsidRPr="6A370997" w:rsidR="64372215">
        <w:rPr>
          <w:rFonts w:ascii="Arial" w:hAnsi="Arial" w:eastAsia="Arial" w:cs="Arial"/>
          <w:noProof w:val="0"/>
          <w:color w:val="000000" w:themeColor="text1" w:themeTint="FF" w:themeShade="FF"/>
          <w:sz w:val="24"/>
          <w:szCs w:val="24"/>
          <w:lang w:val="en-GB"/>
        </w:rPr>
        <w:t xml:space="preserve">Pierron, L., Hennessy, J., </w:t>
      </w:r>
      <w:r w:rsidRPr="6A370997" w:rsidR="64372215">
        <w:rPr>
          <w:rFonts w:ascii="Arial" w:hAnsi="Arial" w:eastAsia="Arial" w:cs="Arial"/>
          <w:noProof w:val="0"/>
          <w:color w:val="000000" w:themeColor="text1" w:themeTint="FF" w:themeShade="FF"/>
          <w:sz w:val="24"/>
          <w:szCs w:val="24"/>
          <w:lang w:val="en-GB"/>
        </w:rPr>
        <w:t>Tezenas</w:t>
      </w:r>
      <w:r w:rsidRPr="6A370997" w:rsidR="64372215">
        <w:rPr>
          <w:rFonts w:ascii="Arial" w:hAnsi="Arial" w:eastAsia="Arial" w:cs="Arial"/>
          <w:noProof w:val="0"/>
          <w:color w:val="000000" w:themeColor="text1" w:themeTint="FF" w:themeShade="FF"/>
          <w:sz w:val="24"/>
          <w:szCs w:val="24"/>
          <w:lang w:val="en-GB"/>
        </w:rPr>
        <w:t xml:space="preserve"> du </w:t>
      </w:r>
      <w:r w:rsidRPr="6A370997" w:rsidR="64372215">
        <w:rPr>
          <w:rFonts w:ascii="Arial" w:hAnsi="Arial" w:eastAsia="Arial" w:cs="Arial"/>
          <w:noProof w:val="0"/>
          <w:color w:val="000000" w:themeColor="text1" w:themeTint="FF" w:themeShade="FF"/>
          <w:sz w:val="24"/>
          <w:szCs w:val="24"/>
          <w:lang w:val="en-GB"/>
        </w:rPr>
        <w:t>Montcel</w:t>
      </w:r>
      <w:r w:rsidRPr="6A370997" w:rsidR="64372215">
        <w:rPr>
          <w:rFonts w:ascii="Arial" w:hAnsi="Arial" w:eastAsia="Arial" w:cs="Arial"/>
          <w:noProof w:val="0"/>
          <w:color w:val="000000" w:themeColor="text1" w:themeTint="FF" w:themeShade="FF"/>
          <w:sz w:val="24"/>
          <w:szCs w:val="24"/>
          <w:lang w:val="en-GB"/>
        </w:rPr>
        <w:t xml:space="preserve">, S., </w:t>
      </w:r>
      <w:r w:rsidRPr="6A370997" w:rsidR="64372215">
        <w:rPr>
          <w:rFonts w:ascii="Arial" w:hAnsi="Arial" w:eastAsia="Arial" w:cs="Arial"/>
          <w:noProof w:val="0"/>
          <w:color w:val="000000" w:themeColor="text1" w:themeTint="FF" w:themeShade="FF"/>
          <w:sz w:val="24"/>
          <w:szCs w:val="24"/>
          <w:lang w:val="en-GB"/>
        </w:rPr>
        <w:t>Coarelli</w:t>
      </w:r>
      <w:r w:rsidRPr="6A370997" w:rsidR="64372215">
        <w:rPr>
          <w:rFonts w:ascii="Arial" w:hAnsi="Arial" w:eastAsia="Arial" w:cs="Arial"/>
          <w:noProof w:val="0"/>
          <w:color w:val="000000" w:themeColor="text1" w:themeTint="FF" w:themeShade="FF"/>
          <w:sz w:val="24"/>
          <w:szCs w:val="24"/>
          <w:lang w:val="en-GB"/>
        </w:rPr>
        <w:t xml:space="preserve">, G., Heinzmann, A., Schaerer, E., Herson, A., Petit, E., Gargiulo, M. and Durr, A. (2021) 'Informing about genetic risk in families with Huntington disease: comparison of attitudes across two decades', </w:t>
      </w:r>
      <w:r w:rsidRPr="6A370997" w:rsidR="64372215">
        <w:rPr>
          <w:rFonts w:ascii="Arial" w:hAnsi="Arial" w:eastAsia="Arial" w:cs="Arial"/>
          <w:i w:val="1"/>
          <w:iCs w:val="1"/>
          <w:noProof w:val="0"/>
          <w:color w:val="000000" w:themeColor="text1" w:themeTint="FF" w:themeShade="FF"/>
          <w:sz w:val="24"/>
          <w:szCs w:val="24"/>
          <w:lang w:val="en-GB"/>
        </w:rPr>
        <w:t>European Journal of Human Genetics</w:t>
      </w:r>
      <w:r w:rsidRPr="6A370997" w:rsidR="64372215">
        <w:rPr>
          <w:rFonts w:ascii="Arial" w:hAnsi="Arial" w:eastAsia="Arial" w:cs="Arial"/>
          <w:noProof w:val="0"/>
          <w:color w:val="000000" w:themeColor="text1" w:themeTint="FF" w:themeShade="FF"/>
          <w:sz w:val="24"/>
          <w:szCs w:val="24"/>
          <w:lang w:val="en-GB"/>
        </w:rPr>
        <w:t xml:space="preserve">, 29(4), pp. 672–679. Available at: </w:t>
      </w:r>
      <w:hyperlink r:id="R3933d4d9a7d0483c">
        <w:r w:rsidRPr="6A370997" w:rsidR="64372215">
          <w:rPr>
            <w:rStyle w:val="Hyperlink"/>
            <w:rFonts w:ascii="Arial" w:hAnsi="Arial" w:eastAsia="Arial" w:cs="Arial"/>
            <w:strike w:val="0"/>
            <w:dstrike w:val="0"/>
            <w:noProof w:val="0"/>
            <w:sz w:val="24"/>
            <w:szCs w:val="24"/>
            <w:lang w:val="en-GB"/>
          </w:rPr>
          <w:t>https://doi.org/10.1038/s41431-020-00776-8</w:t>
        </w:r>
      </w:hyperlink>
      <w:r w:rsidRPr="6A370997" w:rsidR="64372215">
        <w:rPr>
          <w:rFonts w:ascii="Arial" w:hAnsi="Arial" w:eastAsia="Arial" w:cs="Arial"/>
          <w:noProof w:val="0"/>
          <w:color w:val="000000" w:themeColor="text1" w:themeTint="FF" w:themeShade="FF"/>
          <w:sz w:val="24"/>
          <w:szCs w:val="24"/>
          <w:lang w:val="en-GB"/>
        </w:rPr>
        <w:t>.</w:t>
      </w:r>
      <w:r>
        <w:br/>
      </w:r>
      <w:r>
        <w:br/>
      </w:r>
      <w:r w:rsidRPr="6A370997" w:rsidR="2538138C">
        <w:rPr>
          <w:rFonts w:ascii="Arial" w:hAnsi="Arial" w:eastAsia="Arial" w:cs="Arial"/>
          <w:noProof w:val="0"/>
          <w:color w:val="0D0D0D" w:themeColor="text1" w:themeTint="F2" w:themeShade="FF"/>
          <w:sz w:val="24"/>
          <w:szCs w:val="24"/>
          <w:lang w:val="en-GB"/>
        </w:rPr>
        <w:t xml:space="preserve">Quaid, K.A. (2017) ‘Genetic testing for Huntington disease’, </w:t>
      </w:r>
      <w:r w:rsidRPr="6A370997" w:rsidR="2538138C">
        <w:rPr>
          <w:rFonts w:ascii="Arial" w:hAnsi="Arial" w:eastAsia="Arial" w:cs="Arial"/>
          <w:i w:val="1"/>
          <w:iCs w:val="1"/>
          <w:noProof w:val="0"/>
          <w:color w:val="0D0D0D" w:themeColor="text1" w:themeTint="F2" w:themeShade="FF"/>
          <w:sz w:val="24"/>
          <w:szCs w:val="24"/>
          <w:lang w:val="en-GB"/>
        </w:rPr>
        <w:t>Handbook of Clinical Neurology</w:t>
      </w:r>
      <w:r w:rsidRPr="6A370997" w:rsidR="2538138C">
        <w:rPr>
          <w:rFonts w:ascii="Arial" w:hAnsi="Arial" w:eastAsia="Arial" w:cs="Arial"/>
          <w:noProof w:val="0"/>
          <w:color w:val="0D0D0D" w:themeColor="text1" w:themeTint="F2" w:themeShade="FF"/>
          <w:sz w:val="24"/>
          <w:szCs w:val="24"/>
          <w:lang w:val="en-GB"/>
        </w:rPr>
        <w:t>, 144, pp. 113–126. doi: 10.1016/B978-0-12-801893-4.00010-9.</w:t>
      </w:r>
    </w:p>
    <w:p w:rsidR="0011089A" w:rsidP="6A370997" w:rsidRDefault="006E5409" w14:paraId="790BCBFC" w14:textId="79A6A2A9">
      <w:pPr>
        <w:pStyle w:val="Normal"/>
        <w:spacing w:before="0" w:beforeAutospacing="off" w:after="0" w:afterAutospacing="off" w:line="278" w:lineRule="auto"/>
        <w:ind w:left="720"/>
        <w:jc w:val="left"/>
        <w:rPr>
          <w:rFonts w:ascii="ui-sans-serif" w:hAnsi="ui-sans-serif" w:eastAsia="ui-sans-serif" w:cs="ui-sans-serif"/>
          <w:noProof w:val="0"/>
          <w:color w:val="0D0D0D" w:themeColor="text1" w:themeTint="F2" w:themeShade="FF"/>
          <w:sz w:val="24"/>
          <w:szCs w:val="24"/>
          <w:lang w:val="en-GB"/>
        </w:rPr>
      </w:pPr>
    </w:p>
    <w:p w:rsidR="0011089A" w:rsidP="6A370997" w:rsidRDefault="006E5409" w14:paraId="483030A5" w14:textId="2EDFA658">
      <w:pPr>
        <w:pStyle w:val="Normal"/>
        <w:spacing w:before="0" w:beforeAutospacing="off" w:after="0" w:afterAutospacing="off" w:line="278" w:lineRule="auto"/>
        <w:ind w:left="720"/>
        <w:jc w:val="left"/>
      </w:pPr>
      <w:r w:rsidRPr="6A370997" w:rsidR="2538138C">
        <w:rPr>
          <w:rFonts w:ascii="Arial" w:hAnsi="Arial" w:eastAsia="Arial" w:cs="Arial"/>
          <w:noProof w:val="0"/>
          <w:color w:val="0D0D0D" w:themeColor="text1" w:themeTint="F2" w:themeShade="FF"/>
          <w:sz w:val="24"/>
          <w:szCs w:val="24"/>
          <w:lang w:val="en-GB"/>
        </w:rPr>
        <w:t xml:space="preserve">Rensink, M.J., Bolt, L.L.E., Tibben, A., </w:t>
      </w:r>
      <w:r w:rsidRPr="6A370997" w:rsidR="2538138C">
        <w:rPr>
          <w:rFonts w:ascii="Arial" w:hAnsi="Arial" w:eastAsia="Arial" w:cs="Arial"/>
          <w:noProof w:val="0"/>
          <w:color w:val="0D0D0D" w:themeColor="text1" w:themeTint="F2" w:themeShade="FF"/>
          <w:sz w:val="24"/>
          <w:szCs w:val="24"/>
          <w:lang w:val="en-GB"/>
        </w:rPr>
        <w:t>Oosterloo</w:t>
      </w:r>
      <w:r w:rsidRPr="6A370997" w:rsidR="2538138C">
        <w:rPr>
          <w:rFonts w:ascii="Arial" w:hAnsi="Arial" w:eastAsia="Arial" w:cs="Arial"/>
          <w:noProof w:val="0"/>
          <w:color w:val="0D0D0D" w:themeColor="text1" w:themeTint="F2" w:themeShade="FF"/>
          <w:sz w:val="24"/>
          <w:szCs w:val="24"/>
          <w:lang w:val="en-GB"/>
        </w:rPr>
        <w:t xml:space="preserve">, M., van de Warrenburg, B.P.C. and Schermer, M.H.N. (2026) ‘Developing prognostic models that predict onset and progression rates in genetic neurodegenerative diseases: perspectives of healthcare professionals in genetic counselling’, </w:t>
      </w:r>
      <w:r w:rsidRPr="6A370997" w:rsidR="2538138C">
        <w:rPr>
          <w:rFonts w:ascii="Arial" w:hAnsi="Arial" w:eastAsia="Arial" w:cs="Arial"/>
          <w:i w:val="1"/>
          <w:iCs w:val="1"/>
          <w:noProof w:val="0"/>
          <w:color w:val="0D0D0D" w:themeColor="text1" w:themeTint="F2" w:themeShade="FF"/>
          <w:sz w:val="24"/>
          <w:szCs w:val="24"/>
          <w:lang w:val="en-GB"/>
        </w:rPr>
        <w:t>Orphanet Journal of Rare Diseases</w:t>
      </w:r>
      <w:r w:rsidRPr="6A370997" w:rsidR="2538138C">
        <w:rPr>
          <w:rFonts w:ascii="Arial" w:hAnsi="Arial" w:eastAsia="Arial" w:cs="Arial"/>
          <w:noProof w:val="0"/>
          <w:color w:val="0D0D0D" w:themeColor="text1" w:themeTint="F2" w:themeShade="FF"/>
          <w:sz w:val="24"/>
          <w:szCs w:val="24"/>
          <w:lang w:val="en-GB"/>
        </w:rPr>
        <w:t xml:space="preserve">, 21, 208. </w:t>
      </w:r>
      <w:r w:rsidRPr="6A370997" w:rsidR="2538138C">
        <w:rPr>
          <w:rFonts w:ascii="Arial" w:hAnsi="Arial" w:eastAsia="Arial" w:cs="Arial"/>
          <w:noProof w:val="0"/>
          <w:color w:val="0D0D0D" w:themeColor="text1" w:themeTint="F2" w:themeShade="FF"/>
          <w:sz w:val="24"/>
          <w:szCs w:val="24"/>
          <w:lang w:val="en-GB"/>
        </w:rPr>
        <w:t>doi</w:t>
      </w:r>
      <w:r w:rsidRPr="6A370997" w:rsidR="2538138C">
        <w:rPr>
          <w:rFonts w:ascii="Arial" w:hAnsi="Arial" w:eastAsia="Arial" w:cs="Arial"/>
          <w:noProof w:val="0"/>
          <w:color w:val="0D0D0D" w:themeColor="text1" w:themeTint="F2" w:themeShade="FF"/>
          <w:sz w:val="24"/>
          <w:szCs w:val="24"/>
          <w:lang w:val="en-GB"/>
        </w:rPr>
        <w:t>: 10.1186/s13023-026-04396-1.</w:t>
      </w:r>
      <w:r>
        <w:br/>
      </w:r>
      <w:r>
        <w:br/>
      </w:r>
      <w:r w:rsidRPr="6A370997" w:rsidR="75253C40">
        <w:rPr>
          <w:rFonts w:ascii="Arial" w:hAnsi="Arial" w:eastAsia="Arial" w:cs="Arial"/>
          <w:noProof w:val="0"/>
          <w:color w:val="0D0D0D" w:themeColor="text1" w:themeTint="F2" w:themeShade="FF"/>
          <w:sz w:val="24"/>
          <w:szCs w:val="24"/>
          <w:lang w:val="en-GB"/>
        </w:rPr>
        <w:t xml:space="preserve">Rivera-Navarro, J., Cubo, E. and Mariscal, N. (2015) ‘Analysis of the reasons for non-uptake of predictive testing for Huntington’s disease in Spain: A qualitative study’, </w:t>
      </w:r>
      <w:r w:rsidRPr="6A370997" w:rsidR="75253C40">
        <w:rPr>
          <w:rFonts w:ascii="Arial" w:hAnsi="Arial" w:eastAsia="Arial" w:cs="Arial"/>
          <w:i w:val="1"/>
          <w:iCs w:val="1"/>
          <w:noProof w:val="0"/>
          <w:color w:val="0D0D0D" w:themeColor="text1" w:themeTint="F2" w:themeShade="FF"/>
          <w:sz w:val="24"/>
          <w:szCs w:val="24"/>
          <w:lang w:val="en-GB"/>
        </w:rPr>
        <w:t>Journal of Genetic Counseling</w:t>
      </w:r>
      <w:r w:rsidRPr="6A370997" w:rsidR="75253C40">
        <w:rPr>
          <w:rFonts w:ascii="Arial" w:hAnsi="Arial" w:eastAsia="Arial" w:cs="Arial"/>
          <w:noProof w:val="0"/>
          <w:color w:val="0D0D0D" w:themeColor="text1" w:themeTint="F2" w:themeShade="FF"/>
          <w:sz w:val="24"/>
          <w:szCs w:val="24"/>
          <w:lang w:val="en-GB"/>
        </w:rPr>
        <w:t>, 24(6), pp. 1011–1021. doi: 10.1007/s10897-015-9840-x.</w:t>
      </w:r>
    </w:p>
    <w:p w:rsidR="0011089A" w:rsidP="6A370997" w:rsidRDefault="006E5409" w14:paraId="1647FB74" w14:textId="516E1D2A">
      <w:pPr>
        <w:pStyle w:val="Normal"/>
        <w:spacing w:before="0" w:beforeAutospacing="off" w:after="0" w:afterAutospacing="off" w:line="278" w:lineRule="auto"/>
        <w:ind w:left="720"/>
        <w:jc w:val="left"/>
      </w:pPr>
      <w:r>
        <w:br/>
      </w:r>
      <w:r w:rsidRPr="6A370997" w:rsidR="64372215">
        <w:rPr>
          <w:rFonts w:ascii="Arial" w:hAnsi="Arial" w:eastAsia="Arial" w:cs="Arial"/>
          <w:noProof w:val="0"/>
          <w:color w:val="000000" w:themeColor="text1" w:themeTint="FF" w:themeShade="FF"/>
          <w:sz w:val="24"/>
          <w:szCs w:val="24"/>
          <w:lang w:val="en-GB"/>
        </w:rPr>
        <w:t xml:space="preserve">Rolland, J.S. (1994) </w:t>
      </w:r>
      <w:r w:rsidRPr="6A370997" w:rsidR="64372215">
        <w:rPr>
          <w:rFonts w:ascii="Arial" w:hAnsi="Arial" w:eastAsia="Arial" w:cs="Arial"/>
          <w:i w:val="1"/>
          <w:iCs w:val="1"/>
          <w:noProof w:val="0"/>
          <w:color w:val="000000" w:themeColor="text1" w:themeTint="FF" w:themeShade="FF"/>
          <w:sz w:val="24"/>
          <w:szCs w:val="24"/>
          <w:lang w:val="en-GB"/>
        </w:rPr>
        <w:t>Families, illness, and disability: an integrative treatment model</w:t>
      </w:r>
      <w:r w:rsidRPr="6A370997" w:rsidR="64372215">
        <w:rPr>
          <w:rFonts w:ascii="Arial" w:hAnsi="Arial" w:eastAsia="Arial" w:cs="Arial"/>
          <w:noProof w:val="0"/>
          <w:color w:val="000000" w:themeColor="text1" w:themeTint="FF" w:themeShade="FF"/>
          <w:sz w:val="24"/>
          <w:szCs w:val="24"/>
          <w:lang w:val="en-GB"/>
        </w:rPr>
        <w:t xml:space="preserve">. New York: </w:t>
      </w:r>
      <w:r w:rsidRPr="6A370997" w:rsidR="64372215">
        <w:rPr>
          <w:rFonts w:ascii="Arial" w:hAnsi="Arial" w:eastAsia="Arial" w:cs="Arial"/>
          <w:noProof w:val="0"/>
          <w:color w:val="000000" w:themeColor="text1" w:themeTint="FF" w:themeShade="FF"/>
          <w:sz w:val="24"/>
          <w:szCs w:val="24"/>
          <w:lang w:val="en-GB"/>
        </w:rPr>
        <w:t>BasicBooks</w:t>
      </w:r>
      <w:r w:rsidRPr="6A370997" w:rsidR="64372215">
        <w:rPr>
          <w:rFonts w:ascii="Arial" w:hAnsi="Arial" w:eastAsia="Arial" w:cs="Arial"/>
          <w:noProof w:val="0"/>
          <w:color w:val="000000" w:themeColor="text1" w:themeTint="FF" w:themeShade="FF"/>
          <w:sz w:val="24"/>
          <w:szCs w:val="24"/>
          <w:lang w:val="en-GB"/>
        </w:rPr>
        <w:t>.</w:t>
      </w:r>
      <w:r>
        <w:br/>
      </w:r>
      <w:r>
        <w:br/>
      </w:r>
      <w:r w:rsidRPr="6A370997" w:rsidR="499C30D9">
        <w:rPr>
          <w:rFonts w:ascii="Arial" w:hAnsi="Arial" w:eastAsia="Arial" w:cs="Arial"/>
          <w:noProof w:val="0"/>
          <w:color w:val="0D0D0D" w:themeColor="text1" w:themeTint="F2" w:themeShade="FF"/>
          <w:sz w:val="24"/>
          <w:szCs w:val="24"/>
          <w:lang w:val="en-GB"/>
        </w:rPr>
        <w:t xml:space="preserve">Schriger, S.H., Nurse, C.N. and </w:t>
      </w:r>
      <w:r w:rsidRPr="6A370997" w:rsidR="499C30D9">
        <w:rPr>
          <w:rFonts w:ascii="Arial" w:hAnsi="Arial" w:eastAsia="Arial" w:cs="Arial"/>
          <w:noProof w:val="0"/>
          <w:color w:val="0D0D0D" w:themeColor="text1" w:themeTint="F2" w:themeShade="FF"/>
          <w:sz w:val="24"/>
          <w:szCs w:val="24"/>
          <w:lang w:val="en-GB"/>
        </w:rPr>
        <w:t>O’Hayer</w:t>
      </w:r>
      <w:r w:rsidRPr="6A370997" w:rsidR="499C30D9">
        <w:rPr>
          <w:rFonts w:ascii="Arial" w:hAnsi="Arial" w:eastAsia="Arial" w:cs="Arial"/>
          <w:noProof w:val="0"/>
          <w:color w:val="0D0D0D" w:themeColor="text1" w:themeTint="F2" w:themeShade="FF"/>
          <w:sz w:val="24"/>
          <w:szCs w:val="24"/>
          <w:lang w:val="en-GB"/>
        </w:rPr>
        <w:t xml:space="preserve">, C.V. (2025) ‘Acceptance and commitment therapy with Huntington’s disease: A narrative review and case report of a caregiver-assisted intervention’, </w:t>
      </w:r>
      <w:r w:rsidRPr="6A370997" w:rsidR="499C30D9">
        <w:rPr>
          <w:rFonts w:ascii="Arial" w:hAnsi="Arial" w:eastAsia="Arial" w:cs="Arial"/>
          <w:i w:val="1"/>
          <w:iCs w:val="1"/>
          <w:noProof w:val="0"/>
          <w:color w:val="0D0D0D" w:themeColor="text1" w:themeTint="F2" w:themeShade="FF"/>
          <w:sz w:val="24"/>
          <w:szCs w:val="24"/>
          <w:lang w:val="en-GB"/>
        </w:rPr>
        <w:t>Journal of Huntington’s Disease</w:t>
      </w:r>
      <w:r w:rsidRPr="6A370997" w:rsidR="499C30D9">
        <w:rPr>
          <w:rFonts w:ascii="Arial" w:hAnsi="Arial" w:eastAsia="Arial" w:cs="Arial"/>
          <w:noProof w:val="0"/>
          <w:color w:val="0D0D0D" w:themeColor="text1" w:themeTint="F2" w:themeShade="FF"/>
          <w:sz w:val="24"/>
          <w:szCs w:val="24"/>
          <w:lang w:val="en-GB"/>
        </w:rPr>
        <w:t xml:space="preserve">, 14(1), pp. 3–15. </w:t>
      </w:r>
      <w:r w:rsidRPr="6A370997" w:rsidR="499C30D9">
        <w:rPr>
          <w:rFonts w:ascii="Arial" w:hAnsi="Arial" w:eastAsia="Arial" w:cs="Arial"/>
          <w:noProof w:val="0"/>
          <w:color w:val="0D0D0D" w:themeColor="text1" w:themeTint="F2" w:themeShade="FF"/>
          <w:sz w:val="24"/>
          <w:szCs w:val="24"/>
          <w:lang w:val="en-GB"/>
        </w:rPr>
        <w:t>doi</w:t>
      </w:r>
      <w:r w:rsidRPr="6A370997" w:rsidR="499C30D9">
        <w:rPr>
          <w:rFonts w:ascii="Arial" w:hAnsi="Arial" w:eastAsia="Arial" w:cs="Arial"/>
          <w:noProof w:val="0"/>
          <w:color w:val="0D0D0D" w:themeColor="text1" w:themeTint="F2" w:themeShade="FF"/>
          <w:sz w:val="24"/>
          <w:szCs w:val="24"/>
          <w:lang w:val="en-GB"/>
        </w:rPr>
        <w:t>: 10.1177/18796397251315162.</w:t>
      </w:r>
    </w:p>
    <w:p w:rsidR="0011089A" w:rsidP="6A370997" w:rsidRDefault="006E5409" w14:paraId="5331157E" w14:textId="6E0BD84C">
      <w:pPr>
        <w:pStyle w:val="Normal"/>
        <w:spacing w:before="0" w:beforeAutospacing="off" w:after="0" w:afterAutospacing="off" w:line="278" w:lineRule="auto"/>
        <w:ind w:left="720"/>
        <w:jc w:val="left"/>
        <w:rPr>
          <w:rFonts w:ascii="ui-sans-serif" w:hAnsi="ui-sans-serif" w:eastAsia="ui-sans-serif" w:cs="ui-sans-serif"/>
          <w:noProof w:val="0"/>
          <w:color w:val="0D0D0D" w:themeColor="text1" w:themeTint="F2" w:themeShade="FF"/>
          <w:sz w:val="24"/>
          <w:szCs w:val="24"/>
          <w:lang w:val="en-GB"/>
        </w:rPr>
      </w:pPr>
    </w:p>
    <w:p w:rsidR="0011089A" w:rsidP="6A370997" w:rsidRDefault="006E5409" w14:paraId="5FD4F491" w14:textId="59DE85D7">
      <w:pPr>
        <w:pStyle w:val="Normal"/>
        <w:spacing w:before="0" w:beforeAutospacing="off" w:after="0" w:afterAutospacing="off" w:line="240" w:lineRule="auto"/>
        <w:ind w:left="720"/>
        <w:jc w:val="left"/>
      </w:pPr>
      <w:r w:rsidRPr="6A370997" w:rsidR="4FD8FC49">
        <w:rPr>
          <w:rFonts w:ascii="Arial" w:hAnsi="Arial" w:eastAsia="Arial" w:cs="Arial"/>
          <w:noProof w:val="0"/>
          <w:color w:val="0D0D0D" w:themeColor="text1" w:themeTint="F2" w:themeShade="FF"/>
          <w:sz w:val="24"/>
          <w:szCs w:val="24"/>
          <w:lang w:val="en-GB"/>
        </w:rPr>
        <w:t xml:space="preserve">Sharma, P.K., Aram, A., </w:t>
      </w:r>
      <w:r w:rsidRPr="6A370997" w:rsidR="4FD8FC49">
        <w:rPr>
          <w:rFonts w:ascii="Arial" w:hAnsi="Arial" w:eastAsia="Arial" w:cs="Arial"/>
          <w:noProof w:val="0"/>
          <w:color w:val="0D0D0D" w:themeColor="text1" w:themeTint="F2" w:themeShade="FF"/>
          <w:sz w:val="24"/>
          <w:szCs w:val="24"/>
          <w:lang w:val="en-GB"/>
        </w:rPr>
        <w:t>Polaka</w:t>
      </w:r>
      <w:r w:rsidRPr="6A370997" w:rsidR="4FD8FC49">
        <w:rPr>
          <w:rFonts w:ascii="Arial" w:hAnsi="Arial" w:eastAsia="Arial" w:cs="Arial"/>
          <w:noProof w:val="0"/>
          <w:color w:val="0D0D0D" w:themeColor="text1" w:themeTint="F2" w:themeShade="FF"/>
          <w:sz w:val="24"/>
          <w:szCs w:val="24"/>
          <w:lang w:val="en-GB"/>
        </w:rPr>
        <w:t xml:space="preserve">, Y. and Pandian, V. (2024) ‘Huntington’s disease: A report of an interesting case and literature review’, </w:t>
      </w:r>
      <w:r w:rsidRPr="6A370997" w:rsidR="4FD8FC49">
        <w:rPr>
          <w:rFonts w:ascii="Arial" w:hAnsi="Arial" w:eastAsia="Arial" w:cs="Arial"/>
          <w:i w:val="1"/>
          <w:iCs w:val="1"/>
          <w:noProof w:val="0"/>
          <w:color w:val="0D0D0D" w:themeColor="text1" w:themeTint="F2" w:themeShade="FF"/>
          <w:sz w:val="24"/>
          <w:szCs w:val="24"/>
          <w:lang w:val="en-GB"/>
        </w:rPr>
        <w:t>Cureus</w:t>
      </w:r>
      <w:r w:rsidRPr="6A370997" w:rsidR="4FD8FC49">
        <w:rPr>
          <w:rFonts w:ascii="Arial" w:hAnsi="Arial" w:eastAsia="Arial" w:cs="Arial"/>
          <w:noProof w:val="0"/>
          <w:color w:val="0D0D0D" w:themeColor="text1" w:themeTint="F2" w:themeShade="FF"/>
          <w:sz w:val="24"/>
          <w:szCs w:val="24"/>
          <w:lang w:val="en-GB"/>
        </w:rPr>
        <w:t xml:space="preserve">, 16(3), e55443. </w:t>
      </w:r>
      <w:r w:rsidRPr="6A370997" w:rsidR="4FD8FC49">
        <w:rPr>
          <w:rFonts w:ascii="Arial" w:hAnsi="Arial" w:eastAsia="Arial" w:cs="Arial"/>
          <w:noProof w:val="0"/>
          <w:color w:val="0D0D0D" w:themeColor="text1" w:themeTint="F2" w:themeShade="FF"/>
          <w:sz w:val="24"/>
          <w:szCs w:val="24"/>
          <w:lang w:val="en-GB"/>
        </w:rPr>
        <w:t>doi</w:t>
      </w:r>
      <w:r w:rsidRPr="6A370997" w:rsidR="4FD8FC49">
        <w:rPr>
          <w:rFonts w:ascii="Arial" w:hAnsi="Arial" w:eastAsia="Arial" w:cs="Arial"/>
          <w:noProof w:val="0"/>
          <w:color w:val="0D0D0D" w:themeColor="text1" w:themeTint="F2" w:themeShade="FF"/>
          <w:sz w:val="24"/>
          <w:szCs w:val="24"/>
          <w:lang w:val="en-GB"/>
        </w:rPr>
        <w:t>: 10.7759/cureus.55443.</w:t>
      </w:r>
      <w:r>
        <w:br/>
      </w:r>
      <w:r>
        <w:br/>
      </w:r>
      <w:r w:rsidRPr="6A370997" w:rsidR="0632DFD0">
        <w:rPr>
          <w:rFonts w:ascii="Arial" w:hAnsi="Arial" w:eastAsia="Arial" w:cs="Arial"/>
          <w:noProof w:val="0"/>
          <w:color w:val="0D0D0D" w:themeColor="text1" w:themeTint="F2" w:themeShade="FF"/>
          <w:sz w:val="24"/>
          <w:szCs w:val="24"/>
          <w:lang w:val="en-GB"/>
        </w:rPr>
        <w:t xml:space="preserve">Shiloh, S. (1996) ‘Genetic counseling: A developing area of interest for psychologists’, </w:t>
      </w:r>
      <w:r w:rsidRPr="6A370997" w:rsidR="0632DFD0">
        <w:rPr>
          <w:rFonts w:ascii="Arial" w:hAnsi="Arial" w:eastAsia="Arial" w:cs="Arial"/>
          <w:i w:val="1"/>
          <w:iCs w:val="1"/>
          <w:noProof w:val="0"/>
          <w:color w:val="0D0D0D" w:themeColor="text1" w:themeTint="F2" w:themeShade="FF"/>
          <w:sz w:val="24"/>
          <w:szCs w:val="24"/>
          <w:lang w:val="en-GB"/>
        </w:rPr>
        <w:t>Professional Psychology: Research and Practice</w:t>
      </w:r>
      <w:r w:rsidRPr="6A370997" w:rsidR="0632DFD0">
        <w:rPr>
          <w:rFonts w:ascii="Arial" w:hAnsi="Arial" w:eastAsia="Arial" w:cs="Arial"/>
          <w:noProof w:val="0"/>
          <w:color w:val="0D0D0D" w:themeColor="text1" w:themeTint="F2" w:themeShade="FF"/>
          <w:sz w:val="24"/>
          <w:szCs w:val="24"/>
          <w:lang w:val="en-GB"/>
        </w:rPr>
        <w:t>, 27(5), pp. 475–486. doi: 10.1037/0735-7028.27.5.475.</w:t>
      </w:r>
    </w:p>
    <w:p w:rsidR="0011089A" w:rsidP="6A370997" w:rsidRDefault="006E5409" w14:paraId="75F3ADA6" w14:textId="42A095D0">
      <w:pPr>
        <w:pStyle w:val="Normal"/>
        <w:spacing w:before="0" w:beforeAutospacing="off" w:after="0" w:afterAutospacing="off" w:line="240" w:lineRule="auto"/>
        <w:ind w:left="720"/>
        <w:jc w:val="left"/>
      </w:pPr>
      <w:r>
        <w:br/>
      </w:r>
      <w:r w:rsidRPr="6A370997" w:rsidR="0B268AD0">
        <w:rPr>
          <w:rFonts w:ascii="Arial" w:hAnsi="Arial" w:eastAsia="Arial" w:cs="Arial"/>
          <w:noProof w:val="0"/>
          <w:color w:val="0D0D0D" w:themeColor="text1" w:themeTint="F2" w:themeShade="FF"/>
          <w:sz w:val="24"/>
          <w:szCs w:val="24"/>
          <w:lang w:val="en-GB"/>
        </w:rPr>
        <w:t xml:space="preserve">Smedley, R.M. and Coulson, N.S. (2021) ‘Genetic testing for Huntington’s disease: A thematic analysis of online support community messages’, </w:t>
      </w:r>
      <w:r w:rsidRPr="6A370997" w:rsidR="0B268AD0">
        <w:rPr>
          <w:rFonts w:ascii="Arial" w:hAnsi="Arial" w:eastAsia="Arial" w:cs="Arial"/>
          <w:i w:val="1"/>
          <w:iCs w:val="1"/>
          <w:noProof w:val="0"/>
          <w:color w:val="0D0D0D" w:themeColor="text1" w:themeTint="F2" w:themeShade="FF"/>
          <w:sz w:val="24"/>
          <w:szCs w:val="24"/>
          <w:lang w:val="en-GB"/>
        </w:rPr>
        <w:t>Journal of Health Psychology</w:t>
      </w:r>
      <w:r w:rsidRPr="6A370997" w:rsidR="0B268AD0">
        <w:rPr>
          <w:rFonts w:ascii="Arial" w:hAnsi="Arial" w:eastAsia="Arial" w:cs="Arial"/>
          <w:noProof w:val="0"/>
          <w:color w:val="0D0D0D" w:themeColor="text1" w:themeTint="F2" w:themeShade="FF"/>
          <w:sz w:val="24"/>
          <w:szCs w:val="24"/>
          <w:lang w:val="en-GB"/>
        </w:rPr>
        <w:t xml:space="preserve">, 26(4), pp. 580–594. </w:t>
      </w:r>
      <w:r w:rsidRPr="6A370997" w:rsidR="0B268AD0">
        <w:rPr>
          <w:rFonts w:ascii="Arial" w:hAnsi="Arial" w:eastAsia="Arial" w:cs="Arial"/>
          <w:noProof w:val="0"/>
          <w:color w:val="0D0D0D" w:themeColor="text1" w:themeTint="F2" w:themeShade="FF"/>
          <w:sz w:val="24"/>
          <w:szCs w:val="24"/>
          <w:lang w:val="en-GB"/>
        </w:rPr>
        <w:t>doi</w:t>
      </w:r>
      <w:r w:rsidRPr="6A370997" w:rsidR="0B268AD0">
        <w:rPr>
          <w:rFonts w:ascii="Arial" w:hAnsi="Arial" w:eastAsia="Arial" w:cs="Arial"/>
          <w:noProof w:val="0"/>
          <w:color w:val="0D0D0D" w:themeColor="text1" w:themeTint="F2" w:themeShade="FF"/>
          <w:sz w:val="24"/>
          <w:szCs w:val="24"/>
          <w:lang w:val="en-GB"/>
        </w:rPr>
        <w:t>: 10.1177/1359105319826340.</w:t>
      </w:r>
      <w:r>
        <w:br/>
      </w:r>
      <w:r>
        <w:br/>
      </w:r>
      <w:r w:rsidRPr="6A370997" w:rsidR="1B4D09F1">
        <w:rPr>
          <w:rFonts w:ascii="Arial" w:hAnsi="Arial" w:eastAsia="Arial" w:cs="Arial"/>
          <w:b w:val="0"/>
          <w:bCs w:val="0"/>
          <w:noProof w:val="0"/>
          <w:color w:val="0D0D0D" w:themeColor="text1" w:themeTint="F2" w:themeShade="FF"/>
          <w:sz w:val="24"/>
          <w:szCs w:val="24"/>
          <w:lang w:val="en-GB"/>
        </w:rPr>
        <w:t xml:space="preserve">Smith, J.A. and Osbborn, M. (2008) ‘The fearfulness of chronic pain and the centrality of the therapeutic relationship in containing it: An interpretative phenomenological analysis’, </w:t>
      </w:r>
      <w:r w:rsidRPr="6A370997" w:rsidR="1B4D09F1">
        <w:rPr>
          <w:rFonts w:ascii="Arial" w:hAnsi="Arial" w:eastAsia="Arial" w:cs="Arial"/>
          <w:b w:val="0"/>
          <w:bCs w:val="0"/>
          <w:i w:val="1"/>
          <w:iCs w:val="1"/>
          <w:noProof w:val="0"/>
          <w:color w:val="0D0D0D" w:themeColor="text1" w:themeTint="F2" w:themeShade="FF"/>
          <w:sz w:val="24"/>
          <w:szCs w:val="24"/>
          <w:lang w:val="en-GB"/>
        </w:rPr>
        <w:t>Qualitative Research in Psychology</w:t>
      </w:r>
      <w:r w:rsidRPr="6A370997" w:rsidR="1B4D09F1">
        <w:rPr>
          <w:rFonts w:ascii="Arial" w:hAnsi="Arial" w:eastAsia="Arial" w:cs="Arial"/>
          <w:b w:val="0"/>
          <w:bCs w:val="0"/>
          <w:noProof w:val="0"/>
          <w:color w:val="0D0D0D" w:themeColor="text1" w:themeTint="F2" w:themeShade="FF"/>
          <w:sz w:val="24"/>
          <w:szCs w:val="24"/>
          <w:lang w:val="en-GB"/>
        </w:rPr>
        <w:t xml:space="preserve">, 5(4), pp. 276–288. </w:t>
      </w:r>
      <w:r w:rsidRPr="6A370997" w:rsidR="1B4D09F1">
        <w:rPr>
          <w:rFonts w:ascii="Arial" w:hAnsi="Arial" w:eastAsia="Arial" w:cs="Arial"/>
          <w:b w:val="0"/>
          <w:bCs w:val="0"/>
          <w:noProof w:val="0"/>
          <w:color w:val="0D0D0D" w:themeColor="text1" w:themeTint="F2" w:themeShade="FF"/>
          <w:sz w:val="24"/>
          <w:szCs w:val="24"/>
          <w:lang w:val="en-GB"/>
        </w:rPr>
        <w:t>doi</w:t>
      </w:r>
      <w:r w:rsidRPr="6A370997" w:rsidR="1B4D09F1">
        <w:rPr>
          <w:rFonts w:ascii="Arial" w:hAnsi="Arial" w:eastAsia="Arial" w:cs="Arial"/>
          <w:b w:val="0"/>
          <w:bCs w:val="0"/>
          <w:noProof w:val="0"/>
          <w:color w:val="0D0D0D" w:themeColor="text1" w:themeTint="F2" w:themeShade="FF"/>
          <w:sz w:val="24"/>
          <w:szCs w:val="24"/>
          <w:lang w:val="en-GB"/>
        </w:rPr>
        <w:t>: 10.1080/14780880701826143.</w:t>
      </w:r>
      <w:r>
        <w:br/>
      </w:r>
      <w:r>
        <w:br/>
      </w:r>
      <w:r w:rsidRPr="6A370997" w:rsidR="23E19F1C">
        <w:rPr>
          <w:rFonts w:ascii="Arial" w:hAnsi="Arial" w:eastAsia="Arial" w:cs="Arial"/>
          <w:noProof w:val="0"/>
          <w:color w:val="0D0D0D" w:themeColor="text1" w:themeTint="F2" w:themeShade="FF"/>
          <w:sz w:val="24"/>
          <w:szCs w:val="24"/>
          <w:lang w:val="en-GB"/>
        </w:rPr>
        <w:t xml:space="preserve">Smith, J.A. and Osborn, M. (2015) ‘Interpretative phenomenological analysis as a useful methodology for research on the lived experience of pain’, </w:t>
      </w:r>
      <w:r w:rsidRPr="6A370997" w:rsidR="23E19F1C">
        <w:rPr>
          <w:rFonts w:ascii="Arial" w:hAnsi="Arial" w:eastAsia="Arial" w:cs="Arial"/>
          <w:i w:val="1"/>
          <w:iCs w:val="1"/>
          <w:noProof w:val="0"/>
          <w:color w:val="0D0D0D" w:themeColor="text1" w:themeTint="F2" w:themeShade="FF"/>
          <w:sz w:val="24"/>
          <w:szCs w:val="24"/>
          <w:lang w:val="en-GB"/>
        </w:rPr>
        <w:t>British Journal of Pain</w:t>
      </w:r>
      <w:r w:rsidRPr="6A370997" w:rsidR="23E19F1C">
        <w:rPr>
          <w:rFonts w:ascii="Arial" w:hAnsi="Arial" w:eastAsia="Arial" w:cs="Arial"/>
          <w:noProof w:val="0"/>
          <w:color w:val="0D0D0D" w:themeColor="text1" w:themeTint="F2" w:themeShade="FF"/>
          <w:sz w:val="24"/>
          <w:szCs w:val="24"/>
          <w:lang w:val="en-GB"/>
        </w:rPr>
        <w:t>, 9(1), pp. 41–42. doi: 10.1177/2049463714541642.</w:t>
      </w:r>
    </w:p>
    <w:p w:rsidR="0011089A" w:rsidP="6A370997" w:rsidRDefault="006E5409" w14:paraId="3CFA9804" w14:textId="656CF3B3">
      <w:pPr>
        <w:pStyle w:val="Normal"/>
        <w:spacing w:before="0" w:beforeAutospacing="off" w:after="0" w:afterAutospacing="off" w:line="240" w:lineRule="auto"/>
        <w:ind w:left="720"/>
        <w:jc w:val="left"/>
      </w:pPr>
      <w:r w:rsidRPr="6A370997" w:rsidR="64372215">
        <w:rPr>
          <w:rFonts w:ascii="Arial" w:hAnsi="Arial" w:eastAsia="Arial" w:cs="Arial"/>
          <w:noProof w:val="0"/>
          <w:color w:val="000000" w:themeColor="text1" w:themeTint="FF" w:themeShade="FF"/>
          <w:sz w:val="24"/>
          <w:szCs w:val="24"/>
          <w:lang w:val="en-GB"/>
        </w:rPr>
        <w:t xml:space="preserve">Smith, J.A., Flowers, </w:t>
      </w:r>
      <w:r w:rsidRPr="6A370997" w:rsidR="64372215">
        <w:rPr>
          <w:rFonts w:ascii="Arial" w:hAnsi="Arial" w:eastAsia="Arial" w:cs="Arial"/>
          <w:noProof w:val="0"/>
          <w:color w:val="000000" w:themeColor="text1" w:themeTint="FF" w:themeShade="FF"/>
          <w:sz w:val="24"/>
          <w:szCs w:val="24"/>
          <w:lang w:val="en-GB"/>
        </w:rPr>
        <w:t>P.</w:t>
      </w:r>
      <w:r w:rsidRPr="6A370997" w:rsidR="64372215">
        <w:rPr>
          <w:rFonts w:ascii="Arial" w:hAnsi="Arial" w:eastAsia="Arial" w:cs="Arial"/>
          <w:noProof w:val="0"/>
          <w:color w:val="000000" w:themeColor="text1" w:themeTint="FF" w:themeShade="FF"/>
          <w:sz w:val="24"/>
          <w:szCs w:val="24"/>
          <w:lang w:val="en-GB"/>
        </w:rPr>
        <w:t xml:space="preserve"> and Larkin, M. (2022) </w:t>
      </w:r>
      <w:r w:rsidRPr="6A370997" w:rsidR="64372215">
        <w:rPr>
          <w:rFonts w:ascii="Arial" w:hAnsi="Arial" w:eastAsia="Arial" w:cs="Arial"/>
          <w:i w:val="1"/>
          <w:iCs w:val="1"/>
          <w:noProof w:val="0"/>
          <w:color w:val="000000" w:themeColor="text1" w:themeTint="FF" w:themeShade="FF"/>
          <w:sz w:val="24"/>
          <w:szCs w:val="24"/>
          <w:lang w:val="en-GB"/>
        </w:rPr>
        <w:t xml:space="preserve">Interpretative phenomenological analysis: theory, </w:t>
      </w:r>
      <w:r w:rsidRPr="6A370997" w:rsidR="64372215">
        <w:rPr>
          <w:rFonts w:ascii="Arial" w:hAnsi="Arial" w:eastAsia="Arial" w:cs="Arial"/>
          <w:i w:val="1"/>
          <w:iCs w:val="1"/>
          <w:noProof w:val="0"/>
          <w:color w:val="000000" w:themeColor="text1" w:themeTint="FF" w:themeShade="FF"/>
          <w:sz w:val="24"/>
          <w:szCs w:val="24"/>
          <w:lang w:val="en-GB"/>
        </w:rPr>
        <w:t>method</w:t>
      </w:r>
      <w:r w:rsidRPr="6A370997" w:rsidR="64372215">
        <w:rPr>
          <w:rFonts w:ascii="Arial" w:hAnsi="Arial" w:eastAsia="Arial" w:cs="Arial"/>
          <w:i w:val="1"/>
          <w:iCs w:val="1"/>
          <w:noProof w:val="0"/>
          <w:color w:val="000000" w:themeColor="text1" w:themeTint="FF" w:themeShade="FF"/>
          <w:sz w:val="24"/>
          <w:szCs w:val="24"/>
          <w:lang w:val="en-GB"/>
        </w:rPr>
        <w:t xml:space="preserve"> and research</w:t>
      </w:r>
      <w:r w:rsidRPr="6A370997" w:rsidR="64372215">
        <w:rPr>
          <w:rFonts w:ascii="Arial" w:hAnsi="Arial" w:eastAsia="Arial" w:cs="Arial"/>
          <w:noProof w:val="0"/>
          <w:color w:val="000000" w:themeColor="text1" w:themeTint="FF" w:themeShade="FF"/>
          <w:sz w:val="24"/>
          <w:szCs w:val="24"/>
          <w:lang w:val="en-GB"/>
        </w:rPr>
        <w:t xml:space="preserve">. 2nd </w:t>
      </w:r>
      <w:r w:rsidRPr="6A370997" w:rsidR="64372215">
        <w:rPr>
          <w:rFonts w:ascii="Arial" w:hAnsi="Arial" w:eastAsia="Arial" w:cs="Arial"/>
          <w:noProof w:val="0"/>
          <w:color w:val="000000" w:themeColor="text1" w:themeTint="FF" w:themeShade="FF"/>
          <w:sz w:val="24"/>
          <w:szCs w:val="24"/>
          <w:lang w:val="en-GB"/>
        </w:rPr>
        <w:t>edn</w:t>
      </w:r>
      <w:r w:rsidRPr="6A370997" w:rsidR="64372215">
        <w:rPr>
          <w:rFonts w:ascii="Arial" w:hAnsi="Arial" w:eastAsia="Arial" w:cs="Arial"/>
          <w:noProof w:val="0"/>
          <w:color w:val="000000" w:themeColor="text1" w:themeTint="FF" w:themeShade="FF"/>
          <w:sz w:val="24"/>
          <w:szCs w:val="24"/>
          <w:lang w:val="en-GB"/>
        </w:rPr>
        <w:t>. London: SAGE Publications.</w:t>
      </w:r>
      <w:r>
        <w:br/>
      </w:r>
      <w:r>
        <w:br/>
      </w:r>
      <w:r w:rsidRPr="6A370997" w:rsidR="3EE118A2">
        <w:rPr>
          <w:rFonts w:ascii="Arial" w:hAnsi="Arial" w:eastAsia="Arial" w:cs="Arial"/>
          <w:noProof w:val="0"/>
          <w:color w:val="0D0D0D" w:themeColor="text1" w:themeTint="F2" w:themeShade="FF"/>
          <w:sz w:val="24"/>
          <w:szCs w:val="24"/>
          <w:lang w:val="en-GB"/>
        </w:rPr>
        <w:t xml:space="preserve">Spargo, T.P., Iacoangeli, A., Ryten, M., Forzano, F., Pearce, N. and Al-Chalabi, A. (2025) ‘Modelling population genetic screening in rare neurodegenerative diseases’, </w:t>
      </w:r>
      <w:r w:rsidRPr="6A370997" w:rsidR="3EE118A2">
        <w:rPr>
          <w:rFonts w:ascii="Arial" w:hAnsi="Arial" w:eastAsia="Arial" w:cs="Arial"/>
          <w:i w:val="1"/>
          <w:iCs w:val="1"/>
          <w:noProof w:val="0"/>
          <w:color w:val="0D0D0D" w:themeColor="text1" w:themeTint="F2" w:themeShade="FF"/>
          <w:sz w:val="24"/>
          <w:szCs w:val="24"/>
          <w:lang w:val="en-GB"/>
        </w:rPr>
        <w:t>Biomedicines</w:t>
      </w:r>
      <w:r w:rsidRPr="6A370997" w:rsidR="3EE118A2">
        <w:rPr>
          <w:rFonts w:ascii="Arial" w:hAnsi="Arial" w:eastAsia="Arial" w:cs="Arial"/>
          <w:noProof w:val="0"/>
          <w:color w:val="0D0D0D" w:themeColor="text1" w:themeTint="F2" w:themeShade="FF"/>
          <w:sz w:val="24"/>
          <w:szCs w:val="24"/>
          <w:lang w:val="en-GB"/>
        </w:rPr>
        <w:t>, 13(5), 1018. doi: 10.3390/biomedicines13051018</w:t>
      </w:r>
    </w:p>
    <w:p w:rsidR="0011089A" w:rsidP="6A370997" w:rsidRDefault="006E5409" w14:paraId="099ED756" w14:textId="4BBF767E">
      <w:pPr>
        <w:pStyle w:val="Normal"/>
        <w:spacing w:before="0" w:beforeAutospacing="off" w:after="0" w:afterAutospacing="off" w:line="240" w:lineRule="auto"/>
        <w:ind w:left="720"/>
        <w:jc w:val="left"/>
        <w:rPr>
          <w:rFonts w:ascii="ui-sans-serif" w:hAnsi="ui-sans-serif" w:eastAsia="ui-sans-serif" w:cs="ui-sans-serif"/>
          <w:noProof w:val="0"/>
          <w:color w:val="0D0D0D" w:themeColor="text1" w:themeTint="F2" w:themeShade="FF"/>
          <w:sz w:val="24"/>
          <w:szCs w:val="24"/>
          <w:lang w:val="en-GB"/>
        </w:rPr>
      </w:pPr>
      <w:r>
        <w:br/>
      </w:r>
      <w:r w:rsidRPr="6A370997" w:rsidR="4F02DDAC">
        <w:rPr>
          <w:rFonts w:ascii="Arial" w:hAnsi="Arial" w:eastAsia="Arial" w:cs="Arial"/>
          <w:noProof w:val="0"/>
          <w:color w:val="0D0D0D" w:themeColor="text1" w:themeTint="F2" w:themeShade="FF"/>
          <w:sz w:val="24"/>
          <w:szCs w:val="24"/>
          <w:lang w:val="en-GB"/>
        </w:rPr>
        <w:t xml:space="preserve">Spiers, </w:t>
      </w:r>
      <w:r w:rsidRPr="6A370997" w:rsidR="4F02DDAC">
        <w:rPr>
          <w:rFonts w:ascii="Arial" w:hAnsi="Arial" w:eastAsia="Arial" w:cs="Arial"/>
          <w:noProof w:val="0"/>
          <w:color w:val="0D0D0D" w:themeColor="text1" w:themeTint="F2" w:themeShade="FF"/>
          <w:sz w:val="24"/>
          <w:szCs w:val="24"/>
          <w:lang w:val="en-GB"/>
        </w:rPr>
        <w:t>J.</w:t>
      </w:r>
      <w:r w:rsidRPr="6A370997" w:rsidR="4F02DDAC">
        <w:rPr>
          <w:rFonts w:ascii="Arial" w:hAnsi="Arial" w:eastAsia="Arial" w:cs="Arial"/>
          <w:noProof w:val="0"/>
          <w:color w:val="0D0D0D" w:themeColor="text1" w:themeTint="F2" w:themeShade="FF"/>
          <w:sz w:val="24"/>
          <w:szCs w:val="24"/>
          <w:lang w:val="en-GB"/>
        </w:rPr>
        <w:t xml:space="preserve"> and Riley, R. (2019) ‘Analysing one dataset with two qualitative methods: The distress of general practitioners, a thematic and interpretative phenomenological analysis’, </w:t>
      </w:r>
      <w:r w:rsidRPr="6A370997" w:rsidR="4F02DDAC">
        <w:rPr>
          <w:rFonts w:ascii="Arial" w:hAnsi="Arial" w:eastAsia="Arial" w:cs="Arial"/>
          <w:i w:val="1"/>
          <w:iCs w:val="1"/>
          <w:noProof w:val="0"/>
          <w:color w:val="0D0D0D" w:themeColor="text1" w:themeTint="F2" w:themeShade="FF"/>
          <w:sz w:val="24"/>
          <w:szCs w:val="24"/>
          <w:lang w:val="en-GB"/>
        </w:rPr>
        <w:t>Qualitative Research in Psychology</w:t>
      </w:r>
      <w:r w:rsidRPr="6A370997" w:rsidR="4F02DDAC">
        <w:rPr>
          <w:rFonts w:ascii="Arial" w:hAnsi="Arial" w:eastAsia="Arial" w:cs="Arial"/>
          <w:noProof w:val="0"/>
          <w:color w:val="0D0D0D" w:themeColor="text1" w:themeTint="F2" w:themeShade="FF"/>
          <w:sz w:val="24"/>
          <w:szCs w:val="24"/>
          <w:lang w:val="en-GB"/>
        </w:rPr>
        <w:t xml:space="preserve">, 16(2), pp. 276–290. </w:t>
      </w:r>
      <w:r w:rsidRPr="6A370997" w:rsidR="4F02DDAC">
        <w:rPr>
          <w:rFonts w:ascii="Arial" w:hAnsi="Arial" w:eastAsia="Arial" w:cs="Arial"/>
          <w:noProof w:val="0"/>
          <w:color w:val="0D0D0D" w:themeColor="text1" w:themeTint="F2" w:themeShade="FF"/>
          <w:sz w:val="24"/>
          <w:szCs w:val="24"/>
          <w:lang w:val="en-GB"/>
        </w:rPr>
        <w:t>doi</w:t>
      </w:r>
      <w:r w:rsidRPr="6A370997" w:rsidR="4F02DDAC">
        <w:rPr>
          <w:rFonts w:ascii="Arial" w:hAnsi="Arial" w:eastAsia="Arial" w:cs="Arial"/>
          <w:noProof w:val="0"/>
          <w:color w:val="0D0D0D" w:themeColor="text1" w:themeTint="F2" w:themeShade="FF"/>
          <w:sz w:val="24"/>
          <w:szCs w:val="24"/>
          <w:lang w:val="en-GB"/>
        </w:rPr>
        <w:t>: 10.1080/14780887.2018.1543099.</w:t>
      </w:r>
      <w:r>
        <w:br/>
      </w:r>
    </w:p>
    <w:p w:rsidR="0011089A" w:rsidP="6A370997" w:rsidRDefault="006E5409" w14:paraId="56C7F4F9" w14:textId="0D6BD6FD">
      <w:pPr>
        <w:pStyle w:val="Normal"/>
        <w:spacing w:before="0" w:beforeAutospacing="off" w:after="0" w:afterAutospacing="off" w:line="240" w:lineRule="auto"/>
        <w:ind w:left="720"/>
        <w:jc w:val="left"/>
        <w:rPr>
          <w:rFonts w:ascii="Arial" w:hAnsi="Arial" w:eastAsia="Arial" w:cs="Arial"/>
          <w:noProof w:val="0"/>
          <w:color w:val="0D0D0D" w:themeColor="text1" w:themeTint="F2" w:themeShade="FF"/>
          <w:sz w:val="24"/>
          <w:szCs w:val="24"/>
          <w:lang w:val="en-GB"/>
        </w:rPr>
      </w:pPr>
      <w:r w:rsidRPr="6A370997" w:rsidR="008DF86E">
        <w:rPr>
          <w:rFonts w:ascii="Arial" w:hAnsi="Arial" w:eastAsia="Arial" w:cs="Arial"/>
          <w:noProof w:val="0"/>
          <w:color w:val="0D0D0D" w:themeColor="text1" w:themeTint="F2" w:themeShade="FF"/>
          <w:sz w:val="24"/>
          <w:szCs w:val="24"/>
          <w:lang w:val="en-GB"/>
        </w:rPr>
        <w:t>Stopford, C., Ferrer-Duch, M., Moldovan, R. and MacLeod, R. (2020) ‘Improving follow-up after predictive testing in Huntington’s disease: Evaluating a genetic counselling</w:t>
      </w:r>
      <w:r w:rsidRPr="6A370997" w:rsidR="008DF86E">
        <w:rPr>
          <w:rFonts w:ascii="Arial" w:hAnsi="Arial" w:eastAsia="Arial" w:cs="Arial"/>
          <w:noProof w:val="0"/>
          <w:color w:val="0D0D0D" w:themeColor="text1" w:themeTint="F2" w:themeShade="FF"/>
          <w:sz w:val="24"/>
          <w:szCs w:val="24"/>
          <w:lang w:val="en-GB"/>
        </w:rPr>
        <w:t xml:space="preserve"> nar</w:t>
      </w:r>
      <w:r w:rsidRPr="6A370997" w:rsidR="008DF86E">
        <w:rPr>
          <w:rFonts w:ascii="Arial" w:hAnsi="Arial" w:eastAsia="Arial" w:cs="Arial"/>
          <w:noProof w:val="0"/>
          <w:color w:val="0D0D0D" w:themeColor="text1" w:themeTint="F2" w:themeShade="FF"/>
          <w:sz w:val="24"/>
          <w:szCs w:val="24"/>
          <w:lang w:val="en-GB"/>
        </w:rPr>
        <w:t xml:space="preserve">rative group session’, </w:t>
      </w:r>
      <w:r w:rsidRPr="6A370997" w:rsidR="008DF86E">
        <w:rPr>
          <w:rFonts w:ascii="Arial" w:hAnsi="Arial" w:eastAsia="Arial" w:cs="Arial"/>
          <w:i w:val="1"/>
          <w:iCs w:val="1"/>
          <w:noProof w:val="0"/>
          <w:color w:val="0D0D0D" w:themeColor="text1" w:themeTint="F2" w:themeShade="FF"/>
          <w:sz w:val="24"/>
          <w:szCs w:val="24"/>
          <w:lang w:val="en-GB"/>
        </w:rPr>
        <w:t>Journal of Community Genetics</w:t>
      </w:r>
      <w:r w:rsidRPr="6A370997" w:rsidR="008DF86E">
        <w:rPr>
          <w:rFonts w:ascii="Arial" w:hAnsi="Arial" w:eastAsia="Arial" w:cs="Arial"/>
          <w:noProof w:val="0"/>
          <w:color w:val="0D0D0D" w:themeColor="text1" w:themeTint="F2" w:themeShade="FF"/>
          <w:sz w:val="24"/>
          <w:szCs w:val="24"/>
          <w:lang w:val="en-GB"/>
        </w:rPr>
        <w:t>, 11(1), pp. 47–58. doi: 10.1007/s12687-019-00416-9.</w:t>
      </w:r>
    </w:p>
    <w:p w:rsidR="0011089A" w:rsidP="6A370997" w:rsidRDefault="006E5409" w14:paraId="70288081" w14:textId="0685A460">
      <w:pPr>
        <w:pStyle w:val="Normal"/>
        <w:spacing w:before="0" w:beforeAutospacing="off" w:after="0" w:afterAutospacing="off" w:line="240" w:lineRule="auto"/>
        <w:ind w:left="720"/>
        <w:jc w:val="left"/>
        <w:rPr>
          <w:rFonts w:ascii="Arial" w:hAnsi="Arial" w:eastAsia="Arial" w:cs="Arial"/>
          <w:noProof w:val="0"/>
          <w:color w:val="000000" w:themeColor="text1" w:themeTint="FF" w:themeShade="FF"/>
          <w:sz w:val="24"/>
          <w:szCs w:val="24"/>
          <w:lang w:val="en-GB"/>
        </w:rPr>
      </w:pPr>
      <w:r>
        <w:br/>
      </w:r>
      <w:r w:rsidRPr="6A370997" w:rsidR="21DC3CCC">
        <w:rPr>
          <w:rFonts w:ascii="Arial" w:hAnsi="Arial" w:eastAsia="Arial" w:cs="Arial"/>
          <w:b w:val="0"/>
          <w:bCs w:val="0"/>
          <w:noProof w:val="0"/>
          <w:color w:val="0D0D0D" w:themeColor="text1" w:themeTint="F2" w:themeShade="FF"/>
          <w:sz w:val="24"/>
          <w:szCs w:val="24"/>
          <w:lang w:val="en-GB"/>
        </w:rPr>
        <w:t xml:space="preserve">Stubbe, D.E. (2018) ‘The therapeutic alliance: The fundamental element of psychotherapy’, </w:t>
      </w:r>
      <w:r w:rsidRPr="6A370997" w:rsidR="21DC3CCC">
        <w:rPr>
          <w:rFonts w:ascii="Arial" w:hAnsi="Arial" w:eastAsia="Arial" w:cs="Arial"/>
          <w:b w:val="0"/>
          <w:bCs w:val="0"/>
          <w:i w:val="1"/>
          <w:iCs w:val="1"/>
          <w:noProof w:val="0"/>
          <w:color w:val="0D0D0D" w:themeColor="text1" w:themeTint="F2" w:themeShade="FF"/>
          <w:sz w:val="24"/>
          <w:szCs w:val="24"/>
          <w:lang w:val="en-GB"/>
        </w:rPr>
        <w:t>FOCUS</w:t>
      </w:r>
      <w:r w:rsidRPr="6A370997" w:rsidR="21DC3CCC">
        <w:rPr>
          <w:rFonts w:ascii="Arial" w:hAnsi="Arial" w:eastAsia="Arial" w:cs="Arial"/>
          <w:b w:val="0"/>
          <w:bCs w:val="0"/>
          <w:noProof w:val="0"/>
          <w:color w:val="0D0D0D" w:themeColor="text1" w:themeTint="F2" w:themeShade="FF"/>
          <w:sz w:val="24"/>
          <w:szCs w:val="24"/>
          <w:lang w:val="en-GB"/>
        </w:rPr>
        <w:t xml:space="preserve">, 16(4), pp. 402–403. </w:t>
      </w:r>
      <w:r w:rsidRPr="6A370997" w:rsidR="21DC3CCC">
        <w:rPr>
          <w:rFonts w:ascii="Arial" w:hAnsi="Arial" w:eastAsia="Arial" w:cs="Arial"/>
          <w:b w:val="0"/>
          <w:bCs w:val="0"/>
          <w:noProof w:val="0"/>
          <w:color w:val="0D0D0D" w:themeColor="text1" w:themeTint="F2" w:themeShade="FF"/>
          <w:sz w:val="24"/>
          <w:szCs w:val="24"/>
          <w:lang w:val="en-GB"/>
        </w:rPr>
        <w:t>doi</w:t>
      </w:r>
      <w:r w:rsidRPr="6A370997" w:rsidR="21DC3CCC">
        <w:rPr>
          <w:rFonts w:ascii="Arial" w:hAnsi="Arial" w:eastAsia="Arial" w:cs="Arial"/>
          <w:b w:val="0"/>
          <w:bCs w:val="0"/>
          <w:noProof w:val="0"/>
          <w:color w:val="0D0D0D" w:themeColor="text1" w:themeTint="F2" w:themeShade="FF"/>
          <w:sz w:val="24"/>
          <w:szCs w:val="24"/>
          <w:lang w:val="en-GB"/>
        </w:rPr>
        <w:t xml:space="preserve">: </w:t>
      </w:r>
      <w:r w:rsidRPr="6A370997" w:rsidR="21DC3CCC">
        <w:rPr>
          <w:rFonts w:ascii="Arial" w:hAnsi="Arial" w:eastAsia="Arial" w:cs="Arial"/>
          <w:b w:val="0"/>
          <w:bCs w:val="0"/>
          <w:noProof w:val="0"/>
          <w:color w:val="0D0D0D" w:themeColor="text1" w:themeTint="F2" w:themeShade="FF"/>
          <w:sz w:val="24"/>
          <w:szCs w:val="24"/>
          <w:lang w:val="en-GB"/>
        </w:rPr>
        <w:t>10.1176/appi.focus.20180022.</w:t>
      </w:r>
    </w:p>
    <w:p w:rsidR="0011089A" w:rsidP="6A370997" w:rsidRDefault="006E5409" w14:paraId="5560D065" w14:textId="273BA7BF">
      <w:pPr>
        <w:pStyle w:val="Normal"/>
        <w:spacing w:before="0" w:beforeAutospacing="off" w:after="0" w:afterAutospacing="off" w:line="240" w:lineRule="auto"/>
        <w:ind w:left="720"/>
        <w:jc w:val="left"/>
      </w:pPr>
      <w:r>
        <w:br/>
      </w:r>
      <w:r w:rsidRPr="6A370997" w:rsidR="78BA72FE">
        <w:rPr>
          <w:rFonts w:ascii="Arial" w:hAnsi="Arial" w:eastAsia="Arial" w:cs="Arial"/>
          <w:noProof w:val="0"/>
          <w:color w:val="0D0D0D" w:themeColor="text1" w:themeTint="F2" w:themeShade="FF"/>
          <w:sz w:val="24"/>
          <w:szCs w:val="24"/>
          <w:lang w:val="en-GB"/>
        </w:rPr>
        <w:t xml:space="preserve">Stuttgen, K., Bollinger, J., McCague, A., Dvoskin, R. and Mathews, D. (2020) ‘Family communication patterns and challenges of Huntington’s disease risk, the decision to pursue presymptomatic testing, and test results’, </w:t>
      </w:r>
      <w:r w:rsidRPr="6A370997" w:rsidR="78BA72FE">
        <w:rPr>
          <w:rFonts w:ascii="Arial" w:hAnsi="Arial" w:eastAsia="Arial" w:cs="Arial"/>
          <w:i w:val="1"/>
          <w:iCs w:val="1"/>
          <w:noProof w:val="0"/>
          <w:color w:val="0D0D0D" w:themeColor="text1" w:themeTint="F2" w:themeShade="FF"/>
          <w:sz w:val="24"/>
          <w:szCs w:val="24"/>
          <w:lang w:val="en-GB"/>
        </w:rPr>
        <w:t>Journal of Huntington’s Disease</w:t>
      </w:r>
      <w:r w:rsidRPr="6A370997" w:rsidR="78BA72FE">
        <w:rPr>
          <w:rFonts w:ascii="Arial" w:hAnsi="Arial" w:eastAsia="Arial" w:cs="Arial"/>
          <w:noProof w:val="0"/>
          <w:color w:val="0D0D0D" w:themeColor="text1" w:themeTint="F2" w:themeShade="FF"/>
          <w:sz w:val="24"/>
          <w:szCs w:val="24"/>
          <w:lang w:val="en-GB"/>
        </w:rPr>
        <w:t xml:space="preserve">, 9(3), pp. 265–274. </w:t>
      </w:r>
      <w:r w:rsidRPr="6A370997" w:rsidR="78BA72FE">
        <w:rPr>
          <w:rFonts w:ascii="Arial" w:hAnsi="Arial" w:eastAsia="Arial" w:cs="Arial"/>
          <w:noProof w:val="0"/>
          <w:color w:val="0D0D0D" w:themeColor="text1" w:themeTint="F2" w:themeShade="FF"/>
          <w:sz w:val="24"/>
          <w:szCs w:val="24"/>
          <w:lang w:val="en-GB"/>
        </w:rPr>
        <w:t>doi</w:t>
      </w:r>
      <w:r w:rsidRPr="6A370997" w:rsidR="78BA72FE">
        <w:rPr>
          <w:rFonts w:ascii="Arial" w:hAnsi="Arial" w:eastAsia="Arial" w:cs="Arial"/>
          <w:noProof w:val="0"/>
          <w:color w:val="0D0D0D" w:themeColor="text1" w:themeTint="F2" w:themeShade="FF"/>
          <w:sz w:val="24"/>
          <w:szCs w:val="24"/>
          <w:lang w:val="en-GB"/>
        </w:rPr>
        <w:t>: 10.3233/JHD-200402.</w:t>
      </w:r>
      <w:r>
        <w:br/>
      </w:r>
      <w:r>
        <w:br/>
      </w:r>
      <w:r w:rsidRPr="6A370997" w:rsidR="4365D324">
        <w:rPr>
          <w:rFonts w:ascii="Arial" w:hAnsi="Arial" w:eastAsia="Arial" w:cs="Arial"/>
          <w:noProof w:val="0"/>
          <w:color w:val="0D0D0D" w:themeColor="text1" w:themeTint="F2" w:themeShade="FF"/>
          <w:sz w:val="24"/>
          <w:szCs w:val="24"/>
          <w:lang w:val="en-GB"/>
        </w:rPr>
        <w:t xml:space="preserve">Taylor, S.E. (1983) ‘Adjustment to threatening events: A theory of cognitive adaptation’, </w:t>
      </w:r>
      <w:r w:rsidRPr="6A370997" w:rsidR="4365D324">
        <w:rPr>
          <w:rFonts w:ascii="Arial" w:hAnsi="Arial" w:eastAsia="Arial" w:cs="Arial"/>
          <w:i w:val="1"/>
          <w:iCs w:val="1"/>
          <w:noProof w:val="0"/>
          <w:color w:val="0D0D0D" w:themeColor="text1" w:themeTint="F2" w:themeShade="FF"/>
          <w:sz w:val="24"/>
          <w:szCs w:val="24"/>
          <w:lang w:val="en-GB"/>
        </w:rPr>
        <w:t>American Psychologist</w:t>
      </w:r>
      <w:r w:rsidRPr="6A370997" w:rsidR="4365D324">
        <w:rPr>
          <w:rFonts w:ascii="Arial" w:hAnsi="Arial" w:eastAsia="Arial" w:cs="Arial"/>
          <w:noProof w:val="0"/>
          <w:color w:val="0D0D0D" w:themeColor="text1" w:themeTint="F2" w:themeShade="FF"/>
          <w:sz w:val="24"/>
          <w:szCs w:val="24"/>
          <w:lang w:val="en-GB"/>
        </w:rPr>
        <w:t xml:space="preserve">, 38(11), pp. 1161–1173. </w:t>
      </w:r>
      <w:r w:rsidRPr="6A370997" w:rsidR="4365D324">
        <w:rPr>
          <w:rFonts w:ascii="Arial" w:hAnsi="Arial" w:eastAsia="Arial" w:cs="Arial"/>
          <w:noProof w:val="0"/>
          <w:color w:val="0D0D0D" w:themeColor="text1" w:themeTint="F2" w:themeShade="FF"/>
          <w:sz w:val="24"/>
          <w:szCs w:val="24"/>
          <w:lang w:val="en-GB"/>
        </w:rPr>
        <w:t>doi</w:t>
      </w:r>
      <w:r w:rsidRPr="6A370997" w:rsidR="4365D324">
        <w:rPr>
          <w:rFonts w:ascii="Arial" w:hAnsi="Arial" w:eastAsia="Arial" w:cs="Arial"/>
          <w:noProof w:val="0"/>
          <w:color w:val="0D0D0D" w:themeColor="text1" w:themeTint="F2" w:themeShade="FF"/>
          <w:sz w:val="24"/>
          <w:szCs w:val="24"/>
          <w:lang w:val="en-GB"/>
        </w:rPr>
        <w:t>: 10.1037/0003-066X.38.11.1161.</w:t>
      </w:r>
      <w:r>
        <w:br/>
      </w:r>
      <w:r>
        <w:br/>
      </w:r>
      <w:r w:rsidRPr="6A370997" w:rsidR="46AA150F">
        <w:rPr>
          <w:rFonts w:ascii="Arial" w:hAnsi="Arial" w:eastAsia="Arial" w:cs="Arial"/>
          <w:noProof w:val="0"/>
          <w:color w:val="0D0D0D" w:themeColor="text1" w:themeTint="F2" w:themeShade="FF"/>
          <w:sz w:val="24"/>
          <w:szCs w:val="24"/>
          <w:lang w:val="en-GB"/>
        </w:rPr>
        <w:t xml:space="preserve">Theed, R., Eccles, F.J.R. and Simpson, J. (2018) ‘Understandings of psychological difficulties in people with the Huntington’s disease gene mutation and their expectations of psychological therapy’, </w:t>
      </w:r>
      <w:r w:rsidRPr="6A370997" w:rsidR="46AA150F">
        <w:rPr>
          <w:rFonts w:ascii="Arial" w:hAnsi="Arial" w:eastAsia="Arial" w:cs="Arial"/>
          <w:i w:val="1"/>
          <w:iCs w:val="1"/>
          <w:noProof w:val="0"/>
          <w:color w:val="0D0D0D" w:themeColor="text1" w:themeTint="F2" w:themeShade="FF"/>
          <w:sz w:val="24"/>
          <w:szCs w:val="24"/>
          <w:lang w:val="en-GB"/>
        </w:rPr>
        <w:t>Psychology and Psychotherapy: Theory, Research and Practice</w:t>
      </w:r>
      <w:r w:rsidRPr="6A370997" w:rsidR="46AA150F">
        <w:rPr>
          <w:rFonts w:ascii="Arial" w:hAnsi="Arial" w:eastAsia="Arial" w:cs="Arial"/>
          <w:noProof w:val="0"/>
          <w:color w:val="0D0D0D" w:themeColor="text1" w:themeTint="F2" w:themeShade="FF"/>
          <w:sz w:val="24"/>
          <w:szCs w:val="24"/>
          <w:lang w:val="en-GB"/>
        </w:rPr>
        <w:t xml:space="preserve">, 91(2), pp. 216–231. </w:t>
      </w:r>
      <w:r w:rsidRPr="6A370997" w:rsidR="46AA150F">
        <w:rPr>
          <w:rFonts w:ascii="Arial" w:hAnsi="Arial" w:eastAsia="Arial" w:cs="Arial"/>
          <w:noProof w:val="0"/>
          <w:color w:val="0D0D0D" w:themeColor="text1" w:themeTint="F2" w:themeShade="FF"/>
          <w:sz w:val="24"/>
          <w:szCs w:val="24"/>
          <w:lang w:val="en-GB"/>
        </w:rPr>
        <w:t>doi</w:t>
      </w:r>
      <w:r w:rsidRPr="6A370997" w:rsidR="46AA150F">
        <w:rPr>
          <w:rFonts w:ascii="Arial" w:hAnsi="Arial" w:eastAsia="Arial" w:cs="Arial"/>
          <w:noProof w:val="0"/>
          <w:color w:val="0D0D0D" w:themeColor="text1" w:themeTint="F2" w:themeShade="FF"/>
          <w:sz w:val="24"/>
          <w:szCs w:val="24"/>
          <w:lang w:val="en-GB"/>
        </w:rPr>
        <w:t>: 10.1111/papt.12157.</w:t>
      </w:r>
      <w:r>
        <w:br/>
      </w:r>
      <w:r>
        <w:br/>
      </w:r>
      <w:r w:rsidRPr="6A370997" w:rsidR="7E7B321C">
        <w:rPr>
          <w:rFonts w:ascii="Arial" w:hAnsi="Arial" w:eastAsia="Arial" w:cs="Arial"/>
          <w:noProof w:val="0"/>
          <w:color w:val="0D0D0D" w:themeColor="text1" w:themeTint="F2" w:themeShade="FF"/>
          <w:sz w:val="24"/>
          <w:szCs w:val="24"/>
          <w:lang w:val="en-GB"/>
        </w:rPr>
        <w:t xml:space="preserve">Tillerås, K.H., Kjoelaas, S.H., Dramstad, E., Feragen, K.B. and von der Lippe, C. (2020) ‘Psychological reactions to predictive genetic testing for Huntington’s disease: A qualitative study’, </w:t>
      </w:r>
      <w:r w:rsidRPr="6A370997" w:rsidR="7E7B321C">
        <w:rPr>
          <w:rFonts w:ascii="Arial" w:hAnsi="Arial" w:eastAsia="Arial" w:cs="Arial"/>
          <w:i w:val="1"/>
          <w:iCs w:val="1"/>
          <w:noProof w:val="0"/>
          <w:color w:val="0D0D0D" w:themeColor="text1" w:themeTint="F2" w:themeShade="FF"/>
          <w:sz w:val="24"/>
          <w:szCs w:val="24"/>
          <w:lang w:val="en-GB"/>
        </w:rPr>
        <w:t>Journal of Genetic Counseling</w:t>
      </w:r>
      <w:r w:rsidRPr="6A370997" w:rsidR="7E7B321C">
        <w:rPr>
          <w:rFonts w:ascii="Arial" w:hAnsi="Arial" w:eastAsia="Arial" w:cs="Arial"/>
          <w:noProof w:val="0"/>
          <w:color w:val="0D0D0D" w:themeColor="text1" w:themeTint="F2" w:themeShade="FF"/>
          <w:sz w:val="24"/>
          <w:szCs w:val="24"/>
          <w:lang w:val="en-GB"/>
        </w:rPr>
        <w:t>, 29(6), pp. 1093–1105. doi: 10.1002/jgc4.1245.</w:t>
      </w:r>
    </w:p>
    <w:p w:rsidR="0011089A" w:rsidP="6A370997" w:rsidRDefault="006E5409" w14:paraId="45A56BE0" w14:textId="2AFE289B">
      <w:pPr>
        <w:pStyle w:val="Normal"/>
        <w:spacing w:before="0" w:beforeAutospacing="off" w:after="0" w:afterAutospacing="off" w:line="278" w:lineRule="auto"/>
        <w:ind w:left="720"/>
        <w:jc w:val="left"/>
      </w:pPr>
      <w:r>
        <w:br/>
      </w:r>
      <w:r w:rsidRPr="6A370997" w:rsidR="6C870E20">
        <w:rPr>
          <w:rFonts w:ascii="Arial" w:hAnsi="Arial" w:eastAsia="Arial" w:cs="Arial"/>
          <w:noProof w:val="0"/>
          <w:color w:val="0D0D0D" w:themeColor="text1" w:themeTint="F2" w:themeShade="FF"/>
          <w:sz w:val="24"/>
          <w:szCs w:val="24"/>
          <w:lang w:val="en-GB"/>
        </w:rPr>
        <w:t xml:space="preserve">Timmermans, S. and Buchbinder, M. (2010) ‘Patients-in-waiting: Living between sickness and health in the genomics era’, </w:t>
      </w:r>
      <w:r w:rsidRPr="6A370997" w:rsidR="6C870E20">
        <w:rPr>
          <w:rFonts w:ascii="Arial" w:hAnsi="Arial" w:eastAsia="Arial" w:cs="Arial"/>
          <w:i w:val="1"/>
          <w:iCs w:val="1"/>
          <w:noProof w:val="0"/>
          <w:color w:val="0D0D0D" w:themeColor="text1" w:themeTint="F2" w:themeShade="FF"/>
          <w:sz w:val="24"/>
          <w:szCs w:val="24"/>
          <w:lang w:val="en-GB"/>
        </w:rPr>
        <w:t xml:space="preserve">Journal of Health and Social </w:t>
      </w:r>
      <w:r w:rsidRPr="6A370997" w:rsidR="6C870E20">
        <w:rPr>
          <w:rFonts w:ascii="Arial" w:hAnsi="Arial" w:eastAsia="Arial" w:cs="Arial"/>
          <w:i w:val="1"/>
          <w:iCs w:val="1"/>
          <w:noProof w:val="0"/>
          <w:color w:val="0D0D0D" w:themeColor="text1" w:themeTint="F2" w:themeShade="FF"/>
          <w:sz w:val="24"/>
          <w:szCs w:val="24"/>
          <w:lang w:val="en-GB"/>
        </w:rPr>
        <w:t>Behavior</w:t>
      </w:r>
      <w:r w:rsidRPr="6A370997" w:rsidR="6C870E20">
        <w:rPr>
          <w:rFonts w:ascii="Arial" w:hAnsi="Arial" w:eastAsia="Arial" w:cs="Arial"/>
          <w:noProof w:val="0"/>
          <w:color w:val="0D0D0D" w:themeColor="text1" w:themeTint="F2" w:themeShade="FF"/>
          <w:sz w:val="24"/>
          <w:szCs w:val="24"/>
          <w:lang w:val="en-GB"/>
        </w:rPr>
        <w:t xml:space="preserve">, 51(4), pp. 408–423. </w:t>
      </w:r>
      <w:r w:rsidRPr="6A370997" w:rsidR="6C870E20">
        <w:rPr>
          <w:rFonts w:ascii="Arial" w:hAnsi="Arial" w:eastAsia="Arial" w:cs="Arial"/>
          <w:noProof w:val="0"/>
          <w:color w:val="0D0D0D" w:themeColor="text1" w:themeTint="F2" w:themeShade="FF"/>
          <w:sz w:val="24"/>
          <w:szCs w:val="24"/>
          <w:lang w:val="en-GB"/>
        </w:rPr>
        <w:t>doi</w:t>
      </w:r>
      <w:r w:rsidRPr="6A370997" w:rsidR="6C870E20">
        <w:rPr>
          <w:rFonts w:ascii="Arial" w:hAnsi="Arial" w:eastAsia="Arial" w:cs="Arial"/>
          <w:noProof w:val="0"/>
          <w:color w:val="0D0D0D" w:themeColor="text1" w:themeTint="F2" w:themeShade="FF"/>
          <w:sz w:val="24"/>
          <w:szCs w:val="24"/>
          <w:lang w:val="en-GB"/>
        </w:rPr>
        <w:t>: 10.1177/0022146510386794.</w:t>
      </w:r>
      <w:r>
        <w:br/>
      </w:r>
      <w:r>
        <w:br/>
      </w:r>
      <w:r w:rsidRPr="6A370997" w:rsidR="7103F6D0">
        <w:rPr>
          <w:rFonts w:ascii="ui-sans-serif" w:hAnsi="ui-sans-serif" w:eastAsia="ui-sans-serif" w:cs="ui-sans-serif"/>
          <w:noProof w:val="0"/>
          <w:color w:val="0D0D0D" w:themeColor="text1" w:themeTint="F2" w:themeShade="FF"/>
          <w:sz w:val="24"/>
          <w:szCs w:val="24"/>
          <w:lang w:val="en-GB"/>
        </w:rPr>
        <w:t xml:space="preserve">Timman, R. (2005) </w:t>
      </w:r>
      <w:r w:rsidRPr="6A370997" w:rsidR="7103F6D0">
        <w:rPr>
          <w:rFonts w:ascii="ui-sans-serif" w:hAnsi="ui-sans-serif" w:eastAsia="ui-sans-serif" w:cs="ui-sans-serif"/>
          <w:i w:val="1"/>
          <w:iCs w:val="1"/>
          <w:noProof w:val="0"/>
          <w:color w:val="0D0D0D" w:themeColor="text1" w:themeTint="F2" w:themeShade="FF"/>
          <w:sz w:val="24"/>
          <w:szCs w:val="24"/>
          <w:lang w:val="en-GB"/>
        </w:rPr>
        <w:t>Huntington’s disease: Psychological aspects of predictive testing</w:t>
      </w:r>
      <w:r w:rsidRPr="6A370997" w:rsidR="7103F6D0">
        <w:rPr>
          <w:rFonts w:ascii="ui-sans-serif" w:hAnsi="ui-sans-serif" w:eastAsia="ui-sans-serif" w:cs="ui-sans-serif"/>
          <w:noProof w:val="0"/>
          <w:color w:val="0D0D0D" w:themeColor="text1" w:themeTint="F2" w:themeShade="FF"/>
          <w:sz w:val="24"/>
          <w:szCs w:val="24"/>
          <w:lang w:val="en-GB"/>
        </w:rPr>
        <w:t>. PhD thesis. Leiden: Leiden University.</w:t>
      </w:r>
      <w:r>
        <w:br/>
      </w:r>
      <w:r>
        <w:br/>
      </w:r>
      <w:r w:rsidRPr="6A370997" w:rsidR="1133C0F3">
        <w:rPr>
          <w:rFonts w:ascii="Arial" w:hAnsi="Arial" w:eastAsia="Arial" w:cs="Arial"/>
          <w:noProof w:val="0"/>
          <w:color w:val="0D0D0D" w:themeColor="text1" w:themeTint="F2" w:themeShade="FF"/>
          <w:sz w:val="24"/>
          <w:szCs w:val="24"/>
          <w:lang w:val="en-GB"/>
        </w:rPr>
        <w:t xml:space="preserve">Tindall, T., Simpson, J., Dale, </w:t>
      </w:r>
      <w:r w:rsidRPr="6A370997" w:rsidR="1133C0F3">
        <w:rPr>
          <w:rFonts w:ascii="Arial" w:hAnsi="Arial" w:eastAsia="Arial" w:cs="Arial"/>
          <w:noProof w:val="0"/>
          <w:color w:val="0D0D0D" w:themeColor="text1" w:themeTint="F2" w:themeShade="FF"/>
          <w:sz w:val="24"/>
          <w:szCs w:val="24"/>
          <w:lang w:val="en-GB"/>
        </w:rPr>
        <w:t>M.</w:t>
      </w:r>
      <w:r w:rsidRPr="6A370997" w:rsidR="1133C0F3">
        <w:rPr>
          <w:rFonts w:ascii="Arial" w:hAnsi="Arial" w:eastAsia="Arial" w:cs="Arial"/>
          <w:noProof w:val="0"/>
          <w:color w:val="0D0D0D" w:themeColor="text1" w:themeTint="F2" w:themeShade="FF"/>
          <w:sz w:val="24"/>
          <w:szCs w:val="24"/>
          <w:lang w:val="en-GB"/>
        </w:rPr>
        <w:t xml:space="preserve"> and Gunn, S. (2026) ‘Exploring stigma in Huntington’s disease: A scoping review of methods and conceptualizations for understanding experiences of gene expansion carriers and at-risk individuals’, </w:t>
      </w:r>
      <w:r w:rsidRPr="6A370997" w:rsidR="1133C0F3">
        <w:rPr>
          <w:rFonts w:ascii="Arial" w:hAnsi="Arial" w:eastAsia="Arial" w:cs="Arial"/>
          <w:i w:val="1"/>
          <w:iCs w:val="1"/>
          <w:noProof w:val="0"/>
          <w:color w:val="0D0D0D" w:themeColor="text1" w:themeTint="F2" w:themeShade="FF"/>
          <w:sz w:val="24"/>
          <w:szCs w:val="24"/>
          <w:lang w:val="en-GB"/>
        </w:rPr>
        <w:t xml:space="preserve">Journal of Genetic </w:t>
      </w:r>
      <w:r w:rsidRPr="6A370997" w:rsidR="1133C0F3">
        <w:rPr>
          <w:rFonts w:ascii="Arial" w:hAnsi="Arial" w:eastAsia="Arial" w:cs="Arial"/>
          <w:i w:val="1"/>
          <w:iCs w:val="1"/>
          <w:noProof w:val="0"/>
          <w:color w:val="0D0D0D" w:themeColor="text1" w:themeTint="F2" w:themeShade="FF"/>
          <w:sz w:val="24"/>
          <w:szCs w:val="24"/>
          <w:lang w:val="en-GB"/>
        </w:rPr>
        <w:t>Counseling</w:t>
      </w:r>
      <w:r w:rsidRPr="6A370997" w:rsidR="1133C0F3">
        <w:rPr>
          <w:rFonts w:ascii="Arial" w:hAnsi="Arial" w:eastAsia="Arial" w:cs="Arial"/>
          <w:noProof w:val="0"/>
          <w:color w:val="0D0D0D" w:themeColor="text1" w:themeTint="F2" w:themeShade="FF"/>
          <w:sz w:val="24"/>
          <w:szCs w:val="24"/>
          <w:lang w:val="en-GB"/>
        </w:rPr>
        <w:t xml:space="preserve">, 35(3), e70230. </w:t>
      </w:r>
      <w:r w:rsidRPr="6A370997" w:rsidR="1133C0F3">
        <w:rPr>
          <w:rFonts w:ascii="Arial" w:hAnsi="Arial" w:eastAsia="Arial" w:cs="Arial"/>
          <w:noProof w:val="0"/>
          <w:color w:val="0D0D0D" w:themeColor="text1" w:themeTint="F2" w:themeShade="FF"/>
          <w:sz w:val="24"/>
          <w:szCs w:val="24"/>
          <w:lang w:val="en-GB"/>
        </w:rPr>
        <w:t>doi</w:t>
      </w:r>
      <w:r w:rsidRPr="6A370997" w:rsidR="1133C0F3">
        <w:rPr>
          <w:rFonts w:ascii="Arial" w:hAnsi="Arial" w:eastAsia="Arial" w:cs="Arial"/>
          <w:noProof w:val="0"/>
          <w:color w:val="0D0D0D" w:themeColor="text1" w:themeTint="F2" w:themeShade="FF"/>
          <w:sz w:val="24"/>
          <w:szCs w:val="24"/>
          <w:lang w:val="en-GB"/>
        </w:rPr>
        <w:t>: 10.1002/jgc4.70230.</w:t>
      </w:r>
      <w:r>
        <w:br/>
      </w:r>
      <w:r>
        <w:br/>
      </w:r>
      <w:r w:rsidRPr="6A370997" w:rsidR="78F36F13">
        <w:rPr>
          <w:rFonts w:ascii="Arial" w:hAnsi="Arial" w:eastAsia="Arial" w:cs="Arial"/>
          <w:noProof w:val="0"/>
          <w:color w:val="0D0D0D" w:themeColor="text1" w:themeTint="F2" w:themeShade="FF"/>
          <w:sz w:val="24"/>
          <w:szCs w:val="24"/>
          <w:lang w:val="en-GB"/>
        </w:rPr>
        <w:t xml:space="preserve">Ünal, E. (2019) </w:t>
      </w:r>
      <w:r w:rsidRPr="6A370997" w:rsidR="78F36F13">
        <w:rPr>
          <w:rFonts w:ascii="Arial" w:hAnsi="Arial" w:eastAsia="Arial" w:cs="Arial"/>
          <w:i w:val="1"/>
          <w:iCs w:val="1"/>
          <w:noProof w:val="0"/>
          <w:color w:val="0D0D0D" w:themeColor="text1" w:themeTint="F2" w:themeShade="FF"/>
          <w:sz w:val="24"/>
          <w:szCs w:val="24"/>
          <w:lang w:val="en-GB"/>
        </w:rPr>
        <w:t>An interpretative phenomenological analysis of anticipatory grief: Getting stuck between the problems of the present and the future</w:t>
      </w:r>
      <w:r w:rsidRPr="6A370997" w:rsidR="78F36F13">
        <w:rPr>
          <w:rFonts w:ascii="Arial" w:hAnsi="Arial" w:eastAsia="Arial" w:cs="Arial"/>
          <w:noProof w:val="0"/>
          <w:color w:val="0D0D0D" w:themeColor="text1" w:themeTint="F2" w:themeShade="FF"/>
          <w:sz w:val="24"/>
          <w:szCs w:val="24"/>
          <w:lang w:val="en-GB"/>
        </w:rPr>
        <w:t>. PhD thesis. Ankara: Middle East Technical University.</w:t>
      </w:r>
    </w:p>
    <w:p w:rsidR="0011089A" w:rsidP="663E9881" w:rsidRDefault="006E5409" w14:paraId="76FCBEEB" w14:textId="1DA4386F">
      <w:pPr>
        <w:spacing w:before="0" w:beforeAutospacing="off" w:after="0" w:afterAutospacing="off" w:line="278" w:lineRule="auto"/>
        <w:ind w:left="720"/>
        <w:jc w:val="left"/>
      </w:pPr>
    </w:p>
    <w:p w:rsidR="0011089A" w:rsidP="6A370997" w:rsidRDefault="006E5409" w14:paraId="06D5076C" w14:textId="03905B69">
      <w:pPr>
        <w:pStyle w:val="Normal"/>
        <w:spacing w:before="0" w:beforeAutospacing="off" w:after="0" w:afterAutospacing="off" w:line="278" w:lineRule="auto"/>
        <w:ind w:left="720"/>
        <w:jc w:val="left"/>
        <w:rPr>
          <w:rFonts w:ascii="ui-sans-serif" w:hAnsi="ui-sans-serif" w:eastAsia="ui-sans-serif" w:cs="ui-sans-serif"/>
          <w:noProof w:val="0"/>
          <w:color w:val="0D0D0D" w:themeColor="text1" w:themeTint="F2" w:themeShade="FF"/>
          <w:sz w:val="24"/>
          <w:szCs w:val="24"/>
          <w:lang w:val="en-GB"/>
        </w:rPr>
      </w:pPr>
      <w:r w:rsidRPr="6A370997" w:rsidR="78F36F13">
        <w:rPr>
          <w:rFonts w:ascii="Arial" w:hAnsi="Arial" w:eastAsia="Arial" w:cs="Arial"/>
          <w:noProof w:val="0"/>
          <w:color w:val="0D0D0D" w:themeColor="text1" w:themeTint="F2" w:themeShade="FF"/>
          <w:sz w:val="24"/>
          <w:szCs w:val="24"/>
          <w:lang w:val="en-GB"/>
        </w:rPr>
        <w:t xml:space="preserve">Van Baar, C., </w:t>
      </w:r>
      <w:r w:rsidRPr="6A370997" w:rsidR="78F36F13">
        <w:rPr>
          <w:rFonts w:ascii="Arial" w:hAnsi="Arial" w:eastAsia="Arial" w:cs="Arial"/>
          <w:noProof w:val="0"/>
          <w:color w:val="0D0D0D" w:themeColor="text1" w:themeTint="F2" w:themeShade="FF"/>
          <w:sz w:val="24"/>
          <w:szCs w:val="24"/>
          <w:lang w:val="en-GB"/>
        </w:rPr>
        <w:t>Kalkers</w:t>
      </w:r>
      <w:r w:rsidRPr="6A370997" w:rsidR="78F36F13">
        <w:rPr>
          <w:rFonts w:ascii="Arial" w:hAnsi="Arial" w:eastAsia="Arial" w:cs="Arial"/>
          <w:noProof w:val="0"/>
          <w:color w:val="0D0D0D" w:themeColor="text1" w:themeTint="F2" w:themeShade="FF"/>
          <w:sz w:val="24"/>
          <w:szCs w:val="24"/>
          <w:lang w:val="en-GB"/>
        </w:rPr>
        <w:t xml:space="preserve">, K., Bolt, S., </w:t>
      </w:r>
      <w:r w:rsidRPr="6A370997" w:rsidR="78F36F13">
        <w:rPr>
          <w:rFonts w:ascii="Arial" w:hAnsi="Arial" w:eastAsia="Arial" w:cs="Arial"/>
          <w:noProof w:val="0"/>
          <w:color w:val="0D0D0D" w:themeColor="text1" w:themeTint="F2" w:themeShade="FF"/>
          <w:sz w:val="24"/>
          <w:szCs w:val="24"/>
          <w:lang w:val="en-GB"/>
        </w:rPr>
        <w:t>Roos</w:t>
      </w:r>
      <w:r w:rsidRPr="6A370997" w:rsidR="78F36F13">
        <w:rPr>
          <w:rFonts w:ascii="Arial" w:hAnsi="Arial" w:eastAsia="Arial" w:cs="Arial"/>
          <w:noProof w:val="0"/>
          <w:color w:val="0D0D0D" w:themeColor="text1" w:themeTint="F2" w:themeShade="FF"/>
          <w:sz w:val="24"/>
          <w:szCs w:val="24"/>
          <w:lang w:val="en-GB"/>
        </w:rPr>
        <w:t xml:space="preserve">, R. and </w:t>
      </w:r>
      <w:r w:rsidRPr="6A370997" w:rsidR="78F36F13">
        <w:rPr>
          <w:rFonts w:ascii="Arial" w:hAnsi="Arial" w:eastAsia="Arial" w:cs="Arial"/>
          <w:noProof w:val="0"/>
          <w:color w:val="0D0D0D" w:themeColor="text1" w:themeTint="F2" w:themeShade="FF"/>
          <w:sz w:val="24"/>
          <w:szCs w:val="24"/>
          <w:lang w:val="en-GB"/>
        </w:rPr>
        <w:t>Gobbens</w:t>
      </w:r>
      <w:r w:rsidRPr="6A370997" w:rsidR="78F36F13">
        <w:rPr>
          <w:rFonts w:ascii="Arial" w:hAnsi="Arial" w:eastAsia="Arial" w:cs="Arial"/>
          <w:noProof w:val="0"/>
          <w:color w:val="0D0D0D" w:themeColor="text1" w:themeTint="F2" w:themeShade="FF"/>
          <w:sz w:val="24"/>
          <w:szCs w:val="24"/>
          <w:lang w:val="en-GB"/>
        </w:rPr>
        <w:t xml:space="preserve">, R. (2026) ‘A scoping review of the lived experiences of individuals with Huntington’s disease, their informal caregivers and offspring’, </w:t>
      </w:r>
      <w:r w:rsidRPr="6A370997" w:rsidR="78F36F13">
        <w:rPr>
          <w:rFonts w:ascii="Arial" w:hAnsi="Arial" w:eastAsia="Arial" w:cs="Arial"/>
          <w:i w:val="1"/>
          <w:iCs w:val="1"/>
          <w:noProof w:val="0"/>
          <w:color w:val="0D0D0D" w:themeColor="text1" w:themeTint="F2" w:themeShade="FF"/>
          <w:sz w:val="24"/>
          <w:szCs w:val="24"/>
          <w:lang w:val="en-GB"/>
        </w:rPr>
        <w:t>Journal of Advanced Nursing</w:t>
      </w:r>
      <w:r w:rsidRPr="6A370997" w:rsidR="78F36F13">
        <w:rPr>
          <w:rFonts w:ascii="Arial" w:hAnsi="Arial" w:eastAsia="Arial" w:cs="Arial"/>
          <w:noProof w:val="0"/>
          <w:color w:val="0D0D0D" w:themeColor="text1" w:themeTint="F2" w:themeShade="FF"/>
          <w:sz w:val="24"/>
          <w:szCs w:val="24"/>
          <w:lang w:val="en-GB"/>
        </w:rPr>
        <w:t xml:space="preserve">, 82(2), pp. 1105–1123. </w:t>
      </w:r>
      <w:r w:rsidRPr="6A370997" w:rsidR="78F36F13">
        <w:rPr>
          <w:rFonts w:ascii="Arial" w:hAnsi="Arial" w:eastAsia="Arial" w:cs="Arial"/>
          <w:noProof w:val="0"/>
          <w:color w:val="0D0D0D" w:themeColor="text1" w:themeTint="F2" w:themeShade="FF"/>
          <w:sz w:val="24"/>
          <w:szCs w:val="24"/>
          <w:lang w:val="en-GB"/>
        </w:rPr>
        <w:t>doi</w:t>
      </w:r>
      <w:r w:rsidRPr="6A370997" w:rsidR="78F36F13">
        <w:rPr>
          <w:rFonts w:ascii="Arial" w:hAnsi="Arial" w:eastAsia="Arial" w:cs="Arial"/>
          <w:noProof w:val="0"/>
          <w:color w:val="0D0D0D" w:themeColor="text1" w:themeTint="F2" w:themeShade="FF"/>
          <w:sz w:val="24"/>
          <w:szCs w:val="24"/>
          <w:lang w:val="en-GB"/>
        </w:rPr>
        <w:t>: 10.1111/jan.17024</w:t>
      </w:r>
      <w:r w:rsidRPr="6A370997" w:rsidR="78F36F13">
        <w:rPr>
          <w:rFonts w:ascii="ui-sans-serif" w:hAnsi="ui-sans-serif" w:eastAsia="ui-sans-serif" w:cs="ui-sans-serif"/>
          <w:noProof w:val="0"/>
          <w:color w:val="0D0D0D" w:themeColor="text1" w:themeTint="F2" w:themeShade="FF"/>
          <w:sz w:val="24"/>
          <w:szCs w:val="24"/>
          <w:lang w:val="en-GB"/>
        </w:rPr>
        <w:t>.</w:t>
      </w:r>
      <w:r>
        <w:br/>
      </w:r>
    </w:p>
    <w:p w:rsidR="0011089A" w:rsidP="6A370997" w:rsidRDefault="006E5409" w14:paraId="06E14C08" w14:textId="47AC2685">
      <w:pPr>
        <w:pStyle w:val="Normal"/>
        <w:spacing w:before="0" w:beforeAutospacing="off" w:after="0" w:afterAutospacing="off" w:line="278" w:lineRule="auto"/>
        <w:ind w:left="720"/>
        <w:jc w:val="left"/>
      </w:pPr>
      <w:r w:rsidRPr="6A370997" w:rsidR="77787DB2">
        <w:rPr>
          <w:rFonts w:ascii="Arial" w:hAnsi="Arial" w:eastAsia="Arial" w:cs="Arial"/>
          <w:noProof w:val="0"/>
          <w:color w:val="0D0D0D" w:themeColor="text1" w:themeTint="F2" w:themeShade="FF"/>
          <w:sz w:val="24"/>
          <w:szCs w:val="24"/>
          <w:lang w:val="en-GB"/>
        </w:rPr>
        <w:t xml:space="preserve">Varela, L.E., Arias, M.M., Martorell-Poveda, M.A., Giraldo, C.V. and Estrada-Acuña, R.A. (2022) ‘Beyond the clinical context: the process of losing oneself living with Huntington’s disease’, </w:t>
      </w:r>
      <w:r w:rsidRPr="6A370997" w:rsidR="77787DB2">
        <w:rPr>
          <w:rFonts w:ascii="Arial" w:hAnsi="Arial" w:eastAsia="Arial" w:cs="Arial"/>
          <w:i w:val="1"/>
          <w:iCs w:val="1"/>
          <w:noProof w:val="0"/>
          <w:color w:val="0D0D0D" w:themeColor="text1" w:themeTint="F2" w:themeShade="FF"/>
          <w:sz w:val="24"/>
          <w:szCs w:val="24"/>
          <w:lang w:val="en-GB"/>
        </w:rPr>
        <w:t>Orphanet Journal of Rare Diseases</w:t>
      </w:r>
      <w:r w:rsidRPr="6A370997" w:rsidR="77787DB2">
        <w:rPr>
          <w:rFonts w:ascii="Arial" w:hAnsi="Arial" w:eastAsia="Arial" w:cs="Arial"/>
          <w:noProof w:val="0"/>
          <w:color w:val="0D0D0D" w:themeColor="text1" w:themeTint="F2" w:themeShade="FF"/>
          <w:sz w:val="24"/>
          <w:szCs w:val="24"/>
          <w:lang w:val="en-GB"/>
        </w:rPr>
        <w:t xml:space="preserve">, 17(1), p. 184. </w:t>
      </w:r>
      <w:r w:rsidRPr="6A370997" w:rsidR="77787DB2">
        <w:rPr>
          <w:rFonts w:ascii="Arial" w:hAnsi="Arial" w:eastAsia="Arial" w:cs="Arial"/>
          <w:noProof w:val="0"/>
          <w:color w:val="0D0D0D" w:themeColor="text1" w:themeTint="F2" w:themeShade="FF"/>
          <w:sz w:val="24"/>
          <w:szCs w:val="24"/>
          <w:lang w:val="en-GB"/>
        </w:rPr>
        <w:t>doi</w:t>
      </w:r>
      <w:r w:rsidRPr="6A370997" w:rsidR="77787DB2">
        <w:rPr>
          <w:rFonts w:ascii="Arial" w:hAnsi="Arial" w:eastAsia="Arial" w:cs="Arial"/>
          <w:noProof w:val="0"/>
          <w:color w:val="0D0D0D" w:themeColor="text1" w:themeTint="F2" w:themeShade="FF"/>
          <w:sz w:val="24"/>
          <w:szCs w:val="24"/>
          <w:lang w:val="en-GB"/>
        </w:rPr>
        <w:t>: 10.1186/s13023-022-02330-9.</w:t>
      </w:r>
      <w:r>
        <w:br/>
      </w:r>
      <w:r>
        <w:br/>
      </w:r>
      <w:r w:rsidRPr="6A370997" w:rsidR="37829DC5">
        <w:rPr>
          <w:rFonts w:ascii="ui-sans-serif" w:hAnsi="ui-sans-serif" w:eastAsia="ui-sans-serif" w:cs="ui-sans-serif"/>
          <w:noProof w:val="0"/>
          <w:color w:val="0D0D0D" w:themeColor="text1" w:themeTint="F2" w:themeShade="FF"/>
          <w:sz w:val="24"/>
          <w:szCs w:val="24"/>
          <w:lang w:val="en-GB"/>
        </w:rPr>
        <w:t xml:space="preserve">Viau, B.J. (2023) ‘Moving the needle on Huntington’s disease research in 2023’, </w:t>
      </w:r>
      <w:r w:rsidRPr="6A370997" w:rsidR="37829DC5">
        <w:rPr>
          <w:rFonts w:ascii="ui-sans-serif" w:hAnsi="ui-sans-serif" w:eastAsia="ui-sans-serif" w:cs="ui-sans-serif"/>
          <w:i w:val="1"/>
          <w:iCs w:val="1"/>
          <w:noProof w:val="0"/>
          <w:color w:val="0D0D0D" w:themeColor="text1" w:themeTint="F2" w:themeShade="FF"/>
          <w:sz w:val="24"/>
          <w:szCs w:val="24"/>
          <w:lang w:val="en-GB"/>
        </w:rPr>
        <w:t>Huntington’s Disease News</w:t>
      </w:r>
      <w:r w:rsidRPr="6A370997" w:rsidR="37829DC5">
        <w:rPr>
          <w:rFonts w:ascii="ui-sans-serif" w:hAnsi="ui-sans-serif" w:eastAsia="ui-sans-serif" w:cs="ui-sans-serif"/>
          <w:noProof w:val="0"/>
          <w:color w:val="0D0D0D" w:themeColor="text1" w:themeTint="F2" w:themeShade="FF"/>
          <w:sz w:val="24"/>
          <w:szCs w:val="24"/>
          <w:lang w:val="en-GB"/>
        </w:rPr>
        <w:t>, 25 January. Available at: https://huntingtonsdiseasenews.com/columns/moving-needle-huntingtons-disease-research-2023/ (Accessed: 7 August 2026).</w:t>
      </w:r>
    </w:p>
    <w:p w:rsidR="0011089A" w:rsidP="6A370997" w:rsidRDefault="006E5409" w14:paraId="44AA8124" w14:textId="5EB58263">
      <w:pPr>
        <w:pStyle w:val="Normal"/>
        <w:spacing w:before="0" w:beforeAutospacing="off" w:after="0" w:afterAutospacing="off" w:line="278" w:lineRule="auto"/>
        <w:ind w:left="720"/>
        <w:jc w:val="left"/>
      </w:pPr>
      <w:r>
        <w:br/>
      </w:r>
      <w:r w:rsidRPr="6A370997" w:rsidR="64372215">
        <w:rPr>
          <w:rFonts w:ascii="Arial" w:hAnsi="Arial" w:eastAsia="Arial" w:cs="Arial"/>
          <w:noProof w:val="0"/>
          <w:color w:val="000000" w:themeColor="text1" w:themeTint="FF" w:themeShade="FF"/>
          <w:sz w:val="24"/>
          <w:szCs w:val="24"/>
          <w:lang w:val="en-GB"/>
        </w:rPr>
        <w:t>Walker, F.O. (2007) ‘H</w:t>
      </w:r>
      <w:r w:rsidRPr="6A370997" w:rsidR="64372215">
        <w:rPr>
          <w:rFonts w:ascii="Arial" w:hAnsi="Arial" w:eastAsia="Arial" w:cs="Arial"/>
          <w:noProof w:val="0"/>
          <w:color w:val="000000" w:themeColor="text1" w:themeTint="FF" w:themeShade="FF"/>
          <w:sz w:val="24"/>
          <w:szCs w:val="24"/>
          <w:lang w:val="en-GB"/>
        </w:rPr>
        <w:t>untingto</w:t>
      </w:r>
      <w:r w:rsidRPr="6A370997" w:rsidR="64372215">
        <w:rPr>
          <w:rFonts w:ascii="Arial" w:hAnsi="Arial" w:eastAsia="Arial" w:cs="Arial"/>
          <w:noProof w:val="0"/>
          <w:color w:val="000000" w:themeColor="text1" w:themeTint="FF" w:themeShade="FF"/>
          <w:sz w:val="24"/>
          <w:szCs w:val="24"/>
          <w:lang w:val="en-GB"/>
        </w:rPr>
        <w:t xml:space="preserve">n’s Disease’, </w:t>
      </w:r>
      <w:r w:rsidRPr="6A370997" w:rsidR="64372215">
        <w:rPr>
          <w:rFonts w:ascii="Arial" w:hAnsi="Arial" w:eastAsia="Arial" w:cs="Arial"/>
          <w:i w:val="1"/>
          <w:iCs w:val="1"/>
          <w:noProof w:val="0"/>
          <w:color w:val="000000" w:themeColor="text1" w:themeTint="FF" w:themeShade="FF"/>
          <w:sz w:val="24"/>
          <w:szCs w:val="24"/>
          <w:lang w:val="en-GB"/>
        </w:rPr>
        <w:t>The Lancet</w:t>
      </w:r>
      <w:r w:rsidRPr="6A370997" w:rsidR="64372215">
        <w:rPr>
          <w:rFonts w:ascii="Arial" w:hAnsi="Arial" w:eastAsia="Arial" w:cs="Arial"/>
          <w:noProof w:val="0"/>
          <w:color w:val="000000" w:themeColor="text1" w:themeTint="FF" w:themeShade="FF"/>
          <w:sz w:val="24"/>
          <w:szCs w:val="24"/>
          <w:lang w:val="en-GB"/>
        </w:rPr>
        <w:t>, 369(9557), pp. 2</w:t>
      </w:r>
      <w:r w:rsidRPr="6A370997" w:rsidR="64372215">
        <w:rPr>
          <w:rFonts w:ascii="Arial" w:hAnsi="Arial" w:eastAsia="Arial" w:cs="Arial"/>
          <w:noProof w:val="0"/>
          <w:color w:val="000000" w:themeColor="text1" w:themeTint="FF" w:themeShade="FF"/>
          <w:sz w:val="24"/>
          <w:szCs w:val="24"/>
          <w:lang w:val="en-GB"/>
        </w:rPr>
        <w:t xml:space="preserve">18–228. </w:t>
      </w:r>
      <w:r w:rsidRPr="6A370997" w:rsidR="64372215">
        <w:rPr>
          <w:rFonts w:ascii="Arial" w:hAnsi="Arial" w:eastAsia="Arial" w:cs="Arial"/>
          <w:noProof w:val="0"/>
          <w:color w:val="000000" w:themeColor="text1" w:themeTint="FF" w:themeShade="FF"/>
          <w:sz w:val="24"/>
          <w:szCs w:val="24"/>
          <w:lang w:val="en-GB"/>
        </w:rPr>
        <w:t>doi</w:t>
      </w:r>
      <w:r w:rsidRPr="6A370997" w:rsidR="64372215">
        <w:rPr>
          <w:rFonts w:ascii="Arial" w:hAnsi="Arial" w:eastAsia="Arial" w:cs="Arial"/>
          <w:noProof w:val="0"/>
          <w:color w:val="000000" w:themeColor="text1" w:themeTint="FF" w:themeShade="FF"/>
          <w:sz w:val="24"/>
          <w:szCs w:val="24"/>
          <w:lang w:val="en-GB"/>
        </w:rPr>
        <w:t>: 10.1016/S0140-6736(07)60111-1.</w:t>
      </w:r>
      <w:r>
        <w:br/>
      </w:r>
      <w:r>
        <w:br/>
      </w:r>
      <w:r w:rsidRPr="6A370997" w:rsidR="64372215">
        <w:rPr>
          <w:rFonts w:ascii="Arial" w:hAnsi="Arial" w:eastAsia="Arial" w:cs="Arial"/>
          <w:noProof w:val="0"/>
          <w:color w:val="212529"/>
          <w:sz w:val="24"/>
          <w:szCs w:val="24"/>
          <w:lang w:val="en-GB"/>
        </w:rPr>
        <w:t xml:space="preserve">White, A. (2022) </w:t>
      </w:r>
      <w:r w:rsidRPr="6A370997" w:rsidR="64372215">
        <w:rPr>
          <w:rFonts w:ascii="Arial" w:hAnsi="Arial" w:eastAsia="Arial" w:cs="Arial"/>
          <w:i w:val="1"/>
          <w:iCs w:val="1"/>
          <w:noProof w:val="0"/>
          <w:color w:val="212529"/>
          <w:sz w:val="24"/>
          <w:szCs w:val="24"/>
          <w:lang w:val="en-GB"/>
        </w:rPr>
        <w:t>Decision-making in Huntington’s Disease</w:t>
      </w:r>
      <w:r w:rsidRPr="6A370997" w:rsidR="64372215">
        <w:rPr>
          <w:rFonts w:ascii="Arial" w:hAnsi="Arial" w:eastAsia="Arial" w:cs="Arial"/>
          <w:noProof w:val="0"/>
          <w:color w:val="212529"/>
          <w:sz w:val="24"/>
          <w:szCs w:val="24"/>
          <w:lang w:val="en-GB"/>
        </w:rPr>
        <w:t>. Apollo - University of Camb</w:t>
      </w:r>
      <w:r w:rsidRPr="6A370997" w:rsidR="64372215">
        <w:rPr>
          <w:rFonts w:ascii="Arial" w:hAnsi="Arial" w:eastAsia="Arial" w:cs="Arial"/>
          <w:noProof w:val="0"/>
          <w:color w:val="212529"/>
          <w:sz w:val="24"/>
          <w:szCs w:val="24"/>
          <w:lang w:val="en-GB"/>
        </w:rPr>
        <w:t>ridge Repository</w:t>
      </w:r>
      <w:r w:rsidRPr="6A370997" w:rsidR="64372215">
        <w:rPr>
          <w:rFonts w:ascii="Arial" w:hAnsi="Arial" w:eastAsia="Arial" w:cs="Arial"/>
          <w:noProof w:val="0"/>
          <w:color w:val="212529"/>
          <w:sz w:val="24"/>
          <w:szCs w:val="24"/>
          <w:lang w:val="en-GB"/>
        </w:rPr>
        <w:t>. doi:10.17863/CAM.77644.</w:t>
      </w:r>
      <w:r>
        <w:br/>
      </w:r>
      <w:r>
        <w:br/>
      </w:r>
      <w:r w:rsidRPr="6A370997" w:rsidR="3324DB00">
        <w:rPr>
          <w:rFonts w:ascii="ui-sans-serif" w:hAnsi="ui-sans-serif" w:eastAsia="ui-sans-serif" w:cs="ui-sans-serif"/>
          <w:noProof w:val="0"/>
          <w:color w:val="0D0D0D" w:themeColor="text1" w:themeTint="F2" w:themeShade="FF"/>
          <w:sz w:val="24"/>
          <w:szCs w:val="24"/>
          <w:lang w:val="en-GB"/>
        </w:rPr>
        <w:t xml:space="preserve">Wieringa, G., Dale, M. and Eccles, F.J.R. (2022) ‘The experience of a sample of individuals in the United Kingdom living in the pre-manifest stage of Huntington’s disease: An interpretative phenomenological analysis’, </w:t>
      </w:r>
      <w:r w:rsidRPr="6A370997" w:rsidR="3324DB00">
        <w:rPr>
          <w:rFonts w:ascii="ui-sans-serif" w:hAnsi="ui-sans-serif" w:eastAsia="ui-sans-serif" w:cs="ui-sans-serif"/>
          <w:i w:val="1"/>
          <w:iCs w:val="1"/>
          <w:noProof w:val="0"/>
          <w:color w:val="0D0D0D" w:themeColor="text1" w:themeTint="F2" w:themeShade="FF"/>
          <w:sz w:val="24"/>
          <w:szCs w:val="24"/>
          <w:lang w:val="en-GB"/>
        </w:rPr>
        <w:t>Journal of Genetic Counseling</w:t>
      </w:r>
      <w:r w:rsidRPr="6A370997" w:rsidR="3324DB00">
        <w:rPr>
          <w:rFonts w:ascii="ui-sans-serif" w:hAnsi="ui-sans-serif" w:eastAsia="ui-sans-serif" w:cs="ui-sans-serif"/>
          <w:noProof w:val="0"/>
          <w:color w:val="0D0D0D" w:themeColor="text1" w:themeTint="F2" w:themeShade="FF"/>
          <w:sz w:val="24"/>
          <w:szCs w:val="24"/>
          <w:lang w:val="en-GB"/>
        </w:rPr>
        <w:t>, 31(2), pp. 375–387. doi: 10.1002/jgc4.1497.</w:t>
      </w:r>
    </w:p>
    <w:p w:rsidR="0011089A" w:rsidP="6A370997" w:rsidRDefault="006E5409" w14:paraId="50F98A12" w14:textId="3C01DC8B">
      <w:pPr>
        <w:pStyle w:val="Normal"/>
        <w:suppressLineNumbers w:val="0"/>
        <w:bidi w:val="0"/>
        <w:spacing w:before="0" w:beforeAutospacing="off" w:after="0" w:afterAutospacing="off" w:line="278" w:lineRule="auto"/>
        <w:ind w:left="720" w:right="0"/>
        <w:jc w:val="left"/>
      </w:pPr>
      <w:r>
        <w:br/>
      </w:r>
      <w:r w:rsidRPr="6A370997" w:rsidR="43A54FFB">
        <w:rPr>
          <w:rFonts w:ascii="Arial" w:hAnsi="Arial" w:eastAsia="Arial" w:cs="Arial"/>
          <w:noProof w:val="0"/>
          <w:color w:val="000000" w:themeColor="text1" w:themeTint="FF" w:themeShade="FF"/>
          <w:sz w:val="24"/>
          <w:szCs w:val="24"/>
          <w:lang w:val="en-GB"/>
        </w:rPr>
        <w:t xml:space="preserve"> </w:t>
      </w:r>
      <w:r w:rsidRPr="6A370997" w:rsidR="43A54FFB">
        <w:rPr>
          <w:rFonts w:ascii="Arial" w:hAnsi="Arial" w:eastAsia="Arial" w:cs="Arial"/>
          <w:noProof w:val="0"/>
          <w:color w:val="0D0D0D" w:themeColor="text1" w:themeTint="F2" w:themeShade="FF"/>
          <w:sz w:val="24"/>
          <w:szCs w:val="24"/>
          <w:lang w:val="en-GB"/>
        </w:rPr>
        <w:t>Wiggins, S., Whyte, P., Huggins, M., Adam, S., Theilmann, J., Bloch, M., Sheps, S.B., Schechter, M.T. and Hayden, M.R. (1992) ‘The psychological consequences of predictive testing for Hunting</w:t>
      </w:r>
      <w:r w:rsidRPr="6A370997" w:rsidR="43A54FFB">
        <w:rPr>
          <w:rFonts w:ascii="ui-sans-serif" w:hAnsi="ui-sans-serif" w:eastAsia="ui-sans-serif" w:cs="ui-sans-serif"/>
          <w:noProof w:val="0"/>
          <w:color w:val="0D0D0D" w:themeColor="text1" w:themeTint="F2" w:themeShade="FF"/>
          <w:sz w:val="24"/>
          <w:szCs w:val="24"/>
          <w:lang w:val="en-GB"/>
        </w:rPr>
        <w:t xml:space="preserve">ton’s disease’, </w:t>
      </w:r>
      <w:r w:rsidRPr="6A370997" w:rsidR="43A54FFB">
        <w:rPr>
          <w:rFonts w:ascii="ui-sans-serif" w:hAnsi="ui-sans-serif" w:eastAsia="ui-sans-serif" w:cs="ui-sans-serif"/>
          <w:i w:val="1"/>
          <w:iCs w:val="1"/>
          <w:noProof w:val="0"/>
          <w:color w:val="0D0D0D" w:themeColor="text1" w:themeTint="F2" w:themeShade="FF"/>
          <w:sz w:val="24"/>
          <w:szCs w:val="24"/>
          <w:lang w:val="en-GB"/>
        </w:rPr>
        <w:t>New England Journal of Medicine</w:t>
      </w:r>
      <w:r w:rsidRPr="6A370997" w:rsidR="43A54FFB">
        <w:rPr>
          <w:rFonts w:ascii="ui-sans-serif" w:hAnsi="ui-sans-serif" w:eastAsia="ui-sans-serif" w:cs="ui-sans-serif"/>
          <w:noProof w:val="0"/>
          <w:color w:val="0D0D0D" w:themeColor="text1" w:themeTint="F2" w:themeShade="FF"/>
          <w:sz w:val="24"/>
          <w:szCs w:val="24"/>
          <w:lang w:val="en-GB"/>
        </w:rPr>
        <w:t>, 327(20), pp. 1401–1405. doi: 10.1056/NEJM199211123272001.</w:t>
      </w:r>
    </w:p>
    <w:p w:rsidR="0011089A" w:rsidP="6A370997" w:rsidRDefault="006E5409" w14:paraId="6177D8C3" w14:textId="39E0D66F">
      <w:pPr>
        <w:pStyle w:val="Normal"/>
        <w:suppressLineNumbers w:val="0"/>
        <w:bidi w:val="0"/>
        <w:spacing w:before="0" w:beforeAutospacing="off" w:after="0" w:afterAutospacing="off" w:line="278" w:lineRule="auto"/>
        <w:ind w:left="720" w:right="0"/>
        <w:jc w:val="left"/>
      </w:pPr>
      <w:r>
        <w:br/>
      </w:r>
      <w:r w:rsidRPr="6A370997" w:rsidR="63A532A0">
        <w:rPr>
          <w:rFonts w:ascii="Arial" w:hAnsi="Arial" w:eastAsia="Arial" w:cs="Arial"/>
          <w:noProof w:val="0"/>
          <w:color w:val="0D0D0D" w:themeColor="text1" w:themeTint="F2" w:themeShade="FF"/>
          <w:sz w:val="24"/>
          <w:szCs w:val="24"/>
          <w:lang w:val="en-GB"/>
        </w:rPr>
        <w:t xml:space="preserve">Zarotti, N., Dale, M., Eccles, F. and Simpson, J. (2020) ‘Psychological interventions for people with Huntington’s disease: A call to arms’, </w:t>
      </w:r>
      <w:r w:rsidRPr="6A370997" w:rsidR="63A532A0">
        <w:rPr>
          <w:rFonts w:ascii="Arial" w:hAnsi="Arial" w:eastAsia="Arial" w:cs="Arial"/>
          <w:i w:val="1"/>
          <w:iCs w:val="1"/>
          <w:noProof w:val="0"/>
          <w:color w:val="0D0D0D" w:themeColor="text1" w:themeTint="F2" w:themeShade="FF"/>
          <w:sz w:val="24"/>
          <w:szCs w:val="24"/>
          <w:lang w:val="en-GB"/>
        </w:rPr>
        <w:t>Journal of Huntington’s Disease</w:t>
      </w:r>
      <w:r w:rsidRPr="6A370997" w:rsidR="63A532A0">
        <w:rPr>
          <w:rFonts w:ascii="Arial" w:hAnsi="Arial" w:eastAsia="Arial" w:cs="Arial"/>
          <w:noProof w:val="0"/>
          <w:color w:val="0D0D0D" w:themeColor="text1" w:themeTint="F2" w:themeShade="FF"/>
          <w:sz w:val="24"/>
          <w:szCs w:val="24"/>
          <w:lang w:val="en-GB"/>
        </w:rPr>
        <w:t>, 9(3), pp. 231–243. doi: 10.3233/JHD-200418.</w:t>
      </w:r>
    </w:p>
    <w:p w:rsidR="0011089A" w:rsidP="663E9881" w:rsidRDefault="006E5409" w14:paraId="2AD78F17" w14:textId="47F77D54">
      <w:pPr>
        <w:pStyle w:val="Headingbackmatter"/>
        <w:rPr>
          <w:rFonts w:ascii="Arial" w:hAnsi="Arial" w:eastAsia="Arial" w:cs="Arial"/>
          <w:sz w:val="24"/>
          <w:szCs w:val="24"/>
        </w:rPr>
      </w:pPr>
      <w:bookmarkStart w:name="_Toc238028916" w:id="72"/>
      <w:r w:rsidRPr="663E9881" w:rsidR="55C5D626">
        <w:rPr>
          <w:rFonts w:ascii="Arial" w:hAnsi="Arial" w:eastAsia="Arial" w:cs="Arial"/>
          <w:sz w:val="24"/>
          <w:szCs w:val="24"/>
        </w:rPr>
        <w:t xml:space="preserve">Appendix </w:t>
      </w:r>
      <w:r w:rsidRPr="663E9881" w:rsidR="55C5D626">
        <w:rPr>
          <w:rFonts w:ascii="Arial" w:hAnsi="Arial" w:eastAsia="Arial" w:cs="Arial"/>
          <w:sz w:val="24"/>
          <w:szCs w:val="24"/>
        </w:rPr>
        <w:t>A :</w:t>
      </w:r>
      <w:r w:rsidRPr="663E9881" w:rsidR="55C5D626">
        <w:rPr>
          <w:rFonts w:ascii="Arial" w:hAnsi="Arial" w:eastAsia="Arial" w:cs="Arial"/>
          <w:sz w:val="24"/>
          <w:szCs w:val="24"/>
        </w:rPr>
        <w:t xml:space="preserve"> Study Information Sheet</w:t>
      </w:r>
      <w:bookmarkEnd w:id="72"/>
    </w:p>
    <w:p w:rsidR="00C57EB6" w:rsidP="00D94E05" w:rsidRDefault="006E5409" w14:paraId="598E7893" w14:textId="3B403FAC">
      <w:r>
        <w:drawing>
          <wp:inline distT="0" distB="0" distL="0" distR="0" wp14:anchorId="3B34E8C7" wp14:editId="2B41307D">
            <wp:extent cx="6010910" cy="8870315"/>
            <wp:effectExtent l="0" t="0" r="8890" b="6985"/>
            <wp:docPr id="2499561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10910" cy="8870315"/>
                    </a:xfrm>
                    <a:prstGeom prst="rect">
                      <a:avLst/>
                    </a:prstGeom>
                    <a:noFill/>
                  </pic:spPr>
                </pic:pic>
              </a:graphicData>
            </a:graphic>
          </wp:inline>
        </w:drawing>
      </w:r>
    </w:p>
    <w:p w:rsidR="006E5409" w:rsidP="006E5409" w:rsidRDefault="006E5409" w14:paraId="1D826E8A" w14:textId="11695AEF"/>
    <w:p w:rsidR="006E5409" w:rsidP="006E5409" w:rsidRDefault="006E5409" w14:paraId="6B619B4E" w14:textId="77777777"/>
    <w:p w:rsidR="00D94E05" w:rsidP="006E5409" w:rsidRDefault="006E5409" w14:paraId="1004F566" w14:textId="77777777">
      <w:pPr>
        <w:pStyle w:val="Headingbackmatter"/>
      </w:pPr>
      <w:bookmarkStart w:name="_Toc238028917" w:id="73"/>
      <w:r>
        <w:t>Appendix B: Consent Form</w:t>
      </w:r>
      <w:bookmarkEnd w:id="73"/>
    </w:p>
    <w:p w:rsidR="006E5409" w:rsidP="00D94E05" w:rsidRDefault="006E5409" w14:paraId="18D0335C" w14:textId="35EE3F73">
      <w:r>
        <w:drawing>
          <wp:inline distT="0" distB="0" distL="0" distR="0" wp14:anchorId="56BD98CA" wp14:editId="4481891E">
            <wp:extent cx="5993130" cy="8413115"/>
            <wp:effectExtent l="0" t="0" r="7620" b="0"/>
            <wp:docPr id="3711344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93130" cy="8413115"/>
                    </a:xfrm>
                    <a:prstGeom prst="rect">
                      <a:avLst/>
                    </a:prstGeom>
                    <a:noFill/>
                  </pic:spPr>
                </pic:pic>
              </a:graphicData>
            </a:graphic>
          </wp:inline>
        </w:drawing>
      </w:r>
    </w:p>
    <w:p w:rsidR="006E5409" w:rsidP="00BF1092" w:rsidRDefault="00BF1092" w14:paraId="1C48BB5E" w14:textId="13BCE510">
      <w:pPr>
        <w:pStyle w:val="Headingbackmatter"/>
      </w:pPr>
      <w:bookmarkStart w:name="_Toc238028918" w:id="74"/>
      <w:r>
        <w:t>Appendix C: Interview Schedule</w:t>
      </w:r>
      <w:bookmarkEnd w:id="74"/>
    </w:p>
    <w:p w:rsidR="006E5409" w:rsidP="00BF1092" w:rsidRDefault="006E5409" w14:paraId="6171B179" w14:textId="10D85797">
      <w:r w:rsidRPr="006E5409">
        <w:drawing>
          <wp:inline distT="0" distB="0" distL="0" distR="0" wp14:anchorId="16D5263B" wp14:editId="07F9C891">
            <wp:extent cx="6118860" cy="9044940"/>
            <wp:effectExtent l="0" t="0" r="0" b="3810"/>
            <wp:docPr id="859224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8860" cy="9044940"/>
                    </a:xfrm>
                    <a:prstGeom prst="rect">
                      <a:avLst/>
                    </a:prstGeom>
                    <a:noFill/>
                    <a:ln>
                      <a:noFill/>
                    </a:ln>
                  </pic:spPr>
                </pic:pic>
              </a:graphicData>
            </a:graphic>
          </wp:inline>
        </w:drawing>
      </w:r>
    </w:p>
    <w:p w:rsidR="006E5409" w:rsidP="006E5409" w:rsidRDefault="006E5409" w14:paraId="15312D7D" w14:textId="77777777"/>
    <w:p w:rsidR="00BF1092" w:rsidP="006E5409" w:rsidRDefault="006E5409" w14:paraId="0F2E10AF" w14:textId="77777777">
      <w:pPr>
        <w:pStyle w:val="Headingbackmatter"/>
      </w:pPr>
      <w:bookmarkStart w:name="_Toc238028919" w:id="75"/>
      <w:r>
        <w:t>Appendix D : Debrief Form</w:t>
      </w:r>
      <w:bookmarkEnd w:id="75"/>
      <w:r>
        <w:t xml:space="preserve"> </w:t>
      </w:r>
    </w:p>
    <w:p w:rsidR="00BF1092" w:rsidP="00F06A8D" w:rsidRDefault="00BF1092" w14:paraId="1C8483B9" w14:textId="77777777"/>
    <w:p w:rsidR="006E5409" w:rsidP="00BF1092" w:rsidRDefault="006E5409" w14:paraId="68CAD1E9" w14:textId="56A4E690">
      <w:r>
        <w:drawing>
          <wp:inline distT="0" distB="0" distL="0" distR="0" wp14:anchorId="4A6DABC6" wp14:editId="5DD061AD">
            <wp:extent cx="6010910" cy="7456170"/>
            <wp:effectExtent l="0" t="0" r="8890" b="0"/>
            <wp:docPr id="3763902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10910" cy="7456170"/>
                    </a:xfrm>
                    <a:prstGeom prst="rect">
                      <a:avLst/>
                    </a:prstGeom>
                    <a:noFill/>
                  </pic:spPr>
                </pic:pic>
              </a:graphicData>
            </a:graphic>
          </wp:inline>
        </w:drawing>
      </w:r>
    </w:p>
    <w:p w:rsidRPr="00604290" w:rsidR="006E5409" w:rsidP="006E5409" w:rsidRDefault="006E5409" w14:paraId="75B47BC3" w14:textId="1A70EC32">
      <w:pPr>
        <w:pStyle w:val="Headingbackmatter"/>
        <w:rPr/>
      </w:pPr>
      <w:bookmarkStart w:name="_Toc238028920" w:id="76"/>
      <w:r w:rsidR="006E5409">
        <w:rPr/>
        <w:t xml:space="preserve">Appendix E: </w:t>
      </w:r>
      <w:r w:rsidR="027C2756">
        <w:rPr/>
        <w:t xml:space="preserve">Example of </w:t>
      </w:r>
      <w:r w:rsidR="006E5409">
        <w:rPr/>
        <w:t>First Theme</w:t>
      </w:r>
      <w:bookmarkEnd w:id="76"/>
    </w:p>
    <w:p w:rsidRPr="00604290" w:rsidR="00801869" w:rsidP="69441A9A" w:rsidRDefault="00801869" w14:paraId="5C0683D2" w14:textId="53863A75">
      <w:pPr>
        <w:spacing w:after="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b w:val="1"/>
          <w:bCs w:val="1"/>
          <w:noProof w:val="0"/>
          <w:color w:val="000000" w:themeColor="text1" w:themeTint="FF" w:themeShade="FF"/>
          <w:sz w:val="24"/>
          <w:szCs w:val="24"/>
          <w:lang w:val="en-GB"/>
        </w:rPr>
        <w:t>Theme One: Living with Lifelong Uncertainty</w:t>
      </w:r>
    </w:p>
    <w:p w:rsidRPr="00604290" w:rsidR="00801869" w:rsidP="69441A9A" w:rsidRDefault="00801869" w14:paraId="654A9086" w14:textId="5AEE97A8">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For all participants, predictive genetic testing did not mark the beginning of their experience with HD. Instead, testing followed years of living alongside inherited risk, during which uncertainty became woven into everyday life, relationships and participants' understanding of themselves. Although each person's story was unique, they all described carrying HD long before receiving a genetic result. Childhood memories, observations of affected relatives and an awareness of familial inheritance meant that uncertainty was rarely experienced as a single event. Rather, it formed a persistent backdrop against which participants navigated education, relationships, parenthood and future planning.</w:t>
      </w:r>
    </w:p>
    <w:p w:rsidRPr="00604290" w:rsidR="00801869" w:rsidP="69441A9A" w:rsidRDefault="00801869" w14:paraId="6FB68C4A" w14:textId="038E6E52">
      <w:pPr>
        <w:spacing w:before="240" w:after="240" w:line="480" w:lineRule="auto"/>
        <w:rPr>
          <w:rFonts w:ascii="Times New Roman" w:hAnsi="Times New Roman" w:eastAsia="Times New Roman" w:cs="Times New Roman"/>
          <w:noProof w:val="0"/>
          <w:color w:val="000000" w:themeColor="text1" w:themeTint="FF" w:themeShade="FF"/>
          <w:sz w:val="28"/>
          <w:szCs w:val="28"/>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Participants' accounts also demonstrated that uncertainty changed over time. Childhood experiences of watching parents or relatives become unwell gradually developed into an awareness of what being "at risk" might mean for their own futures. For some, uncertainty became so familiar that it shaped expectations of adulthood, while others attempted to keep it at a distance for as long as possible. Despite these differences, participants consistently described uncertainty as emotionally demanding, eventually reaching a point where continuing not to know became more difficult than seeking certainty through predictive testing.</w:t>
      </w:r>
      <w:r>
        <w:br/>
      </w:r>
      <w:r>
        <w:br/>
      </w:r>
      <w:r w:rsidRPr="69441A9A" w:rsidR="29E2A54F">
        <w:rPr>
          <w:rFonts w:ascii="Times New Roman" w:hAnsi="Times New Roman" w:eastAsia="Times New Roman" w:cs="Times New Roman"/>
          <w:b w:val="1"/>
          <w:bCs w:val="1"/>
          <w:noProof w:val="0"/>
          <w:color w:val="000000" w:themeColor="text1" w:themeTint="FF" w:themeShade="FF"/>
          <w:sz w:val="24"/>
          <w:szCs w:val="24"/>
          <w:lang w:val="en-GB"/>
        </w:rPr>
        <w:t xml:space="preserve">Subtheme </w:t>
      </w:r>
      <w:r w:rsidRPr="69441A9A" w:rsidR="29E2A54F">
        <w:rPr>
          <w:rFonts w:ascii="Times New Roman" w:hAnsi="Times New Roman" w:eastAsia="Times New Roman" w:cs="Times New Roman"/>
          <w:b w:val="1"/>
          <w:bCs w:val="1"/>
          <w:noProof w:val="0"/>
          <w:color w:val="000000" w:themeColor="text1" w:themeTint="FF" w:themeShade="FF"/>
          <w:sz w:val="28"/>
          <w:szCs w:val="28"/>
          <w:lang w:val="en-GB"/>
        </w:rPr>
        <w:t>1.1 Growing Up in the Shadow of HD</w:t>
      </w:r>
    </w:p>
    <w:p w:rsidRPr="00604290" w:rsidR="00801869" w:rsidP="69441A9A" w:rsidRDefault="00801869" w14:paraId="35B366AD" w14:textId="5FCF23A5">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Participants' narratives revealed that HD was present long before predictive testing became possible. Rather than entering their lives through diagnosis, it formed part of their childhood experiences, influencing how they understood themselves and imagined the future. Living at risk was therefore experienced not only as a genetic possibility but also as something inherited psychologically through family experience.</w:t>
      </w:r>
    </w:p>
    <w:p w:rsidRPr="00604290" w:rsidR="00801869" w:rsidP="69441A9A" w:rsidRDefault="00801869" w14:paraId="13E69839" w14:textId="14D47AF1">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For Isaac, awareness of HD began when he was ten years old after his mother explained the family's history. From that point onwards, childhood became closely tied to watching her health deteriorate until she died at the age of forty-four. Isaac's account suggests that HD was understood through lived experience rather than medical knowledge alone. Watching his mum's decline meant that the condition became intertwined with how he imagined his own future, with adulthood viewed through memories of her illness.</w:t>
      </w:r>
    </w:p>
    <w:p w:rsidRPr="00604290" w:rsidR="00801869" w:rsidP="69441A9A" w:rsidRDefault="00801869" w14:paraId="7EDC8082" w14:textId="283AA21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Rachel similarly described HD as an enduring family story rather than an isolated diagnosis. Reflecting on her family history, she explained:</w:t>
      </w:r>
    </w:p>
    <w:p w:rsidRPr="00604290" w:rsidR="00801869" w:rsidP="69441A9A" w:rsidRDefault="00801869" w14:paraId="5630141B" w14:textId="2F43B667">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"It was my great grandmother... then my grandfather... then my dad..."</w:t>
      </w:r>
    </w:p>
    <w:p w:rsidRPr="00604290" w:rsidR="00801869" w:rsidP="69441A9A" w:rsidRDefault="00801869" w14:paraId="5098B80D" w14:textId="74426A95">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The repetition within Rachel's account conveys a powerful sense of inevitability. Rather than recalling separate relatives, she described HD as moving through generations almost as an expected part of family life. Her narrative suggests that she inherited not only genetic risk but also a family identity in which HD had become deeply embedded. Long before predictive testing, awareness of this history had already shaped how she understood herself.</w:t>
      </w:r>
    </w:p>
    <w:p w:rsidRPr="00604290" w:rsidR="00801869" w:rsidP="69441A9A" w:rsidRDefault="00801869" w14:paraId="68660EAB" w14:textId="2EB20EC0">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Jessica described growing up believing there was "no connection" between affected family members because this explanation had been repeatedly given within her family. Only later did she realise these were "family-wise myths." Her account illustrates that uncertainty extended beyond questions of inheritance to include uncertainty about family narratives themselves. Rather than protecting family members, silence appeared to prolong confusion, leaving Jessica to reconstruct her family's history retrospectively.</w:t>
      </w:r>
    </w:p>
    <w:p w:rsidRPr="00604290" w:rsidR="00801869" w:rsidP="69441A9A" w:rsidRDefault="00801869" w14:paraId="6BAD32BF" w14:textId="142C42C8">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Nathan echoed this complexity. Although he described his immediate family as relatively open about HD, he contrasted this with relatives who had "buried their head in the sand", creating "a lot of grey areas" around previous diagnoses and family history. These "grey areas" suggest that participants were often navigating fragmented family stories alongside uncertainty about their own futures. Nathan appeared to position openness as a deliberate response to this inherited silence, suggesting that discussing HD became a way of reducing uncertainty rather than increasing it.</w:t>
      </w:r>
    </w:p>
    <w:p w:rsidRPr="00604290" w:rsidR="00801869" w:rsidP="69441A9A" w:rsidRDefault="00801869" w14:paraId="10919123" w14:textId="12AA68D6">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Many participants described becoming increasingly aware during adolescence that HD might eventually affect them. Clara recalled learning about the condition when she was "12, 13 years of age", but throughout much of early adulthood she explained that she "didn't want to know anything" about either HD or her own genetic status. Rather than simply reflecting denial, her account suggests that maintaining distance from the condition allowed her to continue developing her adult identity without immediately confronting inherited risk. Yet this distance remained fragile, as the knowledge of being at risk never completely disappeared.</w:t>
      </w:r>
    </w:p>
    <w:p w:rsidRPr="00604290" w:rsidR="00801869" w:rsidP="69441A9A" w:rsidRDefault="00801869" w14:paraId="79F6E331" w14:textId="644FA45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Ashley similarly described learning about his father's diagnosis while he was in Year 8. Although HD did not dominate his adolescence, awareness of inherited risk quietly accompanied his transition into adulthood. His account portrays the condition not as a series of dramatic crises but as something that gradually settled into the background of everyday life, subtly shaping how the future was imagined.</w:t>
      </w:r>
    </w:p>
    <w:p w:rsidRPr="00604290" w:rsidR="00801869" w:rsidP="69441A9A" w:rsidRDefault="00801869" w14:paraId="4DB210EE" w14:textId="570AA24F">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Across participants, growing up with HD appeared to create a different relationship with time. Rather than viewing adulthood as open-ended, many described organising their futures around anticipated illness. This was particularly evident in Nathan's account:</w:t>
      </w:r>
    </w:p>
    <w:p w:rsidRPr="00604290" w:rsidR="00801869" w:rsidP="69441A9A" w:rsidRDefault="00801869" w14:paraId="012378C5" w14:textId="7DF4D8AB">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"I'd lived 20 years of my life convinced I was gene positive... I remember thinking, if I have a kid now, they'll be 20 when I'm 50... everything was 50."</w:t>
      </w:r>
    </w:p>
    <w:p w:rsidRPr="00604290" w:rsidR="00801869" w:rsidP="69441A9A" w:rsidRDefault="00801869" w14:paraId="224D4E04" w14:textId="6A91F75A">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This extract demonstrates how deeply inherited risk had become integrated into Nathan's understanding of adulthood. Parenthood, ageing and future planning were all organised around an age at which he expected symptoms to appear. Although he had never received confirmation that he carried the HD gene, uncertainty had gradually become experienced as expectation. His future no longer felt open but organised around an illness that had not yet occurred.</w:t>
      </w:r>
    </w:p>
    <w:p w:rsidRPr="00604290" w:rsidR="00801869" w:rsidP="69441A9A" w:rsidRDefault="00801869" w14:paraId="6D0B0555" w14:textId="1AE09AF2">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Taken together, these accounts demonstrate that participants entered predictive testing carrying decades of lived experience rather than simply questions about their genetic status. Childhood memories, caregiving experiences, family narratives and observations of affected relatives had already shaped how participants understood themselves and imagined their futures, providing the psychological context from which later decisions about predictive testing emerged.</w:t>
      </w:r>
    </w:p>
    <w:p w:rsidRPr="00604290" w:rsidR="00801869" w:rsidP="69441A9A" w:rsidRDefault="00801869" w14:paraId="7460D3B2" w14:textId="7064FD51">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br/>
      </w:r>
      <w:r w:rsidRPr="69441A9A" w:rsidR="29E2A54F">
        <w:rPr>
          <w:rFonts w:ascii="Times New Roman" w:hAnsi="Times New Roman" w:eastAsia="Times New Roman" w:cs="Times New Roman"/>
          <w:b w:val="1"/>
          <w:bCs w:val="1"/>
          <w:noProof w:val="0"/>
          <w:color w:val="000000" w:themeColor="text1" w:themeTint="FF" w:themeShade="FF"/>
          <w:sz w:val="24"/>
          <w:szCs w:val="24"/>
          <w:lang w:val="en-GB"/>
        </w:rPr>
        <w:t>Subtheme 1.2: Becoming Ready to Know</w:t>
      </w:r>
    </w:p>
    <w:p w:rsidRPr="00604290" w:rsidR="00801869" w:rsidP="69441A9A" w:rsidRDefault="00801869" w14:paraId="09864DD3" w14:textId="513B0A03">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Although participants had lived with the possibility of HD for many years, none described predictive testing as an immediate or inevitable decision. Instead, deciding to undergo testing emerged as a gradual psychological process in which they continually negotiated between maintaining uncertainty and confronting it. Readiness was rarely determined by age alone. Rather, participants described reaching a point where continuing not to know became more psychologically demanding than receiving a result.</w:t>
      </w:r>
    </w:p>
    <w:p w:rsidRPr="00604290" w:rsidR="00801869" w:rsidP="69441A9A" w:rsidRDefault="00801869" w14:paraId="7343CB98" w14:textId="78E99B54">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For several participants, this readiness developed gradually through adulthood. Ashley had known about his father's diagnosis since adolescence but deliberately delayed testing until he had completed university and established stability within his personal life. Looking back, he explained that he wanted to have "finished my university degrees and be in a stable place with my friends and family" before receiving a result.</w:t>
      </w:r>
    </w:p>
    <w:p w:rsidRPr="00604290" w:rsidR="00801869" w:rsidP="69441A9A" w:rsidRDefault="00801869" w14:paraId="5F669BE6" w14:textId="0DB9541D">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Although Ashley framed these decisions in practical terms, they also appear psychologically significant. Completing his education and establishing adult relationships allowed him to develop a sense of self that was not defined solely by HD. Rather than allowing inherited risk to dictate early adulthood, he first established an identity that could better withstand whatever testing revealed.</w:t>
      </w:r>
    </w:p>
    <w:p w:rsidRPr="00604290" w:rsidR="00801869" w:rsidP="69441A9A" w:rsidRDefault="00801869" w14:paraId="776092BC" w14:textId="25D688F8">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Clara similarly described readiness as something that evolved internally rather than through external events. Reflecting on her twenties, she explained:</w:t>
      </w:r>
    </w:p>
    <w:p w:rsidRPr="00604290" w:rsidR="00801869" w:rsidP="69441A9A" w:rsidRDefault="00801869" w14:paraId="3FD97E1C" w14:textId="5F41893E">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 didn't want to know anything about HD... I didn't want to know anything about myself."</w:t>
      </w:r>
    </w:p>
    <w:p w:rsidRPr="00604290" w:rsidR="00801869" w:rsidP="69441A9A" w:rsidRDefault="00801869" w14:paraId="42A43BB2" w14:textId="481354AA">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Rather than simply reflecting avoidance, Clara's account suggests that uncertainty initially served a protective function. Keeping HD at a distance allowed her to continue building her adult life without directly confronting inherited risk. However, this position became increasingly difficult to maintain. As she approached thirty, she described a clear turning point:</w:t>
      </w:r>
    </w:p>
    <w:p w:rsidRPr="00604290" w:rsidR="00801869" w:rsidP="69441A9A" w:rsidRDefault="00801869" w14:paraId="6AB14A0D" w14:textId="4E06D8B2">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"When I turned 30... I do now need to know."</w:t>
      </w:r>
    </w:p>
    <w:p w:rsidRPr="00604290" w:rsidR="00801869" w:rsidP="69441A9A" w:rsidRDefault="00801869" w14:paraId="250A629E" w14:textId="10171D32">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The shift from not wanting to know to needing to know suggests that prolonged uncertainty had become increasingly difficult to sustain. Testing no longer appeared to be a choice between knowing and not knowing, but a way of moving forwards after years of psychological suspension.</w:t>
      </w:r>
    </w:p>
    <w:p w:rsidRPr="00604290" w:rsidR="00801869" w:rsidP="69441A9A" w:rsidRDefault="00801869" w14:paraId="30FB83E5" w14:textId="7EA7CFDA">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Rachel's account reflected a similar sense of inevitability. Having witnessed HD affect several generations of her family, she recalled eventually thinking:</w:t>
      </w:r>
    </w:p>
    <w:p w:rsidRPr="00604290" w:rsidR="00801869" w:rsidP="69441A9A" w:rsidRDefault="00801869" w14:paraId="7F7DF37F" w14:textId="0CE15755">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"I've got to do it."</w:t>
      </w:r>
    </w:p>
    <w:p w:rsidRPr="00604290" w:rsidR="00801869" w:rsidP="69441A9A" w:rsidRDefault="00801869" w14:paraId="4AC3E67E" w14:textId="009FFB80">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Although brief, this statement conveys years of accumulated experience. Rachel did not describe carefully weighing the advantages and disadvantages of testing. Instead, the decision appeared to emerge gradually through repeated exposure to HD until remaining uncertain no longer felt emotionally manageable.</w:t>
      </w:r>
    </w:p>
    <w:p w:rsidRPr="00604290" w:rsidR="00801869" w:rsidP="69441A9A" w:rsidRDefault="00801869" w14:paraId="4AD4641A" w14:textId="19D50B75">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For Nathan, becoming ready was closely connected to fatherhood. Initially, he chose non-disclosure IVF so that he could have his first daughter without learning his own gene status. This allowed him to protect his child while preserving uncertainty for himself. However, when he and his wife wanted to expand their family, this balance became increasingly difficult to maintain. Reflecting on this point, he explained:</w:t>
      </w:r>
    </w:p>
    <w:p w:rsidRPr="00604290" w:rsidR="00801869" w:rsidP="69441A9A" w:rsidRDefault="00801869" w14:paraId="39EE3913" w14:textId="27E44EDE">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 kind of got to a point where... it's now or never."</w:t>
      </w:r>
    </w:p>
    <w:p w:rsidRPr="00604290" w:rsidR="00801869" w:rsidP="69441A9A" w:rsidRDefault="00801869" w14:paraId="683ACE79" w14:textId="06334475">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Despite identifying family planning as an important influence, Nathan repeatedly resisted the idea that readiness could be determined by external circumstances alone:</w:t>
      </w:r>
    </w:p>
    <w:p w:rsidRPr="00604290" w:rsidR="00801869" w:rsidP="69441A9A" w:rsidRDefault="00801869" w14:paraId="540769A0" w14:textId="731FF02E">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 don't think anyone could tell you go for the test apart from yourself. It's such a personal journey."</w:t>
      </w:r>
    </w:p>
    <w:p w:rsidRPr="00604290" w:rsidR="00801869" w:rsidP="69441A9A" w:rsidRDefault="00801869" w14:paraId="67C879FF" w14:textId="1A9B63BB">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His account highlights that whilst life events influenced the timing of testing, psychological readiness remained deeply personal. External circumstances could create the opportunity to test, but only the individual could decide when they were emotionally prepared.</w:t>
      </w:r>
    </w:p>
    <w:p w:rsidRPr="00604290" w:rsidR="00801869" w:rsidP="69441A9A" w:rsidRDefault="00801869" w14:paraId="71F0D256" w14:textId="6D5FC60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Isaac's experience differed because his decision was prompted by changes within his own body. Having watched his mum's illness progress, he had long decided that if symptoms appeared, he would pursue testing immediately:</w:t>
      </w:r>
    </w:p>
    <w:p w:rsidRPr="00604290" w:rsidR="00801869" w:rsidP="69441A9A" w:rsidRDefault="00801869" w14:paraId="327B696E" w14:textId="32F3D588">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"As soon as I seen any symptoms, I'll go and get myself tested."</w:t>
      </w:r>
    </w:p>
    <w:p w:rsidRPr="00604290" w:rsidR="00801869" w:rsidP="69441A9A" w:rsidRDefault="00801869" w14:paraId="7C4B9C42" w14:textId="022F5E9A">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When changes in his balance began to concern him, the decision had effectively already been made. Unlike participants whose readiness developed gradually over many years, Isaac's readiness remained dormant until he believed the moment he had anticipated had arrived.</w:t>
      </w:r>
    </w:p>
    <w:p w:rsidRPr="00604290" w:rsidR="00801869" w:rsidP="69441A9A" w:rsidRDefault="00801869" w14:paraId="1ECB54D1" w14:textId="015CA8D5">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Jessica's experience similarly reflected a search for explanation rather than anticipation. As neurological symptoms became increasingly difficult to ignore, uncertainty no longer centred on whether HD might affect her in the future, but whether it already had. Rather than avoiding this possibility, she described herself as "not one to run away from things", emphasising her desire for certainty.</w:t>
      </w:r>
    </w:p>
    <w:p w:rsidRPr="00604290" w:rsidR="00801869" w:rsidP="69441A9A" w:rsidRDefault="00801869" w14:paraId="3F299821" w14:textId="3BB781F5">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Across all six accounts, becoming ready involved a gradual shift in the balance between uncertainty and certainty. For many years, uncertainty had preserved hope, delayed difficult decisions or protected established identities. Over time, however, uncertainty itself became increasingly restrictive. Participants reached an internal point where continuing not to know felt more burdensome than discovering the truth. Undergoing predictive testing therefore represented far more than consenting to a medical procedure. It reflected an acknowledgement that they were finally prepared to confront a future they had spent years imagining but had never truly known.</w:t>
      </w:r>
    </w:p>
    <w:p w:rsidRPr="00604290" w:rsidR="00801869" w:rsidP="69441A9A" w:rsidRDefault="00801869" w14:paraId="458CBA42" w14:textId="79197963">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br/>
      </w:r>
      <w:r w:rsidRPr="69441A9A" w:rsidR="29E2A54F">
        <w:rPr>
          <w:rFonts w:ascii="Times New Roman" w:hAnsi="Times New Roman" w:eastAsia="Times New Roman" w:cs="Times New Roman"/>
          <w:b w:val="1"/>
          <w:bCs w:val="1"/>
          <w:noProof w:val="0"/>
          <w:color w:val="000000" w:themeColor="text1" w:themeTint="FF" w:themeShade="FF"/>
          <w:sz w:val="24"/>
          <w:szCs w:val="24"/>
          <w:lang w:val="en-GB"/>
        </w:rPr>
        <w:t>Subtheme 1.3: Living Between Knowing and Not Knowing</w:t>
      </w:r>
    </w:p>
    <w:p w:rsidRPr="00604290" w:rsidR="00801869" w:rsidP="69441A9A" w:rsidRDefault="00801869" w14:paraId="340E85C8" w14:textId="60EC0E45">
      <w:pPr>
        <w:pStyle w:val="Heading3"/>
        <w:keepNext w:val="1"/>
        <w:keepLines w:val="1"/>
        <w:spacing w:before="281" w:after="281" w:line="278" w:lineRule="auto"/>
        <w:rPr>
          <w:rFonts w:ascii="Times New Roman" w:hAnsi="Times New Roman" w:eastAsia="Times New Roman" w:cs="Times New Roman"/>
          <w:noProof w:val="0"/>
          <w:color w:val="000000" w:themeColor="text1" w:themeTint="FF" w:themeShade="FF"/>
          <w:sz w:val="28"/>
          <w:szCs w:val="28"/>
          <w:lang w:val="en-GB"/>
        </w:rPr>
      </w:pPr>
      <w:r w:rsidRPr="69441A9A" w:rsidR="29E2A54F">
        <w:rPr>
          <w:rFonts w:ascii="Times New Roman" w:hAnsi="Times New Roman" w:eastAsia="Times New Roman" w:cs="Times New Roman"/>
          <w:b w:val="1"/>
          <w:bCs w:val="1"/>
          <w:noProof w:val="0"/>
          <w:color w:val="000000" w:themeColor="text1" w:themeTint="FF" w:themeShade="FF"/>
          <w:sz w:val="28"/>
          <w:szCs w:val="28"/>
          <w:lang w:val="en-GB"/>
        </w:rPr>
        <w:t>1.3 Living Between Uncertainty and Certainty</w:t>
      </w:r>
    </w:p>
    <w:p w:rsidRPr="00604290" w:rsidR="00801869" w:rsidP="69441A9A" w:rsidRDefault="00801869" w14:paraId="58F452CC" w14:textId="071B8F9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For participants, the period before predictive testing was characterised by more than waiting for a genetic result. Instead, they described living in a prolonged state where inherited risk shaped everyday thoughts, relationships and future planning. Rather than remaining in the background, uncertainty increasingly influenced how participants understood themselves and imagined their futures.</w:t>
      </w:r>
    </w:p>
    <w:p w:rsidRPr="00604290" w:rsidR="00801869" w:rsidP="69441A9A" w:rsidRDefault="00801869" w14:paraId="6D0B9FF4" w14:textId="2E97FC3A">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Rachel's account illustrates how uncertainty gradually became embodied. Reflecting on the years before testing, she explained:</w:t>
      </w:r>
    </w:p>
    <w:p w:rsidRPr="00604290" w:rsidR="00801869" w:rsidP="69441A9A" w:rsidRDefault="00801869" w14:paraId="6CF743EA" w14:textId="763D47C0">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"Every time I forgot something, every time I'd trip over... I thought, 'That's it.' I thought I had it. I was driving myself crazy."</w:t>
      </w:r>
    </w:p>
    <w:p w:rsidRPr="00604290" w:rsidR="00801869" w:rsidP="69441A9A" w:rsidRDefault="00801869" w14:paraId="49492046" w14:textId="71560AB7">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Ordinary experiences became difficult to separate from the possibility of HD. Forgetfulness and minor accidents were no longer interpreted as everyday occurrences but as potential evidence that symptoms had begun. Rachel's relationship with her body became dominated by vigilance, leaving little opportunity for psychological rest. Living at risk had altered not only how she thought about HD but how she experienced her own body. Ordinary lapses were no longer ordinary; they became potential evidence that the future she feared had already begun.</w:t>
      </w:r>
    </w:p>
    <w:p w:rsidRPr="00604290" w:rsidR="00801869" w:rsidP="69441A9A" w:rsidRDefault="00801869" w14:paraId="3746394C" w14:textId="11F88D6D">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Perhaps most strikingly, Rachel explained that this pattern continued even after receiving a negative result. Although genetic uncertainty had been resolved, the habit of monitoring herself remained. Years of living at risk had become deeply embedded, suggesting that emotional adjustment continued beyond the moment of testing.</w:t>
      </w:r>
    </w:p>
    <w:p w:rsidRPr="00604290" w:rsidR="00801869" w:rsidP="69441A9A" w:rsidRDefault="00801869" w14:paraId="2BE92654" w14:textId="2E56B16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Clara described this experience through one of the most powerful metaphors across the interviews, explaining that she had been living in:</w:t>
      </w:r>
    </w:p>
    <w:p w:rsidRPr="00604290" w:rsidR="00801869" w:rsidP="69441A9A" w:rsidRDefault="00801869" w14:paraId="08E8243D" w14:textId="70321885">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"this precipice of knowing and not knowing."</w:t>
      </w:r>
    </w:p>
    <w:p w:rsidRPr="00604290" w:rsidR="00801869" w:rsidP="69441A9A" w:rsidRDefault="00801869" w14:paraId="6CD5DC82" w14:textId="430537DC">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Her description evokes standing at the edge of two equally difficult possibilities. Remaining where she was meant continuing to live with uncertainty, whilst moving forwards meant confronting the possibility of HD. Neither position offered relief. Instead, uncertainty became a place in which life continued to move forwards whilst she remained unable to imagine her own future with confidence.</w:t>
      </w:r>
    </w:p>
    <w:p w:rsidRPr="00604290" w:rsidR="00801869" w:rsidP="69441A9A" w:rsidRDefault="00801869" w14:paraId="6809D188" w14:textId="02F022BE">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Clara later reflected that before testing she had been signed off work because of anxiety. Looking back after receiving her result, she simply stated:</w:t>
      </w:r>
    </w:p>
    <w:p w:rsidRPr="00604290" w:rsidR="00801869" w:rsidP="69441A9A" w:rsidRDefault="00801869" w14:paraId="33B45EDB" w14:textId="3CEED272">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"My anxiety went away."</w:t>
      </w:r>
    </w:p>
    <w:p w:rsidRPr="00604290" w:rsidR="00801869" w:rsidP="69441A9A" w:rsidRDefault="00801869" w14:paraId="7AD80ED7" w14:textId="065EDC0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Her account suggests that prolonged uncertainty had become more psychologically distressing than certainty itself. Although testing did not remove every emotional challenge, it released her from the continual anticipation that had shaped much of her adult life.</w:t>
      </w:r>
    </w:p>
    <w:p w:rsidRPr="00604290" w:rsidR="00801869" w:rsidP="69441A9A" w:rsidRDefault="00801869" w14:paraId="3F99A55D" w14:textId="4601EE7B">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Ashley similarly described how uncertainty changed once he entered the predictive testing pathway. Before beginning the process, HD remained something he had largely kept in the background. Once appointments began, however, he reflected:</w:t>
      </w:r>
    </w:p>
    <w:p w:rsidRPr="00604290" w:rsidR="00801869" w:rsidP="69441A9A" w:rsidRDefault="00801869" w14:paraId="7C9D2A81" w14:textId="77647423">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"The reality had kicked in... there is no escaping... a result at the end of the day."</w:t>
      </w:r>
    </w:p>
    <w:p w:rsidRPr="00604290" w:rsidR="00801869" w:rsidP="69441A9A" w:rsidRDefault="00801869" w14:paraId="2495F50F" w14:textId="03258A58">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Beginning testing transformed inherited risk into something immediate. The future he had previously managed to compartmentalise now had a definite endpoint, intensifying the emotional weight of uncertainty rather than relieving it.</w:t>
      </w:r>
    </w:p>
    <w:p w:rsidRPr="00604290" w:rsidR="00801869" w:rsidP="69441A9A" w:rsidRDefault="00801869" w14:paraId="311DD6F3" w14:textId="4893185B">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For Isaac, uncertainty was intensified by circumstances beyond his control. After deciding to pursue testing because of changes in his balance, the COVID-19 pandemic delayed the process. Reflecting on this period, he explained:</w:t>
      </w:r>
    </w:p>
    <w:p w:rsidRPr="00604290" w:rsidR="00801869" w:rsidP="69441A9A" w:rsidRDefault="00801869" w14:paraId="2FA5369B" w14:textId="2A26CA8F">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 sat there twiddling my thumbs."</w:t>
      </w:r>
    </w:p>
    <w:p w:rsidRPr="00604290" w:rsidR="00801869" w:rsidP="69441A9A" w:rsidRDefault="00801869" w14:paraId="42C3F89B" w14:textId="330E9663">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Although understated, this phrase conveys a profound sense of helplessness. Isaac had already reached the point where he wanted certainty, yet the opportunity to obtain it remained beyond his control. Waiting therefore became something imposed upon him rather than chosen.</w:t>
      </w:r>
    </w:p>
    <w:p w:rsidRPr="00604290" w:rsidR="00801869" w:rsidP="69441A9A" w:rsidRDefault="00801869" w14:paraId="5175F7F9" w14:textId="3898A9CC">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Jessica also described uncertainty as something that extended beyond conscious thought into everyday life. Before receiving her diagnosis, she explained:</w:t>
      </w:r>
    </w:p>
    <w:p w:rsidRPr="00604290" w:rsidR="00801869" w:rsidP="69441A9A" w:rsidRDefault="00801869" w14:paraId="74D7BAA4" w14:textId="4E5E9894">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 would wake up at night extremely anxious."</w:t>
      </w:r>
    </w:p>
    <w:p w:rsidRPr="00604290" w:rsidR="00801869" w:rsidP="69441A9A" w:rsidRDefault="00801869" w14:paraId="775C1099" w14:textId="6751B633">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Later adding that HD was:</w:t>
      </w:r>
    </w:p>
    <w:p w:rsidRPr="00604290" w:rsidR="00801869" w:rsidP="69441A9A" w:rsidRDefault="00801869" w14:paraId="54C7C47A" w14:textId="6424A554">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"on your mind a lot of the time."</w:t>
      </w:r>
    </w:p>
    <w:p w:rsidRPr="00604290" w:rsidR="00801869" w:rsidP="69441A9A" w:rsidRDefault="00801869" w14:paraId="31E2D3AB" w14:textId="5A4ED14E">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Her account illustrates how uncertainty accompanied ordinary moments, interrupting sleep and occupying her thoughts long before testing was complete.</w:t>
      </w:r>
    </w:p>
    <w:p w:rsidRPr="00604290" w:rsidR="00801869" w:rsidP="69441A9A" w:rsidRDefault="00801869" w14:paraId="4D7A1548" w14:textId="093B03FF">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Nathan perhaps demonstrated most clearly how uncertainty could shape identity itself. Reflecting on the years before testing, he explained:</w:t>
      </w:r>
    </w:p>
    <w:p w:rsidRPr="00604290" w:rsidR="00801869" w:rsidP="69441A9A" w:rsidRDefault="00801869" w14:paraId="06B4AF6E" w14:textId="40422EF0">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"I'd lived 20 years of my life convinced I was gene positive."</w:t>
      </w:r>
    </w:p>
    <w:p w:rsidRPr="00604290" w:rsidR="00801869" w:rsidP="69441A9A" w:rsidRDefault="00801869" w14:paraId="23AB99C5" w14:textId="77872E27">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Although he had never received confirmation, he had already organised much of his life around the expectation that HD would eventually define it. Over time, uncertainty had become psychologically transformed into expectation. Rather than imagining multiple possible futures, Nathan had already incorporated HD into the future he expected for himself.</w:t>
      </w:r>
    </w:p>
    <w:p w:rsidRPr="00604290" w:rsidR="00801869" w:rsidP="69441A9A" w:rsidRDefault="00801869" w14:paraId="26B562E9" w14:textId="250B6E5D">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As uncertainty became increasingly difficult to sustain, participants described reaching a point where certainty became necessary. Importantly, certainty was not sought because participants believed it would remove emotional pain, but because living with unanswered questions had begun to shape too many areas of their lives. Predictive testing therefore represented an attempt to move forwards rather than remain suspended by uncertainty.</w:t>
      </w:r>
    </w:p>
    <w:p w:rsidRPr="00604290" w:rsidR="00801869" w:rsidP="69441A9A" w:rsidRDefault="00801869" w14:paraId="7E9A7658" w14:textId="39E4D3D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For many participants, certainty was closely connected to future planning. Nathan's account illustrates this particularly clearly. Receiving a negative result fundamentally disrupted the future he had long expected:</w:t>
      </w:r>
    </w:p>
    <w:p w:rsidRPr="00604290" w:rsidR="00801869" w:rsidP="69441A9A" w:rsidRDefault="00801869" w14:paraId="441ACFFA" w14:textId="0E1A0C04">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"My whole life was a corridor, it was just one door at the end... getting that result of gene negative, every possible outcome and door opened at the same time."</w:t>
      </w:r>
    </w:p>
    <w:p w:rsidRPr="00604290" w:rsidR="00801869" w:rsidP="69441A9A" w:rsidRDefault="00801869" w14:paraId="3D464387" w14:textId="62AF66BA">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Rather than describing simple relief, Nathan's metaphor captures the disorientation that accompanied certainty. Before testing, his future had felt predictable because he believed he already knew how it would end. The negative result removed that certainty, replacing a single expected future with possibilities he had never allowed himself to imagine. Certainty therefore required him to reconstruct a future that had previously seemed unavailable.</w:t>
      </w:r>
    </w:p>
    <w:p w:rsidRPr="00604290" w:rsidR="00801869" w:rsidP="69441A9A" w:rsidRDefault="00801869" w14:paraId="5712DE6B" w14:textId="00EB26AE">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This disruption was reflected in his immediate response after receiving the result:</w:t>
      </w:r>
    </w:p>
    <w:p w:rsidRPr="00604290" w:rsidR="00801869" w:rsidP="69441A9A" w:rsidRDefault="00801869" w14:paraId="661C9779" w14:textId="791791D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"My first thing I said after I got my results was, 'Can we retest?'"</w:t>
      </w:r>
    </w:p>
    <w:p w:rsidRPr="00604290" w:rsidR="00801869" w:rsidP="69441A9A" w:rsidRDefault="00801869" w14:paraId="010A6064" w14:textId="0EF8A336">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Having spent decades preparing himself for a positive result, the certainty he received conflicted with the identity and future he had already constructed. Rather than immediately feeling liberated, he first questioned the result itself. His account highlights that certainty does not always bring immediate acceptance; it can require individuals to let go of assumptions that have shaped their lives for many years.</w:t>
      </w:r>
    </w:p>
    <w:p w:rsidRPr="00604290" w:rsidR="00801869" w:rsidP="69441A9A" w:rsidRDefault="00801869" w14:paraId="422CF918" w14:textId="5F13B61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Jessica experienced certainty differently, repeatedly describing receiving her diagnosis as:</w:t>
      </w:r>
    </w:p>
    <w:p w:rsidRPr="00604290" w:rsidR="00801869" w:rsidP="69441A9A" w:rsidRDefault="00801869" w14:paraId="79EB062B" w14:textId="53F7C544">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"Validation."</w:t>
      </w:r>
    </w:p>
    <w:p w:rsidRPr="00604290" w:rsidR="00801869" w:rsidP="69441A9A" w:rsidRDefault="00801869" w14:paraId="3BA7AF4B" w14:textId="5429BB3D">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Rather than introducing a new reality, certainty confirmed years of unexplained symptoms and family experiences that had never fully made sense. The result therefore gave meaning to an experience she had already been living.</w:t>
      </w:r>
    </w:p>
    <w:p w:rsidRPr="00604290" w:rsidR="00801869" w:rsidP="69441A9A" w:rsidRDefault="00801869" w14:paraId="556486C0" w14:textId="594FA7B4">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Isaac similarly explained that before testing he had already reached the point where he believed he knew what the outcome would be:</w:t>
      </w:r>
    </w:p>
    <w:p w:rsidRPr="00604290" w:rsidR="00801869" w:rsidP="69441A9A" w:rsidRDefault="00801869" w14:paraId="5F484514" w14:textId="2C565DAB">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"Personally, I sort of thought I knew."</w:t>
      </w:r>
    </w:p>
    <w:p w:rsidRPr="00604290" w:rsidR="00801869" w:rsidP="69441A9A" w:rsidRDefault="00801869" w14:paraId="280D8D43" w14:textId="6B5C6F1E">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Rather than searching for reassurance, certainty confirmed something he had gradually begun to accept psychologically.</w:t>
      </w:r>
    </w:p>
    <w:p w:rsidRPr="00604290" w:rsidR="00801869" w:rsidP="69441A9A" w:rsidRDefault="00801869" w14:paraId="58E084A6" w14:textId="18AFE612">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Clara described certainty differently again, explaining:</w:t>
      </w:r>
    </w:p>
    <w:p w:rsidRPr="00604290" w:rsidR="00801869" w:rsidP="69441A9A" w:rsidRDefault="00801869" w14:paraId="484C83EE" w14:textId="45C1DE49">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"Knowledge is power."</w:t>
      </w:r>
    </w:p>
    <w:p w:rsidRPr="00604290" w:rsidR="00801869" w:rsidP="69441A9A" w:rsidRDefault="00801869" w14:paraId="23D5D553" w14:textId="19897BDA">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Earlier in her interview, Clara had described living in the "precipice of knowing and not knowing," where uncertainty had dominated her emotional wellbeing. By describing knowledge as power, she appeared to redefine certainty as something that restored agency. Whilst she could not influence the result itself, certainty enabled her to make decisions based on knowledge rather than possibility.</w:t>
      </w:r>
    </w:p>
    <w:p w:rsidRPr="00604290" w:rsidR="00801869" w:rsidP="69441A9A" w:rsidRDefault="00801869" w14:paraId="2BE7D107" w14:textId="43349E51">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Rachel's experience also demonstrates that certainty was not an endpoint. Despite receiving a negative result, she described continuing to look for signs of HD before gradually recognising that she no longer needed to. Years of living at risk had fundamentally shaped how she interpreted her body, and those patterns of vigilance did not disappear immediately. Her account suggests that whilst predictive testing resolved genetic uncertainty, emotional adjustment continued well beyond the moment the result was received.</w:t>
      </w:r>
    </w:p>
    <w:p w:rsidRPr="00604290" w:rsidR="00801869" w:rsidP="69441A9A" w:rsidRDefault="00801869" w14:paraId="45AF2478" w14:textId="30D22D93">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Across participants, uncertainty was far more than the absence of genetic knowledge. It shaped how participants interpreted their bodies, imagined the future and understood themselves. As uncertainty became increasingly restrictive, participants reached a point where certainty represented an opportunity to move forwards. However, certainty rarely provided closure. Whether participants received a positive or negative result, predictive testing marked the beginning of a new period of psychological adjustment in which they reconsidered their identities, relationships and expectations for the future. Predictive testing therefore did not bring an end to participants' journeys with HD, but marked the point at which uncertainty about genetic status gave way to the equally complex task of learning how to live with certainty.</w:t>
      </w:r>
    </w:p>
    <w:p w:rsidRPr="00604290" w:rsidR="00801869" w:rsidP="69441A9A" w:rsidRDefault="00801869" w14:paraId="5A87C335" w14:textId="04ABC4EF">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b w:val="1"/>
          <w:bCs w:val="1"/>
          <w:noProof w:val="0"/>
          <w:color w:val="000000" w:themeColor="text1" w:themeTint="FF" w:themeShade="FF"/>
          <w:sz w:val="24"/>
          <w:szCs w:val="24"/>
          <w:lang w:val="en-GB"/>
        </w:rPr>
        <w:t xml:space="preserve">Theme Smmary </w:t>
      </w:r>
    </w:p>
    <w:p w:rsidRPr="00604290" w:rsidR="00801869" w:rsidP="69441A9A" w:rsidRDefault="00801869" w14:paraId="2DE4FB39" w14:textId="5F85B93C">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Living with lifelong uncertainty emerged as a shared experience across all six participants, although each understood and managed it differently. Long before entering the predictive testing pathway, participants had grown up alongside Huntington's disease through family histories, observations of affected relatives and an enduring awareness of inherited risk. Predictive testing therefore represented the culmination of years of psychological adaptation rather than the beginning of participants' experiences with HD.</w:t>
      </w:r>
    </w:p>
    <w:p w:rsidRPr="00604290" w:rsidR="00801869" w:rsidP="69441A9A" w:rsidRDefault="00801869" w14:paraId="5CB55624" w14:textId="2C9F8661">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Across the interviews, readiness for predictive testing developed gradually as participants negotiated the balance between uncertainty and certainty. Whilst uncertainty initially preserved hope, protected established identities or delayed difficult decisions, it became increasingly restrictive over time. Participants ultimately described reaching an internal point at which continuing not to know felt more psychologically burdensome than receiving a genetic result.</w:t>
      </w:r>
    </w:p>
    <w:p w:rsidRPr="00604290" w:rsidR="00801869" w:rsidP="69441A9A" w:rsidRDefault="00801869" w14:paraId="5BD993C6" w14:textId="181B0265">
      <w:pPr>
        <w:spacing w:before="240" w:after="240" w:line="480" w:lineRule="auto"/>
        <w:rPr>
          <w:rFonts w:ascii="Times New Roman" w:hAnsi="Times New Roman" w:eastAsia="Times New Roman" w:cs="Times New Roman"/>
          <w:noProof w:val="0"/>
          <w:color w:val="000000" w:themeColor="text1" w:themeTint="FF" w:themeShade="FF"/>
          <w:sz w:val="24"/>
          <w:szCs w:val="24"/>
          <w:lang w:val="en-GB"/>
        </w:rPr>
      </w:pPr>
      <w:r w:rsidRPr="69441A9A" w:rsidR="29E2A54F">
        <w:rPr>
          <w:rFonts w:ascii="Times New Roman" w:hAnsi="Times New Roman" w:eastAsia="Times New Roman" w:cs="Times New Roman"/>
          <w:noProof w:val="0"/>
          <w:color w:val="000000" w:themeColor="text1" w:themeTint="FF" w:themeShade="FF"/>
          <w:sz w:val="24"/>
          <w:szCs w:val="24"/>
          <w:lang w:val="en-GB"/>
        </w:rPr>
        <w:t>Importantly, receiving a result did not provide immediate emotional resolution. Instead, predictive testing marked the beginning of a new phase of psychological adjustment, as participants began integrating certainty into their sense of self, relationships and future expectations. Collectively, these findings suggest that the psychological significance of predictive testing lies not only in learning one's genetic status, but in navigating the ongoing transition from living with uncertainty to learning how to live with certainty. The following theme explores how participants made sense of this knowledge as they began adjusting to life after receiving their predictive test result.</w:t>
      </w:r>
    </w:p>
    <w:p w:rsidRPr="00604290" w:rsidR="00801869" w:rsidP="69441A9A" w:rsidRDefault="00801869" w14:paraId="49B48754" w14:textId="4B4173E6">
      <w:pPr>
        <w:pStyle w:val="Normal"/>
        <w:rPr>
          <w:rFonts w:ascii="Times New Roman" w:hAnsi="Times New Roman" w:eastAsia="Times New Roman" w:cs="Times New Roman"/>
          <w:noProof w:val="0"/>
          <w:sz w:val="24"/>
          <w:szCs w:val="24"/>
          <w:lang w:val="en-GB"/>
        </w:rPr>
      </w:pPr>
      <w:r>
        <w:br/>
      </w:r>
    </w:p>
    <w:p w:rsidRPr="00604290" w:rsidR="00C57EB6" w:rsidP="00C57EB6" w:rsidRDefault="00C57EB6" w14:paraId="19024800" w14:textId="77777777"/>
    <w:p w:rsidRPr="00604290" w:rsidR="00C57EB6" w:rsidP="00C57EB6" w:rsidRDefault="00C57EB6" w14:paraId="0790EFEF" w14:textId="77777777">
      <w:pPr>
        <w:sectPr w:rsidRPr="00604290" w:rsidR="00C57EB6" w:rsidSect="00AB1BFB">
          <w:pgSz w:w="11906" w:h="16838" w:orient="portrait"/>
          <w:pgMar w:top="1134" w:right="1134" w:bottom="1134" w:left="1134" w:header="709" w:footer="709" w:gutter="0"/>
          <w:pgNumType w:start="1"/>
          <w:cols w:space="708"/>
          <w:docGrid w:linePitch="360"/>
        </w:sectPr>
      </w:pPr>
    </w:p>
    <w:p w:rsidRPr="008067C7" w:rsidR="002B750B" w:rsidP="006E5409" w:rsidRDefault="002B750B" w14:paraId="43AB3F1C" w14:textId="77777777">
      <w:pPr>
        <w:pStyle w:val="Headingbackmatter"/>
      </w:pPr>
    </w:p>
    <w:sectPr w:rsidRPr="008067C7" w:rsidR="002B750B" w:rsidSect="00AB1BFB">
      <w:footerReference w:type="default" r:id="rId17"/>
      <w:pgSz w:w="11906" w:h="16838" w:orient="portrait"/>
      <w:pgMar w:top="1134" w:right="1134" w:bottom="1134" w:left="1134" w:header="709" w:footer="709"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604290" w:rsidR="009F6A01" w:rsidP="00531639" w:rsidRDefault="009F6A01" w14:paraId="0D079FF4" w14:textId="77777777">
      <w:pPr>
        <w:spacing w:after="0" w:line="240" w:lineRule="auto"/>
      </w:pPr>
      <w:r w:rsidRPr="00604290">
        <w:separator/>
      </w:r>
    </w:p>
    <w:p w:rsidRPr="00604290" w:rsidR="009F6A01" w:rsidRDefault="009F6A01" w14:paraId="78901A25" w14:textId="77777777"/>
  </w:endnote>
  <w:endnote w:type="continuationSeparator" w:id="0">
    <w:p w:rsidRPr="00604290" w:rsidR="009F6A01" w:rsidP="00531639" w:rsidRDefault="009F6A01" w14:paraId="236A59A9" w14:textId="77777777">
      <w:pPr>
        <w:spacing w:after="0" w:line="240" w:lineRule="auto"/>
      </w:pPr>
      <w:r w:rsidRPr="00604290">
        <w:continuationSeparator/>
      </w:r>
    </w:p>
    <w:p w:rsidRPr="00604290" w:rsidR="009F6A01" w:rsidRDefault="009F6A01" w14:paraId="41FE62B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04290" w:rsidR="002B750B" w:rsidRDefault="002B750B" w14:paraId="17AA3BAA" w14:textId="77777777">
    <w:pPr>
      <w:pStyle w:val="Footer"/>
      <w:jc w:val="center"/>
    </w:pPr>
  </w:p>
  <w:p w:rsidRPr="00604290" w:rsidR="002B750B" w:rsidRDefault="002B750B" w14:paraId="78BF972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0583153"/>
      <w:docPartObj>
        <w:docPartGallery w:val="Page Numbers (Bottom of Page)"/>
        <w:docPartUnique/>
      </w:docPartObj>
    </w:sdtPr>
    <w:sdtEndPr/>
    <w:sdtContent>
      <w:p w:rsidRPr="00604290" w:rsidR="009A04B0" w:rsidP="002B750B" w:rsidRDefault="00531639" w14:paraId="0CAE6392" w14:textId="77777777">
        <w:pPr>
          <w:pStyle w:val="Footer"/>
          <w:jc w:val="center"/>
        </w:pPr>
        <w:r w:rsidRPr="00604290">
          <w:fldChar w:fldCharType="begin"/>
        </w:r>
        <w:r w:rsidRPr="00604290">
          <w:instrText xml:space="preserve"> PAGE   \* MERGEFORMAT </w:instrText>
        </w:r>
        <w:r w:rsidRPr="00604290">
          <w:fldChar w:fldCharType="separate"/>
        </w:r>
        <w:r w:rsidRPr="00604290" w:rsidR="00D42406">
          <w:t>7</w:t>
        </w:r>
        <w:r w:rsidRPr="00604290">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048923"/>
      <w:docPartObj>
        <w:docPartGallery w:val="Page Numbers (Bottom of Page)"/>
        <w:docPartUnique/>
      </w:docPartObj>
    </w:sdtPr>
    <w:sdtEndPr/>
    <w:sdtContent>
      <w:p w:rsidRPr="00604290" w:rsidR="002B750B" w:rsidP="002B750B" w:rsidRDefault="002B750B" w14:paraId="2BF29E60" w14:textId="77777777">
        <w:pPr>
          <w:pStyle w:val="Footer"/>
          <w:jc w:val="center"/>
        </w:pPr>
        <w:r w:rsidRPr="00604290">
          <w:fldChar w:fldCharType="begin"/>
        </w:r>
        <w:r w:rsidRPr="00604290">
          <w:instrText xml:space="preserve"> PAGE   \* MERGEFORMAT </w:instrText>
        </w:r>
        <w:r w:rsidRPr="00604290">
          <w:fldChar w:fldCharType="separate"/>
        </w:r>
        <w:r w:rsidRPr="00604290" w:rsidR="00D42406">
          <w:t>I</w:t>
        </w:r>
        <w:r w:rsidRPr="00604290">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604290" w:rsidR="009F6A01" w:rsidP="00531639" w:rsidRDefault="009F6A01" w14:paraId="72E66B96" w14:textId="77777777">
      <w:pPr>
        <w:spacing w:after="0" w:line="240" w:lineRule="auto"/>
      </w:pPr>
      <w:r w:rsidRPr="00604290">
        <w:separator/>
      </w:r>
    </w:p>
    <w:p w:rsidRPr="00604290" w:rsidR="009F6A01" w:rsidRDefault="009F6A01" w14:paraId="0CBA5042" w14:textId="77777777"/>
  </w:footnote>
  <w:footnote w:type="continuationSeparator" w:id="0">
    <w:p w:rsidRPr="00604290" w:rsidR="009F6A01" w:rsidP="00531639" w:rsidRDefault="009F6A01" w14:paraId="07862548" w14:textId="77777777">
      <w:pPr>
        <w:spacing w:after="0" w:line="240" w:lineRule="auto"/>
      </w:pPr>
      <w:r w:rsidRPr="00604290">
        <w:continuationSeparator/>
      </w:r>
    </w:p>
    <w:p w:rsidRPr="00604290" w:rsidR="009F6A01" w:rsidRDefault="009F6A01" w14:paraId="4050FC6B" w14:textId="77777777"/>
  </w:footnote>
</w:footnotes>
</file>

<file path=word/intelligence2.xml><?xml version="1.0" encoding="utf-8"?>
<int2:intelligence xmlns:int2="http://schemas.microsoft.com/office/intelligence/2020/intelligence">
  <int2:observations>
    <int2:textHash int2:hashCode="Eq3mbLpCH/AdEQ" int2:id="67xJOof5">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246d0b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d32dc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12fa6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16b1f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3c53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7f4a4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e78f6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F3151C"/>
    <w:multiLevelType w:val="hybridMultilevel"/>
    <w:tmpl w:val="DF8CBBEA"/>
    <w:lvl w:ilvl="0" w:tplc="08090003">
      <w:start w:val="1"/>
      <w:numFmt w:val="bullet"/>
      <w:lvlText w:val="o"/>
      <w:lvlJc w:val="left"/>
      <w:pPr>
        <w:ind w:left="2912" w:hanging="360"/>
      </w:pPr>
      <w:rPr>
        <w:rFonts w:hint="default" w:ascii="Courier New" w:hAnsi="Courier New" w:cs="Courier New"/>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C984904"/>
    <w:multiLevelType w:val="hybridMultilevel"/>
    <w:tmpl w:val="DBACEE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FCB2143"/>
    <w:multiLevelType w:val="hybridMultilevel"/>
    <w:tmpl w:val="19481DAE"/>
    <w:lvl w:ilvl="0" w:tplc="08090003">
      <w:start w:val="1"/>
      <w:numFmt w:val="bullet"/>
      <w:lvlText w:val="o"/>
      <w:lvlJc w:val="left"/>
      <w:pPr>
        <w:ind w:left="2912" w:hanging="360"/>
      </w:pPr>
      <w:rPr>
        <w:rFonts w:hint="default" w:ascii="Courier New" w:hAnsi="Courier New" w:cs="Courier New"/>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136832C5"/>
    <w:multiLevelType w:val="hybridMultilevel"/>
    <w:tmpl w:val="03401972"/>
    <w:lvl w:ilvl="0" w:tplc="6EF0908C">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33FC03CA"/>
    <w:multiLevelType w:val="hybridMultilevel"/>
    <w:tmpl w:val="89F61D18"/>
    <w:lvl w:ilvl="0" w:tplc="08090003">
      <w:start w:val="1"/>
      <w:numFmt w:val="bullet"/>
      <w:lvlText w:val="o"/>
      <w:lvlJc w:val="left"/>
      <w:pPr>
        <w:ind w:left="2912" w:hanging="360"/>
      </w:pPr>
      <w:rPr>
        <w:rFonts w:hint="default" w:ascii="Courier New" w:hAnsi="Courier New" w:cs="Courier New"/>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5" w15:restartNumberingAfterBreak="0">
    <w:nsid w:val="35082EB9"/>
    <w:multiLevelType w:val="multilevel"/>
    <w:tmpl w:val="981257C6"/>
    <w:lvl w:ilvl="0">
      <w:start w:val="1"/>
      <w:numFmt w:val="decimal"/>
      <w:pStyle w:val="Heading1"/>
      <w:suff w:val="space"/>
      <w:lvlText w:val="Chapter %1"/>
      <w:lvlJc w:val="left"/>
      <w:pPr>
        <w:ind w:left="432" w:hanging="432"/>
      </w:pPr>
      <w:rPr>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6" w15:restartNumberingAfterBreak="0">
    <w:nsid w:val="3F0309B9"/>
    <w:multiLevelType w:val="hybridMultilevel"/>
    <w:tmpl w:val="45A2E3D0"/>
    <w:lvl w:ilvl="0" w:tplc="08090001">
      <w:start w:val="1"/>
      <w:numFmt w:val="bullet"/>
      <w:lvlText w:val=""/>
      <w:lvlJc w:val="left"/>
      <w:pPr>
        <w:ind w:left="784" w:hanging="360"/>
      </w:pPr>
      <w:rPr>
        <w:rFonts w:hint="default" w:ascii="Symbol" w:hAnsi="Symbol"/>
      </w:rPr>
    </w:lvl>
    <w:lvl w:ilvl="1" w:tplc="08090003">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7" w15:restartNumberingAfterBreak="0">
    <w:nsid w:val="3F654077"/>
    <w:multiLevelType w:val="hybridMultilevel"/>
    <w:tmpl w:val="EF680656"/>
    <w:lvl w:ilvl="0" w:tplc="08090003">
      <w:start w:val="1"/>
      <w:numFmt w:val="bullet"/>
      <w:lvlText w:val="o"/>
      <w:lvlJc w:val="left"/>
      <w:pPr>
        <w:ind w:left="2912" w:hanging="360"/>
      </w:pPr>
      <w:rPr>
        <w:rFonts w:hint="default" w:ascii="Courier New" w:hAnsi="Courier New" w:cs="Courier New"/>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8" w15:restartNumberingAfterBreak="0">
    <w:nsid w:val="59055C8B"/>
    <w:multiLevelType w:val="hybridMultilevel"/>
    <w:tmpl w:val="02220F7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5D320B53"/>
    <w:multiLevelType w:val="hybridMultilevel"/>
    <w:tmpl w:val="58C033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640D2351"/>
    <w:multiLevelType w:val="hybridMultilevel"/>
    <w:tmpl w:val="1F0A32E0"/>
    <w:lvl w:ilvl="0" w:tplc="08090001">
      <w:start w:val="1"/>
      <w:numFmt w:val="bullet"/>
      <w:lvlText w:val=""/>
      <w:lvlJc w:val="left"/>
      <w:pPr>
        <w:ind w:left="2912"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9D45881"/>
    <w:multiLevelType w:val="hybridMultilevel"/>
    <w:tmpl w:val="909AF30C"/>
    <w:lvl w:ilvl="0" w:tplc="C584E7EC">
      <w:start w:val="1"/>
      <w:numFmt w:val="bullet"/>
      <w:lvlText w:val=""/>
      <w:lvlJc w:val="left"/>
      <w:pPr>
        <w:ind w:left="720" w:hanging="360"/>
      </w:pPr>
      <w:rPr>
        <w:rFonts w:hint="default" w:ascii="Symbol" w:hAnsi="Symbol"/>
      </w:rPr>
    </w:lvl>
    <w:lvl w:ilvl="1" w:tplc="F48AE986">
      <w:start w:val="1"/>
      <w:numFmt w:val="bullet"/>
      <w:lvlText w:val="o"/>
      <w:lvlJc w:val="left"/>
      <w:pPr>
        <w:ind w:left="1440" w:hanging="360"/>
      </w:pPr>
      <w:rPr>
        <w:rFonts w:hint="default" w:ascii="Courier New" w:hAnsi="Courier New"/>
      </w:rPr>
    </w:lvl>
    <w:lvl w:ilvl="2" w:tplc="728842E2">
      <w:start w:val="1"/>
      <w:numFmt w:val="bullet"/>
      <w:lvlText w:val=""/>
      <w:lvlJc w:val="left"/>
      <w:pPr>
        <w:ind w:left="2160" w:hanging="360"/>
      </w:pPr>
      <w:rPr>
        <w:rFonts w:hint="default" w:ascii="Wingdings" w:hAnsi="Wingdings"/>
      </w:rPr>
    </w:lvl>
    <w:lvl w:ilvl="3" w:tplc="2BBAF390">
      <w:start w:val="1"/>
      <w:numFmt w:val="bullet"/>
      <w:lvlText w:val=""/>
      <w:lvlJc w:val="left"/>
      <w:pPr>
        <w:ind w:left="2880" w:hanging="360"/>
      </w:pPr>
      <w:rPr>
        <w:rFonts w:hint="default" w:ascii="Symbol" w:hAnsi="Symbol"/>
      </w:rPr>
    </w:lvl>
    <w:lvl w:ilvl="4" w:tplc="7420693C">
      <w:start w:val="1"/>
      <w:numFmt w:val="bullet"/>
      <w:lvlText w:val="o"/>
      <w:lvlJc w:val="left"/>
      <w:pPr>
        <w:ind w:left="3600" w:hanging="360"/>
      </w:pPr>
      <w:rPr>
        <w:rFonts w:hint="default" w:ascii="Courier New" w:hAnsi="Courier New"/>
      </w:rPr>
    </w:lvl>
    <w:lvl w:ilvl="5" w:tplc="80AA7458">
      <w:start w:val="1"/>
      <w:numFmt w:val="bullet"/>
      <w:lvlText w:val=""/>
      <w:lvlJc w:val="left"/>
      <w:pPr>
        <w:ind w:left="4320" w:hanging="360"/>
      </w:pPr>
      <w:rPr>
        <w:rFonts w:hint="default" w:ascii="Wingdings" w:hAnsi="Wingdings"/>
      </w:rPr>
    </w:lvl>
    <w:lvl w:ilvl="6" w:tplc="CDA83D5E">
      <w:start w:val="1"/>
      <w:numFmt w:val="bullet"/>
      <w:lvlText w:val=""/>
      <w:lvlJc w:val="left"/>
      <w:pPr>
        <w:ind w:left="5040" w:hanging="360"/>
      </w:pPr>
      <w:rPr>
        <w:rFonts w:hint="default" w:ascii="Symbol" w:hAnsi="Symbol"/>
      </w:rPr>
    </w:lvl>
    <w:lvl w:ilvl="7" w:tplc="AC18C8BC">
      <w:start w:val="1"/>
      <w:numFmt w:val="bullet"/>
      <w:lvlText w:val="o"/>
      <w:lvlJc w:val="left"/>
      <w:pPr>
        <w:ind w:left="5760" w:hanging="360"/>
      </w:pPr>
      <w:rPr>
        <w:rFonts w:hint="default" w:ascii="Courier New" w:hAnsi="Courier New"/>
      </w:rPr>
    </w:lvl>
    <w:lvl w:ilvl="8" w:tplc="50D69DCA">
      <w:start w:val="1"/>
      <w:numFmt w:val="bullet"/>
      <w:lvlText w:val=""/>
      <w:lvlJc w:val="left"/>
      <w:pPr>
        <w:ind w:left="6480" w:hanging="360"/>
      </w:pPr>
      <w:rPr>
        <w:rFonts w:hint="default" w:ascii="Wingdings" w:hAnsi="Wingdings"/>
      </w:rPr>
    </w:lvl>
  </w:abstractNum>
  <w:abstractNum w:abstractNumId="12" w15:restartNumberingAfterBreak="0">
    <w:nsid w:val="6D360C3A"/>
    <w:multiLevelType w:val="hybridMultilevel"/>
    <w:tmpl w:val="A31E36B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3" w15:restartNumberingAfterBreak="0">
    <w:nsid w:val="7D3707F8"/>
    <w:multiLevelType w:val="hybridMultilevel"/>
    <w:tmpl w:val="EC703CCE"/>
    <w:lvl w:ilvl="0" w:tplc="08090003">
      <w:start w:val="1"/>
      <w:numFmt w:val="bullet"/>
      <w:lvlText w:val="o"/>
      <w:lvlJc w:val="left"/>
      <w:pPr>
        <w:ind w:left="2912" w:hanging="360"/>
      </w:pPr>
      <w:rPr>
        <w:rFonts w:hint="default" w:ascii="Courier New" w:hAnsi="Courier New" w:cs="Courier New"/>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4" w15:restartNumberingAfterBreak="0">
    <w:nsid w:val="7DC8411A"/>
    <w:multiLevelType w:val="hybridMultilevel"/>
    <w:tmpl w:val="9ED82F0E"/>
    <w:lvl w:ilvl="0" w:tplc="08090003">
      <w:start w:val="1"/>
      <w:numFmt w:val="bullet"/>
      <w:lvlText w:val="o"/>
      <w:lvlJc w:val="left"/>
      <w:pPr>
        <w:ind w:left="2912" w:hanging="360"/>
      </w:pPr>
      <w:rPr>
        <w:rFonts w:hint="default" w:ascii="Courier New" w:hAnsi="Courier New" w:cs="Courier New"/>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 w16cid:durableId="452553983">
    <w:abstractNumId w:val="5"/>
  </w:num>
  <w:num w:numId="2" w16cid:durableId="1967469152">
    <w:abstractNumId w:val="3"/>
  </w:num>
  <w:num w:numId="3" w16cid:durableId="798571015">
    <w:abstractNumId w:val="1"/>
  </w:num>
  <w:num w:numId="4" w16cid:durableId="761535631">
    <w:abstractNumId w:val="8"/>
  </w:num>
  <w:num w:numId="5" w16cid:durableId="2107070749">
    <w:abstractNumId w:val="12"/>
  </w:num>
  <w:num w:numId="6" w16cid:durableId="1834635842">
    <w:abstractNumId w:val="10"/>
  </w:num>
  <w:num w:numId="7" w16cid:durableId="1968973177">
    <w:abstractNumId w:val="6"/>
  </w:num>
  <w:num w:numId="8" w16cid:durableId="38286274">
    <w:abstractNumId w:val="9"/>
  </w:num>
  <w:num w:numId="9" w16cid:durableId="1388145936">
    <w:abstractNumId w:val="14"/>
  </w:num>
  <w:num w:numId="10" w16cid:durableId="294337784">
    <w:abstractNumId w:val="4"/>
  </w:num>
  <w:num w:numId="11" w16cid:durableId="1446542000">
    <w:abstractNumId w:val="7"/>
  </w:num>
  <w:num w:numId="12" w16cid:durableId="1348407386">
    <w:abstractNumId w:val="2"/>
  </w:num>
  <w:num w:numId="13" w16cid:durableId="1889880638">
    <w:abstractNumId w:val="13"/>
  </w:num>
  <w:num w:numId="14" w16cid:durableId="185608443">
    <w:abstractNumId w:val="0"/>
  </w:num>
  <w:num w:numId="15" w16cid:durableId="2122414395">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ctiveWritingStyle w:lang="en-GB" w:vendorID="64" w:dllVersion="4096" w:nlCheck="1" w:checkStyle="0" w:appName="MSWord"/>
  <w:proofState w:spelling="clean" w:grammar="dirty"/>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xNDQztTAxMrM0MDVX0lEKTi0uzszPAykwqgUAUSPwdiwAAAA="/>
  </w:docVars>
  <w:rsids>
    <w:rsidRoot w:val="003258F0"/>
    <w:rsid w:val="00003203"/>
    <w:rsid w:val="00015230"/>
    <w:rsid w:val="000154BE"/>
    <w:rsid w:val="00021938"/>
    <w:rsid w:val="000248AB"/>
    <w:rsid w:val="00033E63"/>
    <w:rsid w:val="00047584"/>
    <w:rsid w:val="0005071B"/>
    <w:rsid w:val="00052D0A"/>
    <w:rsid w:val="000538AB"/>
    <w:rsid w:val="00053F4F"/>
    <w:rsid w:val="00054DFF"/>
    <w:rsid w:val="00056314"/>
    <w:rsid w:val="0005670C"/>
    <w:rsid w:val="00062F3F"/>
    <w:rsid w:val="0006623F"/>
    <w:rsid w:val="00067068"/>
    <w:rsid w:val="00074272"/>
    <w:rsid w:val="00080310"/>
    <w:rsid w:val="00080B2A"/>
    <w:rsid w:val="00087ABE"/>
    <w:rsid w:val="0009093D"/>
    <w:rsid w:val="00095527"/>
    <w:rsid w:val="000A4A10"/>
    <w:rsid w:val="000A4CB5"/>
    <w:rsid w:val="000B189A"/>
    <w:rsid w:val="000B36A4"/>
    <w:rsid w:val="000F237B"/>
    <w:rsid w:val="0011089A"/>
    <w:rsid w:val="00111CD5"/>
    <w:rsid w:val="00117B07"/>
    <w:rsid w:val="00124E7B"/>
    <w:rsid w:val="00126184"/>
    <w:rsid w:val="00126428"/>
    <w:rsid w:val="00136102"/>
    <w:rsid w:val="00140C8A"/>
    <w:rsid w:val="0014161E"/>
    <w:rsid w:val="00142D46"/>
    <w:rsid w:val="00144D23"/>
    <w:rsid w:val="001472FA"/>
    <w:rsid w:val="00155026"/>
    <w:rsid w:val="0015778F"/>
    <w:rsid w:val="00160AAD"/>
    <w:rsid w:val="00167139"/>
    <w:rsid w:val="00170738"/>
    <w:rsid w:val="00182EF4"/>
    <w:rsid w:val="00183C2E"/>
    <w:rsid w:val="00184A38"/>
    <w:rsid w:val="001A2B94"/>
    <w:rsid w:val="001A7499"/>
    <w:rsid w:val="001B03C9"/>
    <w:rsid w:val="001B3EDA"/>
    <w:rsid w:val="001B64DA"/>
    <w:rsid w:val="001C09DD"/>
    <w:rsid w:val="001C1B98"/>
    <w:rsid w:val="001C4106"/>
    <w:rsid w:val="001D1566"/>
    <w:rsid w:val="001F3D5A"/>
    <w:rsid w:val="00210487"/>
    <w:rsid w:val="00212B80"/>
    <w:rsid w:val="00214A52"/>
    <w:rsid w:val="002205DE"/>
    <w:rsid w:val="0022767B"/>
    <w:rsid w:val="00233C61"/>
    <w:rsid w:val="0025324F"/>
    <w:rsid w:val="002561DF"/>
    <w:rsid w:val="00256BA1"/>
    <w:rsid w:val="00264546"/>
    <w:rsid w:val="0027204D"/>
    <w:rsid w:val="00276206"/>
    <w:rsid w:val="00283950"/>
    <w:rsid w:val="002938CF"/>
    <w:rsid w:val="002A54E1"/>
    <w:rsid w:val="002B3195"/>
    <w:rsid w:val="002B4362"/>
    <w:rsid w:val="002B6EC2"/>
    <w:rsid w:val="002B750B"/>
    <w:rsid w:val="002C0574"/>
    <w:rsid w:val="002C5AAF"/>
    <w:rsid w:val="002D13B3"/>
    <w:rsid w:val="002D622F"/>
    <w:rsid w:val="002D7E47"/>
    <w:rsid w:val="002E1363"/>
    <w:rsid w:val="002E19D2"/>
    <w:rsid w:val="002E5D85"/>
    <w:rsid w:val="002F12FF"/>
    <w:rsid w:val="002F15DD"/>
    <w:rsid w:val="002F29C9"/>
    <w:rsid w:val="002F4411"/>
    <w:rsid w:val="002F5503"/>
    <w:rsid w:val="00303B6D"/>
    <w:rsid w:val="003054DE"/>
    <w:rsid w:val="0030705D"/>
    <w:rsid w:val="00311C18"/>
    <w:rsid w:val="00313E89"/>
    <w:rsid w:val="00315DA7"/>
    <w:rsid w:val="00315EB7"/>
    <w:rsid w:val="00317F80"/>
    <w:rsid w:val="00325652"/>
    <w:rsid w:val="003258F0"/>
    <w:rsid w:val="00342297"/>
    <w:rsid w:val="00343771"/>
    <w:rsid w:val="003558BF"/>
    <w:rsid w:val="00361CB5"/>
    <w:rsid w:val="00364396"/>
    <w:rsid w:val="003700ED"/>
    <w:rsid w:val="0037729D"/>
    <w:rsid w:val="003827E4"/>
    <w:rsid w:val="00383C9B"/>
    <w:rsid w:val="0038761F"/>
    <w:rsid w:val="00391768"/>
    <w:rsid w:val="00394318"/>
    <w:rsid w:val="003A01C7"/>
    <w:rsid w:val="003A0201"/>
    <w:rsid w:val="003A5DCE"/>
    <w:rsid w:val="003C0E82"/>
    <w:rsid w:val="003C0FA1"/>
    <w:rsid w:val="003D1168"/>
    <w:rsid w:val="003D590A"/>
    <w:rsid w:val="003E026F"/>
    <w:rsid w:val="003E06A9"/>
    <w:rsid w:val="003E5DA1"/>
    <w:rsid w:val="003E6083"/>
    <w:rsid w:val="003E7ACD"/>
    <w:rsid w:val="003F652D"/>
    <w:rsid w:val="00415005"/>
    <w:rsid w:val="00426DC0"/>
    <w:rsid w:val="004315CB"/>
    <w:rsid w:val="00436D32"/>
    <w:rsid w:val="00441427"/>
    <w:rsid w:val="00443726"/>
    <w:rsid w:val="00447C72"/>
    <w:rsid w:val="00450210"/>
    <w:rsid w:val="00460124"/>
    <w:rsid w:val="004658B4"/>
    <w:rsid w:val="00473F43"/>
    <w:rsid w:val="00474D82"/>
    <w:rsid w:val="0048308D"/>
    <w:rsid w:val="00487EE0"/>
    <w:rsid w:val="0049496D"/>
    <w:rsid w:val="0049502A"/>
    <w:rsid w:val="00495C44"/>
    <w:rsid w:val="004A211B"/>
    <w:rsid w:val="004B431D"/>
    <w:rsid w:val="004B4525"/>
    <w:rsid w:val="004D1C5A"/>
    <w:rsid w:val="004D2403"/>
    <w:rsid w:val="004D30DF"/>
    <w:rsid w:val="004D448A"/>
    <w:rsid w:val="004D4978"/>
    <w:rsid w:val="004F07B8"/>
    <w:rsid w:val="004F0F4B"/>
    <w:rsid w:val="004F2680"/>
    <w:rsid w:val="004F35AE"/>
    <w:rsid w:val="00500764"/>
    <w:rsid w:val="00503C6F"/>
    <w:rsid w:val="00503D95"/>
    <w:rsid w:val="005074DB"/>
    <w:rsid w:val="00507DA4"/>
    <w:rsid w:val="00511ACA"/>
    <w:rsid w:val="005120BC"/>
    <w:rsid w:val="005224A8"/>
    <w:rsid w:val="005229A9"/>
    <w:rsid w:val="00531639"/>
    <w:rsid w:val="00542438"/>
    <w:rsid w:val="0054770E"/>
    <w:rsid w:val="00547921"/>
    <w:rsid w:val="00553307"/>
    <w:rsid w:val="00555FC6"/>
    <w:rsid w:val="00556279"/>
    <w:rsid w:val="00560FEB"/>
    <w:rsid w:val="00566E4A"/>
    <w:rsid w:val="0058250F"/>
    <w:rsid w:val="00583CE5"/>
    <w:rsid w:val="00595246"/>
    <w:rsid w:val="005A714D"/>
    <w:rsid w:val="005B0093"/>
    <w:rsid w:val="005C0BC6"/>
    <w:rsid w:val="005C79F0"/>
    <w:rsid w:val="005D1DF0"/>
    <w:rsid w:val="005D2AFB"/>
    <w:rsid w:val="005D3516"/>
    <w:rsid w:val="005D7635"/>
    <w:rsid w:val="005E50B8"/>
    <w:rsid w:val="005F5DF8"/>
    <w:rsid w:val="0060191A"/>
    <w:rsid w:val="00604290"/>
    <w:rsid w:val="00606621"/>
    <w:rsid w:val="006226E4"/>
    <w:rsid w:val="00623824"/>
    <w:rsid w:val="0062452D"/>
    <w:rsid w:val="00637F6F"/>
    <w:rsid w:val="00641E9E"/>
    <w:rsid w:val="00645C17"/>
    <w:rsid w:val="00647A64"/>
    <w:rsid w:val="006549D8"/>
    <w:rsid w:val="00655174"/>
    <w:rsid w:val="0065F43D"/>
    <w:rsid w:val="00660E2A"/>
    <w:rsid w:val="00660ECE"/>
    <w:rsid w:val="00666D85"/>
    <w:rsid w:val="00667581"/>
    <w:rsid w:val="00671324"/>
    <w:rsid w:val="006728BE"/>
    <w:rsid w:val="00680029"/>
    <w:rsid w:val="00681D73"/>
    <w:rsid w:val="00690124"/>
    <w:rsid w:val="00695264"/>
    <w:rsid w:val="006A006D"/>
    <w:rsid w:val="006B5AD9"/>
    <w:rsid w:val="006C2930"/>
    <w:rsid w:val="006C40B4"/>
    <w:rsid w:val="006C700D"/>
    <w:rsid w:val="006D3005"/>
    <w:rsid w:val="006D56B2"/>
    <w:rsid w:val="006D6100"/>
    <w:rsid w:val="006D6A04"/>
    <w:rsid w:val="006E216E"/>
    <w:rsid w:val="006E5409"/>
    <w:rsid w:val="006F091F"/>
    <w:rsid w:val="006F0AD4"/>
    <w:rsid w:val="006F147F"/>
    <w:rsid w:val="006F1C99"/>
    <w:rsid w:val="006F2BCF"/>
    <w:rsid w:val="006F59DE"/>
    <w:rsid w:val="006F5BAE"/>
    <w:rsid w:val="00702D46"/>
    <w:rsid w:val="00722F97"/>
    <w:rsid w:val="007271EF"/>
    <w:rsid w:val="00751DE7"/>
    <w:rsid w:val="007528CB"/>
    <w:rsid w:val="00756A1D"/>
    <w:rsid w:val="0075721E"/>
    <w:rsid w:val="0076436D"/>
    <w:rsid w:val="0078109E"/>
    <w:rsid w:val="00784CFE"/>
    <w:rsid w:val="00796CAE"/>
    <w:rsid w:val="007A1768"/>
    <w:rsid w:val="007B21F0"/>
    <w:rsid w:val="007C43D3"/>
    <w:rsid w:val="007D656E"/>
    <w:rsid w:val="007E4741"/>
    <w:rsid w:val="007E6168"/>
    <w:rsid w:val="007F6794"/>
    <w:rsid w:val="007F778D"/>
    <w:rsid w:val="00801869"/>
    <w:rsid w:val="00802F46"/>
    <w:rsid w:val="00805AEB"/>
    <w:rsid w:val="008067C7"/>
    <w:rsid w:val="00807099"/>
    <w:rsid w:val="00807B13"/>
    <w:rsid w:val="00831788"/>
    <w:rsid w:val="00836763"/>
    <w:rsid w:val="008370C4"/>
    <w:rsid w:val="008378BB"/>
    <w:rsid w:val="00845A8C"/>
    <w:rsid w:val="00845DEB"/>
    <w:rsid w:val="00850E01"/>
    <w:rsid w:val="00851B6E"/>
    <w:rsid w:val="00862D59"/>
    <w:rsid w:val="00867D31"/>
    <w:rsid w:val="008746F8"/>
    <w:rsid w:val="00880347"/>
    <w:rsid w:val="0089524A"/>
    <w:rsid w:val="008960A9"/>
    <w:rsid w:val="008A402E"/>
    <w:rsid w:val="008DF86E"/>
    <w:rsid w:val="008E3FB2"/>
    <w:rsid w:val="008F3486"/>
    <w:rsid w:val="008F4467"/>
    <w:rsid w:val="00912E09"/>
    <w:rsid w:val="00912F19"/>
    <w:rsid w:val="009153D2"/>
    <w:rsid w:val="009214E7"/>
    <w:rsid w:val="00924D75"/>
    <w:rsid w:val="00926395"/>
    <w:rsid w:val="00934936"/>
    <w:rsid w:val="00935C05"/>
    <w:rsid w:val="009431D7"/>
    <w:rsid w:val="009439BA"/>
    <w:rsid w:val="00943F4B"/>
    <w:rsid w:val="00950AE5"/>
    <w:rsid w:val="00965B5A"/>
    <w:rsid w:val="00981421"/>
    <w:rsid w:val="00981CE1"/>
    <w:rsid w:val="009846EC"/>
    <w:rsid w:val="00990BAD"/>
    <w:rsid w:val="009A04B0"/>
    <w:rsid w:val="009C28C3"/>
    <w:rsid w:val="009C5C14"/>
    <w:rsid w:val="009E5EBE"/>
    <w:rsid w:val="009F0E48"/>
    <w:rsid w:val="009F313A"/>
    <w:rsid w:val="009F57C3"/>
    <w:rsid w:val="009F6A01"/>
    <w:rsid w:val="00A00393"/>
    <w:rsid w:val="00A06665"/>
    <w:rsid w:val="00A066F3"/>
    <w:rsid w:val="00A216C3"/>
    <w:rsid w:val="00A312E2"/>
    <w:rsid w:val="00A35434"/>
    <w:rsid w:val="00A41353"/>
    <w:rsid w:val="00A41616"/>
    <w:rsid w:val="00A4620A"/>
    <w:rsid w:val="00A600C0"/>
    <w:rsid w:val="00A60553"/>
    <w:rsid w:val="00A61BEE"/>
    <w:rsid w:val="00A6233C"/>
    <w:rsid w:val="00A67C35"/>
    <w:rsid w:val="00A74750"/>
    <w:rsid w:val="00A841DB"/>
    <w:rsid w:val="00A90199"/>
    <w:rsid w:val="00A956DD"/>
    <w:rsid w:val="00A97388"/>
    <w:rsid w:val="00A9794C"/>
    <w:rsid w:val="00AA3672"/>
    <w:rsid w:val="00AA5FCD"/>
    <w:rsid w:val="00AB1BFB"/>
    <w:rsid w:val="00AB69AE"/>
    <w:rsid w:val="00AC0A54"/>
    <w:rsid w:val="00AC7B2F"/>
    <w:rsid w:val="00AE3C39"/>
    <w:rsid w:val="00AF4376"/>
    <w:rsid w:val="00AF5F5D"/>
    <w:rsid w:val="00B01F22"/>
    <w:rsid w:val="00B05639"/>
    <w:rsid w:val="00B10FBE"/>
    <w:rsid w:val="00B155FA"/>
    <w:rsid w:val="00B23638"/>
    <w:rsid w:val="00B43007"/>
    <w:rsid w:val="00B46E04"/>
    <w:rsid w:val="00B479D9"/>
    <w:rsid w:val="00B533C4"/>
    <w:rsid w:val="00B57064"/>
    <w:rsid w:val="00B5B91E"/>
    <w:rsid w:val="00B65CAE"/>
    <w:rsid w:val="00B675FB"/>
    <w:rsid w:val="00B6782E"/>
    <w:rsid w:val="00B7259D"/>
    <w:rsid w:val="00B72A73"/>
    <w:rsid w:val="00B732FA"/>
    <w:rsid w:val="00B744B9"/>
    <w:rsid w:val="00B80E12"/>
    <w:rsid w:val="00B83E27"/>
    <w:rsid w:val="00B8486B"/>
    <w:rsid w:val="00BB7EA2"/>
    <w:rsid w:val="00BC31F3"/>
    <w:rsid w:val="00BD4AE3"/>
    <w:rsid w:val="00BD71F1"/>
    <w:rsid w:val="00BD7754"/>
    <w:rsid w:val="00BE2F13"/>
    <w:rsid w:val="00BF1092"/>
    <w:rsid w:val="00BF20C8"/>
    <w:rsid w:val="00BF3FCA"/>
    <w:rsid w:val="00BF675A"/>
    <w:rsid w:val="00C023D7"/>
    <w:rsid w:val="00C0482E"/>
    <w:rsid w:val="00C053EC"/>
    <w:rsid w:val="00C07604"/>
    <w:rsid w:val="00C07AD5"/>
    <w:rsid w:val="00C17D43"/>
    <w:rsid w:val="00C23290"/>
    <w:rsid w:val="00C23A92"/>
    <w:rsid w:val="00C31AF9"/>
    <w:rsid w:val="00C43983"/>
    <w:rsid w:val="00C43A02"/>
    <w:rsid w:val="00C535C2"/>
    <w:rsid w:val="00C53DF2"/>
    <w:rsid w:val="00C5486D"/>
    <w:rsid w:val="00C553F9"/>
    <w:rsid w:val="00C57EB6"/>
    <w:rsid w:val="00C67D6A"/>
    <w:rsid w:val="00C71EE9"/>
    <w:rsid w:val="00C75B5D"/>
    <w:rsid w:val="00C8292E"/>
    <w:rsid w:val="00C967F1"/>
    <w:rsid w:val="00CB4A35"/>
    <w:rsid w:val="00CB59F2"/>
    <w:rsid w:val="00CB6B00"/>
    <w:rsid w:val="00CB6BE9"/>
    <w:rsid w:val="00CC4243"/>
    <w:rsid w:val="00CC7B5A"/>
    <w:rsid w:val="00CD4B31"/>
    <w:rsid w:val="00CD7615"/>
    <w:rsid w:val="00CE4BC5"/>
    <w:rsid w:val="00CF3D2D"/>
    <w:rsid w:val="00D03B0E"/>
    <w:rsid w:val="00D0414D"/>
    <w:rsid w:val="00D2191F"/>
    <w:rsid w:val="00D221CD"/>
    <w:rsid w:val="00D2519F"/>
    <w:rsid w:val="00D25DFE"/>
    <w:rsid w:val="00D36D90"/>
    <w:rsid w:val="00D41732"/>
    <w:rsid w:val="00D42406"/>
    <w:rsid w:val="00D43F5E"/>
    <w:rsid w:val="00D43FA0"/>
    <w:rsid w:val="00D571CB"/>
    <w:rsid w:val="00D59731"/>
    <w:rsid w:val="00D62BEF"/>
    <w:rsid w:val="00D66388"/>
    <w:rsid w:val="00D6668E"/>
    <w:rsid w:val="00D67DF5"/>
    <w:rsid w:val="00D75A12"/>
    <w:rsid w:val="00D81C1B"/>
    <w:rsid w:val="00D82FAD"/>
    <w:rsid w:val="00D8452A"/>
    <w:rsid w:val="00D923B8"/>
    <w:rsid w:val="00D94E05"/>
    <w:rsid w:val="00D95D76"/>
    <w:rsid w:val="00D97377"/>
    <w:rsid w:val="00DA1E00"/>
    <w:rsid w:val="00DA3021"/>
    <w:rsid w:val="00DA6376"/>
    <w:rsid w:val="00DC0E07"/>
    <w:rsid w:val="00DC3733"/>
    <w:rsid w:val="00DD17B5"/>
    <w:rsid w:val="00DE2D33"/>
    <w:rsid w:val="00DE58E3"/>
    <w:rsid w:val="00DF0366"/>
    <w:rsid w:val="00DF36E5"/>
    <w:rsid w:val="00DF599C"/>
    <w:rsid w:val="00E02105"/>
    <w:rsid w:val="00E02BA1"/>
    <w:rsid w:val="00E034CE"/>
    <w:rsid w:val="00E11FFF"/>
    <w:rsid w:val="00E139BB"/>
    <w:rsid w:val="00E24C05"/>
    <w:rsid w:val="00E30324"/>
    <w:rsid w:val="00E31391"/>
    <w:rsid w:val="00E35382"/>
    <w:rsid w:val="00E35E93"/>
    <w:rsid w:val="00E36E4B"/>
    <w:rsid w:val="00E37848"/>
    <w:rsid w:val="00E45A82"/>
    <w:rsid w:val="00E53E65"/>
    <w:rsid w:val="00E61E67"/>
    <w:rsid w:val="00E678DD"/>
    <w:rsid w:val="00E70753"/>
    <w:rsid w:val="00E7777A"/>
    <w:rsid w:val="00E84D96"/>
    <w:rsid w:val="00E86E59"/>
    <w:rsid w:val="00E94691"/>
    <w:rsid w:val="00EA00B2"/>
    <w:rsid w:val="00EA0D49"/>
    <w:rsid w:val="00EB7105"/>
    <w:rsid w:val="00ED09BB"/>
    <w:rsid w:val="00EE17D6"/>
    <w:rsid w:val="00EF0233"/>
    <w:rsid w:val="00EF2DF4"/>
    <w:rsid w:val="00EF5914"/>
    <w:rsid w:val="00EF5D31"/>
    <w:rsid w:val="00EF7AD5"/>
    <w:rsid w:val="00F038A4"/>
    <w:rsid w:val="00F06A8D"/>
    <w:rsid w:val="00F0728B"/>
    <w:rsid w:val="00F129F9"/>
    <w:rsid w:val="00F221D2"/>
    <w:rsid w:val="00F236B2"/>
    <w:rsid w:val="00F27FFB"/>
    <w:rsid w:val="00F31608"/>
    <w:rsid w:val="00F36B74"/>
    <w:rsid w:val="00F4398C"/>
    <w:rsid w:val="00F4459C"/>
    <w:rsid w:val="00F54A25"/>
    <w:rsid w:val="00F55FCD"/>
    <w:rsid w:val="00F65DA2"/>
    <w:rsid w:val="00F7F19A"/>
    <w:rsid w:val="00F83772"/>
    <w:rsid w:val="00F9343C"/>
    <w:rsid w:val="00F949C6"/>
    <w:rsid w:val="00F95F02"/>
    <w:rsid w:val="00F97477"/>
    <w:rsid w:val="00FA10CF"/>
    <w:rsid w:val="00FB1D8A"/>
    <w:rsid w:val="00FB2549"/>
    <w:rsid w:val="00FB2D68"/>
    <w:rsid w:val="00FB6A9D"/>
    <w:rsid w:val="00FC2373"/>
    <w:rsid w:val="00FC3859"/>
    <w:rsid w:val="00FC3DB2"/>
    <w:rsid w:val="00FD01B9"/>
    <w:rsid w:val="00FE232B"/>
    <w:rsid w:val="00FE7BF1"/>
    <w:rsid w:val="00FF3A7A"/>
    <w:rsid w:val="00FF7438"/>
    <w:rsid w:val="0121119D"/>
    <w:rsid w:val="017566EF"/>
    <w:rsid w:val="017C518C"/>
    <w:rsid w:val="01814AC2"/>
    <w:rsid w:val="018884BE"/>
    <w:rsid w:val="01AC5528"/>
    <w:rsid w:val="01BA03B7"/>
    <w:rsid w:val="01EB7D8F"/>
    <w:rsid w:val="01F459C1"/>
    <w:rsid w:val="025268FA"/>
    <w:rsid w:val="026287B3"/>
    <w:rsid w:val="0265DFF5"/>
    <w:rsid w:val="027C2756"/>
    <w:rsid w:val="0303F6CB"/>
    <w:rsid w:val="030C72D0"/>
    <w:rsid w:val="033B615D"/>
    <w:rsid w:val="0356E9F6"/>
    <w:rsid w:val="03571EBD"/>
    <w:rsid w:val="0390E755"/>
    <w:rsid w:val="03AC3920"/>
    <w:rsid w:val="03B59328"/>
    <w:rsid w:val="03CCBF17"/>
    <w:rsid w:val="03CE7AB1"/>
    <w:rsid w:val="03E17A2B"/>
    <w:rsid w:val="03F01CBB"/>
    <w:rsid w:val="0409B498"/>
    <w:rsid w:val="0428821F"/>
    <w:rsid w:val="0478F6D7"/>
    <w:rsid w:val="047C3ECF"/>
    <w:rsid w:val="04A27222"/>
    <w:rsid w:val="04D9767C"/>
    <w:rsid w:val="04E3BA80"/>
    <w:rsid w:val="04FB895D"/>
    <w:rsid w:val="0509CF15"/>
    <w:rsid w:val="052ACB0E"/>
    <w:rsid w:val="054D1990"/>
    <w:rsid w:val="05D69BDC"/>
    <w:rsid w:val="05DC6408"/>
    <w:rsid w:val="06196619"/>
    <w:rsid w:val="061EF2E0"/>
    <w:rsid w:val="06266CF2"/>
    <w:rsid w:val="06267BF7"/>
    <w:rsid w:val="062A4146"/>
    <w:rsid w:val="0632DFD0"/>
    <w:rsid w:val="066A5785"/>
    <w:rsid w:val="0676ED7F"/>
    <w:rsid w:val="06783EC1"/>
    <w:rsid w:val="0701BE58"/>
    <w:rsid w:val="0712AFC8"/>
    <w:rsid w:val="0719312A"/>
    <w:rsid w:val="07BB5280"/>
    <w:rsid w:val="07F1B870"/>
    <w:rsid w:val="08396B28"/>
    <w:rsid w:val="086621D7"/>
    <w:rsid w:val="08B657D6"/>
    <w:rsid w:val="08B99DDC"/>
    <w:rsid w:val="08E8535F"/>
    <w:rsid w:val="08FD9D9C"/>
    <w:rsid w:val="092E15EE"/>
    <w:rsid w:val="09723C53"/>
    <w:rsid w:val="09789084"/>
    <w:rsid w:val="09799FEB"/>
    <w:rsid w:val="0988D135"/>
    <w:rsid w:val="09BD0229"/>
    <w:rsid w:val="09BDB094"/>
    <w:rsid w:val="09D120FB"/>
    <w:rsid w:val="0A6642BC"/>
    <w:rsid w:val="0A88B272"/>
    <w:rsid w:val="0AA094CE"/>
    <w:rsid w:val="0B04EEA1"/>
    <w:rsid w:val="0B101670"/>
    <w:rsid w:val="0B268AD0"/>
    <w:rsid w:val="0B2DD11C"/>
    <w:rsid w:val="0B51FBB6"/>
    <w:rsid w:val="0B5E88FD"/>
    <w:rsid w:val="0B612176"/>
    <w:rsid w:val="0B8B3061"/>
    <w:rsid w:val="0C101A7A"/>
    <w:rsid w:val="0C1A5DF4"/>
    <w:rsid w:val="0C2563E1"/>
    <w:rsid w:val="0CAE856F"/>
    <w:rsid w:val="0CF66C50"/>
    <w:rsid w:val="0CF9D48A"/>
    <w:rsid w:val="0D2D19F4"/>
    <w:rsid w:val="0D5B9473"/>
    <w:rsid w:val="0DBEA557"/>
    <w:rsid w:val="0DE093DD"/>
    <w:rsid w:val="0E0861D2"/>
    <w:rsid w:val="0E3245D9"/>
    <w:rsid w:val="0E5BC891"/>
    <w:rsid w:val="0E7C5377"/>
    <w:rsid w:val="0ECD0883"/>
    <w:rsid w:val="0EE8ECA5"/>
    <w:rsid w:val="0F3D34D7"/>
    <w:rsid w:val="0FA62E86"/>
    <w:rsid w:val="0FA652D8"/>
    <w:rsid w:val="0FCA273D"/>
    <w:rsid w:val="0FD3FFD0"/>
    <w:rsid w:val="10430BBE"/>
    <w:rsid w:val="109C41D9"/>
    <w:rsid w:val="10AC29BD"/>
    <w:rsid w:val="10E4BA0A"/>
    <w:rsid w:val="1109309F"/>
    <w:rsid w:val="111EE069"/>
    <w:rsid w:val="111EE069"/>
    <w:rsid w:val="111FA322"/>
    <w:rsid w:val="112139D1"/>
    <w:rsid w:val="1133C0F3"/>
    <w:rsid w:val="1138CF40"/>
    <w:rsid w:val="11870253"/>
    <w:rsid w:val="11E0E6B4"/>
    <w:rsid w:val="11E0E6B4"/>
    <w:rsid w:val="120BFF28"/>
    <w:rsid w:val="12741F92"/>
    <w:rsid w:val="12C29E5A"/>
    <w:rsid w:val="131FE4EC"/>
    <w:rsid w:val="13396A10"/>
    <w:rsid w:val="134A3005"/>
    <w:rsid w:val="134DE2B0"/>
    <w:rsid w:val="1392A46D"/>
    <w:rsid w:val="13F24E6E"/>
    <w:rsid w:val="142F311D"/>
    <w:rsid w:val="1462BA56"/>
    <w:rsid w:val="14858045"/>
    <w:rsid w:val="14861A0C"/>
    <w:rsid w:val="14895501"/>
    <w:rsid w:val="14895501"/>
    <w:rsid w:val="14965771"/>
    <w:rsid w:val="149D743D"/>
    <w:rsid w:val="14E1694D"/>
    <w:rsid w:val="14F8B522"/>
    <w:rsid w:val="15129BAD"/>
    <w:rsid w:val="152894C8"/>
    <w:rsid w:val="152D694E"/>
    <w:rsid w:val="1548CD4D"/>
    <w:rsid w:val="1563758C"/>
    <w:rsid w:val="15769715"/>
    <w:rsid w:val="15C1E744"/>
    <w:rsid w:val="15EF3A61"/>
    <w:rsid w:val="15F59A88"/>
    <w:rsid w:val="1609C01A"/>
    <w:rsid w:val="161E503A"/>
    <w:rsid w:val="16405A84"/>
    <w:rsid w:val="1644D09C"/>
    <w:rsid w:val="16531183"/>
    <w:rsid w:val="165D3217"/>
    <w:rsid w:val="16998FDB"/>
    <w:rsid w:val="169E50BE"/>
    <w:rsid w:val="16B396BB"/>
    <w:rsid w:val="16BFA7C8"/>
    <w:rsid w:val="16DAB288"/>
    <w:rsid w:val="16E2A90E"/>
    <w:rsid w:val="16E3B6E3"/>
    <w:rsid w:val="170DEB94"/>
    <w:rsid w:val="172F9D26"/>
    <w:rsid w:val="17685676"/>
    <w:rsid w:val="177C1A96"/>
    <w:rsid w:val="179ECC19"/>
    <w:rsid w:val="17C10DBD"/>
    <w:rsid w:val="17CB68B6"/>
    <w:rsid w:val="17E1EB40"/>
    <w:rsid w:val="180C4645"/>
    <w:rsid w:val="18619F84"/>
    <w:rsid w:val="18F4D0FF"/>
    <w:rsid w:val="18FCA5AC"/>
    <w:rsid w:val="19164889"/>
    <w:rsid w:val="1936BB64"/>
    <w:rsid w:val="19476838"/>
    <w:rsid w:val="1999F960"/>
    <w:rsid w:val="1A262646"/>
    <w:rsid w:val="1A29097E"/>
    <w:rsid w:val="1A4BF41D"/>
    <w:rsid w:val="1A5185C5"/>
    <w:rsid w:val="1A6D2EA3"/>
    <w:rsid w:val="1A8F7EAF"/>
    <w:rsid w:val="1AD4714F"/>
    <w:rsid w:val="1AF63D36"/>
    <w:rsid w:val="1B029B15"/>
    <w:rsid w:val="1B029B15"/>
    <w:rsid w:val="1B0DB589"/>
    <w:rsid w:val="1B3DD6DA"/>
    <w:rsid w:val="1B4D09F1"/>
    <w:rsid w:val="1B4EAAB0"/>
    <w:rsid w:val="1B7EFF77"/>
    <w:rsid w:val="1BD9A27A"/>
    <w:rsid w:val="1BEB3F13"/>
    <w:rsid w:val="1C048DA8"/>
    <w:rsid w:val="1CA125FA"/>
    <w:rsid w:val="1CBE930D"/>
    <w:rsid w:val="1CC9ED2D"/>
    <w:rsid w:val="1CDC9980"/>
    <w:rsid w:val="1D0438BE"/>
    <w:rsid w:val="1D1C97B3"/>
    <w:rsid w:val="1DA064E6"/>
    <w:rsid w:val="1DD9FEA5"/>
    <w:rsid w:val="1E028D57"/>
    <w:rsid w:val="1E4B7470"/>
    <w:rsid w:val="1E4C63D2"/>
    <w:rsid w:val="1E5848C2"/>
    <w:rsid w:val="1E90C66C"/>
    <w:rsid w:val="1E9E5003"/>
    <w:rsid w:val="1EA699C0"/>
    <w:rsid w:val="1ECFDE1E"/>
    <w:rsid w:val="1F0FC96B"/>
    <w:rsid w:val="1F77A138"/>
    <w:rsid w:val="1F8EDED3"/>
    <w:rsid w:val="1FE10318"/>
    <w:rsid w:val="1FF46315"/>
    <w:rsid w:val="200EE176"/>
    <w:rsid w:val="203F8669"/>
    <w:rsid w:val="2042ADA6"/>
    <w:rsid w:val="209F3CD7"/>
    <w:rsid w:val="209FEA4E"/>
    <w:rsid w:val="20A2966E"/>
    <w:rsid w:val="20A2966E"/>
    <w:rsid w:val="20DCD677"/>
    <w:rsid w:val="20F50975"/>
    <w:rsid w:val="2112ABB2"/>
    <w:rsid w:val="21465796"/>
    <w:rsid w:val="2172BC5B"/>
    <w:rsid w:val="21C44407"/>
    <w:rsid w:val="21D62CA2"/>
    <w:rsid w:val="21DA3CC4"/>
    <w:rsid w:val="21DC3CCC"/>
    <w:rsid w:val="222D3A27"/>
    <w:rsid w:val="223AAA9C"/>
    <w:rsid w:val="223BCACD"/>
    <w:rsid w:val="22471582"/>
    <w:rsid w:val="2258A3A7"/>
    <w:rsid w:val="22822EA4"/>
    <w:rsid w:val="22C4B748"/>
    <w:rsid w:val="22DEE40F"/>
    <w:rsid w:val="22E4FE3E"/>
    <w:rsid w:val="23695595"/>
    <w:rsid w:val="237C6A84"/>
    <w:rsid w:val="238D1061"/>
    <w:rsid w:val="23B7EC1D"/>
    <w:rsid w:val="23BDF4FF"/>
    <w:rsid w:val="23CEBD91"/>
    <w:rsid w:val="23CEDFDC"/>
    <w:rsid w:val="23DE3734"/>
    <w:rsid w:val="23E19F1C"/>
    <w:rsid w:val="23E25404"/>
    <w:rsid w:val="23F35DB3"/>
    <w:rsid w:val="24162CE4"/>
    <w:rsid w:val="241BE493"/>
    <w:rsid w:val="2467B8B8"/>
    <w:rsid w:val="24688CFB"/>
    <w:rsid w:val="248BC824"/>
    <w:rsid w:val="24F5A0B4"/>
    <w:rsid w:val="24F89CEF"/>
    <w:rsid w:val="251ADCF9"/>
    <w:rsid w:val="2538138C"/>
    <w:rsid w:val="25562FFD"/>
    <w:rsid w:val="2595EC9F"/>
    <w:rsid w:val="259697DA"/>
    <w:rsid w:val="25DB9405"/>
    <w:rsid w:val="2601F2D7"/>
    <w:rsid w:val="264978C1"/>
    <w:rsid w:val="265B3E6A"/>
    <w:rsid w:val="265D515F"/>
    <w:rsid w:val="2682CBC5"/>
    <w:rsid w:val="26A41B20"/>
    <w:rsid w:val="26B3FF02"/>
    <w:rsid w:val="26CB6DBD"/>
    <w:rsid w:val="26DDE015"/>
    <w:rsid w:val="275A7704"/>
    <w:rsid w:val="27805546"/>
    <w:rsid w:val="27E9B928"/>
    <w:rsid w:val="2817D3E4"/>
    <w:rsid w:val="2817D3E4"/>
    <w:rsid w:val="282088B3"/>
    <w:rsid w:val="284B1A23"/>
    <w:rsid w:val="285B8BEA"/>
    <w:rsid w:val="2869F3A4"/>
    <w:rsid w:val="287BD5CA"/>
    <w:rsid w:val="28805B48"/>
    <w:rsid w:val="288DFB36"/>
    <w:rsid w:val="28E7A33E"/>
    <w:rsid w:val="29580DB0"/>
    <w:rsid w:val="298D9E0E"/>
    <w:rsid w:val="29A4A522"/>
    <w:rsid w:val="29CFA788"/>
    <w:rsid w:val="29E2A54F"/>
    <w:rsid w:val="2A0D2DDF"/>
    <w:rsid w:val="2A21F36F"/>
    <w:rsid w:val="2A490462"/>
    <w:rsid w:val="2A8C5FE3"/>
    <w:rsid w:val="2AB67DFF"/>
    <w:rsid w:val="2AC9E330"/>
    <w:rsid w:val="2B0EAD3F"/>
    <w:rsid w:val="2B1F87E5"/>
    <w:rsid w:val="2B33EBC7"/>
    <w:rsid w:val="2B3762E3"/>
    <w:rsid w:val="2B5F936C"/>
    <w:rsid w:val="2B8AD03B"/>
    <w:rsid w:val="2B96B867"/>
    <w:rsid w:val="2BEC89B2"/>
    <w:rsid w:val="2C2FBFBE"/>
    <w:rsid w:val="2C498E67"/>
    <w:rsid w:val="2C7BFD1B"/>
    <w:rsid w:val="2CE82931"/>
    <w:rsid w:val="2D09822F"/>
    <w:rsid w:val="2D0C936F"/>
    <w:rsid w:val="2D1F8409"/>
    <w:rsid w:val="2D36DEED"/>
    <w:rsid w:val="2D422680"/>
    <w:rsid w:val="2D55B085"/>
    <w:rsid w:val="2D576379"/>
    <w:rsid w:val="2DAD57F3"/>
    <w:rsid w:val="2DD5AC74"/>
    <w:rsid w:val="2DD64CA2"/>
    <w:rsid w:val="2DDE6313"/>
    <w:rsid w:val="2E0B28D2"/>
    <w:rsid w:val="2E4D1FC2"/>
    <w:rsid w:val="2E63152B"/>
    <w:rsid w:val="2E7A1378"/>
    <w:rsid w:val="2E82F498"/>
    <w:rsid w:val="2EA6D6AF"/>
    <w:rsid w:val="2EDD2060"/>
    <w:rsid w:val="2EF3135B"/>
    <w:rsid w:val="2F05D5E5"/>
    <w:rsid w:val="2F094EA0"/>
    <w:rsid w:val="2F0B2276"/>
    <w:rsid w:val="2F6D3836"/>
    <w:rsid w:val="2FBACFA0"/>
    <w:rsid w:val="2FBF9BAB"/>
    <w:rsid w:val="2FD9FA67"/>
    <w:rsid w:val="30137DFB"/>
    <w:rsid w:val="3014747E"/>
    <w:rsid w:val="304087D8"/>
    <w:rsid w:val="3051F426"/>
    <w:rsid w:val="307BAB5E"/>
    <w:rsid w:val="308CCE66"/>
    <w:rsid w:val="3093CFF2"/>
    <w:rsid w:val="309C055D"/>
    <w:rsid w:val="309C055D"/>
    <w:rsid w:val="30F1B891"/>
    <w:rsid w:val="3107A6FA"/>
    <w:rsid w:val="3107A6FA"/>
    <w:rsid w:val="318A6E8E"/>
    <w:rsid w:val="31E21061"/>
    <w:rsid w:val="31E9D52A"/>
    <w:rsid w:val="31EEADF5"/>
    <w:rsid w:val="321CC4F8"/>
    <w:rsid w:val="324402BB"/>
    <w:rsid w:val="326F4F56"/>
    <w:rsid w:val="32A20715"/>
    <w:rsid w:val="32A9FBD8"/>
    <w:rsid w:val="32B131D2"/>
    <w:rsid w:val="32C757DB"/>
    <w:rsid w:val="32E827E0"/>
    <w:rsid w:val="3324DB00"/>
    <w:rsid w:val="3336CADA"/>
    <w:rsid w:val="333FA9A2"/>
    <w:rsid w:val="335BF842"/>
    <w:rsid w:val="3362984B"/>
    <w:rsid w:val="33E0B5FB"/>
    <w:rsid w:val="34086E81"/>
    <w:rsid w:val="34234F6E"/>
    <w:rsid w:val="342FE202"/>
    <w:rsid w:val="344C62F9"/>
    <w:rsid w:val="34556934"/>
    <w:rsid w:val="3461EA52"/>
    <w:rsid w:val="348EB55E"/>
    <w:rsid w:val="34CBCE4C"/>
    <w:rsid w:val="34D36C1F"/>
    <w:rsid w:val="34FBD956"/>
    <w:rsid w:val="350E991F"/>
    <w:rsid w:val="355F48E0"/>
    <w:rsid w:val="35A88FC6"/>
    <w:rsid w:val="35DA079B"/>
    <w:rsid w:val="35FA16B6"/>
    <w:rsid w:val="36043021"/>
    <w:rsid w:val="360728F3"/>
    <w:rsid w:val="361F8656"/>
    <w:rsid w:val="362B4C56"/>
    <w:rsid w:val="363AC4B9"/>
    <w:rsid w:val="364E3BA5"/>
    <w:rsid w:val="3656CF26"/>
    <w:rsid w:val="36884173"/>
    <w:rsid w:val="368E10FC"/>
    <w:rsid w:val="368F4B4F"/>
    <w:rsid w:val="36BC3C51"/>
    <w:rsid w:val="371D6588"/>
    <w:rsid w:val="3735A4BF"/>
    <w:rsid w:val="37829DC5"/>
    <w:rsid w:val="37C8128D"/>
    <w:rsid w:val="37E366F9"/>
    <w:rsid w:val="37F2425B"/>
    <w:rsid w:val="383F1E5F"/>
    <w:rsid w:val="38F57CD9"/>
    <w:rsid w:val="391418AB"/>
    <w:rsid w:val="3983D167"/>
    <w:rsid w:val="399A3EBE"/>
    <w:rsid w:val="399D5126"/>
    <w:rsid w:val="39CA1DC2"/>
    <w:rsid w:val="39F3F50F"/>
    <w:rsid w:val="39F58FB4"/>
    <w:rsid w:val="3A035E06"/>
    <w:rsid w:val="3A1DF90C"/>
    <w:rsid w:val="3A24CE70"/>
    <w:rsid w:val="3AA19CA3"/>
    <w:rsid w:val="3ACE2EA4"/>
    <w:rsid w:val="3B304E94"/>
    <w:rsid w:val="3BB65871"/>
    <w:rsid w:val="3C01F13E"/>
    <w:rsid w:val="3C58C9BA"/>
    <w:rsid w:val="3C592BFF"/>
    <w:rsid w:val="3C732953"/>
    <w:rsid w:val="3C7D256E"/>
    <w:rsid w:val="3CBD0E9F"/>
    <w:rsid w:val="3CC10950"/>
    <w:rsid w:val="3D796BC1"/>
    <w:rsid w:val="3D843202"/>
    <w:rsid w:val="3D883480"/>
    <w:rsid w:val="3DA14A2A"/>
    <w:rsid w:val="3DE95BB3"/>
    <w:rsid w:val="3DF399D7"/>
    <w:rsid w:val="3E0484B5"/>
    <w:rsid w:val="3E1FC664"/>
    <w:rsid w:val="3E3356BB"/>
    <w:rsid w:val="3E336037"/>
    <w:rsid w:val="3E594F96"/>
    <w:rsid w:val="3E975000"/>
    <w:rsid w:val="3EE118A2"/>
    <w:rsid w:val="3F1AC8A3"/>
    <w:rsid w:val="3F2C9C51"/>
    <w:rsid w:val="3F2C9C51"/>
    <w:rsid w:val="3F64EE15"/>
    <w:rsid w:val="3FC9FE7F"/>
    <w:rsid w:val="3FCF721A"/>
    <w:rsid w:val="3FEE1736"/>
    <w:rsid w:val="3FF7F735"/>
    <w:rsid w:val="402EC320"/>
    <w:rsid w:val="4036B455"/>
    <w:rsid w:val="403C857E"/>
    <w:rsid w:val="4045E50F"/>
    <w:rsid w:val="4090536A"/>
    <w:rsid w:val="40A83C74"/>
    <w:rsid w:val="40CBF260"/>
    <w:rsid w:val="40F81FE7"/>
    <w:rsid w:val="412EB97F"/>
    <w:rsid w:val="41439B16"/>
    <w:rsid w:val="4199DB23"/>
    <w:rsid w:val="4201E5A1"/>
    <w:rsid w:val="425E3C3D"/>
    <w:rsid w:val="42BB91A8"/>
    <w:rsid w:val="42BCDB5A"/>
    <w:rsid w:val="42DD2FE0"/>
    <w:rsid w:val="42E41995"/>
    <w:rsid w:val="42E6C2BC"/>
    <w:rsid w:val="42EBB837"/>
    <w:rsid w:val="4303D8F8"/>
    <w:rsid w:val="430F3772"/>
    <w:rsid w:val="4313FB27"/>
    <w:rsid w:val="4346E01D"/>
    <w:rsid w:val="435C4907"/>
    <w:rsid w:val="4365D324"/>
    <w:rsid w:val="43714748"/>
    <w:rsid w:val="4382BC78"/>
    <w:rsid w:val="43A34794"/>
    <w:rsid w:val="43A54FFB"/>
    <w:rsid w:val="44049224"/>
    <w:rsid w:val="440EC98D"/>
    <w:rsid w:val="44306843"/>
    <w:rsid w:val="444138FF"/>
    <w:rsid w:val="44749DF6"/>
    <w:rsid w:val="4493BEEF"/>
    <w:rsid w:val="449B8D43"/>
    <w:rsid w:val="44B6F095"/>
    <w:rsid w:val="44B85DB4"/>
    <w:rsid w:val="44B99A03"/>
    <w:rsid w:val="452D1C49"/>
    <w:rsid w:val="45759B07"/>
    <w:rsid w:val="4578F515"/>
    <w:rsid w:val="457B287F"/>
    <w:rsid w:val="457F28B4"/>
    <w:rsid w:val="458FFC7E"/>
    <w:rsid w:val="45971CA5"/>
    <w:rsid w:val="45AA8E95"/>
    <w:rsid w:val="45C881B5"/>
    <w:rsid w:val="45E9FEDA"/>
    <w:rsid w:val="45EEBE64"/>
    <w:rsid w:val="45F9E9F7"/>
    <w:rsid w:val="460D903F"/>
    <w:rsid w:val="460E7A73"/>
    <w:rsid w:val="463C24C6"/>
    <w:rsid w:val="463DC1FC"/>
    <w:rsid w:val="464BB056"/>
    <w:rsid w:val="46579D6B"/>
    <w:rsid w:val="46AA150F"/>
    <w:rsid w:val="46CE27A5"/>
    <w:rsid w:val="4706DDAD"/>
    <w:rsid w:val="47126338"/>
    <w:rsid w:val="472DA56C"/>
    <w:rsid w:val="47CD6AF4"/>
    <w:rsid w:val="480E6E3D"/>
    <w:rsid w:val="489F3EFC"/>
    <w:rsid w:val="48A598C6"/>
    <w:rsid w:val="48B55890"/>
    <w:rsid w:val="48F5BAB4"/>
    <w:rsid w:val="493CEEA1"/>
    <w:rsid w:val="498CB7A4"/>
    <w:rsid w:val="499C30D9"/>
    <w:rsid w:val="49C2D34B"/>
    <w:rsid w:val="49D41E81"/>
    <w:rsid w:val="49E18B82"/>
    <w:rsid w:val="4A0F1CDB"/>
    <w:rsid w:val="4A1CCA17"/>
    <w:rsid w:val="4A358D24"/>
    <w:rsid w:val="4A4B0482"/>
    <w:rsid w:val="4AA9F2DE"/>
    <w:rsid w:val="4AACC639"/>
    <w:rsid w:val="4AB60A60"/>
    <w:rsid w:val="4AE7E5C2"/>
    <w:rsid w:val="4B05B16C"/>
    <w:rsid w:val="4B2BAC59"/>
    <w:rsid w:val="4B2FA282"/>
    <w:rsid w:val="4B7534E7"/>
    <w:rsid w:val="4B930862"/>
    <w:rsid w:val="4B9AF3A9"/>
    <w:rsid w:val="4BAFA0C1"/>
    <w:rsid w:val="4C015E73"/>
    <w:rsid w:val="4C547839"/>
    <w:rsid w:val="4C7FD8F2"/>
    <w:rsid w:val="4C9111EC"/>
    <w:rsid w:val="4CA5A700"/>
    <w:rsid w:val="4CA6924A"/>
    <w:rsid w:val="4CF31514"/>
    <w:rsid w:val="4CF61365"/>
    <w:rsid w:val="4CF70C4F"/>
    <w:rsid w:val="4D05CF16"/>
    <w:rsid w:val="4D148993"/>
    <w:rsid w:val="4DA3F3E7"/>
    <w:rsid w:val="4DF23D29"/>
    <w:rsid w:val="4DFEABF4"/>
    <w:rsid w:val="4E12E587"/>
    <w:rsid w:val="4E12E587"/>
    <w:rsid w:val="4E5F91B6"/>
    <w:rsid w:val="4E875FCB"/>
    <w:rsid w:val="4E9E4FFA"/>
    <w:rsid w:val="4EA97032"/>
    <w:rsid w:val="4EBC26B0"/>
    <w:rsid w:val="4F02DDAC"/>
    <w:rsid w:val="4F40E67A"/>
    <w:rsid w:val="4F417819"/>
    <w:rsid w:val="4F4B310A"/>
    <w:rsid w:val="4F54B0FD"/>
    <w:rsid w:val="4F7346AF"/>
    <w:rsid w:val="4F7623EE"/>
    <w:rsid w:val="4F7D8D0E"/>
    <w:rsid w:val="4F9AA47D"/>
    <w:rsid w:val="4FA154F6"/>
    <w:rsid w:val="4FCEF1A2"/>
    <w:rsid w:val="4FCEF1A2"/>
    <w:rsid w:val="4FD8FC49"/>
    <w:rsid w:val="4FE72D61"/>
    <w:rsid w:val="4FEBE94C"/>
    <w:rsid w:val="4FF0C870"/>
    <w:rsid w:val="5007A7D2"/>
    <w:rsid w:val="5038FEBF"/>
    <w:rsid w:val="503DADF6"/>
    <w:rsid w:val="50507E3C"/>
    <w:rsid w:val="50A32F97"/>
    <w:rsid w:val="50D5625F"/>
    <w:rsid w:val="50D6297E"/>
    <w:rsid w:val="50E1F967"/>
    <w:rsid w:val="50EB356B"/>
    <w:rsid w:val="50F607FA"/>
    <w:rsid w:val="515D1AA3"/>
    <w:rsid w:val="51A3E4B6"/>
    <w:rsid w:val="521E3AF0"/>
    <w:rsid w:val="528DC58F"/>
    <w:rsid w:val="535C264F"/>
    <w:rsid w:val="536361BC"/>
    <w:rsid w:val="536BE5F4"/>
    <w:rsid w:val="53BCF70E"/>
    <w:rsid w:val="53DF2993"/>
    <w:rsid w:val="53E36472"/>
    <w:rsid w:val="540ABCEC"/>
    <w:rsid w:val="5486FA90"/>
    <w:rsid w:val="54A4AE2E"/>
    <w:rsid w:val="54B41910"/>
    <w:rsid w:val="54C52DDD"/>
    <w:rsid w:val="54D3D752"/>
    <w:rsid w:val="5543B53D"/>
    <w:rsid w:val="554D4331"/>
    <w:rsid w:val="55637BD3"/>
    <w:rsid w:val="5595F1C2"/>
    <w:rsid w:val="559E41C7"/>
    <w:rsid w:val="55C5D626"/>
    <w:rsid w:val="55D386F7"/>
    <w:rsid w:val="55EBE248"/>
    <w:rsid w:val="5612353B"/>
    <w:rsid w:val="562045FC"/>
    <w:rsid w:val="56336E03"/>
    <w:rsid w:val="56366ABB"/>
    <w:rsid w:val="578EF28A"/>
    <w:rsid w:val="582AB09B"/>
    <w:rsid w:val="584D5ED3"/>
    <w:rsid w:val="585547B0"/>
    <w:rsid w:val="588AD30A"/>
    <w:rsid w:val="589AA239"/>
    <w:rsid w:val="58BB0494"/>
    <w:rsid w:val="58BB0BE6"/>
    <w:rsid w:val="5917E092"/>
    <w:rsid w:val="595D69A3"/>
    <w:rsid w:val="59A0D136"/>
    <w:rsid w:val="59A0D136"/>
    <w:rsid w:val="59B40F91"/>
    <w:rsid w:val="59D04271"/>
    <w:rsid w:val="5A0E7637"/>
    <w:rsid w:val="5A1C1A3D"/>
    <w:rsid w:val="5A64B7FB"/>
    <w:rsid w:val="5A6F9A3A"/>
    <w:rsid w:val="5ACE9CE6"/>
    <w:rsid w:val="5AE2813B"/>
    <w:rsid w:val="5AE2D213"/>
    <w:rsid w:val="5B38BCDF"/>
    <w:rsid w:val="5B4CD9C5"/>
    <w:rsid w:val="5B4FE772"/>
    <w:rsid w:val="5B6B16D8"/>
    <w:rsid w:val="5BBE59DB"/>
    <w:rsid w:val="5BBF868C"/>
    <w:rsid w:val="5C57B60D"/>
    <w:rsid w:val="5C588D59"/>
    <w:rsid w:val="5C681837"/>
    <w:rsid w:val="5C87EF06"/>
    <w:rsid w:val="5C8F257A"/>
    <w:rsid w:val="5CA1E858"/>
    <w:rsid w:val="5CA63BDD"/>
    <w:rsid w:val="5CAB2C0C"/>
    <w:rsid w:val="5CC210B9"/>
    <w:rsid w:val="5CC342FB"/>
    <w:rsid w:val="5CEDFA84"/>
    <w:rsid w:val="5D0769E1"/>
    <w:rsid w:val="5D32923F"/>
    <w:rsid w:val="5D32923F"/>
    <w:rsid w:val="5D485AE9"/>
    <w:rsid w:val="5D4EDA5D"/>
    <w:rsid w:val="5D9F5AF9"/>
    <w:rsid w:val="5DAFB4F3"/>
    <w:rsid w:val="5DFAF567"/>
    <w:rsid w:val="5E3357B4"/>
    <w:rsid w:val="5E8261CE"/>
    <w:rsid w:val="5EBC9141"/>
    <w:rsid w:val="5EBC98D9"/>
    <w:rsid w:val="5ED2FE71"/>
    <w:rsid w:val="5EDCC079"/>
    <w:rsid w:val="5EE24064"/>
    <w:rsid w:val="5F2F81FA"/>
    <w:rsid w:val="5F8A49F7"/>
    <w:rsid w:val="5F8AA7CF"/>
    <w:rsid w:val="5F8F7733"/>
    <w:rsid w:val="5FA5E994"/>
    <w:rsid w:val="5FA82F40"/>
    <w:rsid w:val="5FA82F40"/>
    <w:rsid w:val="5FFA9BF3"/>
    <w:rsid w:val="60059CFB"/>
    <w:rsid w:val="600B966D"/>
    <w:rsid w:val="603A5F2E"/>
    <w:rsid w:val="6064AFC6"/>
    <w:rsid w:val="60C2B8D0"/>
    <w:rsid w:val="60CE781C"/>
    <w:rsid w:val="60CEC6BF"/>
    <w:rsid w:val="60DE544D"/>
    <w:rsid w:val="60EF3863"/>
    <w:rsid w:val="61B5499D"/>
    <w:rsid w:val="61D36CB0"/>
    <w:rsid w:val="6205FD2D"/>
    <w:rsid w:val="62622A80"/>
    <w:rsid w:val="6281DE1C"/>
    <w:rsid w:val="629705CE"/>
    <w:rsid w:val="62C2CB1B"/>
    <w:rsid w:val="62F69806"/>
    <w:rsid w:val="63639D2F"/>
    <w:rsid w:val="63852FFC"/>
    <w:rsid w:val="63A532A0"/>
    <w:rsid w:val="63E384A0"/>
    <w:rsid w:val="640C8963"/>
    <w:rsid w:val="64294BF5"/>
    <w:rsid w:val="64372215"/>
    <w:rsid w:val="6490AD9D"/>
    <w:rsid w:val="6490AD9D"/>
    <w:rsid w:val="649E9C89"/>
    <w:rsid w:val="64BA05B9"/>
    <w:rsid w:val="64C0E7CD"/>
    <w:rsid w:val="64C87EC2"/>
    <w:rsid w:val="64DA4BA3"/>
    <w:rsid w:val="658A9090"/>
    <w:rsid w:val="65979E4A"/>
    <w:rsid w:val="65A1F44B"/>
    <w:rsid w:val="65E9F50E"/>
    <w:rsid w:val="663E9881"/>
    <w:rsid w:val="66624BBA"/>
    <w:rsid w:val="67005E49"/>
    <w:rsid w:val="6705578D"/>
    <w:rsid w:val="671AA02C"/>
    <w:rsid w:val="676A7E9D"/>
    <w:rsid w:val="6791F1C4"/>
    <w:rsid w:val="67C300FD"/>
    <w:rsid w:val="6806D851"/>
    <w:rsid w:val="681850BA"/>
    <w:rsid w:val="6826CE50"/>
    <w:rsid w:val="684A5379"/>
    <w:rsid w:val="6868AC59"/>
    <w:rsid w:val="686AE124"/>
    <w:rsid w:val="68820B05"/>
    <w:rsid w:val="68F90596"/>
    <w:rsid w:val="691DE034"/>
    <w:rsid w:val="6926FE3C"/>
    <w:rsid w:val="692D190B"/>
    <w:rsid w:val="69441A9A"/>
    <w:rsid w:val="694D3138"/>
    <w:rsid w:val="69600597"/>
    <w:rsid w:val="6975B5C9"/>
    <w:rsid w:val="6976C2C9"/>
    <w:rsid w:val="69779E0C"/>
    <w:rsid w:val="6992D1C4"/>
    <w:rsid w:val="69CBC800"/>
    <w:rsid w:val="69D61826"/>
    <w:rsid w:val="6A040C59"/>
    <w:rsid w:val="6A040C59"/>
    <w:rsid w:val="6A11C1F6"/>
    <w:rsid w:val="6A2144B2"/>
    <w:rsid w:val="6A370997"/>
    <w:rsid w:val="6A37DB4D"/>
    <w:rsid w:val="6A68E6AF"/>
    <w:rsid w:val="6A7F4350"/>
    <w:rsid w:val="6A97B0B6"/>
    <w:rsid w:val="6A985BAB"/>
    <w:rsid w:val="6AC16353"/>
    <w:rsid w:val="6ACD63E6"/>
    <w:rsid w:val="6AF2C55F"/>
    <w:rsid w:val="6B1B75A1"/>
    <w:rsid w:val="6B224B7E"/>
    <w:rsid w:val="6B2AACCD"/>
    <w:rsid w:val="6B34E879"/>
    <w:rsid w:val="6B409129"/>
    <w:rsid w:val="6B47E58C"/>
    <w:rsid w:val="6B6894DC"/>
    <w:rsid w:val="6BBCA537"/>
    <w:rsid w:val="6BC396CE"/>
    <w:rsid w:val="6BE7C716"/>
    <w:rsid w:val="6C574780"/>
    <w:rsid w:val="6C5D4951"/>
    <w:rsid w:val="6C870E20"/>
    <w:rsid w:val="6CCBBA8A"/>
    <w:rsid w:val="6CD45DB5"/>
    <w:rsid w:val="6CE9C20F"/>
    <w:rsid w:val="6D38F687"/>
    <w:rsid w:val="6D50DBFD"/>
    <w:rsid w:val="6DA96985"/>
    <w:rsid w:val="6DE5596D"/>
    <w:rsid w:val="6DFEF08E"/>
    <w:rsid w:val="6E2090BB"/>
    <w:rsid w:val="6E3CAB84"/>
    <w:rsid w:val="6E8A20BA"/>
    <w:rsid w:val="6EB938A5"/>
    <w:rsid w:val="6EEE1F0D"/>
    <w:rsid w:val="6F0EBCAE"/>
    <w:rsid w:val="6F19F553"/>
    <w:rsid w:val="6F2777BC"/>
    <w:rsid w:val="6F47C59A"/>
    <w:rsid w:val="6F5FB115"/>
    <w:rsid w:val="6F9350DF"/>
    <w:rsid w:val="6F9D71CB"/>
    <w:rsid w:val="6FA37811"/>
    <w:rsid w:val="6FAA1F92"/>
    <w:rsid w:val="6FD72D0F"/>
    <w:rsid w:val="6FF47511"/>
    <w:rsid w:val="7074C7F8"/>
    <w:rsid w:val="7090248E"/>
    <w:rsid w:val="70B744BD"/>
    <w:rsid w:val="70D3382D"/>
    <w:rsid w:val="7102DCF1"/>
    <w:rsid w:val="7103F6D0"/>
    <w:rsid w:val="71638B11"/>
    <w:rsid w:val="7168B08C"/>
    <w:rsid w:val="71AB255B"/>
    <w:rsid w:val="71B7CC01"/>
    <w:rsid w:val="71D929E2"/>
    <w:rsid w:val="720424FB"/>
    <w:rsid w:val="722CF471"/>
    <w:rsid w:val="72316BE1"/>
    <w:rsid w:val="72AF65C2"/>
    <w:rsid w:val="72C0C87F"/>
    <w:rsid w:val="72E7C537"/>
    <w:rsid w:val="7317ABBC"/>
    <w:rsid w:val="7340721D"/>
    <w:rsid w:val="736B5D4B"/>
    <w:rsid w:val="73972990"/>
    <w:rsid w:val="73E64A66"/>
    <w:rsid w:val="73FF534E"/>
    <w:rsid w:val="74102488"/>
    <w:rsid w:val="742F7507"/>
    <w:rsid w:val="742F7507"/>
    <w:rsid w:val="7431082C"/>
    <w:rsid w:val="7463F307"/>
    <w:rsid w:val="746ACC33"/>
    <w:rsid w:val="74E730E9"/>
    <w:rsid w:val="7502F3A5"/>
    <w:rsid w:val="750CB312"/>
    <w:rsid w:val="75149A49"/>
    <w:rsid w:val="75253C40"/>
    <w:rsid w:val="7542BC02"/>
    <w:rsid w:val="754AD276"/>
    <w:rsid w:val="7556A839"/>
    <w:rsid w:val="75720AD0"/>
    <w:rsid w:val="758F96CE"/>
    <w:rsid w:val="75DFDF30"/>
    <w:rsid w:val="76210729"/>
    <w:rsid w:val="76408A25"/>
    <w:rsid w:val="768ED3FE"/>
    <w:rsid w:val="769497C2"/>
    <w:rsid w:val="76B52583"/>
    <w:rsid w:val="76BA040F"/>
    <w:rsid w:val="76F0C24D"/>
    <w:rsid w:val="771B06D1"/>
    <w:rsid w:val="7732E606"/>
    <w:rsid w:val="774CDF7F"/>
    <w:rsid w:val="77613321"/>
    <w:rsid w:val="776E2105"/>
    <w:rsid w:val="77787DB2"/>
    <w:rsid w:val="779BA925"/>
    <w:rsid w:val="779BA925"/>
    <w:rsid w:val="77A4D398"/>
    <w:rsid w:val="77F1A60D"/>
    <w:rsid w:val="77FA8443"/>
    <w:rsid w:val="7809CE64"/>
    <w:rsid w:val="783D33AC"/>
    <w:rsid w:val="786FC6EF"/>
    <w:rsid w:val="787AADA8"/>
    <w:rsid w:val="78B232B7"/>
    <w:rsid w:val="78BA72FE"/>
    <w:rsid w:val="78F36F13"/>
    <w:rsid w:val="78FBB6F0"/>
    <w:rsid w:val="78FBB6F0"/>
    <w:rsid w:val="79BFE26D"/>
    <w:rsid w:val="79D34157"/>
    <w:rsid w:val="79FBAAA1"/>
    <w:rsid w:val="7A4241C9"/>
    <w:rsid w:val="7A8A9C1E"/>
    <w:rsid w:val="7A9FFC94"/>
    <w:rsid w:val="7AA3FBB7"/>
    <w:rsid w:val="7ABBD922"/>
    <w:rsid w:val="7AD1AB75"/>
    <w:rsid w:val="7AEA75F4"/>
    <w:rsid w:val="7AEA75F4"/>
    <w:rsid w:val="7AFC48AF"/>
    <w:rsid w:val="7AFDBBCB"/>
    <w:rsid w:val="7B07389E"/>
    <w:rsid w:val="7B27B156"/>
    <w:rsid w:val="7B344D8A"/>
    <w:rsid w:val="7B7F6959"/>
    <w:rsid w:val="7B8D0A72"/>
    <w:rsid w:val="7B989153"/>
    <w:rsid w:val="7B989153"/>
    <w:rsid w:val="7BB40093"/>
    <w:rsid w:val="7BBEC541"/>
    <w:rsid w:val="7BCAA8EF"/>
    <w:rsid w:val="7BEF052B"/>
    <w:rsid w:val="7C00D9A8"/>
    <w:rsid w:val="7C19011E"/>
    <w:rsid w:val="7C1E8D5A"/>
    <w:rsid w:val="7C240CA2"/>
    <w:rsid w:val="7C2C0B2F"/>
    <w:rsid w:val="7C58DFDF"/>
    <w:rsid w:val="7C6D69E0"/>
    <w:rsid w:val="7C852002"/>
    <w:rsid w:val="7C8DD0D1"/>
    <w:rsid w:val="7C972C6C"/>
    <w:rsid w:val="7CA30B8E"/>
    <w:rsid w:val="7CE6983A"/>
    <w:rsid w:val="7CEAF585"/>
    <w:rsid w:val="7CFAAC8D"/>
    <w:rsid w:val="7D1601E1"/>
    <w:rsid w:val="7D3CE82B"/>
    <w:rsid w:val="7DD2E21D"/>
    <w:rsid w:val="7E31AA25"/>
    <w:rsid w:val="7E31AA25"/>
    <w:rsid w:val="7E35C609"/>
    <w:rsid w:val="7E65F230"/>
    <w:rsid w:val="7E6A73EB"/>
    <w:rsid w:val="7E78802D"/>
    <w:rsid w:val="7E7B321C"/>
    <w:rsid w:val="7E7D877A"/>
    <w:rsid w:val="7E88A327"/>
    <w:rsid w:val="7F5BBB60"/>
    <w:rsid w:val="7F669FC2"/>
    <w:rsid w:val="7F97F430"/>
    <w:rsid w:val="7FDA4B4F"/>
    <w:rsid w:val="7FDE9F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B71C5E"/>
  <w15:chartTrackingRefBased/>
  <w15:docId w15:val="{A4DE32D3-90B0-4B93-BD5F-295A9B8215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Theme="minorEastAsia" w:cstheme="majorBidi"/>
        <w:bCs/>
        <w:sz w:val="32"/>
        <w:szCs w:val="32"/>
        <w:lang w:val="en-GB" w:eastAsia="zh-CN" w:bidi="ar-SA"/>
      </w:rPr>
    </w:rPrDefault>
    <w:pPrDefault>
      <w:pPr>
        <w:spacing w:after="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65DA2"/>
  </w:style>
  <w:style w:type="paragraph" w:styleId="Heading1">
    <w:name w:val="heading 1"/>
    <w:basedOn w:val="Normal"/>
    <w:next w:val="Normal"/>
    <w:link w:val="Heading1Char"/>
    <w:uiPriority w:val="9"/>
    <w:qFormat/>
    <w:rsid w:val="007A1768"/>
    <w:pPr>
      <w:keepNext/>
      <w:keepLines/>
      <w:pageBreakBefore/>
      <w:numPr>
        <w:numId w:val="1"/>
      </w:numPr>
      <w:spacing w:line="240" w:lineRule="auto"/>
      <w:ind w:left="431" w:hanging="431"/>
      <w:outlineLvl w:val="0"/>
    </w:pPr>
    <w:rPr>
      <w:rFonts w:asciiTheme="majorHAnsi" w:hAnsiTheme="majorHAnsi" w:eastAsiaTheme="majorEastAsia"/>
      <w:b/>
      <w:noProof/>
    </w:rPr>
  </w:style>
  <w:style w:type="paragraph" w:styleId="Heading2">
    <w:name w:val="heading 2"/>
    <w:basedOn w:val="Normal"/>
    <w:next w:val="Normal"/>
    <w:link w:val="Heading2Char"/>
    <w:uiPriority w:val="9"/>
    <w:unhideWhenUsed/>
    <w:qFormat/>
    <w:rsid w:val="00A35434"/>
    <w:pPr>
      <w:keepNext/>
      <w:keepLines/>
      <w:numPr>
        <w:ilvl w:val="1"/>
        <w:numId w:val="1"/>
      </w:numPr>
      <w:spacing w:before="120" w:after="120" w:line="240" w:lineRule="auto"/>
      <w:outlineLvl w:val="1"/>
    </w:pPr>
    <w:rPr>
      <w:rFonts w:asciiTheme="majorHAnsi" w:hAnsiTheme="majorHAnsi" w:eastAsiaTheme="majorEastAsia"/>
      <w:b/>
      <w:color w:val="000000" w:themeColor="text1"/>
      <w:sz w:val="28"/>
      <w:szCs w:val="26"/>
    </w:rPr>
  </w:style>
  <w:style w:type="paragraph" w:styleId="Heading3">
    <w:name w:val="heading 3"/>
    <w:basedOn w:val="Normal"/>
    <w:next w:val="Normal"/>
    <w:link w:val="Heading3Char"/>
    <w:uiPriority w:val="9"/>
    <w:unhideWhenUsed/>
    <w:qFormat/>
    <w:rsid w:val="00A35434"/>
    <w:pPr>
      <w:keepNext/>
      <w:keepLines/>
      <w:numPr>
        <w:ilvl w:val="2"/>
        <w:numId w:val="1"/>
      </w:numPr>
      <w:spacing w:before="40" w:after="120" w:line="240" w:lineRule="auto"/>
      <w:outlineLvl w:val="2"/>
    </w:pPr>
    <w:rPr>
      <w:rFonts w:asciiTheme="majorHAnsi" w:hAnsiTheme="majorHAnsi" w:eastAsiaTheme="majorEastAsia"/>
      <w:b/>
      <w:color w:val="000000" w:themeColor="text1"/>
      <w:sz w:val="24"/>
      <w:szCs w:val="24"/>
    </w:rPr>
  </w:style>
  <w:style w:type="paragraph" w:styleId="Heading4">
    <w:name w:val="heading 4"/>
    <w:basedOn w:val="Normal"/>
    <w:next w:val="Normal"/>
    <w:link w:val="Heading4Char"/>
    <w:uiPriority w:val="9"/>
    <w:unhideWhenUsed/>
    <w:qFormat/>
    <w:rsid w:val="00A35434"/>
    <w:pPr>
      <w:numPr>
        <w:ilvl w:val="3"/>
        <w:numId w:val="1"/>
      </w:numPr>
      <w:spacing w:after="40" w:line="240" w:lineRule="auto"/>
      <w:outlineLvl w:val="3"/>
    </w:pPr>
    <w:rPr>
      <w:noProof/>
      <w:lang w:val="fr-FR"/>
    </w:rPr>
  </w:style>
  <w:style w:type="paragraph" w:styleId="Heading5">
    <w:name w:val="heading 5"/>
    <w:basedOn w:val="Normal"/>
    <w:next w:val="Normal"/>
    <w:link w:val="Heading5Char"/>
    <w:uiPriority w:val="9"/>
    <w:semiHidden/>
    <w:unhideWhenUsed/>
    <w:rsid w:val="007A1768"/>
    <w:pPr>
      <w:keepNext/>
      <w:keepLines/>
      <w:numPr>
        <w:ilvl w:val="4"/>
        <w:numId w:val="1"/>
      </w:numPr>
      <w:spacing w:before="40" w:after="0"/>
      <w:outlineLvl w:val="4"/>
    </w:pPr>
    <w:rPr>
      <w:rFonts w:asciiTheme="majorHAnsi" w:hAnsiTheme="majorHAnsi" w:eastAsiaTheme="majorEastAsia"/>
    </w:rPr>
  </w:style>
  <w:style w:type="paragraph" w:styleId="Heading6">
    <w:name w:val="heading 6"/>
    <w:basedOn w:val="Normal"/>
    <w:next w:val="Normal"/>
    <w:link w:val="Heading6Char"/>
    <w:uiPriority w:val="9"/>
    <w:semiHidden/>
    <w:unhideWhenUsed/>
    <w:qFormat/>
    <w:rsid w:val="00850E01"/>
    <w:pPr>
      <w:keepNext/>
      <w:keepLines/>
      <w:numPr>
        <w:ilvl w:val="5"/>
        <w:numId w:val="1"/>
      </w:numPr>
      <w:spacing w:before="40" w:after="0"/>
      <w:outlineLvl w:val="5"/>
    </w:pPr>
    <w:rPr>
      <w:rFonts w:asciiTheme="majorHAnsi" w:hAnsiTheme="majorHAnsi" w:eastAsiaTheme="majorEastAsia"/>
      <w:color w:val="1F4D78" w:themeColor="accent1" w:themeShade="7F"/>
    </w:rPr>
  </w:style>
  <w:style w:type="paragraph" w:styleId="Heading7">
    <w:name w:val="heading 7"/>
    <w:basedOn w:val="Normal"/>
    <w:next w:val="Normal"/>
    <w:link w:val="Heading7Char"/>
    <w:uiPriority w:val="9"/>
    <w:semiHidden/>
    <w:unhideWhenUsed/>
    <w:qFormat/>
    <w:rsid w:val="00850E01"/>
    <w:pPr>
      <w:keepNext/>
      <w:keepLines/>
      <w:numPr>
        <w:ilvl w:val="6"/>
        <w:numId w:val="1"/>
      </w:numPr>
      <w:spacing w:before="40" w:after="0"/>
      <w:outlineLvl w:val="6"/>
    </w:pPr>
    <w:rPr>
      <w:rFonts w:asciiTheme="majorHAnsi" w:hAnsiTheme="majorHAnsi" w:eastAsiaTheme="majorEastAsia"/>
      <w:i/>
      <w:iCs/>
      <w:color w:val="1F4D78" w:themeColor="accent1" w:themeShade="7F"/>
    </w:rPr>
  </w:style>
  <w:style w:type="paragraph" w:styleId="Heading8">
    <w:name w:val="heading 8"/>
    <w:basedOn w:val="Normal"/>
    <w:next w:val="Normal"/>
    <w:link w:val="Heading8Char"/>
    <w:uiPriority w:val="9"/>
    <w:semiHidden/>
    <w:unhideWhenUsed/>
    <w:qFormat/>
    <w:rsid w:val="00850E01"/>
    <w:pPr>
      <w:keepNext/>
      <w:keepLines/>
      <w:numPr>
        <w:ilvl w:val="7"/>
        <w:numId w:val="1"/>
      </w:numPr>
      <w:spacing w:before="40" w:after="0"/>
      <w:outlineLvl w:val="7"/>
    </w:pPr>
    <w:rPr>
      <w:rFonts w:asciiTheme="majorHAnsi" w:hAnsiTheme="majorHAnsi" w:eastAsiaTheme="majorEastAsia"/>
      <w:color w:val="272727" w:themeColor="text1" w:themeTint="D8"/>
      <w:sz w:val="21"/>
      <w:szCs w:val="21"/>
    </w:rPr>
  </w:style>
  <w:style w:type="paragraph" w:styleId="Heading9">
    <w:name w:val="heading 9"/>
    <w:basedOn w:val="Normal"/>
    <w:next w:val="Normal"/>
    <w:link w:val="Heading9Char"/>
    <w:uiPriority w:val="9"/>
    <w:semiHidden/>
    <w:unhideWhenUsed/>
    <w:qFormat/>
    <w:rsid w:val="00850E01"/>
    <w:pPr>
      <w:keepNext/>
      <w:keepLines/>
      <w:numPr>
        <w:ilvl w:val="8"/>
        <w:numId w:val="1"/>
      </w:numPr>
      <w:spacing w:before="40" w:after="0"/>
      <w:outlineLvl w:val="8"/>
    </w:pPr>
    <w:rPr>
      <w:rFonts w:asciiTheme="majorHAnsi" w:hAnsiTheme="majorHAnsi" w:eastAsiaTheme="majorEastAsia"/>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A1768"/>
    <w:rPr>
      <w:rFonts w:asciiTheme="majorHAnsi" w:hAnsiTheme="majorHAnsi" w:eastAsiaTheme="majorEastAsia" w:cstheme="majorBidi"/>
      <w:b/>
      <w:noProof/>
      <w:sz w:val="32"/>
      <w:szCs w:val="32"/>
    </w:rPr>
  </w:style>
  <w:style w:type="character" w:styleId="Heading2Char" w:customStyle="1">
    <w:name w:val="Heading 2 Char"/>
    <w:basedOn w:val="DefaultParagraphFont"/>
    <w:link w:val="Heading2"/>
    <w:uiPriority w:val="9"/>
    <w:rsid w:val="00A35434"/>
    <w:rPr>
      <w:rFonts w:asciiTheme="majorHAnsi" w:hAnsiTheme="majorHAnsi" w:eastAsiaTheme="majorEastAsia" w:cstheme="majorBidi"/>
      <w:b/>
      <w:color w:val="000000" w:themeColor="text1"/>
      <w:sz w:val="28"/>
      <w:szCs w:val="26"/>
    </w:rPr>
  </w:style>
  <w:style w:type="character" w:styleId="Heading3Char" w:customStyle="1">
    <w:name w:val="Heading 3 Char"/>
    <w:basedOn w:val="DefaultParagraphFont"/>
    <w:link w:val="Heading3"/>
    <w:uiPriority w:val="9"/>
    <w:rsid w:val="00A35434"/>
    <w:rPr>
      <w:rFonts w:asciiTheme="majorHAnsi" w:hAnsiTheme="majorHAnsi" w:eastAsiaTheme="majorEastAsia" w:cstheme="majorBidi"/>
      <w:b/>
      <w:color w:val="000000" w:themeColor="text1"/>
      <w:sz w:val="24"/>
      <w:szCs w:val="24"/>
    </w:rPr>
  </w:style>
  <w:style w:type="character" w:styleId="Heading4Char" w:customStyle="1">
    <w:name w:val="Heading 4 Char"/>
    <w:basedOn w:val="DefaultParagraphFont"/>
    <w:link w:val="Heading4"/>
    <w:uiPriority w:val="9"/>
    <w:rsid w:val="00A35434"/>
    <w:rPr>
      <w:noProof/>
      <w:lang w:val="fr-FR"/>
    </w:rPr>
  </w:style>
  <w:style w:type="character" w:styleId="Heading5Char" w:customStyle="1">
    <w:name w:val="Heading 5 Char"/>
    <w:basedOn w:val="DefaultParagraphFont"/>
    <w:link w:val="Heading5"/>
    <w:uiPriority w:val="9"/>
    <w:semiHidden/>
    <w:rsid w:val="007A1768"/>
    <w:rPr>
      <w:rFonts w:asciiTheme="majorHAnsi" w:hAnsiTheme="majorHAnsi" w:eastAsiaTheme="majorEastAsia" w:cstheme="majorBidi"/>
    </w:rPr>
  </w:style>
  <w:style w:type="character" w:styleId="Heading6Char" w:customStyle="1">
    <w:name w:val="Heading 6 Char"/>
    <w:basedOn w:val="DefaultParagraphFont"/>
    <w:link w:val="Heading6"/>
    <w:uiPriority w:val="9"/>
    <w:semiHidden/>
    <w:rsid w:val="00850E01"/>
    <w:rPr>
      <w:rFonts w:asciiTheme="majorHAnsi" w:hAnsiTheme="majorHAnsi" w:eastAsiaTheme="majorEastAsia" w:cstheme="majorBidi"/>
      <w:color w:val="1F4D78" w:themeColor="accent1" w:themeShade="7F"/>
    </w:rPr>
  </w:style>
  <w:style w:type="character" w:styleId="Heading7Char" w:customStyle="1">
    <w:name w:val="Heading 7 Char"/>
    <w:basedOn w:val="DefaultParagraphFont"/>
    <w:link w:val="Heading7"/>
    <w:uiPriority w:val="9"/>
    <w:semiHidden/>
    <w:rsid w:val="00850E01"/>
    <w:rPr>
      <w:rFonts w:asciiTheme="majorHAnsi" w:hAnsiTheme="majorHAnsi" w:eastAsiaTheme="majorEastAsia" w:cstheme="majorBidi"/>
      <w:i/>
      <w:iCs/>
      <w:color w:val="1F4D78" w:themeColor="accent1" w:themeShade="7F"/>
    </w:rPr>
  </w:style>
  <w:style w:type="character" w:styleId="Heading8Char" w:customStyle="1">
    <w:name w:val="Heading 8 Char"/>
    <w:basedOn w:val="DefaultParagraphFont"/>
    <w:link w:val="Heading8"/>
    <w:uiPriority w:val="9"/>
    <w:semiHidden/>
    <w:rsid w:val="00850E01"/>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850E01"/>
    <w:rPr>
      <w:rFonts w:asciiTheme="majorHAnsi" w:hAnsiTheme="majorHAnsi" w:eastAsiaTheme="majorEastAsia" w:cstheme="majorBidi"/>
      <w:i/>
      <w:iCs/>
      <w:color w:val="272727" w:themeColor="text1" w:themeTint="D8"/>
      <w:sz w:val="21"/>
      <w:szCs w:val="21"/>
    </w:rPr>
  </w:style>
  <w:style w:type="paragraph" w:styleId="Caption">
    <w:name w:val="caption"/>
    <w:basedOn w:val="Normal"/>
    <w:next w:val="Normal"/>
    <w:uiPriority w:val="35"/>
    <w:unhideWhenUsed/>
    <w:qFormat/>
    <w:rsid w:val="00E02105"/>
    <w:pPr>
      <w:spacing w:line="240" w:lineRule="auto"/>
    </w:pPr>
    <w:rPr>
      <w:iCs/>
      <w:sz w:val="20"/>
      <w:szCs w:val="18"/>
    </w:rPr>
  </w:style>
  <w:style w:type="paragraph" w:styleId="TOCHeading">
    <w:name w:val="TOC Heading"/>
    <w:basedOn w:val="Headingfrontmatter"/>
    <w:next w:val="Normal"/>
    <w:uiPriority w:val="39"/>
    <w:unhideWhenUsed/>
    <w:qFormat/>
    <w:rsid w:val="004D4978"/>
  </w:style>
  <w:style w:type="paragraph" w:styleId="ListParagraph">
    <w:name w:val="List Paragraph"/>
    <w:basedOn w:val="Normal"/>
    <w:uiPriority w:val="34"/>
    <w:qFormat/>
    <w:rsid w:val="00A90199"/>
    <w:pPr>
      <w:ind w:left="720"/>
      <w:contextualSpacing/>
    </w:pPr>
  </w:style>
  <w:style w:type="table" w:styleId="TableGrid">
    <w:name w:val="Table Grid"/>
    <w:basedOn w:val="TableNormal"/>
    <w:uiPriority w:val="39"/>
    <w:rsid w:val="002A54E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ingfrontmatter" w:customStyle="1">
    <w:name w:val="Heading front matter"/>
    <w:basedOn w:val="Heading2"/>
    <w:next w:val="Normal"/>
    <w:qFormat/>
    <w:rsid w:val="002B750B"/>
    <w:pPr>
      <w:pageBreakBefore/>
      <w:numPr>
        <w:ilvl w:val="0"/>
        <w:numId w:val="0"/>
      </w:numPr>
    </w:pPr>
    <w:rPr>
      <w:sz w:val="32"/>
      <w:lang w:val="fr-FR"/>
    </w:rPr>
  </w:style>
  <w:style w:type="paragraph" w:styleId="Footer">
    <w:name w:val="footer"/>
    <w:basedOn w:val="Normal"/>
    <w:link w:val="FooterChar"/>
    <w:uiPriority w:val="99"/>
    <w:unhideWhenUsed/>
    <w:rsid w:val="002C5AAF"/>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5AAF"/>
  </w:style>
  <w:style w:type="paragraph" w:styleId="Header">
    <w:name w:val="header"/>
    <w:basedOn w:val="Normal"/>
    <w:link w:val="HeaderChar"/>
    <w:uiPriority w:val="99"/>
    <w:unhideWhenUsed/>
    <w:rsid w:val="0053163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31639"/>
  </w:style>
  <w:style w:type="paragraph" w:styleId="Quote">
    <w:name w:val="Quote"/>
    <w:basedOn w:val="Normal"/>
    <w:next w:val="Normal"/>
    <w:link w:val="QuoteChar"/>
    <w:uiPriority w:val="29"/>
    <w:qFormat/>
    <w:rsid w:val="00A6233C"/>
    <w:pPr>
      <w:spacing w:before="120" w:after="360" w:line="240" w:lineRule="auto"/>
      <w:ind w:left="567" w:right="567"/>
    </w:pPr>
    <w:rPr>
      <w:iCs/>
    </w:rPr>
  </w:style>
  <w:style w:type="character" w:styleId="QuoteChar" w:customStyle="1">
    <w:name w:val="Quote Char"/>
    <w:basedOn w:val="DefaultParagraphFont"/>
    <w:link w:val="Quote"/>
    <w:uiPriority w:val="29"/>
    <w:rsid w:val="00A6233C"/>
    <w:rPr>
      <w:iCs/>
    </w:rPr>
  </w:style>
  <w:style w:type="paragraph" w:styleId="Title">
    <w:name w:val="Title"/>
    <w:basedOn w:val="Normal"/>
    <w:next w:val="Normal"/>
    <w:link w:val="TitleChar"/>
    <w:uiPriority w:val="10"/>
    <w:qFormat/>
    <w:rsid w:val="002B750B"/>
    <w:pPr>
      <w:jc w:val="center"/>
    </w:pPr>
    <w:rPr>
      <w:rFonts w:cstheme="minorHAnsi"/>
      <w:noProof/>
    </w:rPr>
  </w:style>
  <w:style w:type="character" w:styleId="TitleChar" w:customStyle="1">
    <w:name w:val="Title Char"/>
    <w:basedOn w:val="DefaultParagraphFont"/>
    <w:link w:val="Title"/>
    <w:uiPriority w:val="10"/>
    <w:rsid w:val="002B750B"/>
    <w:rPr>
      <w:rFonts w:cstheme="minorHAnsi"/>
      <w:noProof/>
      <w:sz w:val="32"/>
      <w:szCs w:val="32"/>
    </w:rPr>
  </w:style>
  <w:style w:type="paragraph" w:styleId="Subtitle">
    <w:name w:val="Subtitle"/>
    <w:basedOn w:val="Normal"/>
    <w:next w:val="Normal"/>
    <w:link w:val="SubtitleChar"/>
    <w:uiPriority w:val="11"/>
    <w:rsid w:val="002B750B"/>
    <w:pPr>
      <w:numPr>
        <w:ilvl w:val="1"/>
      </w:numPr>
      <w:spacing w:after="160"/>
    </w:pPr>
    <w:rPr>
      <w:color w:val="5A5A5A" w:themeColor="text1" w:themeTint="A5"/>
      <w:spacing w:val="15"/>
    </w:rPr>
  </w:style>
  <w:style w:type="character" w:styleId="SubtitleChar" w:customStyle="1">
    <w:name w:val="Subtitle Char"/>
    <w:basedOn w:val="DefaultParagraphFont"/>
    <w:link w:val="Subtitle"/>
    <w:uiPriority w:val="11"/>
    <w:rsid w:val="002B750B"/>
    <w:rPr>
      <w:color w:val="5A5A5A" w:themeColor="text1" w:themeTint="A5"/>
      <w:spacing w:val="15"/>
    </w:rPr>
  </w:style>
  <w:style w:type="paragraph" w:styleId="TOC2">
    <w:name w:val="toc 2"/>
    <w:basedOn w:val="Normal"/>
    <w:next w:val="Normal"/>
    <w:autoRedefine/>
    <w:uiPriority w:val="39"/>
    <w:unhideWhenUsed/>
    <w:rsid w:val="004D4978"/>
    <w:pPr>
      <w:spacing w:after="100"/>
      <w:ind w:left="220"/>
    </w:pPr>
  </w:style>
  <w:style w:type="paragraph" w:styleId="TOC1">
    <w:name w:val="toc 1"/>
    <w:basedOn w:val="Normal"/>
    <w:next w:val="Normal"/>
    <w:autoRedefine/>
    <w:uiPriority w:val="39"/>
    <w:unhideWhenUsed/>
    <w:rsid w:val="004D4978"/>
    <w:pPr>
      <w:spacing w:after="100"/>
    </w:pPr>
  </w:style>
  <w:style w:type="character" w:styleId="Hyperlink">
    <w:name w:val="Hyperlink"/>
    <w:basedOn w:val="DefaultParagraphFont"/>
    <w:uiPriority w:val="99"/>
    <w:unhideWhenUsed/>
    <w:rsid w:val="004D4978"/>
    <w:rPr>
      <w:color w:val="0563C1" w:themeColor="hyperlink"/>
      <w:u w:val="single"/>
    </w:rPr>
  </w:style>
  <w:style w:type="character" w:styleId="PlaceholderText">
    <w:name w:val="Placeholder Text"/>
    <w:basedOn w:val="DefaultParagraphFont"/>
    <w:uiPriority w:val="99"/>
    <w:semiHidden/>
    <w:rsid w:val="00D571CB"/>
    <w:rPr>
      <w:color w:val="808080"/>
    </w:rPr>
  </w:style>
  <w:style w:type="paragraph" w:styleId="Guidancenotes" w:customStyle="1">
    <w:name w:val="Guidance notes"/>
    <w:basedOn w:val="Normal"/>
    <w:qFormat/>
    <w:rsid w:val="00A41353"/>
    <w:pPr>
      <w:pBdr>
        <w:left w:val="single" w:color="C00000" w:sz="18" w:space="4"/>
      </w:pBdr>
      <w:spacing w:after="0"/>
    </w:pPr>
    <w:rPr>
      <w:b/>
      <w:color w:val="1F3864" w:themeColor="accent5" w:themeShade="80"/>
    </w:rPr>
  </w:style>
  <w:style w:type="character" w:styleId="UnresolvedMention1" w:customStyle="1">
    <w:name w:val="Unresolved Mention1"/>
    <w:basedOn w:val="DefaultParagraphFont"/>
    <w:uiPriority w:val="99"/>
    <w:semiHidden/>
    <w:unhideWhenUsed/>
    <w:rsid w:val="005D7635"/>
    <w:rPr>
      <w:color w:val="605E5C"/>
      <w:shd w:val="clear" w:color="auto" w:fill="E1DFDD"/>
    </w:rPr>
  </w:style>
  <w:style w:type="paragraph" w:styleId="TableofFigures">
    <w:name w:val="table of figures"/>
    <w:basedOn w:val="Normal"/>
    <w:next w:val="Normal"/>
    <w:uiPriority w:val="99"/>
    <w:unhideWhenUsed/>
    <w:rsid w:val="005F5DF8"/>
    <w:pPr>
      <w:spacing w:after="0"/>
    </w:pPr>
  </w:style>
  <w:style w:type="paragraph" w:styleId="Headingbackmatter" w:customStyle="1">
    <w:name w:val="Heading back matter"/>
    <w:basedOn w:val="Heading1"/>
    <w:qFormat/>
    <w:rsid w:val="009846EC"/>
    <w:pPr>
      <w:numPr>
        <w:numId w:val="0"/>
      </w:numPr>
    </w:pPr>
  </w:style>
  <w:style w:type="character" w:styleId="UnresolvedMention">
    <w:name w:val="Unresolved Mention"/>
    <w:basedOn w:val="DefaultParagraphFont"/>
    <w:uiPriority w:val="99"/>
    <w:semiHidden/>
    <w:unhideWhenUsed/>
    <w:rsid w:val="00801869"/>
    <w:rPr>
      <w:color w:val="605E5C"/>
      <w:shd w:val="clear" w:color="auto" w:fill="E1DFDD"/>
    </w:rPr>
  </w:style>
  <w:style w:type="paragraph" w:styleId="Captionextra" w:customStyle="1">
    <w:name w:val="Caption extra"/>
    <w:basedOn w:val="Caption"/>
    <w:next w:val="Normal"/>
    <w:qFormat/>
    <w:rsid w:val="00E02105"/>
    <w:rPr>
      <w:noProof/>
      <w:lang w:val="en-US"/>
    </w:rPr>
  </w:style>
  <w:style w:type="paragraph" w:styleId="Tabletext" w:customStyle="1">
    <w:name w:val="Table text"/>
    <w:basedOn w:val="Normal"/>
    <w:qFormat/>
    <w:rsid w:val="00655174"/>
    <w:pPr>
      <w:spacing w:before="80" w:after="80" w:line="240" w:lineRule="auto"/>
    </w:pPr>
    <w:rPr>
      <w:sz w:val="20"/>
    </w:rPr>
  </w:style>
  <w:style w:type="character" w:styleId="FollowedHyperlink">
    <w:name w:val="FollowedHyperlink"/>
    <w:basedOn w:val="DefaultParagraphFont"/>
    <w:uiPriority w:val="99"/>
    <w:semiHidden/>
    <w:unhideWhenUsed/>
    <w:rsid w:val="003258F0"/>
    <w:rPr>
      <w:color w:val="954F72" w:themeColor="followedHyperlink"/>
      <w:u w:val="single"/>
    </w:rPr>
  </w:style>
  <w:style w:type="paragraph" w:styleId="TOC3">
    <w:name w:val="toc 3"/>
    <w:basedOn w:val="Normal"/>
    <w:next w:val="Normal"/>
    <w:autoRedefine/>
    <w:uiPriority w:val="39"/>
    <w:unhideWhenUsed/>
    <w:rsid w:val="00FF3A7A"/>
    <w:pPr>
      <w:spacing w:after="100" w:line="259" w:lineRule="auto"/>
      <w:ind w:left="440"/>
    </w:pPr>
    <w:rPr>
      <w:rFonts w:cs="Times New Roman"/>
      <w:lang w:val="en-US" w:eastAsia="en-US"/>
    </w:rPr>
  </w:style>
  <w:style w:type="character" w:styleId="normaltextrun" w:customStyle="1">
    <w:name w:val="normaltextrun"/>
    <w:basedOn w:val="DefaultParagraphFont"/>
    <w:rsid w:val="004D448A"/>
  </w:style>
  <w:style w:type="paragraph" w:styleId="NormalWeb">
    <w:name w:val="Normal (Web)"/>
    <w:basedOn w:val="Normal"/>
    <w:uiPriority w:val="99"/>
    <w:unhideWhenUsed/>
    <w:rsid w:val="00364396"/>
    <w:pPr>
      <w:spacing w:before="100" w:beforeAutospacing="1" w:after="100" w:afterAutospacing="1" w:line="240" w:lineRule="auto"/>
    </w:pPr>
    <w:rPr>
      <w:rFonts w:ascii="Times New Roman" w:hAnsi="Times New Roman" w:eastAsia="Times New Roman" w:cs="Times New Roman"/>
      <w:bCs w:val="0"/>
      <w:sz w:val="24"/>
      <w:szCs w:val="24"/>
      <w:lang w:eastAsia="en-GB"/>
    </w:rPr>
  </w:style>
  <w:style w:type="paragraph" w:styleId="isselectedend" w:customStyle="1">
    <w:name w:val="isselectedend"/>
    <w:basedOn w:val="Normal"/>
    <w:rsid w:val="00364396"/>
    <w:pPr>
      <w:spacing w:before="100" w:beforeAutospacing="1" w:after="100" w:afterAutospacing="1" w:line="240" w:lineRule="auto"/>
    </w:pPr>
    <w:rPr>
      <w:rFonts w:ascii="Times New Roman" w:hAnsi="Times New Roman" w:eastAsia="Times New Roman" w:cs="Times New Roman"/>
      <w:bCs w:val="0"/>
      <w:sz w:val="24"/>
      <w:szCs w:val="24"/>
      <w:lang w:eastAsia="en-GB"/>
    </w:rPr>
  </w:style>
  <w:style w:type="character" w:styleId="Strong">
    <w:name w:val="Strong"/>
    <w:basedOn w:val="DefaultParagraphFont"/>
    <w:uiPriority w:val="22"/>
    <w:qFormat/>
    <w:rsid w:val="00364396"/>
    <w:rPr>
      <w:b/>
      <w:bCs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4.pn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3.emf" Id="rId12" /><Relationship Type="http://schemas.openxmlformats.org/officeDocument/2006/relationships/footer" Target="footer3.xml" Id="rId17" /><Relationship Type="http://schemas.openxmlformats.org/officeDocument/2006/relationships/numbering" Target="numbering.xml" Id="rId2" /><Relationship Type="http://schemas.openxmlformats.org/officeDocument/2006/relationships/image" Target="media/image7.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emf" Id="rId11" /><Relationship Type="http://schemas.openxmlformats.org/officeDocument/2006/relationships/webSettings" Target="webSettings.xml" Id="rId5" /><Relationship Type="http://schemas.openxmlformats.org/officeDocument/2006/relationships/image" Target="media/image6.emf" Id="rId15" /><Relationship Type="http://schemas.openxmlformats.org/officeDocument/2006/relationships/footer" Target="footer2.xml" Id="rId10" /><Relationship Type="http://schemas.openxmlformats.org/officeDocument/2006/relationships/glossaryDocument" Target="glossary/document.xml" Id="rId19"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5.png" Id="rId14" /><Relationship Type="http://schemas.openxmlformats.org/officeDocument/2006/relationships/hyperlink" Target="https://doi.org/10.1177/1359105312444646" TargetMode="External" Id="R43590b4ea6494325" /><Relationship Type="http://schemas.openxmlformats.org/officeDocument/2006/relationships/hyperlink" Target="https://doi.org/10.1002/jgc4.1965" TargetMode="External" Id="Rbdb3245bc10e4e82" /><Relationship Type="http://schemas.openxmlformats.org/officeDocument/2006/relationships/hyperlink" Target="https://doi.org/10.1093/med/9780199929146.003.0003" TargetMode="External" Id="R4ce15e07a36841e8" /><Relationship Type="http://schemas.openxmlformats.org/officeDocument/2006/relationships/hyperlink" Target="https://doi.org/10.1007/s10897-014-9755-y" TargetMode="External" Id="R30bb3acca83e4772" /><Relationship Type="http://schemas.openxmlformats.org/officeDocument/2006/relationships/hyperlink" Target="https://doi.org/10.1097/DCC.0000000000000150" TargetMode="External" Id="R4986af6323384089" /><Relationship Type="http://schemas.openxmlformats.org/officeDocument/2006/relationships/hyperlink" Target="https://doi.org/10.1136/jmg.36.12.897" TargetMode="External" Id="R64c02fe0e0ef4d0e" /><Relationship Type="http://schemas.openxmlformats.org/officeDocument/2006/relationships/hyperlink" Target="https://doi.org/10.1016/j.socscimed.2022.114857" TargetMode="External" Id="Rdea6ccd9effb47ac" /><Relationship Type="http://schemas.openxmlformats.org/officeDocument/2006/relationships/hyperlink" Target="https://doi.org/10.1002/jgc4.70240" TargetMode="External" Id="Rd4e66879d38c46bd" /><Relationship Type="http://schemas.openxmlformats.org/officeDocument/2006/relationships/hyperlink" Target="https://doi.org/10.1080/14623943.2019.1708305" TargetMode="External" Id="R548d972dfe804ed5" /><Relationship Type="http://schemas.openxmlformats.org/officeDocument/2006/relationships/hyperlink" Target="https://doi.org/10.1080/14768320701235249" TargetMode="External" Id="R34bfe95e4d754cbf" /><Relationship Type="http://schemas.openxmlformats.org/officeDocument/2006/relationships/hyperlink" Target="https://doi.org/10.1159/000524732" TargetMode="External" Id="Rb1a483fe572044a8" /><Relationship Type="http://schemas.openxmlformats.org/officeDocument/2006/relationships/hyperlink" Target="https://doi.org/10.1111/cge.14345" TargetMode="External" Id="Rcf21d068ecd2443a" /><Relationship Type="http://schemas.openxmlformats.org/officeDocument/2006/relationships/hyperlink" Target="https://www.synapticure.com/blog/the-impact-of-huntingtons-disease-on-mental-health?utm_source=chatgpt.com" TargetMode="External" Id="R8f85740c0b4e4535" /><Relationship Type="http://schemas.openxmlformats.org/officeDocument/2006/relationships/hyperlink" Target="https://doi.org/10.1016/j.neurobiolaging.2021.02.006" TargetMode="External" Id="Rc5a9cb7f4b3c45e9" /><Relationship Type="http://schemas.openxmlformats.org/officeDocument/2006/relationships/hyperlink" Target="https://doi.org/10.3390/cells14191514" TargetMode="External" Id="Rfecb5fdb12af4675" /><Relationship Type="http://schemas.openxmlformats.org/officeDocument/2006/relationships/hyperlink" Target="https://doi.org/10.3233/JHD-249004" TargetMode="External" Id="R72868a3e1e9b47c9" /><Relationship Type="http://schemas.openxmlformats.org/officeDocument/2006/relationships/hyperlink" Target="https://doi.org/10.1101/cshperspect.a036525?utm_source=chatgpt.com" TargetMode="External" Id="R28b9da7fd1d24f83" /><Relationship Type="http://schemas.openxmlformats.org/officeDocument/2006/relationships/hyperlink" Target="https://doi.org/10.1007/s10897-016-9951-z" TargetMode="External" Id="Rf3028c971fca4bf9" /><Relationship Type="http://schemas.openxmlformats.org/officeDocument/2006/relationships/hyperlink" Target="https://en.hdbuzz.net/split-between-two-worlds-the-psychological-challenges-for-people-at-risk-of-huntingtons-disease/" TargetMode="External" Id="R1395edd702174f75" /><Relationship Type="http://schemas.openxmlformats.org/officeDocument/2006/relationships/hyperlink" Target="https://doi.org/10.1002/brb3.2954" TargetMode="External" Id="Rfdc15ea4ae5943be" /><Relationship Type="http://schemas.openxmlformats.org/officeDocument/2006/relationships/hyperlink" Target="https://doi.org/10.1177/1363459316688516" TargetMode="External" Id="Rca31133bb24a4d31" /><Relationship Type="http://schemas.openxmlformats.org/officeDocument/2006/relationships/hyperlink" Target="https://doi.org/10.3390/ijms252111787" TargetMode="External" Id="R88f4dc8d1b9d4991" /><Relationship Type="http://schemas.openxmlformats.org/officeDocument/2006/relationships/hyperlink" Target="https://doi.org/10.1038/s41431-020-00776-8" TargetMode="External" Id="R3933d4d9a7d0483c" /><Relationship Type="http://schemas.openxmlformats.org/officeDocument/2006/relationships/image" Target="/media/image5.png" Id="rId1293189788" /><Relationship Type="http://schemas.openxmlformats.org/officeDocument/2006/relationships/hyperlink" Target="https://doi.org/10.3233/JHD-150140" TargetMode="External" Id="R5b9e6b88397442bc" /><Relationship Type="http://schemas.openxmlformats.org/officeDocument/2006/relationships/hyperlink" Target="https://doi.org/10.1007/s11133-019-9413-7" TargetMode="External" Id="R22b3304c448e401b" /><Relationship Type="http://schemas.openxmlformats.org/officeDocument/2006/relationships/hyperlink" Target="https://doi.org/10.1007/s10897-014-9728-1" TargetMode="External" Id="Rbed9411d7da24826" /><Relationship Type="http://schemas.openxmlformats.org/officeDocument/2006/relationships/hyperlink" Target="https://doi.org/10.1080/28324765.2024.2313869" TargetMode="External" Id="R22f3a99756b049d4" /><Relationship Type="http://schemas.openxmlformats.org/officeDocument/2006/relationships/hyperlink" Target="https://doi.org/10.1002/jgc4.1911" TargetMode="External" Id="Rd345199f60c645e7" /><Relationship Type="http://schemas.openxmlformats.org/officeDocument/2006/relationships/hyperlink" Target="https://doi.org/10.1007/s00702-012-0787-x" TargetMode="External" Id="R924261ca761b4586" /><Relationship Type="http://schemas.openxmlformats.org/officeDocument/2006/relationships/hyperlink" Target="https://doi.org/10.3390/jcm9051365" TargetMode="External" Id="R91bc44db59184c94" /><Relationship Type="http://schemas.openxmlformats.org/officeDocument/2006/relationships/hyperlink" Target="https://doi.org/10.1038/sj.ejhg.5200532" TargetMode="External" Id="R257290b240a44148" /><Relationship Type="http://schemas.openxmlformats.org/officeDocument/2006/relationships/hyperlink" Target="https://connect.mayoclinic.org/discussion/testing-negative-for-huntingtons-disease/" TargetMode="External" Id="Re6df248b19784c98" /><Relationship Type="http://schemas.microsoft.com/office/2020/10/relationships/intelligence" Target="intelligence2.xml" Id="Rf3bc17b06c964cad" /></Relationships>
</file>

<file path=word/_rels/settings.xml.rels><?xml version="1.0" encoding="UTF-8" standalone="yes"?>
<Relationships xmlns="http://schemas.openxmlformats.org/package/2006/relationships"><Relationship Id="rId1" Type="http://schemas.openxmlformats.org/officeDocument/2006/relationships/attachedTemplate" Target="file:///F:\Downloads\Template_Numbered_Thesis_or_Disserta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B963434F85401EB8924A6268A151DD"/>
        <w:category>
          <w:name w:val="General"/>
          <w:gallery w:val="placeholder"/>
        </w:category>
        <w:types>
          <w:type w:val="bbPlcHdr"/>
        </w:types>
        <w:behaviors>
          <w:behavior w:val="content"/>
        </w:behaviors>
        <w:guid w:val="{079982B5-9AAF-4578-8CC2-DEC8DFFB72A1}"/>
      </w:docPartPr>
      <w:docPartBody>
        <w:p xmlns:wp14="http://schemas.microsoft.com/office/word/2010/wordml" w:rsidR="00E22204" w:rsidRDefault="00FD318C" w14:paraId="4C3E277F" wp14:textId="77777777">
          <w:pPr>
            <w:pStyle w:val="BDB963434F85401EB8924A6268A151DD"/>
          </w:pPr>
          <w:r w:rsidRPr="00944ECA">
            <w:rPr>
              <w:rStyle w:val="PlaceholderText"/>
            </w:rPr>
            <w:t>Click or tap here to enter text.</w:t>
          </w:r>
        </w:p>
      </w:docPartBody>
    </w:docPart>
    <w:docPart>
      <w:docPartPr>
        <w:name w:val="3D09294CD44E40F0A8F7BE3F6E07DB5F"/>
        <w:category>
          <w:name w:val="General"/>
          <w:gallery w:val="placeholder"/>
        </w:category>
        <w:types>
          <w:type w:val="bbPlcHdr"/>
        </w:types>
        <w:behaviors>
          <w:behavior w:val="content"/>
        </w:behaviors>
        <w:guid w:val="{340B7543-0F3F-492F-B005-997BBB47EAD8}"/>
      </w:docPartPr>
      <w:docPartBody>
        <w:p xmlns:wp14="http://schemas.microsoft.com/office/word/2010/wordml" w:rsidR="00E22204" w:rsidRDefault="00FD318C" w14:paraId="6358D8DA" wp14:textId="77777777">
          <w:pPr>
            <w:pStyle w:val="3D09294CD44E40F0A8F7BE3F6E07DB5F"/>
          </w:pPr>
          <w:r w:rsidRPr="00944ECA">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8C"/>
    <w:rsid w:val="000127FD"/>
    <w:rsid w:val="00033E63"/>
    <w:rsid w:val="00124E7B"/>
    <w:rsid w:val="001A7499"/>
    <w:rsid w:val="002C41B4"/>
    <w:rsid w:val="00337CA9"/>
    <w:rsid w:val="003D531E"/>
    <w:rsid w:val="00427A8B"/>
    <w:rsid w:val="004357E0"/>
    <w:rsid w:val="004717A8"/>
    <w:rsid w:val="004F0975"/>
    <w:rsid w:val="0053623B"/>
    <w:rsid w:val="00645C17"/>
    <w:rsid w:val="006F5BAE"/>
    <w:rsid w:val="00717DE7"/>
    <w:rsid w:val="008B4C82"/>
    <w:rsid w:val="00CB5BA9"/>
    <w:rsid w:val="00D0414D"/>
    <w:rsid w:val="00D6321A"/>
    <w:rsid w:val="00E22204"/>
    <w:rsid w:val="00FD3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2204"/>
    <w:rPr>
      <w:color w:val="808080"/>
    </w:rPr>
  </w:style>
  <w:style w:type="paragraph" w:customStyle="1" w:styleId="BDB963434F85401EB8924A6268A151DD">
    <w:name w:val="BDB963434F85401EB8924A6268A151DD"/>
  </w:style>
  <w:style w:type="paragraph" w:customStyle="1" w:styleId="3D09294CD44E40F0A8F7BE3F6E07DB5F">
    <w:name w:val="3D09294CD44E40F0A8F7BE3F6E07DB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4ED01-E1BC-4E98-8F48-F68DD17A94C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Template_Numbered_Thesis_or_Dissertation</ap:Template>
  <ap:Application>Microsoft Word for the web</ap:Application>
  <ap:DocSecurity>0</ap:DocSecurity>
  <ap:ScaleCrop>false</ap:ScaleCrop>
  <ap:Company>University of Hull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Carly Evans</dc:creator>
  <keywords/>
  <dc:description/>
  <lastModifiedBy>Carly Evans (1301958)</lastModifiedBy>
  <revision>7</revision>
  <lastPrinted>2018-03-14T12:26:00.0000000Z</lastPrinted>
  <dcterms:created xsi:type="dcterms:W3CDTF">2026-08-19T09:47:00.0000000Z</dcterms:created>
  <dcterms:modified xsi:type="dcterms:W3CDTF">2026-08-31T21:06:57.7759664Z</dcterms:modified>
</coreProperties>
</file>