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797241F" w:rsidR="003954F8" w:rsidRDefault="32433627" w:rsidP="7336895D">
      <w:r>
        <w:rPr>
          <w:noProof/>
        </w:rPr>
        <w:drawing>
          <wp:inline distT="0" distB="0" distL="0" distR="0" wp14:anchorId="4D66A03C" wp14:editId="0CC6384A">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4B5E931E" w:rsidR="32433627" w:rsidRDefault="32433627" w:rsidP="7336895D">
      <w:pPr>
        <w:rPr>
          <w:rFonts w:ascii="Arial" w:eastAsia="Arial" w:hAnsi="Arial" w:cs="Arial"/>
          <w:b/>
          <w:bCs/>
          <w:sz w:val="32"/>
          <w:szCs w:val="32"/>
        </w:rPr>
      </w:pPr>
      <w:r w:rsidRPr="7336895D">
        <w:rPr>
          <w:rFonts w:ascii="Arial" w:eastAsia="Arial" w:hAnsi="Arial" w:cs="Arial"/>
          <w:b/>
          <w:bCs/>
          <w:sz w:val="32"/>
          <w:szCs w:val="32"/>
        </w:rPr>
        <w:t>BSc Professional Investigation Workbooks</w:t>
      </w:r>
    </w:p>
    <w:p w14:paraId="64E33565" w14:textId="46E09D10" w:rsidR="7336895D" w:rsidRDefault="7336895D" w:rsidP="7336895D">
      <w:pPr>
        <w:rPr>
          <w:rFonts w:ascii="Arial" w:eastAsia="Arial" w:hAnsi="Arial" w:cs="Arial"/>
          <w:sz w:val="32"/>
          <w:szCs w:val="32"/>
        </w:rPr>
      </w:pPr>
    </w:p>
    <w:p w14:paraId="43AF8E42" w14:textId="51AC86D6" w:rsidR="32433627" w:rsidRDefault="32433627"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LEVEL 6 - 40 Credits</w:t>
      </w:r>
    </w:p>
    <w:p w14:paraId="772420AF" w14:textId="50D05E20" w:rsidR="7336895D" w:rsidRDefault="7336895D" w:rsidP="7336895D">
      <w:pPr>
        <w:ind w:right="237"/>
        <w:rPr>
          <w:rFonts w:ascii="Arial" w:eastAsia="Arial" w:hAnsi="Arial" w:cs="Arial"/>
          <w:color w:val="000000" w:themeColor="text1"/>
          <w:sz w:val="32"/>
          <w:szCs w:val="32"/>
        </w:rPr>
      </w:pPr>
    </w:p>
    <w:p w14:paraId="1741DE64" w14:textId="3E20F73C" w:rsidR="32433627" w:rsidRDefault="32433627" w:rsidP="7336895D">
      <w:pPr>
        <w:ind w:right="237"/>
        <w:rPr>
          <w:rFonts w:ascii="Arial" w:eastAsia="Arial" w:hAnsi="Arial" w:cs="Arial"/>
          <w:b/>
          <w:bCs/>
          <w:color w:val="000000" w:themeColor="text1"/>
          <w:sz w:val="32"/>
          <w:szCs w:val="32"/>
        </w:rPr>
      </w:pPr>
      <w:r w:rsidRPr="7336895D">
        <w:rPr>
          <w:rFonts w:ascii="Arial" w:eastAsia="Arial" w:hAnsi="Arial" w:cs="Arial"/>
          <w:b/>
          <w:bCs/>
          <w:color w:val="000000" w:themeColor="text1"/>
          <w:sz w:val="32"/>
          <w:szCs w:val="32"/>
        </w:rPr>
        <w:t>Workbook title</w:t>
      </w:r>
      <w:r w:rsidR="021C0392" w:rsidRPr="7336895D">
        <w:rPr>
          <w:rFonts w:ascii="Arial" w:eastAsia="Arial" w:hAnsi="Arial" w:cs="Arial"/>
          <w:b/>
          <w:bCs/>
          <w:color w:val="000000" w:themeColor="text1"/>
          <w:sz w:val="32"/>
          <w:szCs w:val="32"/>
        </w:rPr>
        <w:t>: Competency Based Workbook 1</w:t>
      </w:r>
    </w:p>
    <w:p w14:paraId="6E7A6A33" w14:textId="4F5AAC18" w:rsidR="7336895D" w:rsidRDefault="7336895D" w:rsidP="7336895D">
      <w:pPr>
        <w:ind w:right="237"/>
        <w:rPr>
          <w:rFonts w:ascii="Arial" w:eastAsia="Arial" w:hAnsi="Arial" w:cs="Arial"/>
          <w:b/>
          <w:bCs/>
          <w:color w:val="000000" w:themeColor="text1"/>
          <w:sz w:val="32"/>
          <w:szCs w:val="32"/>
        </w:rPr>
      </w:pPr>
    </w:p>
    <w:p w14:paraId="3A6ED416" w14:textId="3352F1C1"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(SOUTH WALES POLICE AND UWTSD)</w:t>
      </w:r>
    </w:p>
    <w:p w14:paraId="01172258" w14:textId="53985F26" w:rsidR="7336895D" w:rsidRDefault="7336895D" w:rsidP="7336895D">
      <w:pPr>
        <w:ind w:right="237"/>
        <w:rPr>
          <w:rFonts w:ascii="Arial" w:eastAsia="Arial" w:hAnsi="Arial" w:cs="Arial"/>
          <w:b/>
          <w:bCs/>
          <w:color w:val="000000" w:themeColor="text1"/>
          <w:sz w:val="36"/>
          <w:szCs w:val="36"/>
        </w:rPr>
      </w:pPr>
    </w:p>
    <w:p w14:paraId="56F74FD0" w14:textId="3B1D8CFD" w:rsidR="7336895D" w:rsidRDefault="7336895D" w:rsidP="7336895D">
      <w:pPr>
        <w:rPr>
          <w:rFonts w:ascii="Arial" w:eastAsia="Arial" w:hAnsi="Arial" w:cs="Arial"/>
          <w:sz w:val="36"/>
          <w:szCs w:val="36"/>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7336895D">
        <w:trPr>
          <w:trHeight w:val="2385"/>
        </w:trPr>
        <w:tc>
          <w:tcPr>
            <w:tcW w:w="9015" w:type="dxa"/>
          </w:tcPr>
          <w:p w14:paraId="2BF5B3F1" w14:textId="6E6F67AA" w:rsidR="63BD137B" w:rsidRDefault="63BD137B" w:rsidP="7336895D">
            <w:pPr>
              <w:ind w:right="237"/>
              <w:rPr>
                <w:rFonts w:ascii="Arial" w:eastAsia="Arial" w:hAnsi="Arial" w:cs="Arial"/>
                <w:b/>
                <w:bCs/>
                <w:color w:val="000000" w:themeColor="text1"/>
                <w:sz w:val="36"/>
                <w:szCs w:val="36"/>
              </w:rPr>
            </w:pPr>
            <w:r w:rsidRPr="7336895D">
              <w:rPr>
                <w:rFonts w:ascii="Arial" w:eastAsia="Arial" w:hAnsi="Arial" w:cs="Arial"/>
                <w:b/>
                <w:bCs/>
                <w:color w:val="000000" w:themeColor="text1"/>
                <w:sz w:val="36"/>
                <w:szCs w:val="36"/>
              </w:rPr>
              <w:t xml:space="preserve">Learner name: </w:t>
            </w:r>
          </w:p>
          <w:p w14:paraId="42E8CACF" w14:textId="73B4034A" w:rsidR="000C2BE6" w:rsidRDefault="000C2BE6" w:rsidP="7336895D">
            <w:pPr>
              <w:ind w:right="237"/>
              <w:rPr>
                <w:rFonts w:ascii="Arial" w:eastAsia="Arial" w:hAnsi="Arial" w:cs="Arial"/>
                <w:color w:val="000000" w:themeColor="text1"/>
                <w:sz w:val="36"/>
                <w:szCs w:val="36"/>
              </w:rPr>
            </w:pPr>
            <w:r>
              <w:rPr>
                <w:rFonts w:ascii="Arial" w:eastAsia="Arial" w:hAnsi="Arial" w:cs="Arial"/>
                <w:b/>
                <w:bCs/>
                <w:color w:val="000000" w:themeColor="text1"/>
                <w:sz w:val="36"/>
                <w:szCs w:val="36"/>
              </w:rPr>
              <w:t>Sam Phillips</w:t>
            </w:r>
          </w:p>
          <w:p w14:paraId="5EBB5AA1" w14:textId="0C17428C" w:rsidR="7336895D" w:rsidRDefault="7336895D" w:rsidP="7336895D">
            <w:pPr>
              <w:ind w:right="237"/>
              <w:rPr>
                <w:rFonts w:ascii="Arial" w:eastAsia="Arial" w:hAnsi="Arial" w:cs="Arial"/>
                <w:color w:val="000000" w:themeColor="text1"/>
                <w:sz w:val="36"/>
                <w:szCs w:val="36"/>
              </w:rPr>
            </w:pPr>
          </w:p>
          <w:p w14:paraId="0FA944B7" w14:textId="509FBF71" w:rsidR="63BD137B" w:rsidRDefault="63BD137B" w:rsidP="7336895D">
            <w:pPr>
              <w:ind w:right="237"/>
              <w:rPr>
                <w:rFonts w:ascii="Arial" w:eastAsia="Arial" w:hAnsi="Arial" w:cs="Arial"/>
                <w:color w:val="000000" w:themeColor="text1"/>
                <w:sz w:val="36"/>
                <w:szCs w:val="36"/>
              </w:rPr>
            </w:pPr>
            <w:r w:rsidRPr="7336895D">
              <w:rPr>
                <w:rFonts w:ascii="Arial" w:eastAsia="Arial" w:hAnsi="Arial" w:cs="Arial"/>
                <w:b/>
                <w:bCs/>
                <w:color w:val="000000" w:themeColor="text1"/>
                <w:sz w:val="36"/>
                <w:szCs w:val="36"/>
              </w:rPr>
              <w:t>Learner’s University Registration Number:</w:t>
            </w:r>
          </w:p>
          <w:p w14:paraId="1820B7EB" w14:textId="6450BDE1" w:rsidR="7336895D" w:rsidRDefault="000C2BE6" w:rsidP="000C2BE6">
            <w:pPr>
              <w:ind w:right="237"/>
              <w:rPr>
                <w:rFonts w:ascii="Arial" w:eastAsia="Arial" w:hAnsi="Arial" w:cs="Arial"/>
                <w:b/>
                <w:bCs/>
                <w:color w:val="000000" w:themeColor="text1"/>
                <w:sz w:val="36"/>
                <w:szCs w:val="36"/>
              </w:rPr>
            </w:pPr>
            <w:r w:rsidRPr="000C2BE6">
              <w:rPr>
                <w:rFonts w:ascii="Arial" w:eastAsia="Arial" w:hAnsi="Arial" w:cs="Arial"/>
                <w:b/>
                <w:bCs/>
                <w:color w:val="000000" w:themeColor="text1"/>
                <w:sz w:val="36"/>
                <w:szCs w:val="36"/>
              </w:rPr>
              <w:t>2209697</w:t>
            </w:r>
          </w:p>
        </w:tc>
      </w:tr>
    </w:tbl>
    <w:p w14:paraId="024E0F58" w14:textId="398B655E" w:rsidR="7336895D" w:rsidRDefault="7336895D" w:rsidP="7336895D">
      <w:pPr>
        <w:ind w:right="237"/>
        <w:rPr>
          <w:rFonts w:ascii="Arial" w:eastAsia="Arial" w:hAnsi="Arial" w:cs="Arial"/>
          <w:color w:val="000000" w:themeColor="text1"/>
          <w:sz w:val="32"/>
          <w:szCs w:val="32"/>
        </w:rPr>
      </w:pPr>
    </w:p>
    <w:p w14:paraId="38292130" w14:textId="372B775F"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FACULTY OF BUSINESS AND MANAGEMENT</w:t>
      </w:r>
    </w:p>
    <w:p w14:paraId="3D5DE8C3" w14:textId="5B63EC2B"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PUBLIC SERVICE PROGRAMME</w:t>
      </w:r>
    </w:p>
    <w:p w14:paraId="1FCCF47F" w14:textId="7C0860E7" w:rsidR="7336895D" w:rsidRDefault="7336895D" w:rsidP="7336895D">
      <w:pPr>
        <w:ind w:right="237"/>
        <w:rPr>
          <w:rFonts w:ascii="Arial" w:eastAsia="Arial" w:hAnsi="Arial" w:cs="Arial"/>
          <w:color w:val="000000" w:themeColor="text1"/>
          <w:sz w:val="32"/>
          <w:szCs w:val="32"/>
        </w:rPr>
      </w:pPr>
    </w:p>
    <w:p w14:paraId="78D8D3B9" w14:textId="789873F1" w:rsidR="63BD137B" w:rsidRDefault="63BD137B" w:rsidP="7336895D">
      <w:pPr>
        <w:ind w:right="237"/>
        <w:rPr>
          <w:rFonts w:ascii="Arial" w:eastAsia="Arial" w:hAnsi="Arial" w:cs="Arial"/>
          <w:b/>
          <w:bCs/>
          <w:i/>
          <w:iCs/>
          <w:color w:val="000000" w:themeColor="text1"/>
          <w:sz w:val="32"/>
          <w:szCs w:val="32"/>
        </w:rPr>
      </w:pPr>
      <w:r w:rsidRPr="7336895D">
        <w:rPr>
          <w:rFonts w:ascii="Arial" w:eastAsia="Arial" w:hAnsi="Arial" w:cs="Arial"/>
          <w:b/>
          <w:bCs/>
          <w:i/>
          <w:iCs/>
          <w:color w:val="000000" w:themeColor="text1"/>
          <w:sz w:val="32"/>
          <w:szCs w:val="32"/>
        </w:rPr>
        <w:t>Module title: Investigation in the Workplace</w:t>
      </w:r>
    </w:p>
    <w:p w14:paraId="07F7D617" w14:textId="4325D2DC" w:rsidR="7336895D" w:rsidRDefault="7336895D" w:rsidP="7336895D">
      <w:pPr>
        <w:ind w:right="237"/>
        <w:rPr>
          <w:rFonts w:ascii="Arial" w:eastAsia="Arial" w:hAnsi="Arial" w:cs="Arial"/>
          <w:b/>
          <w:bCs/>
          <w:i/>
          <w:iCs/>
          <w:color w:val="000000" w:themeColor="text1"/>
          <w:sz w:val="36"/>
          <w:szCs w:val="36"/>
        </w:rPr>
      </w:pPr>
    </w:p>
    <w:p w14:paraId="0BF94E73" w14:textId="54C0D90E" w:rsidR="7336895D" w:rsidRDefault="7336895D" w:rsidP="7336895D">
      <w:pPr>
        <w:ind w:right="237"/>
        <w:rPr>
          <w:rFonts w:ascii="Arial" w:eastAsia="Arial" w:hAnsi="Arial" w:cs="Arial"/>
          <w:b/>
          <w:bCs/>
          <w:i/>
          <w:iCs/>
          <w:color w:val="000000" w:themeColor="text1"/>
          <w:sz w:val="28"/>
          <w:szCs w:val="28"/>
        </w:rPr>
      </w:pPr>
    </w:p>
    <w:p w14:paraId="1419C774" w14:textId="1470A878" w:rsidR="46EDD448" w:rsidRDefault="46EDD448" w:rsidP="46EDD448">
      <w:pPr>
        <w:ind w:right="237"/>
        <w:rPr>
          <w:rFonts w:ascii="Arial" w:eastAsia="Arial" w:hAnsi="Arial" w:cs="Arial"/>
          <w:b/>
          <w:bCs/>
          <w:color w:val="000000" w:themeColor="text1"/>
          <w:sz w:val="28"/>
          <w:szCs w:val="28"/>
        </w:rPr>
      </w:pPr>
    </w:p>
    <w:p w14:paraId="121E591A" w14:textId="0D71AB4D" w:rsidR="46EDD448" w:rsidRDefault="46EDD448" w:rsidP="46EDD448">
      <w:pPr>
        <w:ind w:right="237"/>
        <w:rPr>
          <w:rFonts w:ascii="Arial" w:eastAsia="Arial" w:hAnsi="Arial" w:cs="Arial"/>
          <w:b/>
          <w:bCs/>
          <w:color w:val="000000" w:themeColor="text1"/>
          <w:sz w:val="28"/>
          <w:szCs w:val="28"/>
        </w:rPr>
      </w:pPr>
    </w:p>
    <w:p w14:paraId="1B765CAD" w14:textId="00C8F177" w:rsidR="338C23AF" w:rsidRDefault="338C23AF" w:rsidP="7336895D">
      <w:pPr>
        <w:ind w:right="237"/>
        <w:rPr>
          <w:rFonts w:ascii="Arial" w:eastAsia="Arial" w:hAnsi="Arial" w:cs="Arial"/>
          <w:color w:val="000000" w:themeColor="text1"/>
          <w:sz w:val="28"/>
          <w:szCs w:val="28"/>
        </w:rPr>
      </w:pPr>
      <w:r w:rsidRPr="7336895D">
        <w:rPr>
          <w:rFonts w:ascii="Arial" w:eastAsia="Arial" w:hAnsi="Arial" w:cs="Arial"/>
          <w:b/>
          <w:bCs/>
          <w:color w:val="000000" w:themeColor="text1"/>
          <w:sz w:val="28"/>
          <w:szCs w:val="28"/>
        </w:rPr>
        <w:t>Workbook Guidance</w:t>
      </w:r>
    </w:p>
    <w:p w14:paraId="3164C44B" w14:textId="68F161E0" w:rsidR="7336895D" w:rsidRDefault="7336895D" w:rsidP="7336895D">
      <w:pPr>
        <w:ind w:right="237"/>
        <w:rPr>
          <w:rFonts w:ascii="Arial" w:eastAsia="Arial" w:hAnsi="Arial" w:cs="Arial"/>
          <w:color w:val="000000" w:themeColor="text1"/>
          <w:sz w:val="24"/>
          <w:szCs w:val="24"/>
        </w:rPr>
      </w:pPr>
    </w:p>
    <w:p w14:paraId="52C3943E" w14:textId="202DDED6"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Please read these notes carefully. They provide essential information. The documents you will use in developing your workbook are on the following pages.</w:t>
      </w:r>
    </w:p>
    <w:p w14:paraId="1B94AA1C" w14:textId="0DD71B91" w:rsidR="7336895D" w:rsidRDefault="7336895D" w:rsidP="7336895D">
      <w:pPr>
        <w:ind w:right="237"/>
        <w:rPr>
          <w:rFonts w:ascii="Arial" w:eastAsia="Arial" w:hAnsi="Arial" w:cs="Arial"/>
          <w:color w:val="000000" w:themeColor="text1"/>
          <w:sz w:val="24"/>
          <w:szCs w:val="24"/>
        </w:rPr>
      </w:pPr>
    </w:p>
    <w:p w14:paraId="7D77575A" w14:textId="33FAC102"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What is the workbook for?</w:t>
      </w:r>
    </w:p>
    <w:p w14:paraId="2D1D3C5B" w14:textId="6C623A22" w:rsidR="7336895D" w:rsidRDefault="7336895D" w:rsidP="7336895D">
      <w:pPr>
        <w:ind w:right="237"/>
        <w:jc w:val="both"/>
        <w:rPr>
          <w:rFonts w:ascii="Arial" w:eastAsia="Arial" w:hAnsi="Arial" w:cs="Arial"/>
          <w:color w:val="000000" w:themeColor="text1"/>
          <w:sz w:val="24"/>
          <w:szCs w:val="24"/>
        </w:rPr>
      </w:pPr>
    </w:p>
    <w:p w14:paraId="3418DF4D" w14:textId="2DB8505A"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The purpose of this workbook is to enable learners to demonstrate and provide evidence of how they meet the learning outcomes for the BSC Professional Investigation. You are being asked to outline your experiential learning based upon your theoretical understanding in a range of operational situations. </w:t>
      </w:r>
    </w:p>
    <w:p w14:paraId="2ECC5307" w14:textId="1CC5B47F" w:rsidR="7336895D" w:rsidRDefault="7336895D" w:rsidP="7336895D">
      <w:pPr>
        <w:ind w:right="237"/>
        <w:jc w:val="both"/>
        <w:rPr>
          <w:rFonts w:ascii="Arial" w:eastAsia="Arial" w:hAnsi="Arial" w:cs="Arial"/>
          <w:color w:val="000000" w:themeColor="text1"/>
          <w:sz w:val="24"/>
          <w:szCs w:val="24"/>
        </w:rPr>
      </w:pPr>
    </w:p>
    <w:p w14:paraId="1761E850" w14:textId="4F5D9B23"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How should the workbook be presented?</w:t>
      </w:r>
    </w:p>
    <w:p w14:paraId="7F11AEE6" w14:textId="433709A8"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4DE008AC" w14:textId="444A9059"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186794B" w14:textId="42FBF83F"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3FB73BB8" w14:textId="715F0373"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Word count policy</w:t>
      </w:r>
      <w:r w:rsidRPr="7336895D">
        <w:rPr>
          <w:rFonts w:ascii="Arial" w:eastAsia="Arial" w:hAnsi="Arial" w:cs="Arial"/>
          <w:color w:val="000000" w:themeColor="text1"/>
          <w:sz w:val="24"/>
          <w:szCs w:val="24"/>
        </w:rPr>
        <w:t xml:space="preserve"> can be found in chapter 7 of the Academic Quality under section 7.7 (this applies to presenting work above and under the specified word count).  </w:t>
      </w:r>
    </w:p>
    <w:p w14:paraId="17026C7D" w14:textId="1148EC42" w:rsidR="338C23AF" w:rsidRDefault="338C23AF" w:rsidP="7336895D">
      <w:pPr>
        <w:jc w:val="both"/>
        <w:rPr>
          <w:rFonts w:ascii="Arial" w:eastAsia="Arial" w:hAnsi="Arial" w:cs="Arial"/>
          <w:color w:val="0000FF"/>
          <w:sz w:val="24"/>
          <w:szCs w:val="24"/>
        </w:rPr>
      </w:pPr>
      <w:r w:rsidRPr="7336895D">
        <w:rPr>
          <w:rFonts w:ascii="Arial" w:eastAsia="Arial" w:hAnsi="Arial" w:cs="Arial"/>
          <w:color w:val="000000" w:themeColor="text1"/>
          <w:sz w:val="24"/>
          <w:szCs w:val="24"/>
        </w:rPr>
        <w:t>(</w:t>
      </w:r>
      <w:hyperlink r:id="rId6">
        <w:r w:rsidRPr="7336895D">
          <w:rPr>
            <w:rStyle w:val="Hyperlink"/>
            <w:rFonts w:ascii="Arial" w:eastAsia="Arial" w:hAnsi="Arial" w:cs="Arial"/>
            <w:sz w:val="24"/>
            <w:szCs w:val="24"/>
          </w:rPr>
          <w:t>https://www.uwtsd.ac.uk/media/uwtsd-website/content-assets/documents/academic-office/aqh-chapters/chapters---en/Chapter_07_Assessment_Taught_Programmes_Pages_72-79-UPDATED-05-11-2019.pdf</w:t>
        </w:r>
      </w:hyperlink>
      <w:r w:rsidRPr="7336895D">
        <w:rPr>
          <w:rFonts w:ascii="Arial" w:eastAsia="Arial" w:hAnsi="Arial" w:cs="Arial"/>
          <w:color w:val="0000FF"/>
          <w:sz w:val="24"/>
          <w:szCs w:val="24"/>
          <w:u w:val="single"/>
        </w:rPr>
        <w:t xml:space="preserve">) </w:t>
      </w:r>
    </w:p>
    <w:p w14:paraId="270B5ABB" w14:textId="488D538E"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F37D0AC" w14:textId="0C099FDC"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Reflective practice is a core aspect for your workbooks and although there is a variety of useful resources on Moodle, there is one </w:t>
      </w:r>
      <w:proofErr w:type="gramStart"/>
      <w:r w:rsidRPr="7336895D">
        <w:rPr>
          <w:rFonts w:ascii="Arial" w:eastAsia="Arial" w:hAnsi="Arial" w:cs="Arial"/>
          <w:color w:val="000000" w:themeColor="text1"/>
          <w:sz w:val="24"/>
          <w:szCs w:val="24"/>
        </w:rPr>
        <w:t>particular book</w:t>
      </w:r>
      <w:proofErr w:type="gramEnd"/>
      <w:r w:rsidRPr="7336895D">
        <w:rPr>
          <w:rFonts w:ascii="Arial" w:eastAsia="Arial" w:hAnsi="Arial" w:cs="Arial"/>
          <w:color w:val="000000" w:themeColor="text1"/>
          <w:sz w:val="24"/>
          <w:szCs w:val="24"/>
        </w:rPr>
        <w:t xml:space="preserve">, that is specifically based on reflective practice in policing, here is a link to one chapter from Selina Copley’s Reflective Practice for Policing Students: </w:t>
      </w:r>
    </w:p>
    <w:p w14:paraId="08B62104" w14:textId="161D17D8" w:rsidR="338C23AF" w:rsidRDefault="009D2DAB" w:rsidP="7336895D">
      <w:pPr>
        <w:jc w:val="both"/>
        <w:rPr>
          <w:rFonts w:ascii="Arial" w:eastAsia="Arial" w:hAnsi="Arial" w:cs="Arial"/>
          <w:color w:val="000000" w:themeColor="text1"/>
          <w:sz w:val="24"/>
          <w:szCs w:val="24"/>
        </w:rPr>
      </w:pPr>
      <w:hyperlink r:id="rId7">
        <w:r w:rsidR="338C23AF" w:rsidRPr="7336895D">
          <w:rPr>
            <w:rStyle w:val="Hyperlink"/>
            <w:rFonts w:ascii="Arial" w:eastAsia="Arial" w:hAnsi="Arial" w:cs="Arial"/>
            <w:sz w:val="24"/>
            <w:szCs w:val="24"/>
          </w:rPr>
          <w:t>https://moodle.uwtsd.ac.uk/pluginfile.php/298870/mod_resource/content/1/Reflective%20Practice%20for%20Policing%20Students%20-%20Selina%20Copley%20Chapter5.pdf</w:t>
        </w:r>
      </w:hyperlink>
    </w:p>
    <w:p w14:paraId="376D9A4A" w14:textId="7B6490E3"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29FDFC31" w14:textId="54FE22B0"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How is the workbook assessed?</w:t>
      </w:r>
    </w:p>
    <w:p w14:paraId="5011152D" w14:textId="272C47DA"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lastRenderedPageBreak/>
        <w:t xml:space="preserve"> </w:t>
      </w:r>
    </w:p>
    <w:p w14:paraId="069440E1" w14:textId="7FAB03AF" w:rsidR="338C23AF" w:rsidRDefault="338C23AF" w:rsidP="73EE6A45">
      <w:pPr>
        <w:jc w:val="both"/>
        <w:rPr>
          <w:rFonts w:ascii="Arial" w:eastAsia="Arial" w:hAnsi="Arial" w:cs="Arial"/>
          <w:color w:val="000000" w:themeColor="text1"/>
          <w:sz w:val="24"/>
          <w:szCs w:val="24"/>
        </w:rPr>
      </w:pPr>
      <w:r w:rsidRPr="73EE6A45">
        <w:rPr>
          <w:rFonts w:ascii="Arial" w:eastAsia="Arial" w:hAnsi="Arial" w:cs="Arial"/>
          <w:color w:val="000000" w:themeColor="text1"/>
          <w:sz w:val="24"/>
          <w:szCs w:val="24"/>
        </w:rPr>
        <w:t xml:space="preserve">Advice and support about the completion of this workbook is available to you. Please contact </w:t>
      </w:r>
      <w:r w:rsidR="035C80A2" w:rsidRPr="73EE6A45">
        <w:rPr>
          <w:rFonts w:ascii="Arial" w:eastAsia="Arial" w:hAnsi="Arial" w:cs="Arial"/>
          <w:color w:val="000000" w:themeColor="text1"/>
          <w:sz w:val="24"/>
          <w:szCs w:val="24"/>
        </w:rPr>
        <w:t xml:space="preserve">Justin Evan </w:t>
      </w:r>
      <w:r w:rsidRPr="73EE6A45">
        <w:rPr>
          <w:rFonts w:ascii="Arial" w:eastAsia="Arial" w:hAnsi="Arial" w:cs="Arial"/>
          <w:color w:val="000000" w:themeColor="text1"/>
          <w:sz w:val="24"/>
          <w:szCs w:val="24"/>
        </w:rPr>
        <w:t xml:space="preserve">with any questions or queries you may have. </w:t>
      </w:r>
      <w:r w:rsidR="12580390" w:rsidRPr="73EE6A45">
        <w:rPr>
          <w:rFonts w:ascii="Arial" w:eastAsia="Arial" w:hAnsi="Arial" w:cs="Arial"/>
          <w:color w:val="000000" w:themeColor="text1"/>
          <w:sz w:val="24"/>
          <w:szCs w:val="24"/>
        </w:rPr>
        <w:t>Justin.evans@uwtsd.ac.uk</w:t>
      </w:r>
    </w:p>
    <w:p w14:paraId="41EBB47C" w14:textId="1C2E1E16"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7521DC5D" w14:textId="4187BCB4"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Dates of workbook submission can be located within the General information tile within Moodle.</w:t>
      </w:r>
    </w:p>
    <w:p w14:paraId="2608FACC" w14:textId="42B14337"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3EE56CF8" w14:textId="31DFC083"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Once submitted your workbook will be assessed and marked independently. You will be provided with individual feedback once the work has been marked. </w:t>
      </w:r>
    </w:p>
    <w:p w14:paraId="79555996" w14:textId="472ED998" w:rsidR="7336895D" w:rsidRDefault="7336895D" w:rsidP="7336895D">
      <w:pPr>
        <w:ind w:right="237"/>
        <w:jc w:val="both"/>
        <w:rPr>
          <w:rFonts w:ascii="Arial" w:eastAsia="Arial" w:hAnsi="Arial" w:cs="Arial"/>
          <w:color w:val="000000" w:themeColor="text1"/>
          <w:sz w:val="24"/>
          <w:szCs w:val="24"/>
        </w:rPr>
      </w:pPr>
    </w:p>
    <w:p w14:paraId="1CA8F66E" w14:textId="2B7446AD"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Confidentiality</w:t>
      </w:r>
    </w:p>
    <w:p w14:paraId="624C3610" w14:textId="02131153" w:rsidR="7336895D" w:rsidRDefault="7336895D" w:rsidP="7336895D">
      <w:pPr>
        <w:ind w:right="237"/>
        <w:jc w:val="both"/>
        <w:rPr>
          <w:rFonts w:ascii="Arial" w:eastAsia="Arial" w:hAnsi="Arial" w:cs="Arial"/>
          <w:color w:val="000000" w:themeColor="text1"/>
          <w:sz w:val="24"/>
          <w:szCs w:val="24"/>
        </w:rPr>
      </w:pPr>
    </w:p>
    <w:p w14:paraId="1AD30EA5" w14:textId="1AD576EE"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It is important that no individual can be identified either directly or indirectly from the information in the workbook. However, you must:</w:t>
      </w:r>
    </w:p>
    <w:p w14:paraId="588B0FF0" w14:textId="673C9221" w:rsidR="7336895D" w:rsidRDefault="7336895D" w:rsidP="7336895D">
      <w:pPr>
        <w:ind w:right="237"/>
        <w:jc w:val="both"/>
        <w:rPr>
          <w:rFonts w:ascii="Arial" w:eastAsia="Arial" w:hAnsi="Arial" w:cs="Arial"/>
          <w:color w:val="000000" w:themeColor="text1"/>
          <w:sz w:val="24"/>
          <w:szCs w:val="24"/>
        </w:rPr>
      </w:pPr>
    </w:p>
    <w:p w14:paraId="1ADFC5DB" w14:textId="008AF5E7" w:rsidR="78979F44" w:rsidRDefault="78979F44" w:rsidP="7336895D">
      <w:pPr>
        <w:pStyle w:val="ListParagraph"/>
        <w:numPr>
          <w:ilvl w:val="0"/>
          <w:numId w:val="4"/>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adhere to guidance in the Candidate Handbook about confidentiality.</w:t>
      </w:r>
    </w:p>
    <w:p w14:paraId="213F07F0" w14:textId="6575ACA3" w:rsidR="78979F44" w:rsidRDefault="78979F44" w:rsidP="7336895D">
      <w:pPr>
        <w:pStyle w:val="ListParagraph"/>
        <w:numPr>
          <w:ilvl w:val="0"/>
          <w:numId w:val="4"/>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not identify individuals including witnesses, victims, or offenders by name.</w:t>
      </w:r>
    </w:p>
    <w:p w14:paraId="29F81CCF" w14:textId="7CFC8D22" w:rsidR="78979F44" w:rsidRDefault="78979F44" w:rsidP="7336895D">
      <w:pPr>
        <w:pStyle w:val="ListParagraph"/>
        <w:numPr>
          <w:ilvl w:val="0"/>
          <w:numId w:val="3"/>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D873AF" w14:textId="10A7296A" w:rsidR="78979F44" w:rsidRDefault="78979F44" w:rsidP="7336895D">
      <w:pPr>
        <w:pStyle w:val="ListParagraph"/>
        <w:numPr>
          <w:ilvl w:val="0"/>
          <w:numId w:val="3"/>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take personal responsibility for adhering to confidentiality rules. </w:t>
      </w:r>
    </w:p>
    <w:p w14:paraId="25DD461F" w14:textId="662C132D" w:rsidR="78979F44" w:rsidRDefault="78979F44" w:rsidP="7336895D">
      <w:pPr>
        <w:pStyle w:val="ListParagraph"/>
        <w:numPr>
          <w:ilvl w:val="0"/>
          <w:numId w:val="3"/>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not include any dates of any incidents or anything that specifically identifies an actual incident.</w:t>
      </w:r>
    </w:p>
    <w:p w14:paraId="7E8B1CB2" w14:textId="14752469" w:rsidR="7336895D" w:rsidRDefault="7336895D" w:rsidP="7336895D">
      <w:pPr>
        <w:ind w:right="237"/>
        <w:jc w:val="both"/>
        <w:rPr>
          <w:rFonts w:ascii="Arial" w:eastAsia="Arial" w:hAnsi="Arial" w:cs="Arial"/>
          <w:color w:val="000000" w:themeColor="text1"/>
          <w:sz w:val="24"/>
          <w:szCs w:val="24"/>
        </w:rPr>
      </w:pPr>
    </w:p>
    <w:p w14:paraId="01571990" w14:textId="786D175E"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NOTE</w:t>
      </w:r>
    </w:p>
    <w:p w14:paraId="090742B3" w14:textId="757A1186" w:rsidR="7336895D" w:rsidRDefault="7336895D" w:rsidP="7336895D">
      <w:pPr>
        <w:ind w:right="237"/>
        <w:jc w:val="both"/>
        <w:rPr>
          <w:rFonts w:ascii="Arial" w:eastAsia="Arial" w:hAnsi="Arial" w:cs="Arial"/>
          <w:color w:val="000000" w:themeColor="text1"/>
          <w:sz w:val="24"/>
          <w:szCs w:val="24"/>
        </w:rPr>
      </w:pPr>
    </w:p>
    <w:p w14:paraId="665B1972" w14:textId="6F93F154"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Your workbook will be submitted electronically via Turnitin on Moodle. Guidance on this is in the Candidate Handbook. </w:t>
      </w:r>
    </w:p>
    <w:p w14:paraId="7EB9B71D" w14:textId="2BE9DCA0" w:rsidR="7336895D" w:rsidRDefault="7336895D" w:rsidP="7336895D">
      <w:pPr>
        <w:ind w:left="360" w:right="237"/>
        <w:jc w:val="both"/>
        <w:rPr>
          <w:rFonts w:ascii="Arial" w:eastAsia="Arial" w:hAnsi="Arial" w:cs="Arial"/>
          <w:color w:val="000000" w:themeColor="text1"/>
          <w:sz w:val="24"/>
          <w:szCs w:val="24"/>
        </w:rPr>
      </w:pPr>
    </w:p>
    <w:p w14:paraId="366B59AD" w14:textId="32E77C14"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6157856" w14:textId="3B406502"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lastRenderedPageBreak/>
        <w:t>Dyslexia and other special circumstances</w:t>
      </w:r>
    </w:p>
    <w:p w14:paraId="3351012F" w14:textId="6CDF6D6C" w:rsidR="7336895D" w:rsidRDefault="7336895D" w:rsidP="7336895D">
      <w:pPr>
        <w:ind w:right="237"/>
        <w:jc w:val="both"/>
        <w:rPr>
          <w:rFonts w:ascii="Arial" w:eastAsia="Arial" w:hAnsi="Arial" w:cs="Arial"/>
          <w:color w:val="000000" w:themeColor="text1"/>
          <w:sz w:val="24"/>
          <w:szCs w:val="24"/>
        </w:rPr>
      </w:pPr>
    </w:p>
    <w:p w14:paraId="4C7E4EAB" w14:textId="60C6466B"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If you have any condition that you feel may affect your ability to deal with any part of the programme, please see the Candidate Handbook for further guidance. The University has a Student Services Unit that may be able to help but </w:t>
      </w:r>
      <w:r w:rsidRPr="7336895D">
        <w:rPr>
          <w:rFonts w:ascii="Arial" w:eastAsia="Arial" w:hAnsi="Arial" w:cs="Arial"/>
          <w:b/>
          <w:bCs/>
          <w:i/>
          <w:iCs/>
          <w:color w:val="000000" w:themeColor="text1"/>
          <w:sz w:val="24"/>
          <w:szCs w:val="24"/>
        </w:rPr>
        <w:t>it is the learner’s individual responsibility to contact them</w:t>
      </w:r>
      <w:r w:rsidRPr="7336895D">
        <w:rPr>
          <w:rFonts w:ascii="Arial" w:eastAsia="Arial" w:hAnsi="Arial" w:cs="Arial"/>
          <w:color w:val="000000" w:themeColor="text1"/>
          <w:sz w:val="24"/>
          <w:szCs w:val="24"/>
        </w:rPr>
        <w:t>.</w:t>
      </w:r>
    </w:p>
    <w:p w14:paraId="560FADE2" w14:textId="4C58098B" w:rsidR="7336895D" w:rsidRDefault="7336895D" w:rsidP="7336895D">
      <w:pPr>
        <w:ind w:right="237"/>
        <w:jc w:val="both"/>
        <w:rPr>
          <w:rFonts w:ascii="Arial" w:eastAsia="Arial" w:hAnsi="Arial" w:cs="Arial"/>
          <w:color w:val="000000" w:themeColor="text1"/>
          <w:sz w:val="24"/>
          <w:szCs w:val="24"/>
        </w:rPr>
      </w:pPr>
    </w:p>
    <w:p w14:paraId="7BBC3611" w14:textId="4416661B" w:rsidR="7336895D" w:rsidRDefault="7336895D" w:rsidP="7336895D">
      <w:pPr>
        <w:spacing w:before="120" w:after="0" w:line="240" w:lineRule="auto"/>
        <w:ind w:left="1004" w:hanging="284"/>
        <w:jc w:val="both"/>
        <w:rPr>
          <w:rFonts w:ascii="Arial" w:eastAsia="Arial" w:hAnsi="Arial" w:cs="Arial"/>
          <w:color w:val="000000" w:themeColor="text1"/>
        </w:rPr>
      </w:pPr>
    </w:p>
    <w:p w14:paraId="2B9231DE" w14:textId="25DB7D0E" w:rsidR="55CF82B9" w:rsidRDefault="55CF82B9" w:rsidP="7336895D">
      <w:pPr>
        <w:pStyle w:val="bullet"/>
        <w:spacing w:line="240" w:lineRule="auto"/>
        <w:rPr>
          <w:rFonts w:ascii="Arial" w:eastAsia="Arial" w:hAnsi="Arial" w:cs="Arial"/>
          <w:color w:val="000000" w:themeColor="text1"/>
        </w:rPr>
      </w:pPr>
      <w:r w:rsidRPr="7336895D">
        <w:rPr>
          <w:rFonts w:ascii="Arial" w:eastAsia="Arial" w:hAnsi="Arial" w:cs="Arial"/>
          <w:b/>
          <w:bCs/>
          <w:color w:val="000000" w:themeColor="text1"/>
        </w:rPr>
        <w:t>AIM(S)</w:t>
      </w:r>
    </w:p>
    <w:p w14:paraId="6586085D" w14:textId="64E29B43" w:rsidR="7336895D" w:rsidRDefault="7336895D" w:rsidP="7336895D">
      <w:pPr>
        <w:spacing w:before="120" w:after="0" w:line="240" w:lineRule="auto"/>
        <w:ind w:left="1004" w:hanging="284"/>
        <w:jc w:val="both"/>
        <w:rPr>
          <w:rFonts w:ascii="Arial" w:eastAsia="Arial" w:hAnsi="Arial" w:cs="Arial"/>
          <w:color w:val="000000" w:themeColor="text1"/>
          <w:sz w:val="24"/>
          <w:szCs w:val="24"/>
        </w:rPr>
      </w:pPr>
    </w:p>
    <w:p w14:paraId="17858F56" w14:textId="4B2E75F5" w:rsidR="55CF82B9" w:rsidRDefault="55CF82B9" w:rsidP="7336895D">
      <w:pPr>
        <w:pStyle w:val="bullet"/>
        <w:numPr>
          <w:ilvl w:val="0"/>
          <w:numId w:val="1"/>
        </w:numPr>
        <w:spacing w:line="276" w:lineRule="auto"/>
        <w:rPr>
          <w:rFonts w:asciiTheme="minorHAnsi" w:eastAsiaTheme="minorEastAsia" w:hAnsiTheme="minorHAnsi" w:cstheme="minorBidi"/>
          <w:color w:val="000000" w:themeColor="text1"/>
        </w:rPr>
      </w:pPr>
      <w:r w:rsidRPr="7336895D">
        <w:rPr>
          <w:rFonts w:ascii="Arial" w:eastAsia="Arial" w:hAnsi="Arial" w:cs="Arial"/>
          <w:color w:val="000000" w:themeColor="text1"/>
        </w:rPr>
        <w:t>To enable learners to independently study the leading-edge knowledge in professional investigation that has relevance to their workplace practice and their personal development</w:t>
      </w:r>
    </w:p>
    <w:p w14:paraId="2C44E706" w14:textId="780397BD" w:rsidR="7336895D" w:rsidRDefault="7336895D" w:rsidP="7336895D">
      <w:pPr>
        <w:ind w:right="237"/>
        <w:jc w:val="both"/>
        <w:rPr>
          <w:rFonts w:ascii="Arial" w:eastAsia="Arial" w:hAnsi="Arial" w:cs="Arial"/>
          <w:color w:val="000000" w:themeColor="text1"/>
          <w:sz w:val="24"/>
          <w:szCs w:val="24"/>
        </w:rPr>
      </w:pPr>
    </w:p>
    <w:p w14:paraId="7E653AC3" w14:textId="626F8D91" w:rsidR="7336895D" w:rsidRDefault="7336895D" w:rsidP="7336895D">
      <w:pPr>
        <w:rPr>
          <w:rFonts w:ascii="Arial" w:eastAsia="Arial" w:hAnsi="Arial" w:cs="Arial"/>
          <w:sz w:val="28"/>
          <w:szCs w:val="28"/>
        </w:rPr>
      </w:pPr>
    </w:p>
    <w:p w14:paraId="6D380843" w14:textId="23B29ACB" w:rsidR="78979F44" w:rsidRDefault="78979F44" w:rsidP="7336895D">
      <w:pPr>
        <w:rPr>
          <w:rFonts w:ascii="Arial" w:eastAsia="Arial" w:hAnsi="Arial" w:cs="Arial"/>
          <w:b/>
          <w:bCs/>
          <w:sz w:val="28"/>
          <w:szCs w:val="28"/>
        </w:rPr>
      </w:pPr>
      <w:r w:rsidRPr="7336895D">
        <w:rPr>
          <w:rFonts w:ascii="Arial" w:eastAsia="Arial" w:hAnsi="Arial" w:cs="Arial"/>
          <w:b/>
          <w:bCs/>
          <w:sz w:val="28"/>
          <w:szCs w:val="28"/>
        </w:rPr>
        <w:t>Contents</w:t>
      </w:r>
    </w:p>
    <w:p w14:paraId="693CFE8D" w14:textId="195AF11C" w:rsidR="7336895D" w:rsidRDefault="7336895D" w:rsidP="7336895D">
      <w:pPr>
        <w:rPr>
          <w:rFonts w:ascii="Arial" w:eastAsia="Arial" w:hAnsi="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14:paraId="32B5EB03" w14:textId="77777777" w:rsidTr="0CC6384A">
        <w:tc>
          <w:tcPr>
            <w:tcW w:w="3005" w:type="dxa"/>
            <w:shd w:val="clear" w:color="auto" w:fill="1E8BCD"/>
          </w:tcPr>
          <w:p w14:paraId="142F514F" w14:textId="0EC2728B" w:rsidR="7336895D" w:rsidRDefault="7336895D" w:rsidP="7336895D">
            <w:pPr>
              <w:rPr>
                <w:rFonts w:ascii="Arial" w:eastAsia="Arial" w:hAnsi="Arial" w:cs="Arial"/>
                <w:b/>
                <w:bCs/>
                <w:sz w:val="28"/>
                <w:szCs w:val="28"/>
              </w:rPr>
            </w:pPr>
          </w:p>
        </w:tc>
        <w:tc>
          <w:tcPr>
            <w:tcW w:w="3005" w:type="dxa"/>
            <w:shd w:val="clear" w:color="auto" w:fill="1E8BCD"/>
          </w:tcPr>
          <w:p w14:paraId="10754AEF" w14:textId="7CAC970A" w:rsidR="7336895D" w:rsidRDefault="7336895D" w:rsidP="7336895D">
            <w:pPr>
              <w:rPr>
                <w:rFonts w:ascii="Arial" w:eastAsia="Arial" w:hAnsi="Arial" w:cs="Arial"/>
                <w:b/>
                <w:bCs/>
                <w:sz w:val="24"/>
                <w:szCs w:val="24"/>
              </w:rPr>
            </w:pPr>
          </w:p>
        </w:tc>
        <w:tc>
          <w:tcPr>
            <w:tcW w:w="3005" w:type="dxa"/>
            <w:shd w:val="clear" w:color="auto" w:fill="1E8BCD"/>
          </w:tcPr>
          <w:p w14:paraId="64484E9C" w14:textId="305A6342" w:rsidR="1F9D89F6" w:rsidRDefault="1F9D89F6" w:rsidP="7336895D">
            <w:pPr>
              <w:rPr>
                <w:rFonts w:ascii="Arial" w:eastAsia="Arial" w:hAnsi="Arial" w:cs="Arial"/>
                <w:b/>
                <w:bCs/>
                <w:sz w:val="24"/>
                <w:szCs w:val="24"/>
              </w:rPr>
            </w:pPr>
            <w:r w:rsidRPr="7336895D">
              <w:rPr>
                <w:rFonts w:ascii="Arial" w:eastAsia="Arial" w:hAnsi="Arial" w:cs="Arial"/>
                <w:b/>
                <w:bCs/>
                <w:sz w:val="24"/>
                <w:szCs w:val="24"/>
              </w:rPr>
              <w:t>Word Count</w:t>
            </w:r>
          </w:p>
        </w:tc>
      </w:tr>
      <w:tr w:rsidR="7336895D" w14:paraId="368A386A" w14:textId="77777777" w:rsidTr="0CC6384A">
        <w:tc>
          <w:tcPr>
            <w:tcW w:w="3005" w:type="dxa"/>
          </w:tcPr>
          <w:p w14:paraId="038D7866" w14:textId="523C0D78"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1</w:t>
            </w:r>
          </w:p>
        </w:tc>
        <w:tc>
          <w:tcPr>
            <w:tcW w:w="3005" w:type="dxa"/>
          </w:tcPr>
          <w:p w14:paraId="63372E0A" w14:textId="2AECA970" w:rsidR="7336895D" w:rsidRDefault="3AAE5135" w:rsidP="0CC6384A">
            <w:pPr>
              <w:rPr>
                <w:rFonts w:ascii="Arial" w:eastAsia="Arial" w:hAnsi="Arial" w:cs="Arial"/>
                <w:b/>
                <w:bCs/>
                <w:sz w:val="24"/>
                <w:szCs w:val="24"/>
              </w:rPr>
            </w:pPr>
            <w:r w:rsidRPr="0CC6384A">
              <w:rPr>
                <w:rFonts w:ascii="Arial" w:eastAsia="Arial" w:hAnsi="Arial" w:cs="Arial"/>
                <w:b/>
                <w:bCs/>
                <w:sz w:val="24"/>
                <w:szCs w:val="24"/>
              </w:rPr>
              <w:t>Personal development</w:t>
            </w:r>
          </w:p>
        </w:tc>
        <w:tc>
          <w:tcPr>
            <w:tcW w:w="3005" w:type="dxa"/>
          </w:tcPr>
          <w:p w14:paraId="34715AAA" w14:textId="2490AAA5" w:rsidR="7336895D" w:rsidRDefault="3AAE5135" w:rsidP="0CC6384A">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23F16150" w14:textId="77777777" w:rsidTr="0CC6384A">
        <w:tc>
          <w:tcPr>
            <w:tcW w:w="3005" w:type="dxa"/>
          </w:tcPr>
          <w:p w14:paraId="7833C05E" w14:textId="21B42D20"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2</w:t>
            </w:r>
          </w:p>
        </w:tc>
        <w:tc>
          <w:tcPr>
            <w:tcW w:w="3005" w:type="dxa"/>
          </w:tcPr>
          <w:p w14:paraId="40041519" w14:textId="521AA36D" w:rsidR="7336895D" w:rsidRDefault="56A38832" w:rsidP="0CC6384A">
            <w:pPr>
              <w:rPr>
                <w:rFonts w:ascii="Arial" w:eastAsia="Arial" w:hAnsi="Arial" w:cs="Arial"/>
                <w:b/>
                <w:bCs/>
                <w:sz w:val="24"/>
                <w:szCs w:val="24"/>
              </w:rPr>
            </w:pPr>
            <w:r w:rsidRPr="0CC6384A">
              <w:rPr>
                <w:rFonts w:ascii="Arial" w:eastAsia="Arial" w:hAnsi="Arial" w:cs="Arial"/>
                <w:b/>
                <w:bCs/>
                <w:sz w:val="24"/>
                <w:szCs w:val="24"/>
              </w:rPr>
              <w:t>Investigation challenges</w:t>
            </w:r>
          </w:p>
        </w:tc>
        <w:tc>
          <w:tcPr>
            <w:tcW w:w="3005" w:type="dxa"/>
          </w:tcPr>
          <w:p w14:paraId="3F030E0E" w14:textId="34105DD6" w:rsidR="7336895D" w:rsidRDefault="2CE767E4" w:rsidP="0CC6384A">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1F88D916" w14:textId="77777777" w:rsidTr="0CC6384A">
        <w:tc>
          <w:tcPr>
            <w:tcW w:w="3005" w:type="dxa"/>
          </w:tcPr>
          <w:p w14:paraId="4DD48D66" w14:textId="72230023"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3</w:t>
            </w:r>
          </w:p>
        </w:tc>
        <w:tc>
          <w:tcPr>
            <w:tcW w:w="3005" w:type="dxa"/>
          </w:tcPr>
          <w:p w14:paraId="1F9DE1DB" w14:textId="0335A44C" w:rsidR="7336895D" w:rsidRDefault="759C13E2" w:rsidP="0CC6384A">
            <w:pPr>
              <w:rPr>
                <w:rFonts w:ascii="Arial" w:eastAsia="Arial" w:hAnsi="Arial" w:cs="Arial"/>
                <w:b/>
                <w:bCs/>
                <w:sz w:val="24"/>
                <w:szCs w:val="24"/>
              </w:rPr>
            </w:pPr>
            <w:r w:rsidRPr="0CC6384A">
              <w:rPr>
                <w:rFonts w:ascii="Arial" w:eastAsia="Arial" w:hAnsi="Arial" w:cs="Arial"/>
                <w:b/>
                <w:bCs/>
                <w:sz w:val="24"/>
                <w:szCs w:val="24"/>
              </w:rPr>
              <w:t>Investigation techniques</w:t>
            </w:r>
          </w:p>
        </w:tc>
        <w:tc>
          <w:tcPr>
            <w:tcW w:w="3005" w:type="dxa"/>
          </w:tcPr>
          <w:p w14:paraId="1460CC8D" w14:textId="51C7DA97" w:rsidR="7336895D" w:rsidRDefault="2292D885" w:rsidP="0CC6384A">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6CA89FA1" w14:textId="77777777" w:rsidTr="0CC6384A">
        <w:tc>
          <w:tcPr>
            <w:tcW w:w="3005" w:type="dxa"/>
          </w:tcPr>
          <w:p w14:paraId="500E68B8" w14:textId="06C51E03"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4</w:t>
            </w:r>
          </w:p>
        </w:tc>
        <w:tc>
          <w:tcPr>
            <w:tcW w:w="3005" w:type="dxa"/>
          </w:tcPr>
          <w:p w14:paraId="588EE43A" w14:textId="605EF25E" w:rsidR="7336895D" w:rsidRDefault="3A235D56" w:rsidP="0CC6384A">
            <w:pPr>
              <w:rPr>
                <w:rFonts w:ascii="Arial" w:eastAsia="Arial" w:hAnsi="Arial" w:cs="Arial"/>
                <w:b/>
                <w:bCs/>
                <w:sz w:val="24"/>
                <w:szCs w:val="24"/>
              </w:rPr>
            </w:pPr>
            <w:r w:rsidRPr="0CC6384A">
              <w:rPr>
                <w:rFonts w:ascii="Arial" w:eastAsia="Arial" w:hAnsi="Arial" w:cs="Arial"/>
                <w:b/>
                <w:bCs/>
                <w:sz w:val="24"/>
                <w:szCs w:val="24"/>
              </w:rPr>
              <w:t>Investigation methodology and theory</w:t>
            </w:r>
          </w:p>
        </w:tc>
        <w:tc>
          <w:tcPr>
            <w:tcW w:w="3005" w:type="dxa"/>
          </w:tcPr>
          <w:p w14:paraId="32C22075" w14:textId="6D1EDB5F" w:rsidR="7336895D" w:rsidRDefault="54F550AF" w:rsidP="0CC6384A">
            <w:pPr>
              <w:spacing w:after="160" w:line="259" w:lineRule="auto"/>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5FAA5059" w14:textId="77777777" w:rsidTr="0CC6384A">
        <w:tc>
          <w:tcPr>
            <w:tcW w:w="3005" w:type="dxa"/>
          </w:tcPr>
          <w:p w14:paraId="0FFF7DEE" w14:textId="2AF8062F"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5</w:t>
            </w:r>
          </w:p>
          <w:p w14:paraId="6C9EA34F" w14:textId="56F77BB3" w:rsidR="7336895D" w:rsidRDefault="7336895D" w:rsidP="46EDD448">
            <w:pPr>
              <w:jc w:val="center"/>
              <w:rPr>
                <w:rFonts w:ascii="Arial" w:eastAsia="Arial" w:hAnsi="Arial" w:cs="Arial"/>
                <w:b/>
                <w:bCs/>
                <w:sz w:val="24"/>
                <w:szCs w:val="24"/>
              </w:rPr>
            </w:pPr>
          </w:p>
          <w:p w14:paraId="447FF4D1" w14:textId="2396255B" w:rsidR="7336895D" w:rsidRDefault="7336895D" w:rsidP="46EDD448">
            <w:pPr>
              <w:jc w:val="center"/>
              <w:rPr>
                <w:rFonts w:ascii="Arial" w:eastAsia="Arial" w:hAnsi="Arial" w:cs="Arial"/>
                <w:b/>
                <w:bCs/>
                <w:sz w:val="24"/>
                <w:szCs w:val="24"/>
              </w:rPr>
            </w:pPr>
          </w:p>
          <w:p w14:paraId="609D83C7" w14:textId="35CBD23D" w:rsidR="7336895D" w:rsidRDefault="7336895D" w:rsidP="46EDD448">
            <w:pPr>
              <w:jc w:val="center"/>
              <w:rPr>
                <w:rFonts w:ascii="Arial" w:eastAsia="Arial" w:hAnsi="Arial" w:cs="Arial"/>
                <w:b/>
                <w:bCs/>
                <w:sz w:val="24"/>
                <w:szCs w:val="24"/>
              </w:rPr>
            </w:pPr>
          </w:p>
          <w:p w14:paraId="698F2607" w14:textId="4B3FF3C9" w:rsidR="7336895D" w:rsidRDefault="7336895D" w:rsidP="46EDD448">
            <w:pPr>
              <w:jc w:val="center"/>
              <w:rPr>
                <w:rFonts w:ascii="Arial" w:eastAsia="Arial" w:hAnsi="Arial" w:cs="Arial"/>
                <w:b/>
                <w:bCs/>
                <w:sz w:val="24"/>
                <w:szCs w:val="24"/>
              </w:rPr>
            </w:pPr>
          </w:p>
        </w:tc>
        <w:tc>
          <w:tcPr>
            <w:tcW w:w="3005" w:type="dxa"/>
          </w:tcPr>
          <w:p w14:paraId="3026CA82" w14:textId="04274744" w:rsidR="1F9D89F6" w:rsidRDefault="1F9D89F6" w:rsidP="46EDD448">
            <w:pPr>
              <w:jc w:val="center"/>
              <w:rPr>
                <w:rFonts w:ascii="Arial" w:eastAsia="Arial" w:hAnsi="Arial" w:cs="Arial"/>
                <w:sz w:val="24"/>
                <w:szCs w:val="24"/>
                <w:lang w:val="en-US"/>
              </w:rPr>
            </w:pPr>
            <w:r w:rsidRPr="0CC6384A">
              <w:rPr>
                <w:rFonts w:ascii="Arial" w:eastAsia="Arial" w:hAnsi="Arial" w:cs="Arial"/>
                <w:b/>
                <w:bCs/>
                <w:color w:val="000000" w:themeColor="text1"/>
                <w:sz w:val="24"/>
                <w:szCs w:val="24"/>
              </w:rPr>
              <w:t>Personal study/learning plan</w:t>
            </w:r>
          </w:p>
          <w:p w14:paraId="4432633F" w14:textId="71DE49A3" w:rsidR="7336895D" w:rsidRDefault="7336895D" w:rsidP="46EDD448">
            <w:pPr>
              <w:jc w:val="center"/>
              <w:rPr>
                <w:rFonts w:ascii="Arial" w:eastAsia="Arial" w:hAnsi="Arial" w:cs="Arial"/>
                <w:b/>
                <w:bCs/>
                <w:sz w:val="24"/>
                <w:szCs w:val="24"/>
              </w:rPr>
            </w:pPr>
          </w:p>
        </w:tc>
        <w:tc>
          <w:tcPr>
            <w:tcW w:w="3005" w:type="dxa"/>
          </w:tcPr>
          <w:p w14:paraId="76373DB7" w14:textId="016E5C80"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2B7AB660" w14:textId="77777777" w:rsidTr="0CC6384A">
        <w:tc>
          <w:tcPr>
            <w:tcW w:w="3005" w:type="dxa"/>
          </w:tcPr>
          <w:p w14:paraId="161B944D" w14:textId="56EA47D7" w:rsidR="7336895D" w:rsidRDefault="7336895D" w:rsidP="0CC6384A">
            <w:pPr>
              <w:rPr>
                <w:rFonts w:ascii="Arial" w:eastAsia="Arial" w:hAnsi="Arial" w:cs="Arial"/>
                <w:b/>
                <w:bCs/>
                <w:sz w:val="24"/>
                <w:szCs w:val="24"/>
              </w:rPr>
            </w:pPr>
          </w:p>
        </w:tc>
        <w:tc>
          <w:tcPr>
            <w:tcW w:w="3005" w:type="dxa"/>
          </w:tcPr>
          <w:p w14:paraId="2468FF94" w14:textId="51DC4B62" w:rsidR="1F9D89F6" w:rsidRDefault="1F9D89F6" w:rsidP="0CC6384A">
            <w:pPr>
              <w:jc w:val="center"/>
              <w:rPr>
                <w:rFonts w:ascii="Arial" w:eastAsia="Arial" w:hAnsi="Arial" w:cs="Arial"/>
                <w:b/>
                <w:bCs/>
                <w:color w:val="000000" w:themeColor="text1"/>
                <w:sz w:val="24"/>
                <w:szCs w:val="24"/>
              </w:rPr>
            </w:pPr>
            <w:r w:rsidRPr="0CC6384A">
              <w:rPr>
                <w:rFonts w:ascii="Arial" w:eastAsia="Arial" w:hAnsi="Arial" w:cs="Arial"/>
                <w:b/>
                <w:bCs/>
                <w:color w:val="000000" w:themeColor="text1"/>
                <w:sz w:val="24"/>
                <w:szCs w:val="24"/>
              </w:rPr>
              <w:t>Bibliography</w:t>
            </w:r>
          </w:p>
        </w:tc>
        <w:tc>
          <w:tcPr>
            <w:tcW w:w="3005" w:type="dxa"/>
          </w:tcPr>
          <w:p w14:paraId="336382B5" w14:textId="1A8D32A2" w:rsidR="7336895D" w:rsidRDefault="7336895D" w:rsidP="7336895D">
            <w:pPr>
              <w:rPr>
                <w:rFonts w:ascii="Arial" w:eastAsia="Arial" w:hAnsi="Arial" w:cs="Arial"/>
                <w:b/>
                <w:bCs/>
                <w:sz w:val="24"/>
                <w:szCs w:val="24"/>
              </w:rPr>
            </w:pPr>
          </w:p>
        </w:tc>
      </w:tr>
    </w:tbl>
    <w:p w14:paraId="037229E0" w14:textId="30FF0009" w:rsidR="7336895D" w:rsidRDefault="7336895D" w:rsidP="7336895D">
      <w:pPr>
        <w:rPr>
          <w:rFonts w:ascii="Arial" w:eastAsia="Arial" w:hAnsi="Arial" w:cs="Arial"/>
          <w:b/>
          <w:bCs/>
          <w:sz w:val="28"/>
          <w:szCs w:val="28"/>
        </w:rPr>
      </w:pPr>
    </w:p>
    <w:p w14:paraId="2A8D22EC" w14:textId="28EA3210" w:rsidR="7336895D" w:rsidRDefault="7336895D" w:rsidP="7336895D">
      <w:pPr>
        <w:rPr>
          <w:rFonts w:ascii="Arial" w:eastAsia="Arial" w:hAnsi="Arial" w:cs="Arial"/>
          <w:b/>
          <w:bCs/>
          <w:sz w:val="28"/>
          <w:szCs w:val="28"/>
        </w:rPr>
      </w:pPr>
    </w:p>
    <w:p w14:paraId="4298C1BC" w14:textId="150B9582" w:rsidR="7336895D" w:rsidRDefault="7336895D" w:rsidP="7336895D">
      <w:pPr>
        <w:ind w:left="3600" w:right="107" w:firstLine="720"/>
        <w:jc w:val="both"/>
        <w:rPr>
          <w:rFonts w:ascii="Arial" w:eastAsia="Arial" w:hAnsi="Arial" w:cs="Arial"/>
          <w:b/>
          <w:bCs/>
          <w:color w:val="000000" w:themeColor="text1"/>
          <w:sz w:val="24"/>
          <w:szCs w:val="24"/>
        </w:rPr>
      </w:pPr>
    </w:p>
    <w:p w14:paraId="7D3F1522" w14:textId="0891594D" w:rsidR="7336895D" w:rsidRDefault="7336895D" w:rsidP="7336895D">
      <w:pPr>
        <w:ind w:left="3600" w:right="107" w:firstLine="720"/>
        <w:jc w:val="both"/>
        <w:rPr>
          <w:rFonts w:ascii="Arial" w:eastAsia="Arial" w:hAnsi="Arial" w:cs="Arial"/>
          <w:b/>
          <w:bCs/>
          <w:color w:val="000000" w:themeColor="text1"/>
          <w:sz w:val="24"/>
          <w:szCs w:val="24"/>
        </w:rPr>
      </w:pPr>
    </w:p>
    <w:p w14:paraId="4B1B9C6A" w14:textId="7D4C663F" w:rsidR="000C2BE6" w:rsidRDefault="000C2BE6" w:rsidP="7336895D">
      <w:pPr>
        <w:ind w:left="3600" w:right="107" w:firstLine="720"/>
        <w:jc w:val="both"/>
        <w:rPr>
          <w:rFonts w:ascii="Arial" w:eastAsia="Arial" w:hAnsi="Arial" w:cs="Arial"/>
          <w:b/>
          <w:bCs/>
          <w:color w:val="000000" w:themeColor="text1"/>
          <w:sz w:val="24"/>
          <w:szCs w:val="24"/>
        </w:rPr>
      </w:pPr>
    </w:p>
    <w:p w14:paraId="76FB739F" w14:textId="278F9AF7" w:rsidR="000C2BE6" w:rsidRDefault="000C2BE6" w:rsidP="7336895D">
      <w:pPr>
        <w:ind w:left="3600" w:right="107" w:firstLine="720"/>
        <w:jc w:val="both"/>
        <w:rPr>
          <w:rFonts w:ascii="Arial" w:eastAsia="Arial" w:hAnsi="Arial" w:cs="Arial"/>
          <w:b/>
          <w:bCs/>
          <w:color w:val="000000" w:themeColor="text1"/>
          <w:sz w:val="24"/>
          <w:szCs w:val="24"/>
        </w:rPr>
      </w:pPr>
    </w:p>
    <w:p w14:paraId="4B38C77A" w14:textId="77777777" w:rsidR="000C2BE6" w:rsidRDefault="000C2BE6" w:rsidP="7336895D">
      <w:pPr>
        <w:ind w:left="3600" w:right="107" w:firstLine="720"/>
        <w:jc w:val="both"/>
        <w:rPr>
          <w:rFonts w:ascii="Arial" w:eastAsia="Arial" w:hAnsi="Arial" w:cs="Arial"/>
          <w:b/>
          <w:bCs/>
          <w:color w:val="000000" w:themeColor="text1"/>
          <w:sz w:val="24"/>
          <w:szCs w:val="24"/>
        </w:rPr>
      </w:pPr>
    </w:p>
    <w:p w14:paraId="62F5231B" w14:textId="5D6B4DEA" w:rsidR="010A2EC9" w:rsidRDefault="010A2EC9" w:rsidP="7336895D">
      <w:pPr>
        <w:rPr>
          <w:rFonts w:ascii="Calibri" w:eastAsia="Calibri" w:hAnsi="Calibri" w:cs="Calibri"/>
        </w:rPr>
      </w:pPr>
      <w:r w:rsidRPr="46EDD448">
        <w:rPr>
          <w:rFonts w:ascii="Arial" w:eastAsia="Arial" w:hAnsi="Arial" w:cs="Arial"/>
          <w:b/>
          <w:bCs/>
          <w:sz w:val="24"/>
          <w:szCs w:val="24"/>
        </w:rPr>
        <w:lastRenderedPageBreak/>
        <w:t xml:space="preserve">Task </w:t>
      </w:r>
      <w:r w:rsidRPr="46EDD448">
        <w:rPr>
          <w:rFonts w:ascii="Arial" w:eastAsia="Arial" w:hAnsi="Arial" w:cs="Arial"/>
          <w:b/>
          <w:bCs/>
          <w:color w:val="000000" w:themeColor="text1"/>
          <w:sz w:val="24"/>
          <w:szCs w:val="24"/>
        </w:rPr>
        <w:t xml:space="preserve">1: </w:t>
      </w:r>
    </w:p>
    <w:p w14:paraId="46F567E3" w14:textId="28042212" w:rsidR="46EDD448" w:rsidRDefault="46EDD448" w:rsidP="46EDD448">
      <w:pPr>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7598B4AD" w14:textId="77777777" w:rsidTr="329D81C7">
        <w:tc>
          <w:tcPr>
            <w:tcW w:w="9015" w:type="dxa"/>
          </w:tcPr>
          <w:p w14:paraId="0754EC58" w14:textId="775FC2FA" w:rsidR="7336895D" w:rsidRDefault="7336895D" w:rsidP="03DEED5D">
            <w:pPr>
              <w:rPr>
                <w:sz w:val="24"/>
                <w:szCs w:val="24"/>
              </w:rPr>
            </w:pPr>
          </w:p>
          <w:p w14:paraId="51D17758" w14:textId="09842E8A" w:rsidR="7336895D" w:rsidRDefault="2E8DAE39" w:rsidP="03DEED5D">
            <w:pPr>
              <w:rPr>
                <w:rFonts w:ascii="Arial" w:eastAsia="Arial" w:hAnsi="Arial" w:cs="Arial"/>
                <w:sz w:val="24"/>
                <w:szCs w:val="24"/>
              </w:rPr>
            </w:pPr>
            <w:r w:rsidRPr="329D81C7">
              <w:rPr>
                <w:rFonts w:ascii="Arial" w:eastAsia="Arial" w:hAnsi="Arial" w:cs="Arial"/>
                <w:sz w:val="24"/>
                <w:szCs w:val="24"/>
              </w:rPr>
              <w:t>Focussing upon the last 12 months of your career, critically evaluate your own performance using principles of reflection</w:t>
            </w:r>
            <w:r w:rsidR="471AB9A3" w:rsidRPr="329D81C7">
              <w:rPr>
                <w:rFonts w:ascii="Arial" w:eastAsia="Arial" w:hAnsi="Arial" w:cs="Arial"/>
                <w:sz w:val="24"/>
                <w:szCs w:val="24"/>
              </w:rPr>
              <w:t xml:space="preserve"> (</w:t>
            </w:r>
            <w:r w:rsidR="1C69D6CD" w:rsidRPr="329D81C7">
              <w:rPr>
                <w:rFonts w:ascii="Arial" w:eastAsia="Arial" w:hAnsi="Arial" w:cs="Arial"/>
                <w:sz w:val="24"/>
                <w:szCs w:val="24"/>
              </w:rPr>
              <w:t>e.g.</w:t>
            </w:r>
            <w:r w:rsidR="471AB9A3" w:rsidRPr="329D81C7">
              <w:rPr>
                <w:rFonts w:ascii="Arial" w:eastAsia="Arial" w:hAnsi="Arial" w:cs="Arial"/>
                <w:sz w:val="24"/>
                <w:szCs w:val="24"/>
              </w:rPr>
              <w:t xml:space="preserve">, skills development, </w:t>
            </w:r>
            <w:r w:rsidR="32B626E2" w:rsidRPr="329D81C7">
              <w:rPr>
                <w:rFonts w:ascii="Arial" w:eastAsia="Arial" w:hAnsi="Arial" w:cs="Arial"/>
                <w:sz w:val="24"/>
                <w:szCs w:val="24"/>
              </w:rPr>
              <w:t>academic</w:t>
            </w:r>
            <w:r w:rsidR="471AB9A3" w:rsidRPr="329D81C7">
              <w:rPr>
                <w:rFonts w:ascii="Arial" w:eastAsia="Arial" w:hAnsi="Arial" w:cs="Arial"/>
                <w:sz w:val="24"/>
                <w:szCs w:val="24"/>
              </w:rPr>
              <w:t xml:space="preserve"> achievements</w:t>
            </w:r>
            <w:r w:rsidR="4F12E3F6" w:rsidRPr="329D81C7">
              <w:rPr>
                <w:rFonts w:ascii="Arial" w:eastAsia="Arial" w:hAnsi="Arial" w:cs="Arial"/>
                <w:sz w:val="24"/>
                <w:szCs w:val="24"/>
              </w:rPr>
              <w:t>, CPD and training</w:t>
            </w:r>
            <w:r w:rsidR="4B3454EC" w:rsidRPr="329D81C7">
              <w:rPr>
                <w:rFonts w:ascii="Arial" w:eastAsia="Arial" w:hAnsi="Arial" w:cs="Arial"/>
                <w:sz w:val="24"/>
                <w:szCs w:val="24"/>
              </w:rPr>
              <w:t xml:space="preserve">). </w:t>
            </w:r>
          </w:p>
          <w:p w14:paraId="2A5CCC9C" w14:textId="2C120F3B" w:rsidR="7336895D" w:rsidRDefault="7336895D" w:rsidP="7336895D"/>
          <w:p w14:paraId="7F53D65E" w14:textId="1227F875" w:rsidR="674414E8" w:rsidRDefault="674414E8" w:rsidP="03DEED5D">
            <w:pPr>
              <w:rPr>
                <w:rFonts w:ascii="Arial" w:eastAsia="Arial" w:hAnsi="Arial" w:cs="Arial"/>
              </w:rPr>
            </w:pPr>
            <w:r w:rsidRPr="03DEED5D">
              <w:rPr>
                <w:rFonts w:ascii="Arial" w:eastAsia="Arial" w:hAnsi="Arial" w:cs="Arial"/>
              </w:rPr>
              <w:t xml:space="preserve">Analyse the importance of </w:t>
            </w:r>
            <w:r w:rsidR="2BCB5E5C" w:rsidRPr="03DEED5D">
              <w:rPr>
                <w:rFonts w:ascii="Arial" w:eastAsia="Arial" w:hAnsi="Arial" w:cs="Arial"/>
              </w:rPr>
              <w:t>continuous</w:t>
            </w:r>
            <w:r w:rsidRPr="03DEED5D">
              <w:rPr>
                <w:rFonts w:ascii="Arial" w:eastAsia="Arial" w:hAnsi="Arial" w:cs="Arial"/>
              </w:rPr>
              <w:t xml:space="preserve"> personal and </w:t>
            </w:r>
            <w:r w:rsidR="1FD655A8" w:rsidRPr="03DEED5D">
              <w:rPr>
                <w:rFonts w:ascii="Arial" w:eastAsia="Arial" w:hAnsi="Arial" w:cs="Arial"/>
              </w:rPr>
              <w:t>professional</w:t>
            </w:r>
            <w:r w:rsidRPr="03DEED5D">
              <w:rPr>
                <w:rFonts w:ascii="Arial" w:eastAsia="Arial" w:hAnsi="Arial" w:cs="Arial"/>
              </w:rPr>
              <w:t xml:space="preserve"> development in achieving organisation objectives and the use of reflective practice </w:t>
            </w:r>
            <w:r w:rsidR="40B4233F" w:rsidRPr="03DEED5D">
              <w:rPr>
                <w:rFonts w:ascii="Arial" w:eastAsia="Arial" w:hAnsi="Arial" w:cs="Arial"/>
              </w:rPr>
              <w:t xml:space="preserve">in personal and professional development. </w:t>
            </w:r>
          </w:p>
          <w:p w14:paraId="00A3DFC1" w14:textId="5773177B" w:rsidR="7336895D" w:rsidRDefault="7336895D" w:rsidP="03DEED5D">
            <w:pPr>
              <w:rPr>
                <w:rFonts w:ascii="Arial" w:eastAsia="Arial" w:hAnsi="Arial" w:cs="Arial"/>
              </w:rPr>
            </w:pPr>
          </w:p>
          <w:p w14:paraId="675F1B33" w14:textId="21D8656A" w:rsidR="7336895D" w:rsidRDefault="7336895D" w:rsidP="7336895D"/>
          <w:p w14:paraId="0075D3CB" w14:textId="2289A554" w:rsidR="7336895D" w:rsidRDefault="7336895D" w:rsidP="7336895D"/>
          <w:p w14:paraId="5735293D" w14:textId="15DCC97E" w:rsidR="7336895D" w:rsidRDefault="208FB1DC" w:rsidP="03DEED5D">
            <w:pPr>
              <w:rPr>
                <w:rFonts w:ascii="Calibri" w:eastAsia="Calibri" w:hAnsi="Calibri" w:cs="Calibri"/>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2F7715EC" w14:textId="12BAD0D3" w:rsidR="7336895D" w:rsidRDefault="7336895D" w:rsidP="7336895D"/>
        </w:tc>
      </w:tr>
    </w:tbl>
    <w:p w14:paraId="6369FF69" w14:textId="20023D75" w:rsidR="7336895D" w:rsidRDefault="7336895D" w:rsidP="7336895D">
      <w:pPr>
        <w:ind w:left="3600" w:right="107" w:firstLine="720"/>
        <w:rPr>
          <w:rFonts w:ascii="Arial" w:eastAsia="Arial" w:hAnsi="Arial" w:cs="Arial"/>
          <w:b/>
          <w:bCs/>
          <w:color w:val="000000" w:themeColor="text1"/>
          <w:sz w:val="24"/>
          <w:szCs w:val="24"/>
        </w:rPr>
      </w:pPr>
    </w:p>
    <w:p w14:paraId="08465979" w14:textId="25FF6304" w:rsidR="7336895D" w:rsidRDefault="2195CCF4" w:rsidP="00020890">
      <w:pPr>
        <w:spacing w:line="360" w:lineRule="auto"/>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79A581D6" w14:textId="77777777" w:rsidR="000C2BE6" w:rsidRDefault="000C2BE6" w:rsidP="00020890">
      <w:pPr>
        <w:spacing w:line="360" w:lineRule="auto"/>
        <w:jc w:val="both"/>
        <w:rPr>
          <w:rFonts w:ascii="Arial" w:eastAsia="Arial" w:hAnsi="Arial" w:cs="Arial"/>
          <w:b/>
          <w:sz w:val="24"/>
          <w:szCs w:val="24"/>
        </w:rPr>
      </w:pPr>
      <w:r w:rsidRPr="00DE3365">
        <w:rPr>
          <w:rFonts w:ascii="Arial" w:eastAsia="Arial" w:hAnsi="Arial" w:cs="Arial"/>
          <w:b/>
          <w:sz w:val="24"/>
          <w:szCs w:val="24"/>
        </w:rPr>
        <w:t xml:space="preserve">Focussing upon the last 12 months of your career, critically evaluate your own performance using principles of reflection (e.g., skills development, academic achievements, CPD and training). </w:t>
      </w:r>
    </w:p>
    <w:p w14:paraId="5D72F084"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There are several models which can be used to assist with reflective practice, ranging from the simple ERA cycle and </w:t>
      </w:r>
      <w:proofErr w:type="spellStart"/>
      <w:r>
        <w:rPr>
          <w:rFonts w:ascii="Arial" w:eastAsia="Arial" w:hAnsi="Arial" w:cs="Arial"/>
          <w:sz w:val="24"/>
          <w:szCs w:val="24"/>
        </w:rPr>
        <w:t>Borton’s</w:t>
      </w:r>
      <w:proofErr w:type="spellEnd"/>
      <w:r>
        <w:rPr>
          <w:rFonts w:ascii="Arial" w:eastAsia="Arial" w:hAnsi="Arial" w:cs="Arial"/>
          <w:sz w:val="24"/>
          <w:szCs w:val="24"/>
        </w:rPr>
        <w:t xml:space="preserve"> ‘What’ model to the more detailed and involved such as </w:t>
      </w:r>
      <w:r w:rsidRPr="00FE5658">
        <w:rPr>
          <w:rFonts w:ascii="Arial" w:eastAsia="Arial" w:hAnsi="Arial" w:cs="Arial"/>
          <w:sz w:val="24"/>
          <w:szCs w:val="24"/>
        </w:rPr>
        <w:t xml:space="preserve">Kolb's Experiential Learning Cycle </w:t>
      </w:r>
      <w:r>
        <w:rPr>
          <w:rFonts w:ascii="Arial" w:eastAsia="Arial" w:hAnsi="Arial" w:cs="Arial"/>
          <w:sz w:val="24"/>
          <w:szCs w:val="24"/>
        </w:rPr>
        <w:t>(University of Cambridge, 2022). The College of Policing recommends using the Gibbs’ reflective cycle, which can help the reflector “</w:t>
      </w:r>
      <w:r w:rsidRPr="00406A95">
        <w:rPr>
          <w:rFonts w:ascii="Arial" w:eastAsia="Arial" w:hAnsi="Arial" w:cs="Arial"/>
          <w:sz w:val="24"/>
          <w:szCs w:val="24"/>
        </w:rPr>
        <w:t>explore and learn from situations that occur, particularly if the</w:t>
      </w:r>
      <w:r>
        <w:rPr>
          <w:rFonts w:ascii="Arial" w:eastAsia="Arial" w:hAnsi="Arial" w:cs="Arial"/>
          <w:sz w:val="24"/>
          <w:szCs w:val="24"/>
        </w:rPr>
        <w:t xml:space="preserve"> </w:t>
      </w:r>
      <w:r w:rsidRPr="00406A95">
        <w:rPr>
          <w:rFonts w:ascii="Arial" w:eastAsia="Arial" w:hAnsi="Arial" w:cs="Arial"/>
          <w:sz w:val="24"/>
          <w:szCs w:val="24"/>
        </w:rPr>
        <w:t>outcome was</w:t>
      </w:r>
      <w:r>
        <w:rPr>
          <w:rFonts w:ascii="Arial" w:eastAsia="Arial" w:hAnsi="Arial" w:cs="Arial"/>
          <w:sz w:val="24"/>
          <w:szCs w:val="24"/>
        </w:rPr>
        <w:t xml:space="preserve"> u</w:t>
      </w:r>
      <w:r w:rsidRPr="00406A95">
        <w:rPr>
          <w:rFonts w:ascii="Arial" w:eastAsia="Arial" w:hAnsi="Arial" w:cs="Arial"/>
          <w:sz w:val="24"/>
          <w:szCs w:val="24"/>
        </w:rPr>
        <w:t>nexpected or it was a negative experience</w:t>
      </w:r>
      <w:r>
        <w:rPr>
          <w:rFonts w:ascii="Arial" w:eastAsia="Arial" w:hAnsi="Arial" w:cs="Arial"/>
          <w:sz w:val="24"/>
          <w:szCs w:val="24"/>
        </w:rPr>
        <w:t xml:space="preserve">” (College of Policing 2022a). Whatever the model the theory remains similar, to be able to look back at a situation, analyse what happened and think about why certain things happened the way they did and how we can use this in the future. </w:t>
      </w:r>
    </w:p>
    <w:p w14:paraId="1D81E8DF"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Using the ‘What’ model of reflective practice (</w:t>
      </w:r>
      <w:proofErr w:type="spellStart"/>
      <w:r>
        <w:rPr>
          <w:rFonts w:ascii="Arial" w:eastAsia="Arial" w:hAnsi="Arial" w:cs="Arial"/>
          <w:sz w:val="24"/>
          <w:szCs w:val="24"/>
        </w:rPr>
        <w:t>Borton</w:t>
      </w:r>
      <w:proofErr w:type="spellEnd"/>
      <w:r>
        <w:rPr>
          <w:rFonts w:ascii="Arial" w:eastAsia="Arial" w:hAnsi="Arial" w:cs="Arial"/>
          <w:sz w:val="24"/>
          <w:szCs w:val="24"/>
        </w:rPr>
        <w:t xml:space="preserve">, 1970) on a situation in my own career in the last 12 months, I can see the benefits and how I can easily identify areas to improve on in my own personal development. </w:t>
      </w:r>
    </w:p>
    <w:p w14:paraId="1BCF8297"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What?</w:t>
      </w:r>
    </w:p>
    <w:p w14:paraId="02D18A97"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Within the last year I have changed roles from a Detective Constable in the main criminal investigation department office into a specialist detective role within the Digital Investigation Unit as a Digital Media Investigator. I applied for this job as I had an </w:t>
      </w:r>
      <w:r>
        <w:rPr>
          <w:rFonts w:ascii="Arial" w:eastAsia="Arial" w:hAnsi="Arial" w:cs="Arial"/>
          <w:sz w:val="24"/>
          <w:szCs w:val="24"/>
        </w:rPr>
        <w:lastRenderedPageBreak/>
        <w:t xml:space="preserve">interest in technology and thought that the role would be a good fit with my current skill set. I was aware of the role of a DMI before applying and had collaborated with staff in the digital investigation unit, at the time however I did not appreciate that it would be such a large change from the day-to-day work which I had become accustomed to. </w:t>
      </w:r>
    </w:p>
    <w:p w14:paraId="3BBE6B05"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So What?</w:t>
      </w:r>
    </w:p>
    <w:p w14:paraId="131C6016"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went through the application process and spent a considerable amount of time planning and conducting research for the application process. I scored highly in the interview and was offered the job which I was pleased with. I was happy that the effort and research I had conducted paid off. Over six months after I was successful, I started in my new role. I was excited to begin and keen to develop new skills in the digital arena. I was sent on several courses in quick succession to become an accredited Digital Media Investigator. Immediately after transferring into the department however, I realised that the role was not what I had expected and started to regret my decision to leave CID. At the time I felt deflated, and it was apparent that my lack of practical experience in the role was having an impact on the quality of my work and my self-confidence. </w:t>
      </w:r>
    </w:p>
    <w:p w14:paraId="429ED820"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According to Bandura (1997), “the most important source of self-efficacy (self-confidence) is past performance and those who have succeeded on job related tasks are more likely to have more confidence to complete similar tasks in the future”. </w:t>
      </w:r>
    </w:p>
    <w:p w14:paraId="62D61CF0"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now think that this was one factor for these thoughts, as they could be explained by the substantial change in my level of knowledge about everyday application of legislation and policy. Within my old role I was confident and felt competent in managing any investigation or incident which I had to deal with. There were set procedures and policies to follow depending on the situation, with which I was experienced. I had transferred into a relatively new department which was set up in 2014 (Dyfed-Powys Police, 2022a) where the role was very fluid, and the work which was undertaken was often on an ad-hoc basis. </w:t>
      </w:r>
    </w:p>
    <w:p w14:paraId="4B2110CF"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The world of digital policing is constantly changing at a fast pace, and with it, the current </w:t>
      </w:r>
      <w:proofErr w:type="gramStart"/>
      <w:r>
        <w:rPr>
          <w:rFonts w:ascii="Arial" w:eastAsia="Arial" w:hAnsi="Arial" w:cs="Arial"/>
          <w:sz w:val="24"/>
          <w:szCs w:val="24"/>
        </w:rPr>
        <w:t>policies</w:t>
      </w:r>
      <w:proofErr w:type="gramEnd"/>
      <w:r>
        <w:rPr>
          <w:rFonts w:ascii="Arial" w:eastAsia="Arial" w:hAnsi="Arial" w:cs="Arial"/>
          <w:sz w:val="24"/>
          <w:szCs w:val="24"/>
        </w:rPr>
        <w:t xml:space="preserve"> and procedures the department had to adhere to. One recent example being the removal of the College of Policing approved professional practice with the introduction of new legislation surrounding the extraction of digital material from victim and witness devices (</w:t>
      </w:r>
      <w:r w:rsidRPr="00521D9B">
        <w:rPr>
          <w:rFonts w:ascii="Arial" w:eastAsia="Arial" w:hAnsi="Arial" w:cs="Arial"/>
          <w:i/>
          <w:iCs/>
          <w:sz w:val="24"/>
          <w:szCs w:val="24"/>
        </w:rPr>
        <w:t>Police, Crime, Sentencing and Courts Act 2022</w:t>
      </w:r>
      <w:r>
        <w:rPr>
          <w:rFonts w:ascii="Arial" w:eastAsia="Arial" w:hAnsi="Arial" w:cs="Arial"/>
          <w:sz w:val="24"/>
          <w:szCs w:val="24"/>
        </w:rPr>
        <w:t xml:space="preserve">). I found this </w:t>
      </w:r>
      <w:r>
        <w:rPr>
          <w:rFonts w:ascii="Arial" w:eastAsia="Arial" w:hAnsi="Arial" w:cs="Arial"/>
          <w:sz w:val="24"/>
          <w:szCs w:val="24"/>
        </w:rPr>
        <w:lastRenderedPageBreak/>
        <w:t xml:space="preserve">constant change, and the lack of clear structure in the department unusual and frustrating. </w:t>
      </w:r>
    </w:p>
    <w:p w14:paraId="4E8EA512"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My feelings were corroborated by a recent review conducted by </w:t>
      </w:r>
      <w:r w:rsidRPr="00C079ED">
        <w:rPr>
          <w:rFonts w:ascii="Arial" w:eastAsia="Arial" w:hAnsi="Arial" w:cs="Arial"/>
          <w:sz w:val="24"/>
          <w:szCs w:val="24"/>
        </w:rPr>
        <w:t xml:space="preserve">His Majesty’s Inspectorate of Constabulary and Fire &amp; Rescue Services </w:t>
      </w:r>
      <w:r>
        <w:rPr>
          <w:rFonts w:ascii="Arial" w:eastAsia="Arial" w:hAnsi="Arial" w:cs="Arial"/>
          <w:sz w:val="24"/>
          <w:szCs w:val="24"/>
        </w:rPr>
        <w:t>(2022) which identified that improvements need to be made with the development, training, and implementation of Digital Media Investigators. One example they use is that there is an “</w:t>
      </w:r>
      <w:r w:rsidRPr="00A22A0C">
        <w:rPr>
          <w:rFonts w:ascii="Arial" w:eastAsia="Arial" w:hAnsi="Arial" w:cs="Arial"/>
          <w:sz w:val="24"/>
          <w:szCs w:val="24"/>
        </w:rPr>
        <w:t>inconsistent approach in accessing cloud information</w:t>
      </w:r>
      <w:r>
        <w:rPr>
          <w:rFonts w:ascii="Arial" w:eastAsia="Arial" w:hAnsi="Arial" w:cs="Arial"/>
          <w:sz w:val="24"/>
          <w:szCs w:val="24"/>
        </w:rPr>
        <w:t xml:space="preserve"> which</w:t>
      </w:r>
      <w:r w:rsidRPr="00A22A0C">
        <w:rPr>
          <w:rFonts w:ascii="Arial" w:eastAsia="Arial" w:hAnsi="Arial" w:cs="Arial"/>
          <w:sz w:val="24"/>
          <w:szCs w:val="24"/>
        </w:rPr>
        <w:t xml:space="preserve"> poses a real risk of investigators missing digital opportunities to solve more crime</w:t>
      </w:r>
      <w:r>
        <w:rPr>
          <w:rFonts w:ascii="Arial" w:eastAsia="Arial" w:hAnsi="Arial" w:cs="Arial"/>
          <w:sz w:val="24"/>
          <w:szCs w:val="24"/>
        </w:rPr>
        <w:t>”</w:t>
      </w:r>
      <w:r w:rsidRPr="00A22A0C">
        <w:rPr>
          <w:rFonts w:ascii="Arial" w:eastAsia="Arial" w:hAnsi="Arial" w:cs="Arial"/>
          <w:sz w:val="24"/>
          <w:szCs w:val="24"/>
        </w:rPr>
        <w:t xml:space="preserve">. </w:t>
      </w:r>
    </w:p>
    <w:p w14:paraId="515F9581"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Having worked as a Police Officer for almost ten years, I had thought of myself as being able to adapt to change well, however I had not appreciated the severity of change moving into a specialist department. I found that I had not conduct enough research on the role, and I should have spoken to officers in the department to better prepare myself for what was expected of me. </w:t>
      </w:r>
    </w:p>
    <w:p w14:paraId="5AF75A44"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Now What? </w:t>
      </w:r>
    </w:p>
    <w:p w14:paraId="5E4ECBD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realised that it was foolish of me to expect to be able to start a new department and to expect to be fully competent within the role. I had assumed that as I was experienced in one area of policing, this would naturally follow into another, different area of policing with minimal effort on my part. </w:t>
      </w:r>
    </w:p>
    <w:p w14:paraId="0FEE57CA"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identified that there were gaps in my knowledge and skills within the digital investigative arena, in terms of policy and legislation but also in the practical application. </w:t>
      </w:r>
    </w:p>
    <w:p w14:paraId="45AA96B5"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In my previous role in CID, I had a detailed awareness of a wide range of legislative and policing topics. This is key to continuous professional development as a PIP level two investigator as there is the need to “maintain</w:t>
      </w:r>
      <w:r w:rsidRPr="00500A7C">
        <w:rPr>
          <w:rFonts w:ascii="Arial" w:eastAsia="Arial" w:hAnsi="Arial" w:cs="Arial"/>
          <w:sz w:val="24"/>
          <w:szCs w:val="24"/>
        </w:rPr>
        <w:t xml:space="preserve"> and update key knowledge, understanding and skills relating to criminology, legislation, policy and practice across all functional policing areas of operational policing</w:t>
      </w:r>
      <w:r>
        <w:rPr>
          <w:rFonts w:ascii="Arial" w:eastAsia="Arial" w:hAnsi="Arial" w:cs="Arial"/>
          <w:sz w:val="24"/>
          <w:szCs w:val="24"/>
        </w:rPr>
        <w:t>” (College of Policing, 2022b).</w:t>
      </w:r>
    </w:p>
    <w:p w14:paraId="3C646BAE"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This is in contrast with the specialist role of a Digital Media Investigator, which the College of Policing (2022c) notes that they are expected to maintain an elevated level of knowledge of key specialist areas of policing. </w:t>
      </w:r>
    </w:p>
    <w:p w14:paraId="7383C87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lastRenderedPageBreak/>
        <w:t>This realisation allowed me to focus on improving my skills and knowledge in these specific areas. Vaughan (2008) states that “o</w:t>
      </w:r>
      <w:r w:rsidRPr="000F37AD">
        <w:rPr>
          <w:rFonts w:ascii="Arial" w:eastAsia="Arial" w:hAnsi="Arial" w:cs="Arial"/>
          <w:sz w:val="24"/>
          <w:szCs w:val="24"/>
        </w:rPr>
        <w:t xml:space="preserve">nce </w:t>
      </w:r>
      <w:r>
        <w:rPr>
          <w:rFonts w:ascii="Arial" w:eastAsia="Arial" w:hAnsi="Arial" w:cs="Arial"/>
          <w:sz w:val="24"/>
          <w:szCs w:val="24"/>
        </w:rPr>
        <w:t xml:space="preserve">a </w:t>
      </w:r>
      <w:r w:rsidRPr="000F37AD">
        <w:rPr>
          <w:rFonts w:ascii="Arial" w:eastAsia="Arial" w:hAnsi="Arial" w:cs="Arial"/>
          <w:sz w:val="24"/>
          <w:szCs w:val="24"/>
        </w:rPr>
        <w:t>student think of themselves as learner, they will track their own development and</w:t>
      </w:r>
      <w:r>
        <w:rPr>
          <w:rFonts w:ascii="Arial" w:eastAsia="Arial" w:hAnsi="Arial" w:cs="Arial"/>
          <w:sz w:val="24"/>
          <w:szCs w:val="24"/>
        </w:rPr>
        <w:t xml:space="preserve"> </w:t>
      </w:r>
      <w:r w:rsidRPr="000F37AD">
        <w:rPr>
          <w:rFonts w:ascii="Arial" w:eastAsia="Arial" w:hAnsi="Arial" w:cs="Arial"/>
          <w:sz w:val="24"/>
          <w:szCs w:val="24"/>
        </w:rPr>
        <w:t>create their own learning targets</w:t>
      </w:r>
      <w:r>
        <w:rPr>
          <w:rFonts w:ascii="Arial" w:eastAsia="Arial" w:hAnsi="Arial" w:cs="Arial"/>
          <w:sz w:val="24"/>
          <w:szCs w:val="24"/>
        </w:rPr>
        <w:t>.” This resonated with me and realising that I had to proactively go about researching and learning allowed me to establish realistic and achievable learning goals.</w:t>
      </w:r>
    </w:p>
    <w:p w14:paraId="21ADE69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I spent time researching several topics which were key within the department, such as Section 49 of RIPA and IPA legislation (</w:t>
      </w:r>
      <w:r w:rsidRPr="005029F6">
        <w:rPr>
          <w:rFonts w:ascii="Arial" w:eastAsia="Arial" w:hAnsi="Arial" w:cs="Arial"/>
          <w:i/>
          <w:iCs/>
          <w:sz w:val="24"/>
          <w:szCs w:val="24"/>
        </w:rPr>
        <w:t>Regulation of Investigatory Powers Act 2000</w:t>
      </w:r>
      <w:r>
        <w:rPr>
          <w:rFonts w:ascii="Arial" w:eastAsia="Arial" w:hAnsi="Arial" w:cs="Arial"/>
          <w:sz w:val="24"/>
          <w:szCs w:val="24"/>
        </w:rPr>
        <w:t xml:space="preserve">, </w:t>
      </w:r>
      <w:r w:rsidRPr="005029F6">
        <w:rPr>
          <w:rFonts w:ascii="Arial" w:eastAsia="Arial" w:hAnsi="Arial" w:cs="Arial"/>
          <w:i/>
          <w:iCs/>
          <w:sz w:val="24"/>
          <w:szCs w:val="24"/>
        </w:rPr>
        <w:t>Investigatory Powers Act 2016</w:t>
      </w:r>
      <w:r>
        <w:rPr>
          <w:rFonts w:ascii="Arial" w:eastAsia="Arial" w:hAnsi="Arial" w:cs="Arial"/>
          <w:sz w:val="24"/>
          <w:szCs w:val="24"/>
        </w:rPr>
        <w:t xml:space="preserve">) I realised that along with legislation, working in the digital arena meant keeping up to date with the always changing guidance published by various authorities on several topics. </w:t>
      </w:r>
    </w:p>
    <w:p w14:paraId="2774817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also had to understand that I was not experienced in the practical day to day work of a DMI. There was a particular instance where a key piece of digital material was not recovered and examined from a crime scene due to the result of a decision I had incorrectly made. I managed to rectify this the following day; however, the process could have been more efficient and there were obviously cost and time implications due to the error. </w:t>
      </w:r>
    </w:p>
    <w:p w14:paraId="3B9815DD"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Kolb states the following on learning and experience: </w:t>
      </w:r>
    </w:p>
    <w:p w14:paraId="548B9261" w14:textId="77777777" w:rsidR="000C2BE6" w:rsidRDefault="000C2BE6" w:rsidP="00020890">
      <w:pPr>
        <w:spacing w:line="360" w:lineRule="auto"/>
        <w:ind w:left="720"/>
        <w:jc w:val="both"/>
        <w:rPr>
          <w:rFonts w:ascii="Arial" w:eastAsia="Arial" w:hAnsi="Arial" w:cs="Arial"/>
          <w:sz w:val="24"/>
          <w:szCs w:val="24"/>
        </w:rPr>
      </w:pPr>
      <w:r w:rsidRPr="00F6780C">
        <w:rPr>
          <w:rFonts w:ascii="Arial" w:eastAsia="Arial" w:hAnsi="Arial" w:cs="Arial"/>
          <w:sz w:val="24"/>
          <w:szCs w:val="24"/>
        </w:rPr>
        <w:t>Learning is defined as “the process whereby knowledge is created through the transformation of experience”. Knowledge results from the combination of grasping and transforming experience. Grasping experience refers to the process of taking in information, and transforming experience is how individuals interpret and act on that information.</w:t>
      </w:r>
    </w:p>
    <w:p w14:paraId="097B7DF1" w14:textId="77777777" w:rsidR="000C2BE6" w:rsidRDefault="000C2BE6" w:rsidP="00020890">
      <w:pPr>
        <w:spacing w:line="360" w:lineRule="auto"/>
        <w:ind w:left="72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(Kolb, 2015, p.48)</w:t>
      </w:r>
    </w:p>
    <w:p w14:paraId="619B2CD6"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was able to reflect on this mistake and realised that whilst it was an error on my part, I had never been in that situation before and did not realise what was expected of me, or my responsibilities. I made sure to make a mental note of this, and a few weeks later I was faced with an almost identical situation. I used my previous experience to influence my decision making, ensuring that the same mistakes were not made. </w:t>
      </w:r>
    </w:p>
    <w:p w14:paraId="191406F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was conducting a lot of research myself and had to maintain a form of record of any useful information, </w:t>
      </w:r>
      <w:proofErr w:type="gramStart"/>
      <w:r>
        <w:rPr>
          <w:rFonts w:ascii="Arial" w:eastAsia="Arial" w:hAnsi="Arial" w:cs="Arial"/>
          <w:sz w:val="24"/>
          <w:szCs w:val="24"/>
        </w:rPr>
        <w:t>websites</w:t>
      </w:r>
      <w:proofErr w:type="gramEnd"/>
      <w:r>
        <w:rPr>
          <w:rFonts w:ascii="Arial" w:eastAsia="Arial" w:hAnsi="Arial" w:cs="Arial"/>
          <w:sz w:val="24"/>
          <w:szCs w:val="24"/>
        </w:rPr>
        <w:t xml:space="preserve"> or guides that I would need to refer to if required, so using the application OneNote, I was able to structure all my notes and useful information in </w:t>
      </w:r>
      <w:r>
        <w:rPr>
          <w:rFonts w:ascii="Arial" w:eastAsia="Arial" w:hAnsi="Arial" w:cs="Arial"/>
          <w:sz w:val="24"/>
          <w:szCs w:val="24"/>
        </w:rPr>
        <w:lastRenderedPageBreak/>
        <w:t>one location. This has become invaluable and has expanded to include general day to day work notes, useful guidance, and my own research. This knowledge is import to me as a DMI as it has improved the way that I work in that it allows me to quickly provide advice to other officers looking for assistance.</w:t>
      </w:r>
    </w:p>
    <w:p w14:paraId="305C7A9D"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This process has not only improved understanding of specific areas of legislation which are key to the digital arena but has had a positive impact on my personal thoughts and feelings on the role. I found myself becoming more confident and happier day to day in work. </w:t>
      </w:r>
    </w:p>
    <w:p w14:paraId="66D8B20C"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(1466)</w:t>
      </w:r>
    </w:p>
    <w:p w14:paraId="22336E79" w14:textId="77777777" w:rsidR="000C2BE6" w:rsidRDefault="000C2BE6" w:rsidP="00020890">
      <w:pPr>
        <w:spacing w:line="360" w:lineRule="auto"/>
        <w:jc w:val="both"/>
        <w:rPr>
          <w:rFonts w:ascii="Arial" w:eastAsia="Arial" w:hAnsi="Arial" w:cs="Arial"/>
          <w:sz w:val="24"/>
          <w:szCs w:val="24"/>
        </w:rPr>
      </w:pPr>
    </w:p>
    <w:p w14:paraId="2A21D1F4" w14:textId="77777777" w:rsidR="000C2BE6" w:rsidRPr="00DE3365" w:rsidRDefault="000C2BE6" w:rsidP="00020890">
      <w:pPr>
        <w:spacing w:line="360" w:lineRule="auto"/>
        <w:jc w:val="both"/>
        <w:rPr>
          <w:rFonts w:ascii="Arial" w:eastAsia="Arial" w:hAnsi="Arial" w:cs="Arial"/>
          <w:b/>
          <w:bCs/>
          <w:sz w:val="24"/>
          <w:szCs w:val="24"/>
        </w:rPr>
      </w:pPr>
      <w:r w:rsidRPr="00F74550">
        <w:rPr>
          <w:rFonts w:ascii="Arial" w:eastAsia="Arial" w:hAnsi="Arial" w:cs="Arial"/>
          <w:b/>
          <w:bCs/>
          <w:sz w:val="24"/>
          <w:szCs w:val="24"/>
        </w:rPr>
        <w:t>Analyse the importance of continuous personal and professional development in achieving organisation objectives and the use of reflective practice in personal and professional development.</w:t>
      </w:r>
    </w:p>
    <w:p w14:paraId="6E8047BE"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The strategic direction and priorities of Dyfed Powys Police are set out within the Police and Crime Plan 2021 – 2025 created by the Office of the Police and Crime Commissioner (2021). The overarching theme is safeguarding the communities of HDDP which it is hoped, will lead to increased victim satisfaction, public </w:t>
      </w:r>
      <w:proofErr w:type="gramStart"/>
      <w:r>
        <w:rPr>
          <w:rFonts w:ascii="Arial" w:eastAsia="Arial" w:hAnsi="Arial" w:cs="Arial"/>
          <w:sz w:val="24"/>
          <w:szCs w:val="24"/>
        </w:rPr>
        <w:t>confidence</w:t>
      </w:r>
      <w:proofErr w:type="gramEnd"/>
      <w:r>
        <w:rPr>
          <w:rFonts w:ascii="Arial" w:eastAsia="Arial" w:hAnsi="Arial" w:cs="Arial"/>
          <w:sz w:val="24"/>
          <w:szCs w:val="24"/>
        </w:rPr>
        <w:t xml:space="preserve"> and a more effective justice system.  </w:t>
      </w:r>
    </w:p>
    <w:p w14:paraId="4A4D3683" w14:textId="0720153B"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Reflective practice is promoted by The College of Policing as part of continuing professional development and PDR process. The benefits it for the individual, are “</w:t>
      </w:r>
      <w:r w:rsidRPr="005410FF">
        <w:rPr>
          <w:rFonts w:ascii="Arial" w:eastAsia="Arial" w:hAnsi="Arial" w:cs="Arial"/>
          <w:sz w:val="24"/>
          <w:szCs w:val="24"/>
        </w:rPr>
        <w:t>increas</w:t>
      </w:r>
      <w:r>
        <w:rPr>
          <w:rFonts w:ascii="Arial" w:eastAsia="Arial" w:hAnsi="Arial" w:cs="Arial"/>
          <w:sz w:val="24"/>
          <w:szCs w:val="24"/>
        </w:rPr>
        <w:t>ing</w:t>
      </w:r>
      <w:r w:rsidRPr="005410FF">
        <w:rPr>
          <w:rFonts w:ascii="Arial" w:eastAsia="Arial" w:hAnsi="Arial" w:cs="Arial"/>
          <w:sz w:val="24"/>
          <w:szCs w:val="24"/>
        </w:rPr>
        <w:t xml:space="preserve"> self-awareness and</w:t>
      </w:r>
      <w:r>
        <w:rPr>
          <w:rFonts w:ascii="Arial" w:eastAsia="Arial" w:hAnsi="Arial" w:cs="Arial"/>
          <w:sz w:val="24"/>
          <w:szCs w:val="24"/>
        </w:rPr>
        <w:t xml:space="preserve"> </w:t>
      </w:r>
      <w:r w:rsidRPr="005410FF">
        <w:rPr>
          <w:rFonts w:ascii="Arial" w:eastAsia="Arial" w:hAnsi="Arial" w:cs="Arial"/>
          <w:sz w:val="24"/>
          <w:szCs w:val="24"/>
        </w:rPr>
        <w:t>emotional intelligence as well improving decision-making abilities</w:t>
      </w:r>
      <w:r>
        <w:rPr>
          <w:rFonts w:ascii="Arial" w:eastAsia="Arial" w:hAnsi="Arial" w:cs="Arial"/>
          <w:sz w:val="24"/>
          <w:szCs w:val="24"/>
        </w:rPr>
        <w:t>” (College of Policing, 2020). Whereas continuous professional development overall can benefit the police service and the communities it serves by helping to ensure that police provide a high quality of service (College of Policing</w:t>
      </w:r>
      <w:r w:rsidR="008852B2">
        <w:rPr>
          <w:rFonts w:ascii="Arial" w:eastAsia="Arial" w:hAnsi="Arial" w:cs="Arial"/>
          <w:sz w:val="24"/>
          <w:szCs w:val="24"/>
        </w:rPr>
        <w:t xml:space="preserve">, </w:t>
      </w:r>
      <w:r>
        <w:rPr>
          <w:rFonts w:ascii="Arial" w:eastAsia="Arial" w:hAnsi="Arial" w:cs="Arial"/>
          <w:sz w:val="24"/>
          <w:szCs w:val="24"/>
        </w:rPr>
        <w:t xml:space="preserve">2020). </w:t>
      </w:r>
    </w:p>
    <w:p w14:paraId="0F312E69" w14:textId="601B18A0"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Copley (2011, p. 79) explains that reflective skills are essential for police officers as they allow for the application of theoretical knowledge to real-world situations, allowing the officer to think independently rather than being trained to react to situations. This is vital in policing where there is constant change, whether that be new policy and procedures or legislation. Having looked at this in the context of my current role I can see that this practice is essential for continuous development of my policing skills. For </w:t>
      </w:r>
      <w:r>
        <w:rPr>
          <w:rFonts w:ascii="Arial" w:eastAsia="Arial" w:hAnsi="Arial" w:cs="Arial"/>
          <w:sz w:val="24"/>
          <w:szCs w:val="24"/>
        </w:rPr>
        <w:lastRenderedPageBreak/>
        <w:t xml:space="preserve">example, a newly introduced policy disseminated by the National Police Chiefs Council providing guidance around the acquisition of cloud based digital material. I personally find it difficult to simply read policy and expect to be able to apply this to my investigations and to understand the implications of each decision made during the process. It is beneficial for me to review each time this </w:t>
      </w:r>
      <w:r w:rsidR="00F50090">
        <w:rPr>
          <w:rFonts w:ascii="Arial" w:eastAsia="Arial" w:hAnsi="Arial" w:cs="Arial"/>
          <w:sz w:val="24"/>
          <w:szCs w:val="24"/>
        </w:rPr>
        <w:t>policy</w:t>
      </w:r>
      <w:r>
        <w:rPr>
          <w:rFonts w:ascii="Arial" w:eastAsia="Arial" w:hAnsi="Arial" w:cs="Arial"/>
          <w:sz w:val="24"/>
          <w:szCs w:val="24"/>
        </w:rPr>
        <w:t xml:space="preserve"> is applied and establish which parts went well, or which parts could be improved upon next time. </w:t>
      </w:r>
    </w:p>
    <w:p w14:paraId="6CCE3E6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Continuous professional development and relative practice fits in with the Dyfed Powys Police priorities as promoting the development of individual officers, as well as the organisation overall can improve public confidence and victim satisfaction. Despite the adoption of CPD and reflective practice in the police, this alone cannot achieve Dyfed-Powys’ objectives as there are several sources which show that public confidence in the police has been in decline over the last few years (The Police Foundation, 2022; YouGov, 2022)</w:t>
      </w:r>
    </w:p>
    <w:p w14:paraId="3F3D8BA1"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Copley (2011, p. 73) also states that modern day policing is not restricted simply to fighting crime but involves a whole range of activities that are often community rather than crime related. They go on and provide several examples of activities that Police officers can be expected to carry out in addition to their core role as law enforcement. Whilst this is true, there are some who would like the core function of the police to be refined to resolve conflict and maintain order (The Police Foundation, 2022)</w:t>
      </w:r>
    </w:p>
    <w:p w14:paraId="37226399"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In my role as a detective in Dyfed Powys Police, I have had to complete the College of Policing professionalising investigation program (PIP) level 2 accreditation. This required me not only to complete the initial course and national investigators exam, but to display continuous competence in the role to remain accredited. The PIP was introduced to “deliver a professional, ethical and effective investigative capacity for policing in the 21</w:t>
      </w:r>
      <w:r w:rsidRPr="00567757">
        <w:rPr>
          <w:rFonts w:ascii="Arial" w:eastAsia="Arial" w:hAnsi="Arial" w:cs="Arial"/>
          <w:sz w:val="24"/>
          <w:szCs w:val="24"/>
          <w:vertAlign w:val="superscript"/>
        </w:rPr>
        <w:t>st</w:t>
      </w:r>
      <w:r>
        <w:rPr>
          <w:rFonts w:ascii="Arial" w:eastAsia="Arial" w:hAnsi="Arial" w:cs="Arial"/>
          <w:sz w:val="24"/>
          <w:szCs w:val="24"/>
        </w:rPr>
        <w:t xml:space="preserve"> century”, (College of Policing, 2018) ensuring that all detectives nationally are trained to the same standard and can investigate serious and complex investigations. The PIP program itself is regularly updated and developed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ensure it if fit for purpose and remains balanced against the changing landscape of policing and increasing public expectations. </w:t>
      </w:r>
    </w:p>
    <w:p w14:paraId="3D53C2B1"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Furthermore, as DPP have joined Operation </w:t>
      </w:r>
      <w:proofErr w:type="spellStart"/>
      <w:r>
        <w:rPr>
          <w:rFonts w:ascii="Arial" w:eastAsia="Arial" w:hAnsi="Arial" w:cs="Arial"/>
          <w:sz w:val="24"/>
          <w:szCs w:val="24"/>
        </w:rPr>
        <w:t>Soteria</w:t>
      </w:r>
      <w:proofErr w:type="spellEnd"/>
      <w:r>
        <w:rPr>
          <w:rFonts w:ascii="Arial" w:eastAsia="Arial" w:hAnsi="Arial" w:cs="Arial"/>
          <w:sz w:val="24"/>
          <w:szCs w:val="24"/>
        </w:rPr>
        <w:t xml:space="preserve"> Bluestone (Dyfed Powys Police, 2022b) with the aim of improving the police response to rape and sexual investigations, I am aware that as a DMI my role is vital and ensuring that both my </w:t>
      </w:r>
      <w:r>
        <w:rPr>
          <w:rFonts w:ascii="Arial" w:eastAsia="Arial" w:hAnsi="Arial" w:cs="Arial"/>
          <w:sz w:val="24"/>
          <w:szCs w:val="24"/>
        </w:rPr>
        <w:lastRenderedPageBreak/>
        <w:t xml:space="preserve">personal and professional ability play an important part in such investigations.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prosecute offenders of sexual violence, the digital enquiries I conduct need to be correct and in a readable, understandable and professional manner for court proceedings. Without the work being both efficient and of a high standard, the entire case could be discontinued by CPS. Without this, I would not be performing to the standard expected by Dyfed Powys, and I would not be providing the service required of myself to victims of such offences.</w:t>
      </w:r>
    </w:p>
    <w:p w14:paraId="5160DF89" w14:textId="6599B390"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(71</w:t>
      </w:r>
      <w:r w:rsidR="007D7B9A">
        <w:rPr>
          <w:rFonts w:ascii="Arial" w:eastAsia="Arial" w:hAnsi="Arial" w:cs="Arial"/>
          <w:sz w:val="24"/>
          <w:szCs w:val="24"/>
        </w:rPr>
        <w:t>4</w:t>
      </w:r>
      <w:r>
        <w:rPr>
          <w:rFonts w:ascii="Arial" w:eastAsia="Arial" w:hAnsi="Arial" w:cs="Arial"/>
          <w:sz w:val="24"/>
          <w:szCs w:val="24"/>
        </w:rPr>
        <w:t>)</w:t>
      </w:r>
    </w:p>
    <w:p w14:paraId="0C6C5F71" w14:textId="1ED23642" w:rsidR="000C2BE6" w:rsidRDefault="000C2BE6" w:rsidP="00020890">
      <w:pPr>
        <w:tabs>
          <w:tab w:val="left" w:pos="2362"/>
        </w:tabs>
        <w:spacing w:line="360" w:lineRule="auto"/>
        <w:jc w:val="both"/>
        <w:rPr>
          <w:rFonts w:ascii="Arial" w:eastAsia="Arial" w:hAnsi="Arial" w:cs="Arial"/>
          <w:sz w:val="24"/>
          <w:szCs w:val="24"/>
        </w:rPr>
      </w:pPr>
      <w:r>
        <w:rPr>
          <w:rFonts w:ascii="Arial" w:eastAsia="Arial" w:hAnsi="Arial" w:cs="Arial"/>
          <w:sz w:val="24"/>
          <w:szCs w:val="24"/>
        </w:rPr>
        <w:t>(218</w:t>
      </w:r>
      <w:r w:rsidR="007D7B9A">
        <w:rPr>
          <w:rFonts w:ascii="Arial" w:eastAsia="Arial" w:hAnsi="Arial" w:cs="Arial"/>
          <w:sz w:val="24"/>
          <w:szCs w:val="24"/>
        </w:rPr>
        <w:t>0</w:t>
      </w:r>
      <w:r w:rsidR="0036568B">
        <w:rPr>
          <w:rFonts w:ascii="Arial" w:eastAsia="Arial" w:hAnsi="Arial" w:cs="Arial"/>
          <w:sz w:val="24"/>
          <w:szCs w:val="24"/>
        </w:rPr>
        <w:t xml:space="preserve"> total</w:t>
      </w:r>
      <w:r>
        <w:rPr>
          <w:rFonts w:ascii="Arial" w:eastAsia="Arial" w:hAnsi="Arial" w:cs="Arial"/>
          <w:sz w:val="24"/>
          <w:szCs w:val="24"/>
        </w:rPr>
        <w:t>)</w:t>
      </w:r>
      <w:r>
        <w:rPr>
          <w:rFonts w:ascii="Arial" w:eastAsia="Arial" w:hAnsi="Arial" w:cs="Arial"/>
          <w:sz w:val="24"/>
          <w:szCs w:val="24"/>
        </w:rPr>
        <w:tab/>
      </w:r>
    </w:p>
    <w:p w14:paraId="34962F45" w14:textId="77777777" w:rsidR="000C2BE6" w:rsidRDefault="000C2BE6" w:rsidP="00020890">
      <w:pPr>
        <w:spacing w:line="360" w:lineRule="auto"/>
        <w:jc w:val="both"/>
        <w:rPr>
          <w:rFonts w:ascii="Arial" w:eastAsia="Arial" w:hAnsi="Arial" w:cs="Arial"/>
          <w:sz w:val="24"/>
          <w:szCs w:val="24"/>
        </w:rPr>
      </w:pPr>
    </w:p>
    <w:p w14:paraId="00A02CE8" w14:textId="77777777" w:rsidR="000C2BE6" w:rsidRPr="000C2BE6" w:rsidRDefault="000C2BE6" w:rsidP="0039348E">
      <w:pPr>
        <w:spacing w:line="360" w:lineRule="auto"/>
        <w:jc w:val="center"/>
        <w:rPr>
          <w:rFonts w:ascii="Arial" w:eastAsia="Arial" w:hAnsi="Arial" w:cs="Arial"/>
          <w:sz w:val="24"/>
          <w:szCs w:val="24"/>
          <w:u w:val="single"/>
        </w:rPr>
      </w:pPr>
      <w:r w:rsidRPr="000C2BE6">
        <w:rPr>
          <w:rFonts w:ascii="Arial" w:eastAsia="Arial" w:hAnsi="Arial" w:cs="Arial"/>
          <w:sz w:val="24"/>
          <w:szCs w:val="24"/>
          <w:u w:val="single"/>
        </w:rPr>
        <w:t>Reference List</w:t>
      </w:r>
    </w:p>
    <w:p w14:paraId="1BE774A9" w14:textId="77777777" w:rsidR="000C2BE6" w:rsidRPr="00266ACD"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Bandura, A. (1977). </w:t>
      </w:r>
      <w:r>
        <w:rPr>
          <w:rFonts w:ascii="Arial" w:eastAsia="Arial" w:hAnsi="Arial" w:cs="Arial"/>
          <w:i/>
          <w:iCs/>
          <w:sz w:val="24"/>
          <w:szCs w:val="24"/>
        </w:rPr>
        <w:t xml:space="preserve">Social learning theory. </w:t>
      </w:r>
      <w:r>
        <w:rPr>
          <w:rFonts w:ascii="Arial" w:eastAsia="Arial" w:hAnsi="Arial" w:cs="Arial"/>
          <w:sz w:val="24"/>
          <w:szCs w:val="24"/>
        </w:rPr>
        <w:t>Englewood Cliffs, NJ: Prentice Hall.</w:t>
      </w:r>
    </w:p>
    <w:p w14:paraId="1973299A" w14:textId="77777777" w:rsidR="000C2BE6" w:rsidRDefault="000C2BE6" w:rsidP="00020890">
      <w:pPr>
        <w:spacing w:line="360" w:lineRule="auto"/>
        <w:jc w:val="both"/>
        <w:rPr>
          <w:rFonts w:ascii="Arial" w:eastAsia="Arial" w:hAnsi="Arial" w:cs="Arial"/>
          <w:sz w:val="24"/>
          <w:szCs w:val="24"/>
        </w:rPr>
      </w:pPr>
      <w:proofErr w:type="spellStart"/>
      <w:r w:rsidRPr="00154762">
        <w:rPr>
          <w:rFonts w:ascii="Arial" w:eastAsia="Arial" w:hAnsi="Arial" w:cs="Arial"/>
          <w:sz w:val="24"/>
          <w:szCs w:val="24"/>
        </w:rPr>
        <w:t>Borton</w:t>
      </w:r>
      <w:proofErr w:type="spellEnd"/>
      <w:r w:rsidRPr="00154762">
        <w:rPr>
          <w:rFonts w:ascii="Arial" w:eastAsia="Arial" w:hAnsi="Arial" w:cs="Arial"/>
          <w:sz w:val="24"/>
          <w:szCs w:val="24"/>
        </w:rPr>
        <w:t xml:space="preserve">, T. (1970) </w:t>
      </w:r>
      <w:r w:rsidRPr="00F14D3A">
        <w:rPr>
          <w:rFonts w:ascii="Arial" w:eastAsia="Arial" w:hAnsi="Arial" w:cs="Arial"/>
          <w:i/>
          <w:iCs/>
          <w:sz w:val="24"/>
          <w:szCs w:val="24"/>
        </w:rPr>
        <w:t>Reach, Touch and Teach</w:t>
      </w:r>
      <w:r w:rsidRPr="00154762">
        <w:rPr>
          <w:rFonts w:ascii="Arial" w:eastAsia="Arial" w:hAnsi="Arial" w:cs="Arial"/>
          <w:sz w:val="24"/>
          <w:szCs w:val="24"/>
        </w:rPr>
        <w:t>. London: Hutchinson.</w:t>
      </w:r>
    </w:p>
    <w:p w14:paraId="720FAC62" w14:textId="77777777" w:rsidR="000C2BE6" w:rsidRPr="00346EE5"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(2018) </w:t>
      </w:r>
      <w:r>
        <w:rPr>
          <w:rFonts w:ascii="Arial" w:eastAsia="Arial" w:hAnsi="Arial" w:cs="Arial"/>
          <w:i/>
          <w:iCs/>
          <w:sz w:val="24"/>
          <w:szCs w:val="24"/>
        </w:rPr>
        <w:t xml:space="preserve">Professionalising Investigations Programme. </w:t>
      </w:r>
      <w:r>
        <w:rPr>
          <w:rFonts w:ascii="Arial" w:eastAsia="Arial" w:hAnsi="Arial" w:cs="Arial"/>
          <w:sz w:val="24"/>
          <w:szCs w:val="24"/>
        </w:rPr>
        <w:t xml:space="preserve">Available at: </w:t>
      </w:r>
      <w:r w:rsidRPr="00346EE5">
        <w:rPr>
          <w:rFonts w:ascii="Arial" w:eastAsia="Arial" w:hAnsi="Arial" w:cs="Arial"/>
          <w:sz w:val="24"/>
          <w:szCs w:val="24"/>
        </w:rPr>
        <w:t>https://assets.college.police.uk/s3fs-public/2020-11/Professionalising-Investigations-Progamme.pdf</w:t>
      </w:r>
      <w:r>
        <w:rPr>
          <w:rFonts w:ascii="Arial" w:eastAsia="Arial" w:hAnsi="Arial" w:cs="Arial"/>
          <w:sz w:val="24"/>
          <w:szCs w:val="24"/>
        </w:rPr>
        <w:t xml:space="preserve"> (Accessed: 30</w:t>
      </w:r>
      <w:r w:rsidRPr="00346EE5">
        <w:rPr>
          <w:rFonts w:ascii="Arial" w:eastAsia="Arial" w:hAnsi="Arial" w:cs="Arial"/>
          <w:sz w:val="24"/>
          <w:szCs w:val="24"/>
          <w:vertAlign w:val="superscript"/>
        </w:rPr>
        <w:t>th</w:t>
      </w:r>
      <w:r>
        <w:rPr>
          <w:rFonts w:ascii="Arial" w:eastAsia="Arial" w:hAnsi="Arial" w:cs="Arial"/>
          <w:sz w:val="24"/>
          <w:szCs w:val="24"/>
        </w:rPr>
        <w:t xml:space="preserve"> November 2022)</w:t>
      </w:r>
    </w:p>
    <w:p w14:paraId="5E550CF8" w14:textId="77777777" w:rsidR="000C2BE6" w:rsidRPr="009A0E87"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(2020) </w:t>
      </w:r>
      <w:r>
        <w:rPr>
          <w:rFonts w:ascii="Arial" w:eastAsia="Arial" w:hAnsi="Arial" w:cs="Arial"/>
          <w:i/>
          <w:iCs/>
          <w:sz w:val="24"/>
          <w:szCs w:val="24"/>
        </w:rPr>
        <w:t>Continuing Professional Development</w:t>
      </w:r>
      <w:r>
        <w:rPr>
          <w:rFonts w:ascii="Arial" w:eastAsia="Arial" w:hAnsi="Arial" w:cs="Arial"/>
          <w:sz w:val="24"/>
          <w:szCs w:val="24"/>
        </w:rPr>
        <w:t xml:space="preserve">. Available at: </w:t>
      </w:r>
      <w:r w:rsidRPr="009A0E87">
        <w:rPr>
          <w:rFonts w:ascii="Arial" w:eastAsia="Arial" w:hAnsi="Arial" w:cs="Arial"/>
          <w:sz w:val="24"/>
          <w:szCs w:val="24"/>
        </w:rPr>
        <w:t>https://www.college.police.uk/career-learning/career-development/CPD</w:t>
      </w:r>
      <w:r>
        <w:rPr>
          <w:rFonts w:ascii="Arial" w:eastAsia="Arial" w:hAnsi="Arial" w:cs="Arial"/>
          <w:sz w:val="24"/>
          <w:szCs w:val="24"/>
        </w:rPr>
        <w:t xml:space="preserve"> (Accessed: 6</w:t>
      </w:r>
      <w:r w:rsidRPr="009A0E87">
        <w:rPr>
          <w:rFonts w:ascii="Arial" w:eastAsia="Arial" w:hAnsi="Arial" w:cs="Arial"/>
          <w:sz w:val="24"/>
          <w:szCs w:val="24"/>
          <w:vertAlign w:val="superscript"/>
        </w:rPr>
        <w:t>th</w:t>
      </w:r>
      <w:r>
        <w:rPr>
          <w:rFonts w:ascii="Arial" w:eastAsia="Arial" w:hAnsi="Arial" w:cs="Arial"/>
          <w:sz w:val="24"/>
          <w:szCs w:val="24"/>
        </w:rPr>
        <w:t xml:space="preserve"> December 2022)</w:t>
      </w:r>
    </w:p>
    <w:p w14:paraId="7FDF74C2"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(2022a) </w:t>
      </w:r>
      <w:r>
        <w:rPr>
          <w:rFonts w:ascii="Arial" w:eastAsia="Arial" w:hAnsi="Arial" w:cs="Arial"/>
          <w:i/>
          <w:iCs/>
          <w:sz w:val="24"/>
          <w:szCs w:val="24"/>
        </w:rPr>
        <w:t xml:space="preserve">Resources for reflective practice, V1. </w:t>
      </w:r>
      <w:r>
        <w:rPr>
          <w:rFonts w:ascii="Arial" w:eastAsia="Arial" w:hAnsi="Arial" w:cs="Arial"/>
          <w:sz w:val="24"/>
          <w:szCs w:val="24"/>
        </w:rPr>
        <w:t xml:space="preserve">Unpublished </w:t>
      </w:r>
    </w:p>
    <w:p w14:paraId="3A8F418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(2022b) </w:t>
      </w:r>
      <w:r w:rsidRPr="007D1FA8">
        <w:rPr>
          <w:rFonts w:ascii="Arial" w:eastAsia="Arial" w:hAnsi="Arial" w:cs="Arial"/>
          <w:i/>
          <w:iCs/>
          <w:sz w:val="24"/>
          <w:szCs w:val="24"/>
        </w:rPr>
        <w:t>Investigator PIP2</w:t>
      </w:r>
      <w:r>
        <w:rPr>
          <w:rFonts w:ascii="Arial" w:eastAsia="Arial" w:hAnsi="Arial" w:cs="Arial"/>
          <w:i/>
          <w:iCs/>
          <w:sz w:val="24"/>
          <w:szCs w:val="24"/>
        </w:rPr>
        <w:t xml:space="preserve">. </w:t>
      </w:r>
      <w:r>
        <w:rPr>
          <w:rFonts w:ascii="Arial" w:eastAsia="Arial" w:hAnsi="Arial" w:cs="Arial"/>
          <w:sz w:val="24"/>
          <w:szCs w:val="24"/>
        </w:rPr>
        <w:t xml:space="preserve">Available at: </w:t>
      </w:r>
      <w:r w:rsidRPr="007D1FA8">
        <w:rPr>
          <w:rFonts w:ascii="Arial" w:eastAsia="Arial" w:hAnsi="Arial" w:cs="Arial"/>
          <w:sz w:val="24"/>
          <w:szCs w:val="24"/>
        </w:rPr>
        <w:t>https://profdev.college.police.uk/professional-profile/investigator-pip2/</w:t>
      </w:r>
      <w:r>
        <w:rPr>
          <w:rFonts w:ascii="Arial" w:eastAsia="Arial" w:hAnsi="Arial" w:cs="Arial"/>
          <w:sz w:val="24"/>
          <w:szCs w:val="24"/>
        </w:rPr>
        <w:t xml:space="preserve"> (Accessed: 6th December 2022)</w:t>
      </w:r>
    </w:p>
    <w:p w14:paraId="24D25022"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(2022c) </w:t>
      </w:r>
      <w:r>
        <w:rPr>
          <w:rFonts w:ascii="Arial" w:eastAsia="Arial" w:hAnsi="Arial" w:cs="Arial"/>
          <w:i/>
          <w:iCs/>
          <w:sz w:val="24"/>
          <w:szCs w:val="24"/>
        </w:rPr>
        <w:t xml:space="preserve">Digital Media Investigator. </w:t>
      </w:r>
      <w:r>
        <w:rPr>
          <w:rFonts w:ascii="Arial" w:eastAsia="Arial" w:hAnsi="Arial" w:cs="Arial"/>
          <w:sz w:val="24"/>
          <w:szCs w:val="24"/>
        </w:rPr>
        <w:t xml:space="preserve">Available at: </w:t>
      </w:r>
      <w:r w:rsidRPr="007D1FA8">
        <w:rPr>
          <w:rFonts w:ascii="Arial" w:eastAsia="Arial" w:hAnsi="Arial" w:cs="Arial"/>
          <w:sz w:val="24"/>
          <w:szCs w:val="24"/>
        </w:rPr>
        <w:t>https://profdev.college.police.uk/professional-profile/digital-media-investigator/</w:t>
      </w:r>
      <w:r>
        <w:rPr>
          <w:rFonts w:ascii="Arial" w:eastAsia="Arial" w:hAnsi="Arial" w:cs="Arial"/>
          <w:sz w:val="24"/>
          <w:szCs w:val="24"/>
        </w:rPr>
        <w:t xml:space="preserve"> (Accessed 6</w:t>
      </w:r>
      <w:r w:rsidRPr="00041075">
        <w:rPr>
          <w:rFonts w:ascii="Arial" w:eastAsia="Arial" w:hAnsi="Arial" w:cs="Arial"/>
          <w:sz w:val="24"/>
          <w:szCs w:val="24"/>
          <w:vertAlign w:val="superscript"/>
        </w:rPr>
        <w:t>th</w:t>
      </w:r>
      <w:r>
        <w:rPr>
          <w:rFonts w:ascii="Arial" w:eastAsia="Arial" w:hAnsi="Arial" w:cs="Arial"/>
          <w:sz w:val="24"/>
          <w:szCs w:val="24"/>
        </w:rPr>
        <w:t xml:space="preserve"> December 2022)</w:t>
      </w:r>
    </w:p>
    <w:p w14:paraId="3358EBA3" w14:textId="77777777" w:rsidR="000C2BE6" w:rsidRDefault="000C2BE6" w:rsidP="00020890">
      <w:pPr>
        <w:spacing w:line="360" w:lineRule="auto"/>
        <w:jc w:val="both"/>
        <w:rPr>
          <w:rFonts w:ascii="Arial" w:eastAsia="Arial" w:hAnsi="Arial" w:cs="Arial"/>
          <w:sz w:val="24"/>
          <w:szCs w:val="24"/>
        </w:rPr>
      </w:pPr>
      <w:r w:rsidRPr="009A0E87">
        <w:rPr>
          <w:rFonts w:ascii="Arial" w:eastAsia="Arial" w:hAnsi="Arial" w:cs="Arial"/>
          <w:sz w:val="24"/>
          <w:szCs w:val="24"/>
        </w:rPr>
        <w:t xml:space="preserve">Copley, S. (2011) </w:t>
      </w:r>
      <w:r w:rsidRPr="009A0E87">
        <w:rPr>
          <w:rFonts w:ascii="Arial" w:eastAsia="Arial" w:hAnsi="Arial" w:cs="Arial"/>
          <w:i/>
          <w:iCs/>
          <w:sz w:val="24"/>
          <w:szCs w:val="24"/>
        </w:rPr>
        <w:t>Reflective practice for policing students</w:t>
      </w:r>
      <w:r w:rsidRPr="009A0E87">
        <w:rPr>
          <w:rFonts w:ascii="Arial" w:eastAsia="Arial" w:hAnsi="Arial" w:cs="Arial"/>
          <w:sz w:val="24"/>
          <w:szCs w:val="24"/>
        </w:rPr>
        <w:t>. Exeter: Learning Matters.</w:t>
      </w:r>
    </w:p>
    <w:p w14:paraId="7554AA66" w14:textId="77777777" w:rsidR="000C2BE6" w:rsidRPr="00041075" w:rsidRDefault="000C2BE6" w:rsidP="0002089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Dyfed-Powys Police and Crime Commissioner (2021) </w:t>
      </w:r>
      <w:r>
        <w:rPr>
          <w:rFonts w:ascii="Arial" w:eastAsia="Arial" w:hAnsi="Arial" w:cs="Arial"/>
          <w:i/>
          <w:iCs/>
          <w:sz w:val="24"/>
          <w:szCs w:val="24"/>
        </w:rPr>
        <w:t xml:space="preserve">The Police and Crime Plan. </w:t>
      </w:r>
      <w:r>
        <w:rPr>
          <w:rFonts w:ascii="Arial" w:eastAsia="Arial" w:hAnsi="Arial" w:cs="Arial"/>
          <w:sz w:val="24"/>
          <w:szCs w:val="24"/>
        </w:rPr>
        <w:t xml:space="preserve">Available at: </w:t>
      </w:r>
      <w:r w:rsidRPr="00041075">
        <w:rPr>
          <w:rFonts w:ascii="Arial" w:eastAsia="Arial" w:hAnsi="Arial" w:cs="Arial"/>
          <w:sz w:val="24"/>
          <w:szCs w:val="24"/>
        </w:rPr>
        <w:t>https://www.dyfedpowys-pcc.org.uk/media/11092/police-and-crime-plan-2021-2025.pdf</w:t>
      </w:r>
      <w:r>
        <w:rPr>
          <w:rFonts w:ascii="Arial" w:eastAsia="Arial" w:hAnsi="Arial" w:cs="Arial"/>
          <w:sz w:val="24"/>
          <w:szCs w:val="24"/>
        </w:rPr>
        <w:t xml:space="preserve"> (Accessed: 6</w:t>
      </w:r>
      <w:r w:rsidRPr="00041075">
        <w:rPr>
          <w:rFonts w:ascii="Arial" w:eastAsia="Arial" w:hAnsi="Arial" w:cs="Arial"/>
          <w:sz w:val="24"/>
          <w:szCs w:val="24"/>
          <w:vertAlign w:val="superscript"/>
        </w:rPr>
        <w:t>th</w:t>
      </w:r>
      <w:r>
        <w:rPr>
          <w:rFonts w:ascii="Arial" w:eastAsia="Arial" w:hAnsi="Arial" w:cs="Arial"/>
          <w:sz w:val="24"/>
          <w:szCs w:val="24"/>
        </w:rPr>
        <w:t xml:space="preserve"> December 2022)</w:t>
      </w:r>
    </w:p>
    <w:p w14:paraId="4C19F142" w14:textId="77777777" w:rsidR="000C2BE6" w:rsidRDefault="000C2BE6" w:rsidP="00020890">
      <w:pPr>
        <w:spacing w:line="360" w:lineRule="auto"/>
        <w:jc w:val="both"/>
        <w:rPr>
          <w:rFonts w:ascii="Arial" w:eastAsia="Arial" w:hAnsi="Arial" w:cs="Arial"/>
          <w:sz w:val="24"/>
          <w:szCs w:val="24"/>
        </w:rPr>
      </w:pPr>
      <w:r w:rsidRPr="00C45B65">
        <w:rPr>
          <w:rFonts w:ascii="Arial" w:eastAsia="Arial" w:hAnsi="Arial" w:cs="Arial"/>
          <w:sz w:val="24"/>
          <w:szCs w:val="24"/>
        </w:rPr>
        <w:t>Dyfed-Powys Police</w:t>
      </w:r>
      <w:r>
        <w:rPr>
          <w:rFonts w:ascii="Arial" w:eastAsia="Arial" w:hAnsi="Arial" w:cs="Arial"/>
          <w:sz w:val="24"/>
          <w:szCs w:val="24"/>
        </w:rPr>
        <w:t xml:space="preserve"> (2022a) </w:t>
      </w:r>
      <w:r>
        <w:rPr>
          <w:rFonts w:ascii="Arial" w:eastAsia="Arial" w:hAnsi="Arial" w:cs="Arial"/>
          <w:i/>
          <w:iCs/>
          <w:sz w:val="24"/>
          <w:szCs w:val="24"/>
        </w:rPr>
        <w:t xml:space="preserve">Digital Cyber Crime Unit. </w:t>
      </w:r>
      <w:r>
        <w:rPr>
          <w:rFonts w:ascii="Arial" w:eastAsia="Arial" w:hAnsi="Arial" w:cs="Arial"/>
          <w:sz w:val="24"/>
          <w:szCs w:val="24"/>
        </w:rPr>
        <w:t xml:space="preserve">Available at: </w:t>
      </w:r>
      <w:r w:rsidRPr="00387479">
        <w:rPr>
          <w:rFonts w:ascii="Arial" w:eastAsia="Arial" w:hAnsi="Arial" w:cs="Arial"/>
          <w:sz w:val="24"/>
          <w:szCs w:val="24"/>
        </w:rPr>
        <w:t>https://dppweb.azurewebsites.net/en/about-us/our-departments/digital-cyber-crime-unit/</w:t>
      </w:r>
      <w:r>
        <w:rPr>
          <w:rFonts w:ascii="Arial" w:eastAsia="Arial" w:hAnsi="Arial" w:cs="Arial"/>
          <w:sz w:val="24"/>
          <w:szCs w:val="24"/>
        </w:rPr>
        <w:t xml:space="preserve"> (Accessed: 30</w:t>
      </w:r>
      <w:r w:rsidRPr="004C5AA2">
        <w:rPr>
          <w:rFonts w:ascii="Arial" w:eastAsia="Arial" w:hAnsi="Arial" w:cs="Arial"/>
          <w:sz w:val="24"/>
          <w:szCs w:val="24"/>
          <w:vertAlign w:val="superscript"/>
        </w:rPr>
        <w:t>th</w:t>
      </w:r>
      <w:r>
        <w:rPr>
          <w:rFonts w:ascii="Arial" w:eastAsia="Arial" w:hAnsi="Arial" w:cs="Arial"/>
          <w:sz w:val="24"/>
          <w:szCs w:val="24"/>
        </w:rPr>
        <w:t xml:space="preserve"> November 2022)</w:t>
      </w:r>
    </w:p>
    <w:p w14:paraId="1A494187"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Dyfed-Powys Police (2022b) </w:t>
      </w:r>
      <w:r w:rsidRPr="00870D03">
        <w:rPr>
          <w:rFonts w:ascii="Arial" w:eastAsia="Arial" w:hAnsi="Arial" w:cs="Arial"/>
          <w:i/>
          <w:iCs/>
          <w:sz w:val="24"/>
          <w:szCs w:val="24"/>
        </w:rPr>
        <w:t xml:space="preserve">Dyfed-Powys Police joins Operation </w:t>
      </w:r>
      <w:proofErr w:type="spellStart"/>
      <w:r w:rsidRPr="00870D03">
        <w:rPr>
          <w:rFonts w:ascii="Arial" w:eastAsia="Arial" w:hAnsi="Arial" w:cs="Arial"/>
          <w:i/>
          <w:iCs/>
          <w:sz w:val="24"/>
          <w:szCs w:val="24"/>
        </w:rPr>
        <w:t>Soteria</w:t>
      </w:r>
      <w:proofErr w:type="spellEnd"/>
      <w:r w:rsidRPr="00870D03">
        <w:rPr>
          <w:rFonts w:ascii="Arial" w:eastAsia="Arial" w:hAnsi="Arial" w:cs="Arial"/>
          <w:i/>
          <w:iCs/>
          <w:sz w:val="24"/>
          <w:szCs w:val="24"/>
        </w:rPr>
        <w:t xml:space="preserve"> Bluestone to improve UK-wide approach to investigating rape and sexual offences</w:t>
      </w:r>
      <w:r>
        <w:rPr>
          <w:rFonts w:ascii="Arial" w:eastAsia="Arial" w:hAnsi="Arial" w:cs="Arial"/>
          <w:i/>
          <w:iCs/>
          <w:sz w:val="24"/>
          <w:szCs w:val="24"/>
        </w:rPr>
        <w:t xml:space="preserve">. </w:t>
      </w:r>
      <w:r>
        <w:rPr>
          <w:rFonts w:ascii="Arial" w:eastAsia="Arial" w:hAnsi="Arial" w:cs="Arial"/>
          <w:sz w:val="24"/>
          <w:szCs w:val="24"/>
        </w:rPr>
        <w:t xml:space="preserve"> Available at: </w:t>
      </w:r>
      <w:r w:rsidRPr="003D2E5C">
        <w:rPr>
          <w:rFonts w:ascii="Arial" w:eastAsia="Arial" w:hAnsi="Arial" w:cs="Arial"/>
          <w:sz w:val="24"/>
          <w:szCs w:val="24"/>
        </w:rPr>
        <w:t>https://www.dyfed-powys.police.uk/news/dyfed-powys/news/2022/october-2022/dyfed-powys-police-joins-operation-soteria-bluestone-to-improve-uk-wide-approach-to-investigating-rape-and-sexual-offences/</w:t>
      </w:r>
      <w:r>
        <w:rPr>
          <w:rFonts w:ascii="Arial" w:eastAsia="Arial" w:hAnsi="Arial" w:cs="Arial"/>
          <w:sz w:val="24"/>
          <w:szCs w:val="24"/>
        </w:rPr>
        <w:t xml:space="preserve"> (Accessed at: 6</w:t>
      </w:r>
      <w:r w:rsidRPr="00870D03">
        <w:rPr>
          <w:rFonts w:ascii="Arial" w:eastAsia="Arial" w:hAnsi="Arial" w:cs="Arial"/>
          <w:sz w:val="24"/>
          <w:szCs w:val="24"/>
          <w:vertAlign w:val="superscript"/>
        </w:rPr>
        <w:t>th</w:t>
      </w:r>
      <w:r>
        <w:rPr>
          <w:rFonts w:ascii="Arial" w:eastAsia="Arial" w:hAnsi="Arial" w:cs="Arial"/>
          <w:sz w:val="24"/>
          <w:szCs w:val="24"/>
        </w:rPr>
        <w:t xml:space="preserve"> December 2022)</w:t>
      </w:r>
    </w:p>
    <w:p w14:paraId="076395A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His Majesty’s Inspectorate of Constabulary and Fire &amp; Rescue Services (2022) </w:t>
      </w:r>
      <w:r>
        <w:rPr>
          <w:rFonts w:ascii="Arial" w:eastAsia="Arial" w:hAnsi="Arial" w:cs="Arial"/>
          <w:i/>
          <w:iCs/>
          <w:sz w:val="24"/>
          <w:szCs w:val="24"/>
        </w:rPr>
        <w:t xml:space="preserve">Digital Forensics, an inspection into how well the police and other agencies use digital forensics in their investigations. </w:t>
      </w:r>
      <w:r>
        <w:rPr>
          <w:rFonts w:ascii="Arial" w:eastAsia="Arial" w:hAnsi="Arial" w:cs="Arial"/>
          <w:sz w:val="24"/>
          <w:szCs w:val="24"/>
        </w:rPr>
        <w:t xml:space="preserve">Available at: </w:t>
      </w:r>
      <w:r w:rsidRPr="00287A40">
        <w:rPr>
          <w:rFonts w:ascii="Arial" w:eastAsia="Arial" w:hAnsi="Arial" w:cs="Arial"/>
          <w:sz w:val="24"/>
          <w:szCs w:val="24"/>
        </w:rPr>
        <w:t>https://www.justiceinspectorates.gov.uk/hmicfrs/publication-html/how-well-the-police-and-other-agencies-use-digital-forensics-in-their-investigations/</w:t>
      </w:r>
      <w:r>
        <w:rPr>
          <w:rFonts w:ascii="Arial" w:eastAsia="Arial" w:hAnsi="Arial" w:cs="Arial"/>
          <w:sz w:val="24"/>
          <w:szCs w:val="24"/>
        </w:rPr>
        <w:t xml:space="preserve"> (Accessed: 5th December 2022)</w:t>
      </w:r>
    </w:p>
    <w:p w14:paraId="12704D88" w14:textId="77777777" w:rsidR="000C2BE6" w:rsidRDefault="000C2BE6" w:rsidP="00020890">
      <w:pPr>
        <w:spacing w:line="360" w:lineRule="auto"/>
        <w:jc w:val="both"/>
        <w:rPr>
          <w:rFonts w:ascii="Arial" w:eastAsia="Arial" w:hAnsi="Arial" w:cs="Arial"/>
          <w:i/>
          <w:iCs/>
          <w:sz w:val="24"/>
          <w:szCs w:val="24"/>
        </w:rPr>
      </w:pPr>
      <w:r w:rsidRPr="005029F6">
        <w:rPr>
          <w:rFonts w:ascii="Arial" w:eastAsia="Arial" w:hAnsi="Arial" w:cs="Arial"/>
          <w:i/>
          <w:iCs/>
          <w:sz w:val="24"/>
          <w:szCs w:val="24"/>
        </w:rPr>
        <w:t>Investigatory Powers Act 2016</w:t>
      </w:r>
      <w:r>
        <w:rPr>
          <w:rFonts w:ascii="Arial" w:eastAsia="Arial" w:hAnsi="Arial" w:cs="Arial"/>
          <w:i/>
          <w:iCs/>
          <w:sz w:val="24"/>
          <w:szCs w:val="24"/>
        </w:rPr>
        <w:t>, c. 2.</w:t>
      </w:r>
      <w:r>
        <w:rPr>
          <w:rFonts w:ascii="Arial" w:eastAsia="Arial" w:hAnsi="Arial" w:cs="Arial"/>
          <w:sz w:val="24"/>
          <w:szCs w:val="24"/>
        </w:rPr>
        <w:t xml:space="preserve"> Available at: </w:t>
      </w:r>
      <w:r>
        <w:rPr>
          <w:rFonts w:ascii="Arial" w:eastAsia="Arial" w:hAnsi="Arial" w:cs="Arial"/>
          <w:i/>
          <w:iCs/>
          <w:sz w:val="24"/>
          <w:szCs w:val="24"/>
        </w:rPr>
        <w:t xml:space="preserve"> </w:t>
      </w:r>
      <w:r w:rsidRPr="005029F6">
        <w:rPr>
          <w:rFonts w:ascii="Arial" w:eastAsia="Arial" w:hAnsi="Arial" w:cs="Arial"/>
          <w:i/>
          <w:iCs/>
          <w:sz w:val="24"/>
          <w:szCs w:val="24"/>
        </w:rPr>
        <w:t>https://www.legislation.gov.uk/ukpga/2016/25/contents/enacted</w:t>
      </w:r>
      <w:r>
        <w:rPr>
          <w:rFonts w:ascii="Arial" w:eastAsia="Arial" w:hAnsi="Arial" w:cs="Arial"/>
          <w:i/>
          <w:iCs/>
          <w:sz w:val="24"/>
          <w:szCs w:val="24"/>
        </w:rPr>
        <w:t xml:space="preserve"> (Accessed: 5th December 2022)</w:t>
      </w:r>
    </w:p>
    <w:p w14:paraId="795B2089" w14:textId="77777777" w:rsidR="000C2BE6" w:rsidRPr="006A3535"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Kolb, D. A. (2014) </w:t>
      </w:r>
      <w:r>
        <w:rPr>
          <w:rFonts w:ascii="Arial" w:eastAsia="Arial" w:hAnsi="Arial" w:cs="Arial"/>
          <w:i/>
          <w:iCs/>
          <w:sz w:val="24"/>
          <w:szCs w:val="24"/>
        </w:rPr>
        <w:t xml:space="preserve">Experiential </w:t>
      </w:r>
      <w:r w:rsidRPr="006A3535">
        <w:rPr>
          <w:rFonts w:ascii="Arial" w:eastAsia="Arial" w:hAnsi="Arial" w:cs="Arial"/>
          <w:i/>
          <w:iCs/>
          <w:sz w:val="24"/>
          <w:szCs w:val="24"/>
        </w:rPr>
        <w:t>Learning. 2</w:t>
      </w:r>
      <w:r w:rsidRPr="006A3535">
        <w:rPr>
          <w:rFonts w:ascii="Arial" w:eastAsia="Arial" w:hAnsi="Arial" w:cs="Arial"/>
          <w:i/>
          <w:iCs/>
          <w:sz w:val="24"/>
          <w:szCs w:val="24"/>
          <w:vertAlign w:val="superscript"/>
        </w:rPr>
        <w:t>nd</w:t>
      </w:r>
      <w:r w:rsidRPr="006A3535">
        <w:rPr>
          <w:rFonts w:ascii="Arial" w:eastAsia="Arial" w:hAnsi="Arial" w:cs="Arial"/>
          <w:i/>
          <w:iCs/>
          <w:sz w:val="24"/>
          <w:szCs w:val="24"/>
        </w:rPr>
        <w:t xml:space="preserve"> </w:t>
      </w:r>
      <w:proofErr w:type="spellStart"/>
      <w:r w:rsidRPr="006A3535">
        <w:rPr>
          <w:rFonts w:ascii="Arial" w:eastAsia="Arial" w:hAnsi="Arial" w:cs="Arial"/>
          <w:i/>
          <w:iCs/>
          <w:sz w:val="24"/>
          <w:szCs w:val="24"/>
        </w:rPr>
        <w:t>edn</w:t>
      </w:r>
      <w:proofErr w:type="spellEnd"/>
      <w:r w:rsidRPr="006A3535">
        <w:rPr>
          <w:rFonts w:ascii="Arial" w:eastAsia="Arial" w:hAnsi="Arial" w:cs="Arial"/>
          <w:i/>
          <w:iCs/>
          <w:sz w:val="24"/>
          <w:szCs w:val="24"/>
        </w:rPr>
        <w:t>.</w:t>
      </w:r>
      <w:r>
        <w:rPr>
          <w:rFonts w:ascii="Arial" w:eastAsia="Arial" w:hAnsi="Arial" w:cs="Arial"/>
          <w:i/>
          <w:iCs/>
          <w:sz w:val="24"/>
          <w:szCs w:val="24"/>
        </w:rPr>
        <w:t xml:space="preserve"> </w:t>
      </w:r>
      <w:r>
        <w:rPr>
          <w:rFonts w:ascii="Arial" w:eastAsia="Arial" w:hAnsi="Arial" w:cs="Arial"/>
          <w:sz w:val="24"/>
          <w:szCs w:val="24"/>
        </w:rPr>
        <w:t>Pearson Education.</w:t>
      </w:r>
    </w:p>
    <w:p w14:paraId="37FC2892" w14:textId="77777777" w:rsidR="000C2BE6" w:rsidRDefault="000C2BE6" w:rsidP="00020890">
      <w:pPr>
        <w:spacing w:line="360" w:lineRule="auto"/>
        <w:jc w:val="both"/>
        <w:rPr>
          <w:rFonts w:ascii="Arial" w:eastAsia="Arial" w:hAnsi="Arial" w:cs="Arial"/>
          <w:sz w:val="24"/>
          <w:szCs w:val="24"/>
        </w:rPr>
      </w:pPr>
      <w:r w:rsidRPr="00521D9B">
        <w:rPr>
          <w:rFonts w:ascii="Arial" w:eastAsia="Arial" w:hAnsi="Arial" w:cs="Arial"/>
          <w:i/>
          <w:iCs/>
          <w:sz w:val="24"/>
          <w:szCs w:val="24"/>
        </w:rPr>
        <w:t>Police, Crime, Sentencing and Courts Act 2022</w:t>
      </w:r>
      <w:r>
        <w:rPr>
          <w:rFonts w:ascii="Arial" w:eastAsia="Arial" w:hAnsi="Arial" w:cs="Arial"/>
          <w:i/>
          <w:iCs/>
          <w:sz w:val="24"/>
          <w:szCs w:val="24"/>
        </w:rPr>
        <w:t xml:space="preserve">, c. 2. </w:t>
      </w:r>
      <w:r>
        <w:rPr>
          <w:rFonts w:ascii="Arial" w:eastAsia="Arial" w:hAnsi="Arial" w:cs="Arial"/>
          <w:sz w:val="24"/>
          <w:szCs w:val="24"/>
        </w:rPr>
        <w:t xml:space="preserve">Available at: </w:t>
      </w:r>
      <w:r w:rsidRPr="00F117A4">
        <w:rPr>
          <w:rFonts w:ascii="Arial" w:eastAsia="Arial" w:hAnsi="Arial" w:cs="Arial"/>
          <w:sz w:val="24"/>
          <w:szCs w:val="24"/>
        </w:rPr>
        <w:t>https://www.legislation.gov.uk/ukpga/2022/32/contents/enacted</w:t>
      </w:r>
      <w:r>
        <w:rPr>
          <w:rFonts w:ascii="Arial" w:eastAsia="Arial" w:hAnsi="Arial" w:cs="Arial"/>
          <w:sz w:val="24"/>
          <w:szCs w:val="24"/>
        </w:rPr>
        <w:t xml:space="preserve"> (Accessed: 2nd December)</w:t>
      </w:r>
    </w:p>
    <w:p w14:paraId="5FAD4C2B" w14:textId="77777777" w:rsidR="000C2BE6" w:rsidRDefault="000C2BE6" w:rsidP="00020890">
      <w:pPr>
        <w:spacing w:line="360" w:lineRule="auto"/>
        <w:jc w:val="both"/>
        <w:rPr>
          <w:rFonts w:ascii="Arial" w:eastAsia="Arial" w:hAnsi="Arial" w:cs="Arial"/>
          <w:sz w:val="24"/>
          <w:szCs w:val="24"/>
        </w:rPr>
      </w:pPr>
      <w:r w:rsidRPr="005029F6">
        <w:rPr>
          <w:rFonts w:ascii="Arial" w:eastAsia="Arial" w:hAnsi="Arial" w:cs="Arial"/>
          <w:i/>
          <w:iCs/>
          <w:sz w:val="24"/>
          <w:szCs w:val="24"/>
        </w:rPr>
        <w:t>Regulation of Investigatory Powers Act 2000</w:t>
      </w:r>
      <w:r>
        <w:rPr>
          <w:rFonts w:ascii="Arial" w:eastAsia="Arial" w:hAnsi="Arial" w:cs="Arial"/>
          <w:i/>
          <w:iCs/>
          <w:sz w:val="24"/>
          <w:szCs w:val="24"/>
        </w:rPr>
        <w:t>, s.49.</w:t>
      </w:r>
      <w:r>
        <w:rPr>
          <w:rFonts w:ascii="Arial" w:eastAsia="Arial" w:hAnsi="Arial" w:cs="Arial"/>
          <w:sz w:val="24"/>
          <w:szCs w:val="24"/>
        </w:rPr>
        <w:t xml:space="preserve"> Available at: </w:t>
      </w:r>
      <w:r w:rsidRPr="005029F6">
        <w:rPr>
          <w:rFonts w:ascii="Arial" w:eastAsia="Arial" w:hAnsi="Arial" w:cs="Arial"/>
          <w:sz w:val="24"/>
          <w:szCs w:val="24"/>
        </w:rPr>
        <w:t>https://www.legislation.gov.uk/ukpga/2000/23/contents</w:t>
      </w:r>
      <w:r>
        <w:rPr>
          <w:rFonts w:ascii="Arial" w:eastAsia="Arial" w:hAnsi="Arial" w:cs="Arial"/>
          <w:sz w:val="24"/>
          <w:szCs w:val="24"/>
        </w:rPr>
        <w:t xml:space="preserve"> (Accessed: 6th December 2022)</w:t>
      </w:r>
    </w:p>
    <w:p w14:paraId="164FF360" w14:textId="77777777" w:rsidR="000C2BE6" w:rsidRPr="005223B3" w:rsidRDefault="000C2BE6" w:rsidP="00020890">
      <w:pPr>
        <w:spacing w:line="360" w:lineRule="auto"/>
        <w:jc w:val="both"/>
        <w:rPr>
          <w:rFonts w:ascii="Arial" w:eastAsia="Arial" w:hAnsi="Arial" w:cs="Arial"/>
          <w:i/>
          <w:iCs/>
          <w:sz w:val="24"/>
          <w:szCs w:val="24"/>
        </w:rPr>
      </w:pPr>
      <w:r>
        <w:rPr>
          <w:rFonts w:ascii="Arial" w:eastAsia="Arial" w:hAnsi="Arial" w:cs="Arial"/>
          <w:sz w:val="24"/>
          <w:szCs w:val="24"/>
        </w:rPr>
        <w:lastRenderedPageBreak/>
        <w:t xml:space="preserve">The Police Foundation (2022) </w:t>
      </w:r>
      <w:r>
        <w:rPr>
          <w:rFonts w:ascii="Arial" w:eastAsia="Arial" w:hAnsi="Arial" w:cs="Arial"/>
          <w:i/>
          <w:iCs/>
          <w:sz w:val="24"/>
          <w:szCs w:val="24"/>
        </w:rPr>
        <w:t xml:space="preserve">The final report of the strategic review of policing in England and Wales. </w:t>
      </w:r>
      <w:r>
        <w:rPr>
          <w:rFonts w:ascii="Arial" w:eastAsia="Arial" w:hAnsi="Arial" w:cs="Arial"/>
          <w:sz w:val="24"/>
          <w:szCs w:val="24"/>
        </w:rPr>
        <w:t xml:space="preserve">Available at: </w:t>
      </w:r>
      <w:r>
        <w:rPr>
          <w:rFonts w:ascii="Arial" w:eastAsia="Arial" w:hAnsi="Arial" w:cs="Arial"/>
          <w:i/>
          <w:iCs/>
          <w:sz w:val="24"/>
          <w:szCs w:val="24"/>
        </w:rPr>
        <w:t xml:space="preserve"> </w:t>
      </w:r>
      <w:r w:rsidRPr="005223B3">
        <w:rPr>
          <w:rFonts w:ascii="Arial" w:eastAsia="Arial" w:hAnsi="Arial" w:cs="Arial"/>
          <w:i/>
          <w:iCs/>
          <w:sz w:val="24"/>
          <w:szCs w:val="24"/>
        </w:rPr>
        <w:t>https://www.policingreview.org.uk/wp-content/uploads/srpew_final_report.pdf</w:t>
      </w:r>
      <w:r>
        <w:rPr>
          <w:rFonts w:ascii="Arial" w:eastAsia="Arial" w:hAnsi="Arial" w:cs="Arial"/>
          <w:i/>
          <w:iCs/>
          <w:sz w:val="24"/>
          <w:szCs w:val="24"/>
        </w:rPr>
        <w:t xml:space="preserve"> (Accessed: 1</w:t>
      </w:r>
      <w:r w:rsidRPr="005223B3">
        <w:rPr>
          <w:rFonts w:ascii="Arial" w:eastAsia="Arial" w:hAnsi="Arial" w:cs="Arial"/>
          <w:i/>
          <w:iCs/>
          <w:sz w:val="24"/>
          <w:szCs w:val="24"/>
          <w:vertAlign w:val="superscript"/>
        </w:rPr>
        <w:t>st</w:t>
      </w:r>
      <w:r>
        <w:rPr>
          <w:rFonts w:ascii="Arial" w:eastAsia="Arial" w:hAnsi="Arial" w:cs="Arial"/>
          <w:i/>
          <w:iCs/>
          <w:sz w:val="24"/>
          <w:szCs w:val="24"/>
        </w:rPr>
        <w:t xml:space="preserve"> December 2022)</w:t>
      </w:r>
    </w:p>
    <w:p w14:paraId="143876F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University of Cambridge (2022) </w:t>
      </w:r>
      <w:r>
        <w:rPr>
          <w:rFonts w:ascii="Arial" w:eastAsia="Arial" w:hAnsi="Arial" w:cs="Arial"/>
          <w:i/>
          <w:iCs/>
          <w:sz w:val="24"/>
          <w:szCs w:val="24"/>
        </w:rPr>
        <w:t xml:space="preserve">Models of reflection. </w:t>
      </w:r>
      <w:r>
        <w:rPr>
          <w:rFonts w:ascii="Arial" w:eastAsia="Arial" w:hAnsi="Arial" w:cs="Arial"/>
          <w:sz w:val="24"/>
          <w:szCs w:val="24"/>
        </w:rPr>
        <w:t>Available at: https://libguides.cam.ac.uk/reflectivepracticetoolkit/models (Accessed: 6th December 2022)</w:t>
      </w:r>
    </w:p>
    <w:p w14:paraId="55392B2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Vaughan, K. (2008) </w:t>
      </w:r>
      <w:r w:rsidRPr="000D26F8">
        <w:rPr>
          <w:rFonts w:ascii="Arial" w:eastAsia="Arial" w:hAnsi="Arial" w:cs="Arial"/>
          <w:i/>
          <w:iCs/>
          <w:sz w:val="24"/>
          <w:szCs w:val="24"/>
        </w:rPr>
        <w:t>Workplace learning: A literature review</w:t>
      </w:r>
      <w:r>
        <w:rPr>
          <w:rFonts w:ascii="Arial" w:eastAsia="Arial" w:hAnsi="Arial" w:cs="Arial"/>
          <w:sz w:val="24"/>
          <w:szCs w:val="24"/>
        </w:rPr>
        <w:t xml:space="preserve">. Unpublished. Available at: </w:t>
      </w:r>
      <w:r w:rsidRPr="005029F6">
        <w:rPr>
          <w:rFonts w:ascii="Arial" w:eastAsia="Arial" w:hAnsi="Arial" w:cs="Arial"/>
          <w:sz w:val="24"/>
          <w:szCs w:val="24"/>
        </w:rPr>
        <w:t>https://www.academia.edu/2057544/Workplace_learning_A_literature_review</w:t>
      </w:r>
      <w:r>
        <w:rPr>
          <w:rFonts w:ascii="Arial" w:eastAsia="Arial" w:hAnsi="Arial" w:cs="Arial"/>
          <w:sz w:val="24"/>
          <w:szCs w:val="24"/>
        </w:rPr>
        <w:t xml:space="preserve"> (Accessed: 6th December 2022)</w:t>
      </w:r>
    </w:p>
    <w:p w14:paraId="0D38C126" w14:textId="77777777" w:rsidR="000C2BE6" w:rsidRPr="005223B3"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YouGov (2022) </w:t>
      </w:r>
      <w:r>
        <w:rPr>
          <w:rFonts w:ascii="Arial" w:eastAsia="Arial" w:hAnsi="Arial" w:cs="Arial"/>
          <w:i/>
          <w:iCs/>
          <w:sz w:val="24"/>
          <w:szCs w:val="24"/>
        </w:rPr>
        <w:t xml:space="preserve">Confidence in the police sinks in two years. </w:t>
      </w:r>
      <w:r>
        <w:rPr>
          <w:rFonts w:ascii="Arial" w:eastAsia="Arial" w:hAnsi="Arial" w:cs="Arial"/>
          <w:sz w:val="24"/>
          <w:szCs w:val="24"/>
        </w:rPr>
        <w:t xml:space="preserve">Available at: </w:t>
      </w:r>
      <w:r w:rsidRPr="005223B3">
        <w:rPr>
          <w:rFonts w:ascii="Arial" w:eastAsia="Arial" w:hAnsi="Arial" w:cs="Arial"/>
          <w:sz w:val="24"/>
          <w:szCs w:val="24"/>
        </w:rPr>
        <w:t>https://yougov.co.uk/topics/politics/articles-reports/2022/03/15/confidence-police-sinks-two-years</w:t>
      </w:r>
      <w:r>
        <w:rPr>
          <w:rFonts w:ascii="Arial" w:eastAsia="Arial" w:hAnsi="Arial" w:cs="Arial"/>
          <w:sz w:val="24"/>
          <w:szCs w:val="24"/>
        </w:rPr>
        <w:t xml:space="preserve"> (Accessed 1st December 2022)</w:t>
      </w:r>
    </w:p>
    <w:p w14:paraId="75E5485E" w14:textId="5ED270C7" w:rsidR="7336895D" w:rsidRDefault="7336895D" w:rsidP="00020890">
      <w:pPr>
        <w:spacing w:line="360" w:lineRule="auto"/>
        <w:ind w:right="237"/>
        <w:jc w:val="both"/>
        <w:rPr>
          <w:rFonts w:ascii="Arial" w:eastAsia="Arial" w:hAnsi="Arial" w:cs="Arial"/>
          <w:color w:val="000000" w:themeColor="text1"/>
          <w:sz w:val="24"/>
          <w:szCs w:val="24"/>
        </w:rPr>
      </w:pPr>
    </w:p>
    <w:p w14:paraId="0C93D70C" w14:textId="279E53DC" w:rsidR="7336895D" w:rsidRDefault="7336895D" w:rsidP="46EDD448">
      <w:pPr>
        <w:ind w:left="3600" w:right="107" w:firstLine="720"/>
        <w:rPr>
          <w:rFonts w:ascii="Arial" w:eastAsia="Arial" w:hAnsi="Arial" w:cs="Arial"/>
          <w:b/>
          <w:bCs/>
          <w:color w:val="000000" w:themeColor="text1"/>
          <w:sz w:val="24"/>
          <w:szCs w:val="24"/>
        </w:rPr>
      </w:pPr>
    </w:p>
    <w:p w14:paraId="23D875DA" w14:textId="0C377374" w:rsidR="7336895D" w:rsidRDefault="7336895D" w:rsidP="7336895D">
      <w:pPr>
        <w:ind w:left="3600" w:right="107" w:firstLine="720"/>
        <w:jc w:val="both"/>
        <w:rPr>
          <w:rFonts w:ascii="Arial" w:eastAsia="Arial" w:hAnsi="Arial" w:cs="Arial"/>
          <w:b/>
          <w:bCs/>
          <w:color w:val="000000" w:themeColor="text1"/>
          <w:sz w:val="24"/>
          <w:szCs w:val="24"/>
        </w:rPr>
      </w:pPr>
    </w:p>
    <w:p w14:paraId="1D0AC715" w14:textId="04B9DC8A" w:rsidR="7336895D" w:rsidRDefault="7336895D" w:rsidP="7336895D">
      <w:pPr>
        <w:ind w:left="3600" w:right="107" w:firstLine="720"/>
        <w:jc w:val="both"/>
        <w:rPr>
          <w:rFonts w:ascii="Arial" w:eastAsia="Arial" w:hAnsi="Arial" w:cs="Arial"/>
          <w:b/>
          <w:bCs/>
          <w:color w:val="000000" w:themeColor="text1"/>
          <w:sz w:val="24"/>
          <w:szCs w:val="24"/>
        </w:rPr>
      </w:pPr>
    </w:p>
    <w:p w14:paraId="033BBFD4" w14:textId="34D28FC1" w:rsidR="7336895D" w:rsidRDefault="7336895D" w:rsidP="7336895D"/>
    <w:p w14:paraId="2F96BE64" w14:textId="7E5A2630" w:rsidR="7336895D" w:rsidRDefault="7336895D" w:rsidP="7336895D">
      <w:pPr>
        <w:rPr>
          <w:b/>
          <w:bCs/>
        </w:rPr>
      </w:pPr>
    </w:p>
    <w:p w14:paraId="175A99E4" w14:textId="53244D91" w:rsidR="7336895D" w:rsidRDefault="7336895D" w:rsidP="7336895D">
      <w:pPr>
        <w:rPr>
          <w:b/>
          <w:bCs/>
        </w:rPr>
      </w:pPr>
    </w:p>
    <w:p w14:paraId="62E632B3" w14:textId="38DD1BCD" w:rsidR="7336895D" w:rsidRDefault="7336895D" w:rsidP="7336895D">
      <w:pPr>
        <w:rPr>
          <w:b/>
          <w:bCs/>
        </w:rPr>
      </w:pPr>
    </w:p>
    <w:p w14:paraId="79F4D865" w14:textId="2B76AD20" w:rsidR="46EDD448" w:rsidRDefault="46EDD448" w:rsidP="46EDD448">
      <w:pPr>
        <w:rPr>
          <w:rFonts w:ascii="Arial" w:eastAsia="Arial" w:hAnsi="Arial" w:cs="Arial"/>
          <w:b/>
          <w:bCs/>
          <w:sz w:val="24"/>
          <w:szCs w:val="24"/>
        </w:rPr>
      </w:pPr>
    </w:p>
    <w:p w14:paraId="58E29624" w14:textId="1F78A9DF" w:rsidR="46EDD448" w:rsidRDefault="46EDD448" w:rsidP="46EDD448">
      <w:pPr>
        <w:rPr>
          <w:rFonts w:ascii="Arial" w:eastAsia="Arial" w:hAnsi="Arial" w:cs="Arial"/>
          <w:b/>
          <w:bCs/>
          <w:sz w:val="24"/>
          <w:szCs w:val="24"/>
        </w:rPr>
      </w:pPr>
    </w:p>
    <w:p w14:paraId="74BC0A7E" w14:textId="1FCA836B" w:rsidR="46EDD448" w:rsidRDefault="46EDD448" w:rsidP="46EDD448">
      <w:pPr>
        <w:rPr>
          <w:rFonts w:ascii="Arial" w:eastAsia="Arial" w:hAnsi="Arial" w:cs="Arial"/>
          <w:b/>
          <w:bCs/>
          <w:sz w:val="24"/>
          <w:szCs w:val="24"/>
        </w:rPr>
      </w:pPr>
    </w:p>
    <w:p w14:paraId="61A06E54" w14:textId="1F666E0F" w:rsidR="46EDD448" w:rsidRDefault="46EDD448" w:rsidP="46EDD448">
      <w:pPr>
        <w:rPr>
          <w:rFonts w:ascii="Arial" w:eastAsia="Arial" w:hAnsi="Arial" w:cs="Arial"/>
          <w:b/>
          <w:bCs/>
          <w:sz w:val="24"/>
          <w:szCs w:val="24"/>
        </w:rPr>
      </w:pPr>
    </w:p>
    <w:p w14:paraId="74AE78CD" w14:textId="69FDF80B" w:rsidR="46EDD448" w:rsidRDefault="46EDD448" w:rsidP="46EDD448">
      <w:pPr>
        <w:rPr>
          <w:rFonts w:ascii="Arial" w:eastAsia="Arial" w:hAnsi="Arial" w:cs="Arial"/>
          <w:b/>
          <w:bCs/>
          <w:sz w:val="24"/>
          <w:szCs w:val="24"/>
        </w:rPr>
      </w:pPr>
    </w:p>
    <w:p w14:paraId="20218705" w14:textId="60B19BF9" w:rsidR="46EDD448" w:rsidRDefault="46EDD448" w:rsidP="46EDD448">
      <w:pPr>
        <w:rPr>
          <w:rFonts w:ascii="Arial" w:eastAsia="Arial" w:hAnsi="Arial" w:cs="Arial"/>
          <w:b/>
          <w:bCs/>
          <w:sz w:val="24"/>
          <w:szCs w:val="24"/>
        </w:rPr>
      </w:pPr>
    </w:p>
    <w:p w14:paraId="5F2FB458" w14:textId="4BF6C487" w:rsidR="46EDD448" w:rsidRDefault="46EDD448" w:rsidP="46EDD448">
      <w:pPr>
        <w:rPr>
          <w:rFonts w:ascii="Arial" w:eastAsia="Arial" w:hAnsi="Arial" w:cs="Arial"/>
          <w:b/>
          <w:bCs/>
          <w:sz w:val="24"/>
          <w:szCs w:val="24"/>
        </w:rPr>
      </w:pPr>
    </w:p>
    <w:p w14:paraId="3C2BF589" w14:textId="4A9884AF" w:rsidR="46EDD448" w:rsidRDefault="46EDD448" w:rsidP="46EDD448">
      <w:pPr>
        <w:rPr>
          <w:rFonts w:ascii="Arial" w:eastAsia="Arial" w:hAnsi="Arial" w:cs="Arial"/>
          <w:b/>
          <w:bCs/>
          <w:sz w:val="24"/>
          <w:szCs w:val="24"/>
        </w:rPr>
      </w:pPr>
    </w:p>
    <w:p w14:paraId="4EFDF387" w14:textId="0CDC97C7" w:rsidR="46EDD448" w:rsidRDefault="46EDD448" w:rsidP="46EDD448">
      <w:pPr>
        <w:rPr>
          <w:rFonts w:ascii="Arial" w:eastAsia="Arial" w:hAnsi="Arial" w:cs="Arial"/>
          <w:b/>
          <w:bCs/>
          <w:sz w:val="24"/>
          <w:szCs w:val="24"/>
        </w:rPr>
      </w:pPr>
    </w:p>
    <w:p w14:paraId="3536F87B" w14:textId="034FDC05" w:rsidR="46EDD448" w:rsidRDefault="46EDD448" w:rsidP="46EDD448">
      <w:pPr>
        <w:rPr>
          <w:rFonts w:ascii="Arial" w:eastAsia="Arial" w:hAnsi="Arial" w:cs="Arial"/>
          <w:b/>
          <w:bCs/>
          <w:sz w:val="24"/>
          <w:szCs w:val="24"/>
        </w:rPr>
      </w:pPr>
    </w:p>
    <w:p w14:paraId="13F4C00A" w14:textId="41BC4015" w:rsidR="010A2EC9" w:rsidRDefault="010A2EC9" w:rsidP="7336895D">
      <w:pPr>
        <w:rPr>
          <w:rFonts w:ascii="Arial" w:eastAsia="Arial" w:hAnsi="Arial" w:cs="Arial"/>
          <w:b/>
          <w:bCs/>
          <w:sz w:val="24"/>
          <w:szCs w:val="24"/>
        </w:rPr>
      </w:pPr>
      <w:r w:rsidRPr="7336895D">
        <w:rPr>
          <w:rFonts w:ascii="Arial" w:eastAsia="Arial" w:hAnsi="Arial" w:cs="Arial"/>
          <w:b/>
          <w:bCs/>
          <w:sz w:val="24"/>
          <w:szCs w:val="24"/>
        </w:rPr>
        <w:lastRenderedPageBreak/>
        <w:t xml:space="preserve">Task 2: </w:t>
      </w:r>
    </w:p>
    <w:p w14:paraId="640CBB2B" w14:textId="35686027" w:rsidR="7336895D" w:rsidRDefault="7336895D" w:rsidP="7336895D">
      <w:pPr>
        <w:rPr>
          <w:b/>
          <w:bCs/>
        </w:rPr>
      </w:pPr>
    </w:p>
    <w:p w14:paraId="2A30A3F0" w14:textId="128EA37F" w:rsidR="7336895D" w:rsidRDefault="1EA28BE6" w:rsidP="03DEED5D">
      <w:pPr>
        <w:rPr>
          <w:rFonts w:ascii="Arial" w:eastAsia="Arial" w:hAnsi="Arial" w:cs="Arial"/>
          <w:b/>
          <w:bCs/>
          <w:sz w:val="24"/>
          <w:szCs w:val="24"/>
        </w:rPr>
      </w:pPr>
      <w:r w:rsidRPr="03DEED5D">
        <w:rPr>
          <w:rFonts w:ascii="Arial" w:eastAsia="Arial" w:hAnsi="Arial" w:cs="Arial"/>
          <w:b/>
          <w:bCs/>
          <w:sz w:val="24"/>
          <w:szCs w:val="24"/>
        </w:rPr>
        <w:t>You must choose a serious and complex investigation in which you played a sig</w:t>
      </w:r>
      <w:r w:rsidR="54A7A6DA" w:rsidRPr="03DEED5D">
        <w:rPr>
          <w:rFonts w:ascii="Arial" w:eastAsia="Arial" w:hAnsi="Arial" w:cs="Arial"/>
          <w:b/>
          <w:bCs/>
          <w:sz w:val="24"/>
          <w:szCs w:val="24"/>
        </w:rPr>
        <w:t>nificant</w:t>
      </w:r>
      <w:r w:rsidRPr="03DEED5D">
        <w:rPr>
          <w:rFonts w:ascii="Arial" w:eastAsia="Arial" w:hAnsi="Arial" w:cs="Arial"/>
          <w:b/>
          <w:bCs/>
          <w:sz w:val="24"/>
          <w:szCs w:val="24"/>
        </w:rPr>
        <w:t xml:space="preserve"> role and reflect upon what happened. </w:t>
      </w:r>
    </w:p>
    <w:tbl>
      <w:tblPr>
        <w:tblStyle w:val="TableGrid"/>
        <w:tblW w:w="0" w:type="auto"/>
        <w:tblLayout w:type="fixed"/>
        <w:tblLook w:val="06A0" w:firstRow="1" w:lastRow="0" w:firstColumn="1" w:lastColumn="0" w:noHBand="1" w:noVBand="1"/>
      </w:tblPr>
      <w:tblGrid>
        <w:gridCol w:w="9015"/>
      </w:tblGrid>
      <w:tr w:rsidR="7336895D" w14:paraId="377E1D5D" w14:textId="77777777" w:rsidTr="0CC6384A">
        <w:tc>
          <w:tcPr>
            <w:tcW w:w="9015" w:type="dxa"/>
          </w:tcPr>
          <w:p w14:paraId="77EB8991" w14:textId="1C7BACBC" w:rsidR="7336895D" w:rsidRDefault="7336895D" w:rsidP="7336895D">
            <w:pPr>
              <w:rPr>
                <w:rFonts w:ascii="Arial" w:eastAsia="Arial" w:hAnsi="Arial" w:cs="Arial"/>
                <w:b/>
                <w:bCs/>
                <w:color w:val="000000" w:themeColor="text1"/>
                <w:sz w:val="24"/>
                <w:szCs w:val="24"/>
              </w:rPr>
            </w:pPr>
          </w:p>
          <w:p w14:paraId="5B7D7E98" w14:textId="215459A9" w:rsidR="7336895D" w:rsidRDefault="3F4EF0E6" w:rsidP="03DEED5D">
            <w:pPr>
              <w:ind w:right="237"/>
              <w:jc w:val="both"/>
            </w:pPr>
            <w:r w:rsidRPr="0CC6384A">
              <w:rPr>
                <w:rFonts w:ascii="Arial" w:eastAsia="Arial" w:hAnsi="Arial" w:cs="Arial"/>
                <w:b/>
                <w:bCs/>
                <w:color w:val="000000" w:themeColor="text1"/>
                <w:sz w:val="24"/>
                <w:szCs w:val="24"/>
              </w:rPr>
              <w:t>Give a brief description</w:t>
            </w:r>
            <w:r w:rsidRPr="0CC6384A">
              <w:rPr>
                <w:rFonts w:ascii="Arial" w:eastAsia="Arial" w:hAnsi="Arial" w:cs="Arial"/>
                <w:color w:val="000000" w:themeColor="text1"/>
                <w:sz w:val="24"/>
                <w:szCs w:val="24"/>
              </w:rPr>
              <w:t xml:space="preserve"> of the </w:t>
            </w:r>
            <w:r w:rsidR="38E87FD7" w:rsidRPr="0CC6384A">
              <w:rPr>
                <w:rFonts w:ascii="Arial" w:eastAsia="Arial" w:hAnsi="Arial" w:cs="Arial"/>
                <w:color w:val="000000" w:themeColor="text1"/>
                <w:sz w:val="24"/>
                <w:szCs w:val="24"/>
              </w:rPr>
              <w:t>investigation</w:t>
            </w:r>
            <w:r w:rsidRPr="0CC6384A">
              <w:rPr>
                <w:rFonts w:ascii="Arial" w:eastAsia="Arial" w:hAnsi="Arial" w:cs="Arial"/>
                <w:color w:val="000000" w:themeColor="text1"/>
                <w:sz w:val="24"/>
                <w:szCs w:val="24"/>
              </w:rPr>
              <w:t xml:space="preserve"> including social and legislative contexts and any relevant cultural, ethnicity and language issues. </w:t>
            </w:r>
            <w:r w:rsidRPr="0CC6384A">
              <w:rPr>
                <w:rFonts w:ascii="Arial" w:eastAsia="Arial" w:hAnsi="Arial" w:cs="Arial"/>
                <w:sz w:val="24"/>
                <w:szCs w:val="24"/>
              </w:rPr>
              <w:t xml:space="preserve"> </w:t>
            </w:r>
          </w:p>
          <w:p w14:paraId="2A0EC8D3" w14:textId="4FDE4D25" w:rsidR="7336895D" w:rsidRDefault="7336895D" w:rsidP="03DEED5D">
            <w:pPr>
              <w:rPr>
                <w:rFonts w:ascii="Arial" w:eastAsia="Arial" w:hAnsi="Arial" w:cs="Arial"/>
                <w:b/>
                <w:bCs/>
                <w:color w:val="000000" w:themeColor="text1"/>
                <w:sz w:val="24"/>
                <w:szCs w:val="24"/>
              </w:rPr>
            </w:pPr>
          </w:p>
          <w:p w14:paraId="6308EF80" w14:textId="25B1C143" w:rsidR="7336895D" w:rsidRDefault="31918534" w:rsidP="329D81C7">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Demonstrate</w:t>
            </w:r>
            <w:r w:rsidR="523F129B" w:rsidRPr="329D81C7">
              <w:rPr>
                <w:rFonts w:ascii="Arial" w:eastAsia="Arial" w:hAnsi="Arial" w:cs="Arial"/>
                <w:b/>
                <w:bCs/>
                <w:color w:val="000000" w:themeColor="text1"/>
                <w:sz w:val="24"/>
                <w:szCs w:val="24"/>
              </w:rPr>
              <w:t xml:space="preserve"> </w:t>
            </w:r>
            <w:r w:rsidR="523F129B" w:rsidRPr="329D81C7">
              <w:rPr>
                <w:rFonts w:ascii="Arial" w:eastAsia="Arial" w:hAnsi="Arial" w:cs="Arial"/>
                <w:color w:val="000000" w:themeColor="text1"/>
                <w:sz w:val="24"/>
                <w:szCs w:val="24"/>
              </w:rPr>
              <w:t xml:space="preserve">your critical thinking, </w:t>
            </w:r>
            <w:r w:rsidR="7B797DAE" w:rsidRPr="329D81C7">
              <w:rPr>
                <w:rFonts w:ascii="Arial" w:eastAsia="Arial" w:hAnsi="Arial" w:cs="Arial"/>
                <w:color w:val="000000" w:themeColor="text1"/>
                <w:sz w:val="24"/>
                <w:szCs w:val="24"/>
              </w:rPr>
              <w:t>analysis</w:t>
            </w:r>
            <w:r w:rsidR="523F129B" w:rsidRPr="329D81C7">
              <w:rPr>
                <w:rFonts w:ascii="Arial" w:eastAsia="Arial" w:hAnsi="Arial" w:cs="Arial"/>
                <w:color w:val="000000" w:themeColor="text1"/>
                <w:sz w:val="24"/>
                <w:szCs w:val="24"/>
              </w:rPr>
              <w:t xml:space="preserve"> and evaluation of assumptions,</w:t>
            </w:r>
            <w:r w:rsidR="1B605C5A" w:rsidRPr="329D81C7">
              <w:rPr>
                <w:rFonts w:ascii="Arial" w:eastAsia="Arial" w:hAnsi="Arial" w:cs="Arial"/>
                <w:color w:val="000000" w:themeColor="text1"/>
                <w:sz w:val="24"/>
                <w:szCs w:val="24"/>
              </w:rPr>
              <w:t xml:space="preserve"> </w:t>
            </w:r>
            <w:proofErr w:type="gramStart"/>
            <w:r w:rsidR="1B605C5A" w:rsidRPr="329D81C7">
              <w:rPr>
                <w:rFonts w:ascii="Arial" w:eastAsia="Arial" w:hAnsi="Arial" w:cs="Arial"/>
                <w:color w:val="000000" w:themeColor="text1"/>
                <w:sz w:val="24"/>
                <w:szCs w:val="24"/>
              </w:rPr>
              <w:t>generalisations</w:t>
            </w:r>
            <w:proofErr w:type="gramEnd"/>
            <w:r w:rsidR="1B605C5A" w:rsidRPr="329D81C7">
              <w:rPr>
                <w:rFonts w:ascii="Arial" w:eastAsia="Arial" w:hAnsi="Arial" w:cs="Arial"/>
                <w:color w:val="000000" w:themeColor="text1"/>
                <w:sz w:val="24"/>
                <w:szCs w:val="24"/>
              </w:rPr>
              <w:t xml:space="preserve"> and </w:t>
            </w:r>
            <w:r w:rsidR="79DD1310" w:rsidRPr="329D81C7">
              <w:rPr>
                <w:rFonts w:ascii="Arial" w:eastAsia="Arial" w:hAnsi="Arial" w:cs="Arial"/>
                <w:color w:val="000000" w:themeColor="text1"/>
                <w:sz w:val="24"/>
                <w:szCs w:val="24"/>
              </w:rPr>
              <w:t xml:space="preserve">material </w:t>
            </w:r>
            <w:r w:rsidR="29553CDF" w:rsidRPr="329D81C7">
              <w:rPr>
                <w:rFonts w:ascii="Arial" w:eastAsia="Arial" w:hAnsi="Arial" w:cs="Arial"/>
                <w:color w:val="000000" w:themeColor="text1"/>
                <w:sz w:val="24"/>
                <w:szCs w:val="24"/>
              </w:rPr>
              <w:t>(that</w:t>
            </w:r>
            <w:r w:rsidR="1B605C5A" w:rsidRPr="329D81C7">
              <w:rPr>
                <w:rFonts w:ascii="Arial" w:eastAsia="Arial" w:hAnsi="Arial" w:cs="Arial"/>
                <w:color w:val="000000" w:themeColor="text1"/>
                <w:sz w:val="24"/>
                <w:szCs w:val="24"/>
              </w:rPr>
              <w:t xml:space="preserve"> may be incomplete) and how you communicated your conclusions to spe</w:t>
            </w:r>
            <w:r w:rsidR="5B474E5F" w:rsidRPr="329D81C7">
              <w:rPr>
                <w:rFonts w:ascii="Arial" w:eastAsia="Arial" w:hAnsi="Arial" w:cs="Arial"/>
                <w:color w:val="000000" w:themeColor="text1"/>
                <w:sz w:val="24"/>
                <w:szCs w:val="24"/>
              </w:rPr>
              <w:t>cialis</w:t>
            </w:r>
            <w:r w:rsidR="1B605C5A" w:rsidRPr="329D81C7">
              <w:rPr>
                <w:rFonts w:ascii="Arial" w:eastAsia="Arial" w:hAnsi="Arial" w:cs="Arial"/>
                <w:color w:val="000000" w:themeColor="text1"/>
                <w:sz w:val="24"/>
                <w:szCs w:val="24"/>
              </w:rPr>
              <w:t xml:space="preserve">t and </w:t>
            </w:r>
            <w:r w:rsidR="35783E96" w:rsidRPr="329D81C7">
              <w:rPr>
                <w:rFonts w:ascii="Arial" w:eastAsia="Arial" w:hAnsi="Arial" w:cs="Arial"/>
                <w:color w:val="000000" w:themeColor="text1"/>
                <w:sz w:val="24"/>
                <w:szCs w:val="24"/>
              </w:rPr>
              <w:t>non-specialist</w:t>
            </w:r>
            <w:r w:rsidR="020828E7" w:rsidRPr="329D81C7">
              <w:rPr>
                <w:rFonts w:ascii="Arial" w:eastAsia="Arial" w:hAnsi="Arial" w:cs="Arial"/>
                <w:color w:val="000000" w:themeColor="text1"/>
                <w:sz w:val="24"/>
                <w:szCs w:val="24"/>
              </w:rPr>
              <w:t xml:space="preserve"> </w:t>
            </w:r>
            <w:r w:rsidR="6BBC6C41" w:rsidRPr="329D81C7">
              <w:rPr>
                <w:rFonts w:ascii="Arial" w:eastAsia="Arial" w:hAnsi="Arial" w:cs="Arial"/>
                <w:color w:val="000000" w:themeColor="text1"/>
                <w:sz w:val="24"/>
                <w:szCs w:val="24"/>
              </w:rPr>
              <w:t xml:space="preserve">investigators/departments. </w:t>
            </w:r>
          </w:p>
          <w:p w14:paraId="3581A5A9" w14:textId="4571C8BC" w:rsidR="03DEED5D" w:rsidRDefault="03DEED5D" w:rsidP="03DEED5D">
            <w:pPr>
              <w:rPr>
                <w:rFonts w:ascii="Arial" w:eastAsia="Arial" w:hAnsi="Arial" w:cs="Arial"/>
                <w:color w:val="000000" w:themeColor="text1"/>
                <w:sz w:val="24"/>
                <w:szCs w:val="24"/>
              </w:rPr>
            </w:pPr>
          </w:p>
          <w:p w14:paraId="013A9FE2" w14:textId="08EB51BA" w:rsidR="7C31C3AD" w:rsidRDefault="1D2CF273" w:rsidP="329D81C7">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Critically evaluate </w:t>
            </w:r>
            <w:r w:rsidRPr="329D81C7">
              <w:rPr>
                <w:rFonts w:ascii="Arial" w:eastAsia="Arial" w:hAnsi="Arial" w:cs="Arial"/>
                <w:color w:val="000000" w:themeColor="text1"/>
                <w:sz w:val="24"/>
                <w:szCs w:val="24"/>
              </w:rPr>
              <w:t xml:space="preserve">the challenges associated with the investigation and the actions undertaken to effectively </w:t>
            </w:r>
            <w:r w:rsidR="1391F65D" w:rsidRPr="329D81C7">
              <w:rPr>
                <w:rFonts w:ascii="Arial" w:eastAsia="Arial" w:hAnsi="Arial" w:cs="Arial"/>
                <w:color w:val="000000" w:themeColor="text1"/>
                <w:sz w:val="24"/>
                <w:szCs w:val="24"/>
              </w:rPr>
              <w:t xml:space="preserve">deal with such challenging situations. </w:t>
            </w:r>
          </w:p>
          <w:p w14:paraId="3F6AF353" w14:textId="372B94E9" w:rsidR="03DEED5D" w:rsidRDefault="03DEED5D" w:rsidP="03DEED5D">
            <w:pPr>
              <w:rPr>
                <w:rFonts w:ascii="Arial" w:eastAsia="Arial" w:hAnsi="Arial" w:cs="Arial"/>
                <w:color w:val="000000" w:themeColor="text1"/>
                <w:sz w:val="24"/>
                <w:szCs w:val="24"/>
              </w:rPr>
            </w:pPr>
          </w:p>
          <w:p w14:paraId="517D5725" w14:textId="763BA0DA" w:rsidR="7336895D" w:rsidRDefault="7336895D" w:rsidP="7336895D">
            <w:pPr>
              <w:rPr>
                <w:rFonts w:ascii="Arial" w:eastAsia="Arial" w:hAnsi="Arial" w:cs="Arial"/>
                <w:b/>
                <w:bCs/>
                <w:color w:val="000000" w:themeColor="text1"/>
                <w:sz w:val="24"/>
                <w:szCs w:val="24"/>
              </w:rPr>
            </w:pPr>
          </w:p>
          <w:p w14:paraId="46D1E276" w14:textId="18E33863" w:rsidR="7336895D" w:rsidRDefault="1632D6E4" w:rsidP="03DEED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5C6A6876" w14:textId="0C3FF682" w:rsidR="7336895D" w:rsidRDefault="7336895D" w:rsidP="46EDD448">
            <w:pPr>
              <w:rPr>
                <w:rFonts w:ascii="Arial" w:eastAsia="Arial" w:hAnsi="Arial" w:cs="Arial"/>
                <w:b/>
                <w:bCs/>
                <w:color w:val="000000" w:themeColor="text1"/>
                <w:sz w:val="24"/>
                <w:szCs w:val="24"/>
              </w:rPr>
            </w:pPr>
          </w:p>
          <w:p w14:paraId="33BEFD48" w14:textId="38C99E96" w:rsidR="7336895D" w:rsidRDefault="7336895D" w:rsidP="7336895D">
            <w:pPr>
              <w:rPr>
                <w:rFonts w:ascii="Arial" w:eastAsia="Arial" w:hAnsi="Arial" w:cs="Arial"/>
                <w:b/>
                <w:bCs/>
                <w:color w:val="000000" w:themeColor="text1"/>
                <w:sz w:val="24"/>
                <w:szCs w:val="24"/>
              </w:rPr>
            </w:pPr>
          </w:p>
        </w:tc>
      </w:tr>
    </w:tbl>
    <w:p w14:paraId="28824CA4" w14:textId="5793308C" w:rsidR="7336895D" w:rsidRDefault="7336895D" w:rsidP="7336895D">
      <w:pPr>
        <w:ind w:left="3600" w:right="107" w:firstLine="720"/>
        <w:jc w:val="both"/>
        <w:rPr>
          <w:rFonts w:ascii="Arial" w:eastAsia="Arial" w:hAnsi="Arial" w:cs="Arial"/>
          <w:b/>
          <w:bCs/>
          <w:color w:val="000000" w:themeColor="text1"/>
          <w:sz w:val="24"/>
          <w:szCs w:val="24"/>
        </w:rPr>
      </w:pPr>
    </w:p>
    <w:p w14:paraId="10FF5F22" w14:textId="3698F266" w:rsidR="7336895D" w:rsidRDefault="7336895D" w:rsidP="0039348E">
      <w:pPr>
        <w:spacing w:line="360" w:lineRule="auto"/>
        <w:ind w:right="237"/>
        <w:jc w:val="both"/>
        <w:rPr>
          <w:rFonts w:ascii="Arial" w:eastAsia="Arial" w:hAnsi="Arial" w:cs="Arial"/>
          <w:color w:val="000000" w:themeColor="text1"/>
          <w:sz w:val="24"/>
          <w:szCs w:val="24"/>
        </w:rPr>
      </w:pPr>
    </w:p>
    <w:p w14:paraId="758715EC" w14:textId="7E6D337C" w:rsidR="7336895D" w:rsidRDefault="1C8BC369" w:rsidP="0039348E">
      <w:pPr>
        <w:spacing w:line="360" w:lineRule="auto"/>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555CABA9" w14:textId="77777777" w:rsidR="000C2BE6" w:rsidRPr="000D7EC3" w:rsidRDefault="000C2BE6" w:rsidP="0039348E">
      <w:pPr>
        <w:pStyle w:val="Body"/>
        <w:spacing w:line="360" w:lineRule="auto"/>
        <w:ind w:right="237"/>
        <w:jc w:val="both"/>
        <w:rPr>
          <w:rFonts w:ascii="Arial" w:hAnsi="Arial" w:cs="Arial"/>
          <w:b/>
          <w:bCs/>
          <w:sz w:val="24"/>
          <w:szCs w:val="24"/>
          <w:lang w:val="en-GB"/>
        </w:rPr>
      </w:pPr>
      <w:r w:rsidRPr="000D7EC3">
        <w:rPr>
          <w:rFonts w:ascii="Arial" w:hAnsi="Arial" w:cs="Arial"/>
          <w:b/>
          <w:bCs/>
          <w:sz w:val="24"/>
          <w:szCs w:val="24"/>
          <w:lang w:val="en-GB"/>
        </w:rPr>
        <w:t xml:space="preserve">Give a brief description of the investigation including social and legislative contexts and any relevant cultural, ethnicity and language issues.  </w:t>
      </w:r>
    </w:p>
    <w:p w14:paraId="5F32590B"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 was the officer in the case for an investigation into threats to kill which occurred in Ceredigion. The circumstances briefly involved a vulnerable 18-year-old male suspect who had made verbal threats to a health worker that in the coming days he would kill several patients at a clinic with whom the suspect had disagreements with previously. It was believed that the suspect suffered from not only serious physical health conditions, but various mental issues also. This individual had a fascination with the comic book character ‘joker’ and had used a razor blade to self-harm, leaving him with serious scarring either side of his mouth like that of the joker. </w:t>
      </w:r>
    </w:p>
    <w:p w14:paraId="298EF55B"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Whilst on the face of it the investigation seemed straight forward, as the investigation continued there were several challenges that I faced.</w:t>
      </w:r>
    </w:p>
    <w:p w14:paraId="6C676F49" w14:textId="77777777" w:rsidR="000C2BE6" w:rsidRPr="000C2BE6" w:rsidRDefault="000C2BE6" w:rsidP="0039348E">
      <w:pPr>
        <w:pStyle w:val="Body"/>
        <w:spacing w:line="360" w:lineRule="auto"/>
        <w:jc w:val="both"/>
        <w:rPr>
          <w:rFonts w:ascii="Arial" w:eastAsia="Arial" w:hAnsi="Arial" w:cs="Arial"/>
          <w:sz w:val="24"/>
          <w:szCs w:val="24"/>
          <w:lang w:val="en-GB"/>
        </w:rPr>
      </w:pPr>
      <w:r w:rsidRPr="000C2BE6">
        <w:rPr>
          <w:rFonts w:ascii="Arial" w:eastAsia="Arial" w:hAnsi="Arial" w:cs="Arial"/>
          <w:sz w:val="24"/>
          <w:szCs w:val="24"/>
          <w:lang w:val="en-GB"/>
        </w:rPr>
        <w:t>(132 words)</w:t>
      </w:r>
    </w:p>
    <w:p w14:paraId="57252B72" w14:textId="77777777" w:rsidR="000C2BE6" w:rsidRPr="000C2BE6" w:rsidRDefault="000C2BE6" w:rsidP="0039348E">
      <w:pPr>
        <w:pStyle w:val="Body"/>
        <w:spacing w:line="360" w:lineRule="auto"/>
        <w:jc w:val="both"/>
        <w:rPr>
          <w:rFonts w:ascii="Arial" w:hAnsi="Arial" w:cs="Arial"/>
          <w:b/>
          <w:bCs/>
          <w:sz w:val="24"/>
          <w:szCs w:val="24"/>
          <w:lang w:val="en-GB"/>
        </w:rPr>
      </w:pPr>
      <w:r w:rsidRPr="000C2BE6">
        <w:rPr>
          <w:rFonts w:ascii="Arial" w:hAnsi="Arial" w:cs="Arial"/>
          <w:b/>
          <w:bCs/>
          <w:sz w:val="24"/>
          <w:szCs w:val="24"/>
          <w:lang w:val="en-GB"/>
        </w:rPr>
        <w:lastRenderedPageBreak/>
        <w:t xml:space="preserve">Demonstrate your critical thinking, analysis and evaluation of assumptions, </w:t>
      </w:r>
      <w:proofErr w:type="gramStart"/>
      <w:r w:rsidRPr="000C2BE6">
        <w:rPr>
          <w:rFonts w:ascii="Arial" w:hAnsi="Arial" w:cs="Arial"/>
          <w:b/>
          <w:bCs/>
          <w:sz w:val="24"/>
          <w:szCs w:val="24"/>
          <w:lang w:val="en-GB"/>
        </w:rPr>
        <w:t>generalisations</w:t>
      </w:r>
      <w:proofErr w:type="gramEnd"/>
      <w:r w:rsidRPr="000C2BE6">
        <w:rPr>
          <w:rFonts w:ascii="Arial" w:hAnsi="Arial" w:cs="Arial"/>
          <w:b/>
          <w:bCs/>
          <w:sz w:val="24"/>
          <w:szCs w:val="24"/>
          <w:lang w:val="en-GB"/>
        </w:rPr>
        <w:t xml:space="preserve"> and material (that may be incomplete) and how you communicated your conclusions to specialist and non-specialist investigators/departments</w:t>
      </w:r>
    </w:p>
    <w:p w14:paraId="48008BDB"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Reviewing all the material available to me, I established that the suspect had indicated that he felt sexually aroused and exhilarated when having thoughts of physically harming people and stated he would kill several people when next attending a hospital clinic, due perceived bulling he was subject to by other patients. The suspect reiterated these plans several times and explained in detail how he would murder those responsible for his bullying with the use of knives and homemade acid. The suspect was arrested on suspicion of making threats to kill (</w:t>
      </w:r>
      <w:r w:rsidRPr="000C2BE6">
        <w:rPr>
          <w:rFonts w:ascii="Arial" w:hAnsi="Arial" w:cs="Arial"/>
          <w:i/>
          <w:iCs/>
          <w:sz w:val="24"/>
          <w:szCs w:val="24"/>
          <w:lang w:val="en-GB"/>
        </w:rPr>
        <w:t>Police and Criminal Evidence Act 1984, Offences against the Person Act 1861)</w:t>
      </w:r>
      <w:r w:rsidRPr="000C2BE6">
        <w:rPr>
          <w:rFonts w:ascii="Arial" w:hAnsi="Arial" w:cs="Arial"/>
          <w:sz w:val="24"/>
          <w:szCs w:val="24"/>
          <w:lang w:val="en-GB"/>
        </w:rPr>
        <w:t xml:space="preserve">. </w:t>
      </w:r>
    </w:p>
    <w:p w14:paraId="5802296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During this investigation I had three assumptions. </w:t>
      </w:r>
    </w:p>
    <w:p w14:paraId="65FBFE6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Firstly, based upon the information I had at the time, I assumed that the suspects mental health would play a large part in the investigation. </w:t>
      </w:r>
    </w:p>
    <w:p w14:paraId="0F5BC46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The first assumption became immediately apparent as prior to his arrest, officers conveyed the suspect to A&amp;E to speak with the mental health crisis team. The result however was the suspect did not need to be admitted into a formal mental health establishment. Information had also been provided by family members that the suspect was suffering from undiagnosed mental disorders. </w:t>
      </w:r>
    </w:p>
    <w:p w14:paraId="4E89ACF5"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I had to consider how significant any mental disorders faced by the suspect impacted on the investigation. It may be the case that the offending actions are a direct result of mental ill health, or conversely play no significant part in the criminal act (College of Policing, 2016). Clearly this would be a deciding factor in whether to prosecute the suspect. I had to ensure that I gathered material relevant to the suspects mental health in whatever format that may be and present it to the CPS when seeking a charging decision. The legal guidance provided by the CPS states:</w:t>
      </w:r>
    </w:p>
    <w:p w14:paraId="12BD062D" w14:textId="77777777" w:rsidR="000C2BE6" w:rsidRPr="000C2BE6" w:rsidRDefault="000C2BE6" w:rsidP="0039348E">
      <w:pPr>
        <w:pStyle w:val="Body"/>
        <w:spacing w:line="360" w:lineRule="auto"/>
        <w:ind w:left="720"/>
        <w:jc w:val="both"/>
        <w:rPr>
          <w:rFonts w:ascii="Arial" w:hAnsi="Arial" w:cs="Arial"/>
          <w:i/>
          <w:iCs/>
          <w:sz w:val="24"/>
          <w:szCs w:val="24"/>
          <w:lang w:val="en-GB"/>
        </w:rPr>
      </w:pPr>
      <w:r w:rsidRPr="000C2BE6">
        <w:rPr>
          <w:rFonts w:ascii="Arial" w:hAnsi="Arial" w:cs="Arial"/>
          <w:i/>
          <w:iCs/>
          <w:sz w:val="24"/>
          <w:szCs w:val="24"/>
          <w:lang w:val="en-GB"/>
        </w:rPr>
        <w:t xml:space="preserve">The first question is to ensure that the investigator has identified to the decision-maker that the suspect's mental health condition or disorder may be a live issue. This must be done clearly in the request for a charging decision, and it must state the grounds on which it is based. </w:t>
      </w:r>
    </w:p>
    <w:p w14:paraId="78A2B7A6" w14:textId="77777777" w:rsidR="000C2BE6" w:rsidRPr="000C2BE6" w:rsidRDefault="000C2BE6" w:rsidP="0039348E">
      <w:pPr>
        <w:pStyle w:val="Body"/>
        <w:spacing w:line="360" w:lineRule="auto"/>
        <w:ind w:left="720"/>
        <w:jc w:val="both"/>
        <w:rPr>
          <w:rFonts w:ascii="Arial" w:hAnsi="Arial" w:cs="Arial"/>
          <w:sz w:val="24"/>
          <w:szCs w:val="24"/>
          <w:lang w:val="en-GB"/>
        </w:rPr>
      </w:pPr>
      <w:r w:rsidRPr="000C2BE6">
        <w:rPr>
          <w:rFonts w:ascii="Arial" w:hAnsi="Arial" w:cs="Arial"/>
          <w:i/>
          <w:iCs/>
          <w:sz w:val="24"/>
          <w:szCs w:val="24"/>
          <w:lang w:val="en-GB"/>
        </w:rPr>
        <w:lastRenderedPageBreak/>
        <w:tab/>
      </w:r>
      <w:r w:rsidRPr="000C2BE6">
        <w:rPr>
          <w:rFonts w:ascii="Arial" w:hAnsi="Arial" w:cs="Arial"/>
          <w:i/>
          <w:iCs/>
          <w:sz w:val="24"/>
          <w:szCs w:val="24"/>
          <w:lang w:val="en-GB"/>
        </w:rPr>
        <w:tab/>
      </w:r>
      <w:r w:rsidRPr="000C2BE6">
        <w:rPr>
          <w:rFonts w:ascii="Arial" w:hAnsi="Arial" w:cs="Arial"/>
          <w:i/>
          <w:iCs/>
          <w:sz w:val="24"/>
          <w:szCs w:val="24"/>
          <w:lang w:val="en-GB"/>
        </w:rPr>
        <w:tab/>
      </w:r>
      <w:r w:rsidRPr="000C2BE6">
        <w:rPr>
          <w:rFonts w:ascii="Arial" w:hAnsi="Arial" w:cs="Arial"/>
          <w:i/>
          <w:iCs/>
          <w:sz w:val="24"/>
          <w:szCs w:val="24"/>
          <w:lang w:val="en-GB"/>
        </w:rPr>
        <w:tab/>
      </w:r>
      <w:r w:rsidRPr="000C2BE6">
        <w:rPr>
          <w:rFonts w:ascii="Arial" w:hAnsi="Arial" w:cs="Arial"/>
          <w:i/>
          <w:iCs/>
          <w:sz w:val="24"/>
          <w:szCs w:val="24"/>
          <w:lang w:val="en-GB"/>
        </w:rPr>
        <w:tab/>
      </w:r>
      <w:r w:rsidRPr="000C2BE6">
        <w:rPr>
          <w:rFonts w:ascii="Arial" w:hAnsi="Arial" w:cs="Arial"/>
          <w:i/>
          <w:iCs/>
          <w:sz w:val="24"/>
          <w:szCs w:val="24"/>
          <w:lang w:val="en-GB"/>
        </w:rPr>
        <w:tab/>
        <w:t>(Crown Prosecution Service, 2019)</w:t>
      </w:r>
    </w:p>
    <w:p w14:paraId="156C4A34"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 had to be mindful not to assume that the suspect had a mental health disorder that would affect his culpability without any material to corroborate this. Assuming this may lead me to ignore or discount other feasible lines of enquiry which should be followed and led to key material which would have otherwise been missed. It was equally important not to discount the mental health issue entirely and to be mindful of how this would affect the investigation. For example, had I paid little mind to this issue and at Crown Court the defendant was not fit to stand trial, this would have serious consequences, not only for me as the officer in the case, but a negative effect on public confidence in the police’s ability to bring offenders to justice. </w:t>
      </w:r>
    </w:p>
    <w:p w14:paraId="766759C5"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Research shows that people suffering with a mental disorder are in fact, more likely to be victims of violent crime (Buckley, 2018) and that homicide offences related to mental disorders have declined to historically low levels (Large et al, 2008, p. 130 - 133). </w:t>
      </w:r>
    </w:p>
    <w:p w14:paraId="75EBD333"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 any case, I had to be cognisant that all suspects are presumed to be sane and legally accountable for their actions unless it can be proved to the contrary in court (College of Policing, 2016) this is an underlying principle of the criminal justice system as outlined in the </w:t>
      </w:r>
      <w:r w:rsidRPr="000C2BE6">
        <w:rPr>
          <w:rFonts w:ascii="Arial" w:hAnsi="Arial" w:cs="Arial"/>
          <w:i/>
          <w:iCs/>
          <w:sz w:val="24"/>
          <w:szCs w:val="24"/>
          <w:lang w:val="en-GB"/>
        </w:rPr>
        <w:t xml:space="preserve">‘Queen v. </w:t>
      </w:r>
      <w:proofErr w:type="spellStart"/>
      <w:r w:rsidRPr="000C2BE6">
        <w:rPr>
          <w:rFonts w:ascii="Arial" w:hAnsi="Arial" w:cs="Arial"/>
          <w:i/>
          <w:iCs/>
          <w:sz w:val="24"/>
          <w:szCs w:val="24"/>
          <w:lang w:val="en-GB"/>
        </w:rPr>
        <w:t>M’Naughten</w:t>
      </w:r>
      <w:proofErr w:type="spellEnd"/>
      <w:r w:rsidRPr="000C2BE6">
        <w:rPr>
          <w:rFonts w:ascii="Arial" w:hAnsi="Arial" w:cs="Arial"/>
          <w:i/>
          <w:iCs/>
          <w:sz w:val="24"/>
          <w:szCs w:val="24"/>
          <w:lang w:val="en-GB"/>
        </w:rPr>
        <w:t xml:space="preserve"> (1843)’</w:t>
      </w:r>
      <w:r w:rsidRPr="000C2BE6">
        <w:rPr>
          <w:rFonts w:ascii="Arial" w:hAnsi="Arial" w:cs="Arial"/>
          <w:sz w:val="24"/>
          <w:szCs w:val="24"/>
          <w:lang w:val="en-GB"/>
        </w:rPr>
        <w:t xml:space="preserve"> rules on insanity.</w:t>
      </w:r>
    </w:p>
    <w:p w14:paraId="73123672" w14:textId="18833ADF"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My second assumption was that like all previous offences of threats to kill which I had investigated, there would be no actual intent to kill, merely the intent for the other person to believe that the threat would be carried out</w:t>
      </w:r>
      <w:r w:rsidR="00995A4E">
        <w:rPr>
          <w:rFonts w:ascii="Arial" w:hAnsi="Arial" w:cs="Arial"/>
          <w:sz w:val="24"/>
          <w:szCs w:val="24"/>
          <w:lang w:val="en-GB"/>
        </w:rPr>
        <w:t xml:space="preserve"> (</w:t>
      </w:r>
      <w:r w:rsidR="00995A4E" w:rsidRPr="000C2BE6">
        <w:rPr>
          <w:rFonts w:ascii="Arial" w:hAnsi="Arial" w:cs="Arial"/>
          <w:i/>
          <w:iCs/>
          <w:sz w:val="24"/>
          <w:szCs w:val="24"/>
          <w:lang w:val="en-GB"/>
        </w:rPr>
        <w:t>Offences against the Person Act 1861</w:t>
      </w:r>
      <w:r w:rsidR="00995A4E">
        <w:rPr>
          <w:rFonts w:ascii="Arial" w:hAnsi="Arial" w:cs="Arial"/>
          <w:i/>
          <w:iCs/>
          <w:sz w:val="24"/>
          <w:szCs w:val="24"/>
          <w:lang w:val="en-GB"/>
        </w:rPr>
        <w:t>).</w:t>
      </w:r>
    </w:p>
    <w:p w14:paraId="1CBFBB69"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 making this assumption and not considering any alternative theories, I was potentially falling into the trap of confirmation bias as explained by </w:t>
      </w: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xml:space="preserve"> (2021) where he explains it as a tendency to seek out more evidence to support our existing beliefs and judgements. Once a decision has been made to arrest a suspect, it can be difficult to maintain an open mind and consider another hypothesis (</w:t>
      </w: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2016, p. 206).</w:t>
      </w:r>
    </w:p>
    <w:p w14:paraId="028578B3"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Whilst bias and assumptions in a criminal investigation can be seen as a negative, there are benefits to developing hypothesis, as stated by </w:t>
      </w:r>
      <w:proofErr w:type="spellStart"/>
      <w:r w:rsidRPr="000C2BE6">
        <w:rPr>
          <w:rFonts w:ascii="Arial" w:hAnsi="Arial" w:cs="Arial"/>
          <w:sz w:val="24"/>
          <w:szCs w:val="24"/>
          <w:lang w:val="en-GB"/>
        </w:rPr>
        <w:t>Sunde</w:t>
      </w:r>
      <w:proofErr w:type="spellEnd"/>
      <w:r w:rsidRPr="000C2BE6">
        <w:rPr>
          <w:rFonts w:ascii="Arial" w:hAnsi="Arial" w:cs="Arial"/>
          <w:sz w:val="24"/>
          <w:szCs w:val="24"/>
          <w:lang w:val="en-GB"/>
        </w:rPr>
        <w:t xml:space="preserve"> (2022, p.276) which are ‘enabling detectives to discover the full scope of the incident under investigation.’ </w:t>
      </w:r>
      <w:r w:rsidRPr="000C2BE6">
        <w:rPr>
          <w:rFonts w:ascii="Arial" w:hAnsi="Arial" w:cs="Arial"/>
          <w:sz w:val="24"/>
          <w:szCs w:val="24"/>
          <w:lang w:val="en-GB"/>
        </w:rPr>
        <w:lastRenderedPageBreak/>
        <w:t>Hypothesis development is also encouraged by the National Police Chiefs Council (2021) where they state that an objective hypothesis can ‘provide a foundation for investigative decision making and planning’.</w:t>
      </w:r>
    </w:p>
    <w:p w14:paraId="55741E6D" w14:textId="77777777" w:rsidR="000C2BE6" w:rsidRPr="000C2BE6" w:rsidRDefault="000C2BE6" w:rsidP="0039348E">
      <w:pPr>
        <w:pStyle w:val="Body"/>
        <w:spacing w:line="360" w:lineRule="auto"/>
        <w:jc w:val="both"/>
        <w:rPr>
          <w:rFonts w:ascii="Arial" w:hAnsi="Arial" w:cs="Arial"/>
          <w:sz w:val="24"/>
          <w:szCs w:val="24"/>
        </w:rPr>
      </w:pPr>
      <w:r w:rsidRPr="000C2BE6">
        <w:rPr>
          <w:rFonts w:ascii="Arial" w:hAnsi="Arial" w:cs="Arial"/>
          <w:sz w:val="24"/>
          <w:szCs w:val="24"/>
          <w:lang w:val="en-GB"/>
        </w:rPr>
        <w:t>A third assumption I made during the investigation was the impact this would have on the victims. Once identified, I explained the situation and incorrectly assumed that they would understand the seriousness of the situation, as reported by Ault and Smith (2022) ‘</w:t>
      </w:r>
      <w:r w:rsidRPr="000C2BE6">
        <w:rPr>
          <w:rFonts w:ascii="Arial" w:hAnsi="Arial" w:cs="Arial"/>
          <w:sz w:val="24"/>
          <w:szCs w:val="24"/>
        </w:rPr>
        <w:t xml:space="preserve">Having someone threaten to kill you is terrifying – people will feel </w:t>
      </w:r>
      <w:r w:rsidRPr="000C2BE6">
        <w:rPr>
          <w:rFonts w:ascii="Arial" w:hAnsi="Arial" w:cs="Arial"/>
          <w:sz w:val="24"/>
          <w:szCs w:val="24"/>
          <w:lang w:val="en-GB"/>
        </w:rPr>
        <w:t>traumatised</w:t>
      </w:r>
      <w:r w:rsidRPr="000C2BE6">
        <w:rPr>
          <w:rFonts w:ascii="Arial" w:hAnsi="Arial" w:cs="Arial"/>
          <w:sz w:val="24"/>
          <w:szCs w:val="24"/>
        </w:rPr>
        <w:t xml:space="preserve"> and anxious about their safety for months or years to come’. This is corroborated by research by the Office for National Statistics which shows that 82% of victims of violence without injury are emotionally affected (Office for National Statistics, 2020).</w:t>
      </w:r>
    </w:p>
    <w:p w14:paraId="62C02CAA"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rPr>
        <w:t xml:space="preserve">This was not the case however, and </w:t>
      </w:r>
      <w:r w:rsidRPr="000C2BE6">
        <w:rPr>
          <w:rFonts w:ascii="Arial" w:hAnsi="Arial" w:cs="Arial"/>
          <w:sz w:val="24"/>
          <w:szCs w:val="24"/>
          <w:lang w:val="en-GB"/>
        </w:rPr>
        <w:t xml:space="preserve">despite the suspects clear intention to kill, the victim did not take the threats seriously. I had assumed that due to spending hours on this investigation, including interviewing the suspect and discussing the case with colleagues who all understood the seriousness of the threats, that the victim would also appreciate the seriousness of the threat to his life. </w:t>
      </w:r>
    </w:p>
    <w:p w14:paraId="017E6A47" w14:textId="380DF2FF" w:rsidR="000C2BE6" w:rsidRPr="000C2BE6" w:rsidRDefault="00B91D4F" w:rsidP="0039348E">
      <w:pPr>
        <w:pStyle w:val="Body"/>
        <w:spacing w:line="360" w:lineRule="auto"/>
        <w:jc w:val="both"/>
        <w:rPr>
          <w:rFonts w:ascii="Arial" w:hAnsi="Arial" w:cs="Arial"/>
          <w:sz w:val="24"/>
          <w:szCs w:val="24"/>
          <w:lang w:val="en-GB"/>
        </w:rPr>
      </w:pPr>
      <w:proofErr w:type="gramStart"/>
      <w:r>
        <w:rPr>
          <w:rFonts w:ascii="Arial" w:hAnsi="Arial" w:cs="Arial"/>
          <w:sz w:val="24"/>
          <w:szCs w:val="24"/>
          <w:lang w:val="en-GB"/>
        </w:rPr>
        <w:t>M</w:t>
      </w:r>
      <w:r w:rsidR="000C2BE6" w:rsidRPr="000C2BE6">
        <w:rPr>
          <w:rFonts w:ascii="Arial" w:hAnsi="Arial" w:cs="Arial"/>
          <w:sz w:val="24"/>
          <w:szCs w:val="24"/>
          <w:lang w:val="en-GB"/>
        </w:rPr>
        <w:t>aking this assumption, there</w:t>
      </w:r>
      <w:proofErr w:type="gramEnd"/>
      <w:r w:rsidR="000C2BE6" w:rsidRPr="000C2BE6">
        <w:rPr>
          <w:rFonts w:ascii="Arial" w:hAnsi="Arial" w:cs="Arial"/>
          <w:sz w:val="24"/>
          <w:szCs w:val="24"/>
          <w:lang w:val="en-GB"/>
        </w:rPr>
        <w:t xml:space="preserve"> were positive and negative impacts on the investigation; in taking the threats seriously the police were actively taking steps to protect the victim and ensure the victims welfare was safeguarded, by arresting the suspect and assessing his mental health status. Taking these steps, I was adhering to obligations imposed on the police which have come out of several high-profile cases such as ‘</w:t>
      </w:r>
      <w:r w:rsidR="000C2BE6" w:rsidRPr="000C2BE6">
        <w:rPr>
          <w:rFonts w:ascii="Arial" w:hAnsi="Arial" w:cs="Arial"/>
          <w:i/>
          <w:iCs/>
          <w:sz w:val="24"/>
          <w:szCs w:val="24"/>
          <w:lang w:val="en-GB"/>
        </w:rPr>
        <w:t>Osman v United Kingdom’</w:t>
      </w:r>
      <w:r w:rsidR="000C2BE6" w:rsidRPr="000C2BE6">
        <w:rPr>
          <w:rFonts w:ascii="Arial" w:hAnsi="Arial" w:cs="Arial"/>
          <w:sz w:val="24"/>
          <w:szCs w:val="24"/>
          <w:lang w:val="en-GB"/>
        </w:rPr>
        <w:t xml:space="preserve"> (1997) and ‘</w:t>
      </w:r>
      <w:proofErr w:type="spellStart"/>
      <w:r w:rsidR="000C2BE6" w:rsidRPr="000C2BE6">
        <w:rPr>
          <w:rFonts w:ascii="Arial" w:hAnsi="Arial" w:cs="Arial"/>
          <w:i/>
          <w:iCs/>
          <w:sz w:val="24"/>
          <w:szCs w:val="24"/>
          <w:lang w:val="en-GB"/>
        </w:rPr>
        <w:t>Sarjantson</w:t>
      </w:r>
      <w:proofErr w:type="spellEnd"/>
      <w:r w:rsidR="000C2BE6" w:rsidRPr="000C2BE6">
        <w:rPr>
          <w:rFonts w:ascii="Arial" w:hAnsi="Arial" w:cs="Arial"/>
          <w:i/>
          <w:iCs/>
          <w:sz w:val="24"/>
          <w:szCs w:val="24"/>
          <w:lang w:val="en-GB"/>
        </w:rPr>
        <w:t xml:space="preserve"> v Chief Constable of Humberside Police’</w:t>
      </w:r>
      <w:r w:rsidR="000C2BE6" w:rsidRPr="000C2BE6">
        <w:rPr>
          <w:rFonts w:ascii="Arial" w:hAnsi="Arial" w:cs="Arial"/>
          <w:sz w:val="24"/>
          <w:szCs w:val="24"/>
          <w:lang w:val="en-GB"/>
        </w:rPr>
        <w:t xml:space="preserve"> (2013). </w:t>
      </w:r>
    </w:p>
    <w:p w14:paraId="69BFC436"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On the other hand, there were limitations in how the police could protect someone who does not see themselves as victims, it may be for example that the victim does not adhere to the advice given by the police and refuses to take responsibility for their own welfare. </w:t>
      </w:r>
    </w:p>
    <w:p w14:paraId="7CD74214" w14:textId="40BD3B09"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As highlighted by the charity Victim Support (2017), crime does not affect people in the same way which </w:t>
      </w:r>
      <w:r w:rsidR="00D1779F">
        <w:rPr>
          <w:rFonts w:ascii="Arial" w:hAnsi="Arial" w:cs="Arial"/>
          <w:sz w:val="24"/>
          <w:szCs w:val="24"/>
          <w:lang w:val="en-GB"/>
        </w:rPr>
        <w:t xml:space="preserve">may </w:t>
      </w:r>
      <w:r w:rsidRPr="000C2BE6">
        <w:rPr>
          <w:rFonts w:ascii="Arial" w:hAnsi="Arial" w:cs="Arial"/>
          <w:sz w:val="24"/>
          <w:szCs w:val="24"/>
          <w:lang w:val="en-GB"/>
        </w:rPr>
        <w:t xml:space="preserve">explain the victim’s reaction. Victim Support also states that victims </w:t>
      </w:r>
      <w:proofErr w:type="gramStart"/>
      <w:r w:rsidRPr="000C2BE6">
        <w:rPr>
          <w:rFonts w:ascii="Arial" w:hAnsi="Arial" w:cs="Arial"/>
          <w:sz w:val="24"/>
          <w:szCs w:val="24"/>
          <w:lang w:val="en-GB"/>
        </w:rPr>
        <w:t>needs</w:t>
      </w:r>
      <w:proofErr w:type="gramEnd"/>
      <w:r w:rsidRPr="000C2BE6">
        <w:rPr>
          <w:rFonts w:ascii="Arial" w:hAnsi="Arial" w:cs="Arial"/>
          <w:sz w:val="24"/>
          <w:szCs w:val="24"/>
          <w:lang w:val="en-GB"/>
        </w:rPr>
        <w:t xml:space="preserve"> change over time, with some </w:t>
      </w:r>
      <w:r w:rsidR="003E1E11">
        <w:rPr>
          <w:rFonts w:ascii="Arial" w:hAnsi="Arial" w:cs="Arial"/>
          <w:sz w:val="24"/>
          <w:szCs w:val="24"/>
          <w:lang w:val="en-GB"/>
        </w:rPr>
        <w:t xml:space="preserve">victims needs </w:t>
      </w:r>
      <w:r w:rsidRPr="000C2BE6">
        <w:rPr>
          <w:rFonts w:ascii="Arial" w:hAnsi="Arial" w:cs="Arial"/>
          <w:sz w:val="24"/>
          <w:szCs w:val="24"/>
          <w:lang w:val="en-GB"/>
        </w:rPr>
        <w:t>exist</w:t>
      </w:r>
      <w:r w:rsidR="003E1E11">
        <w:rPr>
          <w:rFonts w:ascii="Arial" w:hAnsi="Arial" w:cs="Arial"/>
          <w:sz w:val="24"/>
          <w:szCs w:val="24"/>
          <w:lang w:val="en-GB"/>
        </w:rPr>
        <w:t>ing</w:t>
      </w:r>
      <w:r w:rsidRPr="000C2BE6">
        <w:rPr>
          <w:rFonts w:ascii="Arial" w:hAnsi="Arial" w:cs="Arial"/>
          <w:sz w:val="24"/>
          <w:szCs w:val="24"/>
          <w:lang w:val="en-GB"/>
        </w:rPr>
        <w:t xml:space="preserve"> immediately after the crime whereas others arising during the criminal justice process. I had to be mindful that there was possibly a period of delay where the impact had not yet sunk in. </w:t>
      </w:r>
    </w:p>
    <w:p w14:paraId="690EE53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lastRenderedPageBreak/>
        <w:t xml:space="preserve">I had to reassess my hypothesis that the suspect had no intent to kill. Now having the conclusion of the interview, my initial assumption that the suspect had no intent to carry out the threats meant that some initial investigative options were no longer feasible. One such option would the use of pre charge police bail (Crown Prosecution Service, 2022). Clearly now due to the risk posed by the suspect, alternative options needed to be identified such as a charge and remand in police custody. </w:t>
      </w:r>
    </w:p>
    <w:p w14:paraId="7B7D2541"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Having decided that a remand in police custody was appropriate in this case I built a file of evidence for the Crown Prosecution Service, detailing the circumstances and all material gathered during the investigation. </w:t>
      </w:r>
    </w:p>
    <w:p w14:paraId="0B0B357D" w14:textId="067C1E0A"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Once the file had been submitted, I had to discuss the case with the prosecutor over the telephone. This was an important step as it allowed me to press the seriousness of the case which may not have been evident in written format. </w:t>
      </w:r>
      <w:r w:rsidR="00EF0B83">
        <w:rPr>
          <w:rFonts w:ascii="Arial" w:hAnsi="Arial" w:cs="Arial"/>
          <w:sz w:val="24"/>
          <w:szCs w:val="24"/>
          <w:lang w:val="en-GB"/>
        </w:rPr>
        <w:t>T</w:t>
      </w:r>
      <w:r w:rsidRPr="000C2BE6">
        <w:rPr>
          <w:rFonts w:ascii="Arial" w:hAnsi="Arial" w:cs="Arial"/>
          <w:sz w:val="24"/>
          <w:szCs w:val="24"/>
          <w:lang w:val="en-GB"/>
        </w:rPr>
        <w:t xml:space="preserve">he prosecutor agreed charges of threats to kill, and the suspect was remanded in custody pending a court date. </w:t>
      </w:r>
    </w:p>
    <w:p w14:paraId="480FAE16"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Post charge, there were communications between me as the OIC, the CPS and mental health services regarding this investigation. The main issue in the case being the question of the suspects culpability and effect of his mental health issues. </w:t>
      </w:r>
    </w:p>
    <w:p w14:paraId="1C966C3E"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Most communication with the CPS post charge is done via written memos. This is a set procedure set out by the Crown Prosecution Service (2020) and, in most cases, works without issue. The main weakness with this process however is if there is an unusual matter which needs to be addressed, or time critical issue it is difficult to speak with the CPS face to face or over the telephone. This introduced some barriers to the communicating of key material and enquiries with the suspects mental health issues in this case. Exacerbating the situation was the use of clinical / medical terminology used by psychiatric professionals when preparing their initial reports. I decided to request a telephone conference with the CPS so that I could better explain the issues and to seek clarification on some points they had raised previously. </w:t>
      </w:r>
    </w:p>
    <w:p w14:paraId="51C34FBA" w14:textId="77777777" w:rsidR="000C2BE6" w:rsidRPr="000C2BE6" w:rsidRDefault="000C2BE6" w:rsidP="0039348E">
      <w:pPr>
        <w:pStyle w:val="Body"/>
        <w:spacing w:line="360" w:lineRule="auto"/>
        <w:jc w:val="both"/>
        <w:rPr>
          <w:rFonts w:ascii="Arial" w:eastAsia="Arial" w:hAnsi="Arial" w:cs="Arial"/>
          <w:sz w:val="24"/>
          <w:szCs w:val="24"/>
          <w:lang w:val="en-GB"/>
        </w:rPr>
      </w:pPr>
      <w:r w:rsidRPr="000C2BE6">
        <w:rPr>
          <w:rFonts w:ascii="Arial" w:hAnsi="Arial" w:cs="Arial"/>
          <w:sz w:val="24"/>
          <w:szCs w:val="24"/>
          <w:lang w:val="en-GB"/>
        </w:rPr>
        <w:t xml:space="preserve">By doing this I managed to identify and clarify what exactly the CPS required from the mental health reports, and in turn when I spoke with the mental health professionals, I was able to request in simple, non-police language exactly what was required. The benefits of this were the quick identification of key issues which were addressed with </w:t>
      </w:r>
      <w:r w:rsidRPr="000C2BE6">
        <w:rPr>
          <w:rFonts w:ascii="Arial" w:hAnsi="Arial" w:cs="Arial"/>
          <w:sz w:val="24"/>
          <w:szCs w:val="24"/>
          <w:lang w:val="en-GB"/>
        </w:rPr>
        <w:lastRenderedPageBreak/>
        <w:t xml:space="preserve">minimal confusion or time wasting. The longer implications were there were no delays to the court proceedings, reducing the amount of time the victims had to wait for justice. </w:t>
      </w:r>
    </w:p>
    <w:p w14:paraId="4CD67E2B" w14:textId="28566279" w:rsidR="000C2BE6" w:rsidRPr="000C2BE6" w:rsidRDefault="000C2BE6" w:rsidP="0039348E">
      <w:pPr>
        <w:pStyle w:val="Body"/>
        <w:spacing w:line="360" w:lineRule="auto"/>
        <w:jc w:val="both"/>
        <w:rPr>
          <w:rFonts w:ascii="Arial" w:eastAsia="Arial" w:hAnsi="Arial" w:cs="Arial"/>
          <w:sz w:val="24"/>
          <w:szCs w:val="24"/>
          <w:lang w:val="en-GB"/>
        </w:rPr>
      </w:pPr>
      <w:r w:rsidRPr="000C2BE6">
        <w:rPr>
          <w:rFonts w:ascii="Arial" w:eastAsia="Arial" w:hAnsi="Arial" w:cs="Arial"/>
          <w:sz w:val="24"/>
          <w:szCs w:val="24"/>
          <w:lang w:val="en-GB"/>
        </w:rPr>
        <w:t>(15</w:t>
      </w:r>
      <w:r w:rsidR="00AF7656">
        <w:rPr>
          <w:rFonts w:ascii="Arial" w:eastAsia="Arial" w:hAnsi="Arial" w:cs="Arial"/>
          <w:sz w:val="24"/>
          <w:szCs w:val="24"/>
          <w:lang w:val="en-GB"/>
        </w:rPr>
        <w:t>7</w:t>
      </w:r>
      <w:r w:rsidR="00EF0B83">
        <w:rPr>
          <w:rFonts w:ascii="Arial" w:eastAsia="Arial" w:hAnsi="Arial" w:cs="Arial"/>
          <w:sz w:val="24"/>
          <w:szCs w:val="24"/>
          <w:lang w:val="en-GB"/>
        </w:rPr>
        <w:t>3</w:t>
      </w:r>
      <w:r w:rsidRPr="000C2BE6">
        <w:rPr>
          <w:rFonts w:ascii="Arial" w:eastAsia="Arial" w:hAnsi="Arial" w:cs="Arial"/>
          <w:sz w:val="24"/>
          <w:szCs w:val="24"/>
          <w:lang w:val="en-GB"/>
        </w:rPr>
        <w:t xml:space="preserve"> words)</w:t>
      </w:r>
    </w:p>
    <w:p w14:paraId="5BB30B2A" w14:textId="77777777" w:rsidR="000C2BE6" w:rsidRPr="000C2BE6" w:rsidRDefault="000C2BE6" w:rsidP="0039348E">
      <w:pPr>
        <w:pStyle w:val="Body"/>
        <w:spacing w:line="360" w:lineRule="auto"/>
        <w:jc w:val="both"/>
        <w:rPr>
          <w:rFonts w:ascii="Arial" w:eastAsia="Arial" w:hAnsi="Arial" w:cs="Arial"/>
          <w:sz w:val="24"/>
          <w:szCs w:val="24"/>
          <w:lang w:val="en-GB"/>
        </w:rPr>
      </w:pPr>
    </w:p>
    <w:p w14:paraId="7EC03866" w14:textId="77777777" w:rsidR="000C2BE6" w:rsidRPr="000C2BE6" w:rsidRDefault="000C2BE6" w:rsidP="0039348E">
      <w:pPr>
        <w:pStyle w:val="Body"/>
        <w:spacing w:line="360" w:lineRule="auto"/>
        <w:jc w:val="both"/>
        <w:rPr>
          <w:rFonts w:ascii="Arial" w:hAnsi="Arial" w:cs="Arial"/>
          <w:b/>
          <w:bCs/>
          <w:sz w:val="24"/>
          <w:szCs w:val="24"/>
          <w:lang w:val="en-GB"/>
        </w:rPr>
      </w:pPr>
      <w:r w:rsidRPr="000C2BE6">
        <w:rPr>
          <w:rFonts w:ascii="Arial" w:hAnsi="Arial" w:cs="Arial"/>
          <w:b/>
          <w:bCs/>
          <w:sz w:val="24"/>
          <w:szCs w:val="24"/>
          <w:lang w:val="en-GB"/>
        </w:rPr>
        <w:t xml:space="preserve">Critically evaluate the challenges associated with the investigation and the actions undertaken to effectively deal with such challenging situations. </w:t>
      </w:r>
    </w:p>
    <w:p w14:paraId="2F40A1B5" w14:textId="51D19942"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It was vital to prove that the suspect had means rea, as this was required to commit the offence as explained in </w:t>
      </w:r>
      <w:r w:rsidRPr="000C2BE6">
        <w:rPr>
          <w:rFonts w:ascii="Arial" w:hAnsi="Arial" w:cs="Arial"/>
          <w:i/>
          <w:iCs/>
          <w:sz w:val="24"/>
          <w:szCs w:val="24"/>
          <w:lang w:val="en-GB"/>
        </w:rPr>
        <w:t xml:space="preserve">‘Sweet v Parsley’ </w:t>
      </w:r>
      <w:r w:rsidRPr="000C2BE6">
        <w:rPr>
          <w:rFonts w:ascii="Arial" w:hAnsi="Arial" w:cs="Arial"/>
          <w:sz w:val="24"/>
          <w:szCs w:val="24"/>
          <w:lang w:val="en-GB"/>
        </w:rPr>
        <w:t>(1970). This was done through several enquiries involving the suspects mental health doctors and medical notes. Whilst this work took significant time</w:t>
      </w:r>
      <w:r w:rsidR="0040409B">
        <w:rPr>
          <w:rFonts w:ascii="Arial" w:hAnsi="Arial" w:cs="Arial"/>
          <w:sz w:val="24"/>
          <w:szCs w:val="24"/>
          <w:lang w:val="en-GB"/>
        </w:rPr>
        <w:t xml:space="preserve"> and</w:t>
      </w:r>
      <w:r w:rsidRPr="000C2BE6">
        <w:rPr>
          <w:rFonts w:ascii="Arial" w:hAnsi="Arial" w:cs="Arial"/>
          <w:sz w:val="24"/>
          <w:szCs w:val="24"/>
          <w:lang w:val="en-GB"/>
        </w:rPr>
        <w:t xml:space="preserve"> effort </w:t>
      </w:r>
      <w:r w:rsidR="0040409B">
        <w:rPr>
          <w:rFonts w:ascii="Arial" w:hAnsi="Arial" w:cs="Arial"/>
          <w:sz w:val="24"/>
          <w:szCs w:val="24"/>
          <w:lang w:val="en-GB"/>
        </w:rPr>
        <w:t>to</w:t>
      </w:r>
      <w:r w:rsidRPr="000C2BE6">
        <w:rPr>
          <w:rFonts w:ascii="Arial" w:hAnsi="Arial" w:cs="Arial"/>
          <w:sz w:val="24"/>
          <w:szCs w:val="24"/>
          <w:lang w:val="en-GB"/>
        </w:rPr>
        <w:t xml:space="preserve"> carry out, had I not carried proved his culpability to commit the offence, there would have been the serious risk of the suspect being tried in court where he did not have the capacity to do so. This would have resulted in the case being discontinued, potential financial implications for the force and have a negative effect on public confidence in the police’s ability to bring offenders to justice.</w:t>
      </w:r>
    </w:p>
    <w:p w14:paraId="5D8871F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Reflecting on this challenge, one option which I did not consider at the time but would consider in the future was ‘early investigative advice’ (EIA) where a CPS prosecutors’ advice could be sought regarding specific matters in an investigation (CPS, 2020).  </w:t>
      </w:r>
    </w:p>
    <w:p w14:paraId="56883EE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There have been criticisms of the entire criminal justice system for failing people with mental health illness (Criminal Justice Joint Inspectorate, 2021) from the police, probation through to the prison service and it can be argued that the police should not be the primary agency for dealing with persons in mental health crisis. 70% of people in England felt that it was the responsibility of the health service, whilst terrorism, child sexual exploitation and violent crime should be the focus of the police (His Majesty’s Inspectorate of Constabulary and Fire &amp; Rescue Services, 2018 p.15)</w:t>
      </w:r>
    </w:p>
    <w:p w14:paraId="43E23CFF"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 the initial stages of the investigation there was the question of whether the suspect should have been arrested at all considering the significant impact this could have on his wellbeing. Last year (21/22), over two thirds of apparent suicides of persons released from police custody had known mental health concerns (Independent Office for Police Conduct, 2022 p.19). This must be balanced against the seriousness of the offence however, as the police have a duty to protect life, prevent offences and to bring offenders to justice (College of Policing, 2018) </w:t>
      </w:r>
    </w:p>
    <w:p w14:paraId="594ADFFF"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lastRenderedPageBreak/>
        <w:t>My duty as an investigator meant that I had to purse all reasonable lines of enquiry, whether these pointed towards or away from the suspect (</w:t>
      </w:r>
      <w:r w:rsidRPr="000C2BE6">
        <w:rPr>
          <w:rFonts w:ascii="Arial" w:hAnsi="Arial" w:cs="Arial"/>
          <w:i/>
          <w:iCs/>
          <w:sz w:val="24"/>
          <w:szCs w:val="24"/>
          <w:lang w:val="en-GB"/>
        </w:rPr>
        <w:t>Criminal Procedure and Investigations Act 1996</w:t>
      </w:r>
      <w:r w:rsidRPr="000C2BE6">
        <w:rPr>
          <w:rFonts w:ascii="Arial" w:hAnsi="Arial" w:cs="Arial"/>
          <w:sz w:val="24"/>
          <w:szCs w:val="24"/>
          <w:lang w:val="en-GB"/>
        </w:rPr>
        <w:t xml:space="preserve">) which in practice meant obtaining material which highlighted the extent of the suspects MH issues. Understanding the importance of this, I obtained reports from clinical experts which indicated that the suspect should be dealt with via the CJS. </w:t>
      </w:r>
    </w:p>
    <w:p w14:paraId="28801FEA" w14:textId="1289A98D"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Even with the growing criticism and concerns about police involvement with mental health, as Kiely (2020) states “</w:t>
      </w:r>
      <w:r w:rsidRPr="000C2BE6">
        <w:rPr>
          <w:rFonts w:ascii="Arial" w:hAnsi="Arial" w:cs="Arial"/>
          <w:sz w:val="24"/>
          <w:szCs w:val="24"/>
        </w:rPr>
        <w:t>with the role of the police in mental health services expanding rather than shrinking, it seems that right now we’re travelling in the wrong direction”, t</w:t>
      </w:r>
      <w:r w:rsidRPr="000C2BE6">
        <w:rPr>
          <w:rFonts w:ascii="Arial" w:hAnsi="Arial" w:cs="Arial"/>
          <w:sz w:val="24"/>
          <w:szCs w:val="24"/>
          <w:lang w:val="en-GB"/>
        </w:rPr>
        <w:t>here were clear processes for dealing with persons in police custody for a criminal offence (</w:t>
      </w:r>
      <w:r w:rsidRPr="000C2BE6">
        <w:rPr>
          <w:rFonts w:ascii="Arial" w:hAnsi="Arial" w:cs="Arial"/>
          <w:i/>
          <w:iCs/>
          <w:sz w:val="24"/>
          <w:szCs w:val="24"/>
          <w:lang w:val="en-GB"/>
        </w:rPr>
        <w:t>Police and Criminal Evidence Act 1984</w:t>
      </w:r>
      <w:r w:rsidRPr="000C2BE6">
        <w:rPr>
          <w:rFonts w:ascii="Arial" w:hAnsi="Arial" w:cs="Arial"/>
          <w:sz w:val="24"/>
          <w:szCs w:val="24"/>
          <w:lang w:val="en-GB"/>
        </w:rPr>
        <w:t>). Following these set processe</w:t>
      </w:r>
      <w:r w:rsidR="00AA6494">
        <w:rPr>
          <w:rFonts w:ascii="Arial" w:hAnsi="Arial" w:cs="Arial"/>
          <w:sz w:val="24"/>
          <w:szCs w:val="24"/>
          <w:lang w:val="en-GB"/>
        </w:rPr>
        <w:t>s</w:t>
      </w:r>
      <w:r w:rsidRPr="000C2BE6">
        <w:rPr>
          <w:rFonts w:ascii="Arial" w:hAnsi="Arial" w:cs="Arial"/>
          <w:sz w:val="24"/>
          <w:szCs w:val="24"/>
          <w:lang w:val="en-GB"/>
        </w:rPr>
        <w:t xml:space="preserve"> eventually led to an evidentially sound case, and the suspects</w:t>
      </w:r>
      <w:r w:rsidR="004031F4">
        <w:rPr>
          <w:rFonts w:ascii="Arial" w:hAnsi="Arial" w:cs="Arial"/>
          <w:sz w:val="24"/>
          <w:szCs w:val="24"/>
          <w:lang w:val="en-GB"/>
        </w:rPr>
        <w:t xml:space="preserve"> </w:t>
      </w:r>
      <w:r w:rsidRPr="000C2BE6">
        <w:rPr>
          <w:rFonts w:ascii="Arial" w:hAnsi="Arial" w:cs="Arial"/>
          <w:sz w:val="24"/>
          <w:szCs w:val="24"/>
          <w:lang w:val="en-GB"/>
        </w:rPr>
        <w:t>conviction in Crown Court.</w:t>
      </w:r>
    </w:p>
    <w:p w14:paraId="56552B86" w14:textId="733FA1E6"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(49</w:t>
      </w:r>
      <w:r w:rsidR="0040409B">
        <w:rPr>
          <w:rFonts w:ascii="Arial" w:hAnsi="Arial" w:cs="Arial"/>
          <w:sz w:val="24"/>
          <w:szCs w:val="24"/>
          <w:lang w:val="en-GB"/>
        </w:rPr>
        <w:t>5</w:t>
      </w:r>
      <w:r w:rsidRPr="000C2BE6">
        <w:rPr>
          <w:rFonts w:ascii="Arial" w:hAnsi="Arial" w:cs="Arial"/>
          <w:sz w:val="24"/>
          <w:szCs w:val="24"/>
          <w:lang w:val="en-GB"/>
        </w:rPr>
        <w:t xml:space="preserve"> words)</w:t>
      </w:r>
    </w:p>
    <w:p w14:paraId="1C739384" w14:textId="6A19FC48"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r w:rsidR="00AF3D25">
        <w:rPr>
          <w:rFonts w:ascii="Arial" w:hAnsi="Arial" w:cs="Arial"/>
          <w:sz w:val="24"/>
          <w:szCs w:val="24"/>
          <w:lang w:val="en-GB"/>
        </w:rPr>
        <w:t>2</w:t>
      </w:r>
      <w:r w:rsidR="009D2DAB">
        <w:rPr>
          <w:rFonts w:ascii="Arial" w:hAnsi="Arial" w:cs="Arial"/>
          <w:sz w:val="24"/>
          <w:szCs w:val="24"/>
          <w:lang w:val="en-GB"/>
        </w:rPr>
        <w:t>200</w:t>
      </w:r>
      <w:r w:rsidRPr="000C2BE6">
        <w:rPr>
          <w:rFonts w:ascii="Arial" w:hAnsi="Arial" w:cs="Arial"/>
          <w:sz w:val="24"/>
          <w:szCs w:val="24"/>
          <w:lang w:val="en-GB"/>
        </w:rPr>
        <w:t xml:space="preserve"> total)</w:t>
      </w:r>
    </w:p>
    <w:p w14:paraId="2145F28E" w14:textId="77777777" w:rsidR="000C2BE6" w:rsidRPr="000C2BE6" w:rsidRDefault="000C2BE6" w:rsidP="0039348E">
      <w:pPr>
        <w:pStyle w:val="Body"/>
        <w:spacing w:line="360" w:lineRule="auto"/>
        <w:jc w:val="both"/>
        <w:rPr>
          <w:rFonts w:ascii="Arial" w:hAnsi="Arial" w:cs="Arial"/>
          <w:sz w:val="24"/>
          <w:szCs w:val="24"/>
          <w:lang w:val="en-GB"/>
        </w:rPr>
      </w:pPr>
    </w:p>
    <w:p w14:paraId="1376F76C" w14:textId="77777777" w:rsidR="000C2BE6" w:rsidRPr="000D7EC3" w:rsidRDefault="000C2BE6" w:rsidP="0039348E">
      <w:pPr>
        <w:pStyle w:val="Body"/>
        <w:spacing w:line="360" w:lineRule="auto"/>
        <w:jc w:val="center"/>
        <w:rPr>
          <w:rFonts w:ascii="Arial" w:hAnsi="Arial" w:cs="Arial"/>
          <w:sz w:val="24"/>
          <w:szCs w:val="24"/>
          <w:u w:val="single"/>
          <w:lang w:val="en-GB"/>
        </w:rPr>
      </w:pPr>
      <w:r w:rsidRPr="000D7EC3">
        <w:rPr>
          <w:rFonts w:ascii="Arial" w:hAnsi="Arial" w:cs="Arial"/>
          <w:sz w:val="24"/>
          <w:szCs w:val="24"/>
          <w:u w:val="single"/>
          <w:lang w:val="en-GB"/>
        </w:rPr>
        <w:t>Reference List</w:t>
      </w:r>
    </w:p>
    <w:p w14:paraId="55FEA8C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Ault, R and Smith, N. (2022) ‘'Terrifying' threats to kill soar to record levels, police stats reveal’, </w:t>
      </w:r>
      <w:r w:rsidRPr="000C2BE6">
        <w:rPr>
          <w:rFonts w:ascii="Arial" w:hAnsi="Arial" w:cs="Arial"/>
          <w:i/>
          <w:iCs/>
          <w:sz w:val="24"/>
          <w:szCs w:val="24"/>
          <w:lang w:val="en-GB"/>
        </w:rPr>
        <w:t>Coventry Telegraph, 7</w:t>
      </w:r>
      <w:r w:rsidRPr="000C2BE6">
        <w:rPr>
          <w:rFonts w:ascii="Arial" w:hAnsi="Arial" w:cs="Arial"/>
          <w:i/>
          <w:iCs/>
          <w:sz w:val="24"/>
          <w:szCs w:val="24"/>
          <w:vertAlign w:val="superscript"/>
          <w:lang w:val="en-GB"/>
        </w:rPr>
        <w:t xml:space="preserve">th </w:t>
      </w:r>
      <w:r w:rsidRPr="000C2BE6">
        <w:rPr>
          <w:rFonts w:ascii="Arial" w:hAnsi="Arial" w:cs="Arial"/>
          <w:i/>
          <w:iCs/>
          <w:sz w:val="24"/>
          <w:szCs w:val="24"/>
          <w:lang w:val="en-GB"/>
        </w:rPr>
        <w:t xml:space="preserve">June. </w:t>
      </w:r>
      <w:r w:rsidRPr="000C2BE6">
        <w:rPr>
          <w:rFonts w:ascii="Arial" w:hAnsi="Arial" w:cs="Arial"/>
          <w:sz w:val="24"/>
          <w:szCs w:val="24"/>
          <w:lang w:val="en-GB"/>
        </w:rPr>
        <w:t>Available at: https://www.coventrytelegraph.net/news/local-news/number-threats-kill-made-west-24076140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59E8DA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Buckley, S. (2018) ‘Does having a mental health problem make you violent?’, </w:t>
      </w:r>
      <w:proofErr w:type="spellStart"/>
      <w:r w:rsidRPr="000C2BE6">
        <w:rPr>
          <w:rFonts w:ascii="Arial" w:hAnsi="Arial" w:cs="Arial"/>
          <w:i/>
          <w:iCs/>
          <w:sz w:val="24"/>
          <w:szCs w:val="24"/>
          <w:lang w:val="en-GB"/>
        </w:rPr>
        <w:t>CrimeStoppers</w:t>
      </w:r>
      <w:proofErr w:type="spellEnd"/>
      <w:r w:rsidRPr="000C2BE6">
        <w:rPr>
          <w:rFonts w:ascii="Arial" w:hAnsi="Arial" w:cs="Arial"/>
          <w:i/>
          <w:iCs/>
          <w:sz w:val="24"/>
          <w:szCs w:val="24"/>
          <w:lang w:val="en-GB"/>
        </w:rPr>
        <w:t>.</w:t>
      </w:r>
      <w:r w:rsidRPr="000C2BE6">
        <w:rPr>
          <w:rFonts w:ascii="Arial" w:hAnsi="Arial" w:cs="Arial"/>
          <w:sz w:val="24"/>
          <w:szCs w:val="24"/>
          <w:lang w:val="en-GB"/>
        </w:rPr>
        <w:t xml:space="preserve"> Available at: https://crimestoppers-uk.org/campaigns-media/blog/2018/feb/does-having-a-mental-health-problem-make-you-violent (Accessed: 6</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4EACF69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College of Policing (2016) </w:t>
      </w:r>
      <w:r w:rsidRPr="000C2BE6">
        <w:rPr>
          <w:rFonts w:ascii="Arial" w:hAnsi="Arial" w:cs="Arial"/>
          <w:i/>
          <w:iCs/>
          <w:sz w:val="24"/>
          <w:szCs w:val="24"/>
          <w:lang w:val="en-GB"/>
        </w:rPr>
        <w:t>Mental health and the criminal justice system</w:t>
      </w:r>
      <w:r w:rsidRPr="000C2BE6">
        <w:rPr>
          <w:rFonts w:ascii="Arial" w:hAnsi="Arial" w:cs="Arial"/>
          <w:sz w:val="24"/>
          <w:szCs w:val="24"/>
          <w:lang w:val="en-GB"/>
        </w:rPr>
        <w:t>. Available at: https://www.college.police.uk/app/mental-health/mental-health-and-criminal-justice-system (Accessed 1st December 2022)</w:t>
      </w:r>
    </w:p>
    <w:p w14:paraId="5C7CDE2A"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lastRenderedPageBreak/>
        <w:t xml:space="preserve">College of Policing (2018) </w:t>
      </w:r>
      <w:r w:rsidRPr="000C2BE6">
        <w:rPr>
          <w:rFonts w:ascii="Arial" w:hAnsi="Arial" w:cs="Arial"/>
          <w:i/>
          <w:iCs/>
          <w:sz w:val="24"/>
          <w:szCs w:val="24"/>
          <w:lang w:val="en-GB"/>
        </w:rPr>
        <w:t xml:space="preserve">Core Planning Principles. </w:t>
      </w:r>
      <w:r w:rsidRPr="000C2BE6">
        <w:rPr>
          <w:rFonts w:ascii="Arial" w:hAnsi="Arial" w:cs="Arial"/>
          <w:sz w:val="24"/>
          <w:szCs w:val="24"/>
          <w:lang w:val="en-GB"/>
        </w:rPr>
        <w:t>Available at: https://www.college.police.uk/app/operations/operational-planning/core-planning-principles (Accessed: 27th December 202)</w:t>
      </w:r>
    </w:p>
    <w:p w14:paraId="3D63CCE5"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Criminal Justice Joint Inspectorate (2021) </w:t>
      </w:r>
      <w:r w:rsidRPr="000C2BE6">
        <w:rPr>
          <w:rFonts w:ascii="Arial" w:hAnsi="Arial" w:cs="Arial"/>
          <w:i/>
          <w:iCs/>
          <w:sz w:val="24"/>
          <w:szCs w:val="24"/>
          <w:lang w:val="en-GB"/>
        </w:rPr>
        <w:t>A joint thematic inspection of the criminal justice journey for individuals with mental health needs and disorders</w:t>
      </w:r>
      <w:r w:rsidRPr="000C2BE6">
        <w:rPr>
          <w:rFonts w:ascii="Arial" w:hAnsi="Arial" w:cs="Arial"/>
          <w:sz w:val="24"/>
          <w:szCs w:val="24"/>
          <w:lang w:val="en-GB"/>
        </w:rPr>
        <w:t>. Manchester: His Majesty’s Inspectorate of Probation. Available at: https://www.justiceinspectorates.gov.uk/cjji/wp-content/uploads/sites/2/2021/11/Mental-health-joint-thematic-report.pdf (Accessed: 8</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38B84CA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 xml:space="preserve">Criminal Procedure and Investigations Act 1996, s.23. </w:t>
      </w:r>
      <w:r w:rsidRPr="000C2BE6">
        <w:rPr>
          <w:rFonts w:ascii="Arial" w:hAnsi="Arial" w:cs="Arial"/>
          <w:sz w:val="24"/>
          <w:szCs w:val="24"/>
          <w:lang w:val="en-GB"/>
        </w:rPr>
        <w:t>Available at: https://www.legislation.gov.uk/ukpga/1996/25/part/II (Accessed: 8th December 2022)</w:t>
      </w:r>
    </w:p>
    <w:p w14:paraId="116165E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Crown Prosecution Service (2019) </w:t>
      </w:r>
      <w:r w:rsidRPr="000C2BE6">
        <w:rPr>
          <w:rFonts w:ascii="Arial" w:hAnsi="Arial" w:cs="Arial"/>
          <w:i/>
          <w:iCs/>
          <w:sz w:val="24"/>
          <w:szCs w:val="24"/>
          <w:lang w:val="en-GB"/>
        </w:rPr>
        <w:t xml:space="preserve">Mental Health: Suspects and Defendants with Mental Health Conditions or Disorders. </w:t>
      </w:r>
      <w:r w:rsidRPr="000C2BE6">
        <w:rPr>
          <w:rFonts w:ascii="Arial" w:hAnsi="Arial" w:cs="Arial"/>
          <w:sz w:val="24"/>
          <w:szCs w:val="24"/>
          <w:lang w:val="en-GB"/>
        </w:rPr>
        <w:t>Available at: https://www.cps.gov.uk/legal-guidance/mental-health-suspects-and-defendants-mental-health-conditions-or-disorders (Accessed: 30th November 2022)</w:t>
      </w:r>
    </w:p>
    <w:p w14:paraId="608E3FF4"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Crown Prosecution Service (2020) </w:t>
      </w:r>
      <w:r w:rsidRPr="000C2BE6">
        <w:rPr>
          <w:rFonts w:ascii="Arial" w:hAnsi="Arial" w:cs="Arial"/>
          <w:i/>
          <w:iCs/>
          <w:sz w:val="24"/>
          <w:szCs w:val="24"/>
          <w:lang w:val="en-GB"/>
        </w:rPr>
        <w:t xml:space="preserve">Charging (The Director’s Guidance) – sixth edition, December 2020. </w:t>
      </w:r>
      <w:r w:rsidRPr="000C2BE6">
        <w:rPr>
          <w:rFonts w:ascii="Arial" w:hAnsi="Arial" w:cs="Arial"/>
          <w:sz w:val="24"/>
          <w:szCs w:val="24"/>
          <w:lang w:val="en-GB"/>
        </w:rPr>
        <w:t>Available at: https://www.cps.gov.uk/legal-guidance/charging-directors-guidance-sixth-edition-december-2020 (Accessed: 27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4C385DF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Crown Prosecution Services (2022) </w:t>
      </w:r>
      <w:r w:rsidRPr="000C2BE6">
        <w:rPr>
          <w:rFonts w:ascii="Arial" w:hAnsi="Arial" w:cs="Arial"/>
          <w:i/>
          <w:iCs/>
          <w:sz w:val="24"/>
          <w:szCs w:val="24"/>
          <w:lang w:val="en-GB"/>
        </w:rPr>
        <w:t xml:space="preserve">Bail. </w:t>
      </w:r>
      <w:r w:rsidRPr="000C2BE6">
        <w:rPr>
          <w:rFonts w:ascii="Arial" w:hAnsi="Arial" w:cs="Arial"/>
          <w:sz w:val="24"/>
          <w:szCs w:val="24"/>
          <w:lang w:val="en-GB"/>
        </w:rPr>
        <w:t>Available at: https://www.cps.gov.uk/legal-guidance/bail (Accessed: 8</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9799CE8" w14:textId="77777777" w:rsidR="000C2BE6" w:rsidRPr="000C2BE6" w:rsidRDefault="000C2BE6" w:rsidP="0039348E">
      <w:pPr>
        <w:pStyle w:val="Body"/>
        <w:spacing w:line="360" w:lineRule="auto"/>
        <w:jc w:val="both"/>
        <w:rPr>
          <w:rFonts w:ascii="Arial" w:hAnsi="Arial" w:cs="Arial"/>
          <w:i/>
          <w:iCs/>
          <w:sz w:val="24"/>
          <w:szCs w:val="24"/>
          <w:lang w:val="en-GB"/>
        </w:rPr>
      </w:pP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xml:space="preserve">, I. (2016) ‘The making of an expert detective: the role of experience in English and Norwegian police officers’ investigative decision-making’, </w:t>
      </w:r>
      <w:r w:rsidRPr="000C2BE6">
        <w:rPr>
          <w:rFonts w:ascii="Arial" w:hAnsi="Arial" w:cs="Arial"/>
          <w:i/>
          <w:iCs/>
          <w:sz w:val="24"/>
          <w:szCs w:val="24"/>
          <w:lang w:val="en-GB"/>
        </w:rPr>
        <w:t>Psychology, Crime &amp; Law</w:t>
      </w:r>
    </w:p>
    <w:p w14:paraId="39853165" w14:textId="77777777" w:rsidR="000C2BE6" w:rsidRPr="000C2BE6" w:rsidRDefault="000C2BE6" w:rsidP="0039348E">
      <w:pPr>
        <w:pStyle w:val="Body"/>
        <w:spacing w:line="360" w:lineRule="auto"/>
        <w:jc w:val="both"/>
        <w:rPr>
          <w:rFonts w:ascii="Arial" w:hAnsi="Arial" w:cs="Arial"/>
          <w:sz w:val="24"/>
          <w:szCs w:val="24"/>
          <w:lang w:val="en-GB"/>
        </w:rPr>
      </w:pP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xml:space="preserve">, I. (2021) </w:t>
      </w:r>
      <w:r w:rsidRPr="000C2BE6">
        <w:rPr>
          <w:rFonts w:ascii="Arial" w:hAnsi="Arial" w:cs="Arial"/>
          <w:i/>
          <w:iCs/>
          <w:sz w:val="24"/>
          <w:szCs w:val="24"/>
          <w:lang w:val="en-GB"/>
        </w:rPr>
        <w:t xml:space="preserve">How to think like a detective. </w:t>
      </w:r>
      <w:r w:rsidRPr="000C2BE6">
        <w:rPr>
          <w:rFonts w:ascii="Arial" w:hAnsi="Arial" w:cs="Arial"/>
          <w:sz w:val="24"/>
          <w:szCs w:val="24"/>
          <w:lang w:val="en-GB"/>
        </w:rPr>
        <w:t>Available at:  https://psyche.co/guides/how-to-solve-problems-by-thinking-like-a-detective (Accessed: 29th November 2022), 22(3), p. 206. DOI: 10.1080/1068316X.2015.1077249</w:t>
      </w:r>
    </w:p>
    <w:p w14:paraId="45C4C39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His Majesty’s Inspectorate of Constabulary and Fire &amp; Rescue Services (2018)</w:t>
      </w:r>
      <w:r w:rsidRPr="000C2BE6">
        <w:rPr>
          <w:rFonts w:ascii="Arial" w:hAnsi="Arial" w:cs="Arial"/>
          <w:i/>
          <w:iCs/>
          <w:sz w:val="24"/>
          <w:szCs w:val="24"/>
          <w:lang w:val="en-GB"/>
        </w:rPr>
        <w:t xml:space="preserve"> Policing and Mental Health</w:t>
      </w:r>
      <w:r w:rsidRPr="000C2BE6">
        <w:rPr>
          <w:rFonts w:ascii="Arial" w:hAnsi="Arial" w:cs="Arial"/>
          <w:sz w:val="24"/>
          <w:szCs w:val="24"/>
          <w:lang w:val="en-GB"/>
        </w:rPr>
        <w:t xml:space="preserve">. Available at: </w:t>
      </w:r>
      <w:r w:rsidRPr="000C2BE6">
        <w:rPr>
          <w:rFonts w:ascii="Arial" w:hAnsi="Arial" w:cs="Arial"/>
          <w:sz w:val="24"/>
          <w:szCs w:val="24"/>
          <w:lang w:val="en-GB"/>
        </w:rPr>
        <w:lastRenderedPageBreak/>
        <w:t>https://www.justiceinspectorates.gov.uk/hmicfrs/wp-content/uploads/policing-and-mental-health-picking-up-the-pieces.pdf#page=15 (Accessed: 6</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891224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Independent Office for Police Conduct (2021) </w:t>
      </w:r>
      <w:r w:rsidRPr="000C2BE6">
        <w:rPr>
          <w:rFonts w:ascii="Arial" w:hAnsi="Arial" w:cs="Arial"/>
          <w:i/>
          <w:iCs/>
          <w:sz w:val="24"/>
          <w:szCs w:val="24"/>
          <w:lang w:val="en-GB"/>
        </w:rPr>
        <w:t>Deaths during or following police contact: Statistics for England and Wales 2020/21</w:t>
      </w:r>
      <w:r w:rsidRPr="000C2BE6">
        <w:rPr>
          <w:rFonts w:ascii="Arial" w:hAnsi="Arial" w:cs="Arial"/>
          <w:sz w:val="24"/>
          <w:szCs w:val="24"/>
          <w:lang w:val="en-GB"/>
        </w:rPr>
        <w:t>. Available at: https://policeconduct.gov.uk/sites/default/files/Documents/statistics/deaths_during_following_police_contact_202021.pdf (Accessed at: 30</w:t>
      </w:r>
      <w:r w:rsidRPr="000C2BE6">
        <w:rPr>
          <w:rFonts w:ascii="Arial" w:hAnsi="Arial" w:cs="Arial"/>
          <w:sz w:val="24"/>
          <w:szCs w:val="24"/>
          <w:vertAlign w:val="superscript"/>
          <w:lang w:val="en-GB"/>
        </w:rPr>
        <w:t xml:space="preserve">th </w:t>
      </w:r>
      <w:r w:rsidRPr="000C2BE6">
        <w:rPr>
          <w:rFonts w:ascii="Arial" w:hAnsi="Arial" w:cs="Arial"/>
          <w:sz w:val="24"/>
          <w:szCs w:val="24"/>
          <w:lang w:val="en-GB"/>
        </w:rPr>
        <w:t>December 2022)</w:t>
      </w:r>
    </w:p>
    <w:p w14:paraId="62DD834A"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Kiely, E. (2020) </w:t>
      </w:r>
      <w:r w:rsidRPr="000C2BE6">
        <w:rPr>
          <w:rFonts w:ascii="Arial" w:hAnsi="Arial" w:cs="Arial"/>
          <w:i/>
          <w:iCs/>
          <w:sz w:val="24"/>
          <w:szCs w:val="24"/>
          <w:lang w:val="en-GB"/>
        </w:rPr>
        <w:t xml:space="preserve">Policing Has No Place in Mental Health Support. </w:t>
      </w:r>
      <w:r w:rsidRPr="000C2BE6">
        <w:rPr>
          <w:rFonts w:ascii="Arial" w:hAnsi="Arial" w:cs="Arial"/>
          <w:sz w:val="24"/>
          <w:szCs w:val="24"/>
          <w:lang w:val="en-GB"/>
        </w:rPr>
        <w:t>Available at: https://novaramedia.com/2020/07/15/policing-has-no-place-in-mental-health-support/ (Accessed 1</w:t>
      </w:r>
      <w:r w:rsidRPr="000C2BE6">
        <w:rPr>
          <w:rFonts w:ascii="Arial" w:hAnsi="Arial" w:cs="Arial"/>
          <w:sz w:val="24"/>
          <w:szCs w:val="24"/>
          <w:vertAlign w:val="superscript"/>
          <w:lang w:val="en-GB"/>
        </w:rPr>
        <w:t>st</w:t>
      </w:r>
      <w:r w:rsidRPr="000C2BE6">
        <w:rPr>
          <w:rFonts w:ascii="Arial" w:hAnsi="Arial" w:cs="Arial"/>
          <w:sz w:val="24"/>
          <w:szCs w:val="24"/>
          <w:lang w:val="en-GB"/>
        </w:rPr>
        <w:t xml:space="preserve"> December 2022)</w:t>
      </w:r>
    </w:p>
    <w:p w14:paraId="6702AB3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Large, M., Smith, G., Swinson, N., Shaw, J. and </w:t>
      </w:r>
      <w:proofErr w:type="spellStart"/>
      <w:r w:rsidRPr="000C2BE6">
        <w:rPr>
          <w:rFonts w:ascii="Arial" w:hAnsi="Arial" w:cs="Arial"/>
          <w:sz w:val="24"/>
          <w:szCs w:val="24"/>
          <w:lang w:val="en-GB"/>
        </w:rPr>
        <w:t>Nielssen</w:t>
      </w:r>
      <w:proofErr w:type="spellEnd"/>
      <w:r w:rsidRPr="000C2BE6">
        <w:rPr>
          <w:rFonts w:ascii="Arial" w:hAnsi="Arial" w:cs="Arial"/>
          <w:sz w:val="24"/>
          <w:szCs w:val="24"/>
          <w:lang w:val="en-GB"/>
        </w:rPr>
        <w:t xml:space="preserve">, O. (2008) ‘Homicide due to mental disorder in England and Wales over 50 years’, </w:t>
      </w:r>
      <w:r w:rsidRPr="000C2BE6">
        <w:rPr>
          <w:rFonts w:ascii="Arial" w:hAnsi="Arial" w:cs="Arial"/>
          <w:i/>
          <w:iCs/>
          <w:sz w:val="24"/>
          <w:szCs w:val="24"/>
          <w:lang w:val="en-GB"/>
        </w:rPr>
        <w:t>British Journal of Psychiatry</w:t>
      </w:r>
      <w:r w:rsidRPr="000C2BE6">
        <w:rPr>
          <w:rFonts w:ascii="Arial" w:hAnsi="Arial" w:cs="Arial"/>
          <w:sz w:val="24"/>
          <w:szCs w:val="24"/>
          <w:lang w:val="en-GB"/>
        </w:rPr>
        <w:t>, 193(2), pp. 130–133. DOI: 10.1192/bjp.bp.107.046581.</w:t>
      </w:r>
    </w:p>
    <w:p w14:paraId="6C701893"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National Police Chiefs Council (2021) </w:t>
      </w:r>
      <w:r w:rsidRPr="000C2BE6">
        <w:rPr>
          <w:rFonts w:ascii="Arial" w:hAnsi="Arial" w:cs="Arial"/>
          <w:i/>
          <w:iCs/>
          <w:sz w:val="24"/>
          <w:szCs w:val="24"/>
          <w:lang w:val="en-GB"/>
        </w:rPr>
        <w:t xml:space="preserve">Major Crime Investigation Manual. </w:t>
      </w:r>
      <w:r w:rsidRPr="000C2BE6">
        <w:rPr>
          <w:rFonts w:ascii="Arial" w:hAnsi="Arial" w:cs="Arial"/>
          <w:sz w:val="24"/>
          <w:szCs w:val="24"/>
          <w:lang w:val="en-GB"/>
        </w:rPr>
        <w:t>Available at: https://library.college.police.uk/docs/NPCC/Major-Crime-Investigation-Manual-Nov-2021.pdf. (Accessed: 5th December 2022)</w:t>
      </w:r>
    </w:p>
    <w:p w14:paraId="236BC24E"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Office for National Statistics (2020) Nature of crime: violence. Available at: https://www.ons.gov.uk/peoplepopulationandcommunity/crimeandjustice/datasets/natureofcrimetablesviolence (Accessed: 25</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809EA66"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Offences against the Person Act 1861, s.16</w:t>
      </w:r>
      <w:r w:rsidRPr="000C2BE6">
        <w:rPr>
          <w:rFonts w:ascii="Arial" w:hAnsi="Arial" w:cs="Arial"/>
          <w:sz w:val="24"/>
          <w:szCs w:val="24"/>
          <w:lang w:val="en-GB"/>
        </w:rPr>
        <w:t>. Available at: https://www.legislation.gov.uk/ukpga/Vict/24-25/100/section/16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F72308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r w:rsidRPr="000C2BE6">
        <w:rPr>
          <w:rFonts w:ascii="Arial" w:hAnsi="Arial" w:cs="Arial"/>
          <w:i/>
          <w:iCs/>
          <w:sz w:val="24"/>
          <w:szCs w:val="24"/>
          <w:lang w:val="en-GB"/>
        </w:rPr>
        <w:t xml:space="preserve">Osman v United Kingdom’ </w:t>
      </w:r>
      <w:r w:rsidRPr="000C2BE6">
        <w:rPr>
          <w:rFonts w:ascii="Arial" w:hAnsi="Arial" w:cs="Arial"/>
          <w:sz w:val="24"/>
          <w:szCs w:val="24"/>
          <w:lang w:val="en-GB"/>
        </w:rPr>
        <w:t xml:space="preserve">(1997) European Court of Human Rights, case 87/1997/871/1083. </w:t>
      </w:r>
      <w:r w:rsidRPr="000C2BE6">
        <w:rPr>
          <w:rFonts w:ascii="Arial" w:hAnsi="Arial" w:cs="Arial"/>
          <w:i/>
          <w:iCs/>
          <w:sz w:val="24"/>
          <w:szCs w:val="24"/>
          <w:lang w:val="en-GB"/>
        </w:rPr>
        <w:t xml:space="preserve">Law Teacher </w:t>
      </w:r>
      <w:r w:rsidRPr="000C2BE6">
        <w:rPr>
          <w:rFonts w:ascii="Arial" w:hAnsi="Arial" w:cs="Arial"/>
          <w:sz w:val="24"/>
          <w:szCs w:val="24"/>
          <w:lang w:val="en-GB"/>
        </w:rPr>
        <w:t>[Online]</w:t>
      </w:r>
      <w:r w:rsidRPr="000C2BE6">
        <w:rPr>
          <w:rFonts w:ascii="Arial" w:hAnsi="Arial" w:cs="Arial"/>
          <w:i/>
          <w:iCs/>
          <w:sz w:val="24"/>
          <w:szCs w:val="24"/>
          <w:lang w:val="en-GB"/>
        </w:rPr>
        <w:t xml:space="preserve"> </w:t>
      </w:r>
      <w:r w:rsidRPr="000C2BE6">
        <w:rPr>
          <w:rFonts w:ascii="Arial" w:hAnsi="Arial" w:cs="Arial"/>
          <w:sz w:val="24"/>
          <w:szCs w:val="24"/>
          <w:lang w:val="en-GB"/>
        </w:rPr>
        <w:t>Available at: https://www.lawteacher.net/cases/osman-v-uk.php (Accessed 27th December 2022)</w:t>
      </w:r>
    </w:p>
    <w:p w14:paraId="4ABBC2F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 xml:space="preserve">Police and Criminal Evidence Act 1984, s.24. </w:t>
      </w:r>
      <w:r w:rsidRPr="000C2BE6">
        <w:rPr>
          <w:rFonts w:ascii="Arial" w:hAnsi="Arial" w:cs="Arial"/>
          <w:sz w:val="24"/>
          <w:szCs w:val="24"/>
          <w:lang w:val="en-GB"/>
        </w:rPr>
        <w:t>Available at: https://www.legislation.gov.uk/ukpga/1984/60/section/24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0337279"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 xml:space="preserve">Police and Criminal Evidence Act 1984, C.IV, C.V. </w:t>
      </w:r>
      <w:r w:rsidRPr="000C2BE6">
        <w:rPr>
          <w:rFonts w:ascii="Arial" w:hAnsi="Arial" w:cs="Arial"/>
          <w:sz w:val="24"/>
          <w:szCs w:val="24"/>
          <w:lang w:val="en-GB"/>
        </w:rPr>
        <w:t>Available at: https://www.legislation.gov.uk/ukpga/1984/60/section/24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0BB3F4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lastRenderedPageBreak/>
        <w:t xml:space="preserve">‘Queen v. </w:t>
      </w:r>
      <w:proofErr w:type="spellStart"/>
      <w:r w:rsidRPr="000C2BE6">
        <w:rPr>
          <w:rFonts w:ascii="Arial" w:hAnsi="Arial" w:cs="Arial"/>
          <w:i/>
          <w:iCs/>
          <w:sz w:val="24"/>
          <w:szCs w:val="24"/>
          <w:lang w:val="en-GB"/>
        </w:rPr>
        <w:t>M’Naughten</w:t>
      </w:r>
      <w:proofErr w:type="spellEnd"/>
      <w:r w:rsidRPr="000C2BE6">
        <w:rPr>
          <w:rFonts w:ascii="Arial" w:hAnsi="Arial" w:cs="Arial"/>
          <w:i/>
          <w:iCs/>
          <w:sz w:val="24"/>
          <w:szCs w:val="24"/>
          <w:lang w:val="en-GB"/>
        </w:rPr>
        <w:t xml:space="preserve">’ </w:t>
      </w:r>
      <w:r w:rsidRPr="000C2BE6">
        <w:rPr>
          <w:rFonts w:ascii="Arial" w:hAnsi="Arial" w:cs="Arial"/>
          <w:sz w:val="24"/>
          <w:szCs w:val="24"/>
          <w:lang w:val="en-GB"/>
        </w:rPr>
        <w:t xml:space="preserve">(1843) United Kingdom House of Lords. </w:t>
      </w:r>
      <w:proofErr w:type="spellStart"/>
      <w:r w:rsidRPr="000C2BE6">
        <w:rPr>
          <w:rFonts w:ascii="Arial" w:hAnsi="Arial" w:cs="Arial"/>
          <w:i/>
          <w:iCs/>
          <w:sz w:val="24"/>
          <w:szCs w:val="24"/>
          <w:lang w:val="en-GB"/>
        </w:rPr>
        <w:t>Casemine</w:t>
      </w:r>
      <w:proofErr w:type="spellEnd"/>
      <w:r w:rsidRPr="000C2BE6">
        <w:rPr>
          <w:rFonts w:ascii="Arial" w:hAnsi="Arial" w:cs="Arial"/>
          <w:i/>
          <w:iCs/>
          <w:sz w:val="24"/>
          <w:szCs w:val="24"/>
          <w:lang w:val="en-GB"/>
        </w:rPr>
        <w:t xml:space="preserve"> </w:t>
      </w:r>
      <w:r w:rsidRPr="000C2BE6">
        <w:rPr>
          <w:rFonts w:ascii="Arial" w:hAnsi="Arial" w:cs="Arial"/>
          <w:sz w:val="24"/>
          <w:szCs w:val="24"/>
          <w:lang w:val="en-GB"/>
        </w:rPr>
        <w:t>[Online] Available at: https://www.casemine.com/judgement/uk/5a938b3d60d03e5f6b82b976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5A779741"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proofErr w:type="spellStart"/>
      <w:r w:rsidRPr="000C2BE6">
        <w:rPr>
          <w:rFonts w:ascii="Arial" w:hAnsi="Arial" w:cs="Arial"/>
          <w:i/>
          <w:iCs/>
          <w:sz w:val="24"/>
          <w:szCs w:val="24"/>
          <w:lang w:val="en-GB"/>
        </w:rPr>
        <w:t>Srjantson</w:t>
      </w:r>
      <w:proofErr w:type="spellEnd"/>
      <w:r w:rsidRPr="000C2BE6">
        <w:rPr>
          <w:rFonts w:ascii="Arial" w:hAnsi="Arial" w:cs="Arial"/>
          <w:i/>
          <w:iCs/>
          <w:sz w:val="24"/>
          <w:szCs w:val="24"/>
          <w:lang w:val="en-GB"/>
        </w:rPr>
        <w:t xml:space="preserve"> v Humberside Police’ </w:t>
      </w:r>
      <w:r w:rsidRPr="000C2BE6">
        <w:rPr>
          <w:rFonts w:ascii="Arial" w:hAnsi="Arial" w:cs="Arial"/>
          <w:sz w:val="24"/>
          <w:szCs w:val="24"/>
          <w:lang w:val="en-GB"/>
        </w:rPr>
        <w:t xml:space="preserve">(2013) England and Wales Court of Appeal (Civil Division). </w:t>
      </w:r>
      <w:proofErr w:type="spellStart"/>
      <w:r w:rsidRPr="000C2BE6">
        <w:rPr>
          <w:rFonts w:ascii="Arial" w:hAnsi="Arial" w:cs="Arial"/>
          <w:i/>
          <w:iCs/>
          <w:sz w:val="24"/>
          <w:szCs w:val="24"/>
          <w:lang w:val="en-GB"/>
        </w:rPr>
        <w:t>Casemine</w:t>
      </w:r>
      <w:proofErr w:type="spellEnd"/>
      <w:r w:rsidRPr="000C2BE6">
        <w:rPr>
          <w:rFonts w:ascii="Arial" w:hAnsi="Arial" w:cs="Arial"/>
          <w:sz w:val="24"/>
          <w:szCs w:val="24"/>
          <w:lang w:val="en-GB"/>
        </w:rPr>
        <w:t xml:space="preserve"> [Online] Available at: https://www.casemine.com/judgement/uk/5b46f1ec2c94e0775e7ee282 (Accessed: 27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 </w:t>
      </w:r>
    </w:p>
    <w:p w14:paraId="38F27A3F" w14:textId="2446C37F" w:rsidR="000C2BE6" w:rsidRPr="000C2BE6" w:rsidRDefault="000C2BE6" w:rsidP="0039348E">
      <w:pPr>
        <w:pStyle w:val="Body"/>
        <w:spacing w:line="360" w:lineRule="auto"/>
        <w:jc w:val="both"/>
        <w:rPr>
          <w:rFonts w:ascii="Arial" w:hAnsi="Arial" w:cs="Arial"/>
          <w:sz w:val="24"/>
          <w:szCs w:val="24"/>
          <w:lang w:val="en-GB"/>
        </w:rPr>
      </w:pPr>
      <w:proofErr w:type="spellStart"/>
      <w:r w:rsidRPr="000C2BE6">
        <w:rPr>
          <w:rFonts w:ascii="Arial" w:hAnsi="Arial" w:cs="Arial"/>
          <w:sz w:val="24"/>
          <w:szCs w:val="24"/>
          <w:lang w:val="en-GB"/>
        </w:rPr>
        <w:t>Sunde</w:t>
      </w:r>
      <w:proofErr w:type="spellEnd"/>
      <w:r w:rsidRPr="000C2BE6">
        <w:rPr>
          <w:rFonts w:ascii="Arial" w:hAnsi="Arial" w:cs="Arial"/>
          <w:sz w:val="24"/>
          <w:szCs w:val="24"/>
          <w:lang w:val="en-GB"/>
        </w:rPr>
        <w:t xml:space="preserve">, N. (2022) ‘Structured Hypothesis Development in Criminal Investigation: A method aimed at providing a broad and objective starting point for a criminal investigation’, </w:t>
      </w:r>
      <w:r w:rsidRPr="000C2BE6">
        <w:rPr>
          <w:rFonts w:ascii="Arial" w:hAnsi="Arial" w:cs="Arial"/>
          <w:i/>
          <w:iCs/>
          <w:sz w:val="24"/>
          <w:szCs w:val="24"/>
          <w:lang w:val="en-GB"/>
        </w:rPr>
        <w:t>Police Journal</w:t>
      </w:r>
      <w:r w:rsidRPr="000C2BE6">
        <w:rPr>
          <w:rFonts w:ascii="Arial" w:hAnsi="Arial" w:cs="Arial"/>
          <w:sz w:val="24"/>
          <w:szCs w:val="24"/>
          <w:lang w:val="en-GB"/>
        </w:rPr>
        <w:t xml:space="preserve">, 95, p. 276. Available at: </w:t>
      </w:r>
      <w:r w:rsidRPr="000D7EC3">
        <w:rPr>
          <w:rFonts w:ascii="Arial" w:hAnsi="Arial" w:cs="Arial"/>
          <w:sz w:val="24"/>
          <w:szCs w:val="24"/>
          <w:lang w:val="en-GB"/>
        </w:rPr>
        <w:t>https://plus-lexis-com.ezproxy.uwtsd.ac.uk/api/permalink/1242acf5-3ae9-48e6-86f4-c1c17e43523f/?context=1001073</w:t>
      </w:r>
    </w:p>
    <w:p w14:paraId="4948905D"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r w:rsidRPr="000C2BE6">
        <w:rPr>
          <w:rFonts w:ascii="Arial" w:hAnsi="Arial" w:cs="Arial"/>
          <w:i/>
          <w:iCs/>
          <w:sz w:val="24"/>
          <w:szCs w:val="24"/>
          <w:lang w:val="en-GB"/>
        </w:rPr>
        <w:t xml:space="preserve">Sweet v Parsley’ </w:t>
      </w:r>
      <w:r w:rsidRPr="000C2BE6">
        <w:rPr>
          <w:rFonts w:ascii="Arial" w:hAnsi="Arial" w:cs="Arial"/>
          <w:sz w:val="24"/>
          <w:szCs w:val="24"/>
          <w:lang w:val="en-GB"/>
        </w:rPr>
        <w:t xml:space="preserve">(1970) House of Lords AC132. </w:t>
      </w:r>
      <w:proofErr w:type="spellStart"/>
      <w:r w:rsidRPr="000C2BE6">
        <w:rPr>
          <w:rFonts w:ascii="Arial" w:hAnsi="Arial" w:cs="Arial"/>
          <w:i/>
          <w:iCs/>
          <w:sz w:val="24"/>
          <w:szCs w:val="24"/>
          <w:lang w:val="en-GB"/>
        </w:rPr>
        <w:t>Lawteacher</w:t>
      </w:r>
      <w:proofErr w:type="spellEnd"/>
      <w:r w:rsidRPr="000C2BE6">
        <w:rPr>
          <w:rFonts w:ascii="Arial" w:hAnsi="Arial" w:cs="Arial"/>
          <w:i/>
          <w:iCs/>
          <w:sz w:val="24"/>
          <w:szCs w:val="24"/>
          <w:lang w:val="en-GB"/>
        </w:rPr>
        <w:t xml:space="preserve"> </w:t>
      </w:r>
      <w:r w:rsidRPr="000C2BE6">
        <w:rPr>
          <w:rFonts w:ascii="Arial" w:hAnsi="Arial" w:cs="Arial"/>
          <w:sz w:val="24"/>
          <w:szCs w:val="24"/>
          <w:lang w:val="en-GB"/>
        </w:rPr>
        <w:t>[Online] Available at: https://www.lawteacher.net/cases/sweet-v-parsley-1970.php (Accessed: 27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FD71294"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Victim Support (2017) </w:t>
      </w:r>
      <w:r w:rsidRPr="000C2BE6">
        <w:rPr>
          <w:rFonts w:ascii="Arial" w:hAnsi="Arial" w:cs="Arial"/>
          <w:i/>
          <w:iCs/>
          <w:sz w:val="24"/>
          <w:szCs w:val="24"/>
          <w:lang w:val="en-GB"/>
        </w:rPr>
        <w:t>Understanding victims of crime</w:t>
      </w:r>
      <w:r w:rsidRPr="000C2BE6">
        <w:rPr>
          <w:rFonts w:ascii="Arial" w:hAnsi="Arial" w:cs="Arial"/>
          <w:sz w:val="24"/>
          <w:szCs w:val="24"/>
          <w:lang w:val="en-GB"/>
        </w:rPr>
        <w:t xml:space="preserve">: </w:t>
      </w:r>
      <w:r w:rsidRPr="000C2BE6">
        <w:rPr>
          <w:rFonts w:ascii="Arial" w:hAnsi="Arial" w:cs="Arial"/>
          <w:i/>
          <w:iCs/>
          <w:sz w:val="24"/>
          <w:szCs w:val="24"/>
          <w:lang w:val="en-GB"/>
        </w:rPr>
        <w:t>The impact of the crime and support needs</w:t>
      </w:r>
      <w:r w:rsidRPr="000C2BE6">
        <w:rPr>
          <w:rFonts w:ascii="Arial" w:hAnsi="Arial" w:cs="Arial"/>
          <w:sz w:val="24"/>
          <w:szCs w:val="24"/>
          <w:lang w:val="en-GB"/>
        </w:rPr>
        <w:t>. London: Hallam House. Available at: https://www.researchgate.net/profile/Tamar-Dinisman/publication/316787563_Understanding_victims_of_crime_The_impact_of_the_crime_and_support_needs/links/59118a70458515bbcb917314/Understanding-victims-of-crime-The-impact-of-the-crime-and-support-needs.pdf (Accessed: 8</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8F0ACF3" w14:textId="67BDED37" w:rsidR="000C2BE6" w:rsidRDefault="000C2BE6" w:rsidP="000C2BE6">
      <w:pPr>
        <w:pStyle w:val="Body"/>
        <w:jc w:val="both"/>
        <w:rPr>
          <w:rFonts w:cs="Calibri"/>
          <w:lang w:val="en-GB"/>
        </w:rPr>
      </w:pPr>
    </w:p>
    <w:p w14:paraId="7C4253E2" w14:textId="430FFABF" w:rsidR="000C2BE6" w:rsidRDefault="000C2BE6" w:rsidP="000C2BE6">
      <w:pPr>
        <w:pStyle w:val="Body"/>
        <w:jc w:val="both"/>
        <w:rPr>
          <w:rFonts w:cs="Calibri"/>
          <w:lang w:val="en-GB"/>
        </w:rPr>
      </w:pPr>
    </w:p>
    <w:p w14:paraId="57133F89" w14:textId="187955EB" w:rsidR="000D5E13" w:rsidRDefault="000D5E13" w:rsidP="000C2BE6">
      <w:pPr>
        <w:pStyle w:val="Body"/>
        <w:jc w:val="both"/>
        <w:rPr>
          <w:rFonts w:cs="Calibri"/>
          <w:lang w:val="en-GB"/>
        </w:rPr>
      </w:pPr>
    </w:p>
    <w:p w14:paraId="01E1E879" w14:textId="52A0241A" w:rsidR="000D5E13" w:rsidRDefault="000D5E13" w:rsidP="000C2BE6">
      <w:pPr>
        <w:pStyle w:val="Body"/>
        <w:jc w:val="both"/>
        <w:rPr>
          <w:rFonts w:cs="Calibri"/>
          <w:lang w:val="en-GB"/>
        </w:rPr>
      </w:pPr>
    </w:p>
    <w:p w14:paraId="6495D17D" w14:textId="77777777" w:rsidR="000D5E13" w:rsidRDefault="000D5E13" w:rsidP="000C2BE6">
      <w:pPr>
        <w:pStyle w:val="Body"/>
        <w:jc w:val="both"/>
        <w:rPr>
          <w:rFonts w:cs="Calibri"/>
          <w:lang w:val="en-GB"/>
        </w:rPr>
      </w:pPr>
    </w:p>
    <w:p w14:paraId="4BD21CCE" w14:textId="7430B0AC" w:rsidR="7336895D" w:rsidRDefault="7336895D" w:rsidP="46EDD448">
      <w:pPr>
        <w:ind w:right="237"/>
        <w:jc w:val="both"/>
        <w:rPr>
          <w:rFonts w:ascii="Arial" w:eastAsia="Arial" w:hAnsi="Arial" w:cs="Arial"/>
          <w:color w:val="000000" w:themeColor="text1"/>
          <w:sz w:val="24"/>
          <w:szCs w:val="24"/>
        </w:rPr>
      </w:pPr>
    </w:p>
    <w:p w14:paraId="5C716AB8" w14:textId="73FF9F4A" w:rsidR="7336895D" w:rsidRDefault="7336895D" w:rsidP="46EDD448">
      <w:pPr>
        <w:ind w:left="3600" w:right="107" w:firstLine="720"/>
        <w:jc w:val="both"/>
        <w:rPr>
          <w:rFonts w:ascii="Arial" w:eastAsia="Arial" w:hAnsi="Arial" w:cs="Arial"/>
          <w:b/>
          <w:bCs/>
          <w:color w:val="000000" w:themeColor="text1"/>
          <w:sz w:val="24"/>
          <w:szCs w:val="24"/>
        </w:rPr>
      </w:pPr>
    </w:p>
    <w:p w14:paraId="548DF71A" w14:textId="51C45207" w:rsidR="46EDD448" w:rsidRDefault="46EDD448" w:rsidP="46EDD448">
      <w:pPr>
        <w:ind w:right="107"/>
        <w:rPr>
          <w:rFonts w:ascii="Arial" w:eastAsia="Arial" w:hAnsi="Arial" w:cs="Arial"/>
          <w:b/>
          <w:bCs/>
          <w:color w:val="000000" w:themeColor="text1"/>
          <w:sz w:val="24"/>
          <w:szCs w:val="24"/>
        </w:rPr>
      </w:pPr>
    </w:p>
    <w:p w14:paraId="651C5E5A" w14:textId="51B803E2" w:rsidR="46EDD448" w:rsidRDefault="46EDD448" w:rsidP="46EDD448">
      <w:pPr>
        <w:ind w:right="107"/>
        <w:rPr>
          <w:rFonts w:ascii="Arial" w:eastAsia="Arial" w:hAnsi="Arial" w:cs="Arial"/>
          <w:b/>
          <w:bCs/>
          <w:color w:val="000000" w:themeColor="text1"/>
          <w:sz w:val="24"/>
          <w:szCs w:val="24"/>
        </w:rPr>
      </w:pPr>
    </w:p>
    <w:p w14:paraId="6664E868" w14:textId="6BC30DA0" w:rsidR="4AF6DABA" w:rsidRDefault="4AF6DABA" w:rsidP="03DEED5D">
      <w:pPr>
        <w:ind w:right="107"/>
        <w:rPr>
          <w:rFonts w:ascii="Arial" w:eastAsia="Arial" w:hAnsi="Arial" w:cs="Arial"/>
          <w:b/>
          <w:bCs/>
          <w:color w:val="000000" w:themeColor="text1"/>
          <w:sz w:val="24"/>
          <w:szCs w:val="24"/>
        </w:rPr>
      </w:pPr>
      <w:r w:rsidRPr="03DEED5D">
        <w:rPr>
          <w:rFonts w:ascii="Arial" w:eastAsia="Arial" w:hAnsi="Arial" w:cs="Arial"/>
          <w:b/>
          <w:bCs/>
          <w:color w:val="000000" w:themeColor="text1"/>
          <w:sz w:val="24"/>
          <w:szCs w:val="24"/>
        </w:rPr>
        <w:lastRenderedPageBreak/>
        <w:t xml:space="preserve">Task 3: </w:t>
      </w:r>
    </w:p>
    <w:p w14:paraId="61AB2B59" w14:textId="399A9044" w:rsidR="6AF475AF" w:rsidRDefault="6AF475AF" w:rsidP="03DEED5D">
      <w:pPr>
        <w:ind w:right="107"/>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You must choose a serious and complex criminal investigation in which you played a significant role in providing a response. </w:t>
      </w:r>
    </w:p>
    <w:tbl>
      <w:tblPr>
        <w:tblStyle w:val="TableGrid"/>
        <w:tblW w:w="0" w:type="auto"/>
        <w:tblLayout w:type="fixed"/>
        <w:tblLook w:val="06A0" w:firstRow="1" w:lastRow="0" w:firstColumn="1" w:lastColumn="0" w:noHBand="1" w:noVBand="1"/>
      </w:tblPr>
      <w:tblGrid>
        <w:gridCol w:w="9015"/>
      </w:tblGrid>
      <w:tr w:rsidR="7336895D" w14:paraId="66F0C074" w14:textId="77777777" w:rsidTr="329D81C7">
        <w:tc>
          <w:tcPr>
            <w:tcW w:w="9015" w:type="dxa"/>
          </w:tcPr>
          <w:p w14:paraId="4B914903" w14:textId="7C2B39DE" w:rsidR="7336895D" w:rsidRDefault="7336895D" w:rsidP="7336895D">
            <w:pPr>
              <w:rPr>
                <w:rFonts w:ascii="Arial" w:eastAsia="Arial" w:hAnsi="Arial" w:cs="Arial"/>
                <w:b/>
                <w:bCs/>
                <w:color w:val="000000" w:themeColor="text1"/>
                <w:sz w:val="24"/>
                <w:szCs w:val="24"/>
              </w:rPr>
            </w:pPr>
          </w:p>
          <w:p w14:paraId="1582804F" w14:textId="21563EC7" w:rsidR="7336895D" w:rsidRDefault="19BC994A" w:rsidP="03DEED5D">
            <w:pPr>
              <w:ind w:right="237"/>
              <w:jc w:val="both"/>
            </w:pPr>
            <w:r w:rsidRPr="03DEED5D">
              <w:rPr>
                <w:rFonts w:ascii="Arial" w:eastAsia="Arial" w:hAnsi="Arial" w:cs="Arial"/>
                <w:b/>
                <w:bCs/>
                <w:color w:val="000000" w:themeColor="text1"/>
                <w:sz w:val="24"/>
                <w:szCs w:val="24"/>
              </w:rPr>
              <w:t>Give a brief description</w:t>
            </w:r>
            <w:r w:rsidRPr="03DEED5D">
              <w:rPr>
                <w:rFonts w:ascii="Arial" w:eastAsia="Arial" w:hAnsi="Arial" w:cs="Arial"/>
                <w:color w:val="000000" w:themeColor="text1"/>
                <w:sz w:val="24"/>
                <w:szCs w:val="24"/>
              </w:rPr>
              <w:t xml:space="preserve"> of the incident including social and legislative contexts and any relevant cultural, ethnicity and language issues. </w:t>
            </w:r>
            <w:r w:rsidRPr="03DEED5D">
              <w:rPr>
                <w:rFonts w:ascii="Arial" w:eastAsia="Arial" w:hAnsi="Arial" w:cs="Arial"/>
                <w:sz w:val="24"/>
                <w:szCs w:val="24"/>
              </w:rPr>
              <w:t xml:space="preserve"> </w:t>
            </w:r>
          </w:p>
          <w:p w14:paraId="68A4B315" w14:textId="1642486C" w:rsidR="7336895D" w:rsidRDefault="7336895D" w:rsidP="03DEED5D">
            <w:pPr>
              <w:rPr>
                <w:rFonts w:ascii="Arial" w:eastAsia="Arial" w:hAnsi="Arial" w:cs="Arial"/>
                <w:b/>
                <w:bCs/>
                <w:color w:val="000000" w:themeColor="text1"/>
                <w:sz w:val="24"/>
                <w:szCs w:val="24"/>
              </w:rPr>
            </w:pPr>
          </w:p>
          <w:p w14:paraId="271C4687" w14:textId="59A344D4" w:rsidR="7336895D" w:rsidRDefault="7336895D" w:rsidP="03DEED5D">
            <w:pPr>
              <w:rPr>
                <w:rFonts w:ascii="Arial" w:eastAsia="Arial" w:hAnsi="Arial" w:cs="Arial"/>
                <w:color w:val="000000" w:themeColor="text1"/>
                <w:sz w:val="24"/>
                <w:szCs w:val="24"/>
              </w:rPr>
            </w:pPr>
          </w:p>
          <w:p w14:paraId="56052BFD" w14:textId="34608D30" w:rsidR="7336895D" w:rsidRDefault="19BC994A"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Analyse how you employed established techniques</w:t>
            </w:r>
            <w:r w:rsidR="1682318B" w:rsidRPr="03DEED5D">
              <w:rPr>
                <w:rFonts w:ascii="Arial" w:eastAsia="Arial" w:hAnsi="Arial" w:cs="Arial"/>
                <w:color w:val="000000" w:themeColor="text1"/>
                <w:sz w:val="24"/>
                <w:szCs w:val="24"/>
              </w:rPr>
              <w:t xml:space="preserve"> </w:t>
            </w:r>
            <w:r w:rsidR="0FD6044C" w:rsidRPr="03DEED5D">
              <w:rPr>
                <w:rFonts w:ascii="Arial" w:eastAsia="Arial" w:hAnsi="Arial" w:cs="Arial"/>
                <w:color w:val="000000" w:themeColor="text1"/>
                <w:sz w:val="24"/>
                <w:szCs w:val="24"/>
              </w:rPr>
              <w:t>to</w:t>
            </w:r>
            <w:r w:rsidR="1682318B" w:rsidRPr="03DEED5D">
              <w:rPr>
                <w:rFonts w:ascii="Arial" w:eastAsia="Arial" w:hAnsi="Arial" w:cs="Arial"/>
                <w:color w:val="000000" w:themeColor="text1"/>
                <w:sz w:val="24"/>
                <w:szCs w:val="24"/>
              </w:rPr>
              <w:t xml:space="preserve"> progress the investigation. </w:t>
            </w:r>
          </w:p>
          <w:p w14:paraId="0C0DB411" w14:textId="17C62268" w:rsidR="7336895D" w:rsidRDefault="7336895D" w:rsidP="03DEED5D">
            <w:pPr>
              <w:rPr>
                <w:rFonts w:ascii="Arial" w:eastAsia="Arial" w:hAnsi="Arial" w:cs="Arial"/>
                <w:color w:val="000000" w:themeColor="text1"/>
                <w:sz w:val="24"/>
                <w:szCs w:val="24"/>
              </w:rPr>
            </w:pPr>
          </w:p>
          <w:p w14:paraId="49577BB7" w14:textId="6194F97C" w:rsidR="7336895D" w:rsidRDefault="6B719F15"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Critically evaluate </w:t>
            </w:r>
            <w:r w:rsidR="1682318B" w:rsidRPr="03DEED5D">
              <w:rPr>
                <w:rFonts w:ascii="Arial" w:eastAsia="Arial" w:hAnsi="Arial" w:cs="Arial"/>
                <w:color w:val="000000" w:themeColor="text1"/>
                <w:sz w:val="24"/>
                <w:szCs w:val="24"/>
              </w:rPr>
              <w:t>how you applied specific legislation and or powers to the investigatio</w:t>
            </w:r>
            <w:r w:rsidR="67D6A7C6" w:rsidRPr="03DEED5D">
              <w:rPr>
                <w:rFonts w:ascii="Arial" w:eastAsia="Arial" w:hAnsi="Arial" w:cs="Arial"/>
                <w:color w:val="000000" w:themeColor="text1"/>
                <w:sz w:val="24"/>
                <w:szCs w:val="24"/>
              </w:rPr>
              <w:t xml:space="preserve">n. </w:t>
            </w:r>
          </w:p>
          <w:p w14:paraId="21190093" w14:textId="7BF16024" w:rsidR="03DEED5D" w:rsidRDefault="03DEED5D" w:rsidP="03DEED5D">
            <w:pPr>
              <w:rPr>
                <w:rFonts w:ascii="Arial" w:eastAsia="Arial" w:hAnsi="Arial" w:cs="Arial"/>
                <w:color w:val="000000" w:themeColor="text1"/>
                <w:sz w:val="24"/>
                <w:szCs w:val="24"/>
              </w:rPr>
            </w:pPr>
          </w:p>
          <w:p w14:paraId="65BB6D5D" w14:textId="5810E7D3" w:rsidR="1D5EC0F7" w:rsidRDefault="068F2BD9" w:rsidP="329D81C7">
            <w:pPr>
              <w:rPr>
                <w:rFonts w:ascii="Arial" w:eastAsia="Arial" w:hAnsi="Arial" w:cs="Arial"/>
                <w:color w:val="000000" w:themeColor="text1"/>
                <w:sz w:val="24"/>
                <w:szCs w:val="24"/>
              </w:rPr>
            </w:pPr>
            <w:r w:rsidRPr="329D81C7">
              <w:rPr>
                <w:rFonts w:ascii="Arial" w:eastAsia="Arial" w:hAnsi="Arial" w:cs="Arial"/>
                <w:color w:val="000000" w:themeColor="text1"/>
                <w:sz w:val="24"/>
                <w:szCs w:val="24"/>
              </w:rPr>
              <w:t>Exp</w:t>
            </w:r>
            <w:r w:rsidR="43F23A2A" w:rsidRPr="329D81C7">
              <w:rPr>
                <w:rFonts w:ascii="Arial" w:eastAsia="Arial" w:hAnsi="Arial" w:cs="Arial"/>
                <w:color w:val="000000" w:themeColor="text1"/>
                <w:sz w:val="24"/>
                <w:szCs w:val="24"/>
              </w:rPr>
              <w:t xml:space="preserve">lore the use </w:t>
            </w:r>
            <w:r w:rsidR="12D31063" w:rsidRPr="329D81C7">
              <w:rPr>
                <w:rFonts w:ascii="Arial" w:eastAsia="Arial" w:hAnsi="Arial" w:cs="Arial"/>
                <w:color w:val="000000" w:themeColor="text1"/>
                <w:sz w:val="24"/>
                <w:szCs w:val="24"/>
              </w:rPr>
              <w:t xml:space="preserve">of the techniques you applied to </w:t>
            </w:r>
            <w:r w:rsidR="01F56996" w:rsidRPr="329D81C7">
              <w:rPr>
                <w:rFonts w:ascii="Arial" w:eastAsia="Arial" w:hAnsi="Arial" w:cs="Arial"/>
                <w:color w:val="000000" w:themeColor="text1"/>
                <w:sz w:val="24"/>
                <w:szCs w:val="24"/>
              </w:rPr>
              <w:t>the investigatio</w:t>
            </w:r>
            <w:r w:rsidR="4F88DCFE" w:rsidRPr="329D81C7">
              <w:rPr>
                <w:rFonts w:ascii="Arial" w:eastAsia="Arial" w:hAnsi="Arial" w:cs="Arial"/>
                <w:color w:val="000000" w:themeColor="text1"/>
                <w:sz w:val="24"/>
                <w:szCs w:val="24"/>
              </w:rPr>
              <w:t>n and demonstrate your understanding of their use.</w:t>
            </w:r>
            <w:r w:rsidR="01F56996" w:rsidRPr="329D81C7">
              <w:rPr>
                <w:rFonts w:ascii="Arial" w:eastAsia="Arial" w:hAnsi="Arial" w:cs="Arial"/>
                <w:color w:val="000000" w:themeColor="text1"/>
                <w:sz w:val="24"/>
                <w:szCs w:val="24"/>
              </w:rPr>
              <w:t xml:space="preserve"> </w:t>
            </w:r>
          </w:p>
          <w:p w14:paraId="462E9563" w14:textId="0D2D6EC1" w:rsidR="7336895D" w:rsidRDefault="7336895D" w:rsidP="7336895D">
            <w:pPr>
              <w:rPr>
                <w:rFonts w:ascii="Arial" w:eastAsia="Arial" w:hAnsi="Arial" w:cs="Arial"/>
                <w:b/>
                <w:bCs/>
                <w:color w:val="000000" w:themeColor="text1"/>
                <w:sz w:val="24"/>
                <w:szCs w:val="24"/>
              </w:rPr>
            </w:pPr>
          </w:p>
          <w:p w14:paraId="55587379" w14:textId="5906684B" w:rsidR="7336895D" w:rsidRDefault="7336895D" w:rsidP="7336895D">
            <w:pPr>
              <w:rPr>
                <w:rFonts w:ascii="Arial" w:eastAsia="Arial" w:hAnsi="Arial" w:cs="Arial"/>
                <w:b/>
                <w:bCs/>
                <w:color w:val="000000" w:themeColor="text1"/>
                <w:sz w:val="24"/>
                <w:szCs w:val="24"/>
              </w:rPr>
            </w:pPr>
          </w:p>
          <w:p w14:paraId="3578E565" w14:textId="25B5CCAF" w:rsidR="7336895D" w:rsidRDefault="38FA1A13" w:rsidP="03DEED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48890830" w14:textId="5753EB41" w:rsidR="7336895D" w:rsidRDefault="7336895D" w:rsidP="46EDD448">
            <w:pPr>
              <w:rPr>
                <w:rFonts w:ascii="Arial" w:eastAsia="Arial" w:hAnsi="Arial" w:cs="Arial"/>
                <w:b/>
                <w:bCs/>
                <w:color w:val="000000" w:themeColor="text1"/>
                <w:sz w:val="24"/>
                <w:szCs w:val="24"/>
              </w:rPr>
            </w:pPr>
          </w:p>
          <w:p w14:paraId="296E3AF7" w14:textId="6DBB3300" w:rsidR="7336895D" w:rsidRDefault="7336895D" w:rsidP="7336895D">
            <w:pPr>
              <w:rPr>
                <w:rFonts w:ascii="Arial" w:eastAsia="Arial" w:hAnsi="Arial" w:cs="Arial"/>
                <w:b/>
                <w:bCs/>
                <w:color w:val="000000" w:themeColor="text1"/>
                <w:sz w:val="24"/>
                <w:szCs w:val="24"/>
              </w:rPr>
            </w:pPr>
          </w:p>
        </w:tc>
      </w:tr>
    </w:tbl>
    <w:p w14:paraId="0ADACAE9" w14:textId="62152FEB" w:rsidR="7336895D" w:rsidRDefault="7336895D" w:rsidP="7336895D">
      <w:pPr>
        <w:ind w:left="3600" w:right="107" w:firstLine="720"/>
        <w:jc w:val="both"/>
        <w:rPr>
          <w:rFonts w:ascii="Arial" w:eastAsia="Arial" w:hAnsi="Arial" w:cs="Arial"/>
          <w:b/>
          <w:bCs/>
          <w:color w:val="000000" w:themeColor="text1"/>
          <w:sz w:val="24"/>
          <w:szCs w:val="24"/>
        </w:rPr>
      </w:pPr>
    </w:p>
    <w:p w14:paraId="25841420" w14:textId="5831154A" w:rsidR="7336895D" w:rsidRDefault="7336895D" w:rsidP="46EDD448">
      <w:pPr>
        <w:ind w:right="237"/>
        <w:jc w:val="both"/>
        <w:rPr>
          <w:rFonts w:ascii="Arial" w:eastAsia="Arial" w:hAnsi="Arial" w:cs="Arial"/>
          <w:color w:val="000000" w:themeColor="text1"/>
          <w:sz w:val="24"/>
          <w:szCs w:val="24"/>
        </w:rPr>
      </w:pPr>
    </w:p>
    <w:p w14:paraId="2943FEEE" w14:textId="795B96D8" w:rsidR="7336895D" w:rsidRDefault="4C07A238" w:rsidP="46EDD448">
      <w:pPr>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45902531" w14:textId="77777777" w:rsidR="000C2BE6" w:rsidRPr="00A64F3C" w:rsidRDefault="000C2BE6" w:rsidP="00A64F3C">
      <w:pPr>
        <w:spacing w:line="360" w:lineRule="auto"/>
        <w:ind w:right="237"/>
        <w:jc w:val="both"/>
        <w:rPr>
          <w:rFonts w:ascii="Arial" w:hAnsi="Arial" w:cs="Arial"/>
          <w:b/>
          <w:bCs/>
          <w:sz w:val="24"/>
          <w:szCs w:val="24"/>
        </w:rPr>
      </w:pPr>
      <w:r w:rsidRPr="00A64F3C">
        <w:rPr>
          <w:rFonts w:ascii="Arial" w:eastAsia="Arial" w:hAnsi="Arial" w:cs="Arial"/>
          <w:b/>
          <w:bCs/>
          <w:color w:val="000000" w:themeColor="text1"/>
          <w:sz w:val="24"/>
          <w:szCs w:val="24"/>
        </w:rPr>
        <w:t xml:space="preserve">Give a brief description of the incident including social and legislative contexts and any relevant cultural, ethnicity and language issues. </w:t>
      </w:r>
      <w:r w:rsidRPr="00A64F3C">
        <w:rPr>
          <w:rFonts w:ascii="Arial" w:eastAsia="Arial" w:hAnsi="Arial" w:cs="Arial"/>
          <w:b/>
          <w:bCs/>
          <w:sz w:val="24"/>
          <w:szCs w:val="24"/>
        </w:rPr>
        <w:t xml:space="preserve"> </w:t>
      </w:r>
    </w:p>
    <w:p w14:paraId="45EFA2CA"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I was the officer in the case for a serious aggravated burglary which took place where three offenders forced their way into the victims’ addresses armed with an imitation firearm and knives, demanded monies before assaulting the victim and his partner. A particular challenge in this investigation was the fact that the victim was involved in criminality in the form of drug dealing, undermining his credibility as a witness.</w:t>
      </w:r>
    </w:p>
    <w:p w14:paraId="1544FEFF" w14:textId="301B78E4"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w:t>
      </w:r>
      <w:r w:rsidR="007D7B9A" w:rsidRPr="00A64F3C">
        <w:rPr>
          <w:rFonts w:ascii="Arial" w:hAnsi="Arial" w:cs="Arial"/>
          <w:sz w:val="24"/>
          <w:szCs w:val="24"/>
        </w:rPr>
        <w:t>69</w:t>
      </w:r>
      <w:r w:rsidRPr="00A64F3C">
        <w:rPr>
          <w:rFonts w:ascii="Arial" w:hAnsi="Arial" w:cs="Arial"/>
          <w:sz w:val="24"/>
          <w:szCs w:val="24"/>
        </w:rPr>
        <w:t xml:space="preserve"> words)</w:t>
      </w:r>
    </w:p>
    <w:p w14:paraId="12F7276D" w14:textId="77777777" w:rsidR="000C2BE6" w:rsidRPr="00A64F3C" w:rsidRDefault="000C2BE6" w:rsidP="00A64F3C">
      <w:pPr>
        <w:spacing w:line="360" w:lineRule="auto"/>
        <w:jc w:val="both"/>
        <w:rPr>
          <w:rFonts w:ascii="Arial" w:hAnsi="Arial" w:cs="Arial"/>
          <w:sz w:val="24"/>
          <w:szCs w:val="24"/>
        </w:rPr>
      </w:pPr>
    </w:p>
    <w:p w14:paraId="2EB02936" w14:textId="77777777" w:rsidR="000C2BE6" w:rsidRPr="00A64F3C" w:rsidRDefault="000C2BE6" w:rsidP="00A64F3C">
      <w:pPr>
        <w:spacing w:line="360" w:lineRule="auto"/>
        <w:jc w:val="both"/>
        <w:rPr>
          <w:rFonts w:ascii="Arial" w:eastAsia="Arial" w:hAnsi="Arial" w:cs="Arial"/>
          <w:b/>
          <w:bCs/>
          <w:color w:val="000000" w:themeColor="text1"/>
          <w:sz w:val="24"/>
          <w:szCs w:val="24"/>
        </w:rPr>
      </w:pPr>
      <w:r w:rsidRPr="00A64F3C">
        <w:rPr>
          <w:rFonts w:ascii="Arial" w:eastAsia="Arial" w:hAnsi="Arial" w:cs="Arial"/>
          <w:b/>
          <w:bCs/>
          <w:color w:val="000000" w:themeColor="text1"/>
          <w:sz w:val="24"/>
          <w:szCs w:val="24"/>
        </w:rPr>
        <w:t xml:space="preserve">Analyse how you employed established techniques to progress the investigation. </w:t>
      </w:r>
    </w:p>
    <w:p w14:paraId="3729C154"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Several investigative techniques were used to progress this investigation, including identification procedures, premises searches under PACE, applications under the Investigatory Powers Act and forensic analysis of digital and traditional material. </w:t>
      </w:r>
    </w:p>
    <w:p w14:paraId="57EA7CA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lastRenderedPageBreak/>
        <w:t>At the beginning of the investigation, I applied the basic principles of investigations (National Police Chiefs Council, 2021) and ensured that the safety and welfare of the victims were promoted. It was important that the scene of the crime was identified and preserved for any potential crime scene examination and any relevant material could be secured and potentially used in evidence. Preserving the scene was vital to maintain the integrity and provenance of anything recovered from it and to prevent material becoming cross contaminated (College of Policing, 2013).</w:t>
      </w:r>
    </w:p>
    <w:p w14:paraId="59BCAA92"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Following several fast time enquiries, three suspects were identified and arrested on suspicion of aggravated burglary (</w:t>
      </w:r>
      <w:r w:rsidRPr="00A64F3C">
        <w:rPr>
          <w:rFonts w:ascii="Arial" w:hAnsi="Arial" w:cs="Arial"/>
          <w:i/>
          <w:iCs/>
          <w:sz w:val="24"/>
          <w:szCs w:val="24"/>
        </w:rPr>
        <w:t>Theft Act 1968</w:t>
      </w:r>
      <w:r w:rsidRPr="00A64F3C">
        <w:rPr>
          <w:rFonts w:ascii="Arial" w:hAnsi="Arial" w:cs="Arial"/>
          <w:sz w:val="24"/>
          <w:szCs w:val="24"/>
        </w:rPr>
        <w:t xml:space="preserve">). </w:t>
      </w:r>
    </w:p>
    <w:p w14:paraId="35E87AB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I identified that the victim in this case would be automatically categorised as an intimidated witness contrary to the </w:t>
      </w:r>
      <w:r w:rsidRPr="00A64F3C">
        <w:rPr>
          <w:rFonts w:ascii="Arial" w:hAnsi="Arial" w:cs="Arial"/>
          <w:i/>
          <w:iCs/>
          <w:sz w:val="24"/>
          <w:szCs w:val="24"/>
        </w:rPr>
        <w:t>Youth Justice and Criminal Evidence Act 1999</w:t>
      </w:r>
      <w:r w:rsidRPr="00A64F3C">
        <w:rPr>
          <w:rFonts w:ascii="Arial" w:hAnsi="Arial" w:cs="Arial"/>
          <w:sz w:val="24"/>
          <w:szCs w:val="24"/>
        </w:rPr>
        <w:t xml:space="preserve"> due to the involvement of knives and firearms. An evidential account was obtained where he summarised the circumstances of the offence stating that person’s unknown to him forced entry to his address armed with knives and an imitation firearm, stolen approximately £700 and assaulted him causing injuries to his head. </w:t>
      </w:r>
    </w:p>
    <w:p w14:paraId="32B83929"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Ensuring that the victim was assessed, their needs identified, and account obtained in the correct format is vitally important in order that they can give the best quality evidence in court as described in guidance from the National Police Chiefs’ Council (2022). This is key to any successful prosecution and supporting vulnerable or intimidated victims through the criminal justice system should be at the forefront of the investigators mind. It is thought that through providing tailored help and support, it will prevent these victims from disengaging during the process (Victims Commissioner, 2020). </w:t>
      </w:r>
    </w:p>
    <w:p w14:paraId="6075B7B4" w14:textId="6103CC09"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Options available to vulnerable or intimated witnesses include pre-recorded evidence in chief or pre-recorded cross-examination, meaning the witness is not </w:t>
      </w:r>
      <w:r w:rsidR="000E7121" w:rsidRPr="00A64F3C">
        <w:rPr>
          <w:rFonts w:ascii="Arial" w:hAnsi="Arial" w:cs="Arial"/>
          <w:sz w:val="24"/>
          <w:szCs w:val="24"/>
        </w:rPr>
        <w:t>required</w:t>
      </w:r>
      <w:r w:rsidRPr="00A64F3C">
        <w:rPr>
          <w:rFonts w:ascii="Arial" w:hAnsi="Arial" w:cs="Arial"/>
          <w:sz w:val="24"/>
          <w:szCs w:val="24"/>
        </w:rPr>
        <w:t xml:space="preserve"> to be physically present in the court room. These options are designed to make the process of giving evidence easier and allow for the witness’s best evidence to be provided (National Police Chiefs’ Council, 2022), however some argue that this goes against the </w:t>
      </w:r>
      <w:r w:rsidR="00124F44" w:rsidRPr="00A64F3C">
        <w:rPr>
          <w:rFonts w:ascii="Arial" w:hAnsi="Arial" w:cs="Arial"/>
          <w:sz w:val="24"/>
          <w:szCs w:val="24"/>
        </w:rPr>
        <w:t>long-standing</w:t>
      </w:r>
      <w:r w:rsidRPr="00A64F3C">
        <w:rPr>
          <w:rFonts w:ascii="Arial" w:hAnsi="Arial" w:cs="Arial"/>
          <w:sz w:val="24"/>
          <w:szCs w:val="24"/>
        </w:rPr>
        <w:t xml:space="preserve"> principle of orality in the adversarial process within the UK (Burton, Evans et al. 2007).</w:t>
      </w:r>
    </w:p>
    <w:p w14:paraId="1F155E1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Whilst this practice is guidance and not law, “significant departures from the good practice advocated may have to be justified in courts” (National Police Chiefs Council, </w:t>
      </w:r>
      <w:r w:rsidRPr="00A64F3C">
        <w:rPr>
          <w:rFonts w:ascii="Arial" w:hAnsi="Arial" w:cs="Arial"/>
          <w:sz w:val="24"/>
          <w:szCs w:val="24"/>
        </w:rPr>
        <w:lastRenderedPageBreak/>
        <w:t xml:space="preserve">2022) and whilst there may be defensible decisions made which deviate from the practice, this will be for the investigator to account for and justify. </w:t>
      </w:r>
    </w:p>
    <w:p w14:paraId="11C863B1"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As summarised by the CPS (2018), “The procedures in (PACE) Code D are designed to test the ability of a witness to identify a suspect he claims to have seen or recognised from a previous occasion”. The victim was able to describe the three offenders in sufficient detail, that coupled with the fact that all three suspects denied their involvement in the offence, I identified that a known identification procedure should be carried out. Making sure to follow the relevant codes of practice for identification (Home Office, 2017) as failure to adhere may lead to any material obtained being excluded under Section 78 of PACE (</w:t>
      </w:r>
      <w:r w:rsidRPr="00A64F3C">
        <w:rPr>
          <w:rFonts w:ascii="Arial" w:hAnsi="Arial" w:cs="Arial"/>
          <w:i/>
          <w:iCs/>
          <w:sz w:val="24"/>
          <w:szCs w:val="24"/>
        </w:rPr>
        <w:t>Police and Criminal Evidence Act 1984a</w:t>
      </w:r>
      <w:r w:rsidRPr="00A64F3C">
        <w:rPr>
          <w:rFonts w:ascii="Arial" w:hAnsi="Arial" w:cs="Arial"/>
          <w:sz w:val="24"/>
          <w:szCs w:val="24"/>
        </w:rPr>
        <w:t>).</w:t>
      </w:r>
    </w:p>
    <w:p w14:paraId="4FA5390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Several premises searches were carried out during this investigation, the lawful basis for which is governed by PACE. Two of the suspects were arrested near to their home address, and due to outstanding property and other evidential material which required recovering there was a need to carry out searches of this address. This is relatively routine enquiry during criminal investigations and there is a specific section of PACE which allows officers to “to enter and search any premises in which he was when arrested or immediately before he was arrested for evidence relating to the offence” (</w:t>
      </w:r>
      <w:r w:rsidRPr="00A64F3C">
        <w:rPr>
          <w:rFonts w:ascii="Arial" w:hAnsi="Arial" w:cs="Arial"/>
          <w:i/>
          <w:iCs/>
          <w:sz w:val="24"/>
          <w:szCs w:val="24"/>
        </w:rPr>
        <w:t xml:space="preserve">Police and Criminal Evidence Act 1984b) </w:t>
      </w:r>
      <w:r w:rsidRPr="00A64F3C">
        <w:rPr>
          <w:rFonts w:ascii="Arial" w:hAnsi="Arial" w:cs="Arial"/>
          <w:sz w:val="24"/>
          <w:szCs w:val="24"/>
        </w:rPr>
        <w:t>for this very purpose. This piece of legislation has no oversight from senior officers or the judiciary and can be seen as relatively intrusive in terms of the right to a private life (</w:t>
      </w:r>
      <w:r w:rsidRPr="00A64F3C">
        <w:rPr>
          <w:rFonts w:ascii="Arial" w:hAnsi="Arial" w:cs="Arial"/>
          <w:i/>
          <w:iCs/>
          <w:sz w:val="24"/>
          <w:szCs w:val="24"/>
        </w:rPr>
        <w:t>Human Rights Act 1998</w:t>
      </w:r>
      <w:r w:rsidRPr="00A64F3C">
        <w:rPr>
          <w:rFonts w:ascii="Arial" w:hAnsi="Arial" w:cs="Arial"/>
          <w:sz w:val="24"/>
          <w:szCs w:val="24"/>
        </w:rPr>
        <w:t>) however to counter this there is the requirement for the officer to meet the ‘belief’ threshold, which is substantially higher than ‘suspect’ which is usually required in policing powers, before exercising this search power. The Police National Legal Database explains that “suspect is a much lower standard than ‘believe’. In legal terms ‘reasonable grounds to believe’ requires something closer to certainty (2022)”</w:t>
      </w:r>
    </w:p>
    <w:p w14:paraId="108945BE" w14:textId="68B9B58A"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(74</w:t>
      </w:r>
      <w:r w:rsidR="007F6DC9">
        <w:rPr>
          <w:rFonts w:ascii="Arial" w:hAnsi="Arial" w:cs="Arial"/>
          <w:sz w:val="24"/>
          <w:szCs w:val="24"/>
        </w:rPr>
        <w:t>8</w:t>
      </w:r>
      <w:r w:rsidRPr="00A64F3C">
        <w:rPr>
          <w:rFonts w:ascii="Arial" w:hAnsi="Arial" w:cs="Arial"/>
          <w:sz w:val="24"/>
          <w:szCs w:val="24"/>
        </w:rPr>
        <w:t xml:space="preserve"> words)</w:t>
      </w:r>
    </w:p>
    <w:p w14:paraId="7D454417" w14:textId="77777777" w:rsidR="000C2BE6" w:rsidRPr="00A64F3C" w:rsidRDefault="000C2BE6" w:rsidP="00A64F3C">
      <w:pPr>
        <w:spacing w:line="360" w:lineRule="auto"/>
        <w:jc w:val="both"/>
        <w:rPr>
          <w:rFonts w:ascii="Arial" w:hAnsi="Arial" w:cs="Arial"/>
          <w:sz w:val="24"/>
          <w:szCs w:val="24"/>
        </w:rPr>
      </w:pPr>
    </w:p>
    <w:p w14:paraId="65521DCA" w14:textId="77777777" w:rsidR="000C2BE6" w:rsidRPr="00A64F3C" w:rsidRDefault="000C2BE6" w:rsidP="00A64F3C">
      <w:pPr>
        <w:spacing w:line="360" w:lineRule="auto"/>
        <w:jc w:val="both"/>
        <w:rPr>
          <w:rFonts w:ascii="Arial" w:hAnsi="Arial" w:cs="Arial"/>
          <w:b/>
          <w:bCs/>
          <w:sz w:val="24"/>
          <w:szCs w:val="24"/>
        </w:rPr>
      </w:pPr>
      <w:r w:rsidRPr="00A64F3C">
        <w:rPr>
          <w:rFonts w:ascii="Arial" w:hAnsi="Arial" w:cs="Arial"/>
          <w:b/>
          <w:bCs/>
          <w:sz w:val="24"/>
          <w:szCs w:val="24"/>
        </w:rPr>
        <w:t xml:space="preserve">Critically evaluate how you applied specific legislation and or powers to the investigation. </w:t>
      </w:r>
    </w:p>
    <w:p w14:paraId="1A4DBCE8" w14:textId="0FA211B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The Code of Practice to the Criminal Procedure and Investigations Act 1996 (CPIA) states that a criminal investigation is “an investigation conducted by police officers with </w:t>
      </w:r>
      <w:r w:rsidRPr="00A64F3C">
        <w:rPr>
          <w:rFonts w:ascii="Arial" w:hAnsi="Arial" w:cs="Arial"/>
          <w:sz w:val="24"/>
          <w:szCs w:val="24"/>
        </w:rPr>
        <w:lastRenderedPageBreak/>
        <w:t xml:space="preserve">a view to it being ascertained whether a person should be charged with an offence, or whether a person charged with an offence is guilty of it” (Ministry of Justice, 2015). The CPIA also sets out how police should record, retain, and reveal to </w:t>
      </w:r>
      <w:proofErr w:type="gramStart"/>
      <w:r w:rsidR="0075617F" w:rsidRPr="00A64F3C">
        <w:rPr>
          <w:rFonts w:ascii="Arial" w:hAnsi="Arial" w:cs="Arial"/>
          <w:sz w:val="24"/>
          <w:szCs w:val="24"/>
        </w:rPr>
        <w:t>prosecutors</w:t>
      </w:r>
      <w:proofErr w:type="gramEnd"/>
      <w:r w:rsidRPr="00A64F3C">
        <w:rPr>
          <w:rFonts w:ascii="Arial" w:hAnsi="Arial" w:cs="Arial"/>
          <w:sz w:val="24"/>
          <w:szCs w:val="24"/>
        </w:rPr>
        <w:t xml:space="preserve"> material obtained during an investigation. This is significant for all investigations, and it follows that it is essential for the police follow this guidance on the disclosure of material to prevent cases from failing in the court system, as within the last year, 1,648 cases were discontinued due to a primary issue with disclosure (The Crown Prosecution Service, 2022).   </w:t>
      </w:r>
    </w:p>
    <w:p w14:paraId="3354C0B0"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As the investigation progressed, it became apparent that the victim was involved in drug related criminality, and this potentially was a factor in him becoming a target for the offenders. Through research, I identified material linking the victim with drug activity and dishonesty and made sure to reveal this to the prosecutor in line with CPIA. In doing so, I was adhering to the codes of practice set out by the CPIA which is key to ensuing the suspects in this case had a fair trial (</w:t>
      </w:r>
      <w:r w:rsidRPr="00A64F3C">
        <w:rPr>
          <w:rFonts w:ascii="Arial" w:hAnsi="Arial" w:cs="Arial"/>
          <w:i/>
          <w:iCs/>
          <w:sz w:val="24"/>
          <w:szCs w:val="24"/>
        </w:rPr>
        <w:t>Human Rights Act 1998</w:t>
      </w:r>
      <w:r w:rsidRPr="00A64F3C">
        <w:rPr>
          <w:rFonts w:ascii="Arial" w:hAnsi="Arial" w:cs="Arial"/>
          <w:sz w:val="24"/>
          <w:szCs w:val="24"/>
        </w:rPr>
        <w:t>).</w:t>
      </w:r>
    </w:p>
    <w:p w14:paraId="5570E073"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The Police and Criminal Evidence Act 1984 is an integral part of the criminal justice system for the police, the </w:t>
      </w:r>
      <w:proofErr w:type="gramStart"/>
      <w:r w:rsidRPr="00A64F3C">
        <w:rPr>
          <w:rFonts w:ascii="Arial" w:hAnsi="Arial" w:cs="Arial"/>
          <w:sz w:val="24"/>
          <w:szCs w:val="24"/>
        </w:rPr>
        <w:t>suspect</w:t>
      </w:r>
      <w:proofErr w:type="gramEnd"/>
      <w:r w:rsidRPr="00A64F3C">
        <w:rPr>
          <w:rFonts w:ascii="Arial" w:hAnsi="Arial" w:cs="Arial"/>
          <w:sz w:val="24"/>
          <w:szCs w:val="24"/>
        </w:rPr>
        <w:t xml:space="preserve"> and the victim (Benz, 2012, p.1) and provides a framework for the police to carry out their duties and investigations. Benz explains that before 1984, laws governing police powers were fragmentary and insufficient, leading to misconduct of the police and miscarriages of justice (2012) so it is vital that I adhered to PACE and its codes of practice during this investigation to ensure that all material gathered was done so in a legally sound, defensible manner which was able to be presented to in front of a jury if required. The risks of not adhering to either PACE or its codes of practice could range from material being excluded under Section 78 of PACE, through to police misconduct or potential criminal offences. These outcomes are not only catastrophic to the investigation from the victim’s point of view but may undermine the public’s confidence in the police. </w:t>
      </w:r>
    </w:p>
    <w:p w14:paraId="665F84AD"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One element of PACE which was utilised in this investigation was the power to search premises of two suspects, which officers witnessed them leaving immediately prior to arresting them. </w:t>
      </w:r>
    </w:p>
    <w:p w14:paraId="7971C613" w14:textId="7D1F768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The power used was section 32 of PACE which gives police the power “to enter and search any premises in which he was when arrested or immediately before he was arrested for evidence relating to the offence” (</w:t>
      </w:r>
      <w:r w:rsidRPr="00A64F3C">
        <w:rPr>
          <w:rFonts w:ascii="Arial" w:hAnsi="Arial" w:cs="Arial"/>
          <w:i/>
          <w:iCs/>
          <w:sz w:val="24"/>
          <w:szCs w:val="24"/>
        </w:rPr>
        <w:t>Police and Criminal Evidence Act 1984b)</w:t>
      </w:r>
      <w:r w:rsidRPr="00A64F3C">
        <w:rPr>
          <w:rFonts w:ascii="Arial" w:hAnsi="Arial" w:cs="Arial"/>
          <w:sz w:val="24"/>
          <w:szCs w:val="24"/>
        </w:rPr>
        <w:t xml:space="preserve"> </w:t>
      </w:r>
      <w:r w:rsidRPr="00A64F3C">
        <w:rPr>
          <w:rFonts w:ascii="Arial" w:hAnsi="Arial" w:cs="Arial"/>
          <w:sz w:val="24"/>
          <w:szCs w:val="24"/>
        </w:rPr>
        <w:lastRenderedPageBreak/>
        <w:t>should the offence be indictable. In this case the power was used legally, however there are several other options in PACE to search premises. One such option is Section 18(1) (</w:t>
      </w:r>
      <w:r w:rsidRPr="00A64F3C">
        <w:rPr>
          <w:rFonts w:ascii="Arial" w:hAnsi="Arial" w:cs="Arial"/>
          <w:i/>
          <w:iCs/>
          <w:sz w:val="24"/>
          <w:szCs w:val="24"/>
        </w:rPr>
        <w:t>Police and Criminal Evidence Act 1984c)</w:t>
      </w:r>
      <w:r w:rsidRPr="00A64F3C">
        <w:rPr>
          <w:rFonts w:ascii="Arial" w:hAnsi="Arial" w:cs="Arial"/>
          <w:sz w:val="24"/>
          <w:szCs w:val="24"/>
        </w:rPr>
        <w:t xml:space="preserve">, the power to enter and search after arrest. This power, whilst appearing </w:t>
      </w:r>
      <w:r w:rsidR="00BB571B" w:rsidRPr="00A64F3C">
        <w:rPr>
          <w:rFonts w:ascii="Arial" w:hAnsi="Arial" w:cs="Arial"/>
          <w:sz w:val="24"/>
          <w:szCs w:val="24"/>
        </w:rPr>
        <w:t>like</w:t>
      </w:r>
      <w:r w:rsidRPr="00A64F3C">
        <w:rPr>
          <w:rFonts w:ascii="Arial" w:hAnsi="Arial" w:cs="Arial"/>
          <w:sz w:val="24"/>
          <w:szCs w:val="24"/>
        </w:rPr>
        <w:t xml:space="preserve"> that of S32, requires the authorisation of an officer of the rank of Inspector or above prior to the execution of the search. Section 18 also carries with it a lower threshold of ‘suspicion’ rather than that of ‘belief’ required for section 32. </w:t>
      </w:r>
    </w:p>
    <w:p w14:paraId="1CC8AFF4"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It could be argued that section 18 PACE should have been used in this case as this would provide officers with a larger scope to search for material relating to that, or similar offences, where S32 only allows the search for material relating to that specific offence. The power is also more defensible in that there is senior officer oversight and supporting written documentation. The drawback however are the practicalities and potential delays of obtaining written authorisation of an Inspector which may cause delays in the execution of the search. The benefits of using the 32 over 18 in this instance, allowed offices to immediately search the address which allowed them to locate the outstanding third offender along with key material within the premises. </w:t>
      </w:r>
    </w:p>
    <w:p w14:paraId="5A12F097" w14:textId="5BA9F702"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(67</w:t>
      </w:r>
      <w:r w:rsidR="00BC4F37">
        <w:rPr>
          <w:rFonts w:ascii="Arial" w:hAnsi="Arial" w:cs="Arial"/>
          <w:sz w:val="24"/>
          <w:szCs w:val="24"/>
        </w:rPr>
        <w:t>5</w:t>
      </w:r>
      <w:r w:rsidRPr="00A64F3C">
        <w:rPr>
          <w:rFonts w:ascii="Arial" w:hAnsi="Arial" w:cs="Arial"/>
          <w:sz w:val="24"/>
          <w:szCs w:val="24"/>
        </w:rPr>
        <w:t xml:space="preserve"> words)</w:t>
      </w:r>
    </w:p>
    <w:p w14:paraId="23A4BF9A" w14:textId="77777777" w:rsidR="000C2BE6" w:rsidRPr="00A64F3C" w:rsidRDefault="000C2BE6" w:rsidP="00A64F3C">
      <w:pPr>
        <w:spacing w:line="360" w:lineRule="auto"/>
        <w:jc w:val="both"/>
        <w:rPr>
          <w:rFonts w:ascii="Arial" w:hAnsi="Arial" w:cs="Arial"/>
          <w:b/>
          <w:bCs/>
          <w:sz w:val="24"/>
          <w:szCs w:val="24"/>
        </w:rPr>
      </w:pPr>
      <w:r w:rsidRPr="00A64F3C">
        <w:rPr>
          <w:rFonts w:ascii="Arial" w:hAnsi="Arial" w:cs="Arial"/>
          <w:b/>
          <w:bCs/>
          <w:sz w:val="24"/>
          <w:szCs w:val="24"/>
        </w:rPr>
        <w:t>Explore the use of the techniques you applied to the investigation and demonstrate your understanding of their use.</w:t>
      </w:r>
    </w:p>
    <w:p w14:paraId="02573C42" w14:textId="4D2D110A"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One investigative technique which was key in this case was the use of known suspect identification procedures. At the time of the offence the victim was not aware of the </w:t>
      </w:r>
      <w:r w:rsidR="00F50090" w:rsidRPr="00A64F3C">
        <w:rPr>
          <w:rFonts w:ascii="Arial" w:hAnsi="Arial" w:cs="Arial"/>
          <w:sz w:val="24"/>
          <w:szCs w:val="24"/>
        </w:rPr>
        <w:t>identity</w:t>
      </w:r>
      <w:r w:rsidRPr="00A64F3C">
        <w:rPr>
          <w:rFonts w:ascii="Arial" w:hAnsi="Arial" w:cs="Arial"/>
          <w:sz w:val="24"/>
          <w:szCs w:val="24"/>
        </w:rPr>
        <w:t xml:space="preserve"> of the offenders, however one mobile phone was dropped by an offender at the scene which was later interrogated by the victim. The victim managed to access the offenders Facebook profile and positively identified one offender to police providing their name and Facebook ID. </w:t>
      </w:r>
    </w:p>
    <w:p w14:paraId="67AF6420" w14:textId="179EC860"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The advantages of this ‘identification’ gave the investigation team sufficient grounds to suspect, allowing for the arrest of one offender. </w:t>
      </w:r>
      <w:r w:rsidR="00E83621">
        <w:rPr>
          <w:rFonts w:ascii="Arial" w:hAnsi="Arial" w:cs="Arial"/>
          <w:sz w:val="24"/>
          <w:szCs w:val="24"/>
        </w:rPr>
        <w:t>On the other hand</w:t>
      </w:r>
      <w:r w:rsidRPr="00A64F3C">
        <w:rPr>
          <w:rFonts w:ascii="Arial" w:hAnsi="Arial" w:cs="Arial"/>
          <w:sz w:val="24"/>
          <w:szCs w:val="24"/>
        </w:rPr>
        <w:t xml:space="preserve">, the way in which the identification was carried out did not comply with current guidelines. As part 3 of the Codes of states; it allows for a witness who has seen an offender committing the crime an opportunity to identify that person in a formal identification procedure setting out strict requirements. As other material became available during the investigation which strengthened the case against the offenders, the ID evidence was not the only </w:t>
      </w:r>
      <w:r w:rsidRPr="00A64F3C">
        <w:rPr>
          <w:rFonts w:ascii="Arial" w:hAnsi="Arial" w:cs="Arial"/>
          <w:sz w:val="24"/>
          <w:szCs w:val="24"/>
        </w:rPr>
        <w:lastRenderedPageBreak/>
        <w:t xml:space="preserve">material used to identify the offenders, however I had to consider whether a formal ID procedure would be beneficial and strengthen the investigation. </w:t>
      </w:r>
    </w:p>
    <w:p w14:paraId="4EA109A6"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It may be, should the victim fail to pick out the offender in the ID procedure, that this line of enquiry would weaken the case against the offender potentially leading to their acquittal. However, I had to balance this against the weight of a positive ID and how this would potentially strengthen the case if presented to a jury. </w:t>
      </w:r>
    </w:p>
    <w:p w14:paraId="12FC16F9"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Identifying that the conditions for a formal ID procedure were met, this process took place with the victim. Unfortunately, they did not formally identify the suspect during the ID procedure, however upon leaving the station they gave a verbal ID to the identification officer. This is unusual and not something which I had dealt with before, however the code of practice does allow for an identification to take place after the procedure has ended. It states that “consideration should be given to allowing the witness a second opportunity to identify the suspect” (Home Office, 2017)</w:t>
      </w:r>
    </w:p>
    <w:p w14:paraId="6C0A16F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My opinion at the time was that this evidence would be admissible although the victim may have to account for why they did not ID the offender during the procedure at trial. To ensure that this potentially weak ID evidence was able to be introduced in court I sought out further supporting material as identified in the case of ‘</w:t>
      </w:r>
      <w:r w:rsidRPr="00A64F3C">
        <w:rPr>
          <w:rFonts w:ascii="Arial" w:hAnsi="Arial" w:cs="Arial"/>
          <w:i/>
          <w:iCs/>
          <w:sz w:val="24"/>
          <w:szCs w:val="24"/>
        </w:rPr>
        <w:t xml:space="preserve">R v Turnbull and another’ </w:t>
      </w:r>
      <w:r w:rsidRPr="00A64F3C">
        <w:rPr>
          <w:rFonts w:ascii="Arial" w:hAnsi="Arial" w:cs="Arial"/>
          <w:sz w:val="24"/>
          <w:szCs w:val="24"/>
        </w:rPr>
        <w:t xml:space="preserve">(1977). </w:t>
      </w:r>
    </w:p>
    <w:p w14:paraId="5A20BB27"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To strengthen this enquiry, I submitted the mobile phone left at scene for forensic examination with a view to obtaining details of this Facebook account which could also be used in evidence. I did this to ensure that I followed the observations noted in ‘</w:t>
      </w:r>
      <w:r w:rsidRPr="00A64F3C">
        <w:rPr>
          <w:rFonts w:ascii="Arial" w:hAnsi="Arial" w:cs="Arial"/>
          <w:i/>
          <w:iCs/>
          <w:sz w:val="24"/>
          <w:szCs w:val="24"/>
        </w:rPr>
        <w:t>R v Alexander’</w:t>
      </w:r>
      <w:r w:rsidRPr="00A64F3C">
        <w:rPr>
          <w:rFonts w:ascii="Arial" w:hAnsi="Arial" w:cs="Arial"/>
          <w:sz w:val="24"/>
          <w:szCs w:val="24"/>
        </w:rPr>
        <w:t xml:space="preserve"> (2013) which the Court of Appeal stated, “it would be prudent to obtain the available images that were looked at”. This would ensure that Facebook account details were available for trial if required and showed an honest, transparent evidential gathering process. </w:t>
      </w:r>
    </w:p>
    <w:p w14:paraId="34B8BFE1"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Witness identification in court proceedings can be a powerful tool to prosecutors (</w:t>
      </w:r>
      <w:r w:rsidRPr="00A64F3C">
        <w:rPr>
          <w:rFonts w:ascii="Arial" w:hAnsi="Arial" w:cs="Arial"/>
          <w:i/>
          <w:iCs/>
          <w:sz w:val="24"/>
          <w:szCs w:val="24"/>
        </w:rPr>
        <w:t>R v Turnbull and another, 1977)</w:t>
      </w:r>
      <w:r w:rsidRPr="00A64F3C">
        <w:rPr>
          <w:rFonts w:ascii="Arial" w:hAnsi="Arial" w:cs="Arial"/>
          <w:sz w:val="24"/>
          <w:szCs w:val="24"/>
        </w:rPr>
        <w:t>, however it is vital that there are safeguards in place to prevent the risk of mistaken identification and the guidance in Code D are followed (Crown Prosecution Service, 2018). Within the United States, more than 75% of cases later overturned with DNA evidence were initially convicted based upon incorrect eyewitness identification (Sheehan, 2011).</w:t>
      </w:r>
    </w:p>
    <w:p w14:paraId="2EA5E61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lastRenderedPageBreak/>
        <w:t xml:space="preserve">To summarise, the enquiries I carried out allowed for the introduction of the unusual ID evidence into evidence and assisted with the conviction of the offenders. </w:t>
      </w:r>
    </w:p>
    <w:p w14:paraId="2D79DC66" w14:textId="3082F64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(59</w:t>
      </w:r>
      <w:r w:rsidR="00747EBD">
        <w:rPr>
          <w:rFonts w:ascii="Arial" w:hAnsi="Arial" w:cs="Arial"/>
          <w:sz w:val="24"/>
          <w:szCs w:val="24"/>
        </w:rPr>
        <w:t>9</w:t>
      </w:r>
      <w:r w:rsidRPr="00A64F3C">
        <w:rPr>
          <w:rFonts w:ascii="Arial" w:hAnsi="Arial" w:cs="Arial"/>
          <w:sz w:val="24"/>
          <w:szCs w:val="24"/>
        </w:rPr>
        <w:t xml:space="preserve"> words)</w:t>
      </w:r>
    </w:p>
    <w:p w14:paraId="3709042E" w14:textId="691B8A4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(209</w:t>
      </w:r>
      <w:r w:rsidR="00747EBD">
        <w:rPr>
          <w:rFonts w:ascii="Arial" w:hAnsi="Arial" w:cs="Arial"/>
          <w:sz w:val="24"/>
          <w:szCs w:val="24"/>
        </w:rPr>
        <w:t>1</w:t>
      </w:r>
      <w:r w:rsidRPr="00A64F3C">
        <w:rPr>
          <w:rFonts w:ascii="Arial" w:hAnsi="Arial" w:cs="Arial"/>
          <w:sz w:val="24"/>
          <w:szCs w:val="24"/>
        </w:rPr>
        <w:t xml:space="preserve"> total)</w:t>
      </w:r>
    </w:p>
    <w:p w14:paraId="6FF22B5B" w14:textId="77777777" w:rsidR="000C2BE6" w:rsidRPr="00A64F3C" w:rsidRDefault="000C2BE6" w:rsidP="00A64F3C">
      <w:pPr>
        <w:spacing w:line="360" w:lineRule="auto"/>
        <w:jc w:val="both"/>
        <w:rPr>
          <w:rFonts w:ascii="Arial" w:hAnsi="Arial" w:cs="Arial"/>
          <w:sz w:val="24"/>
          <w:szCs w:val="24"/>
        </w:rPr>
      </w:pPr>
    </w:p>
    <w:p w14:paraId="38762950" w14:textId="77777777" w:rsidR="000C2BE6" w:rsidRPr="00A64F3C" w:rsidRDefault="000C2BE6" w:rsidP="00A64F3C">
      <w:pPr>
        <w:spacing w:line="360" w:lineRule="auto"/>
        <w:jc w:val="both"/>
        <w:rPr>
          <w:rFonts w:ascii="Arial" w:hAnsi="Arial" w:cs="Arial"/>
          <w:sz w:val="24"/>
          <w:szCs w:val="24"/>
        </w:rPr>
      </w:pPr>
    </w:p>
    <w:p w14:paraId="281BA13B" w14:textId="77777777" w:rsidR="000C2BE6" w:rsidRPr="00A64F3C" w:rsidRDefault="000C2BE6" w:rsidP="00A64F3C">
      <w:pPr>
        <w:spacing w:line="360" w:lineRule="auto"/>
        <w:jc w:val="center"/>
        <w:rPr>
          <w:rFonts w:ascii="Arial" w:hAnsi="Arial" w:cs="Arial"/>
          <w:sz w:val="24"/>
          <w:szCs w:val="24"/>
          <w:u w:val="single"/>
        </w:rPr>
      </w:pPr>
      <w:r w:rsidRPr="00A64F3C">
        <w:rPr>
          <w:rFonts w:ascii="Arial" w:hAnsi="Arial" w:cs="Arial"/>
          <w:sz w:val="24"/>
          <w:szCs w:val="24"/>
          <w:u w:val="single"/>
        </w:rPr>
        <w:t>Reference List</w:t>
      </w:r>
    </w:p>
    <w:p w14:paraId="47050CA1"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Benz, S. (2012) ‘The Police and Criminal Evidence Act 1984: balancing civil liberties and public security’ </w:t>
      </w:r>
      <w:r w:rsidRPr="00A64F3C">
        <w:rPr>
          <w:rFonts w:ascii="Arial" w:hAnsi="Arial" w:cs="Arial"/>
          <w:i/>
          <w:iCs/>
          <w:sz w:val="24"/>
          <w:szCs w:val="24"/>
        </w:rPr>
        <w:t xml:space="preserve">DIFFUSION – The </w:t>
      </w:r>
      <w:proofErr w:type="spellStart"/>
      <w:r w:rsidRPr="00A64F3C">
        <w:rPr>
          <w:rFonts w:ascii="Arial" w:hAnsi="Arial" w:cs="Arial"/>
          <w:i/>
          <w:iCs/>
          <w:sz w:val="24"/>
          <w:szCs w:val="24"/>
        </w:rPr>
        <w:t>UCLan</w:t>
      </w:r>
      <w:proofErr w:type="spellEnd"/>
      <w:r w:rsidRPr="00A64F3C">
        <w:rPr>
          <w:rFonts w:ascii="Arial" w:hAnsi="Arial" w:cs="Arial"/>
          <w:i/>
          <w:iCs/>
          <w:sz w:val="24"/>
          <w:szCs w:val="24"/>
        </w:rPr>
        <w:t xml:space="preserve"> Journal of Undergraduate Research</w:t>
      </w:r>
      <w:r w:rsidRPr="00A64F3C">
        <w:rPr>
          <w:rFonts w:ascii="Arial" w:hAnsi="Arial" w:cs="Arial"/>
          <w:sz w:val="24"/>
          <w:szCs w:val="24"/>
        </w:rPr>
        <w:t xml:space="preserve"> 5(2) p.1-8. Available at: https://diffusion.uclan.ac.uk/wp-content/uploads/2019/08/91-226-1-SM.pdf (Accessed 9th December 2022)</w:t>
      </w:r>
    </w:p>
    <w:p w14:paraId="27C25F2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BURTON, M., EVANS, R. and SANDERS, A., 2007. Vulnerable and Intimidated Witnesses and the Adversarial Process in England and Wales. </w:t>
      </w:r>
      <w:r w:rsidRPr="00A64F3C">
        <w:rPr>
          <w:rFonts w:ascii="Arial" w:hAnsi="Arial" w:cs="Arial"/>
          <w:i/>
          <w:iCs/>
          <w:sz w:val="24"/>
          <w:szCs w:val="24"/>
        </w:rPr>
        <w:t xml:space="preserve">The international journal of evidence &amp; proof, </w:t>
      </w:r>
      <w:r w:rsidRPr="00A64F3C">
        <w:rPr>
          <w:rFonts w:ascii="Arial" w:hAnsi="Arial" w:cs="Arial"/>
          <w:b/>
          <w:bCs/>
          <w:sz w:val="24"/>
          <w:szCs w:val="24"/>
        </w:rPr>
        <w:t>11</w:t>
      </w:r>
      <w:r w:rsidRPr="00A64F3C">
        <w:rPr>
          <w:rFonts w:ascii="Arial" w:hAnsi="Arial" w:cs="Arial"/>
          <w:sz w:val="24"/>
          <w:szCs w:val="24"/>
        </w:rPr>
        <w:t xml:space="preserve">(1), pp. 1-23. DOI: https://doi-org.ezproxy.uwtsd.ac.uk/10.1350/ijep.2006.11.1.1 </w:t>
      </w:r>
    </w:p>
    <w:p w14:paraId="66C9D6ED"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College of Policing (2013) </w:t>
      </w:r>
      <w:r w:rsidRPr="00A64F3C">
        <w:rPr>
          <w:rFonts w:ascii="Arial" w:hAnsi="Arial" w:cs="Arial"/>
          <w:i/>
          <w:iCs/>
          <w:sz w:val="24"/>
          <w:szCs w:val="24"/>
        </w:rPr>
        <w:t>Investigative Strategy.</w:t>
      </w:r>
      <w:r w:rsidRPr="00A64F3C">
        <w:rPr>
          <w:rFonts w:ascii="Arial" w:hAnsi="Arial" w:cs="Arial"/>
          <w:sz w:val="24"/>
          <w:szCs w:val="24"/>
        </w:rPr>
        <w:t xml:space="preserve"> Available at: https://www.college.police.uk/app/investigation/investigative-strategies/scene-strategy (Accessed 7th January 2023)</w:t>
      </w:r>
    </w:p>
    <w:p w14:paraId="684727E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Crown Prosecution Service (2018) </w:t>
      </w:r>
      <w:r w:rsidRPr="00A64F3C">
        <w:rPr>
          <w:rFonts w:ascii="Arial" w:hAnsi="Arial" w:cs="Arial"/>
          <w:i/>
          <w:iCs/>
          <w:sz w:val="24"/>
          <w:szCs w:val="24"/>
        </w:rPr>
        <w:t>Identification</w:t>
      </w:r>
      <w:r w:rsidRPr="00A64F3C">
        <w:rPr>
          <w:rFonts w:ascii="Arial" w:hAnsi="Arial" w:cs="Arial"/>
          <w:sz w:val="24"/>
          <w:szCs w:val="24"/>
        </w:rPr>
        <w:t>. Available at: https://www.cps.gov.uk/legal-guidance/identification (Accessed: 10</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0CD3832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Crown Prosecution Service (2021) </w:t>
      </w:r>
      <w:r w:rsidRPr="00A64F3C">
        <w:rPr>
          <w:rFonts w:ascii="Arial" w:hAnsi="Arial" w:cs="Arial"/>
          <w:i/>
          <w:iCs/>
          <w:sz w:val="24"/>
          <w:szCs w:val="24"/>
        </w:rPr>
        <w:t>CPS data summary Quarter 1 2021 – 2022</w:t>
      </w:r>
      <w:r w:rsidRPr="00A64F3C">
        <w:rPr>
          <w:rFonts w:ascii="Arial" w:hAnsi="Arial" w:cs="Arial"/>
          <w:sz w:val="24"/>
          <w:szCs w:val="24"/>
        </w:rPr>
        <w:t>. Available at: https://www.cps.gov.uk/publication/cps-data-summary-quarter-1-2021-2022 (Accessed: 8</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295BDAD2"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Home Office (2017) </w:t>
      </w:r>
      <w:r w:rsidRPr="00A64F3C">
        <w:rPr>
          <w:rFonts w:ascii="Arial" w:hAnsi="Arial" w:cs="Arial"/>
          <w:i/>
          <w:iCs/>
          <w:sz w:val="24"/>
          <w:szCs w:val="24"/>
        </w:rPr>
        <w:t>Code of Practice for the identification of persons by Police Officers</w:t>
      </w:r>
      <w:r w:rsidRPr="00A64F3C">
        <w:rPr>
          <w:rFonts w:ascii="Arial" w:hAnsi="Arial" w:cs="Arial"/>
          <w:sz w:val="24"/>
          <w:szCs w:val="24"/>
        </w:rPr>
        <w:t>. Available at: https://assets.publishing.service.gov.uk/government/uploads/system/uploads/attachment_data/file/903812/pace-code-d-2017.pdf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43E667BB"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lastRenderedPageBreak/>
        <w:t xml:space="preserve">Human Rights Act 1998, schedule 1. </w:t>
      </w:r>
      <w:r w:rsidRPr="00A64F3C">
        <w:rPr>
          <w:rFonts w:ascii="Arial" w:hAnsi="Arial" w:cs="Arial"/>
          <w:sz w:val="24"/>
          <w:szCs w:val="24"/>
        </w:rPr>
        <w:t>Available at: https://www.legislation.gov.uk/ukpga/1998/42/schedule/1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792648A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Ministry of Justice (2015) </w:t>
      </w:r>
      <w:r w:rsidRPr="00A64F3C">
        <w:rPr>
          <w:rFonts w:ascii="Arial" w:hAnsi="Arial" w:cs="Arial"/>
          <w:i/>
          <w:iCs/>
          <w:sz w:val="24"/>
          <w:szCs w:val="24"/>
        </w:rPr>
        <w:t>Criminal Procedure and Investigations Act 1996 Code of Practice</w:t>
      </w:r>
      <w:r w:rsidRPr="00A64F3C">
        <w:rPr>
          <w:rFonts w:ascii="Arial" w:hAnsi="Arial" w:cs="Arial"/>
          <w:sz w:val="24"/>
          <w:szCs w:val="24"/>
        </w:rPr>
        <w:t>. Available at: https://assets.publishing.service.gov.uk/government/uploads/system/uploads/attachment_data/file/447967/code-of-practice-approved.pdf (Accessed: 9</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4CBEE339" w14:textId="77777777" w:rsidR="000C2BE6" w:rsidRPr="00A64F3C" w:rsidRDefault="000C2BE6" w:rsidP="00A64F3C">
      <w:pPr>
        <w:pStyle w:val="Body"/>
        <w:spacing w:line="360" w:lineRule="auto"/>
        <w:jc w:val="both"/>
        <w:rPr>
          <w:rFonts w:ascii="Arial" w:hAnsi="Arial" w:cs="Arial"/>
          <w:sz w:val="24"/>
          <w:szCs w:val="24"/>
          <w:lang w:val="en-GB"/>
        </w:rPr>
      </w:pPr>
      <w:r w:rsidRPr="00A64F3C">
        <w:rPr>
          <w:rFonts w:ascii="Arial" w:hAnsi="Arial" w:cs="Arial"/>
          <w:sz w:val="24"/>
          <w:szCs w:val="24"/>
          <w:lang w:val="en-GB"/>
        </w:rPr>
        <w:t xml:space="preserve">National Police Chiefs’ Council (2021) </w:t>
      </w:r>
      <w:r w:rsidRPr="00A64F3C">
        <w:rPr>
          <w:rFonts w:ascii="Arial" w:hAnsi="Arial" w:cs="Arial"/>
          <w:i/>
          <w:iCs/>
          <w:sz w:val="24"/>
          <w:szCs w:val="24"/>
          <w:lang w:val="en-GB"/>
        </w:rPr>
        <w:t xml:space="preserve">Major Crime Investigation Manual. </w:t>
      </w:r>
      <w:r w:rsidRPr="00A64F3C">
        <w:rPr>
          <w:rFonts w:ascii="Arial" w:hAnsi="Arial" w:cs="Arial"/>
          <w:sz w:val="24"/>
          <w:szCs w:val="24"/>
          <w:lang w:val="en-GB"/>
        </w:rPr>
        <w:t>Available at: https://library.college.police.uk/docs/NPCC/Major-Crime-Investigation-Manual-Nov-2021.pdf. (Accessed: 11th December 2022)</w:t>
      </w:r>
    </w:p>
    <w:p w14:paraId="521FDB8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National Police Chiefs’ Council (2022) </w:t>
      </w:r>
      <w:r w:rsidRPr="00A64F3C">
        <w:rPr>
          <w:rFonts w:ascii="Arial" w:hAnsi="Arial" w:cs="Arial"/>
          <w:i/>
          <w:iCs/>
          <w:sz w:val="24"/>
          <w:szCs w:val="24"/>
        </w:rPr>
        <w:t>Achieving Best Evidence in Criminal Proceedings: Guidance on Interviewing Victims and Witnesses, and Guidance on Using Special Measures</w:t>
      </w:r>
      <w:r w:rsidRPr="00A64F3C">
        <w:rPr>
          <w:rFonts w:ascii="Arial" w:hAnsi="Arial" w:cs="Arial"/>
          <w:sz w:val="24"/>
          <w:szCs w:val="24"/>
        </w:rPr>
        <w:t>. Available at: https://assets.publishing.service.gov.uk/government/uploads/system/uploads/attachment_data/file/1051269/achieving-best-evidence-criminal-proceedings.pdf (Accessed 5th December 2022)</w:t>
      </w:r>
    </w:p>
    <w:p w14:paraId="2B365B88"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Police and Criminal Evidence Act 1984 a, s.78.</w:t>
      </w:r>
      <w:r w:rsidRPr="00A64F3C">
        <w:rPr>
          <w:rFonts w:ascii="Arial" w:hAnsi="Arial" w:cs="Arial"/>
          <w:sz w:val="24"/>
          <w:szCs w:val="24"/>
        </w:rPr>
        <w:t xml:space="preserve"> Available at: https://www.legislation.gov.uk/ukpga/1984/60/section/78 (Accessed 11th December 2022)</w:t>
      </w:r>
    </w:p>
    <w:p w14:paraId="5F6249CB"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Police and Criminal Evidence Act 1984 b, s.32.</w:t>
      </w:r>
      <w:r w:rsidRPr="00A64F3C">
        <w:rPr>
          <w:rFonts w:ascii="Arial" w:hAnsi="Arial" w:cs="Arial"/>
          <w:sz w:val="24"/>
          <w:szCs w:val="24"/>
        </w:rPr>
        <w:t xml:space="preserve"> Available at: https://www.legislation.gov.uk/ukpga/1984/60/section/32 (Accessed 11th December 2022)</w:t>
      </w:r>
    </w:p>
    <w:p w14:paraId="58B5E55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Police and Criminal Evidence Act 1984 c, s.18.</w:t>
      </w:r>
      <w:r w:rsidRPr="00A64F3C">
        <w:rPr>
          <w:rFonts w:ascii="Arial" w:hAnsi="Arial" w:cs="Arial"/>
          <w:sz w:val="24"/>
          <w:szCs w:val="24"/>
        </w:rPr>
        <w:t xml:space="preserve"> Available at: https://www.legislation.gov.uk/ukpga/1984/60/section/18 (Accessed 11th December 2022)</w:t>
      </w:r>
    </w:p>
    <w:p w14:paraId="552BDFF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Police National Legal Database (2022) </w:t>
      </w:r>
      <w:r w:rsidRPr="00A64F3C">
        <w:rPr>
          <w:rFonts w:ascii="Arial" w:hAnsi="Arial" w:cs="Arial"/>
          <w:i/>
          <w:iCs/>
          <w:sz w:val="24"/>
          <w:szCs w:val="24"/>
        </w:rPr>
        <w:t>Reasonable grounds to suspect or believe (FAQ).</w:t>
      </w:r>
      <w:r w:rsidRPr="00A64F3C">
        <w:rPr>
          <w:rFonts w:ascii="Arial" w:hAnsi="Arial" w:cs="Arial"/>
          <w:sz w:val="24"/>
          <w:szCs w:val="24"/>
        </w:rPr>
        <w:t xml:space="preserve"> Available at: https://www.pnld.co.uk/members/legal-narrative-detail/?id=d92480db-7149-ed11-bba2-6045bd0e726f (Accessed 8</w:t>
      </w:r>
      <w:r w:rsidRPr="00A64F3C">
        <w:rPr>
          <w:rFonts w:ascii="Arial" w:hAnsi="Arial" w:cs="Arial"/>
          <w:sz w:val="24"/>
          <w:szCs w:val="24"/>
          <w:vertAlign w:val="superscript"/>
        </w:rPr>
        <w:t>th</w:t>
      </w:r>
      <w:r w:rsidRPr="00A64F3C">
        <w:rPr>
          <w:rFonts w:ascii="Arial" w:hAnsi="Arial" w:cs="Arial"/>
          <w:sz w:val="24"/>
          <w:szCs w:val="24"/>
        </w:rPr>
        <w:t xml:space="preserve"> January 2023)</w:t>
      </w:r>
    </w:p>
    <w:p w14:paraId="0F3D059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lastRenderedPageBreak/>
        <w:t>‘</w:t>
      </w:r>
      <w:r w:rsidRPr="00A64F3C">
        <w:rPr>
          <w:rFonts w:ascii="Arial" w:hAnsi="Arial" w:cs="Arial"/>
          <w:i/>
          <w:iCs/>
          <w:sz w:val="24"/>
          <w:szCs w:val="24"/>
        </w:rPr>
        <w:t>R v. Alexander’</w:t>
      </w:r>
      <w:r w:rsidRPr="00A64F3C">
        <w:rPr>
          <w:rFonts w:ascii="Arial" w:hAnsi="Arial" w:cs="Arial"/>
          <w:sz w:val="24"/>
          <w:szCs w:val="24"/>
        </w:rPr>
        <w:t xml:space="preserve"> (2013) United Kingdom Court of Appeal, Crim 2768 </w:t>
      </w:r>
      <w:proofErr w:type="spellStart"/>
      <w:r w:rsidRPr="00A64F3C">
        <w:rPr>
          <w:rFonts w:ascii="Arial" w:hAnsi="Arial" w:cs="Arial"/>
          <w:i/>
          <w:iCs/>
          <w:sz w:val="24"/>
          <w:szCs w:val="24"/>
        </w:rPr>
        <w:t>Bailii</w:t>
      </w:r>
      <w:proofErr w:type="spellEnd"/>
      <w:r w:rsidRPr="00A64F3C">
        <w:rPr>
          <w:rFonts w:ascii="Arial" w:hAnsi="Arial" w:cs="Arial"/>
          <w:sz w:val="24"/>
          <w:szCs w:val="24"/>
        </w:rPr>
        <w:t xml:space="preserve"> [Online] Available at: https://www.bailii.org/ew/cases/EWCA/Crim/2012/2768.html (Accessed: 8</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330D38EB"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w:t>
      </w:r>
      <w:r w:rsidRPr="00A64F3C">
        <w:rPr>
          <w:rFonts w:ascii="Arial" w:hAnsi="Arial" w:cs="Arial"/>
          <w:i/>
          <w:iCs/>
          <w:sz w:val="24"/>
          <w:szCs w:val="24"/>
        </w:rPr>
        <w:t>R v. Turnbull and another’</w:t>
      </w:r>
      <w:r w:rsidRPr="00A64F3C">
        <w:rPr>
          <w:rFonts w:ascii="Arial" w:hAnsi="Arial" w:cs="Arial"/>
          <w:sz w:val="24"/>
          <w:szCs w:val="24"/>
        </w:rPr>
        <w:t xml:space="preserve"> (1977) United Kingdom Court of Appeal, QB 224 </w:t>
      </w:r>
      <w:r w:rsidRPr="00A64F3C">
        <w:rPr>
          <w:rFonts w:ascii="Arial" w:hAnsi="Arial" w:cs="Arial"/>
          <w:i/>
          <w:iCs/>
          <w:sz w:val="24"/>
          <w:szCs w:val="24"/>
        </w:rPr>
        <w:t xml:space="preserve">PNLD </w:t>
      </w:r>
      <w:r w:rsidRPr="00A64F3C">
        <w:rPr>
          <w:rFonts w:ascii="Arial" w:hAnsi="Arial" w:cs="Arial"/>
          <w:sz w:val="24"/>
          <w:szCs w:val="24"/>
        </w:rPr>
        <w:t>[Online] Available at: https://www.pnld.co.uk/members/case-law-detail/?id=62b0bad5-bdd5-eb11-bacb-000d3ad61986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1D4D63E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Sheehan, C. (2011) ‘Making the jurors the “experts”: The case for eyewitness identification jury instructions, </w:t>
      </w:r>
      <w:r w:rsidRPr="00A64F3C">
        <w:rPr>
          <w:rFonts w:ascii="Arial" w:hAnsi="Arial" w:cs="Arial"/>
          <w:i/>
          <w:iCs/>
          <w:sz w:val="24"/>
          <w:szCs w:val="24"/>
        </w:rPr>
        <w:t xml:space="preserve">Boston College Law School Boston College Law Review, 52(2), </w:t>
      </w:r>
      <w:r w:rsidRPr="00A64F3C">
        <w:rPr>
          <w:rFonts w:ascii="Arial" w:hAnsi="Arial" w:cs="Arial"/>
          <w:sz w:val="24"/>
          <w:szCs w:val="24"/>
        </w:rPr>
        <w:t>p. 651-693. Available at: https://www.proquest.com/scholarly-journals/making-jurors-experts-case-eyewitness/docview/896357953/se-2?accountid=130472 (Accessed: 10</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3CFDF779"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 xml:space="preserve">Theft Act 1968, s.10. </w:t>
      </w:r>
      <w:r w:rsidRPr="00A64F3C">
        <w:rPr>
          <w:rFonts w:ascii="Arial" w:hAnsi="Arial" w:cs="Arial"/>
          <w:sz w:val="24"/>
          <w:szCs w:val="24"/>
        </w:rPr>
        <w:t>Available at: https://www.legislation.gov.uk/ukpga/1968/60/section/10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760BA808"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Victims Commissioner (2020) </w:t>
      </w:r>
      <w:r w:rsidRPr="00A64F3C">
        <w:rPr>
          <w:rFonts w:ascii="Arial" w:hAnsi="Arial" w:cs="Arial"/>
          <w:i/>
          <w:iCs/>
          <w:sz w:val="24"/>
          <w:szCs w:val="24"/>
        </w:rPr>
        <w:t>One in four cases, victims withdraw support for prosecution</w:t>
      </w:r>
      <w:r w:rsidRPr="00A64F3C">
        <w:rPr>
          <w:rFonts w:ascii="Arial" w:hAnsi="Arial" w:cs="Arial"/>
          <w:sz w:val="24"/>
          <w:szCs w:val="24"/>
        </w:rPr>
        <w:t>. Available at: https://victimscommissioner.org.uk/news/one-in-four-cases-victims-withdraw-support-for-prosecution/ (Accessed: 7</w:t>
      </w:r>
      <w:r w:rsidRPr="00A64F3C">
        <w:rPr>
          <w:rFonts w:ascii="Arial" w:hAnsi="Arial" w:cs="Arial"/>
          <w:sz w:val="24"/>
          <w:szCs w:val="24"/>
          <w:vertAlign w:val="superscript"/>
        </w:rPr>
        <w:t>th</w:t>
      </w:r>
      <w:r w:rsidRPr="00A64F3C">
        <w:rPr>
          <w:rFonts w:ascii="Arial" w:hAnsi="Arial" w:cs="Arial"/>
          <w:sz w:val="24"/>
          <w:szCs w:val="24"/>
        </w:rPr>
        <w:t xml:space="preserve"> January 2023)</w:t>
      </w:r>
    </w:p>
    <w:p w14:paraId="383A3B42"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Youth Justice and Criminal Evidence Act 1999, s.17</w:t>
      </w:r>
      <w:r w:rsidRPr="00A64F3C">
        <w:rPr>
          <w:rFonts w:ascii="Arial" w:hAnsi="Arial" w:cs="Arial"/>
          <w:sz w:val="24"/>
          <w:szCs w:val="24"/>
        </w:rPr>
        <w:t>. Available at:  https://www.legislation.gov.uk/ukpga/1999/23/section/17.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166546A8" w14:textId="013B5B0E" w:rsidR="7336895D" w:rsidRDefault="7336895D" w:rsidP="46EDD448">
      <w:pPr>
        <w:ind w:right="237"/>
        <w:jc w:val="both"/>
        <w:rPr>
          <w:rFonts w:ascii="Arial" w:eastAsia="Arial" w:hAnsi="Arial" w:cs="Arial"/>
          <w:color w:val="000000" w:themeColor="text1"/>
          <w:sz w:val="24"/>
          <w:szCs w:val="24"/>
        </w:rPr>
      </w:pPr>
    </w:p>
    <w:p w14:paraId="4A6388CF" w14:textId="447E89E0" w:rsidR="7336895D" w:rsidRDefault="7336895D" w:rsidP="46EDD448">
      <w:pPr>
        <w:ind w:left="3600" w:right="107" w:firstLine="720"/>
        <w:jc w:val="both"/>
        <w:rPr>
          <w:rFonts w:ascii="Arial" w:eastAsia="Arial" w:hAnsi="Arial" w:cs="Arial"/>
          <w:b/>
          <w:bCs/>
          <w:color w:val="000000" w:themeColor="text1"/>
          <w:sz w:val="24"/>
          <w:szCs w:val="24"/>
        </w:rPr>
      </w:pPr>
    </w:p>
    <w:p w14:paraId="58D67349" w14:textId="7549D9E7" w:rsidR="7336895D" w:rsidRDefault="7336895D" w:rsidP="7336895D">
      <w:pPr>
        <w:ind w:right="107"/>
        <w:jc w:val="both"/>
        <w:rPr>
          <w:rFonts w:ascii="Arial" w:eastAsia="Arial" w:hAnsi="Arial" w:cs="Arial"/>
          <w:b/>
          <w:bCs/>
          <w:color w:val="000000" w:themeColor="text1"/>
          <w:sz w:val="24"/>
          <w:szCs w:val="24"/>
        </w:rPr>
      </w:pPr>
    </w:p>
    <w:p w14:paraId="2AEFACE8" w14:textId="622E8D71" w:rsidR="7336895D" w:rsidRDefault="7336895D" w:rsidP="7336895D">
      <w:pPr>
        <w:ind w:right="107"/>
        <w:jc w:val="both"/>
        <w:rPr>
          <w:rFonts w:ascii="Arial" w:eastAsia="Arial" w:hAnsi="Arial" w:cs="Arial"/>
          <w:b/>
          <w:bCs/>
          <w:color w:val="000000" w:themeColor="text1"/>
          <w:sz w:val="24"/>
          <w:szCs w:val="24"/>
        </w:rPr>
      </w:pPr>
    </w:p>
    <w:p w14:paraId="2EF517B2" w14:textId="0B9AD3DF" w:rsidR="000C2BE6" w:rsidRDefault="000C2BE6" w:rsidP="7336895D">
      <w:pPr>
        <w:ind w:right="107"/>
        <w:jc w:val="both"/>
        <w:rPr>
          <w:rFonts w:ascii="Arial" w:eastAsia="Arial" w:hAnsi="Arial" w:cs="Arial"/>
          <w:b/>
          <w:bCs/>
          <w:color w:val="000000" w:themeColor="text1"/>
          <w:sz w:val="24"/>
          <w:szCs w:val="24"/>
        </w:rPr>
      </w:pPr>
    </w:p>
    <w:p w14:paraId="4DBEBB12" w14:textId="291B900F" w:rsidR="000C2BE6" w:rsidRDefault="000C2BE6" w:rsidP="7336895D">
      <w:pPr>
        <w:ind w:right="107"/>
        <w:jc w:val="both"/>
        <w:rPr>
          <w:rFonts w:ascii="Arial" w:eastAsia="Arial" w:hAnsi="Arial" w:cs="Arial"/>
          <w:b/>
          <w:bCs/>
          <w:color w:val="000000" w:themeColor="text1"/>
          <w:sz w:val="24"/>
          <w:szCs w:val="24"/>
        </w:rPr>
      </w:pPr>
    </w:p>
    <w:p w14:paraId="21726638" w14:textId="3CC832DC" w:rsidR="000C2BE6" w:rsidRDefault="000C2BE6" w:rsidP="7336895D">
      <w:pPr>
        <w:ind w:right="107"/>
        <w:jc w:val="both"/>
        <w:rPr>
          <w:rFonts w:ascii="Arial" w:eastAsia="Arial" w:hAnsi="Arial" w:cs="Arial"/>
          <w:b/>
          <w:bCs/>
          <w:color w:val="000000" w:themeColor="text1"/>
          <w:sz w:val="24"/>
          <w:szCs w:val="24"/>
        </w:rPr>
      </w:pPr>
    </w:p>
    <w:p w14:paraId="6753E475" w14:textId="187041BC" w:rsidR="000C2BE6" w:rsidRDefault="000C2BE6" w:rsidP="7336895D">
      <w:pPr>
        <w:ind w:right="107"/>
        <w:jc w:val="both"/>
        <w:rPr>
          <w:rFonts w:ascii="Arial" w:eastAsia="Arial" w:hAnsi="Arial" w:cs="Arial"/>
          <w:b/>
          <w:bCs/>
          <w:color w:val="000000" w:themeColor="text1"/>
          <w:sz w:val="24"/>
          <w:szCs w:val="24"/>
        </w:rPr>
      </w:pPr>
    </w:p>
    <w:p w14:paraId="25968BFC" w14:textId="1B850F5A" w:rsidR="000C2BE6" w:rsidRDefault="000C2BE6" w:rsidP="7336895D">
      <w:pPr>
        <w:ind w:right="107"/>
        <w:jc w:val="both"/>
        <w:rPr>
          <w:rFonts w:ascii="Arial" w:eastAsia="Arial" w:hAnsi="Arial" w:cs="Arial"/>
          <w:b/>
          <w:bCs/>
          <w:color w:val="000000" w:themeColor="text1"/>
          <w:sz w:val="24"/>
          <w:szCs w:val="24"/>
        </w:rPr>
      </w:pPr>
    </w:p>
    <w:p w14:paraId="798286C5" w14:textId="3D0C44BD" w:rsidR="2C28128D" w:rsidRDefault="2C28128D" w:rsidP="7336895D">
      <w:pPr>
        <w:ind w:right="10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lastRenderedPageBreak/>
        <w:t xml:space="preserve">Task 4: </w:t>
      </w:r>
    </w:p>
    <w:tbl>
      <w:tblPr>
        <w:tblStyle w:val="TableGrid"/>
        <w:tblW w:w="0" w:type="auto"/>
        <w:tblLayout w:type="fixed"/>
        <w:tblLook w:val="06A0" w:firstRow="1" w:lastRow="0" w:firstColumn="1" w:lastColumn="0" w:noHBand="1" w:noVBand="1"/>
      </w:tblPr>
      <w:tblGrid>
        <w:gridCol w:w="9015"/>
      </w:tblGrid>
      <w:tr w:rsidR="7336895D" w14:paraId="2EA4F0B4" w14:textId="77777777" w:rsidTr="0CC6384A">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244DE464" w:rsidR="7336895D" w:rsidRDefault="7336895D" w:rsidP="7336895D">
            <w:pPr>
              <w:rPr>
                <w:rFonts w:ascii="Arial" w:eastAsia="Arial" w:hAnsi="Arial" w:cs="Arial"/>
                <w:b/>
                <w:bCs/>
                <w:color w:val="000000" w:themeColor="text1"/>
                <w:sz w:val="24"/>
                <w:szCs w:val="24"/>
              </w:rPr>
            </w:pPr>
          </w:p>
          <w:p w14:paraId="08E72436" w14:textId="3BA4E0F2" w:rsidR="7336895D" w:rsidRDefault="1575FD4A" w:rsidP="0CC6384A">
            <w:pPr>
              <w:rPr>
                <w:rFonts w:ascii="Arial" w:eastAsia="Arial" w:hAnsi="Arial" w:cs="Arial"/>
                <w:color w:val="000000" w:themeColor="text1"/>
                <w:sz w:val="24"/>
                <w:szCs w:val="24"/>
              </w:rPr>
            </w:pPr>
            <w:r w:rsidRPr="0CC6384A">
              <w:rPr>
                <w:rFonts w:ascii="Arial" w:eastAsia="Arial" w:hAnsi="Arial" w:cs="Arial"/>
                <w:color w:val="000000" w:themeColor="text1"/>
                <w:sz w:val="24"/>
                <w:szCs w:val="24"/>
              </w:rPr>
              <w:t xml:space="preserve">Research and critically analyse current theories and methodologies relevant to your own specified area of investigation. </w:t>
            </w:r>
            <w:r w:rsidR="7D76FB64" w:rsidRPr="0CC6384A">
              <w:rPr>
                <w:rFonts w:ascii="Arial" w:eastAsia="Arial" w:hAnsi="Arial" w:cs="Arial"/>
                <w:color w:val="000000" w:themeColor="text1"/>
                <w:sz w:val="24"/>
                <w:szCs w:val="24"/>
              </w:rPr>
              <w:t>(</w:t>
            </w:r>
            <w:r w:rsidR="1EC2875B" w:rsidRPr="0CC6384A">
              <w:rPr>
                <w:rFonts w:ascii="Arial" w:eastAsia="Arial" w:hAnsi="Arial" w:cs="Arial"/>
                <w:color w:val="000000" w:themeColor="text1"/>
                <w:sz w:val="24"/>
                <w:szCs w:val="24"/>
              </w:rPr>
              <w:t>e.g.,</w:t>
            </w:r>
            <w:r w:rsidR="7D76FB64" w:rsidRPr="0CC6384A">
              <w:rPr>
                <w:rFonts w:ascii="Arial" w:eastAsia="Arial" w:hAnsi="Arial" w:cs="Arial"/>
                <w:color w:val="000000" w:themeColor="text1"/>
                <w:sz w:val="24"/>
                <w:szCs w:val="24"/>
              </w:rPr>
              <w:t xml:space="preserve"> </w:t>
            </w:r>
            <w:r w:rsidR="1427886F" w:rsidRPr="0CC6384A">
              <w:rPr>
                <w:rFonts w:ascii="Arial" w:eastAsia="Arial" w:hAnsi="Arial" w:cs="Arial"/>
                <w:color w:val="000000" w:themeColor="text1"/>
                <w:sz w:val="24"/>
                <w:szCs w:val="24"/>
              </w:rPr>
              <w:t>use of specialist interviewing techniques, crime scene management, NDM</w:t>
            </w:r>
            <w:r w:rsidR="7C975865" w:rsidRPr="0CC6384A">
              <w:rPr>
                <w:rFonts w:ascii="Arial" w:eastAsia="Arial" w:hAnsi="Arial" w:cs="Arial"/>
                <w:color w:val="000000" w:themeColor="text1"/>
                <w:sz w:val="24"/>
                <w:szCs w:val="24"/>
              </w:rPr>
              <w:t xml:space="preserve">). </w:t>
            </w:r>
          </w:p>
          <w:p w14:paraId="7B824FBE" w14:textId="369D42AB" w:rsidR="03DEED5D" w:rsidRDefault="03DEED5D" w:rsidP="03DEED5D">
            <w:pPr>
              <w:rPr>
                <w:rFonts w:ascii="Arial" w:eastAsia="Arial" w:hAnsi="Arial" w:cs="Arial"/>
                <w:color w:val="000000" w:themeColor="text1"/>
                <w:sz w:val="24"/>
                <w:szCs w:val="24"/>
              </w:rPr>
            </w:pPr>
          </w:p>
          <w:p w14:paraId="5841D26B" w14:textId="6E7E267C" w:rsidR="3B5618C1" w:rsidRDefault="3B5618C1"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Evaluate the </w:t>
            </w:r>
            <w:r w:rsidR="43587798" w:rsidRPr="03DEED5D">
              <w:rPr>
                <w:rFonts w:ascii="Arial" w:eastAsia="Arial" w:hAnsi="Arial" w:cs="Arial"/>
                <w:color w:val="000000" w:themeColor="text1"/>
                <w:sz w:val="24"/>
                <w:szCs w:val="24"/>
              </w:rPr>
              <w:t xml:space="preserve">importance of applying skills, </w:t>
            </w:r>
            <w:proofErr w:type="gramStart"/>
            <w:r w:rsidR="43587798" w:rsidRPr="03DEED5D">
              <w:rPr>
                <w:rFonts w:ascii="Arial" w:eastAsia="Arial" w:hAnsi="Arial" w:cs="Arial"/>
                <w:color w:val="000000" w:themeColor="text1"/>
                <w:sz w:val="24"/>
                <w:szCs w:val="24"/>
              </w:rPr>
              <w:t>knowledge</w:t>
            </w:r>
            <w:proofErr w:type="gramEnd"/>
            <w:r w:rsidR="43587798" w:rsidRPr="03DEED5D">
              <w:rPr>
                <w:rFonts w:ascii="Arial" w:eastAsia="Arial" w:hAnsi="Arial" w:cs="Arial"/>
                <w:color w:val="000000" w:themeColor="text1"/>
                <w:sz w:val="24"/>
                <w:szCs w:val="24"/>
              </w:rPr>
              <w:t xml:space="preserve"> and experience to reach appropriate investigative outcomes. </w:t>
            </w:r>
          </w:p>
          <w:p w14:paraId="58430CDB" w14:textId="0D01E11A" w:rsidR="7336895D" w:rsidRDefault="7336895D" w:rsidP="03DEED5D">
            <w:pPr>
              <w:rPr>
                <w:rFonts w:ascii="Arial" w:eastAsia="Arial" w:hAnsi="Arial" w:cs="Arial"/>
                <w:color w:val="000000" w:themeColor="text1"/>
                <w:sz w:val="24"/>
                <w:szCs w:val="24"/>
              </w:rPr>
            </w:pPr>
          </w:p>
          <w:p w14:paraId="14741F3F" w14:textId="3A0944D8" w:rsidR="7336895D" w:rsidRDefault="7336895D" w:rsidP="7336895D">
            <w:pPr>
              <w:rPr>
                <w:rFonts w:ascii="Arial" w:eastAsia="Arial" w:hAnsi="Arial" w:cs="Arial"/>
                <w:b/>
                <w:bCs/>
                <w:color w:val="000000" w:themeColor="text1"/>
                <w:sz w:val="24"/>
                <w:szCs w:val="24"/>
              </w:rPr>
            </w:pPr>
          </w:p>
          <w:p w14:paraId="2E8AC658" w14:textId="64BD6F29" w:rsidR="7336895D" w:rsidRDefault="34EF825D" w:rsidP="03DEED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38ED2511" w14:textId="34CBA882" w:rsidR="7336895D" w:rsidRDefault="7336895D" w:rsidP="46EDD448">
            <w:pPr>
              <w:rPr>
                <w:rFonts w:ascii="Arial" w:eastAsia="Arial" w:hAnsi="Arial" w:cs="Arial"/>
                <w:b/>
                <w:bCs/>
                <w:color w:val="000000" w:themeColor="text1"/>
                <w:sz w:val="24"/>
                <w:szCs w:val="24"/>
              </w:rPr>
            </w:pPr>
          </w:p>
          <w:p w14:paraId="3D7DFF00" w14:textId="1E121A87" w:rsidR="7336895D" w:rsidRDefault="7336895D" w:rsidP="7336895D">
            <w:pPr>
              <w:rPr>
                <w:rFonts w:ascii="Arial" w:eastAsia="Arial" w:hAnsi="Arial" w:cs="Arial"/>
                <w:b/>
                <w:bCs/>
                <w:color w:val="000000" w:themeColor="text1"/>
                <w:sz w:val="24"/>
                <w:szCs w:val="24"/>
              </w:rPr>
            </w:pPr>
          </w:p>
        </w:tc>
      </w:tr>
    </w:tbl>
    <w:p w14:paraId="3654981D" w14:textId="160C180F" w:rsidR="7336895D" w:rsidRDefault="7336895D" w:rsidP="7336895D">
      <w:pPr>
        <w:ind w:left="3600" w:right="107" w:firstLine="720"/>
        <w:jc w:val="both"/>
        <w:rPr>
          <w:rFonts w:ascii="Arial" w:eastAsia="Arial" w:hAnsi="Arial" w:cs="Arial"/>
          <w:b/>
          <w:bCs/>
          <w:color w:val="000000" w:themeColor="text1"/>
          <w:sz w:val="24"/>
          <w:szCs w:val="24"/>
        </w:rPr>
      </w:pPr>
    </w:p>
    <w:p w14:paraId="6C2C3C3D" w14:textId="303E9723" w:rsidR="7336895D" w:rsidRDefault="7336895D" w:rsidP="46EDD448">
      <w:pPr>
        <w:ind w:right="237"/>
        <w:jc w:val="both"/>
        <w:rPr>
          <w:rFonts w:ascii="Arial" w:eastAsia="Arial" w:hAnsi="Arial" w:cs="Arial"/>
          <w:color w:val="000000" w:themeColor="text1"/>
          <w:sz w:val="24"/>
          <w:szCs w:val="24"/>
        </w:rPr>
      </w:pPr>
    </w:p>
    <w:p w14:paraId="591A5F42" w14:textId="12384E05" w:rsidR="7336895D" w:rsidRPr="00D4416E" w:rsidRDefault="58B537B1" w:rsidP="00D4416E">
      <w:pPr>
        <w:spacing w:line="360" w:lineRule="auto"/>
        <w:ind w:right="237"/>
        <w:jc w:val="both"/>
        <w:rPr>
          <w:rFonts w:ascii="Arial" w:eastAsia="Arial" w:hAnsi="Arial" w:cs="Arial"/>
          <w:b/>
          <w:bCs/>
          <w:color w:val="000000" w:themeColor="text1"/>
          <w:sz w:val="24"/>
          <w:szCs w:val="24"/>
        </w:rPr>
      </w:pPr>
      <w:r w:rsidRPr="00D4416E">
        <w:rPr>
          <w:rFonts w:ascii="Arial" w:eastAsia="Arial" w:hAnsi="Arial" w:cs="Arial"/>
          <w:b/>
          <w:bCs/>
          <w:color w:val="000000" w:themeColor="text1"/>
          <w:sz w:val="24"/>
          <w:szCs w:val="24"/>
        </w:rPr>
        <w:t>ANSWER:</w:t>
      </w:r>
    </w:p>
    <w:p w14:paraId="023F383F" w14:textId="6036968C" w:rsidR="000C2BE6" w:rsidRPr="00D4416E" w:rsidRDefault="000C2BE6" w:rsidP="00D4416E">
      <w:pPr>
        <w:spacing w:line="360" w:lineRule="auto"/>
        <w:jc w:val="both"/>
        <w:rPr>
          <w:rFonts w:ascii="Arial" w:hAnsi="Arial" w:cs="Arial"/>
          <w:b/>
          <w:bCs/>
          <w:sz w:val="24"/>
          <w:szCs w:val="24"/>
        </w:rPr>
      </w:pPr>
      <w:r w:rsidRPr="00D4416E">
        <w:rPr>
          <w:rFonts w:ascii="Arial" w:hAnsi="Arial" w:cs="Arial"/>
          <w:b/>
          <w:bCs/>
          <w:sz w:val="24"/>
          <w:szCs w:val="24"/>
        </w:rPr>
        <w:t>Research and critically analyse current theories and methodologies relevant to your own specified area of investigation.</w:t>
      </w:r>
      <w:r w:rsidR="000D7EC3" w:rsidRPr="00D4416E">
        <w:rPr>
          <w:rFonts w:ascii="Arial" w:hAnsi="Arial" w:cs="Arial"/>
          <w:b/>
          <w:bCs/>
          <w:sz w:val="24"/>
          <w:szCs w:val="24"/>
        </w:rPr>
        <w:t xml:space="preserve"> </w:t>
      </w:r>
      <w:r w:rsidR="000D7EC3" w:rsidRPr="00D4416E">
        <w:rPr>
          <w:rFonts w:ascii="Arial" w:eastAsia="Arial" w:hAnsi="Arial" w:cs="Arial"/>
          <w:b/>
          <w:bCs/>
          <w:color w:val="000000" w:themeColor="text1"/>
          <w:sz w:val="24"/>
          <w:szCs w:val="24"/>
        </w:rPr>
        <w:t>(e.g., use of specialist interviewing techniques, crime scene management, NDM).</w:t>
      </w:r>
    </w:p>
    <w:p w14:paraId="4742C9B7"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presence of digital devices in everyday life means that digital media evidence may be present in almost every crime (Parliamentary Office of Science &amp; Technology, 2016) and it follows that the demand for digital forensics, the scientific method of obtaining digital evidence in investigation, will also increase. As summarised by the Police Foundation (2021) this is now a core competency for all types of criminal investigations. </w:t>
      </w:r>
    </w:p>
    <w:p w14:paraId="68413E21" w14:textId="778DEFB2"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This can be seen as a positive in terms of law enforcement, as this potentially enhances the number of investigative opportunities when dealing with crime. It may be the case for example, that digital evidence is key material in proving the offending behaviour, or it may be supportive additional relevant material in proving the </w:t>
      </w:r>
      <w:proofErr w:type="spellStart"/>
      <w:r w:rsidRPr="00D4416E">
        <w:rPr>
          <w:rFonts w:ascii="Arial" w:hAnsi="Arial" w:cs="Arial"/>
          <w:sz w:val="24"/>
          <w:szCs w:val="24"/>
        </w:rPr>
        <w:t>mens</w:t>
      </w:r>
      <w:proofErr w:type="spellEnd"/>
      <w:r w:rsidRPr="00D4416E">
        <w:rPr>
          <w:rFonts w:ascii="Arial" w:hAnsi="Arial" w:cs="Arial"/>
          <w:sz w:val="24"/>
          <w:szCs w:val="24"/>
        </w:rPr>
        <w:t xml:space="preserve"> rea required to commit the offence (</w:t>
      </w:r>
      <w:proofErr w:type="spellStart"/>
      <w:r w:rsidRPr="00D4416E">
        <w:rPr>
          <w:rFonts w:ascii="Arial" w:hAnsi="Arial" w:cs="Arial"/>
          <w:sz w:val="24"/>
          <w:szCs w:val="24"/>
        </w:rPr>
        <w:t>Overill</w:t>
      </w:r>
      <w:proofErr w:type="spellEnd"/>
      <w:r w:rsidRPr="00D4416E">
        <w:rPr>
          <w:rFonts w:ascii="Arial" w:hAnsi="Arial" w:cs="Arial"/>
          <w:sz w:val="24"/>
          <w:szCs w:val="24"/>
        </w:rPr>
        <w:t xml:space="preserve">, 2013, pp. 168-174). The police have utilised and developed the field of ‘traditional’ forensic science in criminal investigations over several years, and lines of enquiry revolving around DNA, footwear, </w:t>
      </w:r>
      <w:r w:rsidR="00507608" w:rsidRPr="00D4416E">
        <w:rPr>
          <w:rFonts w:ascii="Arial" w:hAnsi="Arial" w:cs="Arial"/>
          <w:sz w:val="24"/>
          <w:szCs w:val="24"/>
        </w:rPr>
        <w:t>fibres,</w:t>
      </w:r>
      <w:r w:rsidRPr="00D4416E">
        <w:rPr>
          <w:rFonts w:ascii="Arial" w:hAnsi="Arial" w:cs="Arial"/>
          <w:sz w:val="24"/>
          <w:szCs w:val="24"/>
        </w:rPr>
        <w:t xml:space="preserve"> and fingerprint material are now routine and commonplace (His Majesty’s Inspectorate of Constabulary and Fire &amp; Rescue Services, 2022). </w:t>
      </w:r>
    </w:p>
    <w:p w14:paraId="29F9713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lastRenderedPageBreak/>
        <w:t xml:space="preserve">Since 2017 there has been a requirement for digital forensic units in the UK to comply with the same standards as those of more traditional methods (Forensic Science Regulator (FSR), 2017), and in line with the code of conduct set by the UK Forensic Science Regulator who ensures “that the provision of forensic science services across the criminal justice system is subject to an appropriate regime of scientific quality standards” (Gov.uk, 2022) by adherence to ISO 17025 standards. </w:t>
      </w:r>
    </w:p>
    <w:p w14:paraId="61796D80"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On one hand this will professionalise and standardise the processes and procedures undertaken when dealing with digital forensic evidence, ensuring that the principles of digital forensics are adhered to (Association of Chief Police Officers, 2011). It is hoped, by employing scientific principles and practices to the field of digital forensics, material which is eventually presented to court can be expected to be reliable (Forensic Science Regulator, 2020). It can be argued that this would introduce a set of procedures which, should a third-party attempt to carry out, they would reach the same exact result. This enforces the credibility of the outcome and the benefits of this during a criminal investigation cannot be overstated. </w:t>
      </w:r>
    </w:p>
    <w:p w14:paraId="0A6AA085" w14:textId="6B362A5C"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There are, however, drawbacks to requiring digital forensic units within the UK to adhere to ISO standards. By grouping every offence type together where there is a digital element and a requirement for forensic examination of devices by accredited staff, creates massive pressures on individual forensic units. This has been reported recently by HMICFRS</w:t>
      </w:r>
      <w:r w:rsidR="00E44F1A">
        <w:rPr>
          <w:rFonts w:ascii="Arial" w:hAnsi="Arial" w:cs="Arial"/>
          <w:sz w:val="24"/>
          <w:szCs w:val="24"/>
        </w:rPr>
        <w:t xml:space="preserve"> (</w:t>
      </w:r>
      <w:r w:rsidR="00E44F1A" w:rsidRPr="00D4416E">
        <w:rPr>
          <w:rFonts w:ascii="Arial" w:hAnsi="Arial" w:cs="Arial"/>
          <w:sz w:val="24"/>
          <w:szCs w:val="24"/>
        </w:rPr>
        <w:t>2022</w:t>
      </w:r>
      <w:r w:rsidR="00E44F1A">
        <w:rPr>
          <w:rFonts w:ascii="Arial" w:hAnsi="Arial" w:cs="Arial"/>
          <w:sz w:val="24"/>
          <w:szCs w:val="24"/>
        </w:rPr>
        <w:t>)</w:t>
      </w:r>
      <w:r w:rsidRPr="00D4416E">
        <w:rPr>
          <w:rFonts w:ascii="Arial" w:hAnsi="Arial" w:cs="Arial"/>
          <w:sz w:val="24"/>
          <w:szCs w:val="24"/>
        </w:rPr>
        <w:t xml:space="preserve"> who have identified that there are currently over 25,000 devices waiting to be examined in the UK, with some forces having a delay of up to 18 months before beginning examinations. </w:t>
      </w:r>
    </w:p>
    <w:p w14:paraId="379CB9B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Whilst forces attempt to manage this using a form of priority matrix which ensures serious crime is prioritised, this can mean that volume and lower-level crime submissions are lower down the priority list, further increasing the delay in examination. </w:t>
      </w:r>
    </w:p>
    <w:p w14:paraId="128CE86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A delay of several months to examine key material in an offence not only delays the investigation overall but can have negative implications for victims, witnesses and suspects who may have provided their devices to police. As stated by Michaela Kerr (2022) “having mobile devices taken away from victims can leave them feeling disempowered, vulnerable and dramatically impacts on their ability to access their friends, family and things that are critical to them running their day to day lives”. There </w:t>
      </w:r>
      <w:r w:rsidRPr="00D4416E">
        <w:rPr>
          <w:rFonts w:ascii="Arial" w:hAnsi="Arial" w:cs="Arial"/>
          <w:sz w:val="24"/>
          <w:szCs w:val="24"/>
        </w:rPr>
        <w:lastRenderedPageBreak/>
        <w:t xml:space="preserve">is also the serious risk with the delay in bringing offenders to justice whilst the investigation is ongoing. </w:t>
      </w:r>
    </w:p>
    <w:p w14:paraId="42BBE81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If digital forensic units are to become accredited laboratories with examiners acting as specialist, expert practitioners then evidence suggests that the current process of submitting all devices from all crime types cannot continue. </w:t>
      </w:r>
    </w:p>
    <w:p w14:paraId="3DC2C6AB" w14:textId="77777777" w:rsidR="000C2BE6" w:rsidRPr="00D4416E" w:rsidRDefault="000C2BE6" w:rsidP="00D4416E">
      <w:pPr>
        <w:spacing w:line="360" w:lineRule="auto"/>
        <w:ind w:left="720"/>
        <w:jc w:val="both"/>
        <w:rPr>
          <w:rFonts w:ascii="Arial" w:hAnsi="Arial" w:cs="Arial"/>
          <w:i/>
          <w:iCs/>
          <w:sz w:val="24"/>
          <w:szCs w:val="24"/>
        </w:rPr>
      </w:pPr>
      <w:r w:rsidRPr="00D4416E">
        <w:rPr>
          <w:rFonts w:ascii="Arial" w:hAnsi="Arial" w:cs="Arial"/>
          <w:i/>
          <w:iCs/>
          <w:sz w:val="24"/>
          <w:szCs w:val="24"/>
        </w:rPr>
        <w:t>It is not an exaggeration to say that, as currently configured, the criminal justice system, from the police service to the courts, does not have the capability to meet this challenge. This has been the finding not just of this report, but of numerous reports and reviews in recent years.</w:t>
      </w:r>
    </w:p>
    <w:p w14:paraId="744C5693" w14:textId="77777777" w:rsidR="000C2BE6" w:rsidRPr="00D4416E" w:rsidRDefault="000C2BE6" w:rsidP="00D4416E">
      <w:pPr>
        <w:spacing w:line="360" w:lineRule="auto"/>
        <w:ind w:left="5760"/>
        <w:jc w:val="both"/>
        <w:rPr>
          <w:rFonts w:ascii="Arial" w:hAnsi="Arial" w:cs="Arial"/>
          <w:sz w:val="24"/>
          <w:szCs w:val="24"/>
        </w:rPr>
      </w:pPr>
      <w:r w:rsidRPr="00D4416E">
        <w:rPr>
          <w:rFonts w:ascii="Arial" w:hAnsi="Arial" w:cs="Arial"/>
          <w:sz w:val="24"/>
          <w:szCs w:val="24"/>
        </w:rPr>
        <w:t>The Police Foundation (2021, p.13)</w:t>
      </w:r>
    </w:p>
    <w:p w14:paraId="2FA2380B"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One possibility which may assist in reducing demand on specialist forensic units is the training and upskilling of non-ISO accredited police officers. Allowing front line staff to carry out low level examinations (often called triaging) prior to submission to forensic units can have several positive effects on investigations. </w:t>
      </w:r>
    </w:p>
    <w:p w14:paraId="7D4CD489" w14:textId="4B6EC00D"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Benefits of immediate identification of relevant material to investigations can assist in bringing about swift conclusions to investigations (ADF, 2021), improving victim satisfaction, reduced </w:t>
      </w:r>
      <w:r w:rsidR="00B014BA" w:rsidRPr="00D4416E">
        <w:rPr>
          <w:rFonts w:ascii="Arial" w:hAnsi="Arial" w:cs="Arial"/>
          <w:sz w:val="24"/>
          <w:szCs w:val="24"/>
        </w:rPr>
        <w:t>cost,</w:t>
      </w:r>
      <w:r w:rsidRPr="00D4416E">
        <w:rPr>
          <w:rFonts w:ascii="Arial" w:hAnsi="Arial" w:cs="Arial"/>
          <w:sz w:val="24"/>
          <w:szCs w:val="24"/>
        </w:rPr>
        <w:t xml:space="preserve"> and overall positive criminal justice outcomes (Horseman, 2021, pp. 86-93). One example would be where an offender is arrested for drug dealing, an examination of a suspect device whilst in custody could potentially identify further drug dealing associates and other yet to be identified suspects, allowing for immediate law enforcement action. A delay of several months for this material to be brought to the attention of the investigator may be too late to be of any use. It can also assist officer with the search and seizure of other related devices, and crucially determine if a device is worth submitting to the forensic unit for further analysis (</w:t>
      </w:r>
      <w:proofErr w:type="spellStart"/>
      <w:r w:rsidRPr="00D4416E">
        <w:rPr>
          <w:rFonts w:ascii="Arial" w:hAnsi="Arial" w:cs="Arial"/>
          <w:sz w:val="24"/>
          <w:szCs w:val="24"/>
        </w:rPr>
        <w:t>Jusas</w:t>
      </w:r>
      <w:proofErr w:type="spellEnd"/>
      <w:r w:rsidRPr="00D4416E">
        <w:rPr>
          <w:rFonts w:ascii="Arial" w:hAnsi="Arial" w:cs="Arial"/>
          <w:sz w:val="24"/>
          <w:szCs w:val="24"/>
        </w:rPr>
        <w:t xml:space="preserve">, </w:t>
      </w:r>
      <w:proofErr w:type="spellStart"/>
      <w:r w:rsidRPr="00D4416E">
        <w:rPr>
          <w:rFonts w:ascii="Arial" w:hAnsi="Arial" w:cs="Arial"/>
          <w:sz w:val="24"/>
          <w:szCs w:val="24"/>
        </w:rPr>
        <w:t>Birvinskas</w:t>
      </w:r>
      <w:proofErr w:type="spellEnd"/>
      <w:r w:rsidRPr="00D4416E">
        <w:rPr>
          <w:rFonts w:ascii="Arial" w:hAnsi="Arial" w:cs="Arial"/>
          <w:sz w:val="24"/>
          <w:szCs w:val="24"/>
        </w:rPr>
        <w:t xml:space="preserve"> and </w:t>
      </w:r>
      <w:proofErr w:type="spellStart"/>
      <w:r w:rsidRPr="00D4416E">
        <w:rPr>
          <w:rFonts w:ascii="Arial" w:hAnsi="Arial" w:cs="Arial"/>
          <w:sz w:val="24"/>
          <w:szCs w:val="24"/>
        </w:rPr>
        <w:t>Gahramanov</w:t>
      </w:r>
      <w:proofErr w:type="spellEnd"/>
      <w:r w:rsidRPr="00D4416E">
        <w:rPr>
          <w:rFonts w:ascii="Arial" w:hAnsi="Arial" w:cs="Arial"/>
          <w:sz w:val="24"/>
          <w:szCs w:val="24"/>
        </w:rPr>
        <w:t xml:space="preserve">, 2017). </w:t>
      </w:r>
    </w:p>
    <w:p w14:paraId="0782841C" w14:textId="08482509"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Whilst this method does not adhere to the ISO standards that the Forensic Science Regulator is trying to implement, </w:t>
      </w:r>
      <w:proofErr w:type="spellStart"/>
      <w:r w:rsidR="007C223B" w:rsidRPr="00D4416E">
        <w:rPr>
          <w:rFonts w:ascii="Arial" w:hAnsi="Arial" w:cs="Arial"/>
          <w:sz w:val="24"/>
          <w:szCs w:val="24"/>
        </w:rPr>
        <w:t>Jusas</w:t>
      </w:r>
      <w:proofErr w:type="spellEnd"/>
      <w:r w:rsidR="007C223B" w:rsidRPr="00D4416E">
        <w:rPr>
          <w:rFonts w:ascii="Arial" w:hAnsi="Arial" w:cs="Arial"/>
          <w:sz w:val="24"/>
          <w:szCs w:val="24"/>
        </w:rPr>
        <w:t xml:space="preserve">, </w:t>
      </w:r>
      <w:proofErr w:type="spellStart"/>
      <w:r w:rsidR="007C223B" w:rsidRPr="00D4416E">
        <w:rPr>
          <w:rFonts w:ascii="Arial" w:hAnsi="Arial" w:cs="Arial"/>
          <w:sz w:val="24"/>
          <w:szCs w:val="24"/>
        </w:rPr>
        <w:t>Birvinskas</w:t>
      </w:r>
      <w:proofErr w:type="spellEnd"/>
      <w:r w:rsidR="007C223B" w:rsidRPr="00D4416E">
        <w:rPr>
          <w:rFonts w:ascii="Arial" w:hAnsi="Arial" w:cs="Arial"/>
          <w:sz w:val="24"/>
          <w:szCs w:val="24"/>
        </w:rPr>
        <w:t xml:space="preserve"> and </w:t>
      </w:r>
      <w:proofErr w:type="spellStart"/>
      <w:r w:rsidR="007C223B" w:rsidRPr="00D4416E">
        <w:rPr>
          <w:rFonts w:ascii="Arial" w:hAnsi="Arial" w:cs="Arial"/>
          <w:sz w:val="24"/>
          <w:szCs w:val="24"/>
        </w:rPr>
        <w:t>Gahramanov</w:t>
      </w:r>
      <w:proofErr w:type="spellEnd"/>
      <w:r w:rsidR="007C223B" w:rsidRPr="00D4416E">
        <w:rPr>
          <w:rFonts w:ascii="Arial" w:hAnsi="Arial" w:cs="Arial"/>
          <w:sz w:val="24"/>
          <w:szCs w:val="24"/>
        </w:rPr>
        <w:t xml:space="preserve"> (2017)</w:t>
      </w:r>
      <w:r w:rsidR="007C223B">
        <w:rPr>
          <w:rFonts w:ascii="Arial" w:hAnsi="Arial" w:cs="Arial"/>
          <w:sz w:val="24"/>
          <w:szCs w:val="24"/>
        </w:rPr>
        <w:t xml:space="preserve"> </w:t>
      </w:r>
      <w:r w:rsidRPr="00D4416E">
        <w:rPr>
          <w:rFonts w:ascii="Arial" w:hAnsi="Arial" w:cs="Arial"/>
          <w:sz w:val="24"/>
          <w:szCs w:val="24"/>
        </w:rPr>
        <w:t>argue that due to modern devices outpacing current effective forensic techniques, there is no better solution currently than digital triage</w:t>
      </w:r>
      <w:r w:rsidR="007C223B">
        <w:rPr>
          <w:rFonts w:ascii="Arial" w:hAnsi="Arial" w:cs="Arial"/>
          <w:sz w:val="24"/>
          <w:szCs w:val="24"/>
        </w:rPr>
        <w:t>.</w:t>
      </w:r>
      <w:r w:rsidRPr="00D4416E">
        <w:rPr>
          <w:rFonts w:ascii="Arial" w:hAnsi="Arial" w:cs="Arial"/>
          <w:sz w:val="24"/>
          <w:szCs w:val="24"/>
        </w:rPr>
        <w:t xml:space="preserve"> There is a need to weigh up the benefits of </w:t>
      </w:r>
      <w:r w:rsidRPr="00D4416E">
        <w:rPr>
          <w:rFonts w:ascii="Arial" w:hAnsi="Arial" w:cs="Arial"/>
          <w:sz w:val="24"/>
          <w:szCs w:val="24"/>
        </w:rPr>
        <w:lastRenderedPageBreak/>
        <w:t>an accredited examination which may take several months versus the immediate acquisition of data via unaccredited method</w:t>
      </w:r>
      <w:r w:rsidR="007C223B">
        <w:rPr>
          <w:rFonts w:ascii="Arial" w:hAnsi="Arial" w:cs="Arial"/>
          <w:sz w:val="24"/>
          <w:szCs w:val="24"/>
        </w:rPr>
        <w:t>s</w:t>
      </w:r>
      <w:r w:rsidRPr="00D4416E">
        <w:rPr>
          <w:rFonts w:ascii="Arial" w:hAnsi="Arial" w:cs="Arial"/>
          <w:sz w:val="24"/>
          <w:szCs w:val="24"/>
        </w:rPr>
        <w:t>.</w:t>
      </w:r>
    </w:p>
    <w:p w14:paraId="3512CEDC"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Police Foundation (2021, p. 8) identify one solution to the current issues in digital forensics which is to “supplement the work of examiners with Digital Media Investigators who advise on the strategy of an investigation, making the digital examiner’s work more streamlined”.  This corroborates work carried out by HMICFRS (2022) who also identify the benefits of Digital media Investigators upon reducing backlogs within forensic units. </w:t>
      </w:r>
    </w:p>
    <w:p w14:paraId="2D96999A" w14:textId="66B97AC2"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(Words 100</w:t>
      </w:r>
      <w:r w:rsidR="007C223B">
        <w:rPr>
          <w:rFonts w:ascii="Arial" w:hAnsi="Arial" w:cs="Arial"/>
          <w:sz w:val="24"/>
          <w:szCs w:val="24"/>
        </w:rPr>
        <w:t>2</w:t>
      </w:r>
      <w:r w:rsidRPr="00D4416E">
        <w:rPr>
          <w:rFonts w:ascii="Arial" w:hAnsi="Arial" w:cs="Arial"/>
          <w:sz w:val="24"/>
          <w:szCs w:val="24"/>
        </w:rPr>
        <w:t>)</w:t>
      </w:r>
    </w:p>
    <w:p w14:paraId="19E7DF80" w14:textId="77777777" w:rsidR="000D7EC3" w:rsidRPr="00D4416E" w:rsidRDefault="000D7EC3" w:rsidP="00D4416E">
      <w:pPr>
        <w:spacing w:line="360" w:lineRule="auto"/>
        <w:jc w:val="both"/>
        <w:rPr>
          <w:rFonts w:ascii="Arial" w:hAnsi="Arial" w:cs="Arial"/>
          <w:sz w:val="24"/>
          <w:szCs w:val="24"/>
        </w:rPr>
      </w:pPr>
    </w:p>
    <w:p w14:paraId="058F6DF5" w14:textId="77777777" w:rsidR="000C2BE6" w:rsidRPr="00D4416E" w:rsidRDefault="000C2BE6" w:rsidP="00D4416E">
      <w:pPr>
        <w:spacing w:line="360" w:lineRule="auto"/>
        <w:jc w:val="both"/>
        <w:rPr>
          <w:rFonts w:ascii="Arial" w:hAnsi="Arial" w:cs="Arial"/>
          <w:b/>
          <w:bCs/>
          <w:sz w:val="24"/>
          <w:szCs w:val="24"/>
        </w:rPr>
      </w:pPr>
      <w:r w:rsidRPr="00D4416E">
        <w:rPr>
          <w:rFonts w:ascii="Arial" w:hAnsi="Arial" w:cs="Arial"/>
          <w:b/>
          <w:bCs/>
          <w:sz w:val="24"/>
          <w:szCs w:val="24"/>
        </w:rPr>
        <w:t xml:space="preserve">Evaluate the importance of applying skills, </w:t>
      </w:r>
      <w:proofErr w:type="gramStart"/>
      <w:r w:rsidRPr="00D4416E">
        <w:rPr>
          <w:rFonts w:ascii="Arial" w:hAnsi="Arial" w:cs="Arial"/>
          <w:b/>
          <w:bCs/>
          <w:sz w:val="24"/>
          <w:szCs w:val="24"/>
        </w:rPr>
        <w:t>knowledge</w:t>
      </w:r>
      <w:proofErr w:type="gramEnd"/>
      <w:r w:rsidRPr="00D4416E">
        <w:rPr>
          <w:rFonts w:ascii="Arial" w:hAnsi="Arial" w:cs="Arial"/>
          <w:b/>
          <w:bCs/>
          <w:sz w:val="24"/>
          <w:szCs w:val="24"/>
        </w:rPr>
        <w:t xml:space="preserve"> and experience to reach appropriate investigative outcomes</w:t>
      </w:r>
    </w:p>
    <w:p w14:paraId="6790A415"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Since April 2014, police forces in the UK have changed the way in which they report crime statistics to the Home Office (Home Office, 2021) and have moved away from simple ‘detected’ or ‘undetected’ methods of crime reporting. The new investigative outcome model was introduced with a view to increasing transparency in policing and promote a victim-oriented approach (Home Office, 2021). </w:t>
      </w:r>
    </w:p>
    <w:p w14:paraId="32F3B928"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Since the introduction of the outcome framework there has been a downward trend in ‘positive’ outcomes, that is, investigations which have resulted in a charge or summons (Home Office, 2022a). The statistics for rape offences is particularly low with only 1.3% of reported offences being charged (Dodd, 2022). </w:t>
      </w:r>
      <w:proofErr w:type="spellStart"/>
      <w:r w:rsidRPr="00D4416E">
        <w:rPr>
          <w:rFonts w:ascii="Arial" w:hAnsi="Arial" w:cs="Arial"/>
          <w:sz w:val="24"/>
          <w:szCs w:val="24"/>
        </w:rPr>
        <w:t>Hohl</w:t>
      </w:r>
      <w:proofErr w:type="spellEnd"/>
      <w:r w:rsidRPr="00D4416E">
        <w:rPr>
          <w:rFonts w:ascii="Arial" w:hAnsi="Arial" w:cs="Arial"/>
          <w:sz w:val="24"/>
          <w:szCs w:val="24"/>
        </w:rPr>
        <w:t xml:space="preserve"> (2015) states that more than 99% of rapes reported to police do not end in a conviction in court and explains some of the reasons why the charge rates for rape offences are so low. </w:t>
      </w:r>
    </w:p>
    <w:p w14:paraId="4B131337"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Despite the introduction of investigative outcomes, confidence in the police has been falling in recent years, with only 55% of people thinking the police do a good job (Police Foundation, 2020, p. 10), it could be argued then, that if the police were to increase the detection rates of investigations, the public opinion in policing overall will also increase. </w:t>
      </w:r>
    </w:p>
    <w:p w14:paraId="35D4FD1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Taking rape and serious sexual offences (RASSO) crime type as an example, there are ongoing efforts to change the way in which the police investigate these crimes with </w:t>
      </w:r>
      <w:r w:rsidRPr="00D4416E">
        <w:rPr>
          <w:rFonts w:ascii="Arial" w:hAnsi="Arial" w:cs="Arial"/>
          <w:sz w:val="24"/>
          <w:szCs w:val="24"/>
        </w:rPr>
        <w:lastRenderedPageBreak/>
        <w:t xml:space="preserve">a goal of doubling the number of adult rape cases reaching court (Home Office, 2022b). Areas for improvement identified from a recent review were the lack of specialist knowledge for investigators regarding sexual offending and that there was an influx of inexperienced investigators dealing with these serious offences. It is critical that investigators have the skills, knowledge and experience required to adequately investigate these offences. For example, it is vital that they understand why some victims are reluctant to engage with the criminal justice process or why it may be that victims have refused to report the offence (Home Office, 2022b). </w:t>
      </w:r>
    </w:p>
    <w:p w14:paraId="46FE72EF"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Another benefit of investigative experience and knowledge is that investigators can anticipate common defences that may be used by a suspect, allowing them to gather additional material which may assist in proving or negating this defence (National Policing Improvement Agency, 2012) </w:t>
      </w:r>
    </w:p>
    <w:p w14:paraId="2A8C2646" w14:textId="7AF5E44F"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One area of recent criticism in policing is the disclosure failings in criminal investigations, specifically with digital material. There have been high profile cases recently (Crown Prosecution Service, 2018) where it was identified that a lack of disclosure of key material led to the trial collapsing in court, this not only undermines the public’s confidence in the police but lets the victim down, and ultimately fails to achieve a good investigative outcome. His Majesty’s Crown Prosecution Service Inspectorate (2020) states that along with the lack of CPS and police resources, the issues around disclosures failings are the lack of understanding from inexperienced police officers. </w:t>
      </w:r>
      <w:r w:rsidR="0051598A">
        <w:rPr>
          <w:rFonts w:ascii="Arial" w:hAnsi="Arial" w:cs="Arial"/>
          <w:sz w:val="24"/>
          <w:szCs w:val="24"/>
        </w:rPr>
        <w:t xml:space="preserve">It </w:t>
      </w:r>
      <w:r w:rsidR="004A13FE">
        <w:rPr>
          <w:rFonts w:ascii="Arial" w:hAnsi="Arial" w:cs="Arial"/>
          <w:sz w:val="24"/>
          <w:szCs w:val="24"/>
        </w:rPr>
        <w:t>can be argued</w:t>
      </w:r>
      <w:r w:rsidR="0051598A">
        <w:rPr>
          <w:rFonts w:ascii="Arial" w:hAnsi="Arial" w:cs="Arial"/>
          <w:sz w:val="24"/>
          <w:szCs w:val="24"/>
        </w:rPr>
        <w:t xml:space="preserve"> that if investigators do not understand the fundamental principles of disclosure</w:t>
      </w:r>
      <w:r w:rsidR="004A13FE">
        <w:rPr>
          <w:rFonts w:ascii="Arial" w:hAnsi="Arial" w:cs="Arial"/>
          <w:sz w:val="24"/>
          <w:szCs w:val="24"/>
        </w:rPr>
        <w:t xml:space="preserve">, there is a greater chance of </w:t>
      </w:r>
      <w:r w:rsidR="000D41ED">
        <w:rPr>
          <w:rFonts w:ascii="Arial" w:hAnsi="Arial" w:cs="Arial"/>
          <w:sz w:val="24"/>
          <w:szCs w:val="24"/>
        </w:rPr>
        <w:t xml:space="preserve">issues arising during an investigation, leading to </w:t>
      </w:r>
      <w:r w:rsidR="00387F4E">
        <w:rPr>
          <w:rFonts w:ascii="Arial" w:hAnsi="Arial" w:cs="Arial"/>
          <w:sz w:val="24"/>
          <w:szCs w:val="24"/>
        </w:rPr>
        <w:t>poor</w:t>
      </w:r>
      <w:r w:rsidR="000D41ED">
        <w:rPr>
          <w:rFonts w:ascii="Arial" w:hAnsi="Arial" w:cs="Arial"/>
          <w:sz w:val="24"/>
          <w:szCs w:val="24"/>
        </w:rPr>
        <w:t xml:space="preserve"> investigative outcomes. </w:t>
      </w:r>
    </w:p>
    <w:p w14:paraId="5DA5110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Standards were introduced in 2003 </w:t>
      </w:r>
      <w:proofErr w:type="gramStart"/>
      <w:r w:rsidRPr="00D4416E">
        <w:rPr>
          <w:rFonts w:ascii="Arial" w:hAnsi="Arial" w:cs="Arial"/>
          <w:sz w:val="24"/>
          <w:szCs w:val="24"/>
        </w:rPr>
        <w:t>in order to</w:t>
      </w:r>
      <w:proofErr w:type="gramEnd"/>
      <w:r w:rsidRPr="00D4416E">
        <w:rPr>
          <w:rFonts w:ascii="Arial" w:hAnsi="Arial" w:cs="Arial"/>
          <w:sz w:val="24"/>
          <w:szCs w:val="24"/>
        </w:rPr>
        <w:t xml:space="preserve"> professionalise criminal investigators, to ‘provide a structured and consistent development and maintenance programme for investigative skills’ (College of Policing, 2018) and introduced four levels of investigator for various types of criminal investigations. Not only does this programme ensure that all investigators are trained, skilled and accredited to conduct the highest quality investigations, it identifies that not complying with the programme may affect the perception and ability of law enforcement to carry out its function professionally, </w:t>
      </w:r>
      <w:proofErr w:type="gramStart"/>
      <w:r w:rsidRPr="00D4416E">
        <w:rPr>
          <w:rFonts w:ascii="Arial" w:hAnsi="Arial" w:cs="Arial"/>
          <w:sz w:val="24"/>
          <w:szCs w:val="24"/>
        </w:rPr>
        <w:t>ethically</w:t>
      </w:r>
      <w:proofErr w:type="gramEnd"/>
      <w:r w:rsidRPr="00D4416E">
        <w:rPr>
          <w:rFonts w:ascii="Arial" w:hAnsi="Arial" w:cs="Arial"/>
          <w:sz w:val="24"/>
          <w:szCs w:val="24"/>
        </w:rPr>
        <w:t xml:space="preserve"> and effectively (College of Policing, 2018).</w:t>
      </w:r>
    </w:p>
    <w:p w14:paraId="208B7CA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lastRenderedPageBreak/>
        <w:t>These standards introduced by the College of Policing provide investigators with the knowledge and theory required to tackle investigations, however the skills aspect of investigation comes from the repeated application of this theory to real world investigations. Further to this, experience is the application of knowledge and skills to a specific situation (Ruiz, 2021). Applying this to our disclosure issues, it may be that due to digital elements in criminal investigations being relatively new within the criminal justice system, there is the lack of experience and skills required by investigators to meet this challenge. The wide scope of digital material and the constantly changing digital landscape further exacerbate the challenges to investigators who will have varying levels of digital literacy (</w:t>
      </w:r>
      <w:proofErr w:type="spellStart"/>
      <w:r w:rsidRPr="00D4416E">
        <w:rPr>
          <w:rFonts w:ascii="Arial" w:hAnsi="Arial" w:cs="Arial"/>
          <w:sz w:val="24"/>
          <w:szCs w:val="24"/>
        </w:rPr>
        <w:t>Ballucci</w:t>
      </w:r>
      <w:proofErr w:type="spellEnd"/>
      <w:r w:rsidRPr="00D4416E">
        <w:rPr>
          <w:rFonts w:ascii="Arial" w:hAnsi="Arial" w:cs="Arial"/>
          <w:sz w:val="24"/>
          <w:szCs w:val="24"/>
        </w:rPr>
        <w:t xml:space="preserve"> and Patel, 2021). </w:t>
      </w:r>
    </w:p>
    <w:p w14:paraId="223A129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Further development in this digital area of policing lead to the creation of the ‘Digital Media Investigator’ (DMI), who are PIP level two accredited detectives who provide digital investigative advice to serious and complex investigators and senior investigating officers of major crimes. The aim of the DMI is to identify digital lines of enquiry and to identify opportunities to secure and obtain digital material assisting the investigation, hopefully reaching successful investigative outcomes.</w:t>
      </w:r>
    </w:p>
    <w:p w14:paraId="28E74734"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HMICFRS (2022) identified that DMIs are a significant asset in improving investigations, however as there are not enough DMIs to meet the current demand, incorrect decisions are being made around the seizure and examination of digital devices which is contributing to failed prosecutions. This reinforces the need for improved training and awareness of digital media in criminal investigations. </w:t>
      </w:r>
    </w:p>
    <w:p w14:paraId="4BA35967"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It can be argued that improving the digital skillset and experience of digital investigation for police officers will reduce the risk of serious disclosure errors during investigations. This in turn will assist in improving investigative outcomes for victims and witnesses, ensuring that public confidence in the police is maintained. It also ensures that suspects right to a fair trial is maintained. </w:t>
      </w:r>
    </w:p>
    <w:p w14:paraId="54A99125" w14:textId="4A18F82C"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(Words </w:t>
      </w:r>
      <w:r w:rsidR="00BC64E9">
        <w:rPr>
          <w:rFonts w:ascii="Arial" w:hAnsi="Arial" w:cs="Arial"/>
          <w:sz w:val="24"/>
          <w:szCs w:val="24"/>
        </w:rPr>
        <w:t>914</w:t>
      </w:r>
      <w:r w:rsidRPr="00D4416E">
        <w:rPr>
          <w:rFonts w:ascii="Arial" w:hAnsi="Arial" w:cs="Arial"/>
          <w:sz w:val="24"/>
          <w:szCs w:val="24"/>
        </w:rPr>
        <w:t>)</w:t>
      </w:r>
    </w:p>
    <w:p w14:paraId="08321249" w14:textId="426E79ED" w:rsidR="000C2BE6" w:rsidRDefault="000C2BE6" w:rsidP="00D4416E">
      <w:pPr>
        <w:spacing w:line="360" w:lineRule="auto"/>
        <w:jc w:val="both"/>
        <w:rPr>
          <w:rFonts w:ascii="Arial" w:hAnsi="Arial" w:cs="Arial"/>
          <w:sz w:val="24"/>
          <w:szCs w:val="24"/>
        </w:rPr>
      </w:pPr>
      <w:r w:rsidRPr="00D4416E">
        <w:rPr>
          <w:rFonts w:ascii="Arial" w:hAnsi="Arial" w:cs="Arial"/>
          <w:sz w:val="24"/>
          <w:szCs w:val="24"/>
        </w:rPr>
        <w:t>(</w:t>
      </w:r>
      <w:r w:rsidR="000579DA">
        <w:rPr>
          <w:rFonts w:ascii="Arial" w:hAnsi="Arial" w:cs="Arial"/>
          <w:sz w:val="24"/>
          <w:szCs w:val="24"/>
        </w:rPr>
        <w:t>1916</w:t>
      </w:r>
      <w:r w:rsidR="00407395">
        <w:rPr>
          <w:rFonts w:ascii="Arial" w:hAnsi="Arial" w:cs="Arial"/>
          <w:sz w:val="24"/>
          <w:szCs w:val="24"/>
        </w:rPr>
        <w:t xml:space="preserve"> total</w:t>
      </w:r>
      <w:r w:rsidRPr="00D4416E">
        <w:rPr>
          <w:rFonts w:ascii="Arial" w:hAnsi="Arial" w:cs="Arial"/>
          <w:sz w:val="24"/>
          <w:szCs w:val="24"/>
        </w:rPr>
        <w:t>)</w:t>
      </w:r>
    </w:p>
    <w:p w14:paraId="1847C40B" w14:textId="77777777" w:rsidR="000579DA" w:rsidRPr="00D4416E" w:rsidRDefault="000579DA" w:rsidP="00D4416E">
      <w:pPr>
        <w:spacing w:line="360" w:lineRule="auto"/>
        <w:jc w:val="both"/>
        <w:rPr>
          <w:rFonts w:ascii="Arial" w:hAnsi="Arial" w:cs="Arial"/>
          <w:sz w:val="24"/>
          <w:szCs w:val="24"/>
        </w:rPr>
      </w:pPr>
    </w:p>
    <w:p w14:paraId="03F425D5"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ab/>
      </w:r>
    </w:p>
    <w:p w14:paraId="485C0F68" w14:textId="77777777" w:rsidR="000C2BE6" w:rsidRPr="00D4416E" w:rsidRDefault="000C2BE6" w:rsidP="00D4416E">
      <w:pPr>
        <w:spacing w:line="360" w:lineRule="auto"/>
        <w:jc w:val="center"/>
        <w:rPr>
          <w:rFonts w:ascii="Arial" w:hAnsi="Arial" w:cs="Arial"/>
          <w:sz w:val="24"/>
          <w:szCs w:val="24"/>
          <w:u w:val="single"/>
        </w:rPr>
      </w:pPr>
      <w:r w:rsidRPr="00D4416E">
        <w:rPr>
          <w:rFonts w:ascii="Arial" w:hAnsi="Arial" w:cs="Arial"/>
          <w:sz w:val="24"/>
          <w:szCs w:val="24"/>
          <w:u w:val="single"/>
        </w:rPr>
        <w:lastRenderedPageBreak/>
        <w:t>Reference List</w:t>
      </w:r>
    </w:p>
    <w:p w14:paraId="0EC7D70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ADF Solutions (2021) </w:t>
      </w:r>
      <w:r w:rsidRPr="00D4416E">
        <w:rPr>
          <w:rFonts w:ascii="Arial" w:hAnsi="Arial" w:cs="Arial"/>
          <w:i/>
          <w:iCs/>
          <w:sz w:val="24"/>
          <w:szCs w:val="24"/>
        </w:rPr>
        <w:t>What is Forensic Triage?</w:t>
      </w:r>
      <w:r w:rsidRPr="00D4416E">
        <w:rPr>
          <w:rFonts w:ascii="Arial" w:hAnsi="Arial" w:cs="Arial"/>
          <w:sz w:val="24"/>
          <w:szCs w:val="24"/>
        </w:rPr>
        <w:t xml:space="preserve"> Available at: https://www.adfsolutions.com/news/what-is-forensic-triage (Accessed 15th December 2022)</w:t>
      </w:r>
    </w:p>
    <w:p w14:paraId="2390337B"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Association of Chief Police Officers (2011) </w:t>
      </w:r>
      <w:r w:rsidRPr="00D4416E">
        <w:rPr>
          <w:rFonts w:ascii="Arial" w:hAnsi="Arial" w:cs="Arial"/>
          <w:i/>
          <w:iCs/>
          <w:sz w:val="24"/>
          <w:szCs w:val="24"/>
        </w:rPr>
        <w:t>ACPO Good Practice Guide for Digital Evidence.</w:t>
      </w:r>
      <w:r w:rsidRPr="00D4416E">
        <w:rPr>
          <w:rFonts w:ascii="Arial" w:hAnsi="Arial" w:cs="Arial"/>
          <w:sz w:val="24"/>
          <w:szCs w:val="24"/>
        </w:rPr>
        <w:t xml:space="preserve"> Available at: https://www.npcc.police.uk/documents/crime/2014/Revised%20Good%20Practice%20Guide%20for%20Digital%20Evidence_Vers%205_Oct%202011_Website.pdf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6E13C1A9"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t>Ballucci</w:t>
      </w:r>
      <w:proofErr w:type="spellEnd"/>
      <w:r w:rsidRPr="00D4416E">
        <w:rPr>
          <w:rFonts w:ascii="Arial" w:hAnsi="Arial" w:cs="Arial"/>
          <w:sz w:val="24"/>
          <w:szCs w:val="24"/>
        </w:rPr>
        <w:t xml:space="preserve">, D and Patel, M. (2021) ‘Digital media ‘changes the game’: investigating digital affordances impacts on sex crime and policing in the 21st century’, </w:t>
      </w:r>
      <w:r w:rsidRPr="00D4416E">
        <w:rPr>
          <w:rFonts w:ascii="Arial" w:hAnsi="Arial" w:cs="Arial"/>
          <w:i/>
          <w:iCs/>
          <w:sz w:val="24"/>
          <w:szCs w:val="24"/>
        </w:rPr>
        <w:t>Information, Communication &amp; Society</w:t>
      </w:r>
      <w:r w:rsidRPr="00D4416E">
        <w:rPr>
          <w:rFonts w:ascii="Arial" w:hAnsi="Arial" w:cs="Arial"/>
          <w:sz w:val="24"/>
          <w:szCs w:val="24"/>
        </w:rPr>
        <w:t xml:space="preserve"> DOI: 10.1080/1369118X.2022.2113422 </w:t>
      </w:r>
    </w:p>
    <w:p w14:paraId="06F95148"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Collage of Policing (2018) </w:t>
      </w:r>
      <w:r w:rsidRPr="00D4416E">
        <w:rPr>
          <w:rFonts w:ascii="Arial" w:hAnsi="Arial" w:cs="Arial"/>
          <w:i/>
          <w:iCs/>
          <w:sz w:val="24"/>
          <w:szCs w:val="24"/>
        </w:rPr>
        <w:t xml:space="preserve">Professionalising Investigation Programme. </w:t>
      </w:r>
      <w:r w:rsidRPr="00D4416E">
        <w:rPr>
          <w:rFonts w:ascii="Arial" w:hAnsi="Arial" w:cs="Arial"/>
          <w:sz w:val="24"/>
          <w:szCs w:val="24"/>
        </w:rPr>
        <w:t>Available at: https://assets.college.police.uk/s3fs-public/2020-11/Professionalising-Investigations-Progamme.pdf (Accessed: 20</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25AFE564"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Crown Prosecution Service (2018) </w:t>
      </w:r>
      <w:r w:rsidRPr="00D4416E">
        <w:rPr>
          <w:rFonts w:ascii="Arial" w:hAnsi="Arial" w:cs="Arial"/>
          <w:i/>
          <w:iCs/>
          <w:sz w:val="24"/>
          <w:szCs w:val="24"/>
        </w:rPr>
        <w:t xml:space="preserve">Joint review of the disclosure process in the case of R v Allan. </w:t>
      </w:r>
      <w:r w:rsidRPr="00D4416E">
        <w:rPr>
          <w:rFonts w:ascii="Arial" w:hAnsi="Arial" w:cs="Arial"/>
          <w:sz w:val="24"/>
          <w:szCs w:val="24"/>
        </w:rPr>
        <w:t>Available at: https://www.cps.gov.uk/publication/joint-review-disclosure-process-case-r-v-allan (Accessed: 18</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67FFE39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Dodd, V. (2022) </w:t>
      </w:r>
      <w:r w:rsidRPr="00D4416E">
        <w:rPr>
          <w:rFonts w:ascii="Arial" w:hAnsi="Arial" w:cs="Arial"/>
          <w:i/>
          <w:iCs/>
          <w:sz w:val="24"/>
          <w:szCs w:val="24"/>
        </w:rPr>
        <w:t>Recorded crime in England and Wales at 20-year high as charge rate hits new low</w:t>
      </w:r>
      <w:r w:rsidRPr="00D4416E">
        <w:rPr>
          <w:rFonts w:ascii="Arial" w:hAnsi="Arial" w:cs="Arial"/>
          <w:sz w:val="24"/>
          <w:szCs w:val="24"/>
        </w:rPr>
        <w:t>. Available at: https://www.theguardian.com/uk-news/2022/jul/21/recorded-in-england-and-wales-at-20-year-high-as-charge-rate-hits-new-low (Accessed: 21</w:t>
      </w:r>
      <w:r w:rsidRPr="00D4416E">
        <w:rPr>
          <w:rFonts w:ascii="Arial" w:hAnsi="Arial" w:cs="Arial"/>
          <w:sz w:val="24"/>
          <w:szCs w:val="24"/>
          <w:vertAlign w:val="superscript"/>
        </w:rPr>
        <w:t>st</w:t>
      </w:r>
      <w:r w:rsidRPr="00D4416E">
        <w:rPr>
          <w:rFonts w:ascii="Arial" w:hAnsi="Arial" w:cs="Arial"/>
          <w:sz w:val="24"/>
          <w:szCs w:val="24"/>
        </w:rPr>
        <w:t xml:space="preserve"> December 2022) </w:t>
      </w:r>
    </w:p>
    <w:p w14:paraId="5ECA6BB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Forensic Science Regulator (2017) </w:t>
      </w:r>
      <w:r w:rsidRPr="00D4416E">
        <w:rPr>
          <w:rFonts w:ascii="Arial" w:hAnsi="Arial" w:cs="Arial"/>
          <w:i/>
          <w:iCs/>
          <w:sz w:val="24"/>
          <w:szCs w:val="24"/>
        </w:rPr>
        <w:t>Annual Report November 2015 – November 2016.</w:t>
      </w:r>
      <w:r w:rsidRPr="00D4416E">
        <w:rPr>
          <w:rFonts w:ascii="Arial" w:hAnsi="Arial" w:cs="Arial"/>
          <w:sz w:val="24"/>
          <w:szCs w:val="24"/>
        </w:rPr>
        <w:t xml:space="preserve"> Available at: https://assets.publishing.service.gov.uk/government/uploads/system/uploads/attachment_data/file/581653/FSR_Annual_Report_v1.0.pdf (Accessed: 20</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1693729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Forensic Science Regulator (2020) </w:t>
      </w:r>
      <w:r w:rsidRPr="00D4416E">
        <w:rPr>
          <w:rFonts w:ascii="Arial" w:hAnsi="Arial" w:cs="Arial"/>
          <w:i/>
          <w:iCs/>
          <w:sz w:val="24"/>
          <w:szCs w:val="24"/>
        </w:rPr>
        <w:t xml:space="preserve">Method Validation in Digital Forensics FSR-G-218. </w:t>
      </w:r>
      <w:r w:rsidRPr="00D4416E">
        <w:rPr>
          <w:rFonts w:ascii="Arial" w:hAnsi="Arial" w:cs="Arial"/>
          <w:sz w:val="24"/>
          <w:szCs w:val="24"/>
        </w:rPr>
        <w:t>Available at: https://assets.publishing.service.gov.uk/government/uploads/system/uploads/attach</w:t>
      </w:r>
      <w:r w:rsidRPr="00D4416E">
        <w:rPr>
          <w:rFonts w:ascii="Arial" w:hAnsi="Arial" w:cs="Arial"/>
          <w:sz w:val="24"/>
          <w:szCs w:val="24"/>
        </w:rPr>
        <w:lastRenderedPageBreak/>
        <w:t>ment_data/file/921392/218_Method_Validation_in_Digital_Forensics_Issue_2_New_Base_Final.pdf (Accessed 21st December 2022)</w:t>
      </w:r>
    </w:p>
    <w:p w14:paraId="319F2721"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Forensic Science Regulator (no date) </w:t>
      </w:r>
      <w:r w:rsidRPr="00D4416E">
        <w:rPr>
          <w:rFonts w:ascii="Arial" w:hAnsi="Arial" w:cs="Arial"/>
          <w:i/>
          <w:iCs/>
          <w:sz w:val="24"/>
          <w:szCs w:val="24"/>
        </w:rPr>
        <w:t>Forensic Science Regulator – About us</w:t>
      </w:r>
      <w:r w:rsidRPr="00D4416E">
        <w:rPr>
          <w:rFonts w:ascii="Arial" w:hAnsi="Arial" w:cs="Arial"/>
          <w:sz w:val="24"/>
          <w:szCs w:val="24"/>
        </w:rPr>
        <w:t xml:space="preserve">. Available at: https://www.gov.uk/government/organisations/forensic-science-regulator/about (Accessed 21st December 2022)  </w:t>
      </w:r>
    </w:p>
    <w:p w14:paraId="41ACD988"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His Majesty’s Inspectorate of Constabulary and Fire &amp; Rescue Services (2022) </w:t>
      </w:r>
      <w:r w:rsidRPr="00D4416E">
        <w:rPr>
          <w:rFonts w:ascii="Arial" w:hAnsi="Arial" w:cs="Arial"/>
          <w:i/>
          <w:iCs/>
          <w:sz w:val="24"/>
          <w:szCs w:val="24"/>
        </w:rPr>
        <w:t>An inspection into how well the police and other agencies use digital forensics in their investigations</w:t>
      </w:r>
      <w:r w:rsidRPr="00D4416E">
        <w:rPr>
          <w:rFonts w:ascii="Arial" w:hAnsi="Arial" w:cs="Arial"/>
          <w:sz w:val="24"/>
          <w:szCs w:val="24"/>
        </w:rPr>
        <w:t>. Available at: https://www.justiceinspectorates.gov.uk/hmicfrs/publication-html/how-well-the-police-and-other-agencies-use-digital-forensics-in-their-investigations/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1F22074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His Majesty’s Crown Prosecution Service Inspectorate (2020) </w:t>
      </w:r>
      <w:r w:rsidRPr="00D4416E">
        <w:rPr>
          <w:rFonts w:ascii="Arial" w:hAnsi="Arial" w:cs="Arial"/>
          <w:i/>
          <w:iCs/>
          <w:sz w:val="24"/>
          <w:szCs w:val="24"/>
        </w:rPr>
        <w:t xml:space="preserve">Disclosure of unused material in the crown court. </w:t>
      </w:r>
      <w:r w:rsidRPr="00D4416E">
        <w:rPr>
          <w:rFonts w:ascii="Arial" w:hAnsi="Arial" w:cs="Arial"/>
          <w:sz w:val="24"/>
          <w:szCs w:val="24"/>
        </w:rPr>
        <w:t>Available at: https://www.justiceinspectorates.gov.uk/hmcpsi/inspections/disclosure-of-unused-material-in-the-crown-court/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777D2213"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t>Hohl</w:t>
      </w:r>
      <w:proofErr w:type="spellEnd"/>
      <w:r w:rsidRPr="00D4416E">
        <w:rPr>
          <w:rFonts w:ascii="Arial" w:hAnsi="Arial" w:cs="Arial"/>
          <w:sz w:val="24"/>
          <w:szCs w:val="24"/>
        </w:rPr>
        <w:t xml:space="preserve">, K. (2015) ‘Complaints of rape and the criminal justice system: Fresh evidence on the attrition problem in England and Wales’, </w:t>
      </w:r>
      <w:r w:rsidRPr="00D4416E">
        <w:rPr>
          <w:rFonts w:ascii="Arial" w:hAnsi="Arial" w:cs="Arial"/>
          <w:i/>
          <w:iCs/>
          <w:sz w:val="24"/>
          <w:szCs w:val="24"/>
        </w:rPr>
        <w:t>European Journal of Criminology</w:t>
      </w:r>
      <w:r w:rsidRPr="00D4416E">
        <w:rPr>
          <w:rFonts w:ascii="Arial" w:hAnsi="Arial" w:cs="Arial"/>
          <w:sz w:val="24"/>
          <w:szCs w:val="24"/>
        </w:rPr>
        <w:t>, 12(3), pp. 324-341. DOI: 10.1177/1477370815571949</w:t>
      </w:r>
    </w:p>
    <w:p w14:paraId="16912E76"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Home Office (2021) </w:t>
      </w:r>
      <w:r w:rsidRPr="00D4416E">
        <w:rPr>
          <w:rFonts w:ascii="Arial" w:hAnsi="Arial" w:cs="Arial"/>
          <w:i/>
          <w:iCs/>
          <w:sz w:val="24"/>
          <w:szCs w:val="24"/>
        </w:rPr>
        <w:t>Crime outcomes in England and Wales: Technical Annex</w:t>
      </w:r>
      <w:r w:rsidRPr="00D4416E">
        <w:rPr>
          <w:rFonts w:ascii="Arial" w:hAnsi="Arial" w:cs="Arial"/>
          <w:sz w:val="24"/>
          <w:szCs w:val="24"/>
        </w:rPr>
        <w:t>. Available at: https://www.gov.uk/government/statistics/crime-outcomes-in-england-and-wales-2020-to-2021/crime-outcomes-in-england-and-wales-technical-annex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5AB02C9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Home Office (2022a) </w:t>
      </w:r>
      <w:r w:rsidRPr="00D4416E">
        <w:rPr>
          <w:rFonts w:ascii="Arial" w:hAnsi="Arial" w:cs="Arial"/>
          <w:i/>
          <w:iCs/>
          <w:sz w:val="24"/>
          <w:szCs w:val="24"/>
        </w:rPr>
        <w:t>Crime Outcomes in England and Wales 2021 to 2022</w:t>
      </w:r>
      <w:r w:rsidRPr="00D4416E">
        <w:rPr>
          <w:rFonts w:ascii="Arial" w:hAnsi="Arial" w:cs="Arial"/>
          <w:sz w:val="24"/>
          <w:szCs w:val="24"/>
        </w:rPr>
        <w:t>. Available at: https://www.gov.uk/government/statistics/crime-outcomes-in-england-and-wales-2021-to-2022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33AAD6B9" w14:textId="77777777" w:rsidR="000C2BE6" w:rsidRPr="00D4416E" w:rsidRDefault="000C2BE6" w:rsidP="00D4416E">
      <w:pPr>
        <w:spacing w:line="360" w:lineRule="auto"/>
        <w:jc w:val="both"/>
        <w:rPr>
          <w:rFonts w:ascii="Arial" w:hAnsi="Arial" w:cs="Arial"/>
          <w:i/>
          <w:iCs/>
          <w:sz w:val="24"/>
          <w:szCs w:val="24"/>
        </w:rPr>
      </w:pPr>
      <w:r w:rsidRPr="00D4416E">
        <w:rPr>
          <w:rFonts w:ascii="Arial" w:hAnsi="Arial" w:cs="Arial"/>
          <w:sz w:val="24"/>
          <w:szCs w:val="24"/>
        </w:rPr>
        <w:t xml:space="preserve">Home Office (2022b) </w:t>
      </w:r>
      <w:r w:rsidRPr="00D4416E">
        <w:rPr>
          <w:rFonts w:ascii="Arial" w:hAnsi="Arial" w:cs="Arial"/>
          <w:i/>
          <w:iCs/>
          <w:sz w:val="24"/>
          <w:szCs w:val="24"/>
        </w:rPr>
        <w:t xml:space="preserve">Operation </w:t>
      </w:r>
      <w:proofErr w:type="spellStart"/>
      <w:r w:rsidRPr="00D4416E">
        <w:rPr>
          <w:rFonts w:ascii="Arial" w:hAnsi="Arial" w:cs="Arial"/>
          <w:i/>
          <w:iCs/>
          <w:sz w:val="24"/>
          <w:szCs w:val="24"/>
        </w:rPr>
        <w:t>Soteria</w:t>
      </w:r>
      <w:proofErr w:type="spellEnd"/>
      <w:r w:rsidRPr="00D4416E">
        <w:rPr>
          <w:rFonts w:ascii="Arial" w:hAnsi="Arial" w:cs="Arial"/>
          <w:i/>
          <w:iCs/>
          <w:sz w:val="24"/>
          <w:szCs w:val="24"/>
        </w:rPr>
        <w:t xml:space="preserve"> Bluestone Year One Report.</w:t>
      </w:r>
      <w:r w:rsidRPr="00D4416E">
        <w:rPr>
          <w:rFonts w:ascii="Arial" w:hAnsi="Arial" w:cs="Arial"/>
          <w:sz w:val="24"/>
          <w:szCs w:val="24"/>
        </w:rPr>
        <w:t xml:space="preserve"> Available at: https://www.gov.uk/government/publications/operation-soteria-year-one-report/operation-soteria-bluestone-year-one-report-accessible-version#fn:29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r w:rsidRPr="00D4416E">
        <w:rPr>
          <w:rFonts w:ascii="Arial" w:hAnsi="Arial" w:cs="Arial"/>
          <w:i/>
          <w:iCs/>
          <w:sz w:val="24"/>
          <w:szCs w:val="24"/>
        </w:rPr>
        <w:t xml:space="preserve"> </w:t>
      </w:r>
    </w:p>
    <w:p w14:paraId="3BFC507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lastRenderedPageBreak/>
        <w:t xml:space="preserve">Horsman, G. (2022) ‘Triaging digital device content at-scene: - Formalising the decision-making process’, </w:t>
      </w:r>
      <w:r w:rsidRPr="00D4416E">
        <w:rPr>
          <w:rFonts w:ascii="Arial" w:hAnsi="Arial" w:cs="Arial"/>
          <w:i/>
          <w:iCs/>
          <w:sz w:val="24"/>
          <w:szCs w:val="24"/>
        </w:rPr>
        <w:t>Science &amp; Justice</w:t>
      </w:r>
      <w:r w:rsidRPr="00D4416E">
        <w:rPr>
          <w:rFonts w:ascii="Arial" w:hAnsi="Arial" w:cs="Arial"/>
          <w:sz w:val="24"/>
          <w:szCs w:val="24"/>
        </w:rPr>
        <w:t xml:space="preserve"> 62(1),</w:t>
      </w:r>
      <w:r w:rsidRPr="00D4416E">
        <w:rPr>
          <w:rFonts w:ascii="Arial" w:hAnsi="Arial" w:cs="Arial"/>
          <w:i/>
          <w:iCs/>
          <w:sz w:val="24"/>
          <w:szCs w:val="24"/>
        </w:rPr>
        <w:t xml:space="preserve"> </w:t>
      </w:r>
      <w:r w:rsidRPr="00D4416E">
        <w:rPr>
          <w:rFonts w:ascii="Arial" w:hAnsi="Arial" w:cs="Arial"/>
          <w:sz w:val="24"/>
          <w:szCs w:val="24"/>
        </w:rPr>
        <w:t xml:space="preserve">pp. 86-93. DOI: https://doi.org/10.1016/j.scijus.2021.12.001 </w:t>
      </w:r>
    </w:p>
    <w:p w14:paraId="59A70C11"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t>Jusas</w:t>
      </w:r>
      <w:proofErr w:type="spellEnd"/>
      <w:r w:rsidRPr="00D4416E">
        <w:rPr>
          <w:rFonts w:ascii="Arial" w:hAnsi="Arial" w:cs="Arial"/>
          <w:sz w:val="24"/>
          <w:szCs w:val="24"/>
        </w:rPr>
        <w:t xml:space="preserve">, V., </w:t>
      </w:r>
      <w:proofErr w:type="spellStart"/>
      <w:r w:rsidRPr="00D4416E">
        <w:rPr>
          <w:rFonts w:ascii="Arial" w:hAnsi="Arial" w:cs="Arial"/>
          <w:sz w:val="24"/>
          <w:szCs w:val="24"/>
        </w:rPr>
        <w:t>Birvinskas</w:t>
      </w:r>
      <w:proofErr w:type="spellEnd"/>
      <w:r w:rsidRPr="00D4416E">
        <w:rPr>
          <w:rFonts w:ascii="Arial" w:hAnsi="Arial" w:cs="Arial"/>
          <w:sz w:val="24"/>
          <w:szCs w:val="24"/>
        </w:rPr>
        <w:t xml:space="preserve">, D. and </w:t>
      </w:r>
      <w:proofErr w:type="spellStart"/>
      <w:r w:rsidRPr="00D4416E">
        <w:rPr>
          <w:rFonts w:ascii="Arial" w:hAnsi="Arial" w:cs="Arial"/>
          <w:sz w:val="24"/>
          <w:szCs w:val="24"/>
        </w:rPr>
        <w:t>Gahramanov</w:t>
      </w:r>
      <w:proofErr w:type="spellEnd"/>
      <w:r w:rsidRPr="00D4416E">
        <w:rPr>
          <w:rFonts w:ascii="Arial" w:hAnsi="Arial" w:cs="Arial"/>
          <w:sz w:val="24"/>
          <w:szCs w:val="24"/>
        </w:rPr>
        <w:t xml:space="preserve">, E. (2017) Methods and Tools of Digital Triage in Forensic Context: Survey and Future Directions. </w:t>
      </w:r>
      <w:r w:rsidRPr="00D4416E">
        <w:rPr>
          <w:rFonts w:ascii="Arial" w:hAnsi="Arial" w:cs="Arial"/>
          <w:i/>
          <w:iCs/>
          <w:sz w:val="24"/>
          <w:szCs w:val="24"/>
        </w:rPr>
        <w:t>Symmetry</w:t>
      </w:r>
      <w:r w:rsidRPr="00D4416E">
        <w:rPr>
          <w:rFonts w:ascii="Arial" w:hAnsi="Arial" w:cs="Arial"/>
          <w:sz w:val="24"/>
          <w:szCs w:val="24"/>
        </w:rPr>
        <w:t xml:space="preserve">.  9(4), p. 49. DOI: </w:t>
      </w:r>
      <w:hyperlink r:id="rId8" w:history="1">
        <w:r w:rsidRPr="00D4416E">
          <w:rPr>
            <w:rStyle w:val="Hyperlink"/>
            <w:rFonts w:ascii="Arial" w:hAnsi="Arial" w:cs="Arial"/>
            <w:sz w:val="24"/>
            <w:szCs w:val="24"/>
          </w:rPr>
          <w:t>https://doi.org/10.3390/sym9040049</w:t>
        </w:r>
      </w:hyperlink>
    </w:p>
    <w:p w14:paraId="7886BC2B"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Kerr, M. (2022) </w:t>
      </w:r>
      <w:r w:rsidRPr="00D4416E">
        <w:rPr>
          <w:rFonts w:ascii="Arial" w:hAnsi="Arial" w:cs="Arial"/>
          <w:i/>
          <w:iCs/>
          <w:sz w:val="24"/>
          <w:szCs w:val="24"/>
        </w:rPr>
        <w:t>New technology trialled allowing victims of domestic abuse and sexual offences to keep mobiles.</w:t>
      </w:r>
      <w:r w:rsidRPr="00D4416E">
        <w:rPr>
          <w:rFonts w:ascii="Arial" w:hAnsi="Arial" w:cs="Arial"/>
          <w:sz w:val="24"/>
          <w:szCs w:val="24"/>
        </w:rPr>
        <w:t xml:space="preserve"> Available at: https://www.greatermanchester-ca.gov.uk/news/new-technology-trialled-by-greater-manchester-police-allowing-victims-of-domestic-abuse-and-sexual-offences-to-keep-their-mobile-phones/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63EDAF36"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National Policing Improvement Agency (2012) </w:t>
      </w:r>
      <w:r w:rsidRPr="00D4416E">
        <w:rPr>
          <w:rFonts w:ascii="Arial" w:hAnsi="Arial" w:cs="Arial"/>
          <w:i/>
          <w:iCs/>
          <w:sz w:val="24"/>
          <w:szCs w:val="24"/>
        </w:rPr>
        <w:t>Core Investigative Doctrine, Second Edition.</w:t>
      </w:r>
      <w:r w:rsidRPr="00D4416E">
        <w:rPr>
          <w:rFonts w:ascii="Arial" w:hAnsi="Arial" w:cs="Arial"/>
          <w:sz w:val="24"/>
          <w:szCs w:val="24"/>
        </w:rPr>
        <w:t xml:space="preserve"> </w:t>
      </w:r>
      <w:proofErr w:type="spellStart"/>
      <w:r w:rsidRPr="00D4416E">
        <w:rPr>
          <w:rFonts w:ascii="Arial" w:hAnsi="Arial" w:cs="Arial"/>
          <w:sz w:val="24"/>
          <w:szCs w:val="24"/>
        </w:rPr>
        <w:t>Wyboston</w:t>
      </w:r>
      <w:proofErr w:type="spellEnd"/>
      <w:r w:rsidRPr="00D4416E">
        <w:rPr>
          <w:rFonts w:ascii="Arial" w:hAnsi="Arial" w:cs="Arial"/>
          <w:sz w:val="24"/>
          <w:szCs w:val="24"/>
        </w:rPr>
        <w:t>, Bedfordshire. Association Of Chief Police Officers</w:t>
      </w:r>
    </w:p>
    <w:p w14:paraId="3067928B"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t>Overill</w:t>
      </w:r>
      <w:proofErr w:type="spellEnd"/>
      <w:r w:rsidRPr="00D4416E">
        <w:rPr>
          <w:rFonts w:ascii="Arial" w:hAnsi="Arial" w:cs="Arial"/>
          <w:sz w:val="24"/>
          <w:szCs w:val="24"/>
        </w:rPr>
        <w:t xml:space="preserve">, R. (2013) ‘Triage template pipelines in digital forensic investigations’, </w:t>
      </w:r>
      <w:r w:rsidRPr="00D4416E">
        <w:rPr>
          <w:rFonts w:ascii="Arial" w:hAnsi="Arial" w:cs="Arial"/>
          <w:i/>
          <w:iCs/>
          <w:sz w:val="24"/>
          <w:szCs w:val="24"/>
        </w:rPr>
        <w:t>Digital Investigation</w:t>
      </w:r>
      <w:r w:rsidRPr="00D4416E">
        <w:rPr>
          <w:rFonts w:ascii="Arial" w:hAnsi="Arial" w:cs="Arial"/>
          <w:sz w:val="24"/>
          <w:szCs w:val="24"/>
        </w:rPr>
        <w:t xml:space="preserve"> 10(2), pp. 168-174. DOI: https://doi.org/10.1016/j.diin.2013.03.001</w:t>
      </w:r>
    </w:p>
    <w:p w14:paraId="106DB5DE"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Parliamentary Office of Science &amp; Technology (2016) </w:t>
      </w:r>
      <w:r w:rsidRPr="00D4416E">
        <w:rPr>
          <w:rFonts w:ascii="Arial" w:hAnsi="Arial" w:cs="Arial"/>
          <w:i/>
          <w:iCs/>
          <w:sz w:val="24"/>
          <w:szCs w:val="24"/>
        </w:rPr>
        <w:t xml:space="preserve">Digital Forensics and Crime. </w:t>
      </w:r>
      <w:r w:rsidRPr="00D4416E">
        <w:rPr>
          <w:rFonts w:ascii="Arial" w:hAnsi="Arial" w:cs="Arial"/>
          <w:sz w:val="24"/>
          <w:szCs w:val="24"/>
        </w:rPr>
        <w:t>Available at: https://researchbriefings.files.parliament.uk/documents/POST-PN-0520/POST-PN-0520.pdf (Accessed: 18</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5BE6B12E"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Police Foundation (2021) </w:t>
      </w:r>
      <w:r w:rsidRPr="00D4416E">
        <w:rPr>
          <w:rFonts w:ascii="Arial" w:hAnsi="Arial" w:cs="Arial"/>
          <w:i/>
          <w:iCs/>
          <w:sz w:val="24"/>
          <w:szCs w:val="24"/>
        </w:rPr>
        <w:t>A New Mode of Protection Redesigning policing and public safety for the 21</w:t>
      </w:r>
      <w:r w:rsidRPr="00D4416E">
        <w:rPr>
          <w:rFonts w:ascii="Arial" w:hAnsi="Arial" w:cs="Arial"/>
          <w:i/>
          <w:iCs/>
          <w:sz w:val="24"/>
          <w:szCs w:val="24"/>
          <w:vertAlign w:val="superscript"/>
        </w:rPr>
        <w:t>st</w:t>
      </w:r>
      <w:r w:rsidRPr="00D4416E">
        <w:rPr>
          <w:rFonts w:ascii="Arial" w:hAnsi="Arial" w:cs="Arial"/>
          <w:i/>
          <w:iCs/>
          <w:sz w:val="24"/>
          <w:szCs w:val="24"/>
        </w:rPr>
        <w:t xml:space="preserve"> century. </w:t>
      </w:r>
      <w:r w:rsidRPr="00D4416E">
        <w:rPr>
          <w:rFonts w:ascii="Arial" w:hAnsi="Arial" w:cs="Arial"/>
          <w:sz w:val="24"/>
          <w:szCs w:val="24"/>
        </w:rPr>
        <w:t>Available at: https://www.policingreview.org.uk/wp-content/uploads/srpew_final_report.pdf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3C28200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Police Foundation (2021) </w:t>
      </w:r>
      <w:r w:rsidRPr="00D4416E">
        <w:rPr>
          <w:rFonts w:ascii="Arial" w:hAnsi="Arial" w:cs="Arial"/>
          <w:i/>
          <w:iCs/>
          <w:sz w:val="24"/>
          <w:szCs w:val="24"/>
        </w:rPr>
        <w:t>Unleashing the Value of Digital Forensics.</w:t>
      </w:r>
      <w:r w:rsidRPr="00D4416E">
        <w:rPr>
          <w:rFonts w:ascii="Arial" w:hAnsi="Arial" w:cs="Arial"/>
          <w:sz w:val="24"/>
          <w:szCs w:val="24"/>
        </w:rPr>
        <w:t xml:space="preserve"> Available at: https://www.police-foundation.org.uk/2017/wp-content/uploads/2010/10/value_of_digital_forensics.pdf (Accessed: 20</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6A60AE96"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Ruiz, J. (2021) </w:t>
      </w:r>
      <w:r w:rsidRPr="00D4416E">
        <w:rPr>
          <w:rFonts w:ascii="Arial" w:hAnsi="Arial" w:cs="Arial"/>
          <w:i/>
          <w:iCs/>
          <w:sz w:val="24"/>
          <w:szCs w:val="24"/>
        </w:rPr>
        <w:t xml:space="preserve">The Differences Among Knowledge, Skills and Experience. </w:t>
      </w:r>
      <w:r w:rsidRPr="00D4416E">
        <w:rPr>
          <w:rFonts w:ascii="Arial" w:hAnsi="Arial" w:cs="Arial"/>
          <w:sz w:val="24"/>
          <w:szCs w:val="24"/>
        </w:rPr>
        <w:t>Available at: https://www.forbes.com/sites/forbesbusinesscouncil/2021/03/31/the-differences-among-knowledge-skills-and-experience/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1515D954" w14:textId="77777777" w:rsidR="000C2BE6" w:rsidRDefault="000C2BE6" w:rsidP="46EDD448">
      <w:pPr>
        <w:ind w:right="237"/>
        <w:jc w:val="both"/>
        <w:rPr>
          <w:rFonts w:ascii="Arial" w:eastAsia="Arial" w:hAnsi="Arial" w:cs="Arial"/>
          <w:color w:val="000000" w:themeColor="text1"/>
          <w:sz w:val="24"/>
          <w:szCs w:val="24"/>
        </w:rPr>
      </w:pPr>
    </w:p>
    <w:p w14:paraId="29F5A0F6" w14:textId="61101F92" w:rsidR="7336895D" w:rsidRDefault="7336895D" w:rsidP="46EDD448">
      <w:pPr>
        <w:ind w:right="237"/>
        <w:jc w:val="both"/>
        <w:rPr>
          <w:rFonts w:ascii="Arial" w:eastAsia="Arial" w:hAnsi="Arial" w:cs="Arial"/>
          <w:color w:val="000000" w:themeColor="text1"/>
          <w:sz w:val="24"/>
          <w:szCs w:val="24"/>
        </w:rPr>
      </w:pPr>
    </w:p>
    <w:p w14:paraId="38680188" w14:textId="30AFB1E1" w:rsidR="3A5EB7B5" w:rsidRDefault="3A5EB7B5" w:rsidP="46EDD448">
      <w:pPr>
        <w:ind w:right="10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lastRenderedPageBreak/>
        <w:t>Task 5</w:t>
      </w:r>
      <w:r w:rsidR="4C6CB4DE" w:rsidRPr="46EDD448">
        <w:rPr>
          <w:rFonts w:ascii="Arial" w:eastAsia="Arial" w:hAnsi="Arial" w:cs="Arial"/>
          <w:b/>
          <w:bCs/>
          <w:color w:val="000000" w:themeColor="text1"/>
          <w:sz w:val="24"/>
          <w:szCs w:val="24"/>
        </w:rPr>
        <w:t xml:space="preserve">: </w:t>
      </w:r>
    </w:p>
    <w:p w14:paraId="47BDC222" w14:textId="7519F6C3"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Personal Development Plan (PDP)</w:t>
      </w:r>
    </w:p>
    <w:p w14:paraId="0A253E2D" w14:textId="42BC9346" w:rsidR="7336895D" w:rsidRDefault="7336895D" w:rsidP="7336895D">
      <w:pPr>
        <w:ind w:right="107"/>
        <w:jc w:val="both"/>
        <w:rPr>
          <w:rFonts w:ascii="Arial" w:eastAsia="Arial" w:hAnsi="Arial" w:cs="Arial"/>
          <w:color w:val="000000" w:themeColor="text1"/>
          <w:sz w:val="24"/>
          <w:szCs w:val="24"/>
        </w:rPr>
      </w:pPr>
    </w:p>
    <w:p w14:paraId="037136EB" w14:textId="1563636D" w:rsidR="3A5EB7B5" w:rsidRDefault="3A5EB7B5" w:rsidP="329D81C7">
      <w:pPr>
        <w:ind w:right="107"/>
        <w:jc w:val="both"/>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As part of your reflective process, please use this table to aid you in identifying the next steps for development. </w:t>
      </w:r>
      <w:r w:rsidR="5CC03EA5" w:rsidRPr="329D81C7">
        <w:rPr>
          <w:rFonts w:ascii="Arial" w:eastAsia="Arial" w:hAnsi="Arial" w:cs="Arial"/>
          <w:b/>
          <w:bCs/>
          <w:color w:val="000000" w:themeColor="text1"/>
          <w:sz w:val="24"/>
          <w:szCs w:val="24"/>
        </w:rPr>
        <w:t xml:space="preserve">Consider using SMART as part of your answer. </w:t>
      </w:r>
    </w:p>
    <w:p w14:paraId="62EC357D" w14:textId="5C1D7E5D" w:rsidR="7336895D" w:rsidRDefault="7336895D" w:rsidP="7336895D">
      <w:pPr>
        <w:ind w:right="107"/>
        <w:jc w:val="both"/>
        <w:rPr>
          <w:rFonts w:ascii="Arial" w:eastAsia="Arial" w:hAnsi="Arial" w:cs="Arial"/>
          <w:color w:val="000000" w:themeColor="text1"/>
          <w:sz w:val="24"/>
          <w:szCs w:val="24"/>
        </w:rPr>
      </w:pPr>
    </w:p>
    <w:p w14:paraId="7A984DF5" w14:textId="3FC4E6D4"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i/>
          <w:iCs/>
          <w:color w:val="000000" w:themeColor="text1"/>
          <w:sz w:val="24"/>
          <w:szCs w:val="24"/>
        </w:rPr>
        <w:t>This is equivalent to 2000 words towards the overall wordcount, please note this is not the actual number of words used in completing the table, the count reflects the thought and research behind it.</w:t>
      </w:r>
    </w:p>
    <w:p w14:paraId="71960A1E" w14:textId="09CEFDE0" w:rsidR="7336895D" w:rsidRDefault="7336895D" w:rsidP="7336895D">
      <w:pPr>
        <w:ind w:right="107"/>
        <w:jc w:val="both"/>
        <w:rPr>
          <w:rFonts w:ascii="Arial" w:eastAsia="Arial"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000C2BE6" w14:paraId="0C486F4B" w14:textId="77777777" w:rsidTr="00EE7E20">
        <w:tc>
          <w:tcPr>
            <w:tcW w:w="2254" w:type="dxa"/>
            <w:shd w:val="clear" w:color="auto" w:fill="1E8BCD"/>
          </w:tcPr>
          <w:p w14:paraId="1DAD8116"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Area of Development</w:t>
            </w:r>
          </w:p>
        </w:tc>
        <w:tc>
          <w:tcPr>
            <w:tcW w:w="2254" w:type="dxa"/>
            <w:shd w:val="clear" w:color="auto" w:fill="1E8BCD"/>
          </w:tcPr>
          <w:p w14:paraId="243DDE6B"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 xml:space="preserve">How it will be achieved </w:t>
            </w:r>
          </w:p>
        </w:tc>
        <w:tc>
          <w:tcPr>
            <w:tcW w:w="2254" w:type="dxa"/>
            <w:shd w:val="clear" w:color="auto" w:fill="1E8BCD"/>
          </w:tcPr>
          <w:p w14:paraId="748A75E6"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Who can provide support?</w:t>
            </w:r>
          </w:p>
        </w:tc>
        <w:tc>
          <w:tcPr>
            <w:tcW w:w="2254" w:type="dxa"/>
            <w:shd w:val="clear" w:color="auto" w:fill="1E8BCD"/>
          </w:tcPr>
          <w:p w14:paraId="7EDA003F"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Timeline</w:t>
            </w:r>
          </w:p>
        </w:tc>
      </w:tr>
      <w:tr w:rsidR="000C2BE6" w14:paraId="4BF805B4" w14:textId="77777777" w:rsidTr="00EE7E20">
        <w:tc>
          <w:tcPr>
            <w:tcW w:w="2254" w:type="dxa"/>
          </w:tcPr>
          <w:p w14:paraId="51E25435" w14:textId="77777777" w:rsidR="000C2BE6" w:rsidRDefault="000C2BE6" w:rsidP="00EE7E20">
            <w:pPr>
              <w:rPr>
                <w:rFonts w:ascii="Arial" w:eastAsia="Arial" w:hAnsi="Arial" w:cs="Arial"/>
              </w:rPr>
            </w:pPr>
          </w:p>
          <w:p w14:paraId="72C5456D" w14:textId="77777777" w:rsidR="000C2BE6" w:rsidRPr="000C72E4" w:rsidRDefault="000C2BE6" w:rsidP="00EE7E20">
            <w:pPr>
              <w:rPr>
                <w:rFonts w:ascii="Arial" w:eastAsia="Arial" w:hAnsi="Arial" w:cs="Arial"/>
              </w:rPr>
            </w:pPr>
            <w:r w:rsidRPr="000C72E4">
              <w:rPr>
                <w:rFonts w:ascii="Arial" w:eastAsia="Arial" w:hAnsi="Arial" w:cs="Arial"/>
              </w:rPr>
              <w:t>Complete BSc Professional Investigation degree</w:t>
            </w:r>
          </w:p>
          <w:p w14:paraId="15054E14" w14:textId="77777777" w:rsidR="000C2BE6" w:rsidRPr="000C72E4" w:rsidRDefault="000C2BE6" w:rsidP="00EE7E20">
            <w:pPr>
              <w:rPr>
                <w:rFonts w:ascii="Arial" w:eastAsia="Arial" w:hAnsi="Arial" w:cs="Arial"/>
              </w:rPr>
            </w:pPr>
          </w:p>
        </w:tc>
        <w:tc>
          <w:tcPr>
            <w:tcW w:w="2254" w:type="dxa"/>
          </w:tcPr>
          <w:p w14:paraId="079102E7" w14:textId="77777777" w:rsidR="000C2BE6" w:rsidRDefault="000C2BE6" w:rsidP="00EE7E20">
            <w:pPr>
              <w:rPr>
                <w:rFonts w:ascii="Arial" w:eastAsia="Arial" w:hAnsi="Arial" w:cs="Arial"/>
              </w:rPr>
            </w:pPr>
          </w:p>
          <w:p w14:paraId="6128FCC8" w14:textId="77777777" w:rsidR="000C2BE6" w:rsidRDefault="000C2BE6" w:rsidP="00EE7E20">
            <w:pPr>
              <w:rPr>
                <w:rFonts w:ascii="Arial" w:eastAsia="Arial" w:hAnsi="Arial" w:cs="Arial"/>
              </w:rPr>
            </w:pPr>
            <w:r>
              <w:rPr>
                <w:rFonts w:ascii="Arial" w:eastAsia="Arial" w:hAnsi="Arial" w:cs="Arial"/>
              </w:rPr>
              <w:t>Regularly attend lessons and tutorials</w:t>
            </w:r>
          </w:p>
          <w:p w14:paraId="7C766C94" w14:textId="77777777" w:rsidR="000C2BE6" w:rsidRDefault="000C2BE6" w:rsidP="00EE7E20">
            <w:pPr>
              <w:rPr>
                <w:rFonts w:ascii="Arial" w:eastAsia="Arial" w:hAnsi="Arial" w:cs="Arial"/>
              </w:rPr>
            </w:pPr>
          </w:p>
          <w:p w14:paraId="6630677E" w14:textId="77777777" w:rsidR="000C2BE6" w:rsidRDefault="000C2BE6" w:rsidP="00EE7E20">
            <w:pPr>
              <w:rPr>
                <w:rFonts w:ascii="Arial" w:eastAsia="Arial" w:hAnsi="Arial" w:cs="Arial"/>
              </w:rPr>
            </w:pPr>
            <w:r>
              <w:rPr>
                <w:rFonts w:ascii="Arial" w:eastAsia="Arial" w:hAnsi="Arial" w:cs="Arial"/>
              </w:rPr>
              <w:t>Carry out self-study in line with module workbook</w:t>
            </w:r>
          </w:p>
          <w:p w14:paraId="69FF452E" w14:textId="77777777" w:rsidR="000C2BE6" w:rsidRDefault="000C2BE6" w:rsidP="00EE7E20">
            <w:pPr>
              <w:rPr>
                <w:rFonts w:ascii="Arial" w:eastAsia="Arial" w:hAnsi="Arial" w:cs="Arial"/>
              </w:rPr>
            </w:pPr>
          </w:p>
          <w:p w14:paraId="010DF1F2" w14:textId="77777777" w:rsidR="000C2BE6" w:rsidRDefault="000C2BE6" w:rsidP="00EE7E20">
            <w:pPr>
              <w:rPr>
                <w:rFonts w:ascii="Arial" w:eastAsia="Arial" w:hAnsi="Arial" w:cs="Arial"/>
              </w:rPr>
            </w:pPr>
            <w:r>
              <w:rPr>
                <w:rFonts w:ascii="Arial" w:eastAsia="Arial" w:hAnsi="Arial" w:cs="Arial"/>
              </w:rPr>
              <w:t>Request and implement feedback on individual tasks</w:t>
            </w:r>
          </w:p>
          <w:p w14:paraId="0F078A8A" w14:textId="77777777" w:rsidR="000C2BE6" w:rsidRDefault="000C2BE6" w:rsidP="00EE7E20">
            <w:pPr>
              <w:rPr>
                <w:rFonts w:ascii="Arial" w:eastAsia="Arial" w:hAnsi="Arial" w:cs="Arial"/>
              </w:rPr>
            </w:pPr>
          </w:p>
          <w:p w14:paraId="2F5A7766" w14:textId="77777777" w:rsidR="000C2BE6" w:rsidRDefault="000C2BE6" w:rsidP="00EE7E20">
            <w:pPr>
              <w:rPr>
                <w:rFonts w:ascii="Arial" w:eastAsia="Arial" w:hAnsi="Arial" w:cs="Arial"/>
              </w:rPr>
            </w:pPr>
            <w:r>
              <w:rPr>
                <w:rFonts w:ascii="Arial" w:eastAsia="Arial" w:hAnsi="Arial" w:cs="Arial"/>
              </w:rPr>
              <w:t xml:space="preserve">Submit workbooks and dissertation on time. </w:t>
            </w:r>
          </w:p>
          <w:p w14:paraId="3CA349ED" w14:textId="77777777" w:rsidR="000C2BE6" w:rsidRPr="000C72E4" w:rsidRDefault="000C2BE6" w:rsidP="00EE7E20">
            <w:pPr>
              <w:rPr>
                <w:rFonts w:ascii="Arial" w:eastAsia="Arial" w:hAnsi="Arial" w:cs="Arial"/>
              </w:rPr>
            </w:pPr>
            <w:r>
              <w:rPr>
                <w:rFonts w:ascii="Arial" w:eastAsia="Arial" w:hAnsi="Arial" w:cs="Arial"/>
              </w:rPr>
              <w:t xml:space="preserve"> </w:t>
            </w:r>
          </w:p>
        </w:tc>
        <w:tc>
          <w:tcPr>
            <w:tcW w:w="2254" w:type="dxa"/>
          </w:tcPr>
          <w:p w14:paraId="5F57DE54" w14:textId="77777777" w:rsidR="000C2BE6" w:rsidRDefault="000C2BE6" w:rsidP="00EE7E20">
            <w:pPr>
              <w:rPr>
                <w:rFonts w:ascii="Arial" w:eastAsia="Arial" w:hAnsi="Arial" w:cs="Arial"/>
              </w:rPr>
            </w:pPr>
          </w:p>
          <w:p w14:paraId="48F91AC6" w14:textId="77777777" w:rsidR="000C2BE6" w:rsidRDefault="000C2BE6" w:rsidP="00EE7E20">
            <w:pPr>
              <w:rPr>
                <w:rFonts w:ascii="Arial" w:eastAsia="Arial" w:hAnsi="Arial" w:cs="Arial"/>
              </w:rPr>
            </w:pPr>
            <w:r>
              <w:rPr>
                <w:rFonts w:ascii="Arial" w:eastAsia="Arial" w:hAnsi="Arial" w:cs="Arial"/>
              </w:rPr>
              <w:t>Peer support from colleagues on course</w:t>
            </w:r>
          </w:p>
          <w:p w14:paraId="17850B1A" w14:textId="77777777" w:rsidR="000C2BE6" w:rsidRDefault="000C2BE6" w:rsidP="00EE7E20">
            <w:pPr>
              <w:rPr>
                <w:rFonts w:ascii="Arial" w:eastAsia="Arial" w:hAnsi="Arial" w:cs="Arial"/>
              </w:rPr>
            </w:pPr>
          </w:p>
          <w:p w14:paraId="6607B0DF" w14:textId="77777777" w:rsidR="000C2BE6" w:rsidRDefault="000C2BE6" w:rsidP="00EE7E20">
            <w:pPr>
              <w:rPr>
                <w:rFonts w:ascii="Arial" w:eastAsia="Arial" w:hAnsi="Arial" w:cs="Arial"/>
              </w:rPr>
            </w:pPr>
            <w:r>
              <w:rPr>
                <w:rFonts w:ascii="Arial" w:eastAsia="Arial" w:hAnsi="Arial" w:cs="Arial"/>
              </w:rPr>
              <w:t xml:space="preserve">Tutor </w:t>
            </w:r>
          </w:p>
          <w:p w14:paraId="50193F57" w14:textId="77777777" w:rsidR="000C2BE6" w:rsidRDefault="000C2BE6" w:rsidP="00EE7E20">
            <w:pPr>
              <w:rPr>
                <w:rFonts w:ascii="Arial" w:eastAsia="Arial" w:hAnsi="Arial" w:cs="Arial"/>
              </w:rPr>
            </w:pPr>
          </w:p>
          <w:p w14:paraId="739FCEC2" w14:textId="77777777" w:rsidR="000C2BE6" w:rsidRDefault="000C2BE6" w:rsidP="00EE7E20">
            <w:pPr>
              <w:rPr>
                <w:rFonts w:ascii="Arial" w:eastAsia="Arial" w:hAnsi="Arial" w:cs="Arial"/>
              </w:rPr>
            </w:pPr>
            <w:r>
              <w:rPr>
                <w:rFonts w:ascii="Arial" w:eastAsia="Arial" w:hAnsi="Arial" w:cs="Arial"/>
              </w:rPr>
              <w:t>Family and friends</w:t>
            </w:r>
          </w:p>
          <w:p w14:paraId="54CBE6BB" w14:textId="77777777" w:rsidR="000C2BE6" w:rsidRPr="000C72E4" w:rsidRDefault="000C2BE6" w:rsidP="00EE7E20">
            <w:pPr>
              <w:rPr>
                <w:rFonts w:ascii="Arial" w:eastAsia="Arial" w:hAnsi="Arial" w:cs="Arial"/>
              </w:rPr>
            </w:pPr>
          </w:p>
        </w:tc>
        <w:tc>
          <w:tcPr>
            <w:tcW w:w="2254" w:type="dxa"/>
          </w:tcPr>
          <w:p w14:paraId="2D5F7052" w14:textId="77777777" w:rsidR="000C2BE6" w:rsidRDefault="000C2BE6" w:rsidP="00EE7E20">
            <w:pPr>
              <w:rPr>
                <w:rFonts w:ascii="Arial" w:eastAsia="Arial" w:hAnsi="Arial" w:cs="Arial"/>
              </w:rPr>
            </w:pPr>
          </w:p>
          <w:p w14:paraId="4164D234" w14:textId="77777777" w:rsidR="000C2BE6" w:rsidRDefault="000C2BE6" w:rsidP="00EE7E20">
            <w:pPr>
              <w:rPr>
                <w:rFonts w:ascii="Arial" w:eastAsia="Arial" w:hAnsi="Arial" w:cs="Arial"/>
              </w:rPr>
            </w:pPr>
            <w:r>
              <w:rPr>
                <w:rFonts w:ascii="Arial" w:eastAsia="Arial" w:hAnsi="Arial" w:cs="Arial"/>
              </w:rPr>
              <w:t>Jan 23 for workbook 1</w:t>
            </w:r>
          </w:p>
          <w:p w14:paraId="53E0FB9E" w14:textId="77777777" w:rsidR="000C2BE6" w:rsidRDefault="000C2BE6" w:rsidP="00EE7E20">
            <w:pPr>
              <w:rPr>
                <w:rFonts w:ascii="Arial" w:eastAsia="Arial" w:hAnsi="Arial" w:cs="Arial"/>
              </w:rPr>
            </w:pPr>
          </w:p>
          <w:p w14:paraId="7921B75C" w14:textId="77777777" w:rsidR="000C2BE6" w:rsidRDefault="000C2BE6" w:rsidP="00EE7E20">
            <w:pPr>
              <w:rPr>
                <w:rFonts w:ascii="Arial" w:eastAsia="Arial" w:hAnsi="Arial" w:cs="Arial"/>
              </w:rPr>
            </w:pPr>
            <w:r>
              <w:rPr>
                <w:rFonts w:ascii="Arial" w:eastAsia="Arial" w:hAnsi="Arial" w:cs="Arial"/>
              </w:rPr>
              <w:t>May 23 for workbook 2</w:t>
            </w:r>
          </w:p>
          <w:p w14:paraId="1D8431E5" w14:textId="77777777" w:rsidR="000C2BE6" w:rsidRDefault="000C2BE6" w:rsidP="00EE7E20">
            <w:pPr>
              <w:rPr>
                <w:rFonts w:ascii="Arial" w:eastAsia="Arial" w:hAnsi="Arial" w:cs="Arial"/>
              </w:rPr>
            </w:pPr>
          </w:p>
          <w:p w14:paraId="737AE033" w14:textId="77777777" w:rsidR="000C2BE6" w:rsidRPr="000C72E4" w:rsidRDefault="000C2BE6" w:rsidP="00EE7E20">
            <w:pPr>
              <w:rPr>
                <w:rFonts w:ascii="Arial" w:eastAsia="Arial" w:hAnsi="Arial" w:cs="Arial"/>
              </w:rPr>
            </w:pPr>
            <w:r>
              <w:rPr>
                <w:rFonts w:ascii="Arial" w:eastAsia="Arial" w:hAnsi="Arial" w:cs="Arial"/>
              </w:rPr>
              <w:t>November 23 for dissertation</w:t>
            </w:r>
          </w:p>
        </w:tc>
      </w:tr>
      <w:tr w:rsidR="000C2BE6" w14:paraId="4C93096B" w14:textId="77777777" w:rsidTr="00EE7E20">
        <w:tc>
          <w:tcPr>
            <w:tcW w:w="2254" w:type="dxa"/>
          </w:tcPr>
          <w:p w14:paraId="04FFA9EE" w14:textId="77777777" w:rsidR="000C2BE6" w:rsidRPr="000C72E4" w:rsidRDefault="000C2BE6" w:rsidP="00EE7E20">
            <w:pPr>
              <w:rPr>
                <w:rFonts w:ascii="Arial" w:eastAsia="Arial" w:hAnsi="Arial" w:cs="Arial"/>
              </w:rPr>
            </w:pPr>
          </w:p>
          <w:p w14:paraId="5F26B346" w14:textId="77777777" w:rsidR="000C2BE6" w:rsidRPr="000C72E4" w:rsidRDefault="000C2BE6" w:rsidP="00EE7E20">
            <w:pPr>
              <w:rPr>
                <w:rFonts w:ascii="Arial" w:eastAsia="Arial" w:hAnsi="Arial" w:cs="Arial"/>
              </w:rPr>
            </w:pPr>
            <w:r>
              <w:rPr>
                <w:rFonts w:ascii="Arial" w:eastAsia="Arial" w:hAnsi="Arial" w:cs="Arial"/>
              </w:rPr>
              <w:t xml:space="preserve">Achieve professional Digital Media Investigator accreditation </w:t>
            </w:r>
          </w:p>
          <w:p w14:paraId="6AB87DE3" w14:textId="77777777" w:rsidR="000C2BE6" w:rsidRPr="000C72E4" w:rsidRDefault="000C2BE6" w:rsidP="00EE7E20">
            <w:pPr>
              <w:rPr>
                <w:rFonts w:ascii="Arial" w:eastAsia="Arial" w:hAnsi="Arial" w:cs="Arial"/>
              </w:rPr>
            </w:pPr>
          </w:p>
          <w:p w14:paraId="42C2582A" w14:textId="77777777" w:rsidR="000C2BE6" w:rsidRPr="000C72E4" w:rsidRDefault="000C2BE6" w:rsidP="00EE7E20">
            <w:pPr>
              <w:rPr>
                <w:rFonts w:ascii="Arial" w:eastAsia="Arial" w:hAnsi="Arial" w:cs="Arial"/>
              </w:rPr>
            </w:pPr>
          </w:p>
          <w:p w14:paraId="34BD0FE9" w14:textId="77777777" w:rsidR="000C2BE6" w:rsidRPr="000C72E4" w:rsidRDefault="000C2BE6" w:rsidP="00EE7E20">
            <w:pPr>
              <w:rPr>
                <w:rFonts w:ascii="Arial" w:eastAsia="Arial" w:hAnsi="Arial" w:cs="Arial"/>
              </w:rPr>
            </w:pPr>
          </w:p>
          <w:p w14:paraId="54183084" w14:textId="77777777" w:rsidR="000C2BE6" w:rsidRPr="000C72E4" w:rsidRDefault="000C2BE6" w:rsidP="00EE7E20">
            <w:pPr>
              <w:rPr>
                <w:rFonts w:ascii="Arial" w:eastAsia="Arial" w:hAnsi="Arial" w:cs="Arial"/>
              </w:rPr>
            </w:pPr>
          </w:p>
          <w:p w14:paraId="3F0A0DBF" w14:textId="77777777" w:rsidR="000C2BE6" w:rsidRPr="000C72E4" w:rsidRDefault="000C2BE6" w:rsidP="00EE7E20">
            <w:pPr>
              <w:rPr>
                <w:rFonts w:ascii="Arial" w:eastAsia="Arial" w:hAnsi="Arial" w:cs="Arial"/>
              </w:rPr>
            </w:pPr>
          </w:p>
          <w:p w14:paraId="7FBE3166" w14:textId="77777777" w:rsidR="000C2BE6" w:rsidRPr="000C72E4" w:rsidRDefault="000C2BE6" w:rsidP="00EE7E20">
            <w:pPr>
              <w:rPr>
                <w:rFonts w:ascii="Arial" w:eastAsia="Arial" w:hAnsi="Arial" w:cs="Arial"/>
              </w:rPr>
            </w:pPr>
          </w:p>
        </w:tc>
        <w:tc>
          <w:tcPr>
            <w:tcW w:w="2254" w:type="dxa"/>
          </w:tcPr>
          <w:p w14:paraId="3E7A0E2A" w14:textId="77777777" w:rsidR="000C2BE6" w:rsidRDefault="000C2BE6" w:rsidP="00EE7E20">
            <w:pPr>
              <w:rPr>
                <w:rFonts w:ascii="Arial" w:eastAsia="Arial" w:hAnsi="Arial" w:cs="Arial"/>
              </w:rPr>
            </w:pPr>
          </w:p>
          <w:p w14:paraId="6B7E41B0" w14:textId="77777777" w:rsidR="000C2BE6" w:rsidRDefault="000C2BE6" w:rsidP="00EE7E20">
            <w:pPr>
              <w:rPr>
                <w:rFonts w:ascii="Arial" w:eastAsia="Arial" w:hAnsi="Arial" w:cs="Arial"/>
              </w:rPr>
            </w:pPr>
            <w:r>
              <w:rPr>
                <w:rFonts w:ascii="Arial" w:eastAsia="Arial" w:hAnsi="Arial" w:cs="Arial"/>
              </w:rPr>
              <w:t>Carry out research on current digital topics</w:t>
            </w:r>
          </w:p>
          <w:p w14:paraId="65AAF45F" w14:textId="77777777" w:rsidR="000C2BE6" w:rsidRDefault="000C2BE6" w:rsidP="00EE7E20">
            <w:pPr>
              <w:rPr>
                <w:rFonts w:ascii="Arial" w:eastAsia="Arial" w:hAnsi="Arial" w:cs="Arial"/>
              </w:rPr>
            </w:pPr>
          </w:p>
          <w:p w14:paraId="6A6DCF07" w14:textId="77777777" w:rsidR="000C2BE6" w:rsidRDefault="000C2BE6" w:rsidP="00EE7E20">
            <w:pPr>
              <w:rPr>
                <w:rFonts w:ascii="Arial" w:eastAsia="Arial" w:hAnsi="Arial" w:cs="Arial"/>
              </w:rPr>
            </w:pPr>
            <w:r>
              <w:rPr>
                <w:rFonts w:ascii="Arial" w:eastAsia="Arial" w:hAnsi="Arial" w:cs="Arial"/>
              </w:rPr>
              <w:t>Attend College of Policing CPD events</w:t>
            </w:r>
          </w:p>
          <w:p w14:paraId="11AC3CAD" w14:textId="77777777" w:rsidR="000C2BE6" w:rsidRDefault="000C2BE6" w:rsidP="00EE7E20">
            <w:pPr>
              <w:rPr>
                <w:rFonts w:ascii="Arial" w:eastAsia="Arial" w:hAnsi="Arial" w:cs="Arial"/>
              </w:rPr>
            </w:pPr>
          </w:p>
          <w:p w14:paraId="17A0795D" w14:textId="77777777" w:rsidR="000C2BE6" w:rsidRDefault="000C2BE6" w:rsidP="00EE7E20">
            <w:pPr>
              <w:rPr>
                <w:rFonts w:ascii="Arial" w:eastAsia="Arial" w:hAnsi="Arial" w:cs="Arial"/>
              </w:rPr>
            </w:pPr>
            <w:r>
              <w:rPr>
                <w:rFonts w:ascii="Arial" w:eastAsia="Arial" w:hAnsi="Arial" w:cs="Arial"/>
              </w:rPr>
              <w:t>Complete and submit DMI accreditation portfolio</w:t>
            </w:r>
          </w:p>
          <w:p w14:paraId="025CA753" w14:textId="77777777" w:rsidR="000C2BE6" w:rsidRDefault="000C2BE6" w:rsidP="00EE7E20">
            <w:pPr>
              <w:rPr>
                <w:rFonts w:ascii="Arial" w:eastAsia="Arial" w:hAnsi="Arial" w:cs="Arial"/>
              </w:rPr>
            </w:pPr>
          </w:p>
          <w:p w14:paraId="378BDA05" w14:textId="77777777" w:rsidR="000C2BE6" w:rsidRDefault="000C2BE6" w:rsidP="00EE7E20">
            <w:pPr>
              <w:rPr>
                <w:rFonts w:ascii="Arial" w:eastAsia="Arial" w:hAnsi="Arial" w:cs="Arial"/>
              </w:rPr>
            </w:pPr>
            <w:r>
              <w:rPr>
                <w:rFonts w:ascii="Arial" w:eastAsia="Arial" w:hAnsi="Arial" w:cs="Arial"/>
              </w:rPr>
              <w:t>Remain within digital arena of policing and keep up to date with current and emerging trends</w:t>
            </w:r>
          </w:p>
          <w:p w14:paraId="0B37B482" w14:textId="77777777" w:rsidR="000C2BE6" w:rsidRPr="000C72E4" w:rsidRDefault="000C2BE6" w:rsidP="00EE7E20">
            <w:pPr>
              <w:rPr>
                <w:rFonts w:ascii="Arial" w:eastAsia="Arial" w:hAnsi="Arial" w:cs="Arial"/>
              </w:rPr>
            </w:pPr>
          </w:p>
        </w:tc>
        <w:tc>
          <w:tcPr>
            <w:tcW w:w="2254" w:type="dxa"/>
          </w:tcPr>
          <w:p w14:paraId="73149CAA" w14:textId="77777777" w:rsidR="000C2BE6" w:rsidRDefault="000C2BE6" w:rsidP="00EE7E20">
            <w:pPr>
              <w:rPr>
                <w:rFonts w:ascii="Arial" w:eastAsia="Arial" w:hAnsi="Arial" w:cs="Arial"/>
              </w:rPr>
            </w:pPr>
          </w:p>
          <w:p w14:paraId="78CB23DC" w14:textId="77777777" w:rsidR="000C2BE6" w:rsidRDefault="000C2BE6" w:rsidP="00EE7E20">
            <w:pPr>
              <w:rPr>
                <w:rFonts w:ascii="Arial" w:eastAsia="Arial" w:hAnsi="Arial" w:cs="Arial"/>
              </w:rPr>
            </w:pPr>
            <w:r>
              <w:rPr>
                <w:rFonts w:ascii="Arial" w:eastAsia="Arial" w:hAnsi="Arial" w:cs="Arial"/>
              </w:rPr>
              <w:t>Peers and supervisors within digital department</w:t>
            </w:r>
          </w:p>
          <w:p w14:paraId="242BA3BD" w14:textId="77777777" w:rsidR="000C2BE6" w:rsidRDefault="000C2BE6" w:rsidP="00EE7E20">
            <w:pPr>
              <w:rPr>
                <w:rFonts w:ascii="Arial" w:eastAsia="Arial" w:hAnsi="Arial" w:cs="Arial"/>
              </w:rPr>
            </w:pPr>
          </w:p>
          <w:p w14:paraId="39354408" w14:textId="77777777" w:rsidR="000C2BE6" w:rsidRDefault="000C2BE6" w:rsidP="00EE7E20">
            <w:pPr>
              <w:rPr>
                <w:rFonts w:ascii="Arial" w:eastAsia="Arial" w:hAnsi="Arial" w:cs="Arial"/>
              </w:rPr>
            </w:pPr>
            <w:r>
              <w:rPr>
                <w:rFonts w:ascii="Arial" w:eastAsia="Arial" w:hAnsi="Arial" w:cs="Arial"/>
              </w:rPr>
              <w:t>Subject matter experts within specialist departments</w:t>
            </w:r>
          </w:p>
          <w:p w14:paraId="4B7FAD7D" w14:textId="77777777" w:rsidR="000C2BE6" w:rsidRDefault="000C2BE6" w:rsidP="00EE7E20">
            <w:pPr>
              <w:rPr>
                <w:rFonts w:ascii="Arial" w:eastAsia="Arial" w:hAnsi="Arial" w:cs="Arial"/>
              </w:rPr>
            </w:pPr>
          </w:p>
          <w:p w14:paraId="7C2F724B" w14:textId="77777777" w:rsidR="000C2BE6" w:rsidRDefault="000C2BE6" w:rsidP="00EE7E20">
            <w:pPr>
              <w:rPr>
                <w:rFonts w:ascii="Arial" w:eastAsia="Arial" w:hAnsi="Arial" w:cs="Arial"/>
              </w:rPr>
            </w:pPr>
            <w:r>
              <w:rPr>
                <w:rFonts w:ascii="Arial" w:eastAsia="Arial" w:hAnsi="Arial" w:cs="Arial"/>
              </w:rPr>
              <w:t>College of Policing staff / resources</w:t>
            </w:r>
          </w:p>
          <w:p w14:paraId="434097F0" w14:textId="77777777" w:rsidR="000C2BE6" w:rsidRDefault="000C2BE6" w:rsidP="00EE7E20">
            <w:pPr>
              <w:rPr>
                <w:rFonts w:ascii="Arial" w:eastAsia="Arial" w:hAnsi="Arial" w:cs="Arial"/>
              </w:rPr>
            </w:pPr>
          </w:p>
          <w:p w14:paraId="2011B339" w14:textId="77777777" w:rsidR="000C2BE6" w:rsidRDefault="000C2BE6" w:rsidP="00EE7E20">
            <w:pPr>
              <w:rPr>
                <w:rFonts w:ascii="Arial" w:eastAsia="Arial" w:hAnsi="Arial" w:cs="Arial"/>
              </w:rPr>
            </w:pPr>
          </w:p>
          <w:p w14:paraId="19858486" w14:textId="77777777" w:rsidR="000C2BE6" w:rsidRDefault="000C2BE6" w:rsidP="00EE7E20">
            <w:pPr>
              <w:rPr>
                <w:rFonts w:ascii="Arial" w:eastAsia="Arial" w:hAnsi="Arial" w:cs="Arial"/>
              </w:rPr>
            </w:pPr>
          </w:p>
          <w:p w14:paraId="6CB1D3AA" w14:textId="77777777" w:rsidR="000D7EC3" w:rsidRDefault="000D7EC3" w:rsidP="00EE7E20">
            <w:pPr>
              <w:rPr>
                <w:rFonts w:ascii="Arial" w:eastAsia="Arial" w:hAnsi="Arial" w:cs="Arial"/>
              </w:rPr>
            </w:pPr>
          </w:p>
          <w:p w14:paraId="3AF1D5D7" w14:textId="77777777" w:rsidR="000D7EC3" w:rsidRDefault="000D7EC3" w:rsidP="00EE7E20">
            <w:pPr>
              <w:rPr>
                <w:rFonts w:ascii="Arial" w:eastAsia="Arial" w:hAnsi="Arial" w:cs="Arial"/>
              </w:rPr>
            </w:pPr>
          </w:p>
          <w:p w14:paraId="66D30F9F" w14:textId="77777777" w:rsidR="000D7EC3" w:rsidRDefault="000D7EC3" w:rsidP="00EE7E20">
            <w:pPr>
              <w:rPr>
                <w:rFonts w:ascii="Arial" w:eastAsia="Arial" w:hAnsi="Arial" w:cs="Arial"/>
              </w:rPr>
            </w:pPr>
          </w:p>
          <w:p w14:paraId="29B4B12F" w14:textId="77777777" w:rsidR="000D7EC3" w:rsidRDefault="000D7EC3" w:rsidP="00EE7E20">
            <w:pPr>
              <w:rPr>
                <w:rFonts w:ascii="Arial" w:eastAsia="Arial" w:hAnsi="Arial" w:cs="Arial"/>
              </w:rPr>
            </w:pPr>
          </w:p>
          <w:p w14:paraId="62154DCC" w14:textId="4A0B2C70" w:rsidR="000D7EC3" w:rsidRPr="000C72E4" w:rsidRDefault="000D7EC3" w:rsidP="00EE7E20">
            <w:pPr>
              <w:rPr>
                <w:rFonts w:ascii="Arial" w:eastAsia="Arial" w:hAnsi="Arial" w:cs="Arial"/>
              </w:rPr>
            </w:pPr>
          </w:p>
        </w:tc>
        <w:tc>
          <w:tcPr>
            <w:tcW w:w="2254" w:type="dxa"/>
          </w:tcPr>
          <w:p w14:paraId="66567EDF" w14:textId="77777777" w:rsidR="000C2BE6" w:rsidRDefault="000C2BE6" w:rsidP="00EE7E20">
            <w:pPr>
              <w:rPr>
                <w:rFonts w:ascii="Arial" w:eastAsia="Arial" w:hAnsi="Arial" w:cs="Arial"/>
              </w:rPr>
            </w:pPr>
          </w:p>
          <w:p w14:paraId="1F4E2334" w14:textId="77777777" w:rsidR="000C2BE6" w:rsidRDefault="000C2BE6" w:rsidP="00EE7E20">
            <w:pPr>
              <w:rPr>
                <w:rFonts w:ascii="Arial" w:eastAsia="Arial" w:hAnsi="Arial" w:cs="Arial"/>
              </w:rPr>
            </w:pPr>
            <w:r>
              <w:rPr>
                <w:rFonts w:ascii="Arial" w:eastAsia="Arial" w:hAnsi="Arial" w:cs="Arial"/>
              </w:rPr>
              <w:t>6 months to submit portfolio</w:t>
            </w:r>
          </w:p>
          <w:p w14:paraId="13A954D7" w14:textId="77777777" w:rsidR="000C2BE6" w:rsidRDefault="000C2BE6" w:rsidP="00EE7E20">
            <w:pPr>
              <w:rPr>
                <w:rFonts w:ascii="Arial" w:eastAsia="Arial" w:hAnsi="Arial" w:cs="Arial"/>
              </w:rPr>
            </w:pPr>
          </w:p>
          <w:p w14:paraId="62287280" w14:textId="77777777" w:rsidR="000C2BE6" w:rsidRDefault="000C2BE6" w:rsidP="00EE7E20">
            <w:pPr>
              <w:rPr>
                <w:rFonts w:ascii="Arial" w:eastAsia="Arial" w:hAnsi="Arial" w:cs="Arial"/>
              </w:rPr>
            </w:pPr>
            <w:r>
              <w:rPr>
                <w:rFonts w:ascii="Arial" w:eastAsia="Arial" w:hAnsi="Arial" w:cs="Arial"/>
              </w:rPr>
              <w:t xml:space="preserve">12 months to complete annual CPD </w:t>
            </w:r>
          </w:p>
          <w:p w14:paraId="44BD93C2" w14:textId="77777777" w:rsidR="000C2BE6" w:rsidRDefault="000C2BE6" w:rsidP="00EE7E20">
            <w:pPr>
              <w:rPr>
                <w:rFonts w:ascii="Arial" w:eastAsia="Arial" w:hAnsi="Arial" w:cs="Arial"/>
              </w:rPr>
            </w:pPr>
          </w:p>
          <w:p w14:paraId="37DA4B99" w14:textId="77777777" w:rsidR="000C2BE6" w:rsidRPr="000C72E4" w:rsidRDefault="000C2BE6" w:rsidP="00EE7E20">
            <w:pPr>
              <w:rPr>
                <w:rFonts w:ascii="Arial" w:eastAsia="Arial" w:hAnsi="Arial" w:cs="Arial"/>
              </w:rPr>
            </w:pPr>
            <w:r>
              <w:rPr>
                <w:rFonts w:ascii="Arial" w:eastAsia="Arial" w:hAnsi="Arial" w:cs="Arial"/>
              </w:rPr>
              <w:t>Yearly College of Policing CPD events</w:t>
            </w:r>
          </w:p>
        </w:tc>
      </w:tr>
      <w:tr w:rsidR="000C2BE6" w14:paraId="66732133" w14:textId="77777777" w:rsidTr="00EE7E20">
        <w:tc>
          <w:tcPr>
            <w:tcW w:w="2254" w:type="dxa"/>
          </w:tcPr>
          <w:p w14:paraId="3FDD29BC" w14:textId="77777777" w:rsidR="000C2BE6" w:rsidRPr="000C72E4" w:rsidRDefault="000C2BE6" w:rsidP="00EE7E20">
            <w:pPr>
              <w:rPr>
                <w:rFonts w:ascii="Arial" w:eastAsia="Arial" w:hAnsi="Arial" w:cs="Arial"/>
              </w:rPr>
            </w:pPr>
          </w:p>
          <w:p w14:paraId="2296DF4D" w14:textId="77777777" w:rsidR="000C2BE6" w:rsidRPr="000C72E4" w:rsidRDefault="000C2BE6" w:rsidP="00EE7E20">
            <w:pPr>
              <w:rPr>
                <w:rFonts w:ascii="Arial" w:eastAsia="Arial" w:hAnsi="Arial" w:cs="Arial"/>
              </w:rPr>
            </w:pPr>
            <w:r>
              <w:rPr>
                <w:rFonts w:ascii="Arial" w:eastAsia="Arial" w:hAnsi="Arial" w:cs="Arial"/>
              </w:rPr>
              <w:t xml:space="preserve">Develop skills with Python computer programming language </w:t>
            </w:r>
          </w:p>
          <w:p w14:paraId="110143D3" w14:textId="77777777" w:rsidR="000C2BE6" w:rsidRPr="000C72E4" w:rsidRDefault="000C2BE6" w:rsidP="00EE7E20">
            <w:pPr>
              <w:rPr>
                <w:rFonts w:ascii="Arial" w:eastAsia="Arial" w:hAnsi="Arial" w:cs="Arial"/>
              </w:rPr>
            </w:pPr>
          </w:p>
        </w:tc>
        <w:tc>
          <w:tcPr>
            <w:tcW w:w="2254" w:type="dxa"/>
          </w:tcPr>
          <w:p w14:paraId="7893A7A0" w14:textId="77777777" w:rsidR="000C2BE6" w:rsidRDefault="000C2BE6" w:rsidP="00EE7E20">
            <w:pPr>
              <w:rPr>
                <w:rFonts w:ascii="Arial" w:eastAsia="Arial" w:hAnsi="Arial" w:cs="Arial"/>
              </w:rPr>
            </w:pPr>
          </w:p>
          <w:p w14:paraId="5392AB3F" w14:textId="77777777" w:rsidR="000C2BE6" w:rsidRDefault="000C2BE6" w:rsidP="00EE7E20">
            <w:pPr>
              <w:rPr>
                <w:rFonts w:ascii="Arial" w:eastAsia="Arial" w:hAnsi="Arial" w:cs="Arial"/>
              </w:rPr>
            </w:pPr>
            <w:r>
              <w:rPr>
                <w:rFonts w:ascii="Arial" w:eastAsia="Arial" w:hAnsi="Arial" w:cs="Arial"/>
              </w:rPr>
              <w:t xml:space="preserve">Continue with current program of study </w:t>
            </w:r>
          </w:p>
          <w:p w14:paraId="3CC06F1F" w14:textId="77777777" w:rsidR="000C2BE6" w:rsidRDefault="000C2BE6" w:rsidP="00EE7E20">
            <w:pPr>
              <w:rPr>
                <w:rFonts w:ascii="Arial" w:eastAsia="Arial" w:hAnsi="Arial" w:cs="Arial"/>
              </w:rPr>
            </w:pPr>
          </w:p>
          <w:p w14:paraId="3D73CCEE" w14:textId="77777777" w:rsidR="000C2BE6" w:rsidRDefault="000C2BE6" w:rsidP="00EE7E20">
            <w:pPr>
              <w:rPr>
                <w:rFonts w:ascii="Arial" w:eastAsia="Arial" w:hAnsi="Arial" w:cs="Arial"/>
              </w:rPr>
            </w:pPr>
            <w:r>
              <w:rPr>
                <w:rFonts w:ascii="Arial" w:eastAsia="Arial" w:hAnsi="Arial" w:cs="Arial"/>
              </w:rPr>
              <w:t>Develop and implement programs as required within the Digital Investigation Unit to assist investigations</w:t>
            </w:r>
          </w:p>
          <w:p w14:paraId="1E89AA0B" w14:textId="77777777" w:rsidR="000C2BE6" w:rsidRPr="000C72E4" w:rsidRDefault="000C2BE6" w:rsidP="00EE7E20">
            <w:pPr>
              <w:rPr>
                <w:rFonts w:ascii="Arial" w:eastAsia="Arial" w:hAnsi="Arial" w:cs="Arial"/>
              </w:rPr>
            </w:pPr>
          </w:p>
        </w:tc>
        <w:tc>
          <w:tcPr>
            <w:tcW w:w="2254" w:type="dxa"/>
          </w:tcPr>
          <w:p w14:paraId="224D2AD6" w14:textId="77777777" w:rsidR="000C2BE6" w:rsidRDefault="000C2BE6" w:rsidP="00EE7E20">
            <w:pPr>
              <w:rPr>
                <w:rFonts w:ascii="Arial" w:eastAsia="Arial" w:hAnsi="Arial" w:cs="Arial"/>
              </w:rPr>
            </w:pPr>
          </w:p>
          <w:p w14:paraId="0571081F" w14:textId="77777777" w:rsidR="000C2BE6" w:rsidRDefault="000C2BE6" w:rsidP="00EE7E20">
            <w:pPr>
              <w:rPr>
                <w:rFonts w:ascii="Arial" w:eastAsia="Arial" w:hAnsi="Arial" w:cs="Arial"/>
              </w:rPr>
            </w:pPr>
            <w:r>
              <w:rPr>
                <w:rFonts w:ascii="Arial" w:eastAsia="Arial" w:hAnsi="Arial" w:cs="Arial"/>
              </w:rPr>
              <w:t xml:space="preserve">Current course learning tools, </w:t>
            </w:r>
            <w:proofErr w:type="gramStart"/>
            <w:r>
              <w:rPr>
                <w:rFonts w:ascii="Arial" w:eastAsia="Arial" w:hAnsi="Arial" w:cs="Arial"/>
              </w:rPr>
              <w:t>documentation</w:t>
            </w:r>
            <w:proofErr w:type="gramEnd"/>
            <w:r>
              <w:rPr>
                <w:rFonts w:ascii="Arial" w:eastAsia="Arial" w:hAnsi="Arial" w:cs="Arial"/>
              </w:rPr>
              <w:t xml:space="preserve"> and feedback. </w:t>
            </w:r>
          </w:p>
          <w:p w14:paraId="5C513F76" w14:textId="77777777" w:rsidR="000C2BE6" w:rsidRDefault="000C2BE6" w:rsidP="00EE7E20">
            <w:pPr>
              <w:rPr>
                <w:rFonts w:ascii="Arial" w:eastAsia="Arial" w:hAnsi="Arial" w:cs="Arial"/>
              </w:rPr>
            </w:pPr>
          </w:p>
          <w:p w14:paraId="33FC8688" w14:textId="77777777" w:rsidR="000C2BE6" w:rsidRDefault="000C2BE6" w:rsidP="00EE7E20">
            <w:pPr>
              <w:rPr>
                <w:rFonts w:ascii="Arial" w:eastAsia="Arial" w:hAnsi="Arial" w:cs="Arial"/>
              </w:rPr>
            </w:pPr>
            <w:r>
              <w:rPr>
                <w:rFonts w:ascii="Arial" w:eastAsia="Arial" w:hAnsi="Arial" w:cs="Arial"/>
              </w:rPr>
              <w:t>Official Python documentation</w:t>
            </w:r>
          </w:p>
          <w:p w14:paraId="79C1E220" w14:textId="77777777" w:rsidR="000C2BE6" w:rsidRDefault="000C2BE6" w:rsidP="00EE7E20">
            <w:pPr>
              <w:rPr>
                <w:rFonts w:ascii="Arial" w:eastAsia="Arial" w:hAnsi="Arial" w:cs="Arial"/>
              </w:rPr>
            </w:pPr>
          </w:p>
          <w:p w14:paraId="1E0CD3D9" w14:textId="77777777" w:rsidR="000C2BE6" w:rsidRDefault="000C2BE6" w:rsidP="00EE7E20">
            <w:pPr>
              <w:rPr>
                <w:rFonts w:ascii="Arial" w:eastAsia="Arial" w:hAnsi="Arial" w:cs="Arial"/>
              </w:rPr>
            </w:pPr>
            <w:r>
              <w:rPr>
                <w:rFonts w:ascii="Arial" w:eastAsia="Arial" w:hAnsi="Arial" w:cs="Arial"/>
              </w:rPr>
              <w:t>Online resources / community</w:t>
            </w:r>
          </w:p>
          <w:p w14:paraId="6D27E6CC" w14:textId="77777777" w:rsidR="000C2BE6" w:rsidRPr="000C72E4" w:rsidRDefault="000C2BE6" w:rsidP="00EE7E20">
            <w:pPr>
              <w:rPr>
                <w:rFonts w:ascii="Arial" w:eastAsia="Arial" w:hAnsi="Arial" w:cs="Arial"/>
              </w:rPr>
            </w:pPr>
          </w:p>
        </w:tc>
        <w:tc>
          <w:tcPr>
            <w:tcW w:w="2254" w:type="dxa"/>
          </w:tcPr>
          <w:p w14:paraId="2ECE1E71" w14:textId="77777777" w:rsidR="000C2BE6" w:rsidRDefault="000C2BE6" w:rsidP="00EE7E20">
            <w:pPr>
              <w:rPr>
                <w:rFonts w:ascii="Arial" w:eastAsia="Arial" w:hAnsi="Arial" w:cs="Arial"/>
              </w:rPr>
            </w:pPr>
          </w:p>
          <w:p w14:paraId="3472921E" w14:textId="77777777" w:rsidR="000C2BE6" w:rsidRDefault="000C2BE6" w:rsidP="00EE7E20">
            <w:pPr>
              <w:rPr>
                <w:rFonts w:ascii="Arial" w:eastAsia="Arial" w:hAnsi="Arial" w:cs="Arial"/>
              </w:rPr>
            </w:pPr>
            <w:r>
              <w:rPr>
                <w:rFonts w:ascii="Arial" w:eastAsia="Arial" w:hAnsi="Arial" w:cs="Arial"/>
              </w:rPr>
              <w:t>3 months to implement program within DIU</w:t>
            </w:r>
          </w:p>
          <w:p w14:paraId="2A5C642A" w14:textId="77777777" w:rsidR="000C2BE6" w:rsidRDefault="000C2BE6" w:rsidP="00EE7E20">
            <w:pPr>
              <w:rPr>
                <w:rFonts w:ascii="Arial" w:eastAsia="Arial" w:hAnsi="Arial" w:cs="Arial"/>
              </w:rPr>
            </w:pPr>
          </w:p>
          <w:p w14:paraId="357B5BE0" w14:textId="77777777" w:rsidR="000C2BE6" w:rsidRDefault="000C2BE6" w:rsidP="00EE7E20">
            <w:pPr>
              <w:rPr>
                <w:rFonts w:ascii="Arial" w:eastAsia="Arial" w:hAnsi="Arial" w:cs="Arial"/>
              </w:rPr>
            </w:pPr>
            <w:r>
              <w:rPr>
                <w:rFonts w:ascii="Arial" w:eastAsia="Arial" w:hAnsi="Arial" w:cs="Arial"/>
              </w:rPr>
              <w:t>6 months to complete self-study course</w:t>
            </w:r>
          </w:p>
          <w:p w14:paraId="58807831" w14:textId="77777777" w:rsidR="000C2BE6" w:rsidRDefault="000C2BE6" w:rsidP="00EE7E20">
            <w:pPr>
              <w:rPr>
                <w:rFonts w:ascii="Arial" w:eastAsia="Arial" w:hAnsi="Arial" w:cs="Arial"/>
              </w:rPr>
            </w:pPr>
          </w:p>
          <w:p w14:paraId="538FC525" w14:textId="77777777" w:rsidR="000C2BE6" w:rsidRDefault="000C2BE6" w:rsidP="00EE7E20">
            <w:pPr>
              <w:rPr>
                <w:rFonts w:ascii="Arial" w:eastAsia="Arial" w:hAnsi="Arial" w:cs="Arial"/>
              </w:rPr>
            </w:pPr>
          </w:p>
          <w:p w14:paraId="4D8AF202" w14:textId="77777777" w:rsidR="000C2BE6" w:rsidRPr="000C72E4" w:rsidRDefault="000C2BE6" w:rsidP="00EE7E20">
            <w:pPr>
              <w:rPr>
                <w:rFonts w:ascii="Arial" w:eastAsia="Arial" w:hAnsi="Arial" w:cs="Arial"/>
              </w:rPr>
            </w:pPr>
          </w:p>
        </w:tc>
      </w:tr>
    </w:tbl>
    <w:p w14:paraId="7528882F" w14:textId="24FF6C00" w:rsidR="7336895D" w:rsidRDefault="7336895D" w:rsidP="7336895D">
      <w:pPr>
        <w:rPr>
          <w:rFonts w:ascii="Arial" w:eastAsia="Arial" w:hAnsi="Arial" w:cs="Arial"/>
          <w:b/>
          <w:bCs/>
          <w:sz w:val="28"/>
          <w:szCs w:val="28"/>
        </w:rPr>
      </w:pPr>
    </w:p>
    <w:p w14:paraId="16014C8D" w14:textId="5E8D40E4" w:rsidR="7336895D" w:rsidRDefault="7336895D" w:rsidP="7336895D">
      <w:pPr>
        <w:rPr>
          <w:rFonts w:ascii="Arial" w:eastAsia="Arial" w:hAnsi="Arial" w:cs="Arial"/>
          <w:b/>
          <w:bCs/>
          <w:sz w:val="28"/>
          <w:szCs w:val="28"/>
        </w:rPr>
      </w:pPr>
    </w:p>
    <w:p w14:paraId="053211CB" w14:textId="73134137"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p w14:paraId="3D3A3146" w14:textId="0BB6EFBE"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45AB031" w14:textId="019EEB95" w:rsidR="7336895D" w:rsidRDefault="7336895D" w:rsidP="7336895D">
      <w:pPr>
        <w:spacing w:before="240" w:after="60"/>
        <w:ind w:right="237"/>
        <w:jc w:val="both"/>
        <w:rPr>
          <w:rFonts w:ascii="Arial" w:eastAsia="Arial" w:hAnsi="Arial" w:cs="Arial"/>
          <w:color w:val="000000" w:themeColor="text1"/>
          <w:sz w:val="24"/>
          <w:szCs w:val="24"/>
        </w:rPr>
      </w:pPr>
    </w:p>
    <w:p w14:paraId="105B141E" w14:textId="771B07D7" w:rsidR="2723F8F5" w:rsidRDefault="2723F8F5" w:rsidP="7336895D">
      <w:pPr>
        <w:spacing w:before="240" w:after="60"/>
        <w:ind w:right="23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 xml:space="preserve">Harvard Refencing Guide Link: </w:t>
      </w:r>
    </w:p>
    <w:p w14:paraId="56A8BDE9" w14:textId="220662A3" w:rsidR="2723F8F5" w:rsidRDefault="009D2DAB" w:rsidP="7336895D">
      <w:pPr>
        <w:spacing w:before="240" w:after="60"/>
        <w:ind w:right="237"/>
        <w:jc w:val="both"/>
        <w:rPr>
          <w:rFonts w:ascii="Arial" w:eastAsia="Arial" w:hAnsi="Arial" w:cs="Arial"/>
          <w:sz w:val="24"/>
          <w:szCs w:val="24"/>
        </w:rPr>
      </w:pPr>
      <w:hyperlink r:id="rId9">
        <w:r w:rsidR="2723F8F5" w:rsidRPr="7336895D">
          <w:rPr>
            <w:rStyle w:val="Hyperlink"/>
            <w:rFonts w:ascii="Calibri" w:eastAsia="Calibri" w:hAnsi="Calibri" w:cs="Calibri"/>
            <w:sz w:val="24"/>
            <w:szCs w:val="24"/>
          </w:rPr>
          <w:t>https://moodle.uwtsd.ac.uk/pluginfile.php/324905/mod_resource/content/1/Harvard%20Referencing%20GUide.pdf</w:t>
        </w:r>
      </w:hyperlink>
    </w:p>
    <w:p w14:paraId="14E5F5D8" w14:textId="33C45B11" w:rsidR="7336895D" w:rsidRDefault="7336895D" w:rsidP="7336895D">
      <w:pPr>
        <w:spacing w:before="240" w:after="60"/>
        <w:ind w:right="237"/>
        <w:jc w:val="both"/>
        <w:rPr>
          <w:rFonts w:ascii="Arial" w:eastAsia="Arial" w:hAnsi="Arial" w:cs="Arial"/>
          <w:color w:val="000000" w:themeColor="text1"/>
          <w:sz w:val="24"/>
          <w:szCs w:val="24"/>
        </w:rPr>
      </w:pPr>
    </w:p>
    <w:p w14:paraId="2060306B" w14:textId="167CFB55"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Signed:  </w:t>
      </w:r>
      <w:r w:rsidR="000C2BE6">
        <w:rPr>
          <w:rFonts w:ascii="Arial" w:eastAsia="Arial" w:hAnsi="Arial" w:cs="Arial"/>
          <w:color w:val="000000" w:themeColor="text1"/>
          <w:sz w:val="24"/>
          <w:szCs w:val="24"/>
        </w:rPr>
        <w:t>Sam Phillips</w:t>
      </w:r>
    </w:p>
    <w:p w14:paraId="322F025C" w14:textId="2696901F"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A357483" w14:textId="3AA7CEB7"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Date: </w:t>
      </w:r>
      <w:r w:rsidR="000C2BE6">
        <w:rPr>
          <w:rFonts w:ascii="Arial" w:eastAsia="Arial" w:hAnsi="Arial" w:cs="Arial"/>
          <w:color w:val="000000" w:themeColor="text1"/>
          <w:sz w:val="24"/>
          <w:szCs w:val="24"/>
        </w:rPr>
        <w:t>1</w:t>
      </w:r>
      <w:r w:rsidR="00D4416E">
        <w:rPr>
          <w:rFonts w:ascii="Arial" w:eastAsia="Arial" w:hAnsi="Arial" w:cs="Arial"/>
          <w:color w:val="000000" w:themeColor="text1"/>
          <w:sz w:val="24"/>
          <w:szCs w:val="24"/>
        </w:rPr>
        <w:t>1</w:t>
      </w:r>
      <w:r w:rsidR="000C2BE6" w:rsidRPr="000C2BE6">
        <w:rPr>
          <w:rFonts w:ascii="Arial" w:eastAsia="Arial" w:hAnsi="Arial" w:cs="Arial"/>
          <w:color w:val="000000" w:themeColor="text1"/>
          <w:sz w:val="24"/>
          <w:szCs w:val="24"/>
          <w:vertAlign w:val="superscript"/>
        </w:rPr>
        <w:t>th</w:t>
      </w:r>
      <w:r w:rsidR="000C2BE6">
        <w:rPr>
          <w:rFonts w:ascii="Arial" w:eastAsia="Arial" w:hAnsi="Arial" w:cs="Arial"/>
          <w:color w:val="000000" w:themeColor="text1"/>
          <w:sz w:val="24"/>
          <w:szCs w:val="24"/>
        </w:rPr>
        <w:t xml:space="preserve"> January 2023</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sectPr w:rsidR="7336895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C474D"/>
    <w:multiLevelType w:val="hybridMultilevel"/>
    <w:tmpl w:val="3F3A0D60"/>
    <w:lvl w:ilvl="0" w:tplc="6900916E">
      <w:start w:val="1"/>
      <w:numFmt w:val="bullet"/>
      <w:lvlText w:val="●"/>
      <w:lvlJc w:val="left"/>
      <w:pPr>
        <w:ind w:left="720" w:hanging="360"/>
      </w:pPr>
      <w:rPr>
        <w:rFonts w:ascii="Noto Sans Symbols" w:hAnsi="Noto Sans Symbols" w:hint="default"/>
      </w:rPr>
    </w:lvl>
    <w:lvl w:ilvl="1" w:tplc="8F94BC82">
      <w:start w:val="1"/>
      <w:numFmt w:val="bullet"/>
      <w:lvlText w:val="o"/>
      <w:lvlJc w:val="left"/>
      <w:pPr>
        <w:ind w:left="1440" w:hanging="360"/>
      </w:pPr>
      <w:rPr>
        <w:rFonts w:ascii="Courier New" w:hAnsi="Courier New" w:hint="default"/>
      </w:rPr>
    </w:lvl>
    <w:lvl w:ilvl="2" w:tplc="6860B7B6">
      <w:start w:val="1"/>
      <w:numFmt w:val="bullet"/>
      <w:lvlText w:val=""/>
      <w:lvlJc w:val="left"/>
      <w:pPr>
        <w:ind w:left="2160" w:hanging="360"/>
      </w:pPr>
      <w:rPr>
        <w:rFonts w:ascii="Wingdings" w:hAnsi="Wingdings" w:hint="default"/>
      </w:rPr>
    </w:lvl>
    <w:lvl w:ilvl="3" w:tplc="5CC6AA56">
      <w:start w:val="1"/>
      <w:numFmt w:val="bullet"/>
      <w:lvlText w:val=""/>
      <w:lvlJc w:val="left"/>
      <w:pPr>
        <w:ind w:left="2880" w:hanging="360"/>
      </w:pPr>
      <w:rPr>
        <w:rFonts w:ascii="Symbol" w:hAnsi="Symbol" w:hint="default"/>
      </w:rPr>
    </w:lvl>
    <w:lvl w:ilvl="4" w:tplc="40DC8688">
      <w:start w:val="1"/>
      <w:numFmt w:val="bullet"/>
      <w:lvlText w:val="o"/>
      <w:lvlJc w:val="left"/>
      <w:pPr>
        <w:ind w:left="3600" w:hanging="360"/>
      </w:pPr>
      <w:rPr>
        <w:rFonts w:ascii="Courier New" w:hAnsi="Courier New" w:hint="default"/>
      </w:rPr>
    </w:lvl>
    <w:lvl w:ilvl="5" w:tplc="A3BC0666">
      <w:start w:val="1"/>
      <w:numFmt w:val="bullet"/>
      <w:lvlText w:val=""/>
      <w:lvlJc w:val="left"/>
      <w:pPr>
        <w:ind w:left="4320" w:hanging="360"/>
      </w:pPr>
      <w:rPr>
        <w:rFonts w:ascii="Wingdings" w:hAnsi="Wingdings" w:hint="default"/>
      </w:rPr>
    </w:lvl>
    <w:lvl w:ilvl="6" w:tplc="CE3E9C32">
      <w:start w:val="1"/>
      <w:numFmt w:val="bullet"/>
      <w:lvlText w:val=""/>
      <w:lvlJc w:val="left"/>
      <w:pPr>
        <w:ind w:left="5040" w:hanging="360"/>
      </w:pPr>
      <w:rPr>
        <w:rFonts w:ascii="Symbol" w:hAnsi="Symbol" w:hint="default"/>
      </w:rPr>
    </w:lvl>
    <w:lvl w:ilvl="7" w:tplc="968C17EE">
      <w:start w:val="1"/>
      <w:numFmt w:val="bullet"/>
      <w:lvlText w:val="o"/>
      <w:lvlJc w:val="left"/>
      <w:pPr>
        <w:ind w:left="5760" w:hanging="360"/>
      </w:pPr>
      <w:rPr>
        <w:rFonts w:ascii="Courier New" w:hAnsi="Courier New" w:hint="default"/>
      </w:rPr>
    </w:lvl>
    <w:lvl w:ilvl="8" w:tplc="6E46E2FC">
      <w:start w:val="1"/>
      <w:numFmt w:val="bullet"/>
      <w:lvlText w:val=""/>
      <w:lvlJc w:val="left"/>
      <w:pPr>
        <w:ind w:left="6480" w:hanging="360"/>
      </w:pPr>
      <w:rPr>
        <w:rFonts w:ascii="Wingdings" w:hAnsi="Wingdings" w:hint="default"/>
      </w:rPr>
    </w:lvl>
  </w:abstractNum>
  <w:abstractNum w:abstractNumId="1" w15:restartNumberingAfterBreak="0">
    <w:nsid w:val="36E93842"/>
    <w:multiLevelType w:val="hybridMultilevel"/>
    <w:tmpl w:val="D8468D3E"/>
    <w:lvl w:ilvl="0" w:tplc="0730335A">
      <w:start w:val="1"/>
      <w:numFmt w:val="bullet"/>
      <w:lvlText w:val=""/>
      <w:lvlJc w:val="left"/>
      <w:pPr>
        <w:ind w:left="720" w:hanging="360"/>
      </w:pPr>
      <w:rPr>
        <w:rFonts w:ascii="Symbol" w:hAnsi="Symbol" w:hint="default"/>
      </w:rPr>
    </w:lvl>
    <w:lvl w:ilvl="1" w:tplc="8476351C">
      <w:start w:val="1"/>
      <w:numFmt w:val="bullet"/>
      <w:lvlText w:val="o"/>
      <w:lvlJc w:val="left"/>
      <w:pPr>
        <w:ind w:left="1440" w:hanging="360"/>
      </w:pPr>
      <w:rPr>
        <w:rFonts w:ascii="Courier New" w:hAnsi="Courier New" w:hint="default"/>
      </w:rPr>
    </w:lvl>
    <w:lvl w:ilvl="2" w:tplc="CC0203EA">
      <w:start w:val="1"/>
      <w:numFmt w:val="bullet"/>
      <w:lvlText w:val=""/>
      <w:lvlJc w:val="left"/>
      <w:pPr>
        <w:ind w:left="2160" w:hanging="360"/>
      </w:pPr>
      <w:rPr>
        <w:rFonts w:ascii="Wingdings" w:hAnsi="Wingdings" w:hint="default"/>
      </w:rPr>
    </w:lvl>
    <w:lvl w:ilvl="3" w:tplc="895AA6B8">
      <w:start w:val="1"/>
      <w:numFmt w:val="bullet"/>
      <w:lvlText w:val=""/>
      <w:lvlJc w:val="left"/>
      <w:pPr>
        <w:ind w:left="2880" w:hanging="360"/>
      </w:pPr>
      <w:rPr>
        <w:rFonts w:ascii="Symbol" w:hAnsi="Symbol" w:hint="default"/>
      </w:rPr>
    </w:lvl>
    <w:lvl w:ilvl="4" w:tplc="5DC4B708">
      <w:start w:val="1"/>
      <w:numFmt w:val="bullet"/>
      <w:lvlText w:val="o"/>
      <w:lvlJc w:val="left"/>
      <w:pPr>
        <w:ind w:left="3600" w:hanging="360"/>
      </w:pPr>
      <w:rPr>
        <w:rFonts w:ascii="Courier New" w:hAnsi="Courier New" w:hint="default"/>
      </w:rPr>
    </w:lvl>
    <w:lvl w:ilvl="5" w:tplc="5E50A48C">
      <w:start w:val="1"/>
      <w:numFmt w:val="bullet"/>
      <w:lvlText w:val=""/>
      <w:lvlJc w:val="left"/>
      <w:pPr>
        <w:ind w:left="4320" w:hanging="360"/>
      </w:pPr>
      <w:rPr>
        <w:rFonts w:ascii="Wingdings" w:hAnsi="Wingdings" w:hint="default"/>
      </w:rPr>
    </w:lvl>
    <w:lvl w:ilvl="6" w:tplc="2B6878A6">
      <w:start w:val="1"/>
      <w:numFmt w:val="bullet"/>
      <w:lvlText w:val=""/>
      <w:lvlJc w:val="left"/>
      <w:pPr>
        <w:ind w:left="5040" w:hanging="360"/>
      </w:pPr>
      <w:rPr>
        <w:rFonts w:ascii="Symbol" w:hAnsi="Symbol" w:hint="default"/>
      </w:rPr>
    </w:lvl>
    <w:lvl w:ilvl="7" w:tplc="F766AE88">
      <w:start w:val="1"/>
      <w:numFmt w:val="bullet"/>
      <w:lvlText w:val="o"/>
      <w:lvlJc w:val="left"/>
      <w:pPr>
        <w:ind w:left="5760" w:hanging="360"/>
      </w:pPr>
      <w:rPr>
        <w:rFonts w:ascii="Courier New" w:hAnsi="Courier New" w:hint="default"/>
      </w:rPr>
    </w:lvl>
    <w:lvl w:ilvl="8" w:tplc="3894D136">
      <w:start w:val="1"/>
      <w:numFmt w:val="bullet"/>
      <w:lvlText w:val=""/>
      <w:lvlJc w:val="left"/>
      <w:pPr>
        <w:ind w:left="6480" w:hanging="360"/>
      </w:pPr>
      <w:rPr>
        <w:rFonts w:ascii="Wingdings" w:hAnsi="Wingdings" w:hint="default"/>
      </w:rPr>
    </w:lvl>
  </w:abstractNum>
  <w:abstractNum w:abstractNumId="2" w15:restartNumberingAfterBreak="0">
    <w:nsid w:val="3DDA0AE0"/>
    <w:multiLevelType w:val="hybridMultilevel"/>
    <w:tmpl w:val="E590829A"/>
    <w:lvl w:ilvl="0" w:tplc="D910E9F0">
      <w:start w:val="1"/>
      <w:numFmt w:val="bullet"/>
      <w:lvlText w:val=""/>
      <w:lvlJc w:val="left"/>
      <w:pPr>
        <w:ind w:left="720" w:hanging="360"/>
      </w:pPr>
      <w:rPr>
        <w:rFonts w:ascii="Symbol" w:hAnsi="Symbol" w:hint="default"/>
      </w:rPr>
    </w:lvl>
    <w:lvl w:ilvl="1" w:tplc="4DBEFA0A">
      <w:start w:val="1"/>
      <w:numFmt w:val="bullet"/>
      <w:lvlText w:val="o"/>
      <w:lvlJc w:val="left"/>
      <w:pPr>
        <w:ind w:left="1440" w:hanging="360"/>
      </w:pPr>
      <w:rPr>
        <w:rFonts w:ascii="Courier New" w:hAnsi="Courier New" w:hint="default"/>
      </w:rPr>
    </w:lvl>
    <w:lvl w:ilvl="2" w:tplc="DB88A660">
      <w:start w:val="1"/>
      <w:numFmt w:val="bullet"/>
      <w:lvlText w:val=""/>
      <w:lvlJc w:val="left"/>
      <w:pPr>
        <w:ind w:left="2160" w:hanging="360"/>
      </w:pPr>
      <w:rPr>
        <w:rFonts w:ascii="Wingdings" w:hAnsi="Wingdings" w:hint="default"/>
      </w:rPr>
    </w:lvl>
    <w:lvl w:ilvl="3" w:tplc="4D7CE60A">
      <w:start w:val="1"/>
      <w:numFmt w:val="bullet"/>
      <w:lvlText w:val=""/>
      <w:lvlJc w:val="left"/>
      <w:pPr>
        <w:ind w:left="2880" w:hanging="360"/>
      </w:pPr>
      <w:rPr>
        <w:rFonts w:ascii="Symbol" w:hAnsi="Symbol" w:hint="default"/>
      </w:rPr>
    </w:lvl>
    <w:lvl w:ilvl="4" w:tplc="9580D4AC">
      <w:start w:val="1"/>
      <w:numFmt w:val="bullet"/>
      <w:lvlText w:val="o"/>
      <w:lvlJc w:val="left"/>
      <w:pPr>
        <w:ind w:left="3600" w:hanging="360"/>
      </w:pPr>
      <w:rPr>
        <w:rFonts w:ascii="Courier New" w:hAnsi="Courier New" w:hint="default"/>
      </w:rPr>
    </w:lvl>
    <w:lvl w:ilvl="5" w:tplc="65A60412">
      <w:start w:val="1"/>
      <w:numFmt w:val="bullet"/>
      <w:lvlText w:val=""/>
      <w:lvlJc w:val="left"/>
      <w:pPr>
        <w:ind w:left="4320" w:hanging="360"/>
      </w:pPr>
      <w:rPr>
        <w:rFonts w:ascii="Wingdings" w:hAnsi="Wingdings" w:hint="default"/>
      </w:rPr>
    </w:lvl>
    <w:lvl w:ilvl="6" w:tplc="8E54BA2E">
      <w:start w:val="1"/>
      <w:numFmt w:val="bullet"/>
      <w:lvlText w:val=""/>
      <w:lvlJc w:val="left"/>
      <w:pPr>
        <w:ind w:left="5040" w:hanging="360"/>
      </w:pPr>
      <w:rPr>
        <w:rFonts w:ascii="Symbol" w:hAnsi="Symbol" w:hint="default"/>
      </w:rPr>
    </w:lvl>
    <w:lvl w:ilvl="7" w:tplc="F4C02FFE">
      <w:start w:val="1"/>
      <w:numFmt w:val="bullet"/>
      <w:lvlText w:val="o"/>
      <w:lvlJc w:val="left"/>
      <w:pPr>
        <w:ind w:left="5760" w:hanging="360"/>
      </w:pPr>
      <w:rPr>
        <w:rFonts w:ascii="Courier New" w:hAnsi="Courier New" w:hint="default"/>
      </w:rPr>
    </w:lvl>
    <w:lvl w:ilvl="8" w:tplc="787A5D64">
      <w:start w:val="1"/>
      <w:numFmt w:val="bullet"/>
      <w:lvlText w:val=""/>
      <w:lvlJc w:val="left"/>
      <w:pPr>
        <w:ind w:left="6480" w:hanging="360"/>
      </w:pPr>
      <w:rPr>
        <w:rFonts w:ascii="Wingdings" w:hAnsi="Wingdings" w:hint="default"/>
      </w:rPr>
    </w:lvl>
  </w:abstractNum>
  <w:abstractNum w:abstractNumId="3" w15:restartNumberingAfterBreak="0">
    <w:nsid w:val="5A9147C9"/>
    <w:multiLevelType w:val="hybridMultilevel"/>
    <w:tmpl w:val="59D26AD0"/>
    <w:lvl w:ilvl="0" w:tplc="38D2474E">
      <w:start w:val="1"/>
      <w:numFmt w:val="decimal"/>
      <w:lvlText w:val="%1."/>
      <w:lvlJc w:val="left"/>
      <w:pPr>
        <w:ind w:left="720" w:hanging="360"/>
      </w:pPr>
    </w:lvl>
    <w:lvl w:ilvl="1" w:tplc="EF147FBE">
      <w:start w:val="1"/>
      <w:numFmt w:val="lowerLetter"/>
      <w:lvlText w:val="%2."/>
      <w:lvlJc w:val="left"/>
      <w:pPr>
        <w:ind w:left="1440" w:hanging="360"/>
      </w:pPr>
    </w:lvl>
    <w:lvl w:ilvl="2" w:tplc="FE2EEA00">
      <w:start w:val="1"/>
      <w:numFmt w:val="lowerRoman"/>
      <w:lvlText w:val="%3."/>
      <w:lvlJc w:val="right"/>
      <w:pPr>
        <w:ind w:left="2160" w:hanging="180"/>
      </w:pPr>
    </w:lvl>
    <w:lvl w:ilvl="3" w:tplc="8F7C217C">
      <w:start w:val="1"/>
      <w:numFmt w:val="decimal"/>
      <w:lvlText w:val="%4."/>
      <w:lvlJc w:val="left"/>
      <w:pPr>
        <w:ind w:left="2880" w:hanging="360"/>
      </w:pPr>
    </w:lvl>
    <w:lvl w:ilvl="4" w:tplc="1E248C86">
      <w:start w:val="1"/>
      <w:numFmt w:val="lowerLetter"/>
      <w:lvlText w:val="%5."/>
      <w:lvlJc w:val="left"/>
      <w:pPr>
        <w:ind w:left="3600" w:hanging="360"/>
      </w:pPr>
    </w:lvl>
    <w:lvl w:ilvl="5" w:tplc="962EF5C2">
      <w:start w:val="1"/>
      <w:numFmt w:val="lowerRoman"/>
      <w:lvlText w:val="%6."/>
      <w:lvlJc w:val="right"/>
      <w:pPr>
        <w:ind w:left="4320" w:hanging="180"/>
      </w:pPr>
    </w:lvl>
    <w:lvl w:ilvl="6" w:tplc="B742E032">
      <w:start w:val="1"/>
      <w:numFmt w:val="decimal"/>
      <w:lvlText w:val="%7."/>
      <w:lvlJc w:val="left"/>
      <w:pPr>
        <w:ind w:left="5040" w:hanging="360"/>
      </w:pPr>
    </w:lvl>
    <w:lvl w:ilvl="7" w:tplc="7804D4C8">
      <w:start w:val="1"/>
      <w:numFmt w:val="lowerLetter"/>
      <w:lvlText w:val="%8."/>
      <w:lvlJc w:val="left"/>
      <w:pPr>
        <w:ind w:left="5760" w:hanging="360"/>
      </w:pPr>
    </w:lvl>
    <w:lvl w:ilvl="8" w:tplc="BAC6E064">
      <w:start w:val="1"/>
      <w:numFmt w:val="lowerRoman"/>
      <w:lvlText w:val="%9."/>
      <w:lvlJc w:val="right"/>
      <w:pPr>
        <w:ind w:left="6480" w:hanging="180"/>
      </w:pPr>
    </w:lvl>
  </w:abstractNum>
  <w:abstractNum w:abstractNumId="4" w15:restartNumberingAfterBreak="0">
    <w:nsid w:val="5FA16D43"/>
    <w:multiLevelType w:val="hybridMultilevel"/>
    <w:tmpl w:val="00D8C570"/>
    <w:lvl w:ilvl="0" w:tplc="DF7E6538">
      <w:start w:val="1"/>
      <w:numFmt w:val="bullet"/>
      <w:lvlText w:val=""/>
      <w:lvlJc w:val="left"/>
      <w:pPr>
        <w:ind w:left="720" w:hanging="360"/>
      </w:pPr>
      <w:rPr>
        <w:rFonts w:ascii="Symbol" w:hAnsi="Symbol" w:hint="default"/>
      </w:rPr>
    </w:lvl>
    <w:lvl w:ilvl="1" w:tplc="ABCC20AA">
      <w:start w:val="1"/>
      <w:numFmt w:val="bullet"/>
      <w:lvlText w:val="o"/>
      <w:lvlJc w:val="left"/>
      <w:pPr>
        <w:ind w:left="1440" w:hanging="360"/>
      </w:pPr>
      <w:rPr>
        <w:rFonts w:ascii="Courier New" w:hAnsi="Courier New" w:hint="default"/>
      </w:rPr>
    </w:lvl>
    <w:lvl w:ilvl="2" w:tplc="7F6E30FA">
      <w:start w:val="1"/>
      <w:numFmt w:val="bullet"/>
      <w:lvlText w:val=""/>
      <w:lvlJc w:val="left"/>
      <w:pPr>
        <w:ind w:left="2160" w:hanging="360"/>
      </w:pPr>
      <w:rPr>
        <w:rFonts w:ascii="Wingdings" w:hAnsi="Wingdings" w:hint="default"/>
      </w:rPr>
    </w:lvl>
    <w:lvl w:ilvl="3" w:tplc="535E9418">
      <w:start w:val="1"/>
      <w:numFmt w:val="bullet"/>
      <w:lvlText w:val=""/>
      <w:lvlJc w:val="left"/>
      <w:pPr>
        <w:ind w:left="2880" w:hanging="360"/>
      </w:pPr>
      <w:rPr>
        <w:rFonts w:ascii="Symbol" w:hAnsi="Symbol" w:hint="default"/>
      </w:rPr>
    </w:lvl>
    <w:lvl w:ilvl="4" w:tplc="D8D4C5DC">
      <w:start w:val="1"/>
      <w:numFmt w:val="bullet"/>
      <w:lvlText w:val="o"/>
      <w:lvlJc w:val="left"/>
      <w:pPr>
        <w:ind w:left="3600" w:hanging="360"/>
      </w:pPr>
      <w:rPr>
        <w:rFonts w:ascii="Courier New" w:hAnsi="Courier New" w:hint="default"/>
      </w:rPr>
    </w:lvl>
    <w:lvl w:ilvl="5" w:tplc="2728B63C">
      <w:start w:val="1"/>
      <w:numFmt w:val="bullet"/>
      <w:lvlText w:val=""/>
      <w:lvlJc w:val="left"/>
      <w:pPr>
        <w:ind w:left="4320" w:hanging="360"/>
      </w:pPr>
      <w:rPr>
        <w:rFonts w:ascii="Wingdings" w:hAnsi="Wingdings" w:hint="default"/>
      </w:rPr>
    </w:lvl>
    <w:lvl w:ilvl="6" w:tplc="94E0DDCA">
      <w:start w:val="1"/>
      <w:numFmt w:val="bullet"/>
      <w:lvlText w:val=""/>
      <w:lvlJc w:val="left"/>
      <w:pPr>
        <w:ind w:left="5040" w:hanging="360"/>
      </w:pPr>
      <w:rPr>
        <w:rFonts w:ascii="Symbol" w:hAnsi="Symbol" w:hint="default"/>
      </w:rPr>
    </w:lvl>
    <w:lvl w:ilvl="7" w:tplc="3BA49652">
      <w:start w:val="1"/>
      <w:numFmt w:val="bullet"/>
      <w:lvlText w:val="o"/>
      <w:lvlJc w:val="left"/>
      <w:pPr>
        <w:ind w:left="5760" w:hanging="360"/>
      </w:pPr>
      <w:rPr>
        <w:rFonts w:ascii="Courier New" w:hAnsi="Courier New" w:hint="default"/>
      </w:rPr>
    </w:lvl>
    <w:lvl w:ilvl="8" w:tplc="54467BC8">
      <w:start w:val="1"/>
      <w:numFmt w:val="bullet"/>
      <w:lvlText w:val=""/>
      <w:lvlJc w:val="left"/>
      <w:pPr>
        <w:ind w:left="6480" w:hanging="360"/>
      </w:pPr>
      <w:rPr>
        <w:rFonts w:ascii="Wingdings" w:hAnsi="Wingdings" w:hint="default"/>
      </w:rPr>
    </w:lvl>
  </w:abstractNum>
  <w:abstractNum w:abstractNumId="5" w15:restartNumberingAfterBreak="0">
    <w:nsid w:val="70A54C5A"/>
    <w:multiLevelType w:val="hybridMultilevel"/>
    <w:tmpl w:val="C3867CBC"/>
    <w:lvl w:ilvl="0" w:tplc="D5580AEE">
      <w:start w:val="1"/>
      <w:numFmt w:val="bullet"/>
      <w:lvlText w:val=""/>
      <w:lvlJc w:val="left"/>
      <w:pPr>
        <w:ind w:left="720" w:hanging="360"/>
      </w:pPr>
      <w:rPr>
        <w:rFonts w:ascii="Symbol" w:hAnsi="Symbol" w:hint="default"/>
      </w:rPr>
    </w:lvl>
    <w:lvl w:ilvl="1" w:tplc="A0F0B1B8">
      <w:start w:val="1"/>
      <w:numFmt w:val="bullet"/>
      <w:lvlText w:val="o"/>
      <w:lvlJc w:val="left"/>
      <w:pPr>
        <w:ind w:left="1440" w:hanging="360"/>
      </w:pPr>
      <w:rPr>
        <w:rFonts w:ascii="Courier New" w:hAnsi="Courier New" w:hint="default"/>
      </w:rPr>
    </w:lvl>
    <w:lvl w:ilvl="2" w:tplc="70C24738">
      <w:start w:val="1"/>
      <w:numFmt w:val="bullet"/>
      <w:lvlText w:val=""/>
      <w:lvlJc w:val="left"/>
      <w:pPr>
        <w:ind w:left="2160" w:hanging="360"/>
      </w:pPr>
      <w:rPr>
        <w:rFonts w:ascii="Wingdings" w:hAnsi="Wingdings" w:hint="default"/>
      </w:rPr>
    </w:lvl>
    <w:lvl w:ilvl="3" w:tplc="BBAEB91E">
      <w:start w:val="1"/>
      <w:numFmt w:val="bullet"/>
      <w:lvlText w:val=""/>
      <w:lvlJc w:val="left"/>
      <w:pPr>
        <w:ind w:left="2880" w:hanging="360"/>
      </w:pPr>
      <w:rPr>
        <w:rFonts w:ascii="Symbol" w:hAnsi="Symbol" w:hint="default"/>
      </w:rPr>
    </w:lvl>
    <w:lvl w:ilvl="4" w:tplc="447236A2">
      <w:start w:val="1"/>
      <w:numFmt w:val="bullet"/>
      <w:lvlText w:val="o"/>
      <w:lvlJc w:val="left"/>
      <w:pPr>
        <w:ind w:left="3600" w:hanging="360"/>
      </w:pPr>
      <w:rPr>
        <w:rFonts w:ascii="Courier New" w:hAnsi="Courier New" w:hint="default"/>
      </w:rPr>
    </w:lvl>
    <w:lvl w:ilvl="5" w:tplc="30103B2C">
      <w:start w:val="1"/>
      <w:numFmt w:val="bullet"/>
      <w:lvlText w:val=""/>
      <w:lvlJc w:val="left"/>
      <w:pPr>
        <w:ind w:left="4320" w:hanging="360"/>
      </w:pPr>
      <w:rPr>
        <w:rFonts w:ascii="Wingdings" w:hAnsi="Wingdings" w:hint="default"/>
      </w:rPr>
    </w:lvl>
    <w:lvl w:ilvl="6" w:tplc="5C92A842">
      <w:start w:val="1"/>
      <w:numFmt w:val="bullet"/>
      <w:lvlText w:val=""/>
      <w:lvlJc w:val="left"/>
      <w:pPr>
        <w:ind w:left="5040" w:hanging="360"/>
      </w:pPr>
      <w:rPr>
        <w:rFonts w:ascii="Symbol" w:hAnsi="Symbol" w:hint="default"/>
      </w:rPr>
    </w:lvl>
    <w:lvl w:ilvl="7" w:tplc="8340B898">
      <w:start w:val="1"/>
      <w:numFmt w:val="bullet"/>
      <w:lvlText w:val="o"/>
      <w:lvlJc w:val="left"/>
      <w:pPr>
        <w:ind w:left="5760" w:hanging="360"/>
      </w:pPr>
      <w:rPr>
        <w:rFonts w:ascii="Courier New" w:hAnsi="Courier New" w:hint="default"/>
      </w:rPr>
    </w:lvl>
    <w:lvl w:ilvl="8" w:tplc="11C6331E">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20890"/>
    <w:rsid w:val="000579DA"/>
    <w:rsid w:val="000B430D"/>
    <w:rsid w:val="000C2BE6"/>
    <w:rsid w:val="000C6470"/>
    <w:rsid w:val="000D41ED"/>
    <w:rsid w:val="000D5E13"/>
    <w:rsid w:val="000D7EC3"/>
    <w:rsid w:val="000E7121"/>
    <w:rsid w:val="00124F44"/>
    <w:rsid w:val="00244220"/>
    <w:rsid w:val="002A397F"/>
    <w:rsid w:val="00353FFC"/>
    <w:rsid w:val="0036568B"/>
    <w:rsid w:val="00387F4E"/>
    <w:rsid w:val="0039348E"/>
    <w:rsid w:val="003954F8"/>
    <w:rsid w:val="003E1E11"/>
    <w:rsid w:val="004031F4"/>
    <w:rsid w:val="0040409B"/>
    <w:rsid w:val="00407395"/>
    <w:rsid w:val="00490298"/>
    <w:rsid w:val="004A13FE"/>
    <w:rsid w:val="00507608"/>
    <w:rsid w:val="0051598A"/>
    <w:rsid w:val="00573548"/>
    <w:rsid w:val="00657BDC"/>
    <w:rsid w:val="006B3A09"/>
    <w:rsid w:val="00747EBD"/>
    <w:rsid w:val="0075617F"/>
    <w:rsid w:val="007C223B"/>
    <w:rsid w:val="007D7B9A"/>
    <w:rsid w:val="007F6DC9"/>
    <w:rsid w:val="00822059"/>
    <w:rsid w:val="00873B9A"/>
    <w:rsid w:val="008852B2"/>
    <w:rsid w:val="00995A4E"/>
    <w:rsid w:val="009B1DE4"/>
    <w:rsid w:val="009D2DAB"/>
    <w:rsid w:val="00A64F3C"/>
    <w:rsid w:val="00AA6494"/>
    <w:rsid w:val="00AF3D25"/>
    <w:rsid w:val="00AF7656"/>
    <w:rsid w:val="00B014BA"/>
    <w:rsid w:val="00B75123"/>
    <w:rsid w:val="00B91D4F"/>
    <w:rsid w:val="00BB571B"/>
    <w:rsid w:val="00BC0196"/>
    <w:rsid w:val="00BC4F37"/>
    <w:rsid w:val="00BC64E9"/>
    <w:rsid w:val="00C328EC"/>
    <w:rsid w:val="00CA2519"/>
    <w:rsid w:val="00CF2678"/>
    <w:rsid w:val="00D1779F"/>
    <w:rsid w:val="00D33B65"/>
    <w:rsid w:val="00D4416E"/>
    <w:rsid w:val="00DBC504"/>
    <w:rsid w:val="00E44F1A"/>
    <w:rsid w:val="00E83621"/>
    <w:rsid w:val="00EB31F1"/>
    <w:rsid w:val="00EF0B83"/>
    <w:rsid w:val="00F50090"/>
    <w:rsid w:val="010A2EC9"/>
    <w:rsid w:val="01788E4D"/>
    <w:rsid w:val="01F56996"/>
    <w:rsid w:val="020828E7"/>
    <w:rsid w:val="021C0392"/>
    <w:rsid w:val="029A884A"/>
    <w:rsid w:val="03145EAE"/>
    <w:rsid w:val="035C80A2"/>
    <w:rsid w:val="03CFB59F"/>
    <w:rsid w:val="03DEED5D"/>
    <w:rsid w:val="068F2BD9"/>
    <w:rsid w:val="06BF2D3F"/>
    <w:rsid w:val="0720D680"/>
    <w:rsid w:val="0754D110"/>
    <w:rsid w:val="07BFD4EB"/>
    <w:rsid w:val="08F0A171"/>
    <w:rsid w:val="09920530"/>
    <w:rsid w:val="09D70C1D"/>
    <w:rsid w:val="0A20CBBD"/>
    <w:rsid w:val="0ADE4D50"/>
    <w:rsid w:val="0CAA7532"/>
    <w:rsid w:val="0CC6384A"/>
    <w:rsid w:val="0D2E6EC3"/>
    <w:rsid w:val="0E2F166F"/>
    <w:rsid w:val="0E852BD2"/>
    <w:rsid w:val="0EB86267"/>
    <w:rsid w:val="0ECA3F24"/>
    <w:rsid w:val="0FD6044C"/>
    <w:rsid w:val="1099FD9D"/>
    <w:rsid w:val="11557C5A"/>
    <w:rsid w:val="1166B731"/>
    <w:rsid w:val="11F4D7C9"/>
    <w:rsid w:val="12580390"/>
    <w:rsid w:val="12D31063"/>
    <w:rsid w:val="136336BE"/>
    <w:rsid w:val="1391F65D"/>
    <w:rsid w:val="13D19E5F"/>
    <w:rsid w:val="1427886F"/>
    <w:rsid w:val="1575FD4A"/>
    <w:rsid w:val="15C8E0CE"/>
    <w:rsid w:val="16137958"/>
    <w:rsid w:val="1632D6E4"/>
    <w:rsid w:val="1682318B"/>
    <w:rsid w:val="190EB2C1"/>
    <w:rsid w:val="19BC994A"/>
    <w:rsid w:val="1B605C5A"/>
    <w:rsid w:val="1C69D6CD"/>
    <w:rsid w:val="1C8BC369"/>
    <w:rsid w:val="1D2CF273"/>
    <w:rsid w:val="1D5EC0F7"/>
    <w:rsid w:val="1E17BAB2"/>
    <w:rsid w:val="1EA28BE6"/>
    <w:rsid w:val="1EC2875B"/>
    <w:rsid w:val="1F9D89F6"/>
    <w:rsid w:val="1FD655A8"/>
    <w:rsid w:val="208FB1DC"/>
    <w:rsid w:val="216BA024"/>
    <w:rsid w:val="2195CCF4"/>
    <w:rsid w:val="2253DF4E"/>
    <w:rsid w:val="2292D885"/>
    <w:rsid w:val="2481EFD8"/>
    <w:rsid w:val="2493FC28"/>
    <w:rsid w:val="25EFC57F"/>
    <w:rsid w:val="26368DB1"/>
    <w:rsid w:val="2723F8F5"/>
    <w:rsid w:val="2779F53D"/>
    <w:rsid w:val="279D4FB6"/>
    <w:rsid w:val="28459F50"/>
    <w:rsid w:val="28AD8EB8"/>
    <w:rsid w:val="2950030D"/>
    <w:rsid w:val="29553CDF"/>
    <w:rsid w:val="298DE12D"/>
    <w:rsid w:val="29CBEB27"/>
    <w:rsid w:val="2B733196"/>
    <w:rsid w:val="2BCB5E5C"/>
    <w:rsid w:val="2C28128D"/>
    <w:rsid w:val="2C45DEA6"/>
    <w:rsid w:val="2C4D1CDD"/>
    <w:rsid w:val="2CE767E4"/>
    <w:rsid w:val="2E3E9F63"/>
    <w:rsid w:val="2E8A54E8"/>
    <w:rsid w:val="2E8DAE39"/>
    <w:rsid w:val="2F24BDC2"/>
    <w:rsid w:val="3143E3D6"/>
    <w:rsid w:val="31918534"/>
    <w:rsid w:val="32433627"/>
    <w:rsid w:val="329D81C7"/>
    <w:rsid w:val="32B626E2"/>
    <w:rsid w:val="338C23AF"/>
    <w:rsid w:val="33A65367"/>
    <w:rsid w:val="33DF0688"/>
    <w:rsid w:val="33F0415F"/>
    <w:rsid w:val="3492B5B4"/>
    <w:rsid w:val="34EF825D"/>
    <w:rsid w:val="35783E96"/>
    <w:rsid w:val="35A4A40D"/>
    <w:rsid w:val="35F21EBC"/>
    <w:rsid w:val="37AA7A3A"/>
    <w:rsid w:val="38B277AB"/>
    <w:rsid w:val="38E87FD7"/>
    <w:rsid w:val="38F69CB7"/>
    <w:rsid w:val="38FA1A13"/>
    <w:rsid w:val="396599F7"/>
    <w:rsid w:val="3A1594EB"/>
    <w:rsid w:val="3A235D56"/>
    <w:rsid w:val="3A5EB7B5"/>
    <w:rsid w:val="3AAE5135"/>
    <w:rsid w:val="3B4AC240"/>
    <w:rsid w:val="3B5618C1"/>
    <w:rsid w:val="3BEA186D"/>
    <w:rsid w:val="3C0340CA"/>
    <w:rsid w:val="3C63EFF6"/>
    <w:rsid w:val="3D4D35AD"/>
    <w:rsid w:val="3F4EF0E6"/>
    <w:rsid w:val="402320B6"/>
    <w:rsid w:val="40B4233F"/>
    <w:rsid w:val="40BD8990"/>
    <w:rsid w:val="40C7463B"/>
    <w:rsid w:val="421A6325"/>
    <w:rsid w:val="43587798"/>
    <w:rsid w:val="43AD6644"/>
    <w:rsid w:val="43E7A3B3"/>
    <w:rsid w:val="43EEB2A0"/>
    <w:rsid w:val="43F23A2A"/>
    <w:rsid w:val="4455D97E"/>
    <w:rsid w:val="452F7D3F"/>
    <w:rsid w:val="46EDD448"/>
    <w:rsid w:val="471AB9A3"/>
    <w:rsid w:val="4AF6DABA"/>
    <w:rsid w:val="4B3454EC"/>
    <w:rsid w:val="4C07A238"/>
    <w:rsid w:val="4C6CB4DE"/>
    <w:rsid w:val="4E99B54F"/>
    <w:rsid w:val="4EC54298"/>
    <w:rsid w:val="4EF20836"/>
    <w:rsid w:val="4F12E3F6"/>
    <w:rsid w:val="4F88DCFE"/>
    <w:rsid w:val="51CBC66B"/>
    <w:rsid w:val="523F129B"/>
    <w:rsid w:val="52F08452"/>
    <w:rsid w:val="53CB7794"/>
    <w:rsid w:val="54A7A6DA"/>
    <w:rsid w:val="54F550AF"/>
    <w:rsid w:val="55CF82B9"/>
    <w:rsid w:val="55EF7362"/>
    <w:rsid w:val="56A38832"/>
    <w:rsid w:val="57031856"/>
    <w:rsid w:val="58B537B1"/>
    <w:rsid w:val="5A74F687"/>
    <w:rsid w:val="5B1C7715"/>
    <w:rsid w:val="5B474E5F"/>
    <w:rsid w:val="5C10C6E8"/>
    <w:rsid w:val="5CC03EA5"/>
    <w:rsid w:val="5D0A22F4"/>
    <w:rsid w:val="5E5C055D"/>
    <w:rsid w:val="5FDD7E47"/>
    <w:rsid w:val="60E4380B"/>
    <w:rsid w:val="623E4343"/>
    <w:rsid w:val="63BD137B"/>
    <w:rsid w:val="64699128"/>
    <w:rsid w:val="64DA6BF2"/>
    <w:rsid w:val="6503FA02"/>
    <w:rsid w:val="66056189"/>
    <w:rsid w:val="66671742"/>
    <w:rsid w:val="6711B466"/>
    <w:rsid w:val="674414E8"/>
    <w:rsid w:val="67D6A7C6"/>
    <w:rsid w:val="6AF475AF"/>
    <w:rsid w:val="6B719F15"/>
    <w:rsid w:val="6BBC6C41"/>
    <w:rsid w:val="6CD658C6"/>
    <w:rsid w:val="6D0F0BE7"/>
    <w:rsid w:val="6DFDFD91"/>
    <w:rsid w:val="6E5A9DBE"/>
    <w:rsid w:val="7046ACA9"/>
    <w:rsid w:val="71933142"/>
    <w:rsid w:val="7336895D"/>
    <w:rsid w:val="73697B2C"/>
    <w:rsid w:val="73DEFC97"/>
    <w:rsid w:val="73EE6A45"/>
    <w:rsid w:val="75054B8D"/>
    <w:rsid w:val="759C13E2"/>
    <w:rsid w:val="75B435E3"/>
    <w:rsid w:val="76025CF6"/>
    <w:rsid w:val="764F5F6B"/>
    <w:rsid w:val="76A11BEE"/>
    <w:rsid w:val="76A8678E"/>
    <w:rsid w:val="77169D59"/>
    <w:rsid w:val="7851BE8E"/>
    <w:rsid w:val="78979F44"/>
    <w:rsid w:val="79039CE6"/>
    <w:rsid w:val="79DD1310"/>
    <w:rsid w:val="7A04BE13"/>
    <w:rsid w:val="7B797DAE"/>
    <w:rsid w:val="7B895F50"/>
    <w:rsid w:val="7BEA0E7C"/>
    <w:rsid w:val="7C31C3AD"/>
    <w:rsid w:val="7C975865"/>
    <w:rsid w:val="7CD5E3E9"/>
    <w:rsid w:val="7D3C5ED5"/>
    <w:rsid w:val="7D76FB64"/>
    <w:rsid w:val="7DB115CD"/>
    <w:rsid w:val="7ED0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customStyle="1" w:styleId="Body">
    <w:name w:val="Body"/>
    <w:rsid w:val="000C2BE6"/>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0C2BE6"/>
    <w:rPr>
      <w:sz w:val="16"/>
      <w:szCs w:val="16"/>
    </w:rPr>
  </w:style>
  <w:style w:type="paragraph" w:styleId="CommentText">
    <w:name w:val="annotation text"/>
    <w:basedOn w:val="Normal"/>
    <w:link w:val="CommentTextChar"/>
    <w:uiPriority w:val="99"/>
    <w:unhideWhenUsed/>
    <w:rsid w:val="000C2B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CommentTextChar">
    <w:name w:val="Comment Text Char"/>
    <w:basedOn w:val="DefaultParagraphFont"/>
    <w:link w:val="CommentText"/>
    <w:uiPriority w:val="99"/>
    <w:rsid w:val="000C2BE6"/>
    <w:rPr>
      <w:rFonts w:ascii="Times New Roman" w:eastAsia="Arial Unicode MS" w:hAnsi="Times New Roman" w:cs="Times New Roman"/>
      <w:sz w:val="20"/>
      <w:szCs w:val="20"/>
      <w:bdr w:val="nil"/>
    </w:rPr>
  </w:style>
  <w:style w:type="character" w:styleId="FollowedHyperlink">
    <w:name w:val="FollowedHyperlink"/>
    <w:basedOn w:val="DefaultParagraphFont"/>
    <w:uiPriority w:val="99"/>
    <w:semiHidden/>
    <w:unhideWhenUsed/>
    <w:rsid w:val="00EB31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ym9040049" TargetMode="External"/><Relationship Id="rId3" Type="http://schemas.openxmlformats.org/officeDocument/2006/relationships/settings" Target="settings.xml"/><Relationship Id="rId7" Type="http://schemas.openxmlformats.org/officeDocument/2006/relationships/hyperlink" Target="https://moodle.uwtsd.ac.uk/pluginfile.php/298870/mod_resource/content/1/Reflective%20Practice%20for%20Policing%20Students%20-%20Selina%20Copley%20Chapter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odle.uwtsd.ac.uk/pluginfile.php/324905/mod_resource/content/1/Harvard%20Referencing%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43</Pages>
  <Words>12407</Words>
  <Characters>70723</Characters>
  <Application>Microsoft Office Word</Application>
  <DocSecurity>0</DocSecurity>
  <Lines>589</Lines>
  <Paragraphs>165</Paragraphs>
  <ScaleCrop>false</ScaleCrop>
  <Company/>
  <LinksUpToDate>false</LinksUpToDate>
  <CharactersWithSpaces>82965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Phillips Sam DC 632</cp:lastModifiedBy>
  <cp:revision>67</cp:revision>
  <dcterms:created xsi:type="dcterms:W3CDTF">2021-06-18T06:58:00Z</dcterms:created>
  <dcterms:modified xsi:type="dcterms:W3CDTF">2023-01-12T10:44:00Z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2023-01-12T10:19:25Z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7fa269e2-f750-4c78-ac2a-1a2242bbc51d</vt:lpwstr>
  </property>
  <property fmtid="{D5CDD505-2E9C-101B-9397-08002B2CF9AE}" pid="8" name="MSIP_Label_7beefdff-6834-454f-be00-a68b5bc5f471_ContentBits">
    <vt:lpwstr>0</vt:lpwstr>
  </property>
</Properties>
</file>