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44538" w14:textId="06CB12D1" w:rsidR="00E122F5" w:rsidRPr="0023060C" w:rsidRDefault="00E122F5" w:rsidP="007A52AC">
      <w:pPr>
        <w:pStyle w:val="Heading1"/>
      </w:pPr>
    </w:p>
    <w:p w14:paraId="4AF0534E" w14:textId="77777777" w:rsidR="00E122F5" w:rsidRPr="0023060C" w:rsidRDefault="00E122F5" w:rsidP="0023060C">
      <w:pPr>
        <w:spacing w:line="360" w:lineRule="auto"/>
        <w:jc w:val="both"/>
        <w:rPr>
          <w:rFonts w:ascii="Times New Roman" w:hAnsi="Times New Roman" w:cs="Times New Roman"/>
          <w:b/>
          <w:i/>
          <w:sz w:val="24"/>
          <w:szCs w:val="24"/>
        </w:rPr>
      </w:pPr>
    </w:p>
    <w:p w14:paraId="00B8A8A3" w14:textId="77777777" w:rsidR="00E122F5" w:rsidRPr="0023060C" w:rsidRDefault="00E122F5" w:rsidP="0023060C">
      <w:pPr>
        <w:spacing w:line="360" w:lineRule="auto"/>
        <w:jc w:val="both"/>
        <w:rPr>
          <w:rFonts w:ascii="Times New Roman" w:hAnsi="Times New Roman" w:cs="Times New Roman"/>
          <w:b/>
          <w:i/>
          <w:sz w:val="24"/>
          <w:szCs w:val="24"/>
        </w:rPr>
      </w:pPr>
    </w:p>
    <w:p w14:paraId="49713C2F" w14:textId="77777777" w:rsidR="00235925" w:rsidRDefault="00235925" w:rsidP="00235925">
      <w:pPr>
        <w:spacing w:line="360" w:lineRule="auto"/>
        <w:jc w:val="both"/>
        <w:rPr>
          <w:rFonts w:ascii="Times New Roman" w:hAnsi="Times New Roman" w:cs="Times New Roman"/>
          <w:b/>
          <w:i/>
          <w:sz w:val="36"/>
          <w:szCs w:val="24"/>
        </w:rPr>
      </w:pPr>
      <w:r>
        <w:rPr>
          <w:rFonts w:ascii="Times New Roman" w:hAnsi="Times New Roman" w:cs="Times New Roman"/>
          <w:b/>
          <w:i/>
          <w:sz w:val="36"/>
          <w:szCs w:val="24"/>
        </w:rPr>
        <w:t xml:space="preserve">                        </w:t>
      </w:r>
      <w:r>
        <w:rPr>
          <w:noProof/>
        </w:rPr>
        <w:drawing>
          <wp:inline distT="0" distB="0" distL="0" distR="0" wp14:anchorId="52EB8EFA" wp14:editId="7BF73C62">
            <wp:extent cx="3334106" cy="1181061"/>
            <wp:effectExtent l="0" t="0" r="0" b="0"/>
            <wp:docPr id="1640308470"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308470" name="Picture 1" descr="A close 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5749" cy="1213524"/>
                    </a:xfrm>
                    <a:prstGeom prst="rect">
                      <a:avLst/>
                    </a:prstGeom>
                    <a:noFill/>
                    <a:ln>
                      <a:noFill/>
                    </a:ln>
                  </pic:spPr>
                </pic:pic>
              </a:graphicData>
            </a:graphic>
          </wp:inline>
        </w:drawing>
      </w:r>
    </w:p>
    <w:p w14:paraId="68C55BDC" w14:textId="77777777" w:rsidR="00235925" w:rsidRDefault="00235925" w:rsidP="00235925">
      <w:pPr>
        <w:spacing w:line="360" w:lineRule="auto"/>
        <w:jc w:val="both"/>
        <w:rPr>
          <w:rFonts w:ascii="Times New Roman" w:hAnsi="Times New Roman" w:cs="Times New Roman"/>
          <w:b/>
          <w:i/>
          <w:sz w:val="24"/>
          <w:szCs w:val="24"/>
        </w:rPr>
      </w:pPr>
      <w:r>
        <w:rPr>
          <w:rFonts w:ascii="Times New Roman" w:hAnsi="Times New Roman" w:cs="Times New Roman"/>
          <w:b/>
          <w:i/>
          <w:sz w:val="36"/>
          <w:szCs w:val="24"/>
        </w:rPr>
        <w:t xml:space="preserve">                           </w:t>
      </w:r>
      <w:r w:rsidRPr="00235925">
        <w:rPr>
          <w:rFonts w:ascii="Times New Roman" w:hAnsi="Times New Roman" w:cs="Times New Roman"/>
          <w:b/>
          <w:i/>
          <w:sz w:val="36"/>
          <w:szCs w:val="24"/>
        </w:rPr>
        <w:t>BA in Business Management</w:t>
      </w:r>
      <w:r>
        <w:rPr>
          <w:rFonts w:ascii="Times New Roman" w:hAnsi="Times New Roman" w:cs="Times New Roman"/>
          <w:b/>
          <w:i/>
          <w:sz w:val="24"/>
          <w:szCs w:val="24"/>
        </w:rPr>
        <w:t xml:space="preserve"> </w:t>
      </w:r>
    </w:p>
    <w:p w14:paraId="2125411B" w14:textId="0684E7BE" w:rsidR="004062E2" w:rsidRDefault="00235925" w:rsidP="00235925">
      <w:pPr>
        <w:spacing w:line="360" w:lineRule="auto"/>
        <w:jc w:val="both"/>
        <w:rPr>
          <w:rFonts w:ascii="Times New Roman" w:hAnsi="Times New Roman" w:cs="Times New Roman"/>
          <w:b/>
          <w:i/>
          <w:sz w:val="36"/>
          <w:szCs w:val="24"/>
        </w:rPr>
      </w:pPr>
      <w:r>
        <w:rPr>
          <w:rFonts w:ascii="Times New Roman" w:hAnsi="Times New Roman" w:cs="Times New Roman"/>
          <w:b/>
          <w:i/>
          <w:sz w:val="24"/>
          <w:szCs w:val="24"/>
        </w:rPr>
        <w:t xml:space="preserve">                                        </w:t>
      </w:r>
      <w:r>
        <w:rPr>
          <w:rFonts w:ascii="Times New Roman" w:hAnsi="Times New Roman" w:cs="Times New Roman"/>
          <w:b/>
          <w:i/>
          <w:sz w:val="36"/>
          <w:szCs w:val="24"/>
        </w:rPr>
        <w:t>Module :</w:t>
      </w:r>
      <w:r w:rsidR="00E122F5" w:rsidRPr="007D4134">
        <w:rPr>
          <w:rFonts w:ascii="Times New Roman" w:hAnsi="Times New Roman" w:cs="Times New Roman"/>
          <w:b/>
          <w:i/>
          <w:sz w:val="36"/>
          <w:szCs w:val="24"/>
        </w:rPr>
        <w:t>Project Management</w:t>
      </w:r>
    </w:p>
    <w:p w14:paraId="2A55B1FC" w14:textId="33BB1674" w:rsidR="00235925" w:rsidRPr="007A52AC" w:rsidRDefault="004062E2" w:rsidP="00235925">
      <w:pPr>
        <w:spacing w:line="360" w:lineRule="auto"/>
        <w:jc w:val="both"/>
        <w:rPr>
          <w:rFonts w:ascii="Times New Roman" w:hAnsi="Times New Roman" w:cs="Times New Roman"/>
          <w:b/>
          <w:i/>
          <w:sz w:val="36"/>
          <w:szCs w:val="24"/>
          <w:lang w:val="fr-FR"/>
        </w:rPr>
      </w:pPr>
      <w:r w:rsidRPr="00235925">
        <w:rPr>
          <w:rFonts w:ascii="Times New Roman" w:hAnsi="Times New Roman" w:cs="Times New Roman"/>
          <w:b/>
          <w:i/>
          <w:sz w:val="36"/>
          <w:szCs w:val="24"/>
        </w:rPr>
        <w:t xml:space="preserve">                          </w:t>
      </w:r>
      <w:r w:rsidR="00235925" w:rsidRPr="00235925">
        <w:rPr>
          <w:rFonts w:ascii="Times New Roman" w:hAnsi="Times New Roman" w:cs="Times New Roman"/>
          <w:b/>
          <w:i/>
          <w:sz w:val="36"/>
          <w:szCs w:val="24"/>
          <w:lang w:val="fr-FR"/>
        </w:rPr>
        <w:t>Module code: LCBB5000</w:t>
      </w:r>
      <w:r w:rsidR="00235925">
        <w:rPr>
          <w:rFonts w:ascii="Times New Roman" w:hAnsi="Times New Roman" w:cs="Times New Roman"/>
          <w:b/>
          <w:i/>
          <w:sz w:val="36"/>
          <w:szCs w:val="24"/>
          <w:lang w:val="fr-FR"/>
        </w:rPr>
        <w:t>5</w:t>
      </w:r>
    </w:p>
    <w:p w14:paraId="3499E9A3" w14:textId="08ED0A5E" w:rsidR="00235925" w:rsidRPr="00235925" w:rsidRDefault="00235925" w:rsidP="00235925">
      <w:pPr>
        <w:spacing w:line="360" w:lineRule="auto"/>
        <w:jc w:val="both"/>
        <w:rPr>
          <w:rFonts w:ascii="Times New Roman" w:hAnsi="Times New Roman" w:cs="Times New Roman"/>
          <w:b/>
          <w:i/>
          <w:sz w:val="36"/>
          <w:szCs w:val="24"/>
          <w:lang w:val="fr-FR"/>
        </w:rPr>
      </w:pPr>
      <w:r w:rsidRPr="00235925">
        <w:rPr>
          <w:rFonts w:ascii="Times New Roman" w:hAnsi="Times New Roman" w:cs="Times New Roman"/>
          <w:b/>
          <w:i/>
          <w:sz w:val="36"/>
          <w:szCs w:val="24"/>
          <w:lang w:val="fr-FR"/>
        </w:rPr>
        <w:t xml:space="preserve">                          Lecturier: </w:t>
      </w:r>
      <w:r w:rsidR="00006918" w:rsidRPr="00235925">
        <w:rPr>
          <w:rFonts w:ascii="Times New Roman" w:hAnsi="Times New Roman" w:cs="Times New Roman"/>
          <w:b/>
          <w:i/>
          <w:sz w:val="36"/>
          <w:szCs w:val="24"/>
          <w:lang w:val="fr-FR"/>
        </w:rPr>
        <w:t>Sa</w:t>
      </w:r>
      <w:r w:rsidR="00006918">
        <w:rPr>
          <w:rFonts w:ascii="Times New Roman" w:hAnsi="Times New Roman" w:cs="Times New Roman"/>
          <w:b/>
          <w:i/>
          <w:sz w:val="36"/>
          <w:szCs w:val="24"/>
          <w:lang w:val="fr-FR"/>
        </w:rPr>
        <w:t>dique</w:t>
      </w:r>
      <w:r>
        <w:rPr>
          <w:rFonts w:ascii="Times New Roman" w:hAnsi="Times New Roman" w:cs="Times New Roman"/>
          <w:b/>
          <w:i/>
          <w:sz w:val="36"/>
          <w:szCs w:val="24"/>
          <w:lang w:val="fr-FR"/>
        </w:rPr>
        <w:t xml:space="preserve"> Shaikh</w:t>
      </w:r>
    </w:p>
    <w:p w14:paraId="0FA4EAEF" w14:textId="5898CA50" w:rsidR="00235925" w:rsidRPr="007A52AC" w:rsidRDefault="00235925" w:rsidP="00235925">
      <w:pPr>
        <w:spacing w:line="360" w:lineRule="auto"/>
        <w:jc w:val="both"/>
        <w:rPr>
          <w:rFonts w:ascii="Times New Roman" w:hAnsi="Times New Roman" w:cs="Times New Roman"/>
          <w:b/>
          <w:i/>
          <w:sz w:val="36"/>
          <w:szCs w:val="24"/>
        </w:rPr>
      </w:pPr>
      <w:r w:rsidRPr="00235925">
        <w:rPr>
          <w:rFonts w:ascii="Times New Roman" w:hAnsi="Times New Roman" w:cs="Times New Roman"/>
          <w:b/>
          <w:i/>
          <w:sz w:val="36"/>
          <w:szCs w:val="24"/>
          <w:lang w:val="fr-FR"/>
        </w:rPr>
        <w:t xml:space="preserve">                          </w:t>
      </w:r>
      <w:r w:rsidR="00B519D0" w:rsidRPr="007A52AC">
        <w:rPr>
          <w:rFonts w:ascii="Times New Roman" w:hAnsi="Times New Roman" w:cs="Times New Roman"/>
          <w:b/>
          <w:i/>
          <w:sz w:val="36"/>
          <w:szCs w:val="24"/>
        </w:rPr>
        <w:t>Assignment</w:t>
      </w:r>
      <w:r w:rsidRPr="007A52AC">
        <w:rPr>
          <w:rFonts w:ascii="Times New Roman" w:hAnsi="Times New Roman" w:cs="Times New Roman"/>
          <w:b/>
          <w:i/>
          <w:sz w:val="36"/>
          <w:szCs w:val="24"/>
        </w:rPr>
        <w:t xml:space="preserve"> Title: Component 1: Essay</w:t>
      </w:r>
    </w:p>
    <w:p w14:paraId="44D588B3" w14:textId="77777777" w:rsidR="00235925" w:rsidRPr="00235925" w:rsidRDefault="00235925" w:rsidP="00235925">
      <w:pPr>
        <w:spacing w:line="360" w:lineRule="auto"/>
        <w:jc w:val="both"/>
        <w:rPr>
          <w:rFonts w:ascii="Times New Roman" w:hAnsi="Times New Roman" w:cs="Times New Roman"/>
          <w:b/>
          <w:i/>
          <w:sz w:val="36"/>
          <w:szCs w:val="24"/>
        </w:rPr>
      </w:pPr>
      <w:r w:rsidRPr="007A52AC">
        <w:rPr>
          <w:rFonts w:ascii="Times New Roman" w:hAnsi="Times New Roman" w:cs="Times New Roman"/>
          <w:b/>
          <w:i/>
          <w:sz w:val="36"/>
          <w:szCs w:val="24"/>
        </w:rPr>
        <w:t xml:space="preserve">                          </w:t>
      </w:r>
      <w:r w:rsidRPr="00235925">
        <w:rPr>
          <w:rFonts w:ascii="Times New Roman" w:hAnsi="Times New Roman" w:cs="Times New Roman"/>
          <w:b/>
          <w:i/>
          <w:sz w:val="36"/>
          <w:szCs w:val="24"/>
        </w:rPr>
        <w:t>Student number: 2124368</w:t>
      </w:r>
    </w:p>
    <w:p w14:paraId="40C03A46" w14:textId="02E214D6" w:rsidR="004062E2" w:rsidRPr="004062E2" w:rsidRDefault="00235925" w:rsidP="00235925">
      <w:pPr>
        <w:spacing w:line="360" w:lineRule="auto"/>
        <w:jc w:val="both"/>
        <w:rPr>
          <w:rFonts w:ascii="Times New Roman" w:hAnsi="Times New Roman" w:cs="Times New Roman"/>
          <w:b/>
          <w:i/>
          <w:sz w:val="36"/>
          <w:szCs w:val="24"/>
          <w:lang w:val="it-IT"/>
        </w:rPr>
      </w:pPr>
      <w:r w:rsidRPr="00235925">
        <w:rPr>
          <w:rFonts w:ascii="Times New Roman" w:hAnsi="Times New Roman" w:cs="Times New Roman"/>
          <w:b/>
          <w:i/>
          <w:sz w:val="36"/>
          <w:szCs w:val="24"/>
        </w:rPr>
        <w:t xml:space="preserve">                          </w:t>
      </w:r>
      <w:r w:rsidRPr="00235925">
        <w:rPr>
          <w:rFonts w:ascii="Times New Roman" w:hAnsi="Times New Roman" w:cs="Times New Roman"/>
          <w:b/>
          <w:i/>
          <w:sz w:val="36"/>
          <w:szCs w:val="24"/>
          <w:lang w:val="it-IT"/>
        </w:rPr>
        <w:t>Student name: Daniela Ivanova Krastev</w:t>
      </w:r>
      <w:r>
        <w:rPr>
          <w:rFonts w:ascii="Times New Roman" w:hAnsi="Times New Roman" w:cs="Times New Roman"/>
          <w:b/>
          <w:i/>
          <w:sz w:val="36"/>
          <w:szCs w:val="24"/>
          <w:lang w:val="it-IT"/>
        </w:rPr>
        <w:t>a</w:t>
      </w:r>
    </w:p>
    <w:p w14:paraId="2E96859A" w14:textId="2D3F67D3" w:rsidR="00E122F5" w:rsidRPr="004062E2" w:rsidRDefault="00E122F5" w:rsidP="00235925">
      <w:pPr>
        <w:spacing w:line="360" w:lineRule="auto"/>
        <w:jc w:val="both"/>
        <w:rPr>
          <w:rFonts w:ascii="Times New Roman" w:hAnsi="Times New Roman" w:cs="Times New Roman"/>
          <w:b/>
          <w:i/>
          <w:sz w:val="36"/>
          <w:szCs w:val="24"/>
          <w:lang w:val="it-IT"/>
        </w:rPr>
      </w:pPr>
      <w:r w:rsidRPr="004062E2">
        <w:rPr>
          <w:rFonts w:ascii="Times New Roman" w:hAnsi="Times New Roman" w:cs="Times New Roman"/>
          <w:b/>
          <w:i/>
          <w:sz w:val="36"/>
          <w:szCs w:val="24"/>
          <w:lang w:val="it-IT"/>
        </w:rPr>
        <w:br w:type="page"/>
      </w:r>
    </w:p>
    <w:sdt>
      <w:sdtPr>
        <w:rPr>
          <w:rFonts w:ascii="Times New Roman" w:eastAsiaTheme="minorHAnsi" w:hAnsi="Times New Roman" w:cs="Times New Roman"/>
          <w:b w:val="0"/>
          <w:bCs w:val="0"/>
          <w:color w:val="auto"/>
          <w:sz w:val="24"/>
          <w:szCs w:val="24"/>
          <w:lang w:val="en-GB"/>
        </w:rPr>
        <w:id w:val="2249504"/>
        <w:docPartObj>
          <w:docPartGallery w:val="Table of Contents"/>
          <w:docPartUnique/>
        </w:docPartObj>
      </w:sdtPr>
      <w:sdtContent>
        <w:p w14:paraId="5F90430E" w14:textId="77777777" w:rsidR="00E122F5" w:rsidRPr="0023060C" w:rsidRDefault="00E122F5" w:rsidP="0023060C">
          <w:pPr>
            <w:pStyle w:val="TOCHeading"/>
            <w:spacing w:line="360" w:lineRule="auto"/>
            <w:jc w:val="both"/>
            <w:rPr>
              <w:rFonts w:ascii="Times New Roman" w:hAnsi="Times New Roman" w:cs="Times New Roman"/>
              <w:color w:val="auto"/>
              <w:sz w:val="24"/>
              <w:szCs w:val="24"/>
              <w:lang w:val="en-GB"/>
            </w:rPr>
          </w:pPr>
          <w:r w:rsidRPr="0023060C">
            <w:rPr>
              <w:rFonts w:ascii="Times New Roman" w:hAnsi="Times New Roman" w:cs="Times New Roman"/>
              <w:color w:val="auto"/>
              <w:sz w:val="24"/>
              <w:szCs w:val="24"/>
              <w:lang w:val="en-GB"/>
            </w:rPr>
            <w:t>Table of Contents</w:t>
          </w:r>
        </w:p>
        <w:p w14:paraId="3C694F52" w14:textId="77777777" w:rsidR="0023060C" w:rsidRPr="0023060C" w:rsidRDefault="001A131B" w:rsidP="0023060C">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23060C">
            <w:rPr>
              <w:rFonts w:ascii="Times New Roman" w:hAnsi="Times New Roman" w:cs="Times New Roman"/>
              <w:sz w:val="24"/>
              <w:szCs w:val="24"/>
            </w:rPr>
            <w:fldChar w:fldCharType="begin"/>
          </w:r>
          <w:r w:rsidR="00E122F5" w:rsidRPr="0023060C">
            <w:rPr>
              <w:rFonts w:ascii="Times New Roman" w:hAnsi="Times New Roman" w:cs="Times New Roman"/>
              <w:sz w:val="24"/>
              <w:szCs w:val="24"/>
            </w:rPr>
            <w:instrText xml:space="preserve"> TOC \o "1-3" \h \z \u </w:instrText>
          </w:r>
          <w:r w:rsidRPr="0023060C">
            <w:rPr>
              <w:rFonts w:ascii="Times New Roman" w:hAnsi="Times New Roman" w:cs="Times New Roman"/>
              <w:sz w:val="24"/>
              <w:szCs w:val="24"/>
            </w:rPr>
            <w:fldChar w:fldCharType="separate"/>
          </w:r>
          <w:hyperlink w:anchor="_Toc150520680" w:history="1">
            <w:r w:rsidR="0023060C" w:rsidRPr="0023060C">
              <w:rPr>
                <w:rStyle w:val="Hyperlink"/>
                <w:rFonts w:ascii="Times New Roman" w:hAnsi="Times New Roman" w:cs="Times New Roman"/>
                <w:noProof/>
                <w:color w:val="auto"/>
                <w:sz w:val="24"/>
                <w:szCs w:val="24"/>
              </w:rPr>
              <w:t>Introduction</w:t>
            </w:r>
            <w:r w:rsidR="0023060C" w:rsidRPr="0023060C">
              <w:rPr>
                <w:rFonts w:ascii="Times New Roman" w:hAnsi="Times New Roman" w:cs="Times New Roman"/>
                <w:noProof/>
                <w:webHidden/>
                <w:sz w:val="24"/>
                <w:szCs w:val="24"/>
              </w:rPr>
              <w:tab/>
            </w:r>
            <w:r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_Toc150520680 \h </w:instrText>
            </w:r>
            <w:r w:rsidRPr="0023060C">
              <w:rPr>
                <w:rFonts w:ascii="Times New Roman" w:hAnsi="Times New Roman" w:cs="Times New Roman"/>
                <w:noProof/>
                <w:webHidden/>
                <w:sz w:val="24"/>
                <w:szCs w:val="24"/>
              </w:rPr>
            </w:r>
            <w:r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3</w:t>
            </w:r>
            <w:r w:rsidRPr="0023060C">
              <w:rPr>
                <w:rFonts w:ascii="Times New Roman" w:hAnsi="Times New Roman" w:cs="Times New Roman"/>
                <w:noProof/>
                <w:webHidden/>
                <w:sz w:val="24"/>
                <w:szCs w:val="24"/>
              </w:rPr>
              <w:fldChar w:fldCharType="end"/>
            </w:r>
          </w:hyperlink>
        </w:p>
        <w:p w14:paraId="2F14D176" w14:textId="77777777" w:rsidR="0023060C" w:rsidRPr="0023060C" w:rsidRDefault="00000000" w:rsidP="0023060C">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520681" w:history="1">
            <w:r w:rsidR="0023060C" w:rsidRPr="0023060C">
              <w:rPr>
                <w:rStyle w:val="Hyperlink"/>
                <w:rFonts w:ascii="Times New Roman" w:hAnsi="Times New Roman" w:cs="Times New Roman"/>
                <w:noProof/>
                <w:color w:val="auto"/>
                <w:sz w:val="24"/>
                <w:szCs w:val="24"/>
              </w:rPr>
              <w:t>Main body</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_Toc150520681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4</w:t>
            </w:r>
            <w:r w:rsidR="001A131B" w:rsidRPr="0023060C">
              <w:rPr>
                <w:rFonts w:ascii="Times New Roman" w:hAnsi="Times New Roman" w:cs="Times New Roman"/>
                <w:noProof/>
                <w:webHidden/>
                <w:sz w:val="24"/>
                <w:szCs w:val="24"/>
              </w:rPr>
              <w:fldChar w:fldCharType="end"/>
            </w:r>
          </w:hyperlink>
        </w:p>
        <w:p w14:paraId="4CB45915"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2" w:history="1">
            <w:r w:rsidR="0023060C" w:rsidRPr="0023060C">
              <w:rPr>
                <w:rStyle w:val="Hyperlink"/>
                <w:rFonts w:ascii="Times New Roman" w:hAnsi="Times New Roman" w:cs="Times New Roman"/>
                <w:noProof/>
                <w:color w:val="auto"/>
                <w:sz w:val="24"/>
                <w:szCs w:val="24"/>
              </w:rPr>
              <w:t>1. Integration Strategies: Key Considerations</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_Toc150520682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4</w:t>
            </w:r>
            <w:r w:rsidR="001A131B" w:rsidRPr="0023060C">
              <w:rPr>
                <w:rFonts w:ascii="Times New Roman" w:hAnsi="Times New Roman" w:cs="Times New Roman"/>
                <w:noProof/>
                <w:webHidden/>
                <w:sz w:val="24"/>
                <w:szCs w:val="24"/>
              </w:rPr>
              <w:fldChar w:fldCharType="end"/>
            </w:r>
          </w:hyperlink>
        </w:p>
        <w:p w14:paraId="3DCA63D4"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3" w:history="1">
            <w:r w:rsidR="0023060C" w:rsidRPr="0023060C">
              <w:rPr>
                <w:rStyle w:val="Hyperlink"/>
                <w:rFonts w:ascii="Times New Roman" w:hAnsi="Times New Roman" w:cs="Times New Roman"/>
                <w:noProof/>
                <w:color w:val="auto"/>
                <w:sz w:val="24"/>
                <w:szCs w:val="24"/>
              </w:rPr>
              <w:t>2. Scope</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_Toc150520683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4</w:t>
            </w:r>
            <w:r w:rsidR="001A131B" w:rsidRPr="0023060C">
              <w:rPr>
                <w:rFonts w:ascii="Times New Roman" w:hAnsi="Times New Roman" w:cs="Times New Roman"/>
                <w:noProof/>
                <w:webHidden/>
                <w:sz w:val="24"/>
                <w:szCs w:val="24"/>
              </w:rPr>
              <w:fldChar w:fldCharType="end"/>
            </w:r>
          </w:hyperlink>
        </w:p>
        <w:p w14:paraId="186496C2"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4" w:history="1">
            <w:r w:rsidR="0023060C" w:rsidRPr="0023060C">
              <w:rPr>
                <w:rStyle w:val="Hyperlink"/>
                <w:rFonts w:ascii="Times New Roman" w:hAnsi="Times New Roman" w:cs="Times New Roman"/>
                <w:noProof/>
                <w:color w:val="auto"/>
                <w:sz w:val="24"/>
                <w:szCs w:val="24"/>
              </w:rPr>
              <w:t>3. Schedule</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_Toc150520684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5</w:t>
            </w:r>
            <w:r w:rsidR="001A131B" w:rsidRPr="0023060C">
              <w:rPr>
                <w:rFonts w:ascii="Times New Roman" w:hAnsi="Times New Roman" w:cs="Times New Roman"/>
                <w:noProof/>
                <w:webHidden/>
                <w:sz w:val="24"/>
                <w:szCs w:val="24"/>
              </w:rPr>
              <w:fldChar w:fldCharType="end"/>
            </w:r>
          </w:hyperlink>
        </w:p>
        <w:p w14:paraId="65F842AD"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5" w:history="1">
            <w:r w:rsidR="0023060C" w:rsidRPr="0023060C">
              <w:rPr>
                <w:rStyle w:val="Hyperlink"/>
                <w:rFonts w:ascii="Times New Roman" w:hAnsi="Times New Roman" w:cs="Times New Roman"/>
                <w:noProof/>
                <w:color w:val="auto"/>
                <w:sz w:val="24"/>
                <w:szCs w:val="24"/>
              </w:rPr>
              <w:t>4. Cost</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_Toc150520685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7</w:t>
            </w:r>
            <w:r w:rsidR="001A131B" w:rsidRPr="0023060C">
              <w:rPr>
                <w:rFonts w:ascii="Times New Roman" w:hAnsi="Times New Roman" w:cs="Times New Roman"/>
                <w:noProof/>
                <w:webHidden/>
                <w:sz w:val="24"/>
                <w:szCs w:val="24"/>
              </w:rPr>
              <w:fldChar w:fldCharType="end"/>
            </w:r>
          </w:hyperlink>
        </w:p>
        <w:p w14:paraId="0022DB84"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6" w:history="1">
            <w:r w:rsidR="0023060C" w:rsidRPr="0023060C">
              <w:rPr>
                <w:rStyle w:val="Hyperlink"/>
                <w:rFonts w:ascii="Times New Roman" w:hAnsi="Times New Roman" w:cs="Times New Roman"/>
                <w:noProof/>
                <w:color w:val="auto"/>
                <w:sz w:val="24"/>
                <w:szCs w:val="24"/>
              </w:rPr>
              <w:t>5. Quality</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_Toc150520686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7</w:t>
            </w:r>
            <w:r w:rsidR="001A131B" w:rsidRPr="0023060C">
              <w:rPr>
                <w:rFonts w:ascii="Times New Roman" w:hAnsi="Times New Roman" w:cs="Times New Roman"/>
                <w:noProof/>
                <w:webHidden/>
                <w:sz w:val="24"/>
                <w:szCs w:val="24"/>
              </w:rPr>
              <w:fldChar w:fldCharType="end"/>
            </w:r>
          </w:hyperlink>
        </w:p>
        <w:p w14:paraId="544C034F"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7" w:history="1">
            <w:r w:rsidR="0023060C" w:rsidRPr="0023060C">
              <w:rPr>
                <w:rStyle w:val="Hyperlink"/>
                <w:rFonts w:ascii="Times New Roman" w:hAnsi="Times New Roman" w:cs="Times New Roman"/>
                <w:noProof/>
                <w:color w:val="auto"/>
                <w:sz w:val="24"/>
                <w:szCs w:val="24"/>
              </w:rPr>
              <w:t>6. Human Resources</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_Toc150520687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8</w:t>
            </w:r>
            <w:r w:rsidR="001A131B" w:rsidRPr="0023060C">
              <w:rPr>
                <w:rFonts w:ascii="Times New Roman" w:hAnsi="Times New Roman" w:cs="Times New Roman"/>
                <w:noProof/>
                <w:webHidden/>
                <w:sz w:val="24"/>
                <w:szCs w:val="24"/>
              </w:rPr>
              <w:fldChar w:fldCharType="end"/>
            </w:r>
          </w:hyperlink>
        </w:p>
        <w:p w14:paraId="0327DBED"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8" w:history="1">
            <w:r w:rsidR="0023060C" w:rsidRPr="0023060C">
              <w:rPr>
                <w:rStyle w:val="Hyperlink"/>
                <w:rFonts w:ascii="Times New Roman" w:hAnsi="Times New Roman" w:cs="Times New Roman"/>
                <w:noProof/>
                <w:color w:val="auto"/>
                <w:sz w:val="24"/>
                <w:szCs w:val="24"/>
              </w:rPr>
              <w:t>7. Communication Strategy: Key Elements</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_Toc150520688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9</w:t>
            </w:r>
            <w:r w:rsidR="001A131B" w:rsidRPr="0023060C">
              <w:rPr>
                <w:rFonts w:ascii="Times New Roman" w:hAnsi="Times New Roman" w:cs="Times New Roman"/>
                <w:noProof/>
                <w:webHidden/>
                <w:sz w:val="24"/>
                <w:szCs w:val="24"/>
              </w:rPr>
              <w:fldChar w:fldCharType="end"/>
            </w:r>
          </w:hyperlink>
        </w:p>
        <w:p w14:paraId="2B2CB604"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89" w:history="1">
            <w:r w:rsidR="0023060C" w:rsidRPr="0023060C">
              <w:rPr>
                <w:rStyle w:val="Hyperlink"/>
                <w:rFonts w:ascii="Times New Roman" w:hAnsi="Times New Roman" w:cs="Times New Roman"/>
                <w:noProof/>
                <w:color w:val="auto"/>
                <w:sz w:val="24"/>
                <w:szCs w:val="24"/>
              </w:rPr>
              <w:t>8. Risk</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_Toc150520689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10</w:t>
            </w:r>
            <w:r w:rsidR="001A131B" w:rsidRPr="0023060C">
              <w:rPr>
                <w:rFonts w:ascii="Times New Roman" w:hAnsi="Times New Roman" w:cs="Times New Roman"/>
                <w:noProof/>
                <w:webHidden/>
                <w:sz w:val="24"/>
                <w:szCs w:val="24"/>
              </w:rPr>
              <w:fldChar w:fldCharType="end"/>
            </w:r>
          </w:hyperlink>
        </w:p>
        <w:p w14:paraId="6D4F83A8"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90" w:history="1">
            <w:r w:rsidR="0023060C" w:rsidRPr="0023060C">
              <w:rPr>
                <w:rStyle w:val="Hyperlink"/>
                <w:rFonts w:ascii="Times New Roman" w:hAnsi="Times New Roman" w:cs="Times New Roman"/>
                <w:noProof/>
                <w:color w:val="auto"/>
                <w:sz w:val="24"/>
                <w:szCs w:val="24"/>
              </w:rPr>
              <w:t>9. Procurement</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_Toc150520690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11</w:t>
            </w:r>
            <w:r w:rsidR="001A131B" w:rsidRPr="0023060C">
              <w:rPr>
                <w:rFonts w:ascii="Times New Roman" w:hAnsi="Times New Roman" w:cs="Times New Roman"/>
                <w:noProof/>
                <w:webHidden/>
                <w:sz w:val="24"/>
                <w:szCs w:val="24"/>
              </w:rPr>
              <w:fldChar w:fldCharType="end"/>
            </w:r>
          </w:hyperlink>
        </w:p>
        <w:p w14:paraId="1E7AAA76" w14:textId="77777777" w:rsidR="0023060C" w:rsidRPr="0023060C" w:rsidRDefault="00000000" w:rsidP="0023060C">
          <w:pPr>
            <w:pStyle w:val="TOC2"/>
            <w:tabs>
              <w:tab w:val="right" w:leader="dot" w:pos="9350"/>
            </w:tabs>
            <w:spacing w:line="360" w:lineRule="auto"/>
            <w:jc w:val="both"/>
            <w:rPr>
              <w:rFonts w:ascii="Times New Roman" w:hAnsi="Times New Roman" w:cs="Times New Roman"/>
              <w:noProof/>
              <w:sz w:val="24"/>
              <w:szCs w:val="24"/>
            </w:rPr>
          </w:pPr>
          <w:hyperlink w:anchor="_Toc150520691" w:history="1">
            <w:r w:rsidR="0023060C" w:rsidRPr="0023060C">
              <w:rPr>
                <w:rStyle w:val="Hyperlink"/>
                <w:rFonts w:ascii="Times New Roman" w:hAnsi="Times New Roman" w:cs="Times New Roman"/>
                <w:noProof/>
                <w:color w:val="auto"/>
                <w:sz w:val="24"/>
                <w:szCs w:val="24"/>
              </w:rPr>
              <w:t>10. Stakeholder</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_Toc150520691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12</w:t>
            </w:r>
            <w:r w:rsidR="001A131B" w:rsidRPr="0023060C">
              <w:rPr>
                <w:rFonts w:ascii="Times New Roman" w:hAnsi="Times New Roman" w:cs="Times New Roman"/>
                <w:noProof/>
                <w:webHidden/>
                <w:sz w:val="24"/>
                <w:szCs w:val="24"/>
              </w:rPr>
              <w:fldChar w:fldCharType="end"/>
            </w:r>
          </w:hyperlink>
        </w:p>
        <w:p w14:paraId="62EA3008" w14:textId="77777777" w:rsidR="0023060C" w:rsidRPr="0023060C" w:rsidRDefault="00000000" w:rsidP="0023060C">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520692" w:history="1">
            <w:r w:rsidR="0023060C" w:rsidRPr="0023060C">
              <w:rPr>
                <w:rStyle w:val="Hyperlink"/>
                <w:rFonts w:ascii="Times New Roman" w:hAnsi="Times New Roman" w:cs="Times New Roman"/>
                <w:noProof/>
                <w:color w:val="auto"/>
                <w:sz w:val="24"/>
                <w:szCs w:val="24"/>
              </w:rPr>
              <w:t>Conclusion</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_Toc150520692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13</w:t>
            </w:r>
            <w:r w:rsidR="001A131B" w:rsidRPr="0023060C">
              <w:rPr>
                <w:rFonts w:ascii="Times New Roman" w:hAnsi="Times New Roman" w:cs="Times New Roman"/>
                <w:noProof/>
                <w:webHidden/>
                <w:sz w:val="24"/>
                <w:szCs w:val="24"/>
              </w:rPr>
              <w:fldChar w:fldCharType="end"/>
            </w:r>
          </w:hyperlink>
        </w:p>
        <w:p w14:paraId="4D418177" w14:textId="77777777" w:rsidR="0023060C" w:rsidRPr="0023060C" w:rsidRDefault="00000000" w:rsidP="0023060C">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0520693" w:history="1">
            <w:r w:rsidR="0023060C" w:rsidRPr="0023060C">
              <w:rPr>
                <w:rStyle w:val="Hyperlink"/>
                <w:rFonts w:ascii="Times New Roman" w:hAnsi="Times New Roman" w:cs="Times New Roman"/>
                <w:noProof/>
                <w:color w:val="auto"/>
                <w:sz w:val="24"/>
                <w:szCs w:val="24"/>
              </w:rPr>
              <w:t>References</w:t>
            </w:r>
            <w:r w:rsidR="0023060C" w:rsidRPr="0023060C">
              <w:rPr>
                <w:rFonts w:ascii="Times New Roman" w:hAnsi="Times New Roman" w:cs="Times New Roman"/>
                <w:noProof/>
                <w:webHidden/>
                <w:sz w:val="24"/>
                <w:szCs w:val="24"/>
              </w:rPr>
              <w:tab/>
            </w:r>
            <w:r w:rsidR="001A131B" w:rsidRPr="0023060C">
              <w:rPr>
                <w:rFonts w:ascii="Times New Roman" w:hAnsi="Times New Roman" w:cs="Times New Roman"/>
                <w:noProof/>
                <w:webHidden/>
                <w:sz w:val="24"/>
                <w:szCs w:val="24"/>
              </w:rPr>
              <w:fldChar w:fldCharType="begin"/>
            </w:r>
            <w:r w:rsidR="0023060C" w:rsidRPr="0023060C">
              <w:rPr>
                <w:rFonts w:ascii="Times New Roman" w:hAnsi="Times New Roman" w:cs="Times New Roman"/>
                <w:noProof/>
                <w:webHidden/>
                <w:sz w:val="24"/>
                <w:szCs w:val="24"/>
              </w:rPr>
              <w:instrText xml:space="preserve"> PAGEREF _Toc150520693 \h </w:instrText>
            </w:r>
            <w:r w:rsidR="001A131B" w:rsidRPr="0023060C">
              <w:rPr>
                <w:rFonts w:ascii="Times New Roman" w:hAnsi="Times New Roman" w:cs="Times New Roman"/>
                <w:noProof/>
                <w:webHidden/>
                <w:sz w:val="24"/>
                <w:szCs w:val="24"/>
              </w:rPr>
            </w:r>
            <w:r w:rsidR="001A131B" w:rsidRPr="0023060C">
              <w:rPr>
                <w:rFonts w:ascii="Times New Roman" w:hAnsi="Times New Roman" w:cs="Times New Roman"/>
                <w:noProof/>
                <w:webHidden/>
                <w:sz w:val="24"/>
                <w:szCs w:val="24"/>
              </w:rPr>
              <w:fldChar w:fldCharType="separate"/>
            </w:r>
            <w:r w:rsidR="0023060C" w:rsidRPr="0023060C">
              <w:rPr>
                <w:rFonts w:ascii="Times New Roman" w:hAnsi="Times New Roman" w:cs="Times New Roman"/>
                <w:noProof/>
                <w:webHidden/>
                <w:sz w:val="24"/>
                <w:szCs w:val="24"/>
              </w:rPr>
              <w:t>15</w:t>
            </w:r>
            <w:r w:rsidR="001A131B" w:rsidRPr="0023060C">
              <w:rPr>
                <w:rFonts w:ascii="Times New Roman" w:hAnsi="Times New Roman" w:cs="Times New Roman"/>
                <w:noProof/>
                <w:webHidden/>
                <w:sz w:val="24"/>
                <w:szCs w:val="24"/>
              </w:rPr>
              <w:fldChar w:fldCharType="end"/>
            </w:r>
          </w:hyperlink>
        </w:p>
        <w:p w14:paraId="651094E9" w14:textId="77777777" w:rsidR="00E122F5" w:rsidRPr="0023060C" w:rsidRDefault="001A131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fldChar w:fldCharType="end"/>
          </w:r>
        </w:p>
      </w:sdtContent>
    </w:sdt>
    <w:p w14:paraId="482D90F3" w14:textId="77777777" w:rsidR="00E122F5" w:rsidRPr="0023060C" w:rsidRDefault="00E122F5"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br w:type="page"/>
      </w:r>
    </w:p>
    <w:p w14:paraId="171EA01C" w14:textId="77777777" w:rsidR="003B72F4" w:rsidRPr="0023060C" w:rsidRDefault="003B72F4" w:rsidP="0023060C">
      <w:pPr>
        <w:pStyle w:val="Heading1"/>
        <w:spacing w:line="360" w:lineRule="auto"/>
        <w:jc w:val="both"/>
        <w:rPr>
          <w:rFonts w:ascii="Times New Roman" w:hAnsi="Times New Roman" w:cs="Times New Roman"/>
          <w:color w:val="auto"/>
          <w:sz w:val="24"/>
          <w:szCs w:val="24"/>
        </w:rPr>
      </w:pPr>
      <w:bookmarkStart w:id="0" w:name="_Toc150520680"/>
      <w:r w:rsidRPr="0023060C">
        <w:rPr>
          <w:rFonts w:ascii="Times New Roman" w:hAnsi="Times New Roman" w:cs="Times New Roman"/>
          <w:color w:val="auto"/>
          <w:sz w:val="24"/>
          <w:szCs w:val="24"/>
        </w:rPr>
        <w:lastRenderedPageBreak/>
        <w:t>Introduction</w:t>
      </w:r>
      <w:bookmarkEnd w:id="0"/>
    </w:p>
    <w:p w14:paraId="0CF0FFE2" w14:textId="77777777" w:rsidR="003B72F4" w:rsidRPr="0023060C" w:rsidRDefault="003B72F4"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Nestled in the heart of King's Cross, London, Google's ambitious KGX1 project stands as a testament to the company's unwavering commitment to innovation, sustainability, and community integration. Representing a substantial financial investment, this cutting-edge </w:t>
      </w:r>
      <w:r w:rsidR="00943F72" w:rsidRPr="0023060C">
        <w:rPr>
          <w:rFonts w:ascii="Times New Roman" w:hAnsi="Times New Roman" w:cs="Times New Roman"/>
          <w:sz w:val="24"/>
          <w:szCs w:val="24"/>
        </w:rPr>
        <w:t>endeavour</w:t>
      </w:r>
      <w:r w:rsidRPr="0023060C">
        <w:rPr>
          <w:rFonts w:ascii="Times New Roman" w:hAnsi="Times New Roman" w:cs="Times New Roman"/>
          <w:sz w:val="24"/>
          <w:szCs w:val="24"/>
        </w:rPr>
        <w:t xml:space="preserve"> is more than a mere headquarters; it is a manifestation of Google's ethos</w:t>
      </w:r>
      <w:r w:rsidR="00687929" w:rsidRPr="0023060C">
        <w:rPr>
          <w:rFonts w:ascii="Times New Roman" w:hAnsi="Times New Roman" w:cs="Times New Roman"/>
          <w:sz w:val="24"/>
          <w:szCs w:val="24"/>
        </w:rPr>
        <w:t xml:space="preserve"> (Waller, 2023)</w:t>
      </w:r>
      <w:r w:rsidRPr="0023060C">
        <w:rPr>
          <w:rFonts w:ascii="Times New Roman" w:hAnsi="Times New Roman" w:cs="Times New Roman"/>
          <w:sz w:val="24"/>
          <w:szCs w:val="24"/>
        </w:rPr>
        <w:t>. The project is poised to inaugurate next year, bringing to life a state-of-the-art 11-story structure comprising over 60,400 sqm of prime office space, replete with ancillary amenities and a rooftop oasis for employee well-being</w:t>
      </w:r>
      <w:r w:rsidR="00687929" w:rsidRPr="0023060C">
        <w:rPr>
          <w:rFonts w:ascii="Times New Roman" w:hAnsi="Times New Roman" w:cs="Times New Roman"/>
          <w:sz w:val="24"/>
          <w:szCs w:val="24"/>
        </w:rPr>
        <w:t xml:space="preserve"> (Taws, 2019)</w:t>
      </w:r>
      <w:r w:rsidRPr="0023060C">
        <w:rPr>
          <w:rFonts w:ascii="Times New Roman" w:hAnsi="Times New Roman" w:cs="Times New Roman"/>
          <w:sz w:val="24"/>
          <w:szCs w:val="24"/>
        </w:rPr>
        <w:t>.</w:t>
      </w:r>
    </w:p>
    <w:p w14:paraId="14952CF0" w14:textId="77777777" w:rsidR="000C7931" w:rsidRPr="0023060C" w:rsidRDefault="000C7931" w:rsidP="0023060C">
      <w:pPr>
        <w:keepNext/>
        <w:spacing w:line="360" w:lineRule="auto"/>
        <w:jc w:val="both"/>
        <w:rPr>
          <w:rFonts w:ascii="Times New Roman" w:hAnsi="Times New Roman" w:cs="Times New Roman"/>
          <w:sz w:val="24"/>
          <w:szCs w:val="24"/>
        </w:rPr>
      </w:pPr>
      <w:r w:rsidRPr="0023060C">
        <w:rPr>
          <w:rFonts w:ascii="Times New Roman" w:hAnsi="Times New Roman" w:cs="Times New Roman"/>
          <w:noProof/>
          <w:sz w:val="24"/>
          <w:szCs w:val="24"/>
          <w:lang w:val="en-US"/>
        </w:rPr>
        <w:drawing>
          <wp:inline distT="0" distB="0" distL="0" distR="0" wp14:anchorId="2DCA696A" wp14:editId="493ADD86">
            <wp:extent cx="5943600" cy="3499890"/>
            <wp:effectExtent l="1905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5943600" cy="3499890"/>
                    </a:xfrm>
                    <a:prstGeom prst="rect">
                      <a:avLst/>
                    </a:prstGeom>
                    <a:noFill/>
                    <a:ln w="9525">
                      <a:noFill/>
                      <a:miter lim="800000"/>
                      <a:headEnd/>
                      <a:tailEnd/>
                    </a:ln>
                  </pic:spPr>
                </pic:pic>
              </a:graphicData>
            </a:graphic>
          </wp:inline>
        </w:drawing>
      </w:r>
    </w:p>
    <w:p w14:paraId="39E9B0A1" w14:textId="77777777" w:rsidR="000C7931" w:rsidRPr="0023060C" w:rsidRDefault="000C7931" w:rsidP="008768D8">
      <w:pPr>
        <w:pStyle w:val="Caption"/>
        <w:spacing w:line="360" w:lineRule="auto"/>
        <w:jc w:val="center"/>
        <w:rPr>
          <w:rFonts w:ascii="Times New Roman" w:hAnsi="Times New Roman" w:cs="Times New Roman"/>
          <w:color w:val="auto"/>
          <w:sz w:val="24"/>
          <w:szCs w:val="24"/>
        </w:rPr>
      </w:pPr>
      <w:r w:rsidRPr="0023060C">
        <w:rPr>
          <w:rFonts w:ascii="Times New Roman" w:hAnsi="Times New Roman" w:cs="Times New Roman"/>
          <w:color w:val="auto"/>
          <w:sz w:val="24"/>
          <w:szCs w:val="24"/>
        </w:rPr>
        <w:t xml:space="preserve">Figure </w:t>
      </w:r>
      <w:r w:rsidR="001A131B" w:rsidRPr="0023060C">
        <w:rPr>
          <w:rFonts w:ascii="Times New Roman" w:hAnsi="Times New Roman" w:cs="Times New Roman"/>
          <w:color w:val="auto"/>
          <w:sz w:val="24"/>
          <w:szCs w:val="24"/>
        </w:rPr>
        <w:fldChar w:fldCharType="begin"/>
      </w:r>
      <w:r w:rsidRPr="0023060C">
        <w:rPr>
          <w:rFonts w:ascii="Times New Roman" w:hAnsi="Times New Roman" w:cs="Times New Roman"/>
          <w:color w:val="auto"/>
          <w:sz w:val="24"/>
          <w:szCs w:val="24"/>
        </w:rPr>
        <w:instrText xml:space="preserve"> SEQ Figure \* ARABIC </w:instrText>
      </w:r>
      <w:r w:rsidR="001A131B" w:rsidRPr="0023060C">
        <w:rPr>
          <w:rFonts w:ascii="Times New Roman" w:hAnsi="Times New Roman" w:cs="Times New Roman"/>
          <w:color w:val="auto"/>
          <w:sz w:val="24"/>
          <w:szCs w:val="24"/>
        </w:rPr>
        <w:fldChar w:fldCharType="separate"/>
      </w:r>
      <w:r w:rsidRPr="0023060C">
        <w:rPr>
          <w:rFonts w:ascii="Times New Roman" w:hAnsi="Times New Roman" w:cs="Times New Roman"/>
          <w:noProof/>
          <w:color w:val="auto"/>
          <w:sz w:val="24"/>
          <w:szCs w:val="24"/>
        </w:rPr>
        <w:t>1</w:t>
      </w:r>
      <w:r w:rsidR="001A131B" w:rsidRPr="0023060C">
        <w:rPr>
          <w:rFonts w:ascii="Times New Roman" w:hAnsi="Times New Roman" w:cs="Times New Roman"/>
          <w:color w:val="auto"/>
          <w:sz w:val="24"/>
          <w:szCs w:val="24"/>
        </w:rPr>
        <w:fldChar w:fldCharType="end"/>
      </w:r>
      <w:r w:rsidRPr="0023060C">
        <w:rPr>
          <w:rFonts w:ascii="Times New Roman" w:hAnsi="Times New Roman" w:cs="Times New Roman"/>
          <w:color w:val="auto"/>
          <w:sz w:val="24"/>
          <w:szCs w:val="24"/>
        </w:rPr>
        <w:t>: Google new headquarter, KGX1, Source: - (Taws, 2019)</w:t>
      </w:r>
    </w:p>
    <w:p w14:paraId="5529E83A" w14:textId="77777777" w:rsidR="007E11CC" w:rsidRPr="0023060C" w:rsidRDefault="003B72F4"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This assessment serves as a comprehensive exploration of key facets within the KGX1 project plan. From </w:t>
      </w:r>
      <w:r w:rsidR="00BC6BBB" w:rsidRPr="0023060C">
        <w:rPr>
          <w:rFonts w:ascii="Times New Roman" w:hAnsi="Times New Roman" w:cs="Times New Roman"/>
          <w:sz w:val="24"/>
          <w:szCs w:val="24"/>
        </w:rPr>
        <w:t xml:space="preserve">integration, </w:t>
      </w:r>
      <w:r w:rsidRPr="0023060C">
        <w:rPr>
          <w:rFonts w:ascii="Times New Roman" w:hAnsi="Times New Roman" w:cs="Times New Roman"/>
          <w:sz w:val="24"/>
          <w:szCs w:val="24"/>
        </w:rPr>
        <w:t xml:space="preserve">scope and schedule to cost, quality, human resources, communication, and risk management, each element is scrutinized to </w:t>
      </w:r>
      <w:r w:rsidR="00F47FA9" w:rsidRPr="0023060C">
        <w:rPr>
          <w:rFonts w:ascii="Times New Roman" w:hAnsi="Times New Roman" w:cs="Times New Roman"/>
          <w:sz w:val="24"/>
          <w:szCs w:val="24"/>
        </w:rPr>
        <w:t>distil</w:t>
      </w:r>
      <w:r w:rsidRPr="0023060C">
        <w:rPr>
          <w:rFonts w:ascii="Times New Roman" w:hAnsi="Times New Roman" w:cs="Times New Roman"/>
          <w:sz w:val="24"/>
          <w:szCs w:val="24"/>
        </w:rPr>
        <w:t xml:space="preserve"> insights into the current project status. </w:t>
      </w:r>
      <w:r w:rsidR="00BC6BBB" w:rsidRPr="0023060C">
        <w:rPr>
          <w:rFonts w:ascii="Times New Roman" w:hAnsi="Times New Roman" w:cs="Times New Roman"/>
          <w:sz w:val="24"/>
          <w:szCs w:val="24"/>
        </w:rPr>
        <w:t>The main</w:t>
      </w:r>
      <w:r w:rsidRPr="0023060C">
        <w:rPr>
          <w:rFonts w:ascii="Times New Roman" w:hAnsi="Times New Roman" w:cs="Times New Roman"/>
          <w:sz w:val="24"/>
          <w:szCs w:val="24"/>
        </w:rPr>
        <w:t xml:space="preserve"> goal is to not only identify areas of robust performance but also propose strategic enhancements. By delving into these crucial components, </w:t>
      </w:r>
      <w:r w:rsidR="00BC6BBB" w:rsidRPr="0023060C">
        <w:rPr>
          <w:rFonts w:ascii="Times New Roman" w:hAnsi="Times New Roman" w:cs="Times New Roman"/>
          <w:sz w:val="24"/>
          <w:szCs w:val="24"/>
        </w:rPr>
        <w:t>this assessment</w:t>
      </w:r>
      <w:r w:rsidRPr="0023060C">
        <w:rPr>
          <w:rFonts w:ascii="Times New Roman" w:hAnsi="Times New Roman" w:cs="Times New Roman"/>
          <w:sz w:val="24"/>
          <w:szCs w:val="24"/>
        </w:rPr>
        <w:t xml:space="preserve"> aim to contribute valuable perspectives that will steer the KGX1 project towards a seamless and effective </w:t>
      </w:r>
      <w:r w:rsidRPr="0023060C">
        <w:rPr>
          <w:rFonts w:ascii="Times New Roman" w:hAnsi="Times New Roman" w:cs="Times New Roman"/>
          <w:sz w:val="24"/>
          <w:szCs w:val="24"/>
        </w:rPr>
        <w:lastRenderedPageBreak/>
        <w:t xml:space="preserve">execution, aligning with Google's vision for a groundbreaking headquarters in the vibrant King's </w:t>
      </w:r>
      <w:r w:rsidR="007E11CC" w:rsidRPr="0023060C">
        <w:rPr>
          <w:rFonts w:ascii="Times New Roman" w:hAnsi="Times New Roman" w:cs="Times New Roman"/>
          <w:sz w:val="24"/>
          <w:szCs w:val="24"/>
        </w:rPr>
        <w:t>Cross locale.</w:t>
      </w:r>
    </w:p>
    <w:p w14:paraId="43BEEDCF" w14:textId="77777777" w:rsidR="00E122F5" w:rsidRPr="0023060C" w:rsidRDefault="00E122F5" w:rsidP="0023060C">
      <w:pPr>
        <w:pStyle w:val="Heading1"/>
        <w:spacing w:line="360" w:lineRule="auto"/>
        <w:jc w:val="both"/>
        <w:rPr>
          <w:rFonts w:ascii="Times New Roman" w:hAnsi="Times New Roman" w:cs="Times New Roman"/>
          <w:color w:val="auto"/>
          <w:sz w:val="24"/>
          <w:szCs w:val="24"/>
        </w:rPr>
      </w:pPr>
      <w:bookmarkStart w:id="1" w:name="_Toc150520681"/>
      <w:r w:rsidRPr="0023060C">
        <w:rPr>
          <w:rFonts w:ascii="Times New Roman" w:hAnsi="Times New Roman" w:cs="Times New Roman"/>
          <w:color w:val="auto"/>
          <w:sz w:val="24"/>
          <w:szCs w:val="24"/>
        </w:rPr>
        <w:t>Main body</w:t>
      </w:r>
      <w:bookmarkEnd w:id="1"/>
    </w:p>
    <w:p w14:paraId="0EB5F7E4" w14:textId="77777777" w:rsidR="00955E6D" w:rsidRPr="0023060C" w:rsidRDefault="0023060C" w:rsidP="0023060C">
      <w:pPr>
        <w:pStyle w:val="Heading2"/>
        <w:spacing w:line="360" w:lineRule="auto"/>
        <w:jc w:val="both"/>
        <w:rPr>
          <w:rFonts w:ascii="Times New Roman" w:hAnsi="Times New Roman" w:cs="Times New Roman"/>
          <w:color w:val="auto"/>
          <w:sz w:val="24"/>
          <w:szCs w:val="24"/>
        </w:rPr>
      </w:pPr>
      <w:bookmarkStart w:id="2" w:name="_Toc150520682"/>
      <w:r w:rsidRPr="0023060C">
        <w:rPr>
          <w:rFonts w:ascii="Times New Roman" w:hAnsi="Times New Roman" w:cs="Times New Roman"/>
          <w:color w:val="auto"/>
          <w:sz w:val="24"/>
          <w:szCs w:val="24"/>
        </w:rPr>
        <w:t xml:space="preserve">1. </w:t>
      </w:r>
      <w:r w:rsidR="00955E6D" w:rsidRPr="0023060C">
        <w:rPr>
          <w:rFonts w:ascii="Times New Roman" w:hAnsi="Times New Roman" w:cs="Times New Roman"/>
          <w:color w:val="auto"/>
          <w:sz w:val="24"/>
          <w:szCs w:val="24"/>
        </w:rPr>
        <w:t>Integration Strategies: Key Considerations</w:t>
      </w:r>
      <w:bookmarkEnd w:id="2"/>
    </w:p>
    <w:p w14:paraId="75F3A98F" w14:textId="77777777" w:rsidR="00BC6BBB" w:rsidRPr="0023060C" w:rsidRDefault="00BC6BB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Integration strategies are pivotal in ensuring the KGX1 project's seamless operation and overall success. One key consideration is </w:t>
      </w:r>
      <w:r w:rsidRPr="0023060C">
        <w:rPr>
          <w:rFonts w:ascii="Times New Roman" w:hAnsi="Times New Roman" w:cs="Times New Roman"/>
          <w:b/>
          <w:sz w:val="24"/>
          <w:szCs w:val="24"/>
        </w:rPr>
        <w:t>cross-disciplinary collaboration</w:t>
      </w:r>
      <w:r w:rsidRPr="0023060C">
        <w:rPr>
          <w:rFonts w:ascii="Times New Roman" w:hAnsi="Times New Roman" w:cs="Times New Roman"/>
          <w:sz w:val="24"/>
          <w:szCs w:val="24"/>
        </w:rPr>
        <w:t>, emphasizing the facilitation of teamwork among architects, construction teams, sustainability experts, and stakeholders. This collaborative approach aims to harmonize diverse perspectives, fostering innovation and comprehensive problem-solving throughout the project lifecycle</w:t>
      </w:r>
      <w:r w:rsidR="00A32858" w:rsidRPr="0023060C">
        <w:rPr>
          <w:rFonts w:ascii="Times New Roman" w:hAnsi="Times New Roman" w:cs="Times New Roman"/>
          <w:sz w:val="24"/>
          <w:szCs w:val="24"/>
        </w:rPr>
        <w:t xml:space="preserve"> (Talling, 2019)</w:t>
      </w:r>
      <w:r w:rsidRPr="0023060C">
        <w:rPr>
          <w:rFonts w:ascii="Times New Roman" w:hAnsi="Times New Roman" w:cs="Times New Roman"/>
          <w:sz w:val="24"/>
          <w:szCs w:val="24"/>
        </w:rPr>
        <w:t>.</w:t>
      </w:r>
    </w:p>
    <w:p w14:paraId="1FBCDAF2" w14:textId="77777777" w:rsidR="00BC6BBB" w:rsidRPr="0023060C" w:rsidRDefault="00BC6BB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A second critical element is the </w:t>
      </w:r>
      <w:r w:rsidRPr="0023060C">
        <w:rPr>
          <w:rFonts w:ascii="Times New Roman" w:hAnsi="Times New Roman" w:cs="Times New Roman"/>
          <w:b/>
          <w:sz w:val="24"/>
          <w:szCs w:val="24"/>
        </w:rPr>
        <w:t>establishment of a streamlined information flow</w:t>
      </w:r>
      <w:r w:rsidRPr="0023060C">
        <w:rPr>
          <w:rFonts w:ascii="Times New Roman" w:hAnsi="Times New Roman" w:cs="Times New Roman"/>
          <w:sz w:val="24"/>
          <w:szCs w:val="24"/>
        </w:rPr>
        <w:t>. This involves creating efficient channels for communication between different project phases, ensuring that relevant data and insights are promptly shared. This proactive information exchange enhances decision-making processes and keeps all stakeholders well-informed</w:t>
      </w:r>
      <w:r w:rsidR="00A32858" w:rsidRPr="0023060C">
        <w:rPr>
          <w:rFonts w:ascii="Times New Roman" w:hAnsi="Times New Roman" w:cs="Times New Roman"/>
          <w:sz w:val="24"/>
          <w:szCs w:val="24"/>
        </w:rPr>
        <w:t xml:space="preserve"> (Marcellino et al., 2023, September)</w:t>
      </w:r>
      <w:r w:rsidRPr="0023060C">
        <w:rPr>
          <w:rFonts w:ascii="Times New Roman" w:hAnsi="Times New Roman" w:cs="Times New Roman"/>
          <w:sz w:val="24"/>
          <w:szCs w:val="24"/>
        </w:rPr>
        <w:t>.</w:t>
      </w:r>
    </w:p>
    <w:p w14:paraId="2B284377" w14:textId="77777777" w:rsidR="00BC6BBB" w:rsidRPr="0023060C" w:rsidRDefault="00BC6BB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Additionally, </w:t>
      </w:r>
      <w:r w:rsidRPr="0023060C">
        <w:rPr>
          <w:rFonts w:ascii="Times New Roman" w:hAnsi="Times New Roman" w:cs="Times New Roman"/>
          <w:b/>
          <w:sz w:val="24"/>
          <w:szCs w:val="24"/>
        </w:rPr>
        <w:t xml:space="preserve">adaptive project planning </w:t>
      </w:r>
      <w:r w:rsidRPr="0023060C">
        <w:rPr>
          <w:rFonts w:ascii="Times New Roman" w:hAnsi="Times New Roman" w:cs="Times New Roman"/>
          <w:sz w:val="24"/>
          <w:szCs w:val="24"/>
        </w:rPr>
        <w:t>is implemented to navigate unforeseen circumstances effectively. This includes contingencies for events like pandemic-related delays. By incorporating adaptability into the planning process, the project can respond to changes in specific areas without compromising the entire project's progress</w:t>
      </w:r>
      <w:r w:rsidR="00A32858" w:rsidRPr="0023060C">
        <w:rPr>
          <w:rFonts w:ascii="Times New Roman" w:hAnsi="Times New Roman" w:cs="Times New Roman"/>
          <w:sz w:val="24"/>
          <w:szCs w:val="24"/>
        </w:rPr>
        <w:t xml:space="preserve"> (Ibrahim and Abdessamad, 2019)</w:t>
      </w:r>
      <w:r w:rsidRPr="0023060C">
        <w:rPr>
          <w:rFonts w:ascii="Times New Roman" w:hAnsi="Times New Roman" w:cs="Times New Roman"/>
          <w:sz w:val="24"/>
          <w:szCs w:val="24"/>
        </w:rPr>
        <w:t>.</w:t>
      </w:r>
    </w:p>
    <w:p w14:paraId="42B105FF" w14:textId="77777777" w:rsidR="00BC6BBB" w:rsidRPr="0023060C" w:rsidRDefault="00BC6BB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In essence, integration management serves as the linchpin that unifies diverse project elements. Through cross-disciplinary collaboration, efficient information flow, and adaptive planning, the KGX1 project is better equipped to achieve a harmonious and successful outcome</w:t>
      </w:r>
      <w:r w:rsidR="00A32858" w:rsidRPr="0023060C">
        <w:rPr>
          <w:rFonts w:ascii="Times New Roman" w:hAnsi="Times New Roman" w:cs="Times New Roman"/>
          <w:sz w:val="24"/>
          <w:szCs w:val="24"/>
        </w:rPr>
        <w:t xml:space="preserve"> (Delgado-Saborit et al., 2022)</w:t>
      </w:r>
      <w:r w:rsidRPr="0023060C">
        <w:rPr>
          <w:rFonts w:ascii="Times New Roman" w:hAnsi="Times New Roman" w:cs="Times New Roman"/>
          <w:sz w:val="24"/>
          <w:szCs w:val="24"/>
        </w:rPr>
        <w:t>.</w:t>
      </w:r>
    </w:p>
    <w:p w14:paraId="1C3FD258" w14:textId="77777777" w:rsidR="00150AA7" w:rsidRPr="0023060C" w:rsidRDefault="0023060C" w:rsidP="0023060C">
      <w:pPr>
        <w:pStyle w:val="Heading2"/>
        <w:spacing w:line="360" w:lineRule="auto"/>
        <w:jc w:val="both"/>
        <w:rPr>
          <w:rFonts w:ascii="Times New Roman" w:hAnsi="Times New Roman" w:cs="Times New Roman"/>
          <w:color w:val="auto"/>
          <w:sz w:val="24"/>
          <w:szCs w:val="24"/>
        </w:rPr>
      </w:pPr>
      <w:bookmarkStart w:id="3" w:name="_Toc150520683"/>
      <w:r w:rsidRPr="0023060C">
        <w:rPr>
          <w:rFonts w:ascii="Times New Roman" w:hAnsi="Times New Roman" w:cs="Times New Roman"/>
          <w:color w:val="auto"/>
          <w:sz w:val="24"/>
          <w:szCs w:val="24"/>
        </w:rPr>
        <w:t xml:space="preserve">2. </w:t>
      </w:r>
      <w:r w:rsidR="00150AA7" w:rsidRPr="0023060C">
        <w:rPr>
          <w:rFonts w:ascii="Times New Roman" w:hAnsi="Times New Roman" w:cs="Times New Roman"/>
          <w:color w:val="auto"/>
          <w:sz w:val="24"/>
          <w:szCs w:val="24"/>
        </w:rPr>
        <w:t>Scope</w:t>
      </w:r>
      <w:bookmarkEnd w:id="3"/>
    </w:p>
    <w:p w14:paraId="5775311D" w14:textId="77777777" w:rsidR="00150AA7" w:rsidRPr="0023060C" w:rsidRDefault="00150AA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The KGX1 project, situated at the heart of King's Cross, ventures beyond conventional construction </w:t>
      </w:r>
      <w:r w:rsidR="009F589E" w:rsidRPr="0023060C">
        <w:rPr>
          <w:rFonts w:ascii="Times New Roman" w:hAnsi="Times New Roman" w:cs="Times New Roman"/>
          <w:sz w:val="24"/>
          <w:szCs w:val="24"/>
        </w:rPr>
        <w:t>endeavours</w:t>
      </w:r>
      <w:r w:rsidRPr="0023060C">
        <w:rPr>
          <w:rFonts w:ascii="Times New Roman" w:hAnsi="Times New Roman" w:cs="Times New Roman"/>
          <w:sz w:val="24"/>
          <w:szCs w:val="24"/>
        </w:rPr>
        <w:t xml:space="preserve"> by embracing the entire life cycle of building an 11-story office marvel </w:t>
      </w:r>
      <w:r w:rsidR="00E611A2" w:rsidRPr="0023060C">
        <w:rPr>
          <w:rFonts w:ascii="Times New Roman" w:hAnsi="Times New Roman" w:cs="Times New Roman"/>
          <w:sz w:val="24"/>
          <w:szCs w:val="24"/>
        </w:rPr>
        <w:t>called</w:t>
      </w:r>
      <w:r w:rsidRPr="0023060C">
        <w:rPr>
          <w:rFonts w:ascii="Times New Roman" w:hAnsi="Times New Roman" w:cs="Times New Roman"/>
          <w:sz w:val="24"/>
          <w:szCs w:val="24"/>
        </w:rPr>
        <w:t xml:space="preserve"> as "Platform G." Architects BIG and Heatherwick Studio have meticulously crafted a </w:t>
      </w:r>
      <w:r w:rsidR="00E611A2" w:rsidRPr="0023060C">
        <w:rPr>
          <w:rFonts w:ascii="Times New Roman" w:hAnsi="Times New Roman" w:cs="Times New Roman"/>
          <w:sz w:val="24"/>
          <w:szCs w:val="24"/>
        </w:rPr>
        <w:t>unique</w:t>
      </w:r>
      <w:r w:rsidRPr="0023060C">
        <w:rPr>
          <w:rFonts w:ascii="Times New Roman" w:hAnsi="Times New Roman" w:cs="Times New Roman"/>
          <w:sz w:val="24"/>
          <w:szCs w:val="24"/>
        </w:rPr>
        <w:t xml:space="preserve"> wedge-shaped structure, a harmonious blend of steel, glass, and wood. This architectural </w:t>
      </w:r>
      <w:r w:rsidRPr="0023060C">
        <w:rPr>
          <w:rFonts w:ascii="Times New Roman" w:hAnsi="Times New Roman" w:cs="Times New Roman"/>
          <w:sz w:val="24"/>
          <w:szCs w:val="24"/>
        </w:rPr>
        <w:lastRenderedPageBreak/>
        <w:t>masterpiece not only reflects Google's commitment to innovation but also signifies a visionary approach to workspace design</w:t>
      </w:r>
      <w:r w:rsidR="008F103D" w:rsidRPr="0023060C">
        <w:rPr>
          <w:rFonts w:ascii="Times New Roman" w:hAnsi="Times New Roman" w:cs="Times New Roman"/>
          <w:sz w:val="24"/>
          <w:szCs w:val="24"/>
        </w:rPr>
        <w:t xml:space="preserve"> (Bertram et al., 2019)</w:t>
      </w:r>
      <w:r w:rsidRPr="0023060C">
        <w:rPr>
          <w:rFonts w:ascii="Times New Roman" w:hAnsi="Times New Roman" w:cs="Times New Roman"/>
          <w:sz w:val="24"/>
          <w:szCs w:val="24"/>
        </w:rPr>
        <w:t>. However, KGX1's scope transcends the physical construction, incorporating ancillary facilities such as cafes, a gym, a rooftop running track, and a swimming pool. These supplementary amenities mirror Google's dedication to fostering a holistic and employee-centric work environment.</w:t>
      </w:r>
    </w:p>
    <w:p w14:paraId="45EA19C0" w14:textId="77777777" w:rsidR="00150AA7" w:rsidRPr="0023060C" w:rsidRDefault="00150AA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This comprehensive project scope encapsulates the essence of KGX1 as more than a conventional office space. It's an embodiment of Google's ethos, creating a workplace that seamlessly integrates architectural brilliance with employee well-being. The meticulous detailing of both the primary structure and ancillary facilities underscores the company's commitment to providing a sustainable, innovative, and holistic workspace, setting a new standard for corporate headquarters in King's Cross</w:t>
      </w:r>
      <w:r w:rsidR="008F103D" w:rsidRPr="0023060C">
        <w:rPr>
          <w:rFonts w:ascii="Times New Roman" w:hAnsi="Times New Roman" w:cs="Times New Roman"/>
          <w:sz w:val="24"/>
          <w:szCs w:val="24"/>
        </w:rPr>
        <w:t xml:space="preserve"> (Abdul Nabi and El-adaway, 2021)</w:t>
      </w:r>
      <w:r w:rsidRPr="0023060C">
        <w:rPr>
          <w:rFonts w:ascii="Times New Roman" w:hAnsi="Times New Roman" w:cs="Times New Roman"/>
          <w:sz w:val="24"/>
          <w:szCs w:val="24"/>
        </w:rPr>
        <w:t>.</w:t>
      </w:r>
    </w:p>
    <w:p w14:paraId="40EAAA06" w14:textId="77777777" w:rsidR="007E11CC" w:rsidRPr="0023060C" w:rsidRDefault="007E11CC" w:rsidP="009F589E">
      <w:pPr>
        <w:pStyle w:val="Caption"/>
        <w:keepNext/>
        <w:spacing w:line="360" w:lineRule="auto"/>
        <w:jc w:val="center"/>
        <w:rPr>
          <w:rFonts w:ascii="Times New Roman" w:hAnsi="Times New Roman" w:cs="Times New Roman"/>
          <w:i/>
          <w:color w:val="auto"/>
          <w:sz w:val="24"/>
          <w:szCs w:val="24"/>
        </w:rPr>
      </w:pPr>
      <w:r w:rsidRPr="0023060C">
        <w:rPr>
          <w:rFonts w:ascii="Times New Roman" w:hAnsi="Times New Roman" w:cs="Times New Roman"/>
          <w:i/>
          <w:color w:val="auto"/>
          <w:sz w:val="24"/>
          <w:szCs w:val="24"/>
        </w:rPr>
        <w:t xml:space="preserve">Table </w:t>
      </w:r>
      <w:r w:rsidR="001A131B" w:rsidRPr="0023060C">
        <w:rPr>
          <w:rFonts w:ascii="Times New Roman" w:hAnsi="Times New Roman" w:cs="Times New Roman"/>
          <w:i/>
          <w:color w:val="auto"/>
          <w:sz w:val="24"/>
          <w:szCs w:val="24"/>
        </w:rPr>
        <w:fldChar w:fldCharType="begin"/>
      </w:r>
      <w:r w:rsidR="00285D75" w:rsidRPr="0023060C">
        <w:rPr>
          <w:rFonts w:ascii="Times New Roman" w:hAnsi="Times New Roman" w:cs="Times New Roman"/>
          <w:i/>
          <w:color w:val="auto"/>
          <w:sz w:val="24"/>
          <w:szCs w:val="24"/>
        </w:rPr>
        <w:instrText xml:space="preserve"> SEQ Table \* ARABIC </w:instrText>
      </w:r>
      <w:r w:rsidR="001A131B" w:rsidRPr="0023060C">
        <w:rPr>
          <w:rFonts w:ascii="Times New Roman" w:hAnsi="Times New Roman" w:cs="Times New Roman"/>
          <w:i/>
          <w:color w:val="auto"/>
          <w:sz w:val="24"/>
          <w:szCs w:val="24"/>
        </w:rPr>
        <w:fldChar w:fldCharType="separate"/>
      </w:r>
      <w:r w:rsidRPr="0023060C">
        <w:rPr>
          <w:rFonts w:ascii="Times New Roman" w:hAnsi="Times New Roman" w:cs="Times New Roman"/>
          <w:i/>
          <w:noProof/>
          <w:color w:val="auto"/>
          <w:sz w:val="24"/>
          <w:szCs w:val="24"/>
        </w:rPr>
        <w:t>1</w:t>
      </w:r>
      <w:r w:rsidR="001A131B" w:rsidRPr="0023060C">
        <w:rPr>
          <w:rFonts w:ascii="Times New Roman" w:hAnsi="Times New Roman" w:cs="Times New Roman"/>
          <w:i/>
          <w:color w:val="auto"/>
          <w:sz w:val="24"/>
          <w:szCs w:val="24"/>
        </w:rPr>
        <w:fldChar w:fldCharType="end"/>
      </w:r>
      <w:r w:rsidRPr="0023060C">
        <w:rPr>
          <w:rFonts w:ascii="Times New Roman" w:hAnsi="Times New Roman" w:cs="Times New Roman"/>
          <w:i/>
          <w:color w:val="auto"/>
          <w:sz w:val="24"/>
          <w:szCs w:val="24"/>
        </w:rPr>
        <w:t>: Project Overview</w:t>
      </w:r>
    </w:p>
    <w:tbl>
      <w:tblPr>
        <w:tblStyle w:val="TableGrid"/>
        <w:tblW w:w="10222" w:type="dxa"/>
        <w:tblLook w:val="04A0" w:firstRow="1" w:lastRow="0" w:firstColumn="1" w:lastColumn="0" w:noHBand="0" w:noVBand="1"/>
      </w:tblPr>
      <w:tblGrid>
        <w:gridCol w:w="1600"/>
        <w:gridCol w:w="1687"/>
        <w:gridCol w:w="1218"/>
        <w:gridCol w:w="1024"/>
        <w:gridCol w:w="1568"/>
        <w:gridCol w:w="1629"/>
        <w:gridCol w:w="1496"/>
      </w:tblGrid>
      <w:tr w:rsidR="007E11CC" w:rsidRPr="0023060C" w14:paraId="5EA097C9" w14:textId="77777777" w:rsidTr="00955E6D">
        <w:tc>
          <w:tcPr>
            <w:tcW w:w="0" w:type="auto"/>
            <w:hideMark/>
          </w:tcPr>
          <w:p w14:paraId="058988C4"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Project Name</w:t>
            </w:r>
          </w:p>
        </w:tc>
        <w:tc>
          <w:tcPr>
            <w:tcW w:w="0" w:type="auto"/>
            <w:hideMark/>
          </w:tcPr>
          <w:p w14:paraId="08507FDA"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Project Type</w:t>
            </w:r>
          </w:p>
        </w:tc>
        <w:tc>
          <w:tcPr>
            <w:tcW w:w="0" w:type="auto"/>
            <w:hideMark/>
          </w:tcPr>
          <w:p w14:paraId="13458DF6"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Project Location</w:t>
            </w:r>
          </w:p>
        </w:tc>
        <w:tc>
          <w:tcPr>
            <w:tcW w:w="0" w:type="auto"/>
            <w:hideMark/>
          </w:tcPr>
          <w:p w14:paraId="6E63DFF2"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Project Owner</w:t>
            </w:r>
          </w:p>
        </w:tc>
        <w:tc>
          <w:tcPr>
            <w:tcW w:w="0" w:type="auto"/>
            <w:hideMark/>
          </w:tcPr>
          <w:p w14:paraId="08932EFE"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Architects</w:t>
            </w:r>
          </w:p>
        </w:tc>
        <w:tc>
          <w:tcPr>
            <w:tcW w:w="0" w:type="auto"/>
            <w:hideMark/>
          </w:tcPr>
          <w:p w14:paraId="117E854B"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Construction Started</w:t>
            </w:r>
          </w:p>
        </w:tc>
        <w:tc>
          <w:tcPr>
            <w:tcW w:w="0" w:type="auto"/>
            <w:hideMark/>
          </w:tcPr>
          <w:p w14:paraId="3DCC3882"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Expected Completion</w:t>
            </w:r>
          </w:p>
        </w:tc>
      </w:tr>
      <w:tr w:rsidR="007E11CC" w:rsidRPr="0023060C" w14:paraId="278ABFA1" w14:textId="77777777" w:rsidTr="00955E6D">
        <w:tc>
          <w:tcPr>
            <w:tcW w:w="0" w:type="auto"/>
            <w:hideMark/>
          </w:tcPr>
          <w:p w14:paraId="51EBDB93"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Google's UK Headquarters</w:t>
            </w:r>
          </w:p>
        </w:tc>
        <w:tc>
          <w:tcPr>
            <w:tcW w:w="0" w:type="auto"/>
            <w:hideMark/>
          </w:tcPr>
          <w:p w14:paraId="60538346"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Construction of an 11-story office building</w:t>
            </w:r>
          </w:p>
        </w:tc>
        <w:tc>
          <w:tcPr>
            <w:tcW w:w="0" w:type="auto"/>
            <w:hideMark/>
          </w:tcPr>
          <w:p w14:paraId="7EDFEB58"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King's Cross, London</w:t>
            </w:r>
          </w:p>
        </w:tc>
        <w:tc>
          <w:tcPr>
            <w:tcW w:w="0" w:type="auto"/>
            <w:hideMark/>
          </w:tcPr>
          <w:p w14:paraId="6F5483C8"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Google</w:t>
            </w:r>
          </w:p>
        </w:tc>
        <w:tc>
          <w:tcPr>
            <w:tcW w:w="0" w:type="auto"/>
            <w:hideMark/>
          </w:tcPr>
          <w:p w14:paraId="18507064"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BIG and Heatherwick Studio</w:t>
            </w:r>
          </w:p>
        </w:tc>
        <w:tc>
          <w:tcPr>
            <w:tcW w:w="0" w:type="auto"/>
            <w:hideMark/>
          </w:tcPr>
          <w:p w14:paraId="60F472FC"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2018</w:t>
            </w:r>
          </w:p>
        </w:tc>
        <w:tc>
          <w:tcPr>
            <w:tcW w:w="0" w:type="auto"/>
            <w:hideMark/>
          </w:tcPr>
          <w:p w14:paraId="1CEC1267"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2024</w:t>
            </w:r>
          </w:p>
        </w:tc>
      </w:tr>
    </w:tbl>
    <w:p w14:paraId="10E63E89" w14:textId="77777777" w:rsidR="006E290F" w:rsidRPr="0023060C" w:rsidRDefault="006E290F" w:rsidP="0023060C">
      <w:pPr>
        <w:spacing w:line="360" w:lineRule="auto"/>
        <w:jc w:val="both"/>
        <w:rPr>
          <w:rFonts w:ascii="Times New Roman" w:hAnsi="Times New Roman" w:cs="Times New Roman"/>
          <w:sz w:val="24"/>
          <w:szCs w:val="24"/>
        </w:rPr>
      </w:pPr>
    </w:p>
    <w:p w14:paraId="6BF9C657" w14:textId="77777777" w:rsidR="006E290F" w:rsidRPr="0023060C" w:rsidRDefault="0023060C" w:rsidP="0023060C">
      <w:pPr>
        <w:pStyle w:val="Heading2"/>
        <w:spacing w:line="360" w:lineRule="auto"/>
        <w:jc w:val="both"/>
        <w:rPr>
          <w:rFonts w:ascii="Times New Roman" w:hAnsi="Times New Roman" w:cs="Times New Roman"/>
          <w:color w:val="auto"/>
          <w:sz w:val="24"/>
          <w:szCs w:val="24"/>
        </w:rPr>
      </w:pPr>
      <w:bookmarkStart w:id="4" w:name="_Toc150520684"/>
      <w:r w:rsidRPr="0023060C">
        <w:rPr>
          <w:rFonts w:ascii="Times New Roman" w:hAnsi="Times New Roman" w:cs="Times New Roman"/>
          <w:color w:val="auto"/>
          <w:sz w:val="24"/>
          <w:szCs w:val="24"/>
        </w:rPr>
        <w:t xml:space="preserve">3. </w:t>
      </w:r>
      <w:r w:rsidR="006E290F" w:rsidRPr="0023060C">
        <w:rPr>
          <w:rFonts w:ascii="Times New Roman" w:hAnsi="Times New Roman" w:cs="Times New Roman"/>
          <w:color w:val="auto"/>
          <w:sz w:val="24"/>
          <w:szCs w:val="24"/>
        </w:rPr>
        <w:t>Schedule</w:t>
      </w:r>
      <w:bookmarkEnd w:id="4"/>
    </w:p>
    <w:p w14:paraId="683AD6C3" w14:textId="77777777" w:rsidR="006E290F" w:rsidRPr="0023060C" w:rsidRDefault="006E290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The KGX1 project's timeline, as illustrated in the provided Gantt chart, serves as a visual roadmap from its initiation in 2018 to the ongoing activities, with an expected completion in 2024. This comprehensive timeline not only outlines crucial stages and milestones but also factors in the impact of the COVID-19 pandemic, which led to delays. The Gantt chart visually represents dependencies, activities, and milestones, offering a clear overview of the project's progress</w:t>
      </w:r>
      <w:r w:rsidR="00744BF4" w:rsidRPr="0023060C">
        <w:rPr>
          <w:rFonts w:ascii="Times New Roman" w:hAnsi="Times New Roman" w:cs="Times New Roman"/>
          <w:sz w:val="24"/>
          <w:szCs w:val="24"/>
        </w:rPr>
        <w:t xml:space="preserve"> (AbdelShakour et al., 2020)</w:t>
      </w:r>
      <w:r w:rsidRPr="0023060C">
        <w:rPr>
          <w:rFonts w:ascii="Times New Roman" w:hAnsi="Times New Roman" w:cs="Times New Roman"/>
          <w:sz w:val="24"/>
          <w:szCs w:val="24"/>
        </w:rPr>
        <w:t>. The ongoing reviews and adjustments are essential for adapting to unforeseen challenges, ensuring the project stays on track. Effective timeline management is paramount, particularly in the dynamic construction landscape and, in this case, considering the unpredictable nature of external factors like a global pandemic</w:t>
      </w:r>
    </w:p>
    <w:p w14:paraId="344DEB0E" w14:textId="77777777" w:rsidR="00A848F8" w:rsidRPr="0023060C" w:rsidRDefault="00A848F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Project Start Date: 2018</w:t>
      </w:r>
    </w:p>
    <w:p w14:paraId="2C3F475D" w14:textId="77777777" w:rsidR="00A848F8" w:rsidRPr="0023060C" w:rsidRDefault="00A848F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lastRenderedPageBreak/>
        <w:t>Expected Completion Date: 2024</w:t>
      </w:r>
    </w:p>
    <w:p w14:paraId="12A17502" w14:textId="77777777" w:rsidR="00A848F8" w:rsidRPr="0023060C" w:rsidRDefault="00A848F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Duration: 6 years</w:t>
      </w:r>
    </w:p>
    <w:p w14:paraId="5712865F" w14:textId="77777777" w:rsidR="00552940" w:rsidRPr="0023060C" w:rsidRDefault="00552940" w:rsidP="0023060C">
      <w:pPr>
        <w:spacing w:line="360" w:lineRule="auto"/>
        <w:jc w:val="both"/>
        <w:rPr>
          <w:rFonts w:ascii="Times New Roman" w:hAnsi="Times New Roman" w:cs="Times New Roman"/>
          <w:b/>
          <w:sz w:val="24"/>
          <w:szCs w:val="24"/>
        </w:rPr>
      </w:pPr>
      <w:r w:rsidRPr="0023060C">
        <w:rPr>
          <w:rFonts w:ascii="Times New Roman" w:hAnsi="Times New Roman" w:cs="Times New Roman"/>
          <w:b/>
          <w:noProof/>
          <w:sz w:val="24"/>
          <w:szCs w:val="24"/>
          <w:lang w:val="en-US"/>
        </w:rPr>
        <w:drawing>
          <wp:inline distT="0" distB="0" distL="0" distR="0" wp14:anchorId="72514B99" wp14:editId="33CE1854">
            <wp:extent cx="6049925" cy="6836323"/>
            <wp:effectExtent l="19050" t="0" r="79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srcRect/>
                    <a:stretch>
                      <a:fillRect/>
                    </a:stretch>
                  </pic:blipFill>
                  <pic:spPr bwMode="auto">
                    <a:xfrm>
                      <a:off x="0" y="0"/>
                      <a:ext cx="6051828" cy="6838473"/>
                    </a:xfrm>
                    <a:prstGeom prst="rect">
                      <a:avLst/>
                    </a:prstGeom>
                    <a:noFill/>
                    <a:ln w="9525">
                      <a:noFill/>
                      <a:miter lim="800000"/>
                      <a:headEnd/>
                      <a:tailEnd/>
                    </a:ln>
                  </pic:spPr>
                </pic:pic>
              </a:graphicData>
            </a:graphic>
          </wp:inline>
        </w:drawing>
      </w:r>
    </w:p>
    <w:p w14:paraId="7CB9D0A3" w14:textId="77777777" w:rsidR="007E11CC" w:rsidRPr="0023060C" w:rsidRDefault="0023060C" w:rsidP="0023060C">
      <w:pPr>
        <w:pStyle w:val="Heading2"/>
        <w:spacing w:line="360" w:lineRule="auto"/>
        <w:jc w:val="both"/>
        <w:rPr>
          <w:rFonts w:ascii="Times New Roman" w:hAnsi="Times New Roman" w:cs="Times New Roman"/>
          <w:color w:val="auto"/>
          <w:sz w:val="24"/>
          <w:szCs w:val="24"/>
        </w:rPr>
      </w:pPr>
      <w:bookmarkStart w:id="5" w:name="_Toc150520685"/>
      <w:r w:rsidRPr="0023060C">
        <w:rPr>
          <w:rFonts w:ascii="Times New Roman" w:hAnsi="Times New Roman" w:cs="Times New Roman"/>
          <w:color w:val="auto"/>
          <w:sz w:val="24"/>
          <w:szCs w:val="24"/>
        </w:rPr>
        <w:lastRenderedPageBreak/>
        <w:t xml:space="preserve">4. </w:t>
      </w:r>
      <w:r w:rsidR="006E290F" w:rsidRPr="0023060C">
        <w:rPr>
          <w:rFonts w:ascii="Times New Roman" w:hAnsi="Times New Roman" w:cs="Times New Roman"/>
          <w:color w:val="auto"/>
          <w:sz w:val="24"/>
          <w:szCs w:val="24"/>
        </w:rPr>
        <w:t>Cost</w:t>
      </w:r>
      <w:bookmarkEnd w:id="5"/>
    </w:p>
    <w:p w14:paraId="7F85ED27" w14:textId="77777777" w:rsidR="006E290F" w:rsidRPr="0023060C" w:rsidRDefault="006E290F" w:rsidP="0023060C">
      <w:pPr>
        <w:spacing w:line="360" w:lineRule="auto"/>
        <w:jc w:val="both"/>
        <w:rPr>
          <w:rFonts w:ascii="Times New Roman" w:hAnsi="Times New Roman" w:cs="Times New Roman"/>
          <w:b/>
          <w:sz w:val="24"/>
          <w:szCs w:val="24"/>
        </w:rPr>
      </w:pPr>
      <w:r w:rsidRPr="0023060C">
        <w:rPr>
          <w:rFonts w:ascii="Times New Roman" w:hAnsi="Times New Roman" w:cs="Times New Roman"/>
          <w:sz w:val="24"/>
          <w:szCs w:val="24"/>
        </w:rPr>
        <w:t xml:space="preserve">The KGX1 project's financial commitment surpasses £1 billion, emphasizing its significance and Google's dedication to pioneering workspace creation. The budget breakdown, a testament to meticulous planning, allocates funds with precision, showcasing Google's commitment to financial prudence. </w:t>
      </w:r>
      <w:r w:rsidR="007E0212" w:rsidRPr="0023060C">
        <w:rPr>
          <w:rFonts w:ascii="Times New Roman" w:hAnsi="Times New Roman" w:cs="Times New Roman"/>
          <w:sz w:val="24"/>
          <w:szCs w:val="24"/>
        </w:rPr>
        <w:t>A strategic allocation of resources is indicated by the £400 million allotted to shell and core, £200 million for fit-out, and an extra £400 million for ancillary costs. This allocation plan reflects Google's goal of an innovative workplace while also guaranteeing the project's financial control (Abdul Nabi and El-adaway, 2021). The budget allocation table is a useful tool that promotes transparency and guards against possible overspending. This all-encompassing strategy is consistent with Google's corporate values and results in a workspace that is both cutting edge and budget-conscious. The project's £1 billion overall budget reflects Google's goal to build a cutting-edge, environmentally friendly, and community-focused headquarters in King's Cross (Bertram et al., 2019).</w:t>
      </w:r>
    </w:p>
    <w:p w14:paraId="4FE7FFC2"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Budget Allocation Table: KGX1 Project</w:t>
      </w:r>
    </w:p>
    <w:tbl>
      <w:tblPr>
        <w:tblStyle w:val="TableGrid"/>
        <w:tblW w:w="9795" w:type="dxa"/>
        <w:tblLook w:val="04A0" w:firstRow="1" w:lastRow="0" w:firstColumn="1" w:lastColumn="0" w:noHBand="0" w:noVBand="1"/>
      </w:tblPr>
      <w:tblGrid>
        <w:gridCol w:w="4244"/>
        <w:gridCol w:w="5551"/>
      </w:tblGrid>
      <w:tr w:rsidR="00451278" w:rsidRPr="0023060C" w14:paraId="6716BB46" w14:textId="77777777" w:rsidTr="00955E6D">
        <w:tc>
          <w:tcPr>
            <w:tcW w:w="0" w:type="auto"/>
            <w:hideMark/>
          </w:tcPr>
          <w:p w14:paraId="124B826E"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Aspect</w:t>
            </w:r>
          </w:p>
        </w:tc>
        <w:tc>
          <w:tcPr>
            <w:tcW w:w="0" w:type="auto"/>
            <w:hideMark/>
          </w:tcPr>
          <w:p w14:paraId="75D77E57"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Budget Allocation (£)</w:t>
            </w:r>
          </w:p>
        </w:tc>
      </w:tr>
      <w:tr w:rsidR="00451278" w:rsidRPr="0023060C" w14:paraId="0E2E94FB" w14:textId="77777777" w:rsidTr="00955E6D">
        <w:tc>
          <w:tcPr>
            <w:tcW w:w="0" w:type="auto"/>
            <w:hideMark/>
          </w:tcPr>
          <w:p w14:paraId="6E1B6D61"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Shell and Core</w:t>
            </w:r>
          </w:p>
        </w:tc>
        <w:tc>
          <w:tcPr>
            <w:tcW w:w="0" w:type="auto"/>
            <w:hideMark/>
          </w:tcPr>
          <w:p w14:paraId="2D40133B"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£400,000,000</w:t>
            </w:r>
          </w:p>
        </w:tc>
      </w:tr>
      <w:tr w:rsidR="00451278" w:rsidRPr="0023060C" w14:paraId="3CA11C0C" w14:textId="77777777" w:rsidTr="00955E6D">
        <w:tc>
          <w:tcPr>
            <w:tcW w:w="0" w:type="auto"/>
            <w:hideMark/>
          </w:tcPr>
          <w:p w14:paraId="2C160CCB"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Fit-out</w:t>
            </w:r>
          </w:p>
        </w:tc>
        <w:tc>
          <w:tcPr>
            <w:tcW w:w="0" w:type="auto"/>
            <w:hideMark/>
          </w:tcPr>
          <w:p w14:paraId="64F596A5"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£200,000,000</w:t>
            </w:r>
          </w:p>
        </w:tc>
      </w:tr>
      <w:tr w:rsidR="00451278" w:rsidRPr="0023060C" w14:paraId="26E5C04A" w14:textId="77777777" w:rsidTr="00955E6D">
        <w:tc>
          <w:tcPr>
            <w:tcW w:w="0" w:type="auto"/>
            <w:hideMark/>
          </w:tcPr>
          <w:p w14:paraId="0BBDC59D"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Additional Costs</w:t>
            </w:r>
          </w:p>
        </w:tc>
        <w:tc>
          <w:tcPr>
            <w:tcW w:w="0" w:type="auto"/>
            <w:hideMark/>
          </w:tcPr>
          <w:p w14:paraId="0A52D5EE"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£400,000,000</w:t>
            </w:r>
          </w:p>
        </w:tc>
      </w:tr>
      <w:tr w:rsidR="00451278" w:rsidRPr="0023060C" w14:paraId="710319EF" w14:textId="77777777" w:rsidTr="00955E6D">
        <w:tc>
          <w:tcPr>
            <w:tcW w:w="0" w:type="auto"/>
            <w:hideMark/>
          </w:tcPr>
          <w:p w14:paraId="570E8C88"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Total</w:t>
            </w:r>
          </w:p>
        </w:tc>
        <w:tc>
          <w:tcPr>
            <w:tcW w:w="0" w:type="auto"/>
            <w:hideMark/>
          </w:tcPr>
          <w:p w14:paraId="64321957"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£1,000,000,000</w:t>
            </w:r>
          </w:p>
        </w:tc>
      </w:tr>
    </w:tbl>
    <w:p w14:paraId="1F06E548" w14:textId="77777777" w:rsidR="001C232C" w:rsidRPr="0023060C" w:rsidRDefault="004D7751"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The project will remain within its financial constraints thanks to the comprehensive budget allocation, which also ensures appropriate resource distribution and discourages overspending on this significant undertaking.</w:t>
      </w:r>
    </w:p>
    <w:p w14:paraId="6696AD95" w14:textId="77777777" w:rsidR="009B05D2" w:rsidRPr="0023060C" w:rsidRDefault="0023060C" w:rsidP="0023060C">
      <w:pPr>
        <w:pStyle w:val="Heading2"/>
        <w:spacing w:line="360" w:lineRule="auto"/>
        <w:jc w:val="both"/>
        <w:rPr>
          <w:rFonts w:ascii="Times New Roman" w:hAnsi="Times New Roman" w:cs="Times New Roman"/>
          <w:color w:val="auto"/>
          <w:sz w:val="24"/>
          <w:szCs w:val="24"/>
        </w:rPr>
      </w:pPr>
      <w:bookmarkStart w:id="6" w:name="_Toc150520686"/>
      <w:r w:rsidRPr="0023060C">
        <w:rPr>
          <w:rFonts w:ascii="Times New Roman" w:hAnsi="Times New Roman" w:cs="Times New Roman"/>
          <w:color w:val="auto"/>
          <w:sz w:val="24"/>
          <w:szCs w:val="24"/>
        </w:rPr>
        <w:t xml:space="preserve">5. </w:t>
      </w:r>
      <w:r w:rsidR="009B05D2" w:rsidRPr="0023060C">
        <w:rPr>
          <w:rFonts w:ascii="Times New Roman" w:hAnsi="Times New Roman" w:cs="Times New Roman"/>
          <w:color w:val="auto"/>
          <w:sz w:val="24"/>
          <w:szCs w:val="24"/>
        </w:rPr>
        <w:t>Quality</w:t>
      </w:r>
      <w:bookmarkEnd w:id="6"/>
      <w:r w:rsidR="00451278" w:rsidRPr="0023060C">
        <w:rPr>
          <w:rFonts w:ascii="Times New Roman" w:hAnsi="Times New Roman" w:cs="Times New Roman"/>
          <w:color w:val="auto"/>
          <w:sz w:val="24"/>
          <w:szCs w:val="24"/>
        </w:rPr>
        <w:t xml:space="preserve"> </w:t>
      </w:r>
    </w:p>
    <w:p w14:paraId="3D8E1056" w14:textId="77777777" w:rsidR="009B05D2" w:rsidRPr="0023060C" w:rsidRDefault="009B05D2" w:rsidP="0023060C">
      <w:pPr>
        <w:tabs>
          <w:tab w:val="left" w:pos="8010"/>
        </w:tabs>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The KGX1 project places a paramount emphasis on achieving superior quality </w:t>
      </w:r>
      <w:r w:rsidR="00E611A2" w:rsidRPr="0023060C">
        <w:rPr>
          <w:rFonts w:ascii="Times New Roman" w:hAnsi="Times New Roman" w:cs="Times New Roman"/>
          <w:sz w:val="24"/>
          <w:szCs w:val="24"/>
        </w:rPr>
        <w:t>values</w:t>
      </w:r>
      <w:r w:rsidRPr="0023060C">
        <w:rPr>
          <w:rFonts w:ascii="Times New Roman" w:hAnsi="Times New Roman" w:cs="Times New Roman"/>
          <w:sz w:val="24"/>
          <w:szCs w:val="24"/>
        </w:rPr>
        <w:t xml:space="preserve">, with a specific </w:t>
      </w:r>
      <w:r w:rsidR="00E611A2" w:rsidRPr="0023060C">
        <w:rPr>
          <w:rFonts w:ascii="Times New Roman" w:hAnsi="Times New Roman" w:cs="Times New Roman"/>
          <w:sz w:val="24"/>
          <w:szCs w:val="24"/>
        </w:rPr>
        <w:t>concentration</w:t>
      </w:r>
      <w:r w:rsidRPr="0023060C">
        <w:rPr>
          <w:rFonts w:ascii="Times New Roman" w:hAnsi="Times New Roman" w:cs="Times New Roman"/>
          <w:sz w:val="24"/>
          <w:szCs w:val="24"/>
        </w:rPr>
        <w:t xml:space="preserve"> on environmental sustainability and outstanding design. This commitment is underscored by the project's ambitious goal of obtaining LEED 'Gold' and BREEAM 'Excellent' environmental certifications</w:t>
      </w:r>
      <w:r w:rsidR="0074037C" w:rsidRPr="0023060C">
        <w:rPr>
          <w:rFonts w:ascii="Times New Roman" w:hAnsi="Times New Roman" w:cs="Times New Roman"/>
          <w:sz w:val="24"/>
          <w:szCs w:val="24"/>
        </w:rPr>
        <w:t xml:space="preserve"> (Marcellino et al., 2023, September)</w:t>
      </w:r>
      <w:r w:rsidRPr="0023060C">
        <w:rPr>
          <w:rFonts w:ascii="Times New Roman" w:hAnsi="Times New Roman" w:cs="Times New Roman"/>
          <w:sz w:val="24"/>
          <w:szCs w:val="24"/>
        </w:rPr>
        <w:t>. The quality assessment encompasses key components, with a robust framework ensuring excellence:</w:t>
      </w:r>
    </w:p>
    <w:p w14:paraId="0E15799A" w14:textId="77777777" w:rsidR="009B05D2" w:rsidRPr="0023060C" w:rsidRDefault="009B05D2"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lastRenderedPageBreak/>
        <w:t>Environmental Sustainability:</w:t>
      </w:r>
      <w:r w:rsidRPr="0023060C">
        <w:rPr>
          <w:rFonts w:ascii="Times New Roman" w:hAnsi="Times New Roman" w:cs="Times New Roman"/>
          <w:sz w:val="24"/>
          <w:szCs w:val="24"/>
        </w:rPr>
        <w:t xml:space="preserve"> The project takes significant strides in </w:t>
      </w:r>
      <w:r w:rsidR="00E611A2" w:rsidRPr="0023060C">
        <w:rPr>
          <w:rFonts w:ascii="Times New Roman" w:hAnsi="Times New Roman" w:cs="Times New Roman"/>
          <w:sz w:val="24"/>
          <w:szCs w:val="24"/>
        </w:rPr>
        <w:t>lessening</w:t>
      </w:r>
      <w:r w:rsidRPr="0023060C">
        <w:rPr>
          <w:rFonts w:ascii="Times New Roman" w:hAnsi="Times New Roman" w:cs="Times New Roman"/>
          <w:sz w:val="24"/>
          <w:szCs w:val="24"/>
        </w:rPr>
        <w:t xml:space="preserve"> its carbon impact by incorporating eco-friendly materials and innovative design ideas. This aligns seamlessly with Google's overarching commitment to environmental consciousness and sustainable practices, reflecting a holistic approach to construction</w:t>
      </w:r>
      <w:r w:rsidR="00F936F8" w:rsidRPr="0023060C">
        <w:rPr>
          <w:rFonts w:ascii="Times New Roman" w:hAnsi="Times New Roman" w:cs="Times New Roman"/>
          <w:sz w:val="24"/>
          <w:szCs w:val="24"/>
        </w:rPr>
        <w:t xml:space="preserve"> (Talling, 2019)</w:t>
      </w:r>
      <w:r w:rsidRPr="0023060C">
        <w:rPr>
          <w:rFonts w:ascii="Times New Roman" w:hAnsi="Times New Roman" w:cs="Times New Roman"/>
          <w:sz w:val="24"/>
          <w:szCs w:val="24"/>
        </w:rPr>
        <w:t>.</w:t>
      </w:r>
    </w:p>
    <w:p w14:paraId="68E6D1EC" w14:textId="77777777" w:rsidR="009B05D2" w:rsidRPr="0023060C" w:rsidRDefault="009B05D2"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Architectural Excellence:</w:t>
      </w:r>
      <w:r w:rsidRPr="0023060C">
        <w:rPr>
          <w:rFonts w:ascii="Times New Roman" w:hAnsi="Times New Roman" w:cs="Times New Roman"/>
          <w:sz w:val="24"/>
          <w:szCs w:val="24"/>
        </w:rPr>
        <w:t xml:space="preserve"> The KGX1 project boasts an innovative and distinctive design crafted by the </w:t>
      </w:r>
      <w:r w:rsidR="00553387" w:rsidRPr="0023060C">
        <w:rPr>
          <w:rFonts w:ascii="Times New Roman" w:hAnsi="Times New Roman" w:cs="Times New Roman"/>
          <w:sz w:val="24"/>
          <w:szCs w:val="24"/>
        </w:rPr>
        <w:t>well-known</w:t>
      </w:r>
      <w:r w:rsidRPr="0023060C">
        <w:rPr>
          <w:rFonts w:ascii="Times New Roman" w:hAnsi="Times New Roman" w:cs="Times New Roman"/>
          <w:sz w:val="24"/>
          <w:szCs w:val="24"/>
        </w:rPr>
        <w:t xml:space="preserve"> architects BIG and Heatherwick Studio. This design not only meets but exceeds standards, exemplifying Google's dedication to architectural creativity and aesthetic </w:t>
      </w:r>
      <w:r w:rsidR="00553387" w:rsidRPr="0023060C">
        <w:rPr>
          <w:rFonts w:ascii="Times New Roman" w:hAnsi="Times New Roman" w:cs="Times New Roman"/>
          <w:sz w:val="24"/>
          <w:szCs w:val="24"/>
        </w:rPr>
        <w:t>plea</w:t>
      </w:r>
      <w:r w:rsidR="00461650" w:rsidRPr="0023060C">
        <w:rPr>
          <w:rFonts w:ascii="Times New Roman" w:hAnsi="Times New Roman" w:cs="Times New Roman"/>
          <w:sz w:val="24"/>
          <w:szCs w:val="24"/>
        </w:rPr>
        <w:t xml:space="preserve"> (Taws, 2019)</w:t>
      </w:r>
      <w:r w:rsidRPr="0023060C">
        <w:rPr>
          <w:rFonts w:ascii="Times New Roman" w:hAnsi="Times New Roman" w:cs="Times New Roman"/>
          <w:sz w:val="24"/>
          <w:szCs w:val="24"/>
        </w:rPr>
        <w:t>.</w:t>
      </w:r>
    </w:p>
    <w:p w14:paraId="7A1047C9" w14:textId="77777777" w:rsidR="009B05D2" w:rsidRPr="0023060C" w:rsidRDefault="009B05D2"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Amenities and Comfort:</w:t>
      </w:r>
      <w:r w:rsidRPr="0023060C">
        <w:rPr>
          <w:rFonts w:ascii="Times New Roman" w:hAnsi="Times New Roman" w:cs="Times New Roman"/>
          <w:sz w:val="24"/>
          <w:szCs w:val="24"/>
        </w:rPr>
        <w:t xml:space="preserve"> The building is meticulously </w:t>
      </w:r>
      <w:r w:rsidR="00553387" w:rsidRPr="0023060C">
        <w:rPr>
          <w:rFonts w:ascii="Times New Roman" w:hAnsi="Times New Roman" w:cs="Times New Roman"/>
          <w:sz w:val="24"/>
          <w:szCs w:val="24"/>
        </w:rPr>
        <w:t>intended</w:t>
      </w:r>
      <w:r w:rsidRPr="0023060C">
        <w:rPr>
          <w:rFonts w:ascii="Times New Roman" w:hAnsi="Times New Roman" w:cs="Times New Roman"/>
          <w:sz w:val="24"/>
          <w:szCs w:val="24"/>
        </w:rPr>
        <w:t xml:space="preserve"> to </w:t>
      </w:r>
      <w:r w:rsidR="00553387" w:rsidRPr="0023060C">
        <w:rPr>
          <w:rFonts w:ascii="Times New Roman" w:hAnsi="Times New Roman" w:cs="Times New Roman"/>
          <w:sz w:val="24"/>
          <w:szCs w:val="24"/>
        </w:rPr>
        <w:t>give</w:t>
      </w:r>
      <w:r w:rsidRPr="0023060C">
        <w:rPr>
          <w:rFonts w:ascii="Times New Roman" w:hAnsi="Times New Roman" w:cs="Times New Roman"/>
          <w:sz w:val="24"/>
          <w:szCs w:val="24"/>
        </w:rPr>
        <w:t xml:space="preserve"> </w:t>
      </w:r>
      <w:r w:rsidR="00E611A2" w:rsidRPr="0023060C">
        <w:rPr>
          <w:rFonts w:ascii="Times New Roman" w:hAnsi="Times New Roman" w:cs="Times New Roman"/>
          <w:sz w:val="24"/>
          <w:szCs w:val="24"/>
        </w:rPr>
        <w:t>high-tech</w:t>
      </w:r>
      <w:r w:rsidRPr="0023060C">
        <w:rPr>
          <w:rFonts w:ascii="Times New Roman" w:hAnsi="Times New Roman" w:cs="Times New Roman"/>
          <w:sz w:val="24"/>
          <w:szCs w:val="24"/>
        </w:rPr>
        <w:t xml:space="preserve"> </w:t>
      </w:r>
      <w:r w:rsidR="00E611A2" w:rsidRPr="0023060C">
        <w:rPr>
          <w:rFonts w:ascii="Times New Roman" w:hAnsi="Times New Roman" w:cs="Times New Roman"/>
          <w:sz w:val="24"/>
          <w:szCs w:val="24"/>
        </w:rPr>
        <w:t>amenities</w:t>
      </w:r>
      <w:r w:rsidRPr="0023060C">
        <w:rPr>
          <w:rFonts w:ascii="Times New Roman" w:hAnsi="Times New Roman" w:cs="Times New Roman"/>
          <w:sz w:val="24"/>
          <w:szCs w:val="24"/>
        </w:rPr>
        <w:t xml:space="preserve">, fostering an environment that is both inspiring and </w:t>
      </w:r>
      <w:r w:rsidR="00553387" w:rsidRPr="0023060C">
        <w:rPr>
          <w:rFonts w:ascii="Times New Roman" w:hAnsi="Times New Roman" w:cs="Times New Roman"/>
          <w:sz w:val="24"/>
          <w:szCs w:val="24"/>
        </w:rPr>
        <w:t>easy</w:t>
      </w:r>
      <w:r w:rsidRPr="0023060C">
        <w:rPr>
          <w:rFonts w:ascii="Times New Roman" w:hAnsi="Times New Roman" w:cs="Times New Roman"/>
          <w:sz w:val="24"/>
          <w:szCs w:val="24"/>
        </w:rPr>
        <w:t xml:space="preserve"> for Google </w:t>
      </w:r>
      <w:r w:rsidR="00553387" w:rsidRPr="0023060C">
        <w:rPr>
          <w:rFonts w:ascii="Times New Roman" w:hAnsi="Times New Roman" w:cs="Times New Roman"/>
          <w:sz w:val="24"/>
          <w:szCs w:val="24"/>
        </w:rPr>
        <w:t>workers</w:t>
      </w:r>
      <w:r w:rsidRPr="0023060C">
        <w:rPr>
          <w:rFonts w:ascii="Times New Roman" w:hAnsi="Times New Roman" w:cs="Times New Roman"/>
          <w:sz w:val="24"/>
          <w:szCs w:val="24"/>
        </w:rPr>
        <w:t>. The inclusion of amenities such as a rooftop running track, swimming pool, and sports hall contributes to the overall well-being and satisfaction of the workforce</w:t>
      </w:r>
      <w:r w:rsidR="00EB03A9" w:rsidRPr="0023060C">
        <w:rPr>
          <w:rFonts w:ascii="Times New Roman" w:hAnsi="Times New Roman" w:cs="Times New Roman"/>
          <w:sz w:val="24"/>
          <w:szCs w:val="24"/>
        </w:rPr>
        <w:t xml:space="preserve"> (Waller, 2023)</w:t>
      </w:r>
      <w:r w:rsidRPr="0023060C">
        <w:rPr>
          <w:rFonts w:ascii="Times New Roman" w:hAnsi="Times New Roman" w:cs="Times New Roman"/>
          <w:sz w:val="24"/>
          <w:szCs w:val="24"/>
        </w:rPr>
        <w:t>.</w:t>
      </w:r>
    </w:p>
    <w:p w14:paraId="5D9EF04A" w14:textId="77777777" w:rsidR="007D23C7" w:rsidRPr="0023060C" w:rsidRDefault="0055338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Upholding</w:t>
      </w:r>
      <w:r w:rsidR="009B05D2" w:rsidRPr="0023060C">
        <w:rPr>
          <w:rFonts w:ascii="Times New Roman" w:hAnsi="Times New Roman" w:cs="Times New Roman"/>
          <w:sz w:val="24"/>
          <w:szCs w:val="24"/>
        </w:rPr>
        <w:t xml:space="preserve"> these high-quality </w:t>
      </w:r>
      <w:r w:rsidRPr="0023060C">
        <w:rPr>
          <w:rFonts w:ascii="Times New Roman" w:hAnsi="Times New Roman" w:cs="Times New Roman"/>
          <w:sz w:val="24"/>
          <w:szCs w:val="24"/>
        </w:rPr>
        <w:t>benchmarks</w:t>
      </w:r>
      <w:r w:rsidR="009B05D2" w:rsidRPr="0023060C">
        <w:rPr>
          <w:rFonts w:ascii="Times New Roman" w:hAnsi="Times New Roman" w:cs="Times New Roman"/>
          <w:sz w:val="24"/>
          <w:szCs w:val="24"/>
        </w:rPr>
        <w:t xml:space="preserve"> throughout the project's lifecycle is imperative to </w:t>
      </w:r>
      <w:r w:rsidRPr="0023060C">
        <w:rPr>
          <w:rFonts w:ascii="Times New Roman" w:hAnsi="Times New Roman" w:cs="Times New Roman"/>
          <w:sz w:val="24"/>
          <w:szCs w:val="24"/>
        </w:rPr>
        <w:t>attaining</w:t>
      </w:r>
      <w:r w:rsidR="009B05D2" w:rsidRPr="0023060C">
        <w:rPr>
          <w:rFonts w:ascii="Times New Roman" w:hAnsi="Times New Roman" w:cs="Times New Roman"/>
          <w:sz w:val="24"/>
          <w:szCs w:val="24"/>
        </w:rPr>
        <w:t xml:space="preserve"> the targeted environmental certifications and </w:t>
      </w:r>
      <w:r w:rsidRPr="0023060C">
        <w:rPr>
          <w:rFonts w:ascii="Times New Roman" w:hAnsi="Times New Roman" w:cs="Times New Roman"/>
          <w:sz w:val="24"/>
          <w:szCs w:val="24"/>
        </w:rPr>
        <w:t>making sure</w:t>
      </w:r>
      <w:r w:rsidR="009B05D2" w:rsidRPr="0023060C">
        <w:rPr>
          <w:rFonts w:ascii="Times New Roman" w:hAnsi="Times New Roman" w:cs="Times New Roman"/>
          <w:sz w:val="24"/>
          <w:szCs w:val="24"/>
        </w:rPr>
        <w:t xml:space="preserve"> alignment with Google's core values. This commitment to quality extends beyond construction, contributing to a workplace that embodies innovation, sustainability, and employee-centric design</w:t>
      </w:r>
      <w:r w:rsidR="00EB03A9" w:rsidRPr="0023060C">
        <w:rPr>
          <w:rFonts w:ascii="Times New Roman" w:hAnsi="Times New Roman" w:cs="Times New Roman"/>
          <w:sz w:val="24"/>
          <w:szCs w:val="24"/>
        </w:rPr>
        <w:t xml:space="preserve"> (Taws, 2019)</w:t>
      </w:r>
      <w:r w:rsidR="009B05D2" w:rsidRPr="0023060C">
        <w:rPr>
          <w:rFonts w:ascii="Times New Roman" w:hAnsi="Times New Roman" w:cs="Times New Roman"/>
          <w:sz w:val="24"/>
          <w:szCs w:val="24"/>
        </w:rPr>
        <w:t>.</w:t>
      </w:r>
    </w:p>
    <w:p w14:paraId="357533E8" w14:textId="77777777" w:rsidR="007D23C7" w:rsidRPr="0023060C" w:rsidRDefault="0023060C" w:rsidP="0023060C">
      <w:pPr>
        <w:pStyle w:val="Heading2"/>
        <w:spacing w:line="360" w:lineRule="auto"/>
        <w:jc w:val="both"/>
        <w:rPr>
          <w:rFonts w:ascii="Times New Roman" w:hAnsi="Times New Roman" w:cs="Times New Roman"/>
          <w:color w:val="auto"/>
          <w:sz w:val="24"/>
          <w:szCs w:val="24"/>
        </w:rPr>
      </w:pPr>
      <w:bookmarkStart w:id="7" w:name="_Toc150520687"/>
      <w:r w:rsidRPr="0023060C">
        <w:rPr>
          <w:rFonts w:ascii="Times New Roman" w:hAnsi="Times New Roman" w:cs="Times New Roman"/>
          <w:color w:val="auto"/>
          <w:sz w:val="24"/>
          <w:szCs w:val="24"/>
        </w:rPr>
        <w:t xml:space="preserve">6. </w:t>
      </w:r>
      <w:r w:rsidR="00451278" w:rsidRPr="0023060C">
        <w:rPr>
          <w:rFonts w:ascii="Times New Roman" w:hAnsi="Times New Roman" w:cs="Times New Roman"/>
          <w:color w:val="auto"/>
          <w:sz w:val="24"/>
          <w:szCs w:val="24"/>
        </w:rPr>
        <w:t>Human Re</w:t>
      </w:r>
      <w:r w:rsidR="007D23C7" w:rsidRPr="0023060C">
        <w:rPr>
          <w:rFonts w:ascii="Times New Roman" w:hAnsi="Times New Roman" w:cs="Times New Roman"/>
          <w:color w:val="auto"/>
          <w:sz w:val="24"/>
          <w:szCs w:val="24"/>
        </w:rPr>
        <w:t>sources</w:t>
      </w:r>
      <w:bookmarkEnd w:id="7"/>
    </w:p>
    <w:p w14:paraId="6C5509C5" w14:textId="77777777" w:rsidR="007D23C7" w:rsidRPr="0023060C" w:rsidRDefault="007D23C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The KGX1 project's success hinges significantly on the effective management of its human resources, encompassing architects, construction teams, and Google employees. A strategic approach to human resources is imperative throughout the project, with a particular emphasis on the transition phase as the project nears completion</w:t>
      </w:r>
      <w:r w:rsidR="0035753E" w:rsidRPr="0023060C">
        <w:rPr>
          <w:rFonts w:ascii="Times New Roman" w:hAnsi="Times New Roman" w:cs="Times New Roman"/>
          <w:sz w:val="24"/>
          <w:szCs w:val="24"/>
        </w:rPr>
        <w:t xml:space="preserve"> (Talling, 2019)</w:t>
      </w:r>
      <w:r w:rsidRPr="0023060C">
        <w:rPr>
          <w:rFonts w:ascii="Times New Roman" w:hAnsi="Times New Roman" w:cs="Times New Roman"/>
          <w:sz w:val="24"/>
          <w:szCs w:val="24"/>
        </w:rPr>
        <w:t>.</w:t>
      </w:r>
    </w:p>
    <w:p w14:paraId="1564B724" w14:textId="77777777" w:rsidR="007D23C7" w:rsidRPr="0023060C" w:rsidRDefault="007D23C7"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Human Resources Strategy: Transition to KGX1</w:t>
      </w:r>
    </w:p>
    <w:p w14:paraId="53D29B32" w14:textId="77777777" w:rsidR="00204A0A" w:rsidRPr="0023060C" w:rsidRDefault="007D23C7"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Skills Alignment</w:t>
      </w:r>
      <w:r w:rsidRPr="0023060C">
        <w:rPr>
          <w:rFonts w:ascii="Times New Roman" w:hAnsi="Times New Roman" w:cs="Times New Roman"/>
          <w:sz w:val="24"/>
          <w:szCs w:val="24"/>
        </w:rPr>
        <w:t xml:space="preserve">: </w:t>
      </w:r>
      <w:r w:rsidR="0073347B" w:rsidRPr="0023060C">
        <w:rPr>
          <w:rFonts w:ascii="Times New Roman" w:hAnsi="Times New Roman" w:cs="Times New Roman"/>
          <w:sz w:val="24"/>
          <w:szCs w:val="24"/>
        </w:rPr>
        <w:t>Assuring that the workforce's skills align with the project's present phase is key to optimizing effectiveness. This includes a detailed review of the needed skill sets at various phases of the project, facilitating a seamless advancement (Marcellino et al., 2023, September).</w:t>
      </w:r>
    </w:p>
    <w:p w14:paraId="5198B311" w14:textId="77777777" w:rsidR="00145F8D" w:rsidRPr="0023060C" w:rsidRDefault="007D23C7"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Employee Engagement:</w:t>
      </w:r>
      <w:r w:rsidRPr="0023060C">
        <w:rPr>
          <w:rFonts w:ascii="Times New Roman" w:hAnsi="Times New Roman" w:cs="Times New Roman"/>
          <w:sz w:val="24"/>
          <w:szCs w:val="24"/>
        </w:rPr>
        <w:t xml:space="preserve"> </w:t>
      </w:r>
      <w:r w:rsidR="003C4117" w:rsidRPr="0023060C">
        <w:rPr>
          <w:rFonts w:ascii="Times New Roman" w:hAnsi="Times New Roman" w:cs="Times New Roman"/>
          <w:sz w:val="24"/>
          <w:szCs w:val="24"/>
        </w:rPr>
        <w:t xml:space="preserve">Google should involve its employees in the procedure of change and a good and collaborative work culture is fostered when a company takes inputs from its employees, resolves their issues as well, and asks them for their opinion before making any </w:t>
      </w:r>
      <w:r w:rsidR="003C4117" w:rsidRPr="0023060C">
        <w:rPr>
          <w:rFonts w:ascii="Times New Roman" w:hAnsi="Times New Roman" w:cs="Times New Roman"/>
          <w:sz w:val="24"/>
          <w:szCs w:val="24"/>
        </w:rPr>
        <w:lastRenderedPageBreak/>
        <w:t xml:space="preserve">decision. It mainly enhances the sense of ownership and responsibility </w:t>
      </w:r>
      <w:r w:rsidR="00204A0A" w:rsidRPr="0023060C">
        <w:rPr>
          <w:rFonts w:ascii="Times New Roman" w:hAnsi="Times New Roman" w:cs="Times New Roman"/>
          <w:sz w:val="24"/>
          <w:szCs w:val="24"/>
        </w:rPr>
        <w:t>(Ibrahim and Abdessamad, 2019).</w:t>
      </w:r>
      <w:r w:rsidR="00A16FB7" w:rsidRPr="0023060C">
        <w:rPr>
          <w:rFonts w:ascii="Times New Roman" w:hAnsi="Times New Roman" w:cs="Times New Roman"/>
          <w:sz w:val="24"/>
          <w:szCs w:val="24"/>
        </w:rPr>
        <w:t xml:space="preserve"> </w:t>
      </w:r>
    </w:p>
    <w:p w14:paraId="6A1A6E36" w14:textId="77777777" w:rsidR="00145F8D" w:rsidRPr="0023060C" w:rsidRDefault="00145F8D"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Training and Support:</w:t>
      </w:r>
      <w:r w:rsidRPr="0023060C">
        <w:rPr>
          <w:rFonts w:ascii="Times New Roman" w:hAnsi="Times New Roman" w:cs="Times New Roman"/>
          <w:sz w:val="24"/>
          <w:szCs w:val="24"/>
        </w:rPr>
        <w:t xml:space="preserve"> </w:t>
      </w:r>
      <w:r w:rsidR="00A51115" w:rsidRPr="0023060C">
        <w:rPr>
          <w:rFonts w:ascii="Times New Roman" w:hAnsi="Times New Roman" w:cs="Times New Roman"/>
          <w:sz w:val="24"/>
          <w:szCs w:val="24"/>
        </w:rPr>
        <w:t xml:space="preserve">KGX1 must deliver the required training for new amenities and technologies as it aids in ensuring the seamless transition and this proactive method makes sure that staff members acquire the needed tools to efficiently evaluate and use the features of the new headquarters </w:t>
      </w:r>
      <w:r w:rsidR="00A446D7" w:rsidRPr="0023060C">
        <w:rPr>
          <w:rFonts w:ascii="Times New Roman" w:hAnsi="Times New Roman" w:cs="Times New Roman"/>
          <w:sz w:val="24"/>
          <w:szCs w:val="24"/>
        </w:rPr>
        <w:t>(Delgado-Saborit et al., 2022).</w:t>
      </w:r>
    </w:p>
    <w:p w14:paraId="1303020F" w14:textId="77777777" w:rsidR="00641E5B" w:rsidRPr="0023060C" w:rsidRDefault="00145F8D"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Communication:</w:t>
      </w:r>
      <w:r w:rsidRPr="0023060C">
        <w:rPr>
          <w:rFonts w:ascii="Times New Roman" w:hAnsi="Times New Roman" w:cs="Times New Roman"/>
          <w:sz w:val="24"/>
          <w:szCs w:val="24"/>
        </w:rPr>
        <w:t xml:space="preserve"> </w:t>
      </w:r>
      <w:r w:rsidR="00402BEE" w:rsidRPr="0023060C">
        <w:rPr>
          <w:rFonts w:ascii="Times New Roman" w:hAnsi="Times New Roman" w:cs="Times New Roman"/>
          <w:sz w:val="24"/>
          <w:szCs w:val="24"/>
        </w:rPr>
        <w:t xml:space="preserve">To make sure the project management is successful, effective communication is essential and it is crucial to develop specific and uniform lines of communication across Google, stakeholders, and project teams. Regular updates, clear reporting, and effective information flow mainly aid in making well-informed and cooperative project management </w:t>
      </w:r>
      <w:r w:rsidR="00C926FB" w:rsidRPr="0023060C">
        <w:rPr>
          <w:rFonts w:ascii="Times New Roman" w:hAnsi="Times New Roman" w:cs="Times New Roman"/>
          <w:sz w:val="24"/>
          <w:szCs w:val="24"/>
        </w:rPr>
        <w:t>(Bertram et al., 2019).</w:t>
      </w:r>
      <w:r w:rsidR="00402BEE" w:rsidRPr="0023060C">
        <w:rPr>
          <w:rFonts w:ascii="Times New Roman" w:hAnsi="Times New Roman" w:cs="Times New Roman"/>
          <w:sz w:val="24"/>
          <w:szCs w:val="24"/>
        </w:rPr>
        <w:t xml:space="preserve"> </w:t>
      </w:r>
    </w:p>
    <w:p w14:paraId="7572B743" w14:textId="77777777" w:rsidR="007D23C7" w:rsidRPr="0023060C" w:rsidRDefault="00D2460D"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The main aim of the KGX1 project is to optimize their workforce effectiveness at the time of construction and it can be possible if they execute a robust human resource strategy. However, they need to make sure a seamless transformation for Google staff as they are indulged in making the innovative and sustainable KGX1 headquarters. </w:t>
      </w:r>
      <w:r w:rsidR="007D23C7" w:rsidRPr="0023060C">
        <w:rPr>
          <w:rFonts w:ascii="Times New Roman" w:hAnsi="Times New Roman" w:cs="Times New Roman"/>
          <w:sz w:val="24"/>
          <w:szCs w:val="24"/>
        </w:rPr>
        <w:t>This strategic approach to human resources underscores Google's commitment to the well-being and engagement of its workforce</w:t>
      </w:r>
      <w:r w:rsidR="00B542BA" w:rsidRPr="0023060C">
        <w:rPr>
          <w:rFonts w:ascii="Times New Roman" w:hAnsi="Times New Roman" w:cs="Times New Roman"/>
          <w:sz w:val="24"/>
          <w:szCs w:val="24"/>
        </w:rPr>
        <w:t xml:space="preserve"> (Abdul Nabi and El-adaway, 2021)</w:t>
      </w:r>
      <w:r w:rsidR="007D23C7" w:rsidRPr="0023060C">
        <w:rPr>
          <w:rFonts w:ascii="Times New Roman" w:hAnsi="Times New Roman" w:cs="Times New Roman"/>
          <w:sz w:val="24"/>
          <w:szCs w:val="24"/>
        </w:rPr>
        <w:t>.</w:t>
      </w:r>
    </w:p>
    <w:p w14:paraId="4CED7FEC" w14:textId="77777777" w:rsidR="00451278" w:rsidRPr="0023060C" w:rsidRDefault="0023060C" w:rsidP="0023060C">
      <w:pPr>
        <w:pStyle w:val="Heading2"/>
        <w:spacing w:line="360" w:lineRule="auto"/>
        <w:jc w:val="both"/>
        <w:rPr>
          <w:rFonts w:ascii="Times New Roman" w:hAnsi="Times New Roman" w:cs="Times New Roman"/>
          <w:color w:val="auto"/>
          <w:sz w:val="24"/>
          <w:szCs w:val="24"/>
        </w:rPr>
      </w:pPr>
      <w:bookmarkStart w:id="8" w:name="_Toc150520688"/>
      <w:r w:rsidRPr="0023060C">
        <w:rPr>
          <w:rFonts w:ascii="Times New Roman" w:hAnsi="Times New Roman" w:cs="Times New Roman"/>
          <w:color w:val="auto"/>
          <w:sz w:val="24"/>
          <w:szCs w:val="24"/>
        </w:rPr>
        <w:t xml:space="preserve">7. </w:t>
      </w:r>
      <w:r w:rsidR="00451278" w:rsidRPr="0023060C">
        <w:rPr>
          <w:rFonts w:ascii="Times New Roman" w:hAnsi="Times New Roman" w:cs="Times New Roman"/>
          <w:color w:val="auto"/>
          <w:sz w:val="24"/>
          <w:szCs w:val="24"/>
        </w:rPr>
        <w:t>Communication Strategy: Key Elements</w:t>
      </w:r>
      <w:bookmarkEnd w:id="8"/>
    </w:p>
    <w:p w14:paraId="4E5160DE" w14:textId="77777777" w:rsidR="001B0A5B" w:rsidRPr="0023060C" w:rsidRDefault="001B0A5B"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The communication strategy for the KGX1 project encompasses key elements vital for ensuring effective information flow and transparency across various stakeholders.</w:t>
      </w:r>
    </w:p>
    <w:p w14:paraId="22FE0037" w14:textId="77777777" w:rsidR="001B0A5B" w:rsidRPr="0023060C" w:rsidRDefault="001B0A5B"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Stakeholder Updates:</w:t>
      </w:r>
      <w:r w:rsidRPr="0023060C">
        <w:rPr>
          <w:rFonts w:ascii="Times New Roman" w:hAnsi="Times New Roman" w:cs="Times New Roman"/>
          <w:sz w:val="24"/>
          <w:szCs w:val="24"/>
        </w:rPr>
        <w:t xml:space="preserve"> </w:t>
      </w:r>
      <w:r w:rsidR="00F71F42" w:rsidRPr="0023060C">
        <w:rPr>
          <w:rFonts w:ascii="Times New Roman" w:hAnsi="Times New Roman" w:cs="Times New Roman"/>
          <w:sz w:val="24"/>
          <w:szCs w:val="24"/>
        </w:rPr>
        <w:t xml:space="preserve">To maintain transparency and address the problems, delivering regular updates to stakeholders is crucial, and offering insights into the projects’ progress and anticipated timelines promotes trust. It mainly keeps the stakeholders informed </w:t>
      </w:r>
      <w:r w:rsidR="00E438C3" w:rsidRPr="0023060C">
        <w:rPr>
          <w:rFonts w:ascii="Times New Roman" w:hAnsi="Times New Roman" w:cs="Times New Roman"/>
          <w:sz w:val="24"/>
          <w:szCs w:val="24"/>
        </w:rPr>
        <w:t>(Bertram et al., 2019)</w:t>
      </w:r>
      <w:r w:rsidRPr="0023060C">
        <w:rPr>
          <w:rFonts w:ascii="Times New Roman" w:hAnsi="Times New Roman" w:cs="Times New Roman"/>
          <w:sz w:val="24"/>
          <w:szCs w:val="24"/>
        </w:rPr>
        <w:t>.</w:t>
      </w:r>
    </w:p>
    <w:p w14:paraId="055AF01D" w14:textId="77777777" w:rsidR="001B0A5B" w:rsidRPr="0023060C" w:rsidRDefault="001B0A5B"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Internal Communication:</w:t>
      </w:r>
      <w:r w:rsidRPr="0023060C">
        <w:rPr>
          <w:rFonts w:ascii="Times New Roman" w:hAnsi="Times New Roman" w:cs="Times New Roman"/>
          <w:sz w:val="24"/>
          <w:szCs w:val="24"/>
        </w:rPr>
        <w:t xml:space="preserve"> Establishing efficient internal communication channels is crucial for aligning project teams with goals and timelines. Clear and consistent communication within the project teams enhances collaboration and ensures everyone is on the same page</w:t>
      </w:r>
      <w:r w:rsidR="005F5A71" w:rsidRPr="0023060C">
        <w:rPr>
          <w:rFonts w:ascii="Times New Roman" w:hAnsi="Times New Roman" w:cs="Times New Roman"/>
          <w:sz w:val="24"/>
          <w:szCs w:val="24"/>
        </w:rPr>
        <w:t xml:space="preserve"> (Delgado-Saborit et al., 2022)</w:t>
      </w:r>
      <w:r w:rsidRPr="0023060C">
        <w:rPr>
          <w:rFonts w:ascii="Times New Roman" w:hAnsi="Times New Roman" w:cs="Times New Roman"/>
          <w:sz w:val="24"/>
          <w:szCs w:val="24"/>
        </w:rPr>
        <w:t>.</w:t>
      </w:r>
    </w:p>
    <w:p w14:paraId="0CBA2982" w14:textId="77777777" w:rsidR="001B0A5B" w:rsidRPr="0023060C" w:rsidRDefault="001B0A5B" w:rsidP="0023060C">
      <w:p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lastRenderedPageBreak/>
        <w:t>Crisis Communication Plan</w:t>
      </w:r>
      <w:r w:rsidRPr="0023060C">
        <w:rPr>
          <w:rFonts w:ascii="Times New Roman" w:hAnsi="Times New Roman" w:cs="Times New Roman"/>
          <w:sz w:val="24"/>
          <w:szCs w:val="24"/>
        </w:rPr>
        <w:t>: Developing a crisis communication plan is essential to address unforeseen circumstances, such as pandemic-related delays. This proactive strategy ensures transparency in addressing challenges, maintaining stakeholder confidence, and facilitating adaptive management in response to unexpected events. Overall, the communication strategy aims to create a well-informed and collaborative environment conducive to the successful execution of the KGX1 project</w:t>
      </w:r>
      <w:r w:rsidR="00554FBA" w:rsidRPr="0023060C">
        <w:rPr>
          <w:rFonts w:ascii="Times New Roman" w:hAnsi="Times New Roman" w:cs="Times New Roman"/>
          <w:sz w:val="24"/>
          <w:szCs w:val="24"/>
        </w:rPr>
        <w:t xml:space="preserve"> (Ibrahim and Abdessamad, 2019)</w:t>
      </w:r>
      <w:r w:rsidRPr="0023060C">
        <w:rPr>
          <w:rFonts w:ascii="Times New Roman" w:hAnsi="Times New Roman" w:cs="Times New Roman"/>
          <w:sz w:val="24"/>
          <w:szCs w:val="24"/>
        </w:rPr>
        <w:t>.</w:t>
      </w:r>
    </w:p>
    <w:p w14:paraId="5CD710B4" w14:textId="77777777" w:rsidR="00A26E93" w:rsidRPr="0023060C" w:rsidRDefault="0023060C" w:rsidP="0023060C">
      <w:pPr>
        <w:pStyle w:val="Heading2"/>
        <w:spacing w:line="360" w:lineRule="auto"/>
        <w:jc w:val="both"/>
        <w:rPr>
          <w:rFonts w:ascii="Times New Roman" w:hAnsi="Times New Roman" w:cs="Times New Roman"/>
          <w:color w:val="auto"/>
          <w:sz w:val="24"/>
          <w:szCs w:val="24"/>
        </w:rPr>
      </w:pPr>
      <w:bookmarkStart w:id="9" w:name="_Toc150520689"/>
      <w:r w:rsidRPr="0023060C">
        <w:rPr>
          <w:rFonts w:ascii="Times New Roman" w:hAnsi="Times New Roman" w:cs="Times New Roman"/>
          <w:color w:val="auto"/>
          <w:sz w:val="24"/>
          <w:szCs w:val="24"/>
        </w:rPr>
        <w:t xml:space="preserve">8. </w:t>
      </w:r>
      <w:r w:rsidR="00A26E93" w:rsidRPr="0023060C">
        <w:rPr>
          <w:rFonts w:ascii="Times New Roman" w:hAnsi="Times New Roman" w:cs="Times New Roman"/>
          <w:color w:val="auto"/>
          <w:sz w:val="24"/>
          <w:szCs w:val="24"/>
        </w:rPr>
        <w:t>Risk</w:t>
      </w:r>
      <w:bookmarkEnd w:id="9"/>
    </w:p>
    <w:p w14:paraId="41A8B73C" w14:textId="77777777" w:rsidR="007972BD" w:rsidRPr="0023060C" w:rsidRDefault="007972BD"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Risk management is a critical aspect of the KGX1 project, involving the identification, assessment, and mitigation of various risk factors. The risk assessment matrix provides a structured analysis of key risk factors, evaluating their likelihood, impact, and proposed mitigation strategies</w:t>
      </w:r>
      <w:r w:rsidR="009278AD" w:rsidRPr="0023060C">
        <w:rPr>
          <w:rFonts w:ascii="Times New Roman" w:hAnsi="Times New Roman" w:cs="Times New Roman"/>
          <w:sz w:val="24"/>
          <w:szCs w:val="24"/>
        </w:rPr>
        <w:t xml:space="preserve"> (Taws, 2019)</w:t>
      </w:r>
      <w:r w:rsidRPr="0023060C">
        <w:rPr>
          <w:rFonts w:ascii="Times New Roman" w:hAnsi="Times New Roman" w:cs="Times New Roman"/>
          <w:sz w:val="24"/>
          <w:szCs w:val="24"/>
        </w:rPr>
        <w:t>.</w:t>
      </w:r>
    </w:p>
    <w:p w14:paraId="008A5D94"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Risk Assessment Matrix: Key Risk Factors</w:t>
      </w:r>
    </w:p>
    <w:tbl>
      <w:tblPr>
        <w:tblStyle w:val="TableGrid"/>
        <w:tblW w:w="9795" w:type="dxa"/>
        <w:tblLook w:val="04A0" w:firstRow="1" w:lastRow="0" w:firstColumn="1" w:lastColumn="0" w:noHBand="0" w:noVBand="1"/>
      </w:tblPr>
      <w:tblGrid>
        <w:gridCol w:w="2334"/>
        <w:gridCol w:w="1557"/>
        <w:gridCol w:w="1184"/>
        <w:gridCol w:w="4720"/>
      </w:tblGrid>
      <w:tr w:rsidR="00451278" w:rsidRPr="0023060C" w14:paraId="324B9B85" w14:textId="77777777" w:rsidTr="00955E6D">
        <w:tc>
          <w:tcPr>
            <w:tcW w:w="0" w:type="auto"/>
            <w:hideMark/>
          </w:tcPr>
          <w:p w14:paraId="5734B601"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Risk Factor</w:t>
            </w:r>
          </w:p>
        </w:tc>
        <w:tc>
          <w:tcPr>
            <w:tcW w:w="0" w:type="auto"/>
            <w:hideMark/>
          </w:tcPr>
          <w:p w14:paraId="1C3729E5"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Likelihood (1-5)</w:t>
            </w:r>
          </w:p>
        </w:tc>
        <w:tc>
          <w:tcPr>
            <w:tcW w:w="0" w:type="auto"/>
            <w:hideMark/>
          </w:tcPr>
          <w:p w14:paraId="0B4EF9DB"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Impact (1-5)</w:t>
            </w:r>
          </w:p>
        </w:tc>
        <w:tc>
          <w:tcPr>
            <w:tcW w:w="0" w:type="auto"/>
            <w:hideMark/>
          </w:tcPr>
          <w:p w14:paraId="6FD3FADB"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Mitigation Strategy</w:t>
            </w:r>
          </w:p>
        </w:tc>
      </w:tr>
      <w:tr w:rsidR="00451278" w:rsidRPr="0023060C" w14:paraId="35DFDC32" w14:textId="77777777" w:rsidTr="00A75AA5">
        <w:trPr>
          <w:trHeight w:val="980"/>
        </w:trPr>
        <w:tc>
          <w:tcPr>
            <w:tcW w:w="0" w:type="auto"/>
            <w:hideMark/>
          </w:tcPr>
          <w:p w14:paraId="199A0FD1" w14:textId="77777777" w:rsidR="00451278" w:rsidRPr="0023060C" w:rsidRDefault="0055338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Land Fragmentation Risk</w:t>
            </w:r>
          </w:p>
        </w:tc>
        <w:tc>
          <w:tcPr>
            <w:tcW w:w="0" w:type="auto"/>
            <w:hideMark/>
          </w:tcPr>
          <w:p w14:paraId="465D77E1"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w:t>
            </w:r>
          </w:p>
        </w:tc>
        <w:tc>
          <w:tcPr>
            <w:tcW w:w="0" w:type="auto"/>
            <w:hideMark/>
          </w:tcPr>
          <w:p w14:paraId="0ACCBA00"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w:t>
            </w:r>
          </w:p>
        </w:tc>
        <w:tc>
          <w:tcPr>
            <w:tcW w:w="0" w:type="auto"/>
            <w:hideMark/>
          </w:tcPr>
          <w:p w14:paraId="6B083B82" w14:textId="77777777" w:rsidR="00451278" w:rsidRPr="0023060C" w:rsidRDefault="0055338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Foster collaboration with landowners to achieve unified development goals.</w:t>
            </w:r>
          </w:p>
        </w:tc>
      </w:tr>
      <w:tr w:rsidR="00451278" w:rsidRPr="0023060C" w14:paraId="3D4FF3FC" w14:textId="77777777" w:rsidTr="00955E6D">
        <w:tc>
          <w:tcPr>
            <w:tcW w:w="0" w:type="auto"/>
            <w:hideMark/>
          </w:tcPr>
          <w:p w14:paraId="680F2847" w14:textId="77777777" w:rsidR="00451278" w:rsidRPr="0023060C" w:rsidRDefault="00451278" w:rsidP="0023060C">
            <w:pPr>
              <w:spacing w:line="360" w:lineRule="auto"/>
              <w:jc w:val="both"/>
              <w:rPr>
                <w:rFonts w:ascii="Times New Roman" w:hAnsi="Times New Roman" w:cs="Times New Roman"/>
                <w:sz w:val="24"/>
                <w:szCs w:val="24"/>
              </w:rPr>
            </w:pPr>
          </w:p>
        </w:tc>
        <w:tc>
          <w:tcPr>
            <w:tcW w:w="0" w:type="auto"/>
            <w:hideMark/>
          </w:tcPr>
          <w:p w14:paraId="28891BE3" w14:textId="77777777" w:rsidR="00451278" w:rsidRPr="0023060C" w:rsidRDefault="00451278" w:rsidP="0023060C">
            <w:pPr>
              <w:spacing w:line="360" w:lineRule="auto"/>
              <w:jc w:val="both"/>
              <w:rPr>
                <w:rFonts w:ascii="Times New Roman" w:hAnsi="Times New Roman" w:cs="Times New Roman"/>
                <w:sz w:val="24"/>
                <w:szCs w:val="24"/>
              </w:rPr>
            </w:pPr>
          </w:p>
        </w:tc>
        <w:tc>
          <w:tcPr>
            <w:tcW w:w="0" w:type="auto"/>
            <w:hideMark/>
          </w:tcPr>
          <w:p w14:paraId="2EFFA31D" w14:textId="77777777" w:rsidR="00451278" w:rsidRPr="0023060C" w:rsidRDefault="00451278" w:rsidP="0023060C">
            <w:pPr>
              <w:spacing w:line="360" w:lineRule="auto"/>
              <w:jc w:val="both"/>
              <w:rPr>
                <w:rFonts w:ascii="Times New Roman" w:hAnsi="Times New Roman" w:cs="Times New Roman"/>
                <w:sz w:val="24"/>
                <w:szCs w:val="24"/>
              </w:rPr>
            </w:pPr>
          </w:p>
        </w:tc>
        <w:tc>
          <w:tcPr>
            <w:tcW w:w="0" w:type="auto"/>
            <w:hideMark/>
          </w:tcPr>
          <w:p w14:paraId="20216C99" w14:textId="77777777" w:rsidR="00451278" w:rsidRPr="0023060C" w:rsidRDefault="00451278" w:rsidP="0023060C">
            <w:pPr>
              <w:spacing w:line="360" w:lineRule="auto"/>
              <w:jc w:val="both"/>
              <w:rPr>
                <w:rFonts w:ascii="Times New Roman" w:hAnsi="Times New Roman" w:cs="Times New Roman"/>
                <w:sz w:val="24"/>
                <w:szCs w:val="24"/>
              </w:rPr>
            </w:pPr>
          </w:p>
        </w:tc>
      </w:tr>
      <w:tr w:rsidR="00451278" w:rsidRPr="0023060C" w14:paraId="60165900" w14:textId="77777777" w:rsidTr="00955E6D">
        <w:tc>
          <w:tcPr>
            <w:tcW w:w="0" w:type="auto"/>
            <w:hideMark/>
          </w:tcPr>
          <w:p w14:paraId="3F4FF28C" w14:textId="77777777" w:rsidR="00451278" w:rsidRPr="0023060C" w:rsidRDefault="0055338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Space Usage Optimization Risk</w:t>
            </w:r>
          </w:p>
        </w:tc>
        <w:tc>
          <w:tcPr>
            <w:tcW w:w="0" w:type="auto"/>
            <w:hideMark/>
          </w:tcPr>
          <w:p w14:paraId="7918C331"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3</w:t>
            </w:r>
          </w:p>
        </w:tc>
        <w:tc>
          <w:tcPr>
            <w:tcW w:w="0" w:type="auto"/>
            <w:hideMark/>
          </w:tcPr>
          <w:p w14:paraId="460522F1"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3</w:t>
            </w:r>
          </w:p>
        </w:tc>
        <w:tc>
          <w:tcPr>
            <w:tcW w:w="0" w:type="auto"/>
            <w:hideMark/>
          </w:tcPr>
          <w:p w14:paraId="4E1A4002" w14:textId="77777777" w:rsidR="00451278" w:rsidRPr="0023060C" w:rsidRDefault="00553387"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Enhance floor plans for optimal space utilization and operational efficiency.</w:t>
            </w:r>
          </w:p>
        </w:tc>
      </w:tr>
      <w:tr w:rsidR="00705169" w:rsidRPr="0023060C" w14:paraId="1CAC172E" w14:textId="77777777" w:rsidTr="00955E6D">
        <w:tc>
          <w:tcPr>
            <w:tcW w:w="0" w:type="auto"/>
            <w:hideMark/>
          </w:tcPr>
          <w:p w14:paraId="546151C1"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Short-Term Returns Preference</w:t>
            </w:r>
          </w:p>
        </w:tc>
        <w:tc>
          <w:tcPr>
            <w:tcW w:w="0" w:type="auto"/>
            <w:hideMark/>
          </w:tcPr>
          <w:p w14:paraId="348A4383"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3</w:t>
            </w:r>
          </w:p>
        </w:tc>
        <w:tc>
          <w:tcPr>
            <w:tcW w:w="0" w:type="auto"/>
            <w:hideMark/>
          </w:tcPr>
          <w:p w14:paraId="374CCFBB"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w:t>
            </w:r>
          </w:p>
        </w:tc>
        <w:tc>
          <w:tcPr>
            <w:tcW w:w="0" w:type="auto"/>
            <w:hideMark/>
          </w:tcPr>
          <w:p w14:paraId="18CA1C4B"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Formulate long-term value propositions to align with stakeholder interests.</w:t>
            </w:r>
          </w:p>
        </w:tc>
      </w:tr>
      <w:tr w:rsidR="00705169" w:rsidRPr="0023060C" w14:paraId="5EF91132" w14:textId="77777777" w:rsidTr="00955E6D">
        <w:tc>
          <w:tcPr>
            <w:tcW w:w="0" w:type="auto"/>
            <w:hideMark/>
          </w:tcPr>
          <w:p w14:paraId="11020074"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Pandemic-Related Delays Risk</w:t>
            </w:r>
          </w:p>
        </w:tc>
        <w:tc>
          <w:tcPr>
            <w:tcW w:w="0" w:type="auto"/>
            <w:hideMark/>
          </w:tcPr>
          <w:p w14:paraId="14D81339"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w:t>
            </w:r>
          </w:p>
        </w:tc>
        <w:tc>
          <w:tcPr>
            <w:tcW w:w="0" w:type="auto"/>
            <w:hideMark/>
          </w:tcPr>
          <w:p w14:paraId="40662436"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5</w:t>
            </w:r>
          </w:p>
        </w:tc>
        <w:tc>
          <w:tcPr>
            <w:tcW w:w="0" w:type="auto"/>
            <w:hideMark/>
          </w:tcPr>
          <w:p w14:paraId="2987EF6E"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Create comprehensive contingency plans and maintain flexibility in project timelines.</w:t>
            </w:r>
          </w:p>
        </w:tc>
      </w:tr>
      <w:tr w:rsidR="00705169" w:rsidRPr="0023060C" w14:paraId="767EF342" w14:textId="77777777" w:rsidTr="000C7931">
        <w:trPr>
          <w:trHeight w:val="1340"/>
        </w:trPr>
        <w:tc>
          <w:tcPr>
            <w:tcW w:w="0" w:type="auto"/>
            <w:hideMark/>
          </w:tcPr>
          <w:p w14:paraId="14159AE3"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Urban Blight Risk</w:t>
            </w:r>
          </w:p>
        </w:tc>
        <w:tc>
          <w:tcPr>
            <w:tcW w:w="0" w:type="auto"/>
            <w:hideMark/>
          </w:tcPr>
          <w:p w14:paraId="1BE3A346"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2</w:t>
            </w:r>
          </w:p>
        </w:tc>
        <w:tc>
          <w:tcPr>
            <w:tcW w:w="0" w:type="auto"/>
            <w:hideMark/>
          </w:tcPr>
          <w:p w14:paraId="06FB7FBD"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4</w:t>
            </w:r>
          </w:p>
        </w:tc>
        <w:tc>
          <w:tcPr>
            <w:tcW w:w="0" w:type="auto"/>
            <w:hideMark/>
          </w:tcPr>
          <w:p w14:paraId="796017D3" w14:textId="77777777" w:rsidR="00705169" w:rsidRPr="0023060C" w:rsidRDefault="00705169"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Channel investments into community development, contributing to revitalization efforts.</w:t>
            </w:r>
          </w:p>
        </w:tc>
      </w:tr>
      <w:tr w:rsidR="00705169" w:rsidRPr="0023060C" w14:paraId="534CAA72" w14:textId="77777777" w:rsidTr="00955E6D">
        <w:tc>
          <w:tcPr>
            <w:tcW w:w="0" w:type="auto"/>
            <w:hideMark/>
          </w:tcPr>
          <w:p w14:paraId="7F4723AF" w14:textId="77777777" w:rsidR="00705169" w:rsidRPr="0023060C" w:rsidRDefault="00705169" w:rsidP="0023060C">
            <w:pPr>
              <w:spacing w:line="360" w:lineRule="auto"/>
              <w:jc w:val="both"/>
              <w:rPr>
                <w:rFonts w:ascii="Times New Roman" w:hAnsi="Times New Roman" w:cs="Times New Roman"/>
                <w:sz w:val="24"/>
                <w:szCs w:val="24"/>
              </w:rPr>
            </w:pPr>
          </w:p>
        </w:tc>
        <w:tc>
          <w:tcPr>
            <w:tcW w:w="0" w:type="auto"/>
            <w:hideMark/>
          </w:tcPr>
          <w:p w14:paraId="6730E263" w14:textId="77777777" w:rsidR="00705169" w:rsidRPr="0023060C" w:rsidRDefault="00705169" w:rsidP="0023060C">
            <w:pPr>
              <w:spacing w:line="360" w:lineRule="auto"/>
              <w:jc w:val="both"/>
              <w:rPr>
                <w:rFonts w:ascii="Times New Roman" w:hAnsi="Times New Roman" w:cs="Times New Roman"/>
                <w:sz w:val="24"/>
                <w:szCs w:val="24"/>
              </w:rPr>
            </w:pPr>
          </w:p>
        </w:tc>
        <w:tc>
          <w:tcPr>
            <w:tcW w:w="0" w:type="auto"/>
            <w:hideMark/>
          </w:tcPr>
          <w:p w14:paraId="5969ECDE" w14:textId="77777777" w:rsidR="00705169" w:rsidRPr="0023060C" w:rsidRDefault="00705169" w:rsidP="0023060C">
            <w:pPr>
              <w:spacing w:line="360" w:lineRule="auto"/>
              <w:jc w:val="both"/>
              <w:rPr>
                <w:rFonts w:ascii="Times New Roman" w:hAnsi="Times New Roman" w:cs="Times New Roman"/>
                <w:sz w:val="24"/>
                <w:szCs w:val="24"/>
              </w:rPr>
            </w:pPr>
          </w:p>
        </w:tc>
        <w:tc>
          <w:tcPr>
            <w:tcW w:w="0" w:type="auto"/>
            <w:hideMark/>
          </w:tcPr>
          <w:p w14:paraId="4FB0F8FC" w14:textId="77777777" w:rsidR="00705169" w:rsidRPr="0023060C" w:rsidRDefault="00705169" w:rsidP="0023060C">
            <w:pPr>
              <w:spacing w:line="360" w:lineRule="auto"/>
              <w:jc w:val="both"/>
              <w:rPr>
                <w:rFonts w:ascii="Times New Roman" w:hAnsi="Times New Roman" w:cs="Times New Roman"/>
                <w:sz w:val="24"/>
                <w:szCs w:val="24"/>
              </w:rPr>
            </w:pPr>
          </w:p>
        </w:tc>
      </w:tr>
    </w:tbl>
    <w:p w14:paraId="3F33BB85" w14:textId="77777777" w:rsidR="00A26E93" w:rsidRPr="0023060C" w:rsidRDefault="00A26E93"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Explanation</w:t>
      </w:r>
    </w:p>
    <w:p w14:paraId="3EADAA91"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lastRenderedPageBreak/>
        <w:t>The risk assessment matrix quantifies and classifies each risk element according to its likelihood and potential impact. Proactive risk management throughout the KGX1 project involves customized mitigation techniques for each identified risk element.</w:t>
      </w:r>
    </w:p>
    <w:p w14:paraId="277560EF" w14:textId="77777777" w:rsidR="00A26E93" w:rsidRPr="0023060C" w:rsidRDefault="006F3CC7" w:rsidP="0023060C">
      <w:pPr>
        <w:numPr>
          <w:ilvl w:val="0"/>
          <w:numId w:val="7"/>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Land Fragmentation Risk</w:t>
      </w:r>
      <w:r w:rsidR="00A26E93" w:rsidRPr="0023060C">
        <w:rPr>
          <w:rFonts w:ascii="Times New Roman" w:hAnsi="Times New Roman" w:cs="Times New Roman"/>
          <w:b/>
          <w:bCs/>
          <w:sz w:val="24"/>
          <w:szCs w:val="24"/>
        </w:rPr>
        <w:t xml:space="preserve"> (Likelihood: 4, Impact: 4):</w:t>
      </w:r>
      <w:r w:rsidR="00A26E93" w:rsidRPr="0023060C">
        <w:rPr>
          <w:rFonts w:ascii="Times New Roman" w:hAnsi="Times New Roman" w:cs="Times New Roman"/>
          <w:sz w:val="24"/>
          <w:szCs w:val="24"/>
        </w:rPr>
        <w:t xml:space="preserve"> The risk of land </w:t>
      </w:r>
      <w:r w:rsidR="00E611A2" w:rsidRPr="0023060C">
        <w:rPr>
          <w:rFonts w:ascii="Times New Roman" w:hAnsi="Times New Roman" w:cs="Times New Roman"/>
          <w:sz w:val="24"/>
          <w:szCs w:val="24"/>
        </w:rPr>
        <w:t xml:space="preserve">fragmented </w:t>
      </w:r>
      <w:r w:rsidR="00A26E93" w:rsidRPr="0023060C">
        <w:rPr>
          <w:rFonts w:ascii="Times New Roman" w:hAnsi="Times New Roman" w:cs="Times New Roman"/>
          <w:sz w:val="24"/>
          <w:szCs w:val="24"/>
        </w:rPr>
        <w:t>is high, with significant potential impact. To address this, a collaborative approach with landowners is proposed, aiming for unified development to mitigate delays and conflicts.</w:t>
      </w:r>
    </w:p>
    <w:p w14:paraId="5D1465A6" w14:textId="77777777" w:rsidR="0073540D" w:rsidRPr="0023060C" w:rsidRDefault="0073540D" w:rsidP="0023060C">
      <w:pPr>
        <w:numPr>
          <w:ilvl w:val="0"/>
          <w:numId w:val="7"/>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Space Usage Optimization Risk</w:t>
      </w:r>
      <w:r w:rsidRPr="0023060C">
        <w:rPr>
          <w:rFonts w:ascii="Times New Roman" w:hAnsi="Times New Roman" w:cs="Times New Roman"/>
          <w:b/>
          <w:bCs/>
          <w:sz w:val="24"/>
          <w:szCs w:val="24"/>
        </w:rPr>
        <w:t xml:space="preserve"> (Likelihood: 3, Impact: 3):</w:t>
      </w:r>
      <w:r w:rsidRPr="0023060C">
        <w:rPr>
          <w:rFonts w:ascii="Times New Roman" w:hAnsi="Times New Roman" w:cs="Times New Roman"/>
          <w:sz w:val="24"/>
          <w:szCs w:val="24"/>
        </w:rPr>
        <w:t xml:space="preserve"> The moderate likelihood and impact of sub-optimal space usage necessitate optimizing floor plans for efficiency, ensuring effective resource allocation and project efficiency (Marcellino et al., 2023, September).</w:t>
      </w:r>
    </w:p>
    <w:p w14:paraId="728C6D50" w14:textId="77777777" w:rsidR="00A26E93" w:rsidRPr="0023060C" w:rsidRDefault="000D7A85" w:rsidP="0023060C">
      <w:pPr>
        <w:numPr>
          <w:ilvl w:val="0"/>
          <w:numId w:val="7"/>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Short-Term Returns Preference</w:t>
      </w:r>
      <w:r w:rsidRPr="0023060C">
        <w:rPr>
          <w:rFonts w:ascii="Times New Roman" w:hAnsi="Times New Roman" w:cs="Times New Roman"/>
          <w:b/>
          <w:bCs/>
          <w:sz w:val="24"/>
          <w:szCs w:val="24"/>
        </w:rPr>
        <w:t xml:space="preserve"> </w:t>
      </w:r>
      <w:r w:rsidR="00A26E93" w:rsidRPr="0023060C">
        <w:rPr>
          <w:rFonts w:ascii="Times New Roman" w:hAnsi="Times New Roman" w:cs="Times New Roman"/>
          <w:b/>
          <w:bCs/>
          <w:sz w:val="24"/>
          <w:szCs w:val="24"/>
        </w:rPr>
        <w:t>(Likelihood: 3, Impact: 4):</w:t>
      </w:r>
      <w:r w:rsidR="00A26E93" w:rsidRPr="0023060C">
        <w:rPr>
          <w:rFonts w:ascii="Times New Roman" w:hAnsi="Times New Roman" w:cs="Times New Roman"/>
          <w:sz w:val="24"/>
          <w:szCs w:val="24"/>
        </w:rPr>
        <w:t xml:space="preserve"> While the </w:t>
      </w:r>
      <w:r w:rsidR="00742832" w:rsidRPr="0023060C">
        <w:rPr>
          <w:rFonts w:ascii="Times New Roman" w:hAnsi="Times New Roman" w:cs="Times New Roman"/>
          <w:sz w:val="24"/>
          <w:szCs w:val="24"/>
        </w:rPr>
        <w:t>possibility</w:t>
      </w:r>
      <w:r w:rsidR="00A26E93" w:rsidRPr="0023060C">
        <w:rPr>
          <w:rFonts w:ascii="Times New Roman" w:hAnsi="Times New Roman" w:cs="Times New Roman"/>
          <w:sz w:val="24"/>
          <w:szCs w:val="24"/>
        </w:rPr>
        <w:t xml:space="preserve"> of stakeholders favoring short-term returns is moderate, the </w:t>
      </w:r>
      <w:r w:rsidR="00742832" w:rsidRPr="0023060C">
        <w:rPr>
          <w:rFonts w:ascii="Times New Roman" w:hAnsi="Times New Roman" w:cs="Times New Roman"/>
          <w:sz w:val="24"/>
          <w:szCs w:val="24"/>
        </w:rPr>
        <w:t>effect</w:t>
      </w:r>
      <w:r w:rsidR="00A26E93" w:rsidRPr="0023060C">
        <w:rPr>
          <w:rFonts w:ascii="Times New Roman" w:hAnsi="Times New Roman" w:cs="Times New Roman"/>
          <w:sz w:val="24"/>
          <w:szCs w:val="24"/>
        </w:rPr>
        <w:t xml:space="preserve"> on long-term project </w:t>
      </w:r>
      <w:r w:rsidR="00742832" w:rsidRPr="0023060C">
        <w:rPr>
          <w:rFonts w:ascii="Times New Roman" w:hAnsi="Times New Roman" w:cs="Times New Roman"/>
          <w:sz w:val="24"/>
          <w:szCs w:val="24"/>
        </w:rPr>
        <w:t>aims</w:t>
      </w:r>
      <w:r w:rsidR="00A26E93" w:rsidRPr="0023060C">
        <w:rPr>
          <w:rFonts w:ascii="Times New Roman" w:hAnsi="Times New Roman" w:cs="Times New Roman"/>
          <w:sz w:val="24"/>
          <w:szCs w:val="24"/>
        </w:rPr>
        <w:t xml:space="preserve"> could be high. Mitigation involves developing and communicating </w:t>
      </w:r>
      <w:r w:rsidR="00742832" w:rsidRPr="0023060C">
        <w:rPr>
          <w:rFonts w:ascii="Times New Roman" w:hAnsi="Times New Roman" w:cs="Times New Roman"/>
          <w:sz w:val="24"/>
          <w:szCs w:val="24"/>
        </w:rPr>
        <w:t>convincing</w:t>
      </w:r>
      <w:r w:rsidR="00A26E93" w:rsidRPr="0023060C">
        <w:rPr>
          <w:rFonts w:ascii="Times New Roman" w:hAnsi="Times New Roman" w:cs="Times New Roman"/>
          <w:sz w:val="24"/>
          <w:szCs w:val="24"/>
        </w:rPr>
        <w:t xml:space="preserve"> long-term value propositions to secure stakeholder commitment.</w:t>
      </w:r>
    </w:p>
    <w:p w14:paraId="104A985E" w14:textId="77777777" w:rsidR="00A75AA5" w:rsidRPr="0023060C" w:rsidRDefault="00A75AA5" w:rsidP="0023060C">
      <w:pPr>
        <w:numPr>
          <w:ilvl w:val="0"/>
          <w:numId w:val="7"/>
        </w:numPr>
        <w:spacing w:line="360" w:lineRule="auto"/>
        <w:jc w:val="both"/>
        <w:rPr>
          <w:rFonts w:ascii="Times New Roman" w:hAnsi="Times New Roman" w:cs="Times New Roman"/>
          <w:sz w:val="24"/>
          <w:szCs w:val="24"/>
        </w:rPr>
      </w:pPr>
      <w:r w:rsidRPr="0023060C">
        <w:rPr>
          <w:rFonts w:ascii="Times New Roman" w:hAnsi="Times New Roman" w:cs="Times New Roman"/>
          <w:b/>
          <w:bCs/>
          <w:sz w:val="24"/>
          <w:szCs w:val="24"/>
        </w:rPr>
        <w:t>Pandemic-related Delays Risk (Likelihood: 4, Impact: 5):</w:t>
      </w:r>
      <w:r w:rsidRPr="0023060C">
        <w:rPr>
          <w:rFonts w:ascii="Times New Roman" w:hAnsi="Times New Roman" w:cs="Times New Roman"/>
          <w:sz w:val="24"/>
          <w:szCs w:val="24"/>
        </w:rPr>
        <w:t xml:space="preserve"> The high likelihood of pandemic-related delays, with a very high potential impact, requires the development of contingency plans and flexible timelines. This proactive approach ensures adaptability to unforeseen circumstances, preventing significant setbacks (Talling, 2019).</w:t>
      </w:r>
    </w:p>
    <w:p w14:paraId="18C3FCD5" w14:textId="77777777" w:rsidR="00A26E93" w:rsidRPr="0023060C" w:rsidRDefault="00A26E93" w:rsidP="0023060C">
      <w:pPr>
        <w:numPr>
          <w:ilvl w:val="0"/>
          <w:numId w:val="7"/>
        </w:numPr>
        <w:spacing w:line="360" w:lineRule="auto"/>
        <w:jc w:val="both"/>
        <w:rPr>
          <w:rFonts w:ascii="Times New Roman" w:hAnsi="Times New Roman" w:cs="Times New Roman"/>
          <w:sz w:val="24"/>
          <w:szCs w:val="24"/>
        </w:rPr>
      </w:pPr>
      <w:r w:rsidRPr="0023060C">
        <w:rPr>
          <w:rFonts w:ascii="Times New Roman" w:hAnsi="Times New Roman" w:cs="Times New Roman"/>
          <w:b/>
          <w:bCs/>
          <w:sz w:val="24"/>
          <w:szCs w:val="24"/>
        </w:rPr>
        <w:t xml:space="preserve">Urban Blight </w:t>
      </w:r>
      <w:r w:rsidR="006B7938" w:rsidRPr="0023060C">
        <w:rPr>
          <w:rFonts w:ascii="Times New Roman" w:hAnsi="Times New Roman" w:cs="Times New Roman"/>
          <w:b/>
          <w:bCs/>
          <w:sz w:val="24"/>
          <w:szCs w:val="24"/>
        </w:rPr>
        <w:t xml:space="preserve">Risk </w:t>
      </w:r>
      <w:r w:rsidRPr="0023060C">
        <w:rPr>
          <w:rFonts w:ascii="Times New Roman" w:hAnsi="Times New Roman" w:cs="Times New Roman"/>
          <w:b/>
          <w:bCs/>
          <w:sz w:val="24"/>
          <w:szCs w:val="24"/>
        </w:rPr>
        <w:t>(Likelihood: 2, Impact: 4):</w:t>
      </w:r>
      <w:r w:rsidRPr="0023060C">
        <w:rPr>
          <w:rFonts w:ascii="Times New Roman" w:hAnsi="Times New Roman" w:cs="Times New Roman"/>
          <w:sz w:val="24"/>
          <w:szCs w:val="24"/>
        </w:rPr>
        <w:t xml:space="preserve"> Although the likelihood of urban blight is low, its potential impact on the project's reputation is high. </w:t>
      </w:r>
      <w:r w:rsidR="00553387" w:rsidRPr="0023060C">
        <w:rPr>
          <w:rFonts w:ascii="Times New Roman" w:hAnsi="Times New Roman" w:cs="Times New Roman"/>
          <w:sz w:val="24"/>
          <w:szCs w:val="24"/>
        </w:rPr>
        <w:t>Making investment</w:t>
      </w:r>
      <w:r w:rsidRPr="0023060C">
        <w:rPr>
          <w:rFonts w:ascii="Times New Roman" w:hAnsi="Times New Roman" w:cs="Times New Roman"/>
          <w:sz w:val="24"/>
          <w:szCs w:val="24"/>
        </w:rPr>
        <w:t xml:space="preserve"> in community development and revitalization mitigates this risk, fostering positive community ties.</w:t>
      </w:r>
    </w:p>
    <w:p w14:paraId="31C73113" w14:textId="77777777" w:rsidR="003B3CD6" w:rsidRPr="0023060C" w:rsidRDefault="0023060C" w:rsidP="0023060C">
      <w:pPr>
        <w:pStyle w:val="Heading2"/>
        <w:spacing w:line="360" w:lineRule="auto"/>
        <w:jc w:val="both"/>
        <w:rPr>
          <w:rFonts w:ascii="Times New Roman" w:hAnsi="Times New Roman" w:cs="Times New Roman"/>
          <w:color w:val="auto"/>
          <w:sz w:val="24"/>
          <w:szCs w:val="24"/>
        </w:rPr>
      </w:pPr>
      <w:bookmarkStart w:id="10" w:name="_Toc150520690"/>
      <w:r w:rsidRPr="0023060C">
        <w:rPr>
          <w:rFonts w:ascii="Times New Roman" w:hAnsi="Times New Roman" w:cs="Times New Roman"/>
          <w:color w:val="auto"/>
          <w:sz w:val="24"/>
          <w:szCs w:val="24"/>
        </w:rPr>
        <w:t xml:space="preserve">9. </w:t>
      </w:r>
      <w:r w:rsidR="003B3CD6" w:rsidRPr="0023060C">
        <w:rPr>
          <w:rFonts w:ascii="Times New Roman" w:hAnsi="Times New Roman" w:cs="Times New Roman"/>
          <w:color w:val="auto"/>
          <w:sz w:val="24"/>
          <w:szCs w:val="24"/>
        </w:rPr>
        <w:t>Procurement</w:t>
      </w:r>
      <w:bookmarkEnd w:id="10"/>
    </w:p>
    <w:p w14:paraId="41B27A7F" w14:textId="77777777" w:rsidR="003B3CD6" w:rsidRPr="0023060C" w:rsidRDefault="003B3CD6"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Procurement strategies play a pivotal role in the success of the KGX1 project by establishing effective collaborations with contractors and suppliers. The procurement strategy encompasses key components to ensure the project's adherence to budget, maintenance of quality standards, and timely completion</w:t>
      </w:r>
      <w:r w:rsidR="002E0AEE" w:rsidRPr="0023060C">
        <w:rPr>
          <w:rFonts w:ascii="Times New Roman" w:hAnsi="Times New Roman" w:cs="Times New Roman"/>
          <w:sz w:val="24"/>
          <w:szCs w:val="24"/>
        </w:rPr>
        <w:t xml:space="preserve"> (Taws, 2019)</w:t>
      </w:r>
      <w:r w:rsidRPr="0023060C">
        <w:rPr>
          <w:rFonts w:ascii="Times New Roman" w:hAnsi="Times New Roman" w:cs="Times New Roman"/>
          <w:sz w:val="24"/>
          <w:szCs w:val="24"/>
        </w:rPr>
        <w:t>.</w:t>
      </w:r>
    </w:p>
    <w:p w14:paraId="771236BF" w14:textId="77777777" w:rsidR="003B3CD6" w:rsidRPr="0023060C" w:rsidRDefault="003B3CD6" w:rsidP="0023060C">
      <w:pPr>
        <w:numPr>
          <w:ilvl w:val="0"/>
          <w:numId w:val="8"/>
        </w:numPr>
        <w:spacing w:line="360" w:lineRule="auto"/>
        <w:jc w:val="both"/>
        <w:rPr>
          <w:rFonts w:ascii="Times New Roman" w:hAnsi="Times New Roman" w:cs="Times New Roman"/>
          <w:sz w:val="24"/>
          <w:szCs w:val="24"/>
        </w:rPr>
      </w:pPr>
      <w:r w:rsidRPr="0023060C">
        <w:rPr>
          <w:rFonts w:ascii="Times New Roman" w:hAnsi="Times New Roman" w:cs="Times New Roman"/>
          <w:b/>
          <w:bCs/>
          <w:sz w:val="24"/>
          <w:szCs w:val="24"/>
        </w:rPr>
        <w:lastRenderedPageBreak/>
        <w:t>Collaborative Partnerships:</w:t>
      </w:r>
      <w:r w:rsidRPr="0023060C">
        <w:rPr>
          <w:rFonts w:ascii="Times New Roman" w:hAnsi="Times New Roman" w:cs="Times New Roman"/>
          <w:sz w:val="24"/>
          <w:szCs w:val="24"/>
        </w:rPr>
        <w:t xml:space="preserve"> Fostering collaborative partnerships with contractors and suppliers is paramount. Emphasizing shared project goals ensures a unified approach, promoting transparency, and addressing challenges collectively</w:t>
      </w:r>
      <w:r w:rsidR="00AA5D8C" w:rsidRPr="0023060C">
        <w:rPr>
          <w:rFonts w:ascii="Times New Roman" w:hAnsi="Times New Roman" w:cs="Times New Roman"/>
          <w:sz w:val="24"/>
          <w:szCs w:val="24"/>
        </w:rPr>
        <w:t xml:space="preserve"> (Talling, 2019)</w:t>
      </w:r>
      <w:r w:rsidRPr="0023060C">
        <w:rPr>
          <w:rFonts w:ascii="Times New Roman" w:hAnsi="Times New Roman" w:cs="Times New Roman"/>
          <w:sz w:val="24"/>
          <w:szCs w:val="24"/>
        </w:rPr>
        <w:t>.</w:t>
      </w:r>
    </w:p>
    <w:p w14:paraId="10CB2AB6" w14:textId="77777777" w:rsidR="003B3CD6" w:rsidRPr="0023060C" w:rsidRDefault="003B3CD6" w:rsidP="0023060C">
      <w:pPr>
        <w:numPr>
          <w:ilvl w:val="0"/>
          <w:numId w:val="8"/>
        </w:numPr>
        <w:spacing w:line="360" w:lineRule="auto"/>
        <w:jc w:val="both"/>
        <w:rPr>
          <w:rFonts w:ascii="Times New Roman" w:hAnsi="Times New Roman" w:cs="Times New Roman"/>
          <w:sz w:val="24"/>
          <w:szCs w:val="24"/>
        </w:rPr>
      </w:pPr>
      <w:r w:rsidRPr="0023060C">
        <w:rPr>
          <w:rFonts w:ascii="Times New Roman" w:hAnsi="Times New Roman" w:cs="Times New Roman"/>
          <w:b/>
          <w:bCs/>
          <w:sz w:val="24"/>
          <w:szCs w:val="24"/>
        </w:rPr>
        <w:t>Quality Assurance:</w:t>
      </w:r>
      <w:r w:rsidRPr="0023060C">
        <w:rPr>
          <w:rFonts w:ascii="Times New Roman" w:hAnsi="Times New Roman" w:cs="Times New Roman"/>
          <w:sz w:val="24"/>
          <w:szCs w:val="24"/>
        </w:rPr>
        <w:t xml:space="preserve"> Rigorous quality assurance measures are implemented for materials and construction processes. </w:t>
      </w:r>
      <w:r w:rsidR="00122CA6" w:rsidRPr="0023060C">
        <w:rPr>
          <w:rFonts w:ascii="Times New Roman" w:hAnsi="Times New Roman" w:cs="Times New Roman"/>
          <w:sz w:val="24"/>
          <w:szCs w:val="24"/>
        </w:rPr>
        <w:t>This guarantees that the project upholds the highest standards, satisfying Google's dedication to quality as well as legal requirements.</w:t>
      </w:r>
    </w:p>
    <w:p w14:paraId="5D323C31" w14:textId="77777777" w:rsidR="00D44272" w:rsidRPr="0023060C" w:rsidRDefault="003B3CD6" w:rsidP="0023060C">
      <w:pPr>
        <w:numPr>
          <w:ilvl w:val="0"/>
          <w:numId w:val="8"/>
        </w:numPr>
        <w:spacing w:line="360" w:lineRule="auto"/>
        <w:jc w:val="both"/>
        <w:rPr>
          <w:rFonts w:ascii="Times New Roman" w:hAnsi="Times New Roman" w:cs="Times New Roman"/>
          <w:sz w:val="24"/>
          <w:szCs w:val="24"/>
        </w:rPr>
      </w:pPr>
      <w:r w:rsidRPr="0023060C">
        <w:rPr>
          <w:rFonts w:ascii="Times New Roman" w:hAnsi="Times New Roman" w:cs="Times New Roman"/>
          <w:b/>
          <w:bCs/>
          <w:sz w:val="24"/>
          <w:szCs w:val="24"/>
        </w:rPr>
        <w:t>Cost Control:</w:t>
      </w:r>
      <w:r w:rsidRPr="0023060C">
        <w:rPr>
          <w:rFonts w:ascii="Times New Roman" w:hAnsi="Times New Roman" w:cs="Times New Roman"/>
          <w:sz w:val="24"/>
          <w:szCs w:val="24"/>
        </w:rPr>
        <w:t xml:space="preserve"> </w:t>
      </w:r>
      <w:r w:rsidR="00D44272" w:rsidRPr="0023060C">
        <w:rPr>
          <w:rFonts w:ascii="Times New Roman" w:hAnsi="Times New Roman" w:cs="Times New Roman"/>
          <w:sz w:val="24"/>
          <w:szCs w:val="24"/>
        </w:rPr>
        <w:t>To ensure effective resource allocation and avoid overpaying, procurement expenses are reviewed regularly. According to Ibrahim and Abdessamad (2019), this proactive strategy supports financial stability and is consistent with the project's overall financial goals.</w:t>
      </w:r>
    </w:p>
    <w:p w14:paraId="6B3C06DB" w14:textId="77777777" w:rsidR="00A21533" w:rsidRPr="0023060C" w:rsidRDefault="00D44272" w:rsidP="0023060C">
      <w:pPr>
        <w:spacing w:line="360" w:lineRule="auto"/>
        <w:jc w:val="both"/>
        <w:rPr>
          <w:rFonts w:ascii="Times New Roman" w:hAnsi="Times New Roman" w:cs="Times New Roman"/>
          <w:b/>
          <w:sz w:val="24"/>
          <w:szCs w:val="24"/>
        </w:rPr>
      </w:pPr>
      <w:r w:rsidRPr="0023060C">
        <w:rPr>
          <w:rFonts w:ascii="Times New Roman" w:hAnsi="Times New Roman" w:cs="Times New Roman"/>
          <w:sz w:val="24"/>
          <w:szCs w:val="24"/>
        </w:rPr>
        <w:t>Through the integration of these fundamental elements into the procurement plan, the KGX1 project creates a strong foundation for cooperative and quality-driven collaborations, which are necessary for an effective and well-managed undertaking (Talling, 2019).</w:t>
      </w:r>
    </w:p>
    <w:p w14:paraId="78DFDE57" w14:textId="77777777" w:rsidR="00564225" w:rsidRPr="0023060C" w:rsidRDefault="0023060C" w:rsidP="0023060C">
      <w:pPr>
        <w:pStyle w:val="Heading2"/>
        <w:spacing w:line="360" w:lineRule="auto"/>
        <w:jc w:val="both"/>
        <w:rPr>
          <w:rFonts w:ascii="Times New Roman" w:hAnsi="Times New Roman" w:cs="Times New Roman"/>
          <w:color w:val="auto"/>
          <w:sz w:val="24"/>
          <w:szCs w:val="24"/>
        </w:rPr>
      </w:pPr>
      <w:bookmarkStart w:id="11" w:name="_Toc150520691"/>
      <w:r w:rsidRPr="0023060C">
        <w:rPr>
          <w:rFonts w:ascii="Times New Roman" w:hAnsi="Times New Roman" w:cs="Times New Roman"/>
          <w:color w:val="auto"/>
          <w:sz w:val="24"/>
          <w:szCs w:val="24"/>
        </w:rPr>
        <w:t xml:space="preserve">10. </w:t>
      </w:r>
      <w:r w:rsidR="00DF697A" w:rsidRPr="0023060C">
        <w:rPr>
          <w:rFonts w:ascii="Times New Roman" w:hAnsi="Times New Roman" w:cs="Times New Roman"/>
          <w:color w:val="auto"/>
          <w:sz w:val="24"/>
          <w:szCs w:val="24"/>
        </w:rPr>
        <w:t>Stakeholder</w:t>
      </w:r>
      <w:bookmarkEnd w:id="11"/>
    </w:p>
    <w:p w14:paraId="3F61A744" w14:textId="77777777" w:rsidR="00564225" w:rsidRPr="0023060C" w:rsidRDefault="0068366E"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The KGX1 project at King's Cross involves many different stakeholders, each with their expectations, roles, and interests. Stakeholder engagement and communication strategies need to be carefully planned to achieve effective stakeholder management, which is both crucial and difficult (Taws, 2019).</w:t>
      </w:r>
    </w:p>
    <w:p w14:paraId="205AB8B1" w14:textId="77777777" w:rsidR="00DC219C" w:rsidRPr="0023060C" w:rsidRDefault="00385972" w:rsidP="0023060C">
      <w:pPr>
        <w:spacing w:line="360" w:lineRule="auto"/>
        <w:jc w:val="both"/>
        <w:rPr>
          <w:rFonts w:ascii="Times New Roman" w:hAnsi="Times New Roman" w:cs="Times New Roman"/>
          <w:sz w:val="24"/>
          <w:szCs w:val="24"/>
        </w:rPr>
      </w:pPr>
      <w:r w:rsidRPr="0023060C">
        <w:rPr>
          <w:rFonts w:ascii="Times New Roman" w:hAnsi="Times New Roman" w:cs="Times New Roman"/>
          <w:noProof/>
          <w:sz w:val="24"/>
          <w:szCs w:val="24"/>
          <w:lang w:val="en-US"/>
        </w:rPr>
        <w:lastRenderedPageBreak/>
        <w:drawing>
          <wp:inline distT="0" distB="0" distL="0" distR="0" wp14:anchorId="04883027" wp14:editId="77ABEF47">
            <wp:extent cx="6528391" cy="4465674"/>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36C21BC" w14:textId="77777777" w:rsidR="00DB1544" w:rsidRPr="0023060C" w:rsidRDefault="00DC219C" w:rsidP="008768D8">
      <w:pPr>
        <w:pStyle w:val="Caption"/>
        <w:spacing w:line="360" w:lineRule="auto"/>
        <w:jc w:val="center"/>
        <w:rPr>
          <w:rFonts w:ascii="Times New Roman" w:hAnsi="Times New Roman" w:cs="Times New Roman"/>
          <w:color w:val="auto"/>
          <w:sz w:val="24"/>
          <w:szCs w:val="24"/>
        </w:rPr>
      </w:pPr>
      <w:r w:rsidRPr="0023060C">
        <w:rPr>
          <w:rFonts w:ascii="Times New Roman" w:hAnsi="Times New Roman" w:cs="Times New Roman"/>
          <w:color w:val="auto"/>
          <w:sz w:val="24"/>
          <w:szCs w:val="24"/>
        </w:rPr>
        <w:t xml:space="preserve">Figure </w:t>
      </w:r>
      <w:r w:rsidR="001A131B" w:rsidRPr="0023060C">
        <w:rPr>
          <w:rFonts w:ascii="Times New Roman" w:hAnsi="Times New Roman" w:cs="Times New Roman"/>
          <w:color w:val="auto"/>
          <w:sz w:val="24"/>
          <w:szCs w:val="24"/>
        </w:rPr>
        <w:fldChar w:fldCharType="begin"/>
      </w:r>
      <w:r w:rsidRPr="0023060C">
        <w:rPr>
          <w:rFonts w:ascii="Times New Roman" w:hAnsi="Times New Roman" w:cs="Times New Roman"/>
          <w:color w:val="auto"/>
          <w:sz w:val="24"/>
          <w:szCs w:val="24"/>
        </w:rPr>
        <w:instrText xml:space="preserve"> SEQ Figure \* ARABIC </w:instrText>
      </w:r>
      <w:r w:rsidR="001A131B" w:rsidRPr="0023060C">
        <w:rPr>
          <w:rFonts w:ascii="Times New Roman" w:hAnsi="Times New Roman" w:cs="Times New Roman"/>
          <w:color w:val="auto"/>
          <w:sz w:val="24"/>
          <w:szCs w:val="24"/>
        </w:rPr>
        <w:fldChar w:fldCharType="separate"/>
      </w:r>
      <w:r w:rsidR="000C7931" w:rsidRPr="0023060C">
        <w:rPr>
          <w:rFonts w:ascii="Times New Roman" w:hAnsi="Times New Roman" w:cs="Times New Roman"/>
          <w:noProof/>
          <w:color w:val="auto"/>
          <w:sz w:val="24"/>
          <w:szCs w:val="24"/>
        </w:rPr>
        <w:t>2</w:t>
      </w:r>
      <w:r w:rsidR="001A131B" w:rsidRPr="0023060C">
        <w:rPr>
          <w:rFonts w:ascii="Times New Roman" w:hAnsi="Times New Roman" w:cs="Times New Roman"/>
          <w:color w:val="auto"/>
          <w:sz w:val="24"/>
          <w:szCs w:val="24"/>
        </w:rPr>
        <w:fldChar w:fldCharType="end"/>
      </w:r>
      <w:r w:rsidRPr="0023060C">
        <w:rPr>
          <w:rFonts w:ascii="Times New Roman" w:hAnsi="Times New Roman" w:cs="Times New Roman"/>
          <w:color w:val="auto"/>
          <w:sz w:val="24"/>
          <w:szCs w:val="24"/>
        </w:rPr>
        <w:t>: Stakeholder</w:t>
      </w:r>
      <w:r w:rsidR="00DB1544" w:rsidRPr="0023060C">
        <w:rPr>
          <w:rFonts w:ascii="Times New Roman" w:hAnsi="Times New Roman" w:cs="Times New Roman"/>
          <w:color w:val="auto"/>
          <w:sz w:val="24"/>
          <w:szCs w:val="24"/>
        </w:rPr>
        <w:t>, Source: - (Taws, 2019)</w:t>
      </w:r>
    </w:p>
    <w:p w14:paraId="7657156A" w14:textId="77777777" w:rsidR="00451278" w:rsidRPr="0023060C" w:rsidRDefault="00451278" w:rsidP="0023060C">
      <w:pPr>
        <w:spacing w:line="360" w:lineRule="auto"/>
        <w:jc w:val="both"/>
        <w:rPr>
          <w:rFonts w:ascii="Times New Roman" w:hAnsi="Times New Roman" w:cs="Times New Roman"/>
          <w:b/>
          <w:sz w:val="24"/>
          <w:szCs w:val="24"/>
        </w:rPr>
      </w:pPr>
      <w:r w:rsidRPr="0023060C">
        <w:rPr>
          <w:rFonts w:ascii="Times New Roman" w:hAnsi="Times New Roman" w:cs="Times New Roman"/>
          <w:b/>
          <w:sz w:val="24"/>
          <w:szCs w:val="24"/>
        </w:rPr>
        <w:t>Stakeholder Analysis: Key Stakeholders and Interests</w:t>
      </w:r>
    </w:p>
    <w:p w14:paraId="05DD87D6" w14:textId="77777777" w:rsidR="004A4D34" w:rsidRPr="0023060C" w:rsidRDefault="00451278" w:rsidP="0023060C">
      <w:pPr>
        <w:pStyle w:val="ListParagraph"/>
        <w:numPr>
          <w:ilvl w:val="0"/>
          <w:numId w:val="12"/>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Google:</w:t>
      </w:r>
      <w:r w:rsidRPr="0023060C">
        <w:rPr>
          <w:rFonts w:ascii="Times New Roman" w:hAnsi="Times New Roman" w:cs="Times New Roman"/>
          <w:sz w:val="24"/>
          <w:szCs w:val="24"/>
        </w:rPr>
        <w:t xml:space="preserve"> </w:t>
      </w:r>
      <w:r w:rsidR="004A4D34" w:rsidRPr="0023060C">
        <w:rPr>
          <w:rFonts w:ascii="Times New Roman" w:hAnsi="Times New Roman" w:cs="Times New Roman"/>
          <w:sz w:val="24"/>
          <w:szCs w:val="24"/>
        </w:rPr>
        <w:t>Assure prompt and economical completion, giving staff members a contemporary and environmentally friendly work environment.</w:t>
      </w:r>
    </w:p>
    <w:p w14:paraId="1EB0C7D4" w14:textId="77777777" w:rsidR="0068366E" w:rsidRPr="0023060C" w:rsidRDefault="004A4D34" w:rsidP="0023060C">
      <w:pPr>
        <w:pStyle w:val="ListParagraph"/>
        <w:numPr>
          <w:ilvl w:val="0"/>
          <w:numId w:val="12"/>
        </w:num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Local Community: Have a good influence on the </w:t>
      </w:r>
      <w:r w:rsidR="008768D8" w:rsidRPr="0023060C">
        <w:rPr>
          <w:rFonts w:ascii="Times New Roman" w:hAnsi="Times New Roman" w:cs="Times New Roman"/>
          <w:sz w:val="24"/>
          <w:szCs w:val="24"/>
        </w:rPr>
        <w:t>neighbourhood</w:t>
      </w:r>
      <w:r w:rsidRPr="0023060C">
        <w:rPr>
          <w:rFonts w:ascii="Times New Roman" w:hAnsi="Times New Roman" w:cs="Times New Roman"/>
          <w:sz w:val="24"/>
          <w:szCs w:val="24"/>
        </w:rPr>
        <w:t xml:space="preserve"> by enhancing infrastructure, creating job opportunities, and fostering a thriving local economy (Marcellino et al., 2023, September).</w:t>
      </w:r>
    </w:p>
    <w:p w14:paraId="7EEED47F" w14:textId="77777777" w:rsidR="00451278" w:rsidRPr="0023060C" w:rsidRDefault="00451278" w:rsidP="0023060C">
      <w:pPr>
        <w:pStyle w:val="ListParagraph"/>
        <w:numPr>
          <w:ilvl w:val="0"/>
          <w:numId w:val="12"/>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Government Agencies:</w:t>
      </w:r>
      <w:r w:rsidRPr="0023060C">
        <w:rPr>
          <w:rFonts w:ascii="Times New Roman" w:hAnsi="Times New Roman" w:cs="Times New Roman"/>
          <w:sz w:val="24"/>
          <w:szCs w:val="24"/>
        </w:rPr>
        <w:t xml:space="preserve"> Collaborate with local government agencies for regulatory oversight, permitting, and compliance.</w:t>
      </w:r>
    </w:p>
    <w:p w14:paraId="2B5B0D17" w14:textId="77777777" w:rsidR="00451278" w:rsidRPr="0023060C" w:rsidRDefault="00451278" w:rsidP="0023060C">
      <w:pPr>
        <w:pStyle w:val="ListParagraph"/>
        <w:numPr>
          <w:ilvl w:val="0"/>
          <w:numId w:val="12"/>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t>Contractors and Suppliers:</w:t>
      </w:r>
      <w:r w:rsidRPr="0023060C">
        <w:rPr>
          <w:rFonts w:ascii="Times New Roman" w:hAnsi="Times New Roman" w:cs="Times New Roman"/>
          <w:sz w:val="24"/>
          <w:szCs w:val="24"/>
        </w:rPr>
        <w:t xml:space="preserve"> Maintain effective collaboration for timely project completion, quality standards, and cost management.</w:t>
      </w:r>
    </w:p>
    <w:p w14:paraId="5F11F60F" w14:textId="77777777" w:rsidR="00451278" w:rsidRPr="0023060C" w:rsidRDefault="00451278" w:rsidP="0023060C">
      <w:pPr>
        <w:pStyle w:val="ListParagraph"/>
        <w:numPr>
          <w:ilvl w:val="0"/>
          <w:numId w:val="12"/>
        </w:numPr>
        <w:spacing w:line="360" w:lineRule="auto"/>
        <w:jc w:val="both"/>
        <w:rPr>
          <w:rFonts w:ascii="Times New Roman" w:hAnsi="Times New Roman" w:cs="Times New Roman"/>
          <w:sz w:val="24"/>
          <w:szCs w:val="24"/>
        </w:rPr>
      </w:pPr>
      <w:r w:rsidRPr="0023060C">
        <w:rPr>
          <w:rFonts w:ascii="Times New Roman" w:hAnsi="Times New Roman" w:cs="Times New Roman"/>
          <w:b/>
          <w:sz w:val="24"/>
          <w:szCs w:val="24"/>
        </w:rPr>
        <w:lastRenderedPageBreak/>
        <w:t>Employees:</w:t>
      </w:r>
      <w:r w:rsidRPr="0023060C">
        <w:rPr>
          <w:rFonts w:ascii="Times New Roman" w:hAnsi="Times New Roman" w:cs="Times New Roman"/>
          <w:sz w:val="24"/>
          <w:szCs w:val="24"/>
        </w:rPr>
        <w:t xml:space="preserve"> Consider Google employees' input and feedback for a comfortable and inspiring workspace</w:t>
      </w:r>
      <w:r w:rsidR="006D7D51" w:rsidRPr="0023060C">
        <w:rPr>
          <w:rFonts w:ascii="Times New Roman" w:hAnsi="Times New Roman" w:cs="Times New Roman"/>
          <w:sz w:val="24"/>
          <w:szCs w:val="24"/>
        </w:rPr>
        <w:t xml:space="preserve"> (Talling, 2019)</w:t>
      </w:r>
      <w:r w:rsidRPr="0023060C">
        <w:rPr>
          <w:rFonts w:ascii="Times New Roman" w:hAnsi="Times New Roman" w:cs="Times New Roman"/>
          <w:sz w:val="24"/>
          <w:szCs w:val="24"/>
        </w:rPr>
        <w:t>.</w:t>
      </w:r>
    </w:p>
    <w:p w14:paraId="4F197AF6" w14:textId="77777777" w:rsidR="00451278" w:rsidRPr="0023060C" w:rsidRDefault="00451278"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Engaging and communicating with these stakeholders is fundamental to project success, aligning with Google's aspiration to create a workspace that seamlessly integrates with the local community</w:t>
      </w:r>
      <w:r w:rsidR="00782682" w:rsidRPr="0023060C">
        <w:rPr>
          <w:rFonts w:ascii="Times New Roman" w:hAnsi="Times New Roman" w:cs="Times New Roman"/>
          <w:sz w:val="24"/>
          <w:szCs w:val="24"/>
        </w:rPr>
        <w:t xml:space="preserve"> (Marcellino et al., 2023, September)</w:t>
      </w:r>
      <w:r w:rsidRPr="0023060C">
        <w:rPr>
          <w:rFonts w:ascii="Times New Roman" w:hAnsi="Times New Roman" w:cs="Times New Roman"/>
          <w:sz w:val="24"/>
          <w:szCs w:val="24"/>
        </w:rPr>
        <w:t>.</w:t>
      </w:r>
    </w:p>
    <w:p w14:paraId="1F8EFD38" w14:textId="77777777" w:rsidR="00DF697A" w:rsidRPr="0023060C" w:rsidRDefault="00DF697A" w:rsidP="0023060C">
      <w:pPr>
        <w:pStyle w:val="Heading1"/>
        <w:spacing w:line="360" w:lineRule="auto"/>
        <w:jc w:val="both"/>
        <w:rPr>
          <w:rFonts w:ascii="Times New Roman" w:hAnsi="Times New Roman" w:cs="Times New Roman"/>
          <w:color w:val="auto"/>
          <w:sz w:val="24"/>
          <w:szCs w:val="24"/>
        </w:rPr>
      </w:pPr>
      <w:bookmarkStart w:id="12" w:name="_Toc150520692"/>
      <w:r w:rsidRPr="0023060C">
        <w:rPr>
          <w:rFonts w:ascii="Times New Roman" w:hAnsi="Times New Roman" w:cs="Times New Roman"/>
          <w:color w:val="auto"/>
          <w:sz w:val="24"/>
          <w:szCs w:val="24"/>
        </w:rPr>
        <w:t>Conclusion</w:t>
      </w:r>
      <w:bookmarkEnd w:id="12"/>
    </w:p>
    <w:p w14:paraId="4B951C9E" w14:textId="77777777" w:rsidR="001F4F61" w:rsidRDefault="00DF697A"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In conclusion, the KGX1 project emerges as a multifaceted challenge and opportunity for Google, encapsulating ambitious scope, a well-defined timeline, substantial budget, and unwavering commitment to quality and sustainability. The comprehensive assessment conducted sheds light on various facets of the project, providing a nuanced understanding </w:t>
      </w:r>
      <w:r w:rsidR="008768D8">
        <w:rPr>
          <w:rFonts w:ascii="Times New Roman" w:hAnsi="Times New Roman" w:cs="Times New Roman"/>
          <w:sz w:val="24"/>
          <w:szCs w:val="24"/>
        </w:rPr>
        <w:t>regarding this project</w:t>
      </w:r>
      <w:r w:rsidRPr="0023060C">
        <w:rPr>
          <w:rFonts w:ascii="Times New Roman" w:hAnsi="Times New Roman" w:cs="Times New Roman"/>
          <w:sz w:val="24"/>
          <w:szCs w:val="24"/>
        </w:rPr>
        <w:t>.</w:t>
      </w:r>
      <w:r w:rsidR="008768D8">
        <w:rPr>
          <w:rFonts w:ascii="Times New Roman" w:hAnsi="Times New Roman" w:cs="Times New Roman"/>
          <w:sz w:val="24"/>
          <w:szCs w:val="24"/>
        </w:rPr>
        <w:t xml:space="preserve"> </w:t>
      </w:r>
      <w:r w:rsidRPr="0023060C">
        <w:rPr>
          <w:rFonts w:ascii="Times New Roman" w:hAnsi="Times New Roman" w:cs="Times New Roman"/>
          <w:sz w:val="24"/>
          <w:szCs w:val="24"/>
        </w:rPr>
        <w:t>Looking ahead, proactive management strategies, transparent communication channels, and adaptive methodologies will be paramount for navigating potential challenges and ensuring the successful completion of the KGX1 project by 2024. Google's dedication to innovation and sustainability, epitomized by the KGX1 project, not only cements its position as a major player in shaping the future of workspaces but also underscores its commitment to fostering community development in the vibrant King's Cross locale.</w:t>
      </w:r>
      <w:r w:rsidR="009448B5">
        <w:rPr>
          <w:rFonts w:ascii="Times New Roman" w:hAnsi="Times New Roman" w:cs="Times New Roman"/>
          <w:sz w:val="24"/>
          <w:szCs w:val="24"/>
        </w:rPr>
        <w:t xml:space="preserve"> </w:t>
      </w:r>
      <w:r w:rsidR="006F66CD">
        <w:rPr>
          <w:rFonts w:ascii="Times New Roman" w:hAnsi="Times New Roman" w:cs="Times New Roman"/>
          <w:sz w:val="24"/>
          <w:szCs w:val="24"/>
        </w:rPr>
        <w:t>It has been evaluated that t</w:t>
      </w:r>
      <w:r w:rsidR="009448B5" w:rsidRPr="0023060C">
        <w:rPr>
          <w:rFonts w:ascii="Times New Roman" w:hAnsi="Times New Roman" w:cs="Times New Roman"/>
          <w:sz w:val="24"/>
          <w:szCs w:val="24"/>
        </w:rPr>
        <w:t>he KGX1 project creates a strong foundation for cooperative and quality-driven collaborations, which are necessary for an effective and well-managed undertaking</w:t>
      </w:r>
    </w:p>
    <w:p w14:paraId="3277B9FB" w14:textId="77777777" w:rsidR="008768D8" w:rsidRPr="0023060C" w:rsidRDefault="008768D8" w:rsidP="0023060C">
      <w:pPr>
        <w:spacing w:line="360" w:lineRule="auto"/>
        <w:jc w:val="both"/>
        <w:rPr>
          <w:rFonts w:ascii="Times New Roman" w:hAnsi="Times New Roman" w:cs="Times New Roman"/>
          <w:sz w:val="24"/>
          <w:szCs w:val="24"/>
        </w:rPr>
      </w:pPr>
    </w:p>
    <w:p w14:paraId="3626B132" w14:textId="77777777" w:rsidR="001F4F61" w:rsidRPr="0023060C" w:rsidRDefault="001F4F61"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br w:type="page"/>
      </w:r>
    </w:p>
    <w:p w14:paraId="05688AEF" w14:textId="77777777" w:rsidR="00DF697A" w:rsidRPr="0023060C" w:rsidRDefault="001F4F61" w:rsidP="0023060C">
      <w:pPr>
        <w:pStyle w:val="Heading1"/>
        <w:spacing w:line="360" w:lineRule="auto"/>
        <w:jc w:val="both"/>
        <w:rPr>
          <w:rFonts w:ascii="Times New Roman" w:hAnsi="Times New Roman" w:cs="Times New Roman"/>
          <w:color w:val="auto"/>
          <w:sz w:val="24"/>
          <w:szCs w:val="24"/>
        </w:rPr>
      </w:pPr>
      <w:bookmarkStart w:id="13" w:name="_Toc150520693"/>
      <w:r w:rsidRPr="0023060C">
        <w:rPr>
          <w:rFonts w:ascii="Times New Roman" w:hAnsi="Times New Roman" w:cs="Times New Roman"/>
          <w:color w:val="auto"/>
          <w:sz w:val="24"/>
          <w:szCs w:val="24"/>
        </w:rPr>
        <w:lastRenderedPageBreak/>
        <w:t>References</w:t>
      </w:r>
      <w:bookmarkEnd w:id="13"/>
    </w:p>
    <w:p w14:paraId="16A6960B"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AbdelShakour Ali, H., Hassan Elborombaly, H.E. and Maarouf Ahmed, D., 2020. Economic development of historic districts through adaptive reuse:[the case study of king's cross regeneration project in london, uk]. International Journal of Multidisciplinary Studies on Management, Business, and Economy, 3(1), pp.10-13. </w:t>
      </w:r>
    </w:p>
    <w:p w14:paraId="0FD6E5B6"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Abdul Nabi, M. and El-adaway, I.H., 2021. Understanding the key risks affecting cost and schedule performance of modular construction projects. Journal of management in engineering, 37(4), p.04021023. </w:t>
      </w:r>
    </w:p>
    <w:p w14:paraId="4237360F"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Bertram, N., Fuchs, S., Mischke, J., Palter, R., Strube, G. and Woetzel, J., 2019. Modular construction: From projects to products. McKinsey &amp; Company: Capital Projects &amp; Infrastructure, pp.1-34.  </w:t>
      </w:r>
    </w:p>
    <w:p w14:paraId="5B21A71A"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Delgado-Saborit, J.M., Lim, S., Hickman, A., Baker, C., Barratt, B., Cai, X., Font, A., Heal, M.R., Lin, C., Thornes, J.E. and Woods, M., 2022. Factors affecting occupational black carbon exposure in enclosed railway stations. Atmospheric Environment, 289, p.119301. </w:t>
      </w:r>
    </w:p>
    <w:p w14:paraId="35147F7D"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Ibrahim, H.A.M.Z.A.N.E. and Abdessamad, B., 2019. Project management metamodel construction regarding IT departments. International Journal of Advanced Computer Science and Applications, 10(10). </w:t>
      </w:r>
    </w:p>
    <w:p w14:paraId="6E6BBF97"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Marcellino, M., Castelblanco, G. and Marco, A.D., 2023, September. Building information modeling for construction project management: a literature review. In AIP Conference Proceedings (Vol. 2928, No. 1). AIP Publishing. </w:t>
      </w:r>
    </w:p>
    <w:p w14:paraId="36A1F440"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Talling, P., 2019. Derelict London: All New Edition. Random House. </w:t>
      </w:r>
    </w:p>
    <w:p w14:paraId="7E240068"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Taws, R., 2019. At King's Cross Amalia Pica’s ‘Semaphores’. London Review of Books, 41(20), p.16. </w:t>
      </w:r>
    </w:p>
    <w:p w14:paraId="463088B9"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Waller, P., 2023. The Railways of Bradford and Leeds: Their History and Development. Pen and Sword Transport. </w:t>
      </w:r>
    </w:p>
    <w:p w14:paraId="4EF9ED42" w14:textId="77777777" w:rsidR="00DA2BCF" w:rsidRPr="0023060C" w:rsidRDefault="00DA2BCF" w:rsidP="0023060C">
      <w:pPr>
        <w:spacing w:line="360" w:lineRule="auto"/>
        <w:jc w:val="both"/>
        <w:rPr>
          <w:rFonts w:ascii="Times New Roman" w:hAnsi="Times New Roman" w:cs="Times New Roman"/>
          <w:sz w:val="24"/>
          <w:szCs w:val="24"/>
        </w:rPr>
      </w:pPr>
      <w:r w:rsidRPr="0023060C">
        <w:rPr>
          <w:rFonts w:ascii="Times New Roman" w:hAnsi="Times New Roman" w:cs="Times New Roman"/>
          <w:sz w:val="24"/>
          <w:szCs w:val="24"/>
        </w:rPr>
        <w:t xml:space="preserve">Zamani, S.H., Rahman, R.A., Fauzi, M.A. and Yusof, L.M., 2021, February. Effect of COVID-19 on building construction projects: Impact and response mechanisms. In IOP Conference </w:t>
      </w:r>
      <w:r w:rsidRPr="0023060C">
        <w:rPr>
          <w:rFonts w:ascii="Times New Roman" w:hAnsi="Times New Roman" w:cs="Times New Roman"/>
          <w:sz w:val="24"/>
          <w:szCs w:val="24"/>
        </w:rPr>
        <w:lastRenderedPageBreak/>
        <w:t>Series: Earth and Environmental Science (Vol. 682, No. 1, p. 012049). IOP Publishing. (Zamani et al., 2021, February)</w:t>
      </w:r>
    </w:p>
    <w:p w14:paraId="650FE4D3" w14:textId="77777777" w:rsidR="00055874" w:rsidRPr="0023060C" w:rsidRDefault="00055874" w:rsidP="0023060C">
      <w:pPr>
        <w:spacing w:line="360" w:lineRule="auto"/>
        <w:jc w:val="both"/>
        <w:rPr>
          <w:rFonts w:ascii="Times New Roman" w:hAnsi="Times New Roman" w:cs="Times New Roman"/>
          <w:sz w:val="24"/>
          <w:szCs w:val="24"/>
        </w:rPr>
      </w:pPr>
    </w:p>
    <w:sectPr w:rsidR="00055874" w:rsidRPr="0023060C" w:rsidSect="005A19FE">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8AB2D" w14:textId="77777777" w:rsidR="00F44899" w:rsidRDefault="00F44899" w:rsidP="00055874">
      <w:pPr>
        <w:spacing w:after="0" w:line="240" w:lineRule="auto"/>
      </w:pPr>
      <w:r>
        <w:separator/>
      </w:r>
    </w:p>
  </w:endnote>
  <w:endnote w:type="continuationSeparator" w:id="0">
    <w:p w14:paraId="1AD3527D" w14:textId="77777777" w:rsidR="00F44899" w:rsidRDefault="00F44899" w:rsidP="00055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00459"/>
      <w:docPartObj>
        <w:docPartGallery w:val="Page Numbers (Bottom of Page)"/>
        <w:docPartUnique/>
      </w:docPartObj>
    </w:sdtPr>
    <w:sdtContent>
      <w:p w14:paraId="1E4DC693" w14:textId="77777777" w:rsidR="00055874" w:rsidRDefault="00000000">
        <w:pPr>
          <w:pStyle w:val="Footer"/>
          <w:jc w:val="right"/>
        </w:pPr>
        <w:r>
          <w:fldChar w:fldCharType="begin"/>
        </w:r>
        <w:r>
          <w:instrText xml:space="preserve"> PAGE   \* MERGEFORMAT </w:instrText>
        </w:r>
        <w:r>
          <w:fldChar w:fldCharType="separate"/>
        </w:r>
        <w:r w:rsidR="00F47FA9">
          <w:rPr>
            <w:noProof/>
          </w:rPr>
          <w:t>4</w:t>
        </w:r>
        <w:r>
          <w:rPr>
            <w:noProof/>
          </w:rPr>
          <w:fldChar w:fldCharType="end"/>
        </w:r>
      </w:p>
    </w:sdtContent>
  </w:sdt>
  <w:p w14:paraId="28C7AF06" w14:textId="77777777" w:rsidR="00055874" w:rsidRDefault="00055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8BF94" w14:textId="77777777" w:rsidR="00F44899" w:rsidRDefault="00F44899" w:rsidP="00055874">
      <w:pPr>
        <w:spacing w:after="0" w:line="240" w:lineRule="auto"/>
      </w:pPr>
      <w:r>
        <w:separator/>
      </w:r>
    </w:p>
  </w:footnote>
  <w:footnote w:type="continuationSeparator" w:id="0">
    <w:p w14:paraId="779137FE" w14:textId="77777777" w:rsidR="00F44899" w:rsidRDefault="00F44899" w:rsidP="000558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D360B"/>
    <w:multiLevelType w:val="multilevel"/>
    <w:tmpl w:val="EF4E2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E57D93"/>
    <w:multiLevelType w:val="multilevel"/>
    <w:tmpl w:val="6BCCF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C07C4D"/>
    <w:multiLevelType w:val="multilevel"/>
    <w:tmpl w:val="B1408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030AE6"/>
    <w:multiLevelType w:val="hybridMultilevel"/>
    <w:tmpl w:val="B37ACD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943697"/>
    <w:multiLevelType w:val="multilevel"/>
    <w:tmpl w:val="16DA2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B49150C"/>
    <w:multiLevelType w:val="hybridMultilevel"/>
    <w:tmpl w:val="268A04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A6E3119"/>
    <w:multiLevelType w:val="multilevel"/>
    <w:tmpl w:val="A1F48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F720D30"/>
    <w:multiLevelType w:val="multilevel"/>
    <w:tmpl w:val="59382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09749C"/>
    <w:multiLevelType w:val="hybridMultilevel"/>
    <w:tmpl w:val="EAA43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66F53EF"/>
    <w:multiLevelType w:val="hybridMultilevel"/>
    <w:tmpl w:val="763C54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9283414"/>
    <w:multiLevelType w:val="multilevel"/>
    <w:tmpl w:val="2244E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C383460"/>
    <w:multiLevelType w:val="multilevel"/>
    <w:tmpl w:val="06F64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8657479">
    <w:abstractNumId w:val="6"/>
  </w:num>
  <w:num w:numId="2" w16cid:durableId="1364745935">
    <w:abstractNumId w:val="11"/>
  </w:num>
  <w:num w:numId="3" w16cid:durableId="303245590">
    <w:abstractNumId w:val="1"/>
  </w:num>
  <w:num w:numId="4" w16cid:durableId="1651473198">
    <w:abstractNumId w:val="10"/>
  </w:num>
  <w:num w:numId="5" w16cid:durableId="1770194523">
    <w:abstractNumId w:val="7"/>
  </w:num>
  <w:num w:numId="6" w16cid:durableId="2105419082">
    <w:abstractNumId w:val="2"/>
  </w:num>
  <w:num w:numId="7" w16cid:durableId="1842349381">
    <w:abstractNumId w:val="4"/>
  </w:num>
  <w:num w:numId="8" w16cid:durableId="224754839">
    <w:abstractNumId w:val="0"/>
  </w:num>
  <w:num w:numId="9" w16cid:durableId="2055811564">
    <w:abstractNumId w:val="5"/>
  </w:num>
  <w:num w:numId="10" w16cid:durableId="242448350">
    <w:abstractNumId w:val="3"/>
  </w:num>
  <w:num w:numId="11" w16cid:durableId="238101851">
    <w:abstractNumId w:val="9"/>
  </w:num>
  <w:num w:numId="12" w16cid:durableId="56853805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C16E7"/>
    <w:rsid w:val="0000394B"/>
    <w:rsid w:val="00006918"/>
    <w:rsid w:val="000105AA"/>
    <w:rsid w:val="00021C91"/>
    <w:rsid w:val="00032B73"/>
    <w:rsid w:val="00054AF9"/>
    <w:rsid w:val="00055874"/>
    <w:rsid w:val="00066DE2"/>
    <w:rsid w:val="00067938"/>
    <w:rsid w:val="00081833"/>
    <w:rsid w:val="000B0339"/>
    <w:rsid w:val="000B15E7"/>
    <w:rsid w:val="000C5BB0"/>
    <w:rsid w:val="000C7931"/>
    <w:rsid w:val="000D68FE"/>
    <w:rsid w:val="000D7A85"/>
    <w:rsid w:val="000F281D"/>
    <w:rsid w:val="00117316"/>
    <w:rsid w:val="00122CA6"/>
    <w:rsid w:val="00141111"/>
    <w:rsid w:val="00142750"/>
    <w:rsid w:val="00144D2D"/>
    <w:rsid w:val="00145F8D"/>
    <w:rsid w:val="00150AA7"/>
    <w:rsid w:val="00151F9A"/>
    <w:rsid w:val="00153640"/>
    <w:rsid w:val="00193EB1"/>
    <w:rsid w:val="001A029C"/>
    <w:rsid w:val="001A131B"/>
    <w:rsid w:val="001B0A5B"/>
    <w:rsid w:val="001C1444"/>
    <w:rsid w:val="001C232C"/>
    <w:rsid w:val="001D37AE"/>
    <w:rsid w:val="001E14DB"/>
    <w:rsid w:val="001E5F1A"/>
    <w:rsid w:val="001F4F61"/>
    <w:rsid w:val="00202CA1"/>
    <w:rsid w:val="00204A0A"/>
    <w:rsid w:val="00214109"/>
    <w:rsid w:val="0022156C"/>
    <w:rsid w:val="0023060C"/>
    <w:rsid w:val="00235925"/>
    <w:rsid w:val="00235BB2"/>
    <w:rsid w:val="002553F2"/>
    <w:rsid w:val="0025557A"/>
    <w:rsid w:val="0026649C"/>
    <w:rsid w:val="002804F4"/>
    <w:rsid w:val="00285D75"/>
    <w:rsid w:val="002925A2"/>
    <w:rsid w:val="00292E03"/>
    <w:rsid w:val="002C139A"/>
    <w:rsid w:val="002D2A6F"/>
    <w:rsid w:val="002E0AEE"/>
    <w:rsid w:val="002E5340"/>
    <w:rsid w:val="003019BF"/>
    <w:rsid w:val="00302346"/>
    <w:rsid w:val="00327ACC"/>
    <w:rsid w:val="0033375B"/>
    <w:rsid w:val="00354036"/>
    <w:rsid w:val="00354562"/>
    <w:rsid w:val="0035753E"/>
    <w:rsid w:val="003730A0"/>
    <w:rsid w:val="00374BF1"/>
    <w:rsid w:val="00385972"/>
    <w:rsid w:val="003904CD"/>
    <w:rsid w:val="00392958"/>
    <w:rsid w:val="003A02F6"/>
    <w:rsid w:val="003A18FD"/>
    <w:rsid w:val="003A4C89"/>
    <w:rsid w:val="003B3CD6"/>
    <w:rsid w:val="003B72F4"/>
    <w:rsid w:val="003C4117"/>
    <w:rsid w:val="00402BEE"/>
    <w:rsid w:val="00403888"/>
    <w:rsid w:val="004062E2"/>
    <w:rsid w:val="00414804"/>
    <w:rsid w:val="00416B92"/>
    <w:rsid w:val="00417CD5"/>
    <w:rsid w:val="004205B1"/>
    <w:rsid w:val="004345AC"/>
    <w:rsid w:val="00442565"/>
    <w:rsid w:val="00445BFE"/>
    <w:rsid w:val="0044727B"/>
    <w:rsid w:val="00451278"/>
    <w:rsid w:val="00461650"/>
    <w:rsid w:val="00463B51"/>
    <w:rsid w:val="00472E4D"/>
    <w:rsid w:val="00477CBC"/>
    <w:rsid w:val="0048737D"/>
    <w:rsid w:val="004A4D34"/>
    <w:rsid w:val="004A5127"/>
    <w:rsid w:val="004A6FDD"/>
    <w:rsid w:val="004B7532"/>
    <w:rsid w:val="004D5B86"/>
    <w:rsid w:val="004D7145"/>
    <w:rsid w:val="004D7751"/>
    <w:rsid w:val="004F219D"/>
    <w:rsid w:val="004F59D8"/>
    <w:rsid w:val="004F685B"/>
    <w:rsid w:val="00501D51"/>
    <w:rsid w:val="00507008"/>
    <w:rsid w:val="0053424C"/>
    <w:rsid w:val="005400D3"/>
    <w:rsid w:val="00552940"/>
    <w:rsid w:val="00553387"/>
    <w:rsid w:val="00554FBA"/>
    <w:rsid w:val="00564225"/>
    <w:rsid w:val="00570318"/>
    <w:rsid w:val="005811DC"/>
    <w:rsid w:val="005844BF"/>
    <w:rsid w:val="00591E7C"/>
    <w:rsid w:val="005A19FE"/>
    <w:rsid w:val="005B6EBE"/>
    <w:rsid w:val="005B7D36"/>
    <w:rsid w:val="005C2375"/>
    <w:rsid w:val="005C3377"/>
    <w:rsid w:val="005C3DC4"/>
    <w:rsid w:val="005D0271"/>
    <w:rsid w:val="005F5A71"/>
    <w:rsid w:val="00600E5F"/>
    <w:rsid w:val="006149A8"/>
    <w:rsid w:val="00614CF0"/>
    <w:rsid w:val="0062437E"/>
    <w:rsid w:val="00634476"/>
    <w:rsid w:val="006378F0"/>
    <w:rsid w:val="00641E5B"/>
    <w:rsid w:val="006510F6"/>
    <w:rsid w:val="00664B23"/>
    <w:rsid w:val="0068366E"/>
    <w:rsid w:val="00687929"/>
    <w:rsid w:val="006B470C"/>
    <w:rsid w:val="006B6CB7"/>
    <w:rsid w:val="006B7938"/>
    <w:rsid w:val="006C12E8"/>
    <w:rsid w:val="006C22E4"/>
    <w:rsid w:val="006D7D51"/>
    <w:rsid w:val="006E290F"/>
    <w:rsid w:val="006F1A97"/>
    <w:rsid w:val="006F3CC7"/>
    <w:rsid w:val="006F5C0C"/>
    <w:rsid w:val="006F66CD"/>
    <w:rsid w:val="00701942"/>
    <w:rsid w:val="00701D0C"/>
    <w:rsid w:val="00705169"/>
    <w:rsid w:val="007147CE"/>
    <w:rsid w:val="00715FD4"/>
    <w:rsid w:val="0071665E"/>
    <w:rsid w:val="00720DCD"/>
    <w:rsid w:val="0072619C"/>
    <w:rsid w:val="007267A2"/>
    <w:rsid w:val="00730BB2"/>
    <w:rsid w:val="0073347B"/>
    <w:rsid w:val="0073540D"/>
    <w:rsid w:val="0074037C"/>
    <w:rsid w:val="00742832"/>
    <w:rsid w:val="00744BF4"/>
    <w:rsid w:val="0075232E"/>
    <w:rsid w:val="0075664E"/>
    <w:rsid w:val="00782682"/>
    <w:rsid w:val="007914AE"/>
    <w:rsid w:val="007972BD"/>
    <w:rsid w:val="007A02F6"/>
    <w:rsid w:val="007A1914"/>
    <w:rsid w:val="007A52AC"/>
    <w:rsid w:val="007B2E3F"/>
    <w:rsid w:val="007D23C7"/>
    <w:rsid w:val="007D4134"/>
    <w:rsid w:val="007E0212"/>
    <w:rsid w:val="007E11CC"/>
    <w:rsid w:val="007E4A9E"/>
    <w:rsid w:val="007F4F96"/>
    <w:rsid w:val="007F505A"/>
    <w:rsid w:val="00815988"/>
    <w:rsid w:val="00816572"/>
    <w:rsid w:val="00827005"/>
    <w:rsid w:val="00863354"/>
    <w:rsid w:val="00863E23"/>
    <w:rsid w:val="008724BE"/>
    <w:rsid w:val="0087342A"/>
    <w:rsid w:val="00873F72"/>
    <w:rsid w:val="008768D8"/>
    <w:rsid w:val="00893B2F"/>
    <w:rsid w:val="008A0ACB"/>
    <w:rsid w:val="008C32FE"/>
    <w:rsid w:val="008C4502"/>
    <w:rsid w:val="008D5FB6"/>
    <w:rsid w:val="008E228A"/>
    <w:rsid w:val="008E547D"/>
    <w:rsid w:val="008F103D"/>
    <w:rsid w:val="008F5B87"/>
    <w:rsid w:val="00901B4A"/>
    <w:rsid w:val="00926123"/>
    <w:rsid w:val="009278AD"/>
    <w:rsid w:val="00943F72"/>
    <w:rsid w:val="009448B5"/>
    <w:rsid w:val="009511DD"/>
    <w:rsid w:val="00954127"/>
    <w:rsid w:val="00955E6D"/>
    <w:rsid w:val="00967D48"/>
    <w:rsid w:val="00974704"/>
    <w:rsid w:val="009B05D2"/>
    <w:rsid w:val="009C16E7"/>
    <w:rsid w:val="009D4085"/>
    <w:rsid w:val="009D5CEF"/>
    <w:rsid w:val="009E2587"/>
    <w:rsid w:val="009E359E"/>
    <w:rsid w:val="009F4519"/>
    <w:rsid w:val="009F589E"/>
    <w:rsid w:val="009F619B"/>
    <w:rsid w:val="00A029DE"/>
    <w:rsid w:val="00A13FC9"/>
    <w:rsid w:val="00A16FB7"/>
    <w:rsid w:val="00A21533"/>
    <w:rsid w:val="00A22F10"/>
    <w:rsid w:val="00A26E93"/>
    <w:rsid w:val="00A32858"/>
    <w:rsid w:val="00A402BF"/>
    <w:rsid w:val="00A446D7"/>
    <w:rsid w:val="00A51115"/>
    <w:rsid w:val="00A53959"/>
    <w:rsid w:val="00A569A8"/>
    <w:rsid w:val="00A62250"/>
    <w:rsid w:val="00A63BFC"/>
    <w:rsid w:val="00A75AA5"/>
    <w:rsid w:val="00A76BE8"/>
    <w:rsid w:val="00A848F8"/>
    <w:rsid w:val="00A91F9F"/>
    <w:rsid w:val="00A9609A"/>
    <w:rsid w:val="00AA5D8C"/>
    <w:rsid w:val="00AB0D16"/>
    <w:rsid w:val="00AB726E"/>
    <w:rsid w:val="00AC02A4"/>
    <w:rsid w:val="00AD7C3B"/>
    <w:rsid w:val="00AE19E9"/>
    <w:rsid w:val="00AE65B3"/>
    <w:rsid w:val="00B020B9"/>
    <w:rsid w:val="00B26152"/>
    <w:rsid w:val="00B27BF2"/>
    <w:rsid w:val="00B5133C"/>
    <w:rsid w:val="00B519D0"/>
    <w:rsid w:val="00B542BA"/>
    <w:rsid w:val="00B63CB5"/>
    <w:rsid w:val="00BA328D"/>
    <w:rsid w:val="00BA483A"/>
    <w:rsid w:val="00BA6778"/>
    <w:rsid w:val="00BC2482"/>
    <w:rsid w:val="00BC6BBB"/>
    <w:rsid w:val="00BD1B66"/>
    <w:rsid w:val="00BE0B2B"/>
    <w:rsid w:val="00BE162F"/>
    <w:rsid w:val="00BE41F4"/>
    <w:rsid w:val="00BE5987"/>
    <w:rsid w:val="00BE660A"/>
    <w:rsid w:val="00C16574"/>
    <w:rsid w:val="00C41849"/>
    <w:rsid w:val="00C47F9B"/>
    <w:rsid w:val="00C619B1"/>
    <w:rsid w:val="00C75ED2"/>
    <w:rsid w:val="00C77AAF"/>
    <w:rsid w:val="00C81F39"/>
    <w:rsid w:val="00C926FB"/>
    <w:rsid w:val="00C92F8C"/>
    <w:rsid w:val="00CA65FF"/>
    <w:rsid w:val="00CB3313"/>
    <w:rsid w:val="00CC764D"/>
    <w:rsid w:val="00CD6A17"/>
    <w:rsid w:val="00D046F0"/>
    <w:rsid w:val="00D122AE"/>
    <w:rsid w:val="00D2460D"/>
    <w:rsid w:val="00D30262"/>
    <w:rsid w:val="00D32B45"/>
    <w:rsid w:val="00D36A11"/>
    <w:rsid w:val="00D42347"/>
    <w:rsid w:val="00D44272"/>
    <w:rsid w:val="00D464FB"/>
    <w:rsid w:val="00D62161"/>
    <w:rsid w:val="00D67822"/>
    <w:rsid w:val="00D76269"/>
    <w:rsid w:val="00D8751A"/>
    <w:rsid w:val="00D8799B"/>
    <w:rsid w:val="00DA2BCF"/>
    <w:rsid w:val="00DA47B8"/>
    <w:rsid w:val="00DA5860"/>
    <w:rsid w:val="00DB0F88"/>
    <w:rsid w:val="00DB1544"/>
    <w:rsid w:val="00DC219C"/>
    <w:rsid w:val="00DD1EEB"/>
    <w:rsid w:val="00DD7ED1"/>
    <w:rsid w:val="00DF08DF"/>
    <w:rsid w:val="00DF4189"/>
    <w:rsid w:val="00DF697A"/>
    <w:rsid w:val="00E068E1"/>
    <w:rsid w:val="00E122F5"/>
    <w:rsid w:val="00E27566"/>
    <w:rsid w:val="00E361B6"/>
    <w:rsid w:val="00E438C3"/>
    <w:rsid w:val="00E611A2"/>
    <w:rsid w:val="00E70F5D"/>
    <w:rsid w:val="00E92507"/>
    <w:rsid w:val="00EB03A9"/>
    <w:rsid w:val="00ED74F6"/>
    <w:rsid w:val="00EE5BE1"/>
    <w:rsid w:val="00F05DFF"/>
    <w:rsid w:val="00F05E11"/>
    <w:rsid w:val="00F15466"/>
    <w:rsid w:val="00F34494"/>
    <w:rsid w:val="00F34795"/>
    <w:rsid w:val="00F42965"/>
    <w:rsid w:val="00F44899"/>
    <w:rsid w:val="00F46D63"/>
    <w:rsid w:val="00F47FA9"/>
    <w:rsid w:val="00F50131"/>
    <w:rsid w:val="00F5644C"/>
    <w:rsid w:val="00F56E43"/>
    <w:rsid w:val="00F5713E"/>
    <w:rsid w:val="00F63CB6"/>
    <w:rsid w:val="00F71F42"/>
    <w:rsid w:val="00F83057"/>
    <w:rsid w:val="00F83CA4"/>
    <w:rsid w:val="00F87A01"/>
    <w:rsid w:val="00F936F8"/>
    <w:rsid w:val="00FA1322"/>
    <w:rsid w:val="00FB51AD"/>
    <w:rsid w:val="00FC58C9"/>
    <w:rsid w:val="00FD2A58"/>
    <w:rsid w:val="00FD2E33"/>
    <w:rsid w:val="00FD7855"/>
    <w:rsid w:val="00FF2B85"/>
    <w:rsid w:val="00FF6E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C935C"/>
  <w15:docId w15:val="{0127C7D5-7BD7-4A74-BAF8-5AACEE807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9FE"/>
    <w:rPr>
      <w:lang w:val="en-GB"/>
    </w:rPr>
  </w:style>
  <w:style w:type="paragraph" w:styleId="Heading1">
    <w:name w:val="heading 1"/>
    <w:basedOn w:val="Normal"/>
    <w:next w:val="Normal"/>
    <w:link w:val="Heading1Char"/>
    <w:uiPriority w:val="9"/>
    <w:qFormat/>
    <w:rsid w:val="00E122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3060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5587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55874"/>
    <w:rPr>
      <w:lang w:val="en-GB"/>
    </w:rPr>
  </w:style>
  <w:style w:type="paragraph" w:styleId="Footer">
    <w:name w:val="footer"/>
    <w:basedOn w:val="Normal"/>
    <w:link w:val="FooterChar"/>
    <w:uiPriority w:val="99"/>
    <w:unhideWhenUsed/>
    <w:rsid w:val="000558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5874"/>
    <w:rPr>
      <w:lang w:val="en-GB"/>
    </w:rPr>
  </w:style>
  <w:style w:type="table" w:styleId="TableGrid">
    <w:name w:val="Table Grid"/>
    <w:basedOn w:val="TableNormal"/>
    <w:uiPriority w:val="59"/>
    <w:rsid w:val="00955E6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6E290F"/>
    <w:rPr>
      <w:rFonts w:ascii="Times New Roman" w:hAnsi="Times New Roman" w:cs="Times New Roman"/>
      <w:sz w:val="24"/>
      <w:szCs w:val="24"/>
    </w:rPr>
  </w:style>
  <w:style w:type="paragraph" w:styleId="Caption">
    <w:name w:val="caption"/>
    <w:basedOn w:val="Normal"/>
    <w:next w:val="Normal"/>
    <w:uiPriority w:val="35"/>
    <w:unhideWhenUsed/>
    <w:qFormat/>
    <w:rsid w:val="007E11CC"/>
    <w:pPr>
      <w:spacing w:line="240" w:lineRule="auto"/>
    </w:pPr>
    <w:rPr>
      <w:b/>
      <w:bCs/>
      <w:color w:val="4F81BD" w:themeColor="accent1"/>
      <w:sz w:val="18"/>
      <w:szCs w:val="18"/>
    </w:rPr>
  </w:style>
  <w:style w:type="paragraph" w:styleId="ListParagraph">
    <w:name w:val="List Paragraph"/>
    <w:basedOn w:val="Normal"/>
    <w:uiPriority w:val="34"/>
    <w:qFormat/>
    <w:rsid w:val="00385972"/>
    <w:pPr>
      <w:ind w:left="720"/>
      <w:contextualSpacing/>
    </w:pPr>
  </w:style>
  <w:style w:type="paragraph" w:styleId="BalloonText">
    <w:name w:val="Balloon Text"/>
    <w:basedOn w:val="Normal"/>
    <w:link w:val="BalloonTextChar"/>
    <w:uiPriority w:val="99"/>
    <w:semiHidden/>
    <w:unhideWhenUsed/>
    <w:rsid w:val="003859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5972"/>
    <w:rPr>
      <w:rFonts w:ascii="Tahoma" w:hAnsi="Tahoma" w:cs="Tahoma"/>
      <w:sz w:val="16"/>
      <w:szCs w:val="16"/>
      <w:lang w:val="en-GB"/>
    </w:rPr>
  </w:style>
  <w:style w:type="character" w:customStyle="1" w:styleId="Heading1Char">
    <w:name w:val="Heading 1 Char"/>
    <w:basedOn w:val="DefaultParagraphFont"/>
    <w:link w:val="Heading1"/>
    <w:uiPriority w:val="9"/>
    <w:rsid w:val="00E122F5"/>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E122F5"/>
    <w:pPr>
      <w:outlineLvl w:val="9"/>
    </w:pPr>
    <w:rPr>
      <w:lang w:val="en-US"/>
    </w:rPr>
  </w:style>
  <w:style w:type="paragraph" w:styleId="TOC1">
    <w:name w:val="toc 1"/>
    <w:basedOn w:val="Normal"/>
    <w:next w:val="Normal"/>
    <w:autoRedefine/>
    <w:uiPriority w:val="39"/>
    <w:unhideWhenUsed/>
    <w:rsid w:val="00E122F5"/>
    <w:pPr>
      <w:spacing w:after="100"/>
    </w:pPr>
  </w:style>
  <w:style w:type="character" w:styleId="Hyperlink">
    <w:name w:val="Hyperlink"/>
    <w:basedOn w:val="DefaultParagraphFont"/>
    <w:uiPriority w:val="99"/>
    <w:unhideWhenUsed/>
    <w:rsid w:val="00E122F5"/>
    <w:rPr>
      <w:color w:val="0000FF" w:themeColor="hyperlink"/>
      <w:u w:val="single"/>
    </w:rPr>
  </w:style>
  <w:style w:type="character" w:customStyle="1" w:styleId="Heading2Char">
    <w:name w:val="Heading 2 Char"/>
    <w:basedOn w:val="DefaultParagraphFont"/>
    <w:link w:val="Heading2"/>
    <w:uiPriority w:val="9"/>
    <w:rsid w:val="0023060C"/>
    <w:rPr>
      <w:rFonts w:asciiTheme="majorHAnsi" w:eastAsiaTheme="majorEastAsia" w:hAnsiTheme="majorHAnsi" w:cstheme="majorBidi"/>
      <w:b/>
      <w:bCs/>
      <w:color w:val="4F81BD" w:themeColor="accent1"/>
      <w:sz w:val="26"/>
      <w:szCs w:val="26"/>
      <w:lang w:val="en-GB"/>
    </w:rPr>
  </w:style>
  <w:style w:type="paragraph" w:styleId="TOC2">
    <w:name w:val="toc 2"/>
    <w:basedOn w:val="Normal"/>
    <w:next w:val="Normal"/>
    <w:autoRedefine/>
    <w:uiPriority w:val="39"/>
    <w:unhideWhenUsed/>
    <w:rsid w:val="0023060C"/>
    <w:pPr>
      <w:spacing w:after="100"/>
      <w:ind w:left="220"/>
    </w:pPr>
  </w:style>
  <w:style w:type="paragraph" w:styleId="NoSpacing">
    <w:name w:val="No Spacing"/>
    <w:uiPriority w:val="1"/>
    <w:qFormat/>
    <w:rsid w:val="007A52AC"/>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19399">
      <w:bodyDiv w:val="1"/>
      <w:marLeft w:val="0"/>
      <w:marRight w:val="0"/>
      <w:marTop w:val="0"/>
      <w:marBottom w:val="0"/>
      <w:divBdr>
        <w:top w:val="none" w:sz="0" w:space="0" w:color="auto"/>
        <w:left w:val="none" w:sz="0" w:space="0" w:color="auto"/>
        <w:bottom w:val="none" w:sz="0" w:space="0" w:color="auto"/>
        <w:right w:val="none" w:sz="0" w:space="0" w:color="auto"/>
      </w:divBdr>
    </w:div>
    <w:div w:id="213008024">
      <w:bodyDiv w:val="1"/>
      <w:marLeft w:val="0"/>
      <w:marRight w:val="0"/>
      <w:marTop w:val="0"/>
      <w:marBottom w:val="0"/>
      <w:divBdr>
        <w:top w:val="none" w:sz="0" w:space="0" w:color="auto"/>
        <w:left w:val="none" w:sz="0" w:space="0" w:color="auto"/>
        <w:bottom w:val="none" w:sz="0" w:space="0" w:color="auto"/>
        <w:right w:val="none" w:sz="0" w:space="0" w:color="auto"/>
      </w:divBdr>
    </w:div>
    <w:div w:id="247809038">
      <w:bodyDiv w:val="1"/>
      <w:marLeft w:val="0"/>
      <w:marRight w:val="0"/>
      <w:marTop w:val="0"/>
      <w:marBottom w:val="0"/>
      <w:divBdr>
        <w:top w:val="none" w:sz="0" w:space="0" w:color="auto"/>
        <w:left w:val="none" w:sz="0" w:space="0" w:color="auto"/>
        <w:bottom w:val="none" w:sz="0" w:space="0" w:color="auto"/>
        <w:right w:val="none" w:sz="0" w:space="0" w:color="auto"/>
      </w:divBdr>
      <w:divsChild>
        <w:div w:id="227151093">
          <w:marLeft w:val="0"/>
          <w:marRight w:val="0"/>
          <w:marTop w:val="0"/>
          <w:marBottom w:val="0"/>
          <w:divBdr>
            <w:top w:val="single" w:sz="2" w:space="0" w:color="auto"/>
            <w:left w:val="single" w:sz="2" w:space="0" w:color="auto"/>
            <w:bottom w:val="single" w:sz="6" w:space="0" w:color="auto"/>
            <w:right w:val="single" w:sz="2" w:space="0" w:color="auto"/>
          </w:divBdr>
          <w:divsChild>
            <w:div w:id="1062481296">
              <w:marLeft w:val="0"/>
              <w:marRight w:val="0"/>
              <w:marTop w:val="100"/>
              <w:marBottom w:val="100"/>
              <w:divBdr>
                <w:top w:val="single" w:sz="2" w:space="0" w:color="D9D9E3"/>
                <w:left w:val="single" w:sz="2" w:space="0" w:color="D9D9E3"/>
                <w:bottom w:val="single" w:sz="2" w:space="0" w:color="D9D9E3"/>
                <w:right w:val="single" w:sz="2" w:space="0" w:color="D9D9E3"/>
              </w:divBdr>
              <w:divsChild>
                <w:div w:id="1317994638">
                  <w:marLeft w:val="0"/>
                  <w:marRight w:val="0"/>
                  <w:marTop w:val="0"/>
                  <w:marBottom w:val="0"/>
                  <w:divBdr>
                    <w:top w:val="single" w:sz="2" w:space="0" w:color="D9D9E3"/>
                    <w:left w:val="single" w:sz="2" w:space="0" w:color="D9D9E3"/>
                    <w:bottom w:val="single" w:sz="2" w:space="0" w:color="D9D9E3"/>
                    <w:right w:val="single" w:sz="2" w:space="0" w:color="D9D9E3"/>
                  </w:divBdr>
                  <w:divsChild>
                    <w:div w:id="1104954305">
                      <w:marLeft w:val="0"/>
                      <w:marRight w:val="0"/>
                      <w:marTop w:val="0"/>
                      <w:marBottom w:val="0"/>
                      <w:divBdr>
                        <w:top w:val="single" w:sz="2" w:space="0" w:color="D9D9E3"/>
                        <w:left w:val="single" w:sz="2" w:space="0" w:color="D9D9E3"/>
                        <w:bottom w:val="single" w:sz="2" w:space="0" w:color="D9D9E3"/>
                        <w:right w:val="single" w:sz="2" w:space="0" w:color="D9D9E3"/>
                      </w:divBdr>
                      <w:divsChild>
                        <w:div w:id="220026514">
                          <w:marLeft w:val="0"/>
                          <w:marRight w:val="0"/>
                          <w:marTop w:val="0"/>
                          <w:marBottom w:val="0"/>
                          <w:divBdr>
                            <w:top w:val="single" w:sz="2" w:space="0" w:color="D9D9E3"/>
                            <w:left w:val="single" w:sz="2" w:space="0" w:color="D9D9E3"/>
                            <w:bottom w:val="single" w:sz="2" w:space="0" w:color="D9D9E3"/>
                            <w:right w:val="single" w:sz="2" w:space="0" w:color="D9D9E3"/>
                          </w:divBdr>
                          <w:divsChild>
                            <w:div w:id="809977301">
                              <w:marLeft w:val="0"/>
                              <w:marRight w:val="0"/>
                              <w:marTop w:val="0"/>
                              <w:marBottom w:val="0"/>
                              <w:divBdr>
                                <w:top w:val="single" w:sz="2" w:space="0" w:color="D9D9E3"/>
                                <w:left w:val="single" w:sz="2" w:space="0" w:color="D9D9E3"/>
                                <w:bottom w:val="single" w:sz="2" w:space="0" w:color="D9D9E3"/>
                                <w:right w:val="single" w:sz="2" w:space="0" w:color="D9D9E3"/>
                              </w:divBdr>
                              <w:divsChild>
                                <w:div w:id="887834200">
                                  <w:marLeft w:val="0"/>
                                  <w:marRight w:val="0"/>
                                  <w:marTop w:val="0"/>
                                  <w:marBottom w:val="0"/>
                                  <w:divBdr>
                                    <w:top w:val="single" w:sz="2" w:space="0" w:color="D9D9E3"/>
                                    <w:left w:val="single" w:sz="2" w:space="0" w:color="D9D9E3"/>
                                    <w:bottom w:val="single" w:sz="2" w:space="0" w:color="D9D9E3"/>
                                    <w:right w:val="single" w:sz="2" w:space="0" w:color="D9D9E3"/>
                                  </w:divBdr>
                                  <w:divsChild>
                                    <w:div w:id="299725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36351107">
      <w:bodyDiv w:val="1"/>
      <w:marLeft w:val="0"/>
      <w:marRight w:val="0"/>
      <w:marTop w:val="0"/>
      <w:marBottom w:val="0"/>
      <w:divBdr>
        <w:top w:val="none" w:sz="0" w:space="0" w:color="auto"/>
        <w:left w:val="none" w:sz="0" w:space="0" w:color="auto"/>
        <w:bottom w:val="none" w:sz="0" w:space="0" w:color="auto"/>
        <w:right w:val="none" w:sz="0" w:space="0" w:color="auto"/>
      </w:divBdr>
    </w:div>
    <w:div w:id="564032748">
      <w:bodyDiv w:val="1"/>
      <w:marLeft w:val="0"/>
      <w:marRight w:val="0"/>
      <w:marTop w:val="0"/>
      <w:marBottom w:val="0"/>
      <w:divBdr>
        <w:top w:val="none" w:sz="0" w:space="0" w:color="auto"/>
        <w:left w:val="none" w:sz="0" w:space="0" w:color="auto"/>
        <w:bottom w:val="none" w:sz="0" w:space="0" w:color="auto"/>
        <w:right w:val="none" w:sz="0" w:space="0" w:color="auto"/>
      </w:divBdr>
    </w:div>
    <w:div w:id="577910993">
      <w:bodyDiv w:val="1"/>
      <w:marLeft w:val="0"/>
      <w:marRight w:val="0"/>
      <w:marTop w:val="0"/>
      <w:marBottom w:val="0"/>
      <w:divBdr>
        <w:top w:val="none" w:sz="0" w:space="0" w:color="auto"/>
        <w:left w:val="none" w:sz="0" w:space="0" w:color="auto"/>
        <w:bottom w:val="none" w:sz="0" w:space="0" w:color="auto"/>
        <w:right w:val="none" w:sz="0" w:space="0" w:color="auto"/>
      </w:divBdr>
    </w:div>
    <w:div w:id="596209082">
      <w:bodyDiv w:val="1"/>
      <w:marLeft w:val="0"/>
      <w:marRight w:val="0"/>
      <w:marTop w:val="0"/>
      <w:marBottom w:val="0"/>
      <w:divBdr>
        <w:top w:val="none" w:sz="0" w:space="0" w:color="auto"/>
        <w:left w:val="none" w:sz="0" w:space="0" w:color="auto"/>
        <w:bottom w:val="none" w:sz="0" w:space="0" w:color="auto"/>
        <w:right w:val="none" w:sz="0" w:space="0" w:color="auto"/>
      </w:divBdr>
      <w:divsChild>
        <w:div w:id="88815387">
          <w:marLeft w:val="0"/>
          <w:marRight w:val="0"/>
          <w:marTop w:val="0"/>
          <w:marBottom w:val="0"/>
          <w:divBdr>
            <w:top w:val="single" w:sz="2" w:space="0" w:color="auto"/>
            <w:left w:val="single" w:sz="2" w:space="0" w:color="auto"/>
            <w:bottom w:val="single" w:sz="6" w:space="0" w:color="auto"/>
            <w:right w:val="single" w:sz="2" w:space="0" w:color="auto"/>
          </w:divBdr>
          <w:divsChild>
            <w:div w:id="1811094366">
              <w:marLeft w:val="0"/>
              <w:marRight w:val="0"/>
              <w:marTop w:val="100"/>
              <w:marBottom w:val="100"/>
              <w:divBdr>
                <w:top w:val="single" w:sz="2" w:space="0" w:color="D9D9E3"/>
                <w:left w:val="single" w:sz="2" w:space="0" w:color="D9D9E3"/>
                <w:bottom w:val="single" w:sz="2" w:space="0" w:color="D9D9E3"/>
                <w:right w:val="single" w:sz="2" w:space="0" w:color="D9D9E3"/>
              </w:divBdr>
              <w:divsChild>
                <w:div w:id="601302492">
                  <w:marLeft w:val="0"/>
                  <w:marRight w:val="0"/>
                  <w:marTop w:val="0"/>
                  <w:marBottom w:val="0"/>
                  <w:divBdr>
                    <w:top w:val="single" w:sz="2" w:space="0" w:color="D9D9E3"/>
                    <w:left w:val="single" w:sz="2" w:space="0" w:color="D9D9E3"/>
                    <w:bottom w:val="single" w:sz="2" w:space="0" w:color="D9D9E3"/>
                    <w:right w:val="single" w:sz="2" w:space="0" w:color="D9D9E3"/>
                  </w:divBdr>
                  <w:divsChild>
                    <w:div w:id="1270116881">
                      <w:marLeft w:val="0"/>
                      <w:marRight w:val="0"/>
                      <w:marTop w:val="0"/>
                      <w:marBottom w:val="0"/>
                      <w:divBdr>
                        <w:top w:val="single" w:sz="2" w:space="0" w:color="D9D9E3"/>
                        <w:left w:val="single" w:sz="2" w:space="0" w:color="D9D9E3"/>
                        <w:bottom w:val="single" w:sz="2" w:space="0" w:color="D9D9E3"/>
                        <w:right w:val="single" w:sz="2" w:space="0" w:color="D9D9E3"/>
                      </w:divBdr>
                      <w:divsChild>
                        <w:div w:id="1361131272">
                          <w:marLeft w:val="0"/>
                          <w:marRight w:val="0"/>
                          <w:marTop w:val="0"/>
                          <w:marBottom w:val="0"/>
                          <w:divBdr>
                            <w:top w:val="single" w:sz="2" w:space="0" w:color="D9D9E3"/>
                            <w:left w:val="single" w:sz="2" w:space="0" w:color="D9D9E3"/>
                            <w:bottom w:val="single" w:sz="2" w:space="0" w:color="D9D9E3"/>
                            <w:right w:val="single" w:sz="2" w:space="0" w:color="D9D9E3"/>
                          </w:divBdr>
                          <w:divsChild>
                            <w:div w:id="1242527861">
                              <w:marLeft w:val="0"/>
                              <w:marRight w:val="0"/>
                              <w:marTop w:val="0"/>
                              <w:marBottom w:val="0"/>
                              <w:divBdr>
                                <w:top w:val="single" w:sz="2" w:space="0" w:color="D9D9E3"/>
                                <w:left w:val="single" w:sz="2" w:space="0" w:color="D9D9E3"/>
                                <w:bottom w:val="single" w:sz="2" w:space="0" w:color="D9D9E3"/>
                                <w:right w:val="single" w:sz="2" w:space="0" w:color="D9D9E3"/>
                              </w:divBdr>
                              <w:divsChild>
                                <w:div w:id="87387632">
                                  <w:marLeft w:val="0"/>
                                  <w:marRight w:val="0"/>
                                  <w:marTop w:val="0"/>
                                  <w:marBottom w:val="0"/>
                                  <w:divBdr>
                                    <w:top w:val="single" w:sz="2" w:space="0" w:color="D9D9E3"/>
                                    <w:left w:val="single" w:sz="2" w:space="0" w:color="D9D9E3"/>
                                    <w:bottom w:val="single" w:sz="2" w:space="0" w:color="D9D9E3"/>
                                    <w:right w:val="single" w:sz="2" w:space="0" w:color="D9D9E3"/>
                                  </w:divBdr>
                                  <w:divsChild>
                                    <w:div w:id="1538352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42348201">
      <w:bodyDiv w:val="1"/>
      <w:marLeft w:val="0"/>
      <w:marRight w:val="0"/>
      <w:marTop w:val="0"/>
      <w:marBottom w:val="0"/>
      <w:divBdr>
        <w:top w:val="none" w:sz="0" w:space="0" w:color="auto"/>
        <w:left w:val="none" w:sz="0" w:space="0" w:color="auto"/>
        <w:bottom w:val="none" w:sz="0" w:space="0" w:color="auto"/>
        <w:right w:val="none" w:sz="0" w:space="0" w:color="auto"/>
      </w:divBdr>
    </w:div>
    <w:div w:id="661196306">
      <w:bodyDiv w:val="1"/>
      <w:marLeft w:val="0"/>
      <w:marRight w:val="0"/>
      <w:marTop w:val="0"/>
      <w:marBottom w:val="0"/>
      <w:divBdr>
        <w:top w:val="none" w:sz="0" w:space="0" w:color="auto"/>
        <w:left w:val="none" w:sz="0" w:space="0" w:color="auto"/>
        <w:bottom w:val="none" w:sz="0" w:space="0" w:color="auto"/>
        <w:right w:val="none" w:sz="0" w:space="0" w:color="auto"/>
      </w:divBdr>
    </w:div>
    <w:div w:id="668750348">
      <w:bodyDiv w:val="1"/>
      <w:marLeft w:val="0"/>
      <w:marRight w:val="0"/>
      <w:marTop w:val="0"/>
      <w:marBottom w:val="0"/>
      <w:divBdr>
        <w:top w:val="none" w:sz="0" w:space="0" w:color="auto"/>
        <w:left w:val="none" w:sz="0" w:space="0" w:color="auto"/>
        <w:bottom w:val="none" w:sz="0" w:space="0" w:color="auto"/>
        <w:right w:val="none" w:sz="0" w:space="0" w:color="auto"/>
      </w:divBdr>
      <w:divsChild>
        <w:div w:id="1930387277">
          <w:marLeft w:val="0"/>
          <w:marRight w:val="0"/>
          <w:marTop w:val="0"/>
          <w:marBottom w:val="0"/>
          <w:divBdr>
            <w:top w:val="single" w:sz="2" w:space="0" w:color="auto"/>
            <w:left w:val="single" w:sz="2" w:space="0" w:color="auto"/>
            <w:bottom w:val="single" w:sz="6" w:space="0" w:color="auto"/>
            <w:right w:val="single" w:sz="2" w:space="0" w:color="auto"/>
          </w:divBdr>
          <w:divsChild>
            <w:div w:id="1121606685">
              <w:marLeft w:val="0"/>
              <w:marRight w:val="0"/>
              <w:marTop w:val="100"/>
              <w:marBottom w:val="100"/>
              <w:divBdr>
                <w:top w:val="single" w:sz="2" w:space="0" w:color="D9D9E3"/>
                <w:left w:val="single" w:sz="2" w:space="0" w:color="D9D9E3"/>
                <w:bottom w:val="single" w:sz="2" w:space="0" w:color="D9D9E3"/>
                <w:right w:val="single" w:sz="2" w:space="0" w:color="D9D9E3"/>
              </w:divBdr>
              <w:divsChild>
                <w:div w:id="2049992733">
                  <w:marLeft w:val="0"/>
                  <w:marRight w:val="0"/>
                  <w:marTop w:val="0"/>
                  <w:marBottom w:val="0"/>
                  <w:divBdr>
                    <w:top w:val="single" w:sz="2" w:space="0" w:color="D9D9E3"/>
                    <w:left w:val="single" w:sz="2" w:space="0" w:color="D9D9E3"/>
                    <w:bottom w:val="single" w:sz="2" w:space="0" w:color="D9D9E3"/>
                    <w:right w:val="single" w:sz="2" w:space="0" w:color="D9D9E3"/>
                  </w:divBdr>
                  <w:divsChild>
                    <w:div w:id="1389836792">
                      <w:marLeft w:val="0"/>
                      <w:marRight w:val="0"/>
                      <w:marTop w:val="0"/>
                      <w:marBottom w:val="0"/>
                      <w:divBdr>
                        <w:top w:val="single" w:sz="2" w:space="0" w:color="D9D9E3"/>
                        <w:left w:val="single" w:sz="2" w:space="0" w:color="D9D9E3"/>
                        <w:bottom w:val="single" w:sz="2" w:space="0" w:color="D9D9E3"/>
                        <w:right w:val="single" w:sz="2" w:space="0" w:color="D9D9E3"/>
                      </w:divBdr>
                      <w:divsChild>
                        <w:div w:id="696779621">
                          <w:marLeft w:val="0"/>
                          <w:marRight w:val="0"/>
                          <w:marTop w:val="0"/>
                          <w:marBottom w:val="0"/>
                          <w:divBdr>
                            <w:top w:val="single" w:sz="2" w:space="0" w:color="D9D9E3"/>
                            <w:left w:val="single" w:sz="2" w:space="0" w:color="D9D9E3"/>
                            <w:bottom w:val="single" w:sz="2" w:space="0" w:color="D9D9E3"/>
                            <w:right w:val="single" w:sz="2" w:space="0" w:color="D9D9E3"/>
                          </w:divBdr>
                          <w:divsChild>
                            <w:div w:id="1628657161">
                              <w:marLeft w:val="0"/>
                              <w:marRight w:val="0"/>
                              <w:marTop w:val="0"/>
                              <w:marBottom w:val="0"/>
                              <w:divBdr>
                                <w:top w:val="single" w:sz="2" w:space="0" w:color="D9D9E3"/>
                                <w:left w:val="single" w:sz="2" w:space="0" w:color="D9D9E3"/>
                                <w:bottom w:val="single" w:sz="2" w:space="0" w:color="D9D9E3"/>
                                <w:right w:val="single" w:sz="2" w:space="0" w:color="D9D9E3"/>
                              </w:divBdr>
                              <w:divsChild>
                                <w:div w:id="1085570713">
                                  <w:marLeft w:val="0"/>
                                  <w:marRight w:val="0"/>
                                  <w:marTop w:val="0"/>
                                  <w:marBottom w:val="0"/>
                                  <w:divBdr>
                                    <w:top w:val="single" w:sz="2" w:space="0" w:color="D9D9E3"/>
                                    <w:left w:val="single" w:sz="2" w:space="0" w:color="D9D9E3"/>
                                    <w:bottom w:val="single" w:sz="2" w:space="0" w:color="D9D9E3"/>
                                    <w:right w:val="single" w:sz="2" w:space="0" w:color="D9D9E3"/>
                                  </w:divBdr>
                                  <w:divsChild>
                                    <w:div w:id="7447685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00272667">
      <w:bodyDiv w:val="1"/>
      <w:marLeft w:val="0"/>
      <w:marRight w:val="0"/>
      <w:marTop w:val="0"/>
      <w:marBottom w:val="0"/>
      <w:divBdr>
        <w:top w:val="none" w:sz="0" w:space="0" w:color="auto"/>
        <w:left w:val="none" w:sz="0" w:space="0" w:color="auto"/>
        <w:bottom w:val="none" w:sz="0" w:space="0" w:color="auto"/>
        <w:right w:val="none" w:sz="0" w:space="0" w:color="auto"/>
      </w:divBdr>
    </w:div>
    <w:div w:id="812451274">
      <w:bodyDiv w:val="1"/>
      <w:marLeft w:val="0"/>
      <w:marRight w:val="0"/>
      <w:marTop w:val="0"/>
      <w:marBottom w:val="0"/>
      <w:divBdr>
        <w:top w:val="none" w:sz="0" w:space="0" w:color="auto"/>
        <w:left w:val="none" w:sz="0" w:space="0" w:color="auto"/>
        <w:bottom w:val="none" w:sz="0" w:space="0" w:color="auto"/>
        <w:right w:val="none" w:sz="0" w:space="0" w:color="auto"/>
      </w:divBdr>
      <w:divsChild>
        <w:div w:id="841548914">
          <w:marLeft w:val="0"/>
          <w:marRight w:val="0"/>
          <w:marTop w:val="0"/>
          <w:marBottom w:val="0"/>
          <w:divBdr>
            <w:top w:val="single" w:sz="2" w:space="0" w:color="D9D9E3"/>
            <w:left w:val="single" w:sz="2" w:space="0" w:color="D9D9E3"/>
            <w:bottom w:val="single" w:sz="2" w:space="0" w:color="D9D9E3"/>
            <w:right w:val="single" w:sz="2" w:space="0" w:color="D9D9E3"/>
          </w:divBdr>
          <w:divsChild>
            <w:div w:id="1893227831">
              <w:marLeft w:val="0"/>
              <w:marRight w:val="0"/>
              <w:marTop w:val="0"/>
              <w:marBottom w:val="0"/>
              <w:divBdr>
                <w:top w:val="single" w:sz="2" w:space="0" w:color="D9D9E3"/>
                <w:left w:val="single" w:sz="2" w:space="0" w:color="D9D9E3"/>
                <w:bottom w:val="single" w:sz="2" w:space="0" w:color="D9D9E3"/>
                <w:right w:val="single" w:sz="2" w:space="0" w:color="D9D9E3"/>
              </w:divBdr>
              <w:divsChild>
                <w:div w:id="1676762008">
                  <w:marLeft w:val="0"/>
                  <w:marRight w:val="0"/>
                  <w:marTop w:val="0"/>
                  <w:marBottom w:val="0"/>
                  <w:divBdr>
                    <w:top w:val="single" w:sz="2" w:space="0" w:color="D9D9E3"/>
                    <w:left w:val="single" w:sz="2" w:space="0" w:color="D9D9E3"/>
                    <w:bottom w:val="single" w:sz="2" w:space="0" w:color="D9D9E3"/>
                    <w:right w:val="single" w:sz="2" w:space="0" w:color="D9D9E3"/>
                  </w:divBdr>
                  <w:divsChild>
                    <w:div w:id="1054231543">
                      <w:marLeft w:val="0"/>
                      <w:marRight w:val="0"/>
                      <w:marTop w:val="0"/>
                      <w:marBottom w:val="0"/>
                      <w:divBdr>
                        <w:top w:val="single" w:sz="2" w:space="0" w:color="D9D9E3"/>
                        <w:left w:val="single" w:sz="2" w:space="0" w:color="D9D9E3"/>
                        <w:bottom w:val="single" w:sz="2" w:space="0" w:color="D9D9E3"/>
                        <w:right w:val="single" w:sz="2" w:space="0" w:color="D9D9E3"/>
                      </w:divBdr>
                      <w:divsChild>
                        <w:div w:id="569464359">
                          <w:marLeft w:val="0"/>
                          <w:marRight w:val="0"/>
                          <w:marTop w:val="0"/>
                          <w:marBottom w:val="0"/>
                          <w:divBdr>
                            <w:top w:val="single" w:sz="2" w:space="0" w:color="auto"/>
                            <w:left w:val="single" w:sz="2" w:space="0" w:color="auto"/>
                            <w:bottom w:val="single" w:sz="6" w:space="0" w:color="auto"/>
                            <w:right w:val="single" w:sz="2" w:space="0" w:color="auto"/>
                          </w:divBdr>
                          <w:divsChild>
                            <w:div w:id="1919753606">
                              <w:marLeft w:val="0"/>
                              <w:marRight w:val="0"/>
                              <w:marTop w:val="100"/>
                              <w:marBottom w:val="100"/>
                              <w:divBdr>
                                <w:top w:val="single" w:sz="2" w:space="0" w:color="D9D9E3"/>
                                <w:left w:val="single" w:sz="2" w:space="0" w:color="D9D9E3"/>
                                <w:bottom w:val="single" w:sz="2" w:space="0" w:color="D9D9E3"/>
                                <w:right w:val="single" w:sz="2" w:space="0" w:color="D9D9E3"/>
                              </w:divBdr>
                              <w:divsChild>
                                <w:div w:id="1407068139">
                                  <w:marLeft w:val="0"/>
                                  <w:marRight w:val="0"/>
                                  <w:marTop w:val="0"/>
                                  <w:marBottom w:val="0"/>
                                  <w:divBdr>
                                    <w:top w:val="single" w:sz="2" w:space="0" w:color="D9D9E3"/>
                                    <w:left w:val="single" w:sz="2" w:space="0" w:color="D9D9E3"/>
                                    <w:bottom w:val="single" w:sz="2" w:space="0" w:color="D9D9E3"/>
                                    <w:right w:val="single" w:sz="2" w:space="0" w:color="D9D9E3"/>
                                  </w:divBdr>
                                  <w:divsChild>
                                    <w:div w:id="179467081">
                                      <w:marLeft w:val="0"/>
                                      <w:marRight w:val="0"/>
                                      <w:marTop w:val="0"/>
                                      <w:marBottom w:val="0"/>
                                      <w:divBdr>
                                        <w:top w:val="single" w:sz="2" w:space="0" w:color="D9D9E3"/>
                                        <w:left w:val="single" w:sz="2" w:space="0" w:color="D9D9E3"/>
                                        <w:bottom w:val="single" w:sz="2" w:space="0" w:color="D9D9E3"/>
                                        <w:right w:val="single" w:sz="2" w:space="0" w:color="D9D9E3"/>
                                      </w:divBdr>
                                      <w:divsChild>
                                        <w:div w:id="1731345436">
                                          <w:marLeft w:val="0"/>
                                          <w:marRight w:val="0"/>
                                          <w:marTop w:val="0"/>
                                          <w:marBottom w:val="0"/>
                                          <w:divBdr>
                                            <w:top w:val="single" w:sz="2" w:space="0" w:color="D9D9E3"/>
                                            <w:left w:val="single" w:sz="2" w:space="0" w:color="D9D9E3"/>
                                            <w:bottom w:val="single" w:sz="2" w:space="0" w:color="D9D9E3"/>
                                            <w:right w:val="single" w:sz="2" w:space="0" w:color="D9D9E3"/>
                                          </w:divBdr>
                                          <w:divsChild>
                                            <w:div w:id="343243791">
                                              <w:marLeft w:val="0"/>
                                              <w:marRight w:val="0"/>
                                              <w:marTop w:val="0"/>
                                              <w:marBottom w:val="0"/>
                                              <w:divBdr>
                                                <w:top w:val="single" w:sz="2" w:space="0" w:color="D9D9E3"/>
                                                <w:left w:val="single" w:sz="2" w:space="0" w:color="D9D9E3"/>
                                                <w:bottom w:val="single" w:sz="2" w:space="0" w:color="D9D9E3"/>
                                                <w:right w:val="single" w:sz="2" w:space="0" w:color="D9D9E3"/>
                                              </w:divBdr>
                                              <w:divsChild>
                                                <w:div w:id="1176723640">
                                                  <w:marLeft w:val="0"/>
                                                  <w:marRight w:val="0"/>
                                                  <w:marTop w:val="0"/>
                                                  <w:marBottom w:val="0"/>
                                                  <w:divBdr>
                                                    <w:top w:val="single" w:sz="2" w:space="0" w:color="D9D9E3"/>
                                                    <w:left w:val="single" w:sz="2" w:space="0" w:color="D9D9E3"/>
                                                    <w:bottom w:val="single" w:sz="2" w:space="0" w:color="D9D9E3"/>
                                                    <w:right w:val="single" w:sz="2" w:space="0" w:color="D9D9E3"/>
                                                  </w:divBdr>
                                                  <w:divsChild>
                                                    <w:div w:id="728917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93004035">
          <w:marLeft w:val="0"/>
          <w:marRight w:val="0"/>
          <w:marTop w:val="0"/>
          <w:marBottom w:val="0"/>
          <w:divBdr>
            <w:top w:val="none" w:sz="0" w:space="0" w:color="auto"/>
            <w:left w:val="none" w:sz="0" w:space="0" w:color="auto"/>
            <w:bottom w:val="none" w:sz="0" w:space="0" w:color="auto"/>
            <w:right w:val="none" w:sz="0" w:space="0" w:color="auto"/>
          </w:divBdr>
        </w:div>
      </w:divsChild>
    </w:div>
    <w:div w:id="887842652">
      <w:bodyDiv w:val="1"/>
      <w:marLeft w:val="0"/>
      <w:marRight w:val="0"/>
      <w:marTop w:val="0"/>
      <w:marBottom w:val="0"/>
      <w:divBdr>
        <w:top w:val="none" w:sz="0" w:space="0" w:color="auto"/>
        <w:left w:val="none" w:sz="0" w:space="0" w:color="auto"/>
        <w:bottom w:val="none" w:sz="0" w:space="0" w:color="auto"/>
        <w:right w:val="none" w:sz="0" w:space="0" w:color="auto"/>
      </w:divBdr>
    </w:div>
    <w:div w:id="978458541">
      <w:bodyDiv w:val="1"/>
      <w:marLeft w:val="0"/>
      <w:marRight w:val="0"/>
      <w:marTop w:val="0"/>
      <w:marBottom w:val="0"/>
      <w:divBdr>
        <w:top w:val="none" w:sz="0" w:space="0" w:color="auto"/>
        <w:left w:val="none" w:sz="0" w:space="0" w:color="auto"/>
        <w:bottom w:val="none" w:sz="0" w:space="0" w:color="auto"/>
        <w:right w:val="none" w:sz="0" w:space="0" w:color="auto"/>
      </w:divBdr>
      <w:divsChild>
        <w:div w:id="1788768194">
          <w:marLeft w:val="0"/>
          <w:marRight w:val="0"/>
          <w:marTop w:val="0"/>
          <w:marBottom w:val="0"/>
          <w:divBdr>
            <w:top w:val="none" w:sz="0" w:space="0" w:color="auto"/>
            <w:left w:val="none" w:sz="0" w:space="0" w:color="auto"/>
            <w:bottom w:val="none" w:sz="0" w:space="0" w:color="auto"/>
            <w:right w:val="none" w:sz="0" w:space="0" w:color="auto"/>
          </w:divBdr>
        </w:div>
        <w:div w:id="201483510">
          <w:marLeft w:val="0"/>
          <w:marRight w:val="0"/>
          <w:marTop w:val="0"/>
          <w:marBottom w:val="0"/>
          <w:divBdr>
            <w:top w:val="none" w:sz="0" w:space="0" w:color="auto"/>
            <w:left w:val="none" w:sz="0" w:space="0" w:color="auto"/>
            <w:bottom w:val="none" w:sz="0" w:space="0" w:color="auto"/>
            <w:right w:val="none" w:sz="0" w:space="0" w:color="auto"/>
          </w:divBdr>
        </w:div>
        <w:div w:id="1149905101">
          <w:marLeft w:val="0"/>
          <w:marRight w:val="0"/>
          <w:marTop w:val="0"/>
          <w:marBottom w:val="0"/>
          <w:divBdr>
            <w:top w:val="none" w:sz="0" w:space="0" w:color="auto"/>
            <w:left w:val="none" w:sz="0" w:space="0" w:color="auto"/>
            <w:bottom w:val="none" w:sz="0" w:space="0" w:color="auto"/>
            <w:right w:val="none" w:sz="0" w:space="0" w:color="auto"/>
          </w:divBdr>
        </w:div>
        <w:div w:id="1604994645">
          <w:marLeft w:val="0"/>
          <w:marRight w:val="0"/>
          <w:marTop w:val="0"/>
          <w:marBottom w:val="0"/>
          <w:divBdr>
            <w:top w:val="none" w:sz="0" w:space="0" w:color="auto"/>
            <w:left w:val="none" w:sz="0" w:space="0" w:color="auto"/>
            <w:bottom w:val="none" w:sz="0" w:space="0" w:color="auto"/>
            <w:right w:val="none" w:sz="0" w:space="0" w:color="auto"/>
          </w:divBdr>
        </w:div>
        <w:div w:id="1070006695">
          <w:marLeft w:val="0"/>
          <w:marRight w:val="0"/>
          <w:marTop w:val="0"/>
          <w:marBottom w:val="0"/>
          <w:divBdr>
            <w:top w:val="none" w:sz="0" w:space="0" w:color="auto"/>
            <w:left w:val="none" w:sz="0" w:space="0" w:color="auto"/>
            <w:bottom w:val="none" w:sz="0" w:space="0" w:color="auto"/>
            <w:right w:val="none" w:sz="0" w:space="0" w:color="auto"/>
          </w:divBdr>
        </w:div>
        <w:div w:id="1779788556">
          <w:marLeft w:val="0"/>
          <w:marRight w:val="0"/>
          <w:marTop w:val="0"/>
          <w:marBottom w:val="0"/>
          <w:divBdr>
            <w:top w:val="none" w:sz="0" w:space="0" w:color="auto"/>
            <w:left w:val="none" w:sz="0" w:space="0" w:color="auto"/>
            <w:bottom w:val="none" w:sz="0" w:space="0" w:color="auto"/>
            <w:right w:val="none" w:sz="0" w:space="0" w:color="auto"/>
          </w:divBdr>
        </w:div>
        <w:div w:id="1570506009">
          <w:marLeft w:val="0"/>
          <w:marRight w:val="0"/>
          <w:marTop w:val="0"/>
          <w:marBottom w:val="0"/>
          <w:divBdr>
            <w:top w:val="none" w:sz="0" w:space="0" w:color="auto"/>
            <w:left w:val="none" w:sz="0" w:space="0" w:color="auto"/>
            <w:bottom w:val="none" w:sz="0" w:space="0" w:color="auto"/>
            <w:right w:val="none" w:sz="0" w:space="0" w:color="auto"/>
          </w:divBdr>
        </w:div>
        <w:div w:id="743376630">
          <w:marLeft w:val="0"/>
          <w:marRight w:val="0"/>
          <w:marTop w:val="0"/>
          <w:marBottom w:val="0"/>
          <w:divBdr>
            <w:top w:val="none" w:sz="0" w:space="0" w:color="auto"/>
            <w:left w:val="none" w:sz="0" w:space="0" w:color="auto"/>
            <w:bottom w:val="none" w:sz="0" w:space="0" w:color="auto"/>
            <w:right w:val="none" w:sz="0" w:space="0" w:color="auto"/>
          </w:divBdr>
        </w:div>
        <w:div w:id="51856923">
          <w:marLeft w:val="0"/>
          <w:marRight w:val="0"/>
          <w:marTop w:val="0"/>
          <w:marBottom w:val="0"/>
          <w:divBdr>
            <w:top w:val="none" w:sz="0" w:space="0" w:color="auto"/>
            <w:left w:val="none" w:sz="0" w:space="0" w:color="auto"/>
            <w:bottom w:val="none" w:sz="0" w:space="0" w:color="auto"/>
            <w:right w:val="none" w:sz="0" w:space="0" w:color="auto"/>
          </w:divBdr>
        </w:div>
        <w:div w:id="268436672">
          <w:marLeft w:val="0"/>
          <w:marRight w:val="0"/>
          <w:marTop w:val="0"/>
          <w:marBottom w:val="0"/>
          <w:divBdr>
            <w:top w:val="none" w:sz="0" w:space="0" w:color="auto"/>
            <w:left w:val="none" w:sz="0" w:space="0" w:color="auto"/>
            <w:bottom w:val="none" w:sz="0" w:space="0" w:color="auto"/>
            <w:right w:val="none" w:sz="0" w:space="0" w:color="auto"/>
          </w:divBdr>
        </w:div>
      </w:divsChild>
    </w:div>
    <w:div w:id="1056320060">
      <w:bodyDiv w:val="1"/>
      <w:marLeft w:val="0"/>
      <w:marRight w:val="0"/>
      <w:marTop w:val="0"/>
      <w:marBottom w:val="0"/>
      <w:divBdr>
        <w:top w:val="none" w:sz="0" w:space="0" w:color="auto"/>
        <w:left w:val="none" w:sz="0" w:space="0" w:color="auto"/>
        <w:bottom w:val="none" w:sz="0" w:space="0" w:color="auto"/>
        <w:right w:val="none" w:sz="0" w:space="0" w:color="auto"/>
      </w:divBdr>
    </w:div>
    <w:div w:id="1073433698">
      <w:bodyDiv w:val="1"/>
      <w:marLeft w:val="0"/>
      <w:marRight w:val="0"/>
      <w:marTop w:val="0"/>
      <w:marBottom w:val="0"/>
      <w:divBdr>
        <w:top w:val="none" w:sz="0" w:space="0" w:color="auto"/>
        <w:left w:val="none" w:sz="0" w:space="0" w:color="auto"/>
        <w:bottom w:val="none" w:sz="0" w:space="0" w:color="auto"/>
        <w:right w:val="none" w:sz="0" w:space="0" w:color="auto"/>
      </w:divBdr>
    </w:div>
    <w:div w:id="1196428174">
      <w:bodyDiv w:val="1"/>
      <w:marLeft w:val="0"/>
      <w:marRight w:val="0"/>
      <w:marTop w:val="0"/>
      <w:marBottom w:val="0"/>
      <w:divBdr>
        <w:top w:val="none" w:sz="0" w:space="0" w:color="auto"/>
        <w:left w:val="none" w:sz="0" w:space="0" w:color="auto"/>
        <w:bottom w:val="none" w:sz="0" w:space="0" w:color="auto"/>
        <w:right w:val="none" w:sz="0" w:space="0" w:color="auto"/>
      </w:divBdr>
      <w:divsChild>
        <w:div w:id="1828939872">
          <w:marLeft w:val="0"/>
          <w:marRight w:val="0"/>
          <w:marTop w:val="0"/>
          <w:marBottom w:val="0"/>
          <w:divBdr>
            <w:top w:val="single" w:sz="2" w:space="0" w:color="auto"/>
            <w:left w:val="single" w:sz="2" w:space="0" w:color="auto"/>
            <w:bottom w:val="single" w:sz="6" w:space="0" w:color="auto"/>
            <w:right w:val="single" w:sz="2" w:space="0" w:color="auto"/>
          </w:divBdr>
          <w:divsChild>
            <w:div w:id="1040205825">
              <w:marLeft w:val="0"/>
              <w:marRight w:val="0"/>
              <w:marTop w:val="100"/>
              <w:marBottom w:val="100"/>
              <w:divBdr>
                <w:top w:val="single" w:sz="2" w:space="0" w:color="D9D9E3"/>
                <w:left w:val="single" w:sz="2" w:space="0" w:color="D9D9E3"/>
                <w:bottom w:val="single" w:sz="2" w:space="0" w:color="D9D9E3"/>
                <w:right w:val="single" w:sz="2" w:space="0" w:color="D9D9E3"/>
              </w:divBdr>
              <w:divsChild>
                <w:div w:id="1959287773">
                  <w:marLeft w:val="0"/>
                  <w:marRight w:val="0"/>
                  <w:marTop w:val="0"/>
                  <w:marBottom w:val="0"/>
                  <w:divBdr>
                    <w:top w:val="single" w:sz="2" w:space="0" w:color="D9D9E3"/>
                    <w:left w:val="single" w:sz="2" w:space="0" w:color="D9D9E3"/>
                    <w:bottom w:val="single" w:sz="2" w:space="0" w:color="D9D9E3"/>
                    <w:right w:val="single" w:sz="2" w:space="0" w:color="D9D9E3"/>
                  </w:divBdr>
                  <w:divsChild>
                    <w:div w:id="1221673868">
                      <w:marLeft w:val="0"/>
                      <w:marRight w:val="0"/>
                      <w:marTop w:val="0"/>
                      <w:marBottom w:val="0"/>
                      <w:divBdr>
                        <w:top w:val="single" w:sz="2" w:space="0" w:color="D9D9E3"/>
                        <w:left w:val="single" w:sz="2" w:space="0" w:color="D9D9E3"/>
                        <w:bottom w:val="single" w:sz="2" w:space="0" w:color="D9D9E3"/>
                        <w:right w:val="single" w:sz="2" w:space="0" w:color="D9D9E3"/>
                      </w:divBdr>
                      <w:divsChild>
                        <w:div w:id="1088386191">
                          <w:marLeft w:val="0"/>
                          <w:marRight w:val="0"/>
                          <w:marTop w:val="0"/>
                          <w:marBottom w:val="0"/>
                          <w:divBdr>
                            <w:top w:val="single" w:sz="2" w:space="0" w:color="D9D9E3"/>
                            <w:left w:val="single" w:sz="2" w:space="0" w:color="D9D9E3"/>
                            <w:bottom w:val="single" w:sz="2" w:space="0" w:color="D9D9E3"/>
                            <w:right w:val="single" w:sz="2" w:space="0" w:color="D9D9E3"/>
                          </w:divBdr>
                          <w:divsChild>
                            <w:div w:id="1317954021">
                              <w:marLeft w:val="0"/>
                              <w:marRight w:val="0"/>
                              <w:marTop w:val="0"/>
                              <w:marBottom w:val="0"/>
                              <w:divBdr>
                                <w:top w:val="single" w:sz="2" w:space="0" w:color="D9D9E3"/>
                                <w:left w:val="single" w:sz="2" w:space="0" w:color="D9D9E3"/>
                                <w:bottom w:val="single" w:sz="2" w:space="0" w:color="D9D9E3"/>
                                <w:right w:val="single" w:sz="2" w:space="0" w:color="D9D9E3"/>
                              </w:divBdr>
                              <w:divsChild>
                                <w:div w:id="290601169">
                                  <w:marLeft w:val="0"/>
                                  <w:marRight w:val="0"/>
                                  <w:marTop w:val="0"/>
                                  <w:marBottom w:val="0"/>
                                  <w:divBdr>
                                    <w:top w:val="single" w:sz="2" w:space="0" w:color="D9D9E3"/>
                                    <w:left w:val="single" w:sz="2" w:space="0" w:color="D9D9E3"/>
                                    <w:bottom w:val="single" w:sz="2" w:space="0" w:color="D9D9E3"/>
                                    <w:right w:val="single" w:sz="2" w:space="0" w:color="D9D9E3"/>
                                  </w:divBdr>
                                  <w:divsChild>
                                    <w:div w:id="11504396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51181989">
      <w:bodyDiv w:val="1"/>
      <w:marLeft w:val="0"/>
      <w:marRight w:val="0"/>
      <w:marTop w:val="0"/>
      <w:marBottom w:val="0"/>
      <w:divBdr>
        <w:top w:val="none" w:sz="0" w:space="0" w:color="auto"/>
        <w:left w:val="none" w:sz="0" w:space="0" w:color="auto"/>
        <w:bottom w:val="none" w:sz="0" w:space="0" w:color="auto"/>
        <w:right w:val="none" w:sz="0" w:space="0" w:color="auto"/>
      </w:divBdr>
      <w:divsChild>
        <w:div w:id="1843206371">
          <w:marLeft w:val="0"/>
          <w:marRight w:val="0"/>
          <w:marTop w:val="0"/>
          <w:marBottom w:val="0"/>
          <w:divBdr>
            <w:top w:val="single" w:sz="2" w:space="0" w:color="auto"/>
            <w:left w:val="single" w:sz="2" w:space="0" w:color="auto"/>
            <w:bottom w:val="single" w:sz="6" w:space="0" w:color="auto"/>
            <w:right w:val="single" w:sz="2" w:space="0" w:color="auto"/>
          </w:divBdr>
          <w:divsChild>
            <w:div w:id="268242187">
              <w:marLeft w:val="0"/>
              <w:marRight w:val="0"/>
              <w:marTop w:val="100"/>
              <w:marBottom w:val="100"/>
              <w:divBdr>
                <w:top w:val="single" w:sz="2" w:space="0" w:color="D9D9E3"/>
                <w:left w:val="single" w:sz="2" w:space="0" w:color="D9D9E3"/>
                <w:bottom w:val="single" w:sz="2" w:space="0" w:color="D9D9E3"/>
                <w:right w:val="single" w:sz="2" w:space="0" w:color="D9D9E3"/>
              </w:divBdr>
              <w:divsChild>
                <w:div w:id="971397904">
                  <w:marLeft w:val="0"/>
                  <w:marRight w:val="0"/>
                  <w:marTop w:val="0"/>
                  <w:marBottom w:val="0"/>
                  <w:divBdr>
                    <w:top w:val="single" w:sz="2" w:space="0" w:color="D9D9E3"/>
                    <w:left w:val="single" w:sz="2" w:space="0" w:color="D9D9E3"/>
                    <w:bottom w:val="single" w:sz="2" w:space="0" w:color="D9D9E3"/>
                    <w:right w:val="single" w:sz="2" w:space="0" w:color="D9D9E3"/>
                  </w:divBdr>
                  <w:divsChild>
                    <w:div w:id="2135515481">
                      <w:marLeft w:val="0"/>
                      <w:marRight w:val="0"/>
                      <w:marTop w:val="0"/>
                      <w:marBottom w:val="0"/>
                      <w:divBdr>
                        <w:top w:val="single" w:sz="2" w:space="0" w:color="D9D9E3"/>
                        <w:left w:val="single" w:sz="2" w:space="0" w:color="D9D9E3"/>
                        <w:bottom w:val="single" w:sz="2" w:space="0" w:color="D9D9E3"/>
                        <w:right w:val="single" w:sz="2" w:space="0" w:color="D9D9E3"/>
                      </w:divBdr>
                      <w:divsChild>
                        <w:div w:id="2053460491">
                          <w:marLeft w:val="0"/>
                          <w:marRight w:val="0"/>
                          <w:marTop w:val="0"/>
                          <w:marBottom w:val="0"/>
                          <w:divBdr>
                            <w:top w:val="single" w:sz="2" w:space="0" w:color="D9D9E3"/>
                            <w:left w:val="single" w:sz="2" w:space="0" w:color="D9D9E3"/>
                            <w:bottom w:val="single" w:sz="2" w:space="0" w:color="D9D9E3"/>
                            <w:right w:val="single" w:sz="2" w:space="0" w:color="D9D9E3"/>
                          </w:divBdr>
                          <w:divsChild>
                            <w:div w:id="1480341468">
                              <w:marLeft w:val="0"/>
                              <w:marRight w:val="0"/>
                              <w:marTop w:val="0"/>
                              <w:marBottom w:val="0"/>
                              <w:divBdr>
                                <w:top w:val="single" w:sz="2" w:space="0" w:color="D9D9E3"/>
                                <w:left w:val="single" w:sz="2" w:space="0" w:color="D9D9E3"/>
                                <w:bottom w:val="single" w:sz="2" w:space="0" w:color="D9D9E3"/>
                                <w:right w:val="single" w:sz="2" w:space="0" w:color="D9D9E3"/>
                              </w:divBdr>
                              <w:divsChild>
                                <w:div w:id="490487908">
                                  <w:marLeft w:val="0"/>
                                  <w:marRight w:val="0"/>
                                  <w:marTop w:val="0"/>
                                  <w:marBottom w:val="0"/>
                                  <w:divBdr>
                                    <w:top w:val="single" w:sz="2" w:space="0" w:color="D9D9E3"/>
                                    <w:left w:val="single" w:sz="2" w:space="0" w:color="D9D9E3"/>
                                    <w:bottom w:val="single" w:sz="2" w:space="0" w:color="D9D9E3"/>
                                    <w:right w:val="single" w:sz="2" w:space="0" w:color="D9D9E3"/>
                                  </w:divBdr>
                                  <w:divsChild>
                                    <w:div w:id="2290808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65908299">
      <w:bodyDiv w:val="1"/>
      <w:marLeft w:val="0"/>
      <w:marRight w:val="0"/>
      <w:marTop w:val="0"/>
      <w:marBottom w:val="0"/>
      <w:divBdr>
        <w:top w:val="none" w:sz="0" w:space="0" w:color="auto"/>
        <w:left w:val="none" w:sz="0" w:space="0" w:color="auto"/>
        <w:bottom w:val="none" w:sz="0" w:space="0" w:color="auto"/>
        <w:right w:val="none" w:sz="0" w:space="0" w:color="auto"/>
      </w:divBdr>
    </w:div>
    <w:div w:id="1398090216">
      <w:bodyDiv w:val="1"/>
      <w:marLeft w:val="0"/>
      <w:marRight w:val="0"/>
      <w:marTop w:val="0"/>
      <w:marBottom w:val="0"/>
      <w:divBdr>
        <w:top w:val="none" w:sz="0" w:space="0" w:color="auto"/>
        <w:left w:val="none" w:sz="0" w:space="0" w:color="auto"/>
        <w:bottom w:val="none" w:sz="0" w:space="0" w:color="auto"/>
        <w:right w:val="none" w:sz="0" w:space="0" w:color="auto"/>
      </w:divBdr>
      <w:divsChild>
        <w:div w:id="1964069799">
          <w:marLeft w:val="0"/>
          <w:marRight w:val="0"/>
          <w:marTop w:val="0"/>
          <w:marBottom w:val="0"/>
          <w:divBdr>
            <w:top w:val="single" w:sz="2" w:space="0" w:color="auto"/>
            <w:left w:val="single" w:sz="2" w:space="0" w:color="auto"/>
            <w:bottom w:val="single" w:sz="6" w:space="0" w:color="auto"/>
            <w:right w:val="single" w:sz="2" w:space="0" w:color="auto"/>
          </w:divBdr>
          <w:divsChild>
            <w:div w:id="145972434">
              <w:marLeft w:val="0"/>
              <w:marRight w:val="0"/>
              <w:marTop w:val="100"/>
              <w:marBottom w:val="100"/>
              <w:divBdr>
                <w:top w:val="single" w:sz="2" w:space="0" w:color="D9D9E3"/>
                <w:left w:val="single" w:sz="2" w:space="0" w:color="D9D9E3"/>
                <w:bottom w:val="single" w:sz="2" w:space="0" w:color="D9D9E3"/>
                <w:right w:val="single" w:sz="2" w:space="0" w:color="D9D9E3"/>
              </w:divBdr>
              <w:divsChild>
                <w:div w:id="1793134817">
                  <w:marLeft w:val="0"/>
                  <w:marRight w:val="0"/>
                  <w:marTop w:val="0"/>
                  <w:marBottom w:val="0"/>
                  <w:divBdr>
                    <w:top w:val="single" w:sz="2" w:space="0" w:color="D9D9E3"/>
                    <w:left w:val="single" w:sz="2" w:space="0" w:color="D9D9E3"/>
                    <w:bottom w:val="single" w:sz="2" w:space="0" w:color="D9D9E3"/>
                    <w:right w:val="single" w:sz="2" w:space="0" w:color="D9D9E3"/>
                  </w:divBdr>
                  <w:divsChild>
                    <w:div w:id="597446928">
                      <w:marLeft w:val="0"/>
                      <w:marRight w:val="0"/>
                      <w:marTop w:val="0"/>
                      <w:marBottom w:val="0"/>
                      <w:divBdr>
                        <w:top w:val="single" w:sz="2" w:space="0" w:color="D9D9E3"/>
                        <w:left w:val="single" w:sz="2" w:space="0" w:color="D9D9E3"/>
                        <w:bottom w:val="single" w:sz="2" w:space="0" w:color="D9D9E3"/>
                        <w:right w:val="single" w:sz="2" w:space="0" w:color="D9D9E3"/>
                      </w:divBdr>
                      <w:divsChild>
                        <w:div w:id="1263538738">
                          <w:marLeft w:val="0"/>
                          <w:marRight w:val="0"/>
                          <w:marTop w:val="0"/>
                          <w:marBottom w:val="0"/>
                          <w:divBdr>
                            <w:top w:val="single" w:sz="2" w:space="0" w:color="D9D9E3"/>
                            <w:left w:val="single" w:sz="2" w:space="0" w:color="D9D9E3"/>
                            <w:bottom w:val="single" w:sz="2" w:space="0" w:color="D9D9E3"/>
                            <w:right w:val="single" w:sz="2" w:space="0" w:color="D9D9E3"/>
                          </w:divBdr>
                          <w:divsChild>
                            <w:div w:id="1018696991">
                              <w:marLeft w:val="0"/>
                              <w:marRight w:val="0"/>
                              <w:marTop w:val="0"/>
                              <w:marBottom w:val="0"/>
                              <w:divBdr>
                                <w:top w:val="single" w:sz="2" w:space="0" w:color="D9D9E3"/>
                                <w:left w:val="single" w:sz="2" w:space="0" w:color="D9D9E3"/>
                                <w:bottom w:val="single" w:sz="2" w:space="0" w:color="D9D9E3"/>
                                <w:right w:val="single" w:sz="2" w:space="0" w:color="D9D9E3"/>
                              </w:divBdr>
                              <w:divsChild>
                                <w:div w:id="440806238">
                                  <w:marLeft w:val="0"/>
                                  <w:marRight w:val="0"/>
                                  <w:marTop w:val="0"/>
                                  <w:marBottom w:val="0"/>
                                  <w:divBdr>
                                    <w:top w:val="single" w:sz="2" w:space="0" w:color="D9D9E3"/>
                                    <w:left w:val="single" w:sz="2" w:space="0" w:color="D9D9E3"/>
                                    <w:bottom w:val="single" w:sz="2" w:space="0" w:color="D9D9E3"/>
                                    <w:right w:val="single" w:sz="2" w:space="0" w:color="D9D9E3"/>
                                  </w:divBdr>
                                  <w:divsChild>
                                    <w:div w:id="778375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31996059">
      <w:bodyDiv w:val="1"/>
      <w:marLeft w:val="0"/>
      <w:marRight w:val="0"/>
      <w:marTop w:val="0"/>
      <w:marBottom w:val="0"/>
      <w:divBdr>
        <w:top w:val="none" w:sz="0" w:space="0" w:color="auto"/>
        <w:left w:val="none" w:sz="0" w:space="0" w:color="auto"/>
        <w:bottom w:val="none" w:sz="0" w:space="0" w:color="auto"/>
        <w:right w:val="none" w:sz="0" w:space="0" w:color="auto"/>
      </w:divBdr>
    </w:div>
    <w:div w:id="1546914694">
      <w:bodyDiv w:val="1"/>
      <w:marLeft w:val="0"/>
      <w:marRight w:val="0"/>
      <w:marTop w:val="0"/>
      <w:marBottom w:val="0"/>
      <w:divBdr>
        <w:top w:val="none" w:sz="0" w:space="0" w:color="auto"/>
        <w:left w:val="none" w:sz="0" w:space="0" w:color="auto"/>
        <w:bottom w:val="none" w:sz="0" w:space="0" w:color="auto"/>
        <w:right w:val="none" w:sz="0" w:space="0" w:color="auto"/>
      </w:divBdr>
    </w:div>
    <w:div w:id="1704019946">
      <w:bodyDiv w:val="1"/>
      <w:marLeft w:val="0"/>
      <w:marRight w:val="0"/>
      <w:marTop w:val="0"/>
      <w:marBottom w:val="0"/>
      <w:divBdr>
        <w:top w:val="none" w:sz="0" w:space="0" w:color="auto"/>
        <w:left w:val="none" w:sz="0" w:space="0" w:color="auto"/>
        <w:bottom w:val="none" w:sz="0" w:space="0" w:color="auto"/>
        <w:right w:val="none" w:sz="0" w:space="0" w:color="auto"/>
      </w:divBdr>
    </w:div>
    <w:div w:id="1745486427">
      <w:bodyDiv w:val="1"/>
      <w:marLeft w:val="0"/>
      <w:marRight w:val="0"/>
      <w:marTop w:val="0"/>
      <w:marBottom w:val="0"/>
      <w:divBdr>
        <w:top w:val="none" w:sz="0" w:space="0" w:color="auto"/>
        <w:left w:val="none" w:sz="0" w:space="0" w:color="auto"/>
        <w:bottom w:val="none" w:sz="0" w:space="0" w:color="auto"/>
        <w:right w:val="none" w:sz="0" w:space="0" w:color="auto"/>
      </w:divBdr>
      <w:divsChild>
        <w:div w:id="596210492">
          <w:marLeft w:val="0"/>
          <w:marRight w:val="0"/>
          <w:marTop w:val="0"/>
          <w:marBottom w:val="0"/>
          <w:divBdr>
            <w:top w:val="single" w:sz="2" w:space="0" w:color="D9D9E3"/>
            <w:left w:val="single" w:sz="2" w:space="0" w:color="D9D9E3"/>
            <w:bottom w:val="single" w:sz="2" w:space="0" w:color="D9D9E3"/>
            <w:right w:val="single" w:sz="2" w:space="0" w:color="D9D9E3"/>
          </w:divBdr>
          <w:divsChild>
            <w:div w:id="1717578466">
              <w:marLeft w:val="0"/>
              <w:marRight w:val="0"/>
              <w:marTop w:val="0"/>
              <w:marBottom w:val="0"/>
              <w:divBdr>
                <w:top w:val="single" w:sz="2" w:space="0" w:color="D9D9E3"/>
                <w:left w:val="single" w:sz="2" w:space="0" w:color="D9D9E3"/>
                <w:bottom w:val="single" w:sz="2" w:space="0" w:color="D9D9E3"/>
                <w:right w:val="single" w:sz="2" w:space="0" w:color="D9D9E3"/>
              </w:divBdr>
              <w:divsChild>
                <w:div w:id="1545214530">
                  <w:marLeft w:val="0"/>
                  <w:marRight w:val="0"/>
                  <w:marTop w:val="0"/>
                  <w:marBottom w:val="0"/>
                  <w:divBdr>
                    <w:top w:val="single" w:sz="2" w:space="0" w:color="D9D9E3"/>
                    <w:left w:val="single" w:sz="2" w:space="0" w:color="D9D9E3"/>
                    <w:bottom w:val="single" w:sz="2" w:space="0" w:color="D9D9E3"/>
                    <w:right w:val="single" w:sz="2" w:space="0" w:color="D9D9E3"/>
                  </w:divBdr>
                  <w:divsChild>
                    <w:div w:id="1561945331">
                      <w:marLeft w:val="0"/>
                      <w:marRight w:val="0"/>
                      <w:marTop w:val="0"/>
                      <w:marBottom w:val="0"/>
                      <w:divBdr>
                        <w:top w:val="single" w:sz="2" w:space="0" w:color="D9D9E3"/>
                        <w:left w:val="single" w:sz="2" w:space="0" w:color="D9D9E3"/>
                        <w:bottom w:val="single" w:sz="2" w:space="0" w:color="D9D9E3"/>
                        <w:right w:val="single" w:sz="2" w:space="0" w:color="D9D9E3"/>
                      </w:divBdr>
                      <w:divsChild>
                        <w:div w:id="113601229">
                          <w:marLeft w:val="0"/>
                          <w:marRight w:val="0"/>
                          <w:marTop w:val="0"/>
                          <w:marBottom w:val="0"/>
                          <w:divBdr>
                            <w:top w:val="single" w:sz="2" w:space="0" w:color="auto"/>
                            <w:left w:val="single" w:sz="2" w:space="0" w:color="auto"/>
                            <w:bottom w:val="single" w:sz="6" w:space="0" w:color="auto"/>
                            <w:right w:val="single" w:sz="2" w:space="0" w:color="auto"/>
                          </w:divBdr>
                          <w:divsChild>
                            <w:div w:id="454100022">
                              <w:marLeft w:val="0"/>
                              <w:marRight w:val="0"/>
                              <w:marTop w:val="100"/>
                              <w:marBottom w:val="100"/>
                              <w:divBdr>
                                <w:top w:val="single" w:sz="2" w:space="0" w:color="D9D9E3"/>
                                <w:left w:val="single" w:sz="2" w:space="0" w:color="D9D9E3"/>
                                <w:bottom w:val="single" w:sz="2" w:space="0" w:color="D9D9E3"/>
                                <w:right w:val="single" w:sz="2" w:space="0" w:color="D9D9E3"/>
                              </w:divBdr>
                              <w:divsChild>
                                <w:div w:id="1538009542">
                                  <w:marLeft w:val="0"/>
                                  <w:marRight w:val="0"/>
                                  <w:marTop w:val="0"/>
                                  <w:marBottom w:val="0"/>
                                  <w:divBdr>
                                    <w:top w:val="single" w:sz="2" w:space="0" w:color="D9D9E3"/>
                                    <w:left w:val="single" w:sz="2" w:space="0" w:color="D9D9E3"/>
                                    <w:bottom w:val="single" w:sz="2" w:space="0" w:color="D9D9E3"/>
                                    <w:right w:val="single" w:sz="2" w:space="0" w:color="D9D9E3"/>
                                  </w:divBdr>
                                  <w:divsChild>
                                    <w:div w:id="728653656">
                                      <w:marLeft w:val="0"/>
                                      <w:marRight w:val="0"/>
                                      <w:marTop w:val="0"/>
                                      <w:marBottom w:val="0"/>
                                      <w:divBdr>
                                        <w:top w:val="single" w:sz="2" w:space="0" w:color="D9D9E3"/>
                                        <w:left w:val="single" w:sz="2" w:space="0" w:color="D9D9E3"/>
                                        <w:bottom w:val="single" w:sz="2" w:space="0" w:color="D9D9E3"/>
                                        <w:right w:val="single" w:sz="2" w:space="0" w:color="D9D9E3"/>
                                      </w:divBdr>
                                      <w:divsChild>
                                        <w:div w:id="1104618983">
                                          <w:marLeft w:val="0"/>
                                          <w:marRight w:val="0"/>
                                          <w:marTop w:val="0"/>
                                          <w:marBottom w:val="0"/>
                                          <w:divBdr>
                                            <w:top w:val="single" w:sz="2" w:space="0" w:color="D9D9E3"/>
                                            <w:left w:val="single" w:sz="2" w:space="0" w:color="D9D9E3"/>
                                            <w:bottom w:val="single" w:sz="2" w:space="0" w:color="D9D9E3"/>
                                            <w:right w:val="single" w:sz="2" w:space="0" w:color="D9D9E3"/>
                                          </w:divBdr>
                                          <w:divsChild>
                                            <w:div w:id="1537082540">
                                              <w:marLeft w:val="0"/>
                                              <w:marRight w:val="0"/>
                                              <w:marTop w:val="0"/>
                                              <w:marBottom w:val="0"/>
                                              <w:divBdr>
                                                <w:top w:val="single" w:sz="2" w:space="0" w:color="D9D9E3"/>
                                                <w:left w:val="single" w:sz="2" w:space="0" w:color="D9D9E3"/>
                                                <w:bottom w:val="single" w:sz="2" w:space="0" w:color="D9D9E3"/>
                                                <w:right w:val="single" w:sz="2" w:space="0" w:color="D9D9E3"/>
                                              </w:divBdr>
                                              <w:divsChild>
                                                <w:div w:id="558786763">
                                                  <w:marLeft w:val="0"/>
                                                  <w:marRight w:val="0"/>
                                                  <w:marTop w:val="0"/>
                                                  <w:marBottom w:val="0"/>
                                                  <w:divBdr>
                                                    <w:top w:val="single" w:sz="2" w:space="0" w:color="D9D9E3"/>
                                                    <w:left w:val="single" w:sz="2" w:space="0" w:color="D9D9E3"/>
                                                    <w:bottom w:val="single" w:sz="2" w:space="0" w:color="D9D9E3"/>
                                                    <w:right w:val="single" w:sz="2" w:space="0" w:color="D9D9E3"/>
                                                  </w:divBdr>
                                                  <w:divsChild>
                                                    <w:div w:id="17684544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08046200">
          <w:marLeft w:val="0"/>
          <w:marRight w:val="0"/>
          <w:marTop w:val="0"/>
          <w:marBottom w:val="0"/>
          <w:divBdr>
            <w:top w:val="none" w:sz="0" w:space="0" w:color="auto"/>
            <w:left w:val="none" w:sz="0" w:space="0" w:color="auto"/>
            <w:bottom w:val="none" w:sz="0" w:space="0" w:color="auto"/>
            <w:right w:val="none" w:sz="0" w:space="0" w:color="auto"/>
          </w:divBdr>
        </w:div>
      </w:divsChild>
    </w:div>
    <w:div w:id="1870219751">
      <w:bodyDiv w:val="1"/>
      <w:marLeft w:val="0"/>
      <w:marRight w:val="0"/>
      <w:marTop w:val="0"/>
      <w:marBottom w:val="0"/>
      <w:divBdr>
        <w:top w:val="none" w:sz="0" w:space="0" w:color="auto"/>
        <w:left w:val="none" w:sz="0" w:space="0" w:color="auto"/>
        <w:bottom w:val="none" w:sz="0" w:space="0" w:color="auto"/>
        <w:right w:val="none" w:sz="0" w:space="0" w:color="auto"/>
      </w:divBdr>
    </w:div>
    <w:div w:id="1888643749">
      <w:bodyDiv w:val="1"/>
      <w:marLeft w:val="0"/>
      <w:marRight w:val="0"/>
      <w:marTop w:val="0"/>
      <w:marBottom w:val="0"/>
      <w:divBdr>
        <w:top w:val="none" w:sz="0" w:space="0" w:color="auto"/>
        <w:left w:val="none" w:sz="0" w:space="0" w:color="auto"/>
        <w:bottom w:val="none" w:sz="0" w:space="0" w:color="auto"/>
        <w:right w:val="none" w:sz="0" w:space="0" w:color="auto"/>
      </w:divBdr>
    </w:div>
    <w:div w:id="2137406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47EDD3-05D0-4370-BC53-B084C280D690}" type="doc">
      <dgm:prSet loTypeId="urn:microsoft.com/office/officeart/2005/8/layout/gear1" loCatId="cycle" qsTypeId="urn:microsoft.com/office/officeart/2005/8/quickstyle/3d1" qsCatId="3D" csTypeId="urn:microsoft.com/office/officeart/2005/8/colors/colorful4" csCatId="colorful" phldr="1"/>
      <dgm:spPr/>
      <dgm:t>
        <a:bodyPr/>
        <a:lstStyle/>
        <a:p>
          <a:endParaRPr lang="en-US"/>
        </a:p>
      </dgm:t>
    </dgm:pt>
    <dgm:pt modelId="{43ECB5C8-54F8-40BE-B28D-256A420E978F}">
      <dgm:prSet phldrT="[Text]" custT="1"/>
      <dgm:spPr/>
      <dgm:t>
        <a:bodyPr/>
        <a:lstStyle/>
        <a:p>
          <a:r>
            <a:rPr lang="en-US" sz="1200" b="1" i="0">
              <a:latin typeface="Times New Roman" pitchFamily="18" charset="0"/>
              <a:cs typeface="Times New Roman" pitchFamily="18" charset="0"/>
            </a:rPr>
            <a:t>Stakeholder</a:t>
          </a:r>
        </a:p>
      </dgm:t>
    </dgm:pt>
    <dgm:pt modelId="{CB24E2A9-85C2-4EDF-A7DD-142EC7AD8462}" type="parTrans" cxnId="{4F2D7A32-74D5-42F4-95F8-1B2E8A286C12}">
      <dgm:prSet/>
      <dgm:spPr/>
      <dgm:t>
        <a:bodyPr/>
        <a:lstStyle/>
        <a:p>
          <a:endParaRPr lang="en-US"/>
        </a:p>
      </dgm:t>
    </dgm:pt>
    <dgm:pt modelId="{F89EE143-03AA-4632-ADB9-DA4A1EB869A6}" type="sibTrans" cxnId="{4F2D7A32-74D5-42F4-95F8-1B2E8A286C12}">
      <dgm:prSet/>
      <dgm:spPr/>
      <dgm:t>
        <a:bodyPr/>
        <a:lstStyle/>
        <a:p>
          <a:endParaRPr lang="en-US"/>
        </a:p>
      </dgm:t>
    </dgm:pt>
    <dgm:pt modelId="{6AB11902-1221-43DC-A67E-1FF60657AEC8}">
      <dgm:prSet phldrT="[Text]"/>
      <dgm:spPr/>
      <dgm:t>
        <a:bodyPr/>
        <a:lstStyle/>
        <a:p>
          <a:pPr algn="just"/>
          <a:r>
            <a:rPr lang="en-US">
              <a:latin typeface="Times New Roman" pitchFamily="18" charset="0"/>
              <a:cs typeface="Times New Roman" pitchFamily="18" charset="0"/>
            </a:rPr>
            <a:t>Google</a:t>
          </a:r>
        </a:p>
      </dgm:t>
    </dgm:pt>
    <dgm:pt modelId="{730770A7-04C6-4B35-B5FD-CDDD36FD3B39}" type="parTrans" cxnId="{F93364D0-173A-4A22-B1FD-A55BC85114C3}">
      <dgm:prSet/>
      <dgm:spPr/>
      <dgm:t>
        <a:bodyPr/>
        <a:lstStyle/>
        <a:p>
          <a:endParaRPr lang="en-US"/>
        </a:p>
      </dgm:t>
    </dgm:pt>
    <dgm:pt modelId="{B5DBDE53-A713-4962-A393-FBD82B921904}" type="sibTrans" cxnId="{F93364D0-173A-4A22-B1FD-A55BC85114C3}">
      <dgm:prSet/>
      <dgm:spPr/>
      <dgm:t>
        <a:bodyPr/>
        <a:lstStyle/>
        <a:p>
          <a:endParaRPr lang="en-US"/>
        </a:p>
      </dgm:t>
    </dgm:pt>
    <dgm:pt modelId="{6A89BFE7-70BE-4CE0-9995-87D5E025B681}">
      <dgm:prSet phldrT="[Text]"/>
      <dgm:spPr/>
      <dgm:t>
        <a:bodyPr/>
        <a:lstStyle/>
        <a:p>
          <a:pPr algn="just"/>
          <a:r>
            <a:rPr lang="en-US">
              <a:latin typeface="Times New Roman" pitchFamily="18" charset="0"/>
              <a:cs typeface="Times New Roman" pitchFamily="18" charset="0"/>
            </a:rPr>
            <a:t>Local community</a:t>
          </a:r>
        </a:p>
      </dgm:t>
    </dgm:pt>
    <dgm:pt modelId="{7C0FFB1B-9924-433C-AA54-B22CE916916D}" type="parTrans" cxnId="{9598CB2C-C455-42C8-AB00-040B92ADD91E}">
      <dgm:prSet/>
      <dgm:spPr/>
      <dgm:t>
        <a:bodyPr/>
        <a:lstStyle/>
        <a:p>
          <a:endParaRPr lang="en-US"/>
        </a:p>
      </dgm:t>
    </dgm:pt>
    <dgm:pt modelId="{4EA4F3E9-7D13-41B2-816D-BEF28681C7C7}" type="sibTrans" cxnId="{9598CB2C-C455-42C8-AB00-040B92ADD91E}">
      <dgm:prSet/>
      <dgm:spPr/>
      <dgm:t>
        <a:bodyPr/>
        <a:lstStyle/>
        <a:p>
          <a:endParaRPr lang="en-US"/>
        </a:p>
      </dgm:t>
    </dgm:pt>
    <dgm:pt modelId="{D313FF22-5D8B-4DB1-8289-EA4D1F8D9C2B}">
      <dgm:prSet phldrT="[Text]"/>
      <dgm:spPr/>
      <dgm:t>
        <a:bodyPr/>
        <a:lstStyle/>
        <a:p>
          <a:pPr algn="just"/>
          <a:r>
            <a:rPr lang="en-US">
              <a:latin typeface="Times New Roman" pitchFamily="18" charset="0"/>
              <a:cs typeface="Times New Roman" pitchFamily="18" charset="0"/>
            </a:rPr>
            <a:t>Contractors and suppliers</a:t>
          </a:r>
        </a:p>
      </dgm:t>
    </dgm:pt>
    <dgm:pt modelId="{B5E7A837-3A00-4B74-8889-C0CA23B8DCDA}" type="parTrans" cxnId="{C1C94D80-EB43-47AA-98E4-55C29B7942AF}">
      <dgm:prSet/>
      <dgm:spPr/>
      <dgm:t>
        <a:bodyPr/>
        <a:lstStyle/>
        <a:p>
          <a:endParaRPr lang="en-US"/>
        </a:p>
      </dgm:t>
    </dgm:pt>
    <dgm:pt modelId="{6A2E0E9C-6886-456F-AC6C-DC15190BE063}" type="sibTrans" cxnId="{C1C94D80-EB43-47AA-98E4-55C29B7942AF}">
      <dgm:prSet/>
      <dgm:spPr/>
      <dgm:t>
        <a:bodyPr/>
        <a:lstStyle/>
        <a:p>
          <a:endParaRPr lang="en-US"/>
        </a:p>
      </dgm:t>
    </dgm:pt>
    <dgm:pt modelId="{E466923A-5F3C-4C06-AF50-DFB9EFAD6548}">
      <dgm:prSet phldrT="[Text]"/>
      <dgm:spPr/>
      <dgm:t>
        <a:bodyPr/>
        <a:lstStyle/>
        <a:p>
          <a:pPr algn="just"/>
          <a:r>
            <a:rPr lang="en-US">
              <a:latin typeface="Times New Roman" pitchFamily="18" charset="0"/>
              <a:cs typeface="Times New Roman" pitchFamily="18" charset="0"/>
            </a:rPr>
            <a:t>Employees</a:t>
          </a:r>
        </a:p>
      </dgm:t>
    </dgm:pt>
    <dgm:pt modelId="{333F6D34-D89E-4808-8F5B-EB26D1601373}" type="parTrans" cxnId="{377217AB-777D-40AA-8797-4DF85F28495C}">
      <dgm:prSet/>
      <dgm:spPr/>
      <dgm:t>
        <a:bodyPr/>
        <a:lstStyle/>
        <a:p>
          <a:endParaRPr lang="en-US"/>
        </a:p>
      </dgm:t>
    </dgm:pt>
    <dgm:pt modelId="{7EDDDCF4-8016-4F29-9F0A-EFE0E5681AEB}" type="sibTrans" cxnId="{377217AB-777D-40AA-8797-4DF85F28495C}">
      <dgm:prSet/>
      <dgm:spPr/>
      <dgm:t>
        <a:bodyPr/>
        <a:lstStyle/>
        <a:p>
          <a:endParaRPr lang="en-US"/>
        </a:p>
      </dgm:t>
    </dgm:pt>
    <dgm:pt modelId="{BC883C7B-12BA-4561-BC3D-A9CB702B5A34}">
      <dgm:prSet/>
      <dgm:spPr/>
      <dgm:t>
        <a:bodyPr/>
        <a:lstStyle/>
        <a:p>
          <a:pPr algn="just"/>
          <a:r>
            <a:rPr lang="en-US">
              <a:latin typeface="Times New Roman" pitchFamily="18" charset="0"/>
              <a:cs typeface="Times New Roman" pitchFamily="18" charset="0"/>
            </a:rPr>
            <a:t>Government agencies</a:t>
          </a:r>
        </a:p>
      </dgm:t>
    </dgm:pt>
    <dgm:pt modelId="{DD3C5309-1A0C-40A4-9432-6DBD705744FC}" type="parTrans" cxnId="{C8E99CFB-BFBD-416B-91A1-BC3A7DFFAFAA}">
      <dgm:prSet/>
      <dgm:spPr/>
      <dgm:t>
        <a:bodyPr/>
        <a:lstStyle/>
        <a:p>
          <a:endParaRPr lang="en-US"/>
        </a:p>
      </dgm:t>
    </dgm:pt>
    <dgm:pt modelId="{165ACEB9-AC76-4306-86B9-343880AFCAC1}" type="sibTrans" cxnId="{C8E99CFB-BFBD-416B-91A1-BC3A7DFFAFAA}">
      <dgm:prSet/>
      <dgm:spPr/>
      <dgm:t>
        <a:bodyPr/>
        <a:lstStyle/>
        <a:p>
          <a:endParaRPr lang="en-US"/>
        </a:p>
      </dgm:t>
    </dgm:pt>
    <dgm:pt modelId="{9BC53AC1-EFA8-4D55-A95A-8BFB7DD7788D}" type="pres">
      <dgm:prSet presAssocID="{E847EDD3-05D0-4370-BC53-B084C280D690}" presName="composite" presStyleCnt="0">
        <dgm:presLayoutVars>
          <dgm:chMax val="3"/>
          <dgm:animLvl val="lvl"/>
          <dgm:resizeHandles val="exact"/>
        </dgm:presLayoutVars>
      </dgm:prSet>
      <dgm:spPr/>
    </dgm:pt>
    <dgm:pt modelId="{E1F1D61A-BCFF-4168-B184-45AE5E7B35C7}" type="pres">
      <dgm:prSet presAssocID="{43ECB5C8-54F8-40BE-B28D-256A420E978F}" presName="gear1" presStyleLbl="node1" presStyleIdx="0" presStyleCnt="1">
        <dgm:presLayoutVars>
          <dgm:chMax val="1"/>
          <dgm:bulletEnabled val="1"/>
        </dgm:presLayoutVars>
      </dgm:prSet>
      <dgm:spPr/>
    </dgm:pt>
    <dgm:pt modelId="{AA8D3B61-C004-4297-A6A5-188F028CE3A0}" type="pres">
      <dgm:prSet presAssocID="{43ECB5C8-54F8-40BE-B28D-256A420E978F}" presName="gear1srcNode" presStyleLbl="node1" presStyleIdx="0" presStyleCnt="1"/>
      <dgm:spPr/>
    </dgm:pt>
    <dgm:pt modelId="{ACA5A65D-290D-42AB-AEDF-34DD964113D0}" type="pres">
      <dgm:prSet presAssocID="{43ECB5C8-54F8-40BE-B28D-256A420E978F}" presName="gear1dstNode" presStyleLbl="node1" presStyleIdx="0" presStyleCnt="1"/>
      <dgm:spPr/>
    </dgm:pt>
    <dgm:pt modelId="{6733FD98-E418-47A6-A437-BB43EB08B260}" type="pres">
      <dgm:prSet presAssocID="{43ECB5C8-54F8-40BE-B28D-256A420E978F}" presName="gear1ch" presStyleLbl="fgAcc1" presStyleIdx="0" presStyleCnt="1">
        <dgm:presLayoutVars>
          <dgm:chMax val="0"/>
          <dgm:bulletEnabled val="1"/>
        </dgm:presLayoutVars>
      </dgm:prSet>
      <dgm:spPr/>
    </dgm:pt>
    <dgm:pt modelId="{187EEACD-D6B1-4DAB-B00E-3E4FEC28BB67}" type="pres">
      <dgm:prSet presAssocID="{F89EE143-03AA-4632-ADB9-DA4A1EB869A6}" presName="connector1" presStyleLbl="sibTrans2D1" presStyleIdx="0" presStyleCnt="1"/>
      <dgm:spPr/>
    </dgm:pt>
  </dgm:ptLst>
  <dgm:cxnLst>
    <dgm:cxn modelId="{4F22290A-6649-4C9C-8651-2E56EBDDFBB4}" type="presOf" srcId="{6A89BFE7-70BE-4CE0-9995-87D5E025B681}" destId="{6733FD98-E418-47A6-A437-BB43EB08B260}" srcOrd="0" destOrd="1" presId="urn:microsoft.com/office/officeart/2005/8/layout/gear1"/>
    <dgm:cxn modelId="{93457D15-816D-4B8B-99D7-6331DF7FA30E}" type="presOf" srcId="{F89EE143-03AA-4632-ADB9-DA4A1EB869A6}" destId="{187EEACD-D6B1-4DAB-B00E-3E4FEC28BB67}" srcOrd="0" destOrd="0" presId="urn:microsoft.com/office/officeart/2005/8/layout/gear1"/>
    <dgm:cxn modelId="{EFEEFF1C-1E2C-454B-BE1A-9A7A4495F53C}" type="presOf" srcId="{43ECB5C8-54F8-40BE-B28D-256A420E978F}" destId="{AA8D3B61-C004-4297-A6A5-188F028CE3A0}" srcOrd="1" destOrd="0" presId="urn:microsoft.com/office/officeart/2005/8/layout/gear1"/>
    <dgm:cxn modelId="{9598CB2C-C455-42C8-AB00-040B92ADD91E}" srcId="{43ECB5C8-54F8-40BE-B28D-256A420E978F}" destId="{6A89BFE7-70BE-4CE0-9995-87D5E025B681}" srcOrd="1" destOrd="0" parTransId="{7C0FFB1B-9924-433C-AA54-B22CE916916D}" sibTransId="{4EA4F3E9-7D13-41B2-816D-BEF28681C7C7}"/>
    <dgm:cxn modelId="{4F2D7A32-74D5-42F4-95F8-1B2E8A286C12}" srcId="{E847EDD3-05D0-4370-BC53-B084C280D690}" destId="{43ECB5C8-54F8-40BE-B28D-256A420E978F}" srcOrd="0" destOrd="0" parTransId="{CB24E2A9-85C2-4EDF-A7DD-142EC7AD8462}" sibTransId="{F89EE143-03AA-4632-ADB9-DA4A1EB869A6}"/>
    <dgm:cxn modelId="{42A5D340-79E3-4418-88D0-0373514C4E1D}" type="presOf" srcId="{BC883C7B-12BA-4561-BC3D-A9CB702B5A34}" destId="{6733FD98-E418-47A6-A437-BB43EB08B260}" srcOrd="0" destOrd="2" presId="urn:microsoft.com/office/officeart/2005/8/layout/gear1"/>
    <dgm:cxn modelId="{649D8955-63B3-43B9-8FD0-728224ED3826}" type="presOf" srcId="{6AB11902-1221-43DC-A67E-1FF60657AEC8}" destId="{6733FD98-E418-47A6-A437-BB43EB08B260}" srcOrd="0" destOrd="0" presId="urn:microsoft.com/office/officeart/2005/8/layout/gear1"/>
    <dgm:cxn modelId="{C1C94D80-EB43-47AA-98E4-55C29B7942AF}" srcId="{43ECB5C8-54F8-40BE-B28D-256A420E978F}" destId="{D313FF22-5D8B-4DB1-8289-EA4D1F8D9C2B}" srcOrd="3" destOrd="0" parTransId="{B5E7A837-3A00-4B74-8889-C0CA23B8DCDA}" sibTransId="{6A2E0E9C-6886-456F-AC6C-DC15190BE063}"/>
    <dgm:cxn modelId="{80D6BC89-6F9E-45F9-AB6B-E8D4BA123FEA}" type="presOf" srcId="{E847EDD3-05D0-4370-BC53-B084C280D690}" destId="{9BC53AC1-EFA8-4D55-A95A-8BFB7DD7788D}" srcOrd="0" destOrd="0" presId="urn:microsoft.com/office/officeart/2005/8/layout/gear1"/>
    <dgm:cxn modelId="{1B41BE92-ED72-401F-AA91-FD6162EC2EA2}" type="presOf" srcId="{D313FF22-5D8B-4DB1-8289-EA4D1F8D9C2B}" destId="{6733FD98-E418-47A6-A437-BB43EB08B260}" srcOrd="0" destOrd="3" presId="urn:microsoft.com/office/officeart/2005/8/layout/gear1"/>
    <dgm:cxn modelId="{889CED9C-AA06-44F1-874B-B1821D96F43B}" type="presOf" srcId="{43ECB5C8-54F8-40BE-B28D-256A420E978F}" destId="{ACA5A65D-290D-42AB-AEDF-34DD964113D0}" srcOrd="2" destOrd="0" presId="urn:microsoft.com/office/officeart/2005/8/layout/gear1"/>
    <dgm:cxn modelId="{377217AB-777D-40AA-8797-4DF85F28495C}" srcId="{43ECB5C8-54F8-40BE-B28D-256A420E978F}" destId="{E466923A-5F3C-4C06-AF50-DFB9EFAD6548}" srcOrd="4" destOrd="0" parTransId="{333F6D34-D89E-4808-8F5B-EB26D1601373}" sibTransId="{7EDDDCF4-8016-4F29-9F0A-EFE0E5681AEB}"/>
    <dgm:cxn modelId="{F93364D0-173A-4A22-B1FD-A55BC85114C3}" srcId="{43ECB5C8-54F8-40BE-B28D-256A420E978F}" destId="{6AB11902-1221-43DC-A67E-1FF60657AEC8}" srcOrd="0" destOrd="0" parTransId="{730770A7-04C6-4B35-B5FD-CDDD36FD3B39}" sibTransId="{B5DBDE53-A713-4962-A393-FBD82B921904}"/>
    <dgm:cxn modelId="{D339C9F4-B8F0-49C0-9FD6-BA80FB9BCC20}" type="presOf" srcId="{E466923A-5F3C-4C06-AF50-DFB9EFAD6548}" destId="{6733FD98-E418-47A6-A437-BB43EB08B260}" srcOrd="0" destOrd="4" presId="urn:microsoft.com/office/officeart/2005/8/layout/gear1"/>
    <dgm:cxn modelId="{7F9D2EF8-3675-42B7-8AA0-5874EBEDA5DA}" type="presOf" srcId="{43ECB5C8-54F8-40BE-B28D-256A420E978F}" destId="{E1F1D61A-BCFF-4168-B184-45AE5E7B35C7}" srcOrd="0" destOrd="0" presId="urn:microsoft.com/office/officeart/2005/8/layout/gear1"/>
    <dgm:cxn modelId="{C8E99CFB-BFBD-416B-91A1-BC3A7DFFAFAA}" srcId="{43ECB5C8-54F8-40BE-B28D-256A420E978F}" destId="{BC883C7B-12BA-4561-BC3D-A9CB702B5A34}" srcOrd="2" destOrd="0" parTransId="{DD3C5309-1A0C-40A4-9432-6DBD705744FC}" sibTransId="{165ACEB9-AC76-4306-86B9-343880AFCAC1}"/>
    <dgm:cxn modelId="{924E2D3E-2196-43F6-8E52-B2E53B5D0319}" type="presParOf" srcId="{9BC53AC1-EFA8-4D55-A95A-8BFB7DD7788D}" destId="{E1F1D61A-BCFF-4168-B184-45AE5E7B35C7}" srcOrd="0" destOrd="0" presId="urn:microsoft.com/office/officeart/2005/8/layout/gear1"/>
    <dgm:cxn modelId="{60ABE703-4C90-47C8-83F2-B5686CBBF01E}" type="presParOf" srcId="{9BC53AC1-EFA8-4D55-A95A-8BFB7DD7788D}" destId="{AA8D3B61-C004-4297-A6A5-188F028CE3A0}" srcOrd="1" destOrd="0" presId="urn:microsoft.com/office/officeart/2005/8/layout/gear1"/>
    <dgm:cxn modelId="{CF41C0A2-924A-4B42-BF7B-0CC9055BA67E}" type="presParOf" srcId="{9BC53AC1-EFA8-4D55-A95A-8BFB7DD7788D}" destId="{ACA5A65D-290D-42AB-AEDF-34DD964113D0}" srcOrd="2" destOrd="0" presId="urn:microsoft.com/office/officeart/2005/8/layout/gear1"/>
    <dgm:cxn modelId="{A33545BE-4FE6-4491-A8E9-FC5AA2E04175}" type="presParOf" srcId="{9BC53AC1-EFA8-4D55-A95A-8BFB7DD7788D}" destId="{6733FD98-E418-47A6-A437-BB43EB08B260}" srcOrd="3" destOrd="0" presId="urn:microsoft.com/office/officeart/2005/8/layout/gear1"/>
    <dgm:cxn modelId="{F840A170-DB4F-4B43-BC38-7553F90626F1}" type="presParOf" srcId="{9BC53AC1-EFA8-4D55-A95A-8BFB7DD7788D}" destId="{187EEACD-D6B1-4DAB-B00E-3E4FEC28BB67}" srcOrd="4" destOrd="0" presId="urn:microsoft.com/office/officeart/2005/8/layout/gear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F1D61A-BCFF-4168-B184-45AE5E7B35C7}">
      <dsp:nvSpPr>
        <dsp:cNvPr id="0" name=""/>
        <dsp:cNvSpPr/>
      </dsp:nvSpPr>
      <dsp:spPr>
        <a:xfrm>
          <a:off x="2147777" y="1116418"/>
          <a:ext cx="2456120" cy="2456120"/>
        </a:xfrm>
        <a:prstGeom prst="gear9">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i="0" kern="1200">
              <a:latin typeface="Times New Roman" pitchFamily="18" charset="0"/>
              <a:cs typeface="Times New Roman" pitchFamily="18" charset="0"/>
            </a:rPr>
            <a:t>Stakeholder</a:t>
          </a:r>
        </a:p>
      </dsp:txBody>
      <dsp:txXfrm>
        <a:off x="2641566" y="1691752"/>
        <a:ext cx="1468542" cy="1262497"/>
      </dsp:txXfrm>
    </dsp:sp>
    <dsp:sp modelId="{6733FD98-E418-47A6-A437-BB43EB08B260}">
      <dsp:nvSpPr>
        <dsp:cNvPr id="0" name=""/>
        <dsp:cNvSpPr/>
      </dsp:nvSpPr>
      <dsp:spPr>
        <a:xfrm>
          <a:off x="1924493" y="2634747"/>
          <a:ext cx="1562985" cy="937791"/>
        </a:xfrm>
        <a:prstGeom prst="roundRect">
          <a:avLst>
            <a:gd name="adj" fmla="val 10000"/>
          </a:avLst>
        </a:prstGeom>
        <a:solidFill>
          <a:schemeClr val="lt1">
            <a:alpha val="90000"/>
            <a:hueOff val="0"/>
            <a:satOff val="0"/>
            <a:lumOff val="0"/>
            <a:alphaOff val="0"/>
          </a:schemeClr>
        </a:solidFill>
        <a:ln w="9525" cap="flat" cmpd="sng" algn="ctr">
          <a:solidFill>
            <a:schemeClr val="accent4">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49530" tIns="49530" rIns="49530" bIns="49530" numCol="1" spcCol="1270" anchor="t" anchorCtr="0">
          <a:noAutofit/>
        </a:bodyPr>
        <a:lstStyle/>
        <a:p>
          <a:pPr marL="57150" lvl="1" indent="-57150" algn="just" defTabSz="444500">
            <a:lnSpc>
              <a:spcPct val="90000"/>
            </a:lnSpc>
            <a:spcBef>
              <a:spcPct val="0"/>
            </a:spcBef>
            <a:spcAft>
              <a:spcPct val="15000"/>
            </a:spcAft>
            <a:buChar char="•"/>
          </a:pPr>
          <a:r>
            <a:rPr lang="en-US" sz="1000" kern="1200">
              <a:latin typeface="Times New Roman" pitchFamily="18" charset="0"/>
              <a:cs typeface="Times New Roman" pitchFamily="18" charset="0"/>
            </a:rPr>
            <a:t>Google</a:t>
          </a:r>
        </a:p>
        <a:p>
          <a:pPr marL="57150" lvl="1" indent="-57150" algn="just" defTabSz="444500">
            <a:lnSpc>
              <a:spcPct val="90000"/>
            </a:lnSpc>
            <a:spcBef>
              <a:spcPct val="0"/>
            </a:spcBef>
            <a:spcAft>
              <a:spcPct val="15000"/>
            </a:spcAft>
            <a:buChar char="•"/>
          </a:pPr>
          <a:r>
            <a:rPr lang="en-US" sz="1000" kern="1200">
              <a:latin typeface="Times New Roman" pitchFamily="18" charset="0"/>
              <a:cs typeface="Times New Roman" pitchFamily="18" charset="0"/>
            </a:rPr>
            <a:t>Local community</a:t>
          </a:r>
        </a:p>
        <a:p>
          <a:pPr marL="57150" lvl="1" indent="-57150" algn="just" defTabSz="444500">
            <a:lnSpc>
              <a:spcPct val="90000"/>
            </a:lnSpc>
            <a:spcBef>
              <a:spcPct val="0"/>
            </a:spcBef>
            <a:spcAft>
              <a:spcPct val="15000"/>
            </a:spcAft>
            <a:buChar char="•"/>
          </a:pPr>
          <a:r>
            <a:rPr lang="en-US" sz="1000" kern="1200">
              <a:latin typeface="Times New Roman" pitchFamily="18" charset="0"/>
              <a:cs typeface="Times New Roman" pitchFamily="18" charset="0"/>
            </a:rPr>
            <a:t>Government agencies</a:t>
          </a:r>
        </a:p>
        <a:p>
          <a:pPr marL="57150" lvl="1" indent="-57150" algn="just" defTabSz="444500">
            <a:lnSpc>
              <a:spcPct val="90000"/>
            </a:lnSpc>
            <a:spcBef>
              <a:spcPct val="0"/>
            </a:spcBef>
            <a:spcAft>
              <a:spcPct val="15000"/>
            </a:spcAft>
            <a:buChar char="•"/>
          </a:pPr>
          <a:r>
            <a:rPr lang="en-US" sz="1000" kern="1200">
              <a:latin typeface="Times New Roman" pitchFamily="18" charset="0"/>
              <a:cs typeface="Times New Roman" pitchFamily="18" charset="0"/>
            </a:rPr>
            <a:t>Contractors and suppliers</a:t>
          </a:r>
        </a:p>
        <a:p>
          <a:pPr marL="57150" lvl="1" indent="-57150" algn="just" defTabSz="444500">
            <a:lnSpc>
              <a:spcPct val="90000"/>
            </a:lnSpc>
            <a:spcBef>
              <a:spcPct val="0"/>
            </a:spcBef>
            <a:spcAft>
              <a:spcPct val="15000"/>
            </a:spcAft>
            <a:buChar char="•"/>
          </a:pPr>
          <a:r>
            <a:rPr lang="en-US" sz="1000" kern="1200">
              <a:latin typeface="Times New Roman" pitchFamily="18" charset="0"/>
              <a:cs typeface="Times New Roman" pitchFamily="18" charset="0"/>
            </a:rPr>
            <a:t>Employees</a:t>
          </a:r>
        </a:p>
      </dsp:txBody>
      <dsp:txXfrm>
        <a:off x="1951960" y="2662214"/>
        <a:ext cx="1508051" cy="882857"/>
      </dsp:txXfrm>
    </dsp:sp>
    <dsp:sp modelId="{187EEACD-D6B1-4DAB-B00E-3E4FEC28BB67}">
      <dsp:nvSpPr>
        <dsp:cNvPr id="0" name=""/>
        <dsp:cNvSpPr/>
      </dsp:nvSpPr>
      <dsp:spPr>
        <a:xfrm>
          <a:off x="2268819" y="694017"/>
          <a:ext cx="3021028" cy="3021028"/>
        </a:xfrm>
        <a:prstGeom prst="circularArrow">
          <a:avLst>
            <a:gd name="adj1" fmla="val 4878"/>
            <a:gd name="adj2" fmla="val 312630"/>
            <a:gd name="adj3" fmla="val 3163165"/>
            <a:gd name="adj4" fmla="val 15193645"/>
            <a:gd name="adj5" fmla="val 5691"/>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AD662EE8-9896-452B-B62A-52C3A9A86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3355</Words>
  <Characters>19129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Daniela Ivanova</cp:lastModifiedBy>
  <cp:revision>124</cp:revision>
  <dcterms:created xsi:type="dcterms:W3CDTF">2023-11-10T04:55:00Z</dcterms:created>
  <dcterms:modified xsi:type="dcterms:W3CDTF">2023-11-30T18:15:00Z</dcterms:modified>
</cp:coreProperties>
</file>