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5437B" w14:textId="4F887A67" w:rsidR="0044301B" w:rsidRPr="00F64B00" w:rsidRDefault="0044301B" w:rsidP="0044301B">
      <w:pPr>
        <w:rPr>
          <w:rFonts w:ascii="Arial" w:hAnsi="Arial" w:cs="Arial"/>
          <w:sz w:val="32"/>
          <w:szCs w:val="30"/>
        </w:rPr>
      </w:pPr>
      <w:bookmarkStart w:id="0" w:name="_Hlk150106247"/>
      <w:r w:rsidRPr="00F64B00">
        <w:rPr>
          <w:rFonts w:ascii="Arial" w:hAnsi="Arial" w:cs="Arial"/>
          <w:sz w:val="32"/>
          <w:szCs w:val="30"/>
        </w:rPr>
        <w:t xml:space="preserve">Module Name: </w:t>
      </w:r>
      <w:r w:rsidR="002720D7" w:rsidRPr="00F64B00">
        <w:rPr>
          <w:rFonts w:ascii="Arial" w:hAnsi="Arial" w:cs="Arial"/>
          <w:sz w:val="32"/>
          <w:szCs w:val="30"/>
        </w:rPr>
        <w:t>Management and Organisational Behaviour</w:t>
      </w:r>
    </w:p>
    <w:p w14:paraId="17F456D7" w14:textId="580A5233" w:rsidR="0044301B" w:rsidRPr="00F64B00" w:rsidRDefault="0044301B" w:rsidP="0044301B">
      <w:pPr>
        <w:rPr>
          <w:rFonts w:ascii="Arial" w:hAnsi="Arial" w:cs="Arial"/>
          <w:sz w:val="32"/>
          <w:szCs w:val="30"/>
        </w:rPr>
      </w:pPr>
      <w:r w:rsidRPr="00F64B00">
        <w:rPr>
          <w:rFonts w:ascii="Arial" w:hAnsi="Arial" w:cs="Arial"/>
          <w:sz w:val="32"/>
          <w:szCs w:val="30"/>
        </w:rPr>
        <w:t xml:space="preserve">Module Code: </w:t>
      </w:r>
      <w:r w:rsidR="002720D7" w:rsidRPr="00F64B00">
        <w:rPr>
          <w:rFonts w:ascii="Arial" w:hAnsi="Arial" w:cs="Arial"/>
          <w:sz w:val="32"/>
          <w:szCs w:val="30"/>
        </w:rPr>
        <w:t>BMIH5004</w:t>
      </w:r>
    </w:p>
    <w:p w14:paraId="3CC72243" w14:textId="4C8670EC" w:rsidR="0044301B" w:rsidRPr="00F64B00" w:rsidRDefault="00430D24" w:rsidP="0044301B">
      <w:pPr>
        <w:rPr>
          <w:rFonts w:ascii="Arial" w:hAnsi="Arial" w:cs="Arial"/>
          <w:sz w:val="32"/>
          <w:szCs w:val="30"/>
        </w:rPr>
      </w:pPr>
      <w:r>
        <w:rPr>
          <w:rFonts w:ascii="Arial" w:hAnsi="Arial" w:cs="Arial"/>
          <w:sz w:val="32"/>
          <w:szCs w:val="30"/>
        </w:rPr>
        <w:t>Petru Varga : 2022595</w:t>
      </w:r>
    </w:p>
    <w:p w14:paraId="57E2CD9E" w14:textId="3B2959D1" w:rsidR="001834FC" w:rsidRPr="00F64B00" w:rsidRDefault="001834FC">
      <w:pPr>
        <w:rPr>
          <w:rFonts w:ascii="Arial" w:hAnsi="Arial" w:cs="Arial"/>
          <w:sz w:val="32"/>
          <w:szCs w:val="30"/>
        </w:rPr>
      </w:pPr>
    </w:p>
    <w:p w14:paraId="3C67747A" w14:textId="32B7D143" w:rsidR="001834FC" w:rsidRPr="00F64B00" w:rsidRDefault="00F64B00" w:rsidP="00F64B00">
      <w:pPr>
        <w:jc w:val="center"/>
        <w:rPr>
          <w:rFonts w:ascii="Arial" w:hAnsi="Arial" w:cs="Arial"/>
          <w:b/>
          <w:bCs/>
          <w:i/>
          <w:iCs/>
          <w:sz w:val="32"/>
          <w:szCs w:val="32"/>
        </w:rPr>
      </w:pPr>
      <w:r w:rsidRPr="00F64B00">
        <w:rPr>
          <w:rFonts w:ascii="Arial" w:hAnsi="Arial" w:cs="Arial"/>
          <w:b/>
          <w:bCs/>
          <w:i/>
          <w:iCs/>
          <w:color w:val="2F5496" w:themeColor="accent1" w:themeShade="BF"/>
          <w:sz w:val="32"/>
          <w:szCs w:val="32"/>
        </w:rPr>
        <w:t>Navigating Excellence: An In-depth Audit of Hilton Group's Global Hospitality Journey</w:t>
      </w:r>
      <w:r w:rsidR="001834FC" w:rsidRPr="00F64B00">
        <w:rPr>
          <w:rFonts w:ascii="Arial" w:hAnsi="Arial" w:cs="Arial"/>
          <w:b/>
          <w:bCs/>
          <w:i/>
          <w:iCs/>
          <w:sz w:val="32"/>
          <w:szCs w:val="32"/>
        </w:rPr>
        <w:br w:type="page"/>
      </w:r>
    </w:p>
    <w:sdt>
      <w:sdtPr>
        <w:rPr>
          <w:rFonts w:ascii="Arial" w:eastAsiaTheme="minorHAnsi" w:hAnsi="Arial" w:cs="Arial"/>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F64B00" w:rsidRDefault="001834FC">
          <w:pPr>
            <w:pStyle w:val="TOCHeading"/>
            <w:rPr>
              <w:rFonts w:ascii="Arial" w:hAnsi="Arial" w:cs="Arial"/>
            </w:rPr>
          </w:pPr>
          <w:r w:rsidRPr="00F64B00">
            <w:rPr>
              <w:rFonts w:ascii="Arial" w:hAnsi="Arial" w:cs="Arial"/>
            </w:rPr>
            <w:t>Table of Contents</w:t>
          </w:r>
        </w:p>
        <w:p w14:paraId="6BD183CE" w14:textId="5291BC27" w:rsidR="00F64B00" w:rsidRDefault="001834FC">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r w:rsidRPr="00F64B00">
            <w:rPr>
              <w:rFonts w:ascii="Arial" w:hAnsi="Arial" w:cs="Arial"/>
              <w:b/>
              <w:bCs/>
              <w:noProof/>
            </w:rPr>
            <w:fldChar w:fldCharType="begin"/>
          </w:r>
          <w:r w:rsidRPr="00F64B00">
            <w:rPr>
              <w:rFonts w:ascii="Arial" w:hAnsi="Arial" w:cs="Arial"/>
              <w:b/>
              <w:bCs/>
              <w:noProof/>
            </w:rPr>
            <w:instrText xml:space="preserve"> TOC \o "1-3" \h \z \u </w:instrText>
          </w:r>
          <w:r w:rsidRPr="00F64B00">
            <w:rPr>
              <w:rFonts w:ascii="Arial" w:hAnsi="Arial" w:cs="Arial"/>
              <w:b/>
              <w:bCs/>
              <w:noProof/>
            </w:rPr>
            <w:fldChar w:fldCharType="separate"/>
          </w:r>
          <w:hyperlink w:anchor="_Toc150110023" w:history="1">
            <w:r w:rsidR="00F64B00" w:rsidRPr="00304B2A">
              <w:rPr>
                <w:rStyle w:val="Hyperlink"/>
                <w:rFonts w:ascii="Arial" w:hAnsi="Arial" w:cs="Arial"/>
                <w:noProof/>
              </w:rPr>
              <w:t>Introduction</w:t>
            </w:r>
            <w:r w:rsidR="00F64B00">
              <w:rPr>
                <w:noProof/>
                <w:webHidden/>
              </w:rPr>
              <w:tab/>
            </w:r>
            <w:r w:rsidR="00F64B00">
              <w:rPr>
                <w:noProof/>
                <w:webHidden/>
              </w:rPr>
              <w:fldChar w:fldCharType="begin"/>
            </w:r>
            <w:r w:rsidR="00F64B00">
              <w:rPr>
                <w:noProof/>
                <w:webHidden/>
              </w:rPr>
              <w:instrText xml:space="preserve"> PAGEREF _Toc150110023 \h </w:instrText>
            </w:r>
            <w:r w:rsidR="00F64B00">
              <w:rPr>
                <w:noProof/>
                <w:webHidden/>
              </w:rPr>
            </w:r>
            <w:r w:rsidR="00F64B00">
              <w:rPr>
                <w:noProof/>
                <w:webHidden/>
              </w:rPr>
              <w:fldChar w:fldCharType="separate"/>
            </w:r>
            <w:r w:rsidR="00F64B00">
              <w:rPr>
                <w:noProof/>
                <w:webHidden/>
              </w:rPr>
              <w:t>1</w:t>
            </w:r>
            <w:r w:rsidR="00F64B00">
              <w:rPr>
                <w:noProof/>
                <w:webHidden/>
              </w:rPr>
              <w:fldChar w:fldCharType="end"/>
            </w:r>
          </w:hyperlink>
        </w:p>
        <w:p w14:paraId="5FBA5511" w14:textId="4F02124C"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4" w:history="1">
            <w:r w:rsidR="00F64B00" w:rsidRPr="00304B2A">
              <w:rPr>
                <w:rStyle w:val="Hyperlink"/>
                <w:rFonts w:ascii="Arial" w:hAnsi="Arial" w:cs="Arial"/>
                <w:noProof/>
                <w:lang w:val="en-US"/>
              </w:rPr>
              <w:t>1. Organization Structure, Culture, and Goals</w:t>
            </w:r>
            <w:r w:rsidR="00F64B00">
              <w:rPr>
                <w:noProof/>
                <w:webHidden/>
              </w:rPr>
              <w:tab/>
            </w:r>
            <w:r w:rsidR="00F64B00">
              <w:rPr>
                <w:noProof/>
                <w:webHidden/>
              </w:rPr>
              <w:fldChar w:fldCharType="begin"/>
            </w:r>
            <w:r w:rsidR="00F64B00">
              <w:rPr>
                <w:noProof/>
                <w:webHidden/>
              </w:rPr>
              <w:instrText xml:space="preserve"> PAGEREF _Toc150110024 \h </w:instrText>
            </w:r>
            <w:r w:rsidR="00F64B00">
              <w:rPr>
                <w:noProof/>
                <w:webHidden/>
              </w:rPr>
            </w:r>
            <w:r w:rsidR="00F64B00">
              <w:rPr>
                <w:noProof/>
                <w:webHidden/>
              </w:rPr>
              <w:fldChar w:fldCharType="separate"/>
            </w:r>
            <w:r w:rsidR="00F64B00">
              <w:rPr>
                <w:noProof/>
                <w:webHidden/>
              </w:rPr>
              <w:t>2</w:t>
            </w:r>
            <w:r w:rsidR="00F64B00">
              <w:rPr>
                <w:noProof/>
                <w:webHidden/>
              </w:rPr>
              <w:fldChar w:fldCharType="end"/>
            </w:r>
          </w:hyperlink>
        </w:p>
        <w:p w14:paraId="0A5E6849" w14:textId="6072D53D"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5" w:history="1">
            <w:r w:rsidR="00F64B00" w:rsidRPr="00304B2A">
              <w:rPr>
                <w:rStyle w:val="Hyperlink"/>
                <w:rFonts w:ascii="Arial" w:hAnsi="Arial" w:cs="Arial"/>
                <w:noProof/>
                <w:lang w:val="en-US"/>
              </w:rPr>
              <w:t>2. Recent Initiatives and their Impact</w:t>
            </w:r>
            <w:r w:rsidR="00F64B00">
              <w:rPr>
                <w:noProof/>
                <w:webHidden/>
              </w:rPr>
              <w:tab/>
            </w:r>
            <w:r w:rsidR="00F64B00">
              <w:rPr>
                <w:noProof/>
                <w:webHidden/>
              </w:rPr>
              <w:fldChar w:fldCharType="begin"/>
            </w:r>
            <w:r w:rsidR="00F64B00">
              <w:rPr>
                <w:noProof/>
                <w:webHidden/>
              </w:rPr>
              <w:instrText xml:space="preserve"> PAGEREF _Toc150110025 \h </w:instrText>
            </w:r>
            <w:r w:rsidR="00F64B00">
              <w:rPr>
                <w:noProof/>
                <w:webHidden/>
              </w:rPr>
            </w:r>
            <w:r w:rsidR="00F64B00">
              <w:rPr>
                <w:noProof/>
                <w:webHidden/>
              </w:rPr>
              <w:fldChar w:fldCharType="separate"/>
            </w:r>
            <w:r w:rsidR="00F64B00">
              <w:rPr>
                <w:noProof/>
                <w:webHidden/>
              </w:rPr>
              <w:t>4</w:t>
            </w:r>
            <w:r w:rsidR="00F64B00">
              <w:rPr>
                <w:noProof/>
                <w:webHidden/>
              </w:rPr>
              <w:fldChar w:fldCharType="end"/>
            </w:r>
          </w:hyperlink>
        </w:p>
        <w:p w14:paraId="62D37CB4" w14:textId="0B8F5F27"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6" w:history="1">
            <w:r w:rsidR="00F64B00" w:rsidRPr="00304B2A">
              <w:rPr>
                <w:rStyle w:val="Hyperlink"/>
                <w:rFonts w:ascii="Arial" w:hAnsi="Arial" w:cs="Arial"/>
                <w:noProof/>
                <w:lang w:val="en-US"/>
              </w:rPr>
              <w:t>3. The Organization’s Strategic Direction</w:t>
            </w:r>
            <w:r w:rsidR="00F64B00">
              <w:rPr>
                <w:noProof/>
                <w:webHidden/>
              </w:rPr>
              <w:tab/>
            </w:r>
            <w:r w:rsidR="00F64B00">
              <w:rPr>
                <w:noProof/>
                <w:webHidden/>
              </w:rPr>
              <w:fldChar w:fldCharType="begin"/>
            </w:r>
            <w:r w:rsidR="00F64B00">
              <w:rPr>
                <w:noProof/>
                <w:webHidden/>
              </w:rPr>
              <w:instrText xml:space="preserve"> PAGEREF _Toc150110026 \h </w:instrText>
            </w:r>
            <w:r w:rsidR="00F64B00">
              <w:rPr>
                <w:noProof/>
                <w:webHidden/>
              </w:rPr>
            </w:r>
            <w:r w:rsidR="00F64B00">
              <w:rPr>
                <w:noProof/>
                <w:webHidden/>
              </w:rPr>
              <w:fldChar w:fldCharType="separate"/>
            </w:r>
            <w:r w:rsidR="00F64B00">
              <w:rPr>
                <w:noProof/>
                <w:webHidden/>
              </w:rPr>
              <w:t>5</w:t>
            </w:r>
            <w:r w:rsidR="00F64B00">
              <w:rPr>
                <w:noProof/>
                <w:webHidden/>
              </w:rPr>
              <w:fldChar w:fldCharType="end"/>
            </w:r>
          </w:hyperlink>
        </w:p>
        <w:p w14:paraId="6663EA78" w14:textId="14C658B8"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7" w:history="1">
            <w:r w:rsidR="00F64B00" w:rsidRPr="00304B2A">
              <w:rPr>
                <w:rStyle w:val="Hyperlink"/>
                <w:rFonts w:ascii="Arial" w:hAnsi="Arial" w:cs="Arial"/>
                <w:noProof/>
                <w:lang w:val="en-US"/>
              </w:rPr>
              <w:t>4. Current Business Performance</w:t>
            </w:r>
            <w:r w:rsidR="00F64B00">
              <w:rPr>
                <w:noProof/>
                <w:webHidden/>
              </w:rPr>
              <w:tab/>
            </w:r>
            <w:r w:rsidR="00F64B00">
              <w:rPr>
                <w:noProof/>
                <w:webHidden/>
              </w:rPr>
              <w:fldChar w:fldCharType="begin"/>
            </w:r>
            <w:r w:rsidR="00F64B00">
              <w:rPr>
                <w:noProof/>
                <w:webHidden/>
              </w:rPr>
              <w:instrText xml:space="preserve"> PAGEREF _Toc150110027 \h </w:instrText>
            </w:r>
            <w:r w:rsidR="00F64B00">
              <w:rPr>
                <w:noProof/>
                <w:webHidden/>
              </w:rPr>
            </w:r>
            <w:r w:rsidR="00F64B00">
              <w:rPr>
                <w:noProof/>
                <w:webHidden/>
              </w:rPr>
              <w:fldChar w:fldCharType="separate"/>
            </w:r>
            <w:r w:rsidR="00F64B00">
              <w:rPr>
                <w:noProof/>
                <w:webHidden/>
              </w:rPr>
              <w:t>7</w:t>
            </w:r>
            <w:r w:rsidR="00F64B00">
              <w:rPr>
                <w:noProof/>
                <w:webHidden/>
              </w:rPr>
              <w:fldChar w:fldCharType="end"/>
            </w:r>
          </w:hyperlink>
        </w:p>
        <w:p w14:paraId="2226D8B5" w14:textId="422438E9"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8" w:history="1">
            <w:r w:rsidR="00F64B00" w:rsidRPr="00304B2A">
              <w:rPr>
                <w:rStyle w:val="Hyperlink"/>
                <w:rFonts w:ascii="Arial" w:hAnsi="Arial" w:cs="Arial"/>
                <w:noProof/>
              </w:rPr>
              <w:t>4.1 Financial Performance</w:t>
            </w:r>
            <w:r w:rsidR="00F64B00">
              <w:rPr>
                <w:noProof/>
                <w:webHidden/>
              </w:rPr>
              <w:tab/>
            </w:r>
            <w:r w:rsidR="00F64B00">
              <w:rPr>
                <w:noProof/>
                <w:webHidden/>
              </w:rPr>
              <w:fldChar w:fldCharType="begin"/>
            </w:r>
            <w:r w:rsidR="00F64B00">
              <w:rPr>
                <w:noProof/>
                <w:webHidden/>
              </w:rPr>
              <w:instrText xml:space="preserve"> PAGEREF _Toc150110028 \h </w:instrText>
            </w:r>
            <w:r w:rsidR="00F64B00">
              <w:rPr>
                <w:noProof/>
                <w:webHidden/>
              </w:rPr>
            </w:r>
            <w:r w:rsidR="00F64B00">
              <w:rPr>
                <w:noProof/>
                <w:webHidden/>
              </w:rPr>
              <w:fldChar w:fldCharType="separate"/>
            </w:r>
            <w:r w:rsidR="00F64B00">
              <w:rPr>
                <w:noProof/>
                <w:webHidden/>
              </w:rPr>
              <w:t>7</w:t>
            </w:r>
            <w:r w:rsidR="00F64B00">
              <w:rPr>
                <w:noProof/>
                <w:webHidden/>
              </w:rPr>
              <w:fldChar w:fldCharType="end"/>
            </w:r>
          </w:hyperlink>
        </w:p>
        <w:p w14:paraId="47546CCC" w14:textId="313356CA"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29" w:history="1">
            <w:r w:rsidR="00F64B00" w:rsidRPr="00304B2A">
              <w:rPr>
                <w:rStyle w:val="Hyperlink"/>
                <w:rFonts w:ascii="Arial" w:hAnsi="Arial" w:cs="Arial"/>
                <w:noProof/>
              </w:rPr>
              <w:t>4.2 Operational Metrics</w:t>
            </w:r>
            <w:r w:rsidR="00F64B00">
              <w:rPr>
                <w:noProof/>
                <w:webHidden/>
              </w:rPr>
              <w:tab/>
            </w:r>
            <w:r w:rsidR="00F64B00">
              <w:rPr>
                <w:noProof/>
                <w:webHidden/>
              </w:rPr>
              <w:fldChar w:fldCharType="begin"/>
            </w:r>
            <w:r w:rsidR="00F64B00">
              <w:rPr>
                <w:noProof/>
                <w:webHidden/>
              </w:rPr>
              <w:instrText xml:space="preserve"> PAGEREF _Toc150110029 \h </w:instrText>
            </w:r>
            <w:r w:rsidR="00F64B00">
              <w:rPr>
                <w:noProof/>
                <w:webHidden/>
              </w:rPr>
            </w:r>
            <w:r w:rsidR="00F64B00">
              <w:rPr>
                <w:noProof/>
                <w:webHidden/>
              </w:rPr>
              <w:fldChar w:fldCharType="separate"/>
            </w:r>
            <w:r w:rsidR="00F64B00">
              <w:rPr>
                <w:noProof/>
                <w:webHidden/>
              </w:rPr>
              <w:t>7</w:t>
            </w:r>
            <w:r w:rsidR="00F64B00">
              <w:rPr>
                <w:noProof/>
                <w:webHidden/>
              </w:rPr>
              <w:fldChar w:fldCharType="end"/>
            </w:r>
          </w:hyperlink>
        </w:p>
        <w:p w14:paraId="0CDEAE2C" w14:textId="19FC147A"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0" w:history="1">
            <w:r w:rsidR="00F64B00" w:rsidRPr="00304B2A">
              <w:rPr>
                <w:rStyle w:val="Hyperlink"/>
                <w:rFonts w:ascii="Arial" w:hAnsi="Arial" w:cs="Arial"/>
                <w:noProof/>
              </w:rPr>
              <w:t>4.3 Benchmarking and Industry Position</w:t>
            </w:r>
            <w:r w:rsidR="00F64B00">
              <w:rPr>
                <w:noProof/>
                <w:webHidden/>
              </w:rPr>
              <w:tab/>
            </w:r>
            <w:r w:rsidR="00F64B00">
              <w:rPr>
                <w:noProof/>
                <w:webHidden/>
              </w:rPr>
              <w:fldChar w:fldCharType="begin"/>
            </w:r>
            <w:r w:rsidR="00F64B00">
              <w:rPr>
                <w:noProof/>
                <w:webHidden/>
              </w:rPr>
              <w:instrText xml:space="preserve"> PAGEREF _Toc150110030 \h </w:instrText>
            </w:r>
            <w:r w:rsidR="00F64B00">
              <w:rPr>
                <w:noProof/>
                <w:webHidden/>
              </w:rPr>
            </w:r>
            <w:r w:rsidR="00F64B00">
              <w:rPr>
                <w:noProof/>
                <w:webHidden/>
              </w:rPr>
              <w:fldChar w:fldCharType="separate"/>
            </w:r>
            <w:r w:rsidR="00F64B00">
              <w:rPr>
                <w:noProof/>
                <w:webHidden/>
              </w:rPr>
              <w:t>7</w:t>
            </w:r>
            <w:r w:rsidR="00F64B00">
              <w:rPr>
                <w:noProof/>
                <w:webHidden/>
              </w:rPr>
              <w:fldChar w:fldCharType="end"/>
            </w:r>
          </w:hyperlink>
        </w:p>
        <w:p w14:paraId="55CC7C37" w14:textId="1BF5467E"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1" w:history="1">
            <w:r w:rsidR="00F64B00" w:rsidRPr="00304B2A">
              <w:rPr>
                <w:rStyle w:val="Hyperlink"/>
                <w:rFonts w:ascii="Arial" w:hAnsi="Arial" w:cs="Arial"/>
                <w:noProof/>
              </w:rPr>
              <w:t>4.4 Challenges and Opportunities</w:t>
            </w:r>
            <w:r w:rsidR="00F64B00">
              <w:rPr>
                <w:noProof/>
                <w:webHidden/>
              </w:rPr>
              <w:tab/>
            </w:r>
            <w:r w:rsidR="00F64B00">
              <w:rPr>
                <w:noProof/>
                <w:webHidden/>
              </w:rPr>
              <w:fldChar w:fldCharType="begin"/>
            </w:r>
            <w:r w:rsidR="00F64B00">
              <w:rPr>
                <w:noProof/>
                <w:webHidden/>
              </w:rPr>
              <w:instrText xml:space="preserve"> PAGEREF _Toc150110031 \h </w:instrText>
            </w:r>
            <w:r w:rsidR="00F64B00">
              <w:rPr>
                <w:noProof/>
                <w:webHidden/>
              </w:rPr>
            </w:r>
            <w:r w:rsidR="00F64B00">
              <w:rPr>
                <w:noProof/>
                <w:webHidden/>
              </w:rPr>
              <w:fldChar w:fldCharType="separate"/>
            </w:r>
            <w:r w:rsidR="00F64B00">
              <w:rPr>
                <w:noProof/>
                <w:webHidden/>
              </w:rPr>
              <w:t>7</w:t>
            </w:r>
            <w:r w:rsidR="00F64B00">
              <w:rPr>
                <w:noProof/>
                <w:webHidden/>
              </w:rPr>
              <w:fldChar w:fldCharType="end"/>
            </w:r>
          </w:hyperlink>
        </w:p>
        <w:p w14:paraId="20C62698" w14:textId="6FC00650"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2" w:history="1">
            <w:r w:rsidR="00F64B00" w:rsidRPr="00304B2A">
              <w:rPr>
                <w:rStyle w:val="Hyperlink"/>
                <w:rFonts w:ascii="Arial" w:hAnsi="Arial" w:cs="Arial"/>
                <w:noProof/>
                <w:lang w:val="en-US"/>
              </w:rPr>
              <w:t>5. Key Theories and Framework</w:t>
            </w:r>
            <w:r w:rsidR="00F64B00">
              <w:rPr>
                <w:noProof/>
                <w:webHidden/>
              </w:rPr>
              <w:tab/>
            </w:r>
            <w:r w:rsidR="00F64B00">
              <w:rPr>
                <w:noProof/>
                <w:webHidden/>
              </w:rPr>
              <w:fldChar w:fldCharType="begin"/>
            </w:r>
            <w:r w:rsidR="00F64B00">
              <w:rPr>
                <w:noProof/>
                <w:webHidden/>
              </w:rPr>
              <w:instrText xml:space="preserve"> PAGEREF _Toc150110032 \h </w:instrText>
            </w:r>
            <w:r w:rsidR="00F64B00">
              <w:rPr>
                <w:noProof/>
                <w:webHidden/>
              </w:rPr>
            </w:r>
            <w:r w:rsidR="00F64B00">
              <w:rPr>
                <w:noProof/>
                <w:webHidden/>
              </w:rPr>
              <w:fldChar w:fldCharType="separate"/>
            </w:r>
            <w:r w:rsidR="00F64B00">
              <w:rPr>
                <w:noProof/>
                <w:webHidden/>
              </w:rPr>
              <w:t>8</w:t>
            </w:r>
            <w:r w:rsidR="00F64B00">
              <w:rPr>
                <w:noProof/>
                <w:webHidden/>
              </w:rPr>
              <w:fldChar w:fldCharType="end"/>
            </w:r>
          </w:hyperlink>
        </w:p>
        <w:p w14:paraId="6CC35C2C" w14:textId="49AC3126"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3" w:history="1">
            <w:r w:rsidR="00F64B00" w:rsidRPr="00304B2A">
              <w:rPr>
                <w:rStyle w:val="Hyperlink"/>
                <w:rFonts w:ascii="Arial" w:hAnsi="Arial" w:cs="Arial"/>
                <w:noProof/>
              </w:rPr>
              <w:t>5.1 Contingency Theory</w:t>
            </w:r>
            <w:r w:rsidR="00F64B00">
              <w:rPr>
                <w:noProof/>
                <w:webHidden/>
              </w:rPr>
              <w:tab/>
            </w:r>
            <w:r w:rsidR="00F64B00">
              <w:rPr>
                <w:noProof/>
                <w:webHidden/>
              </w:rPr>
              <w:fldChar w:fldCharType="begin"/>
            </w:r>
            <w:r w:rsidR="00F64B00">
              <w:rPr>
                <w:noProof/>
                <w:webHidden/>
              </w:rPr>
              <w:instrText xml:space="preserve"> PAGEREF _Toc150110033 \h </w:instrText>
            </w:r>
            <w:r w:rsidR="00F64B00">
              <w:rPr>
                <w:noProof/>
                <w:webHidden/>
              </w:rPr>
            </w:r>
            <w:r w:rsidR="00F64B00">
              <w:rPr>
                <w:noProof/>
                <w:webHidden/>
              </w:rPr>
              <w:fldChar w:fldCharType="separate"/>
            </w:r>
            <w:r w:rsidR="00F64B00">
              <w:rPr>
                <w:noProof/>
                <w:webHidden/>
              </w:rPr>
              <w:t>8</w:t>
            </w:r>
            <w:r w:rsidR="00F64B00">
              <w:rPr>
                <w:noProof/>
                <w:webHidden/>
              </w:rPr>
              <w:fldChar w:fldCharType="end"/>
            </w:r>
          </w:hyperlink>
        </w:p>
        <w:p w14:paraId="1DB404B7" w14:textId="5799C1D7"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4" w:history="1">
            <w:r w:rsidR="00F64B00" w:rsidRPr="00304B2A">
              <w:rPr>
                <w:rStyle w:val="Hyperlink"/>
                <w:rFonts w:ascii="Arial" w:hAnsi="Arial" w:cs="Arial"/>
                <w:noProof/>
              </w:rPr>
              <w:t>5.2 Servant Leadership Theory</w:t>
            </w:r>
            <w:r w:rsidR="00F64B00">
              <w:rPr>
                <w:noProof/>
                <w:webHidden/>
              </w:rPr>
              <w:tab/>
            </w:r>
            <w:r w:rsidR="00F64B00">
              <w:rPr>
                <w:noProof/>
                <w:webHidden/>
              </w:rPr>
              <w:fldChar w:fldCharType="begin"/>
            </w:r>
            <w:r w:rsidR="00F64B00">
              <w:rPr>
                <w:noProof/>
                <w:webHidden/>
              </w:rPr>
              <w:instrText xml:space="preserve"> PAGEREF _Toc150110034 \h </w:instrText>
            </w:r>
            <w:r w:rsidR="00F64B00">
              <w:rPr>
                <w:noProof/>
                <w:webHidden/>
              </w:rPr>
            </w:r>
            <w:r w:rsidR="00F64B00">
              <w:rPr>
                <w:noProof/>
                <w:webHidden/>
              </w:rPr>
              <w:fldChar w:fldCharType="separate"/>
            </w:r>
            <w:r w:rsidR="00F64B00">
              <w:rPr>
                <w:noProof/>
                <w:webHidden/>
              </w:rPr>
              <w:t>8</w:t>
            </w:r>
            <w:r w:rsidR="00F64B00">
              <w:rPr>
                <w:noProof/>
                <w:webHidden/>
              </w:rPr>
              <w:fldChar w:fldCharType="end"/>
            </w:r>
          </w:hyperlink>
        </w:p>
        <w:p w14:paraId="1E25965B" w14:textId="175459DE" w:rsidR="00F64B00" w:rsidRDefault="00430D24">
          <w:pPr>
            <w:pStyle w:val="TOC2"/>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5" w:history="1">
            <w:r w:rsidR="00F64B00" w:rsidRPr="00304B2A">
              <w:rPr>
                <w:rStyle w:val="Hyperlink"/>
                <w:rFonts w:ascii="Arial" w:hAnsi="Arial" w:cs="Arial"/>
                <w:noProof/>
              </w:rPr>
              <w:t>5.3 Resource-Based View (RBV) Theory</w:t>
            </w:r>
            <w:r w:rsidR="00F64B00">
              <w:rPr>
                <w:noProof/>
                <w:webHidden/>
              </w:rPr>
              <w:tab/>
            </w:r>
            <w:r w:rsidR="00F64B00">
              <w:rPr>
                <w:noProof/>
                <w:webHidden/>
              </w:rPr>
              <w:fldChar w:fldCharType="begin"/>
            </w:r>
            <w:r w:rsidR="00F64B00">
              <w:rPr>
                <w:noProof/>
                <w:webHidden/>
              </w:rPr>
              <w:instrText xml:space="preserve"> PAGEREF _Toc150110035 \h </w:instrText>
            </w:r>
            <w:r w:rsidR="00F64B00">
              <w:rPr>
                <w:noProof/>
                <w:webHidden/>
              </w:rPr>
            </w:r>
            <w:r w:rsidR="00F64B00">
              <w:rPr>
                <w:noProof/>
                <w:webHidden/>
              </w:rPr>
              <w:fldChar w:fldCharType="separate"/>
            </w:r>
            <w:r w:rsidR="00F64B00">
              <w:rPr>
                <w:noProof/>
                <w:webHidden/>
              </w:rPr>
              <w:t>8</w:t>
            </w:r>
            <w:r w:rsidR="00F64B00">
              <w:rPr>
                <w:noProof/>
                <w:webHidden/>
              </w:rPr>
              <w:fldChar w:fldCharType="end"/>
            </w:r>
          </w:hyperlink>
        </w:p>
        <w:p w14:paraId="2305EB8A" w14:textId="77FAC8E2"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6" w:history="1">
            <w:r w:rsidR="00F64B00" w:rsidRPr="00304B2A">
              <w:rPr>
                <w:rStyle w:val="Hyperlink"/>
                <w:rFonts w:ascii="Arial" w:hAnsi="Arial" w:cs="Arial"/>
                <w:noProof/>
              </w:rPr>
              <w:t>Conclusion</w:t>
            </w:r>
            <w:r w:rsidR="00F64B00">
              <w:rPr>
                <w:noProof/>
                <w:webHidden/>
              </w:rPr>
              <w:tab/>
            </w:r>
            <w:r w:rsidR="00F64B00">
              <w:rPr>
                <w:noProof/>
                <w:webHidden/>
              </w:rPr>
              <w:fldChar w:fldCharType="begin"/>
            </w:r>
            <w:r w:rsidR="00F64B00">
              <w:rPr>
                <w:noProof/>
                <w:webHidden/>
              </w:rPr>
              <w:instrText xml:space="preserve"> PAGEREF _Toc150110036 \h </w:instrText>
            </w:r>
            <w:r w:rsidR="00F64B00">
              <w:rPr>
                <w:noProof/>
                <w:webHidden/>
              </w:rPr>
            </w:r>
            <w:r w:rsidR="00F64B00">
              <w:rPr>
                <w:noProof/>
                <w:webHidden/>
              </w:rPr>
              <w:fldChar w:fldCharType="separate"/>
            </w:r>
            <w:r w:rsidR="00F64B00">
              <w:rPr>
                <w:noProof/>
                <w:webHidden/>
              </w:rPr>
              <w:t>9</w:t>
            </w:r>
            <w:r w:rsidR="00F64B00">
              <w:rPr>
                <w:noProof/>
                <w:webHidden/>
              </w:rPr>
              <w:fldChar w:fldCharType="end"/>
            </w:r>
          </w:hyperlink>
        </w:p>
        <w:p w14:paraId="3529D5BD" w14:textId="58106683" w:rsidR="00F64B00" w:rsidRDefault="00430D24">
          <w:pPr>
            <w:pStyle w:val="TOC1"/>
            <w:tabs>
              <w:tab w:val="right" w:leader="dot" w:pos="9016"/>
            </w:tabs>
            <w:rPr>
              <w:rFonts w:asciiTheme="minorHAnsi" w:eastAsiaTheme="minorEastAsia" w:hAnsiTheme="minorHAnsi" w:cs="Vrinda"/>
              <w:noProof/>
              <w:color w:val="auto"/>
              <w:kern w:val="2"/>
              <w:sz w:val="22"/>
              <w:szCs w:val="28"/>
              <w:lang w:val="en-US" w:bidi="bn-BD"/>
              <w14:ligatures w14:val="standardContextual"/>
            </w:rPr>
          </w:pPr>
          <w:hyperlink w:anchor="_Toc150110037" w:history="1">
            <w:r w:rsidR="00F64B00" w:rsidRPr="00304B2A">
              <w:rPr>
                <w:rStyle w:val="Hyperlink"/>
                <w:rFonts w:ascii="Arial" w:hAnsi="Arial" w:cs="Arial"/>
                <w:noProof/>
              </w:rPr>
              <w:t>Reference</w:t>
            </w:r>
            <w:r w:rsidR="00F64B00">
              <w:rPr>
                <w:noProof/>
                <w:webHidden/>
              </w:rPr>
              <w:tab/>
            </w:r>
            <w:r w:rsidR="00F64B00">
              <w:rPr>
                <w:noProof/>
                <w:webHidden/>
              </w:rPr>
              <w:fldChar w:fldCharType="begin"/>
            </w:r>
            <w:r w:rsidR="00F64B00">
              <w:rPr>
                <w:noProof/>
                <w:webHidden/>
              </w:rPr>
              <w:instrText xml:space="preserve"> PAGEREF _Toc150110037 \h </w:instrText>
            </w:r>
            <w:r w:rsidR="00F64B00">
              <w:rPr>
                <w:noProof/>
                <w:webHidden/>
              </w:rPr>
            </w:r>
            <w:r w:rsidR="00F64B00">
              <w:rPr>
                <w:noProof/>
                <w:webHidden/>
              </w:rPr>
              <w:fldChar w:fldCharType="separate"/>
            </w:r>
            <w:r w:rsidR="00F64B00">
              <w:rPr>
                <w:noProof/>
                <w:webHidden/>
              </w:rPr>
              <w:t>10</w:t>
            </w:r>
            <w:r w:rsidR="00F64B00">
              <w:rPr>
                <w:noProof/>
                <w:webHidden/>
              </w:rPr>
              <w:fldChar w:fldCharType="end"/>
            </w:r>
          </w:hyperlink>
        </w:p>
        <w:p w14:paraId="11FB9FCD" w14:textId="20F98DE0" w:rsidR="001834FC" w:rsidRPr="00F64B00" w:rsidRDefault="001834FC">
          <w:pPr>
            <w:rPr>
              <w:rFonts w:ascii="Arial" w:hAnsi="Arial" w:cs="Arial"/>
            </w:rPr>
          </w:pPr>
          <w:r w:rsidRPr="00F64B00">
            <w:rPr>
              <w:rFonts w:ascii="Arial" w:hAnsi="Arial" w:cs="Arial"/>
              <w:b/>
              <w:bCs/>
              <w:noProof/>
            </w:rPr>
            <w:fldChar w:fldCharType="end"/>
          </w:r>
        </w:p>
      </w:sdtContent>
    </w:sdt>
    <w:p w14:paraId="0E64312A" w14:textId="73F329D3" w:rsidR="001834FC" w:rsidRPr="00F64B00" w:rsidRDefault="001834FC">
      <w:pPr>
        <w:rPr>
          <w:rFonts w:ascii="Arial" w:hAnsi="Arial" w:cs="Arial"/>
        </w:rPr>
      </w:pPr>
    </w:p>
    <w:p w14:paraId="52988457" w14:textId="77777777" w:rsidR="001834FC" w:rsidRPr="00F64B00" w:rsidRDefault="001834FC">
      <w:pPr>
        <w:rPr>
          <w:rFonts w:ascii="Arial" w:hAnsi="Arial" w:cs="Arial"/>
        </w:rPr>
      </w:pPr>
      <w:r w:rsidRPr="00F64B00">
        <w:rPr>
          <w:rFonts w:ascii="Arial" w:hAnsi="Arial" w:cs="Arial"/>
        </w:rPr>
        <w:br w:type="page"/>
      </w:r>
    </w:p>
    <w:p w14:paraId="0BEB37EE" w14:textId="77777777" w:rsidR="001834FC" w:rsidRPr="00F64B00" w:rsidRDefault="001834FC" w:rsidP="001834FC">
      <w:pPr>
        <w:pStyle w:val="Heading1"/>
        <w:rPr>
          <w:rFonts w:ascii="Arial" w:hAnsi="Arial" w:cs="Arial"/>
        </w:rPr>
        <w:sectPr w:rsidR="001834FC" w:rsidRPr="00F64B00" w:rsidSect="00731705">
          <w:footerReference w:type="default" r:id="rId8"/>
          <w:pgSz w:w="11906" w:h="16838" w:code="9"/>
          <w:pgMar w:top="1440" w:right="1440" w:bottom="1440" w:left="1440" w:header="720" w:footer="720" w:gutter="0"/>
          <w:pgNumType w:fmt="lowerRoman"/>
          <w:cols w:space="720"/>
          <w:docGrid w:linePitch="360"/>
        </w:sectPr>
      </w:pPr>
    </w:p>
    <w:p w14:paraId="194129F4" w14:textId="756AA5DC" w:rsidR="001834FC" w:rsidRPr="00F64B00" w:rsidRDefault="001834FC" w:rsidP="001834FC">
      <w:pPr>
        <w:pStyle w:val="Heading1"/>
        <w:rPr>
          <w:rFonts w:ascii="Arial" w:hAnsi="Arial" w:cs="Arial"/>
        </w:rPr>
      </w:pPr>
      <w:bookmarkStart w:id="1" w:name="_Toc150110023"/>
      <w:r w:rsidRPr="00F64B00">
        <w:rPr>
          <w:rFonts w:ascii="Arial" w:hAnsi="Arial" w:cs="Arial"/>
        </w:rPr>
        <w:lastRenderedPageBreak/>
        <w:t>Introduction</w:t>
      </w:r>
      <w:bookmarkEnd w:id="1"/>
      <w:r w:rsidRPr="00F64B00">
        <w:rPr>
          <w:rFonts w:ascii="Arial" w:hAnsi="Arial" w:cs="Arial"/>
        </w:rPr>
        <w:t xml:space="preserve"> </w:t>
      </w:r>
    </w:p>
    <w:p w14:paraId="01ED55E6" w14:textId="6B4FAEB1" w:rsidR="002720D7" w:rsidRPr="00F64B00" w:rsidRDefault="00D71E2E" w:rsidP="000F02BF">
      <w:pPr>
        <w:rPr>
          <w:rFonts w:ascii="Arial" w:hAnsi="Arial" w:cs="Arial"/>
        </w:rPr>
      </w:pPr>
      <w:r w:rsidRPr="00D71E2E">
        <w:rPr>
          <w:rFonts w:ascii="Arial" w:hAnsi="Arial" w:cs="Arial"/>
        </w:rPr>
        <w:t>The global hospitality industry, a cornerstone of modern society, has continually evolved to cater to the diverse and dynamic needs of travellers and consumers worldwide</w:t>
      </w:r>
      <w:r>
        <w:rPr>
          <w:rFonts w:ascii="Arial" w:hAnsi="Arial" w:cs="Arial"/>
        </w:rPr>
        <w:t xml:space="preserve"> (Kostin, 2018)</w:t>
      </w:r>
      <w:r w:rsidRPr="00D71E2E">
        <w:rPr>
          <w:rFonts w:ascii="Arial" w:hAnsi="Arial" w:cs="Arial"/>
        </w:rPr>
        <w:t xml:space="preserve">. </w:t>
      </w:r>
      <w:r w:rsidR="002720D7" w:rsidRPr="00F64B00">
        <w:rPr>
          <w:rFonts w:ascii="Arial" w:hAnsi="Arial" w:cs="Arial"/>
        </w:rPr>
        <w:t xml:space="preserve">In </w:t>
      </w:r>
      <w:r>
        <w:rPr>
          <w:rFonts w:ascii="Arial" w:hAnsi="Arial" w:cs="Arial"/>
        </w:rPr>
        <w:t>this realm</w:t>
      </w:r>
      <w:r w:rsidR="002720D7" w:rsidRPr="00F64B00">
        <w:rPr>
          <w:rFonts w:ascii="Arial" w:hAnsi="Arial" w:cs="Arial"/>
        </w:rPr>
        <w:t xml:space="preserve">, Hilton Group stands as an exemplar of excellence, weaving exceptional guest experiences and innovation. This audit dives into Hilton's organizational dynamics, recent change initiatives, and strategic prowess. It scrutinizes Hilton's capacity to navigate change adeptly and aligns with industry trends. The audit reflects Hilton's present performance in financial and operational terms, comparing it to industry benchmarks. With a diverse spectrum of management theories, evidence, and examples, this report encapsulates Hilton's grandeur and offers potential recommendations for their future journey. </w:t>
      </w:r>
    </w:p>
    <w:p w14:paraId="1FB45737" w14:textId="77777777" w:rsidR="002720D7" w:rsidRPr="00F64B00" w:rsidRDefault="002720D7">
      <w:pPr>
        <w:spacing w:line="259" w:lineRule="auto"/>
        <w:jc w:val="left"/>
        <w:rPr>
          <w:rFonts w:ascii="Arial" w:hAnsi="Arial" w:cs="Arial"/>
        </w:rPr>
      </w:pPr>
      <w:r w:rsidRPr="00F64B00">
        <w:rPr>
          <w:rFonts w:ascii="Arial" w:hAnsi="Arial" w:cs="Arial"/>
        </w:rPr>
        <w:br w:type="page"/>
      </w:r>
    </w:p>
    <w:p w14:paraId="326BD426" w14:textId="2587AC62" w:rsidR="002720D7" w:rsidRPr="00F64B00" w:rsidRDefault="00F64B00" w:rsidP="002720D7">
      <w:pPr>
        <w:pStyle w:val="Heading1"/>
        <w:rPr>
          <w:rFonts w:ascii="Arial" w:hAnsi="Arial" w:cs="Arial"/>
          <w:lang w:val="en-US"/>
        </w:rPr>
      </w:pPr>
      <w:bookmarkStart w:id="2" w:name="_Toc150110024"/>
      <w:r>
        <w:rPr>
          <w:rFonts w:ascii="Arial" w:hAnsi="Arial" w:cs="Arial"/>
          <w:lang w:val="en-US"/>
        </w:rPr>
        <w:lastRenderedPageBreak/>
        <w:t xml:space="preserve">1. </w:t>
      </w:r>
      <w:r w:rsidR="002720D7" w:rsidRPr="00F64B00">
        <w:rPr>
          <w:rFonts w:ascii="Arial" w:hAnsi="Arial" w:cs="Arial"/>
          <w:lang w:val="en-US"/>
        </w:rPr>
        <w:t>Organization Structure, Culture, and Goals</w:t>
      </w:r>
      <w:bookmarkEnd w:id="2"/>
    </w:p>
    <w:p w14:paraId="6DB681DB" w14:textId="77777777" w:rsidR="002720D7" w:rsidRPr="002720D7" w:rsidRDefault="002720D7" w:rsidP="002720D7">
      <w:pPr>
        <w:rPr>
          <w:rFonts w:ascii="Arial" w:hAnsi="Arial" w:cs="Arial"/>
          <w:lang w:val="en-US"/>
        </w:rPr>
      </w:pPr>
      <w:r w:rsidRPr="002720D7">
        <w:rPr>
          <w:rFonts w:ascii="Arial" w:hAnsi="Arial" w:cs="Arial"/>
          <w:lang w:val="en-US"/>
        </w:rPr>
        <w:t>Hilton Group, a renowned leader in the global hospitality industry, embodies an intricate interplay of organizational structure, corporate culture, and aspirational objectives, all of which collectively contribute to its exceptional success and reputation.</w:t>
      </w:r>
    </w:p>
    <w:p w14:paraId="0DA0966A" w14:textId="433D7785" w:rsidR="002720D7" w:rsidRPr="002720D7" w:rsidRDefault="002720D7" w:rsidP="002720D7">
      <w:pPr>
        <w:rPr>
          <w:rFonts w:ascii="Arial" w:hAnsi="Arial" w:cs="Arial"/>
          <w:lang w:val="en-US"/>
        </w:rPr>
      </w:pPr>
      <w:r w:rsidRPr="002720D7">
        <w:rPr>
          <w:rFonts w:ascii="Arial" w:hAnsi="Arial" w:cs="Arial"/>
          <w:b/>
          <w:bCs/>
          <w:lang w:val="en-US"/>
        </w:rPr>
        <w:t>Organizational Structure</w:t>
      </w:r>
    </w:p>
    <w:p w14:paraId="3F7553C0" w14:textId="77777777" w:rsidR="00C73D53" w:rsidRPr="00F64B00" w:rsidRDefault="00C73D53" w:rsidP="002720D7">
      <w:pPr>
        <w:rPr>
          <w:rFonts w:ascii="Arial" w:hAnsi="Arial" w:cs="Arial"/>
        </w:rPr>
      </w:pPr>
      <w:r w:rsidRPr="00F64B00">
        <w:rPr>
          <w:rFonts w:ascii="Arial" w:hAnsi="Arial" w:cs="Arial"/>
        </w:rPr>
        <w:t>The organizational structure of Hilton Group has been marked by its intricate multi-layered hierarchy, finely honed to enable smooth and efficient operations throughout its expansive global network of hotels and resorts. At the very top of this hierarchical pyramid, there lies the senior executive team, charged with the paramount responsibility of guiding the group's strategic course and supervising the diverse assortment of properties falling under the Hilton brand.</w:t>
      </w:r>
    </w:p>
    <w:p w14:paraId="5D220C41" w14:textId="36C3C4AE" w:rsidR="002720D7" w:rsidRPr="002720D7" w:rsidRDefault="004C60EF" w:rsidP="002720D7">
      <w:pPr>
        <w:rPr>
          <w:rFonts w:ascii="Arial" w:hAnsi="Arial" w:cs="Arial"/>
          <w:lang w:val="en-US"/>
        </w:rPr>
      </w:pPr>
      <w:r w:rsidRPr="00F64B00">
        <w:rPr>
          <w:rFonts w:ascii="Arial" w:hAnsi="Arial" w:cs="Arial"/>
          <w:lang w:val="en-US"/>
        </w:rPr>
        <w:t xml:space="preserve"> As one descends through the tiers of the organization, it becomes evident that the regional and unit-level management teams assume pivotal roles in the execution of the group's strategies and the preservation of unwavering service quality. This structural demarcation facilitates a focused and specialized approach to various domains, including marketing, operations, finance, and human resources, thereby enhancing the group's adeptness in accommodating the ever-evolving demands of the hospitality industry.</w:t>
      </w:r>
    </w:p>
    <w:p w14:paraId="7E3CFF4A" w14:textId="497B2CB0" w:rsidR="002720D7" w:rsidRPr="002720D7" w:rsidRDefault="00C73D53" w:rsidP="002720D7">
      <w:pPr>
        <w:rPr>
          <w:rFonts w:ascii="Arial" w:hAnsi="Arial" w:cs="Arial"/>
          <w:lang w:val="en-US"/>
        </w:rPr>
      </w:pPr>
      <w:r w:rsidRPr="00F64B00">
        <w:rPr>
          <w:rFonts w:ascii="Arial" w:hAnsi="Arial" w:cs="Arial"/>
          <w:lang w:val="en-US"/>
        </w:rPr>
        <w:t xml:space="preserve"> The organizational structure of Hilton Group, notable for its lucidity and specialization, bestows authority on decision-making and nurtures flexibility, securing Hilton's enduring eminence in the fiercely contested worldwide realm of hospitality.</w:t>
      </w:r>
    </w:p>
    <w:p w14:paraId="051AA662" w14:textId="281F0A0D" w:rsidR="002720D7" w:rsidRPr="002720D7" w:rsidRDefault="002720D7" w:rsidP="002720D7">
      <w:pPr>
        <w:rPr>
          <w:rFonts w:ascii="Arial" w:hAnsi="Arial" w:cs="Arial"/>
          <w:lang w:val="en-US"/>
        </w:rPr>
      </w:pPr>
      <w:r w:rsidRPr="002720D7">
        <w:rPr>
          <w:rFonts w:ascii="Arial" w:hAnsi="Arial" w:cs="Arial"/>
          <w:b/>
          <w:bCs/>
          <w:lang w:val="en-US"/>
        </w:rPr>
        <w:t>Corporate Culture</w:t>
      </w:r>
    </w:p>
    <w:p w14:paraId="6A6DB1AD" w14:textId="1A143DA5" w:rsidR="002720D7" w:rsidRPr="002720D7" w:rsidRDefault="00C73D53" w:rsidP="002720D7">
      <w:pPr>
        <w:rPr>
          <w:rFonts w:ascii="Arial" w:hAnsi="Arial" w:cs="Arial"/>
          <w:lang w:val="en-US"/>
        </w:rPr>
      </w:pPr>
      <w:r w:rsidRPr="00F64B00">
        <w:rPr>
          <w:rFonts w:ascii="Arial" w:hAnsi="Arial" w:cs="Arial"/>
          <w:lang w:val="en-US"/>
        </w:rPr>
        <w:t xml:space="preserve"> Hilton Group's corporate culture stands as a testament to the profound ethos of "hospitality with a heart," exuding a palpable ambiance of congeniality, compassion, and an unyielding dedication to providing unparalleled guest experiences. Within Hilton, this culture is embraced and embodied by every team member, portraying the fundamental principles of esteem, honesty, collaboration, and accountability.</w:t>
      </w:r>
    </w:p>
    <w:p w14:paraId="0D461CE8" w14:textId="60B34130" w:rsidR="002720D7" w:rsidRPr="002720D7" w:rsidRDefault="004C60EF" w:rsidP="002720D7">
      <w:pPr>
        <w:rPr>
          <w:rFonts w:ascii="Arial" w:hAnsi="Arial" w:cs="Arial"/>
          <w:lang w:val="en-US"/>
        </w:rPr>
      </w:pPr>
      <w:r w:rsidRPr="00F64B00">
        <w:rPr>
          <w:rFonts w:ascii="Arial" w:hAnsi="Arial" w:cs="Arial"/>
          <w:lang w:val="en-US"/>
        </w:rPr>
        <w:t xml:space="preserve"> The cultural essence transcends mere principles, for it manifests itself as a living embodiment within the organization</w:t>
      </w:r>
      <w:r w:rsidR="008A3292">
        <w:rPr>
          <w:rFonts w:ascii="Arial" w:hAnsi="Arial" w:cs="Arial"/>
          <w:lang w:val="en-US"/>
        </w:rPr>
        <w:t xml:space="preserve"> (Mankowitz, 2018)</w:t>
      </w:r>
      <w:r w:rsidRPr="00F64B00">
        <w:rPr>
          <w:rFonts w:ascii="Arial" w:hAnsi="Arial" w:cs="Arial"/>
          <w:lang w:val="en-US"/>
        </w:rPr>
        <w:t xml:space="preserve">. It is deeply entrenched in the conviction that genuine hospitality is built upon authentic bonds and profound engagements. Within Hilton's inclusive and variegated work milieu, a fertile ground for </w:t>
      </w:r>
      <w:r w:rsidRPr="00F64B00">
        <w:rPr>
          <w:rFonts w:ascii="Arial" w:hAnsi="Arial" w:cs="Arial"/>
          <w:lang w:val="en-US"/>
        </w:rPr>
        <w:lastRenderedPageBreak/>
        <w:t>creativity and innovation is cultivated, assuring its enduring position at the vanguard of the ever-evolving hospitality sector.</w:t>
      </w:r>
    </w:p>
    <w:p w14:paraId="55CFA8B4" w14:textId="0D1E91BA" w:rsidR="002720D7" w:rsidRPr="002720D7" w:rsidRDefault="00C73D53" w:rsidP="002720D7">
      <w:pPr>
        <w:rPr>
          <w:rFonts w:ascii="Arial" w:hAnsi="Arial" w:cs="Arial"/>
          <w:lang w:val="en-US"/>
        </w:rPr>
      </w:pPr>
      <w:r w:rsidRPr="00F64B00">
        <w:rPr>
          <w:rFonts w:ascii="Arial" w:hAnsi="Arial" w:cs="Arial"/>
          <w:lang w:val="en-US"/>
        </w:rPr>
        <w:t xml:space="preserve"> </w:t>
      </w:r>
      <w:r w:rsidRPr="00F64B00">
        <w:rPr>
          <w:rFonts w:ascii="Arial" w:hAnsi="Arial" w:cs="Arial"/>
        </w:rPr>
        <w:t>Hilton's steadfast dedication to the well-being of its employees and guests epitomizes the ethos embedded within its corporate fabric. Within every interaction, whether it be the cordial guest check-ins or the nurturing exchanges amongst its workforce, an unwavering sense of congeniality, authenticity, and an unwavering pursuit of delivering exceptional service permeate the atmosphere.</w:t>
      </w:r>
    </w:p>
    <w:p w14:paraId="1A87D29E" w14:textId="49D15B4E" w:rsidR="002720D7" w:rsidRPr="002720D7" w:rsidRDefault="002720D7" w:rsidP="002720D7">
      <w:pPr>
        <w:rPr>
          <w:rFonts w:ascii="Arial" w:hAnsi="Arial" w:cs="Arial"/>
          <w:lang w:val="en-US"/>
        </w:rPr>
      </w:pPr>
      <w:r w:rsidRPr="002720D7">
        <w:rPr>
          <w:rFonts w:ascii="Arial" w:hAnsi="Arial" w:cs="Arial"/>
          <w:b/>
          <w:bCs/>
          <w:lang w:val="en-US"/>
        </w:rPr>
        <w:t>Aspirational Goals</w:t>
      </w:r>
    </w:p>
    <w:p w14:paraId="67A7A6FA" w14:textId="3582FE80" w:rsidR="002720D7" w:rsidRPr="002720D7" w:rsidRDefault="004C60EF" w:rsidP="002720D7">
      <w:pPr>
        <w:rPr>
          <w:rFonts w:ascii="Arial" w:hAnsi="Arial" w:cs="Arial"/>
          <w:lang w:val="en-US"/>
        </w:rPr>
      </w:pPr>
      <w:r w:rsidRPr="00F64B00">
        <w:rPr>
          <w:rFonts w:ascii="Arial" w:hAnsi="Arial" w:cs="Arial"/>
          <w:lang w:val="en-US"/>
        </w:rPr>
        <w:t xml:space="preserve"> The lofty aspirations of Hilton Group resonate with an unwavering dedication to eminence, sustainability, and meaningful community involvement. These objectives transcend the commonplace and stand as a testament to Hilton's profound ambition to reshape the fundamental nature of hospitality.</w:t>
      </w:r>
    </w:p>
    <w:p w14:paraId="25BDABC6" w14:textId="55E3AD94" w:rsidR="002720D7" w:rsidRPr="002720D7" w:rsidRDefault="00C73D53" w:rsidP="002720D7">
      <w:pPr>
        <w:rPr>
          <w:rFonts w:ascii="Arial" w:hAnsi="Arial" w:cs="Arial"/>
          <w:lang w:val="en-US"/>
        </w:rPr>
      </w:pPr>
      <w:r w:rsidRPr="00F64B00">
        <w:rPr>
          <w:rFonts w:ascii="Arial" w:hAnsi="Arial" w:cs="Arial"/>
          <w:lang w:val="en-US"/>
        </w:rPr>
        <w:t xml:space="preserve"> </w:t>
      </w:r>
      <w:r w:rsidRPr="00F64B00">
        <w:rPr>
          <w:rFonts w:ascii="Arial" w:hAnsi="Arial" w:cs="Arial"/>
        </w:rPr>
        <w:t xml:space="preserve">In harmony with Hilton's unwavering dedication to sustainability, a series of formidable environmental objectives have been established by the group. These encompass </w:t>
      </w:r>
      <w:proofErr w:type="spellStart"/>
      <w:r w:rsidRPr="00F64B00">
        <w:rPr>
          <w:rFonts w:ascii="Arial" w:hAnsi="Arial" w:cs="Arial"/>
        </w:rPr>
        <w:t>endeavors</w:t>
      </w:r>
      <w:proofErr w:type="spellEnd"/>
      <w:r w:rsidRPr="00F64B00">
        <w:rPr>
          <w:rFonts w:ascii="Arial" w:hAnsi="Arial" w:cs="Arial"/>
        </w:rPr>
        <w:t xml:space="preserve"> aimed at curbing its carbon emissions, preserving valuable resources, and championing the principles of responsible tourism. The recognition of Hilton's role in lessening its environmental footprint is met with proactive measures aimed at fostering a more sustainable tomorrow.</w:t>
      </w:r>
    </w:p>
    <w:p w14:paraId="7873946E" w14:textId="26D582E9" w:rsidR="002720D7" w:rsidRPr="002720D7" w:rsidRDefault="004C60EF" w:rsidP="002720D7">
      <w:pPr>
        <w:rPr>
          <w:rFonts w:ascii="Arial" w:hAnsi="Arial" w:cs="Arial"/>
          <w:lang w:val="en-US"/>
        </w:rPr>
      </w:pPr>
      <w:r w:rsidRPr="00F64B00">
        <w:rPr>
          <w:rFonts w:ascii="Arial" w:hAnsi="Arial" w:cs="Arial"/>
          <w:lang w:val="en-US"/>
        </w:rPr>
        <w:t xml:space="preserve"> </w:t>
      </w:r>
      <w:r w:rsidRPr="00F64B00">
        <w:rPr>
          <w:rFonts w:ascii="Arial" w:hAnsi="Arial" w:cs="Arial"/>
        </w:rPr>
        <w:t xml:space="preserve">The profound commitment of Hilton Group to community involvement and altruistic pursuits is unmistakably evident through its far-reaching global initiatives. These </w:t>
      </w:r>
      <w:proofErr w:type="spellStart"/>
      <w:r w:rsidRPr="00F64B00">
        <w:rPr>
          <w:rFonts w:ascii="Arial" w:hAnsi="Arial" w:cs="Arial"/>
        </w:rPr>
        <w:t>endeavors</w:t>
      </w:r>
      <w:proofErr w:type="spellEnd"/>
      <w:r w:rsidRPr="00F64B00">
        <w:rPr>
          <w:rFonts w:ascii="Arial" w:hAnsi="Arial" w:cs="Arial"/>
        </w:rPr>
        <w:t xml:space="preserve"> are actively pursued, with a clear and resolute aim of fostering a constructive and positive influence on the societies within which the organization conducts its operations</w:t>
      </w:r>
      <w:r w:rsidR="00D71E2E">
        <w:rPr>
          <w:rFonts w:ascii="Arial" w:hAnsi="Arial" w:cs="Arial"/>
        </w:rPr>
        <w:t xml:space="preserve"> (Zeng, 2021)</w:t>
      </w:r>
      <w:r w:rsidRPr="00F64B00">
        <w:rPr>
          <w:rFonts w:ascii="Arial" w:hAnsi="Arial" w:cs="Arial"/>
        </w:rPr>
        <w:t>. This leads to a deep and meaningful rapport with local communities, as Hilton ardently engages in activities that enhance the welfare and advancement of these communities.</w:t>
      </w:r>
    </w:p>
    <w:p w14:paraId="1A534C6F" w14:textId="77777777" w:rsidR="002720D7" w:rsidRPr="00F64B00" w:rsidRDefault="002720D7">
      <w:pPr>
        <w:spacing w:line="259" w:lineRule="auto"/>
        <w:jc w:val="left"/>
        <w:rPr>
          <w:rFonts w:ascii="Arial" w:hAnsi="Arial" w:cs="Arial"/>
          <w:lang w:val="en-US"/>
        </w:rPr>
      </w:pPr>
      <w:r w:rsidRPr="00F64B00">
        <w:rPr>
          <w:rFonts w:ascii="Arial" w:hAnsi="Arial" w:cs="Arial"/>
          <w:lang w:val="en-US"/>
        </w:rPr>
        <w:br w:type="page"/>
      </w:r>
    </w:p>
    <w:p w14:paraId="5FA00D51" w14:textId="4544B0BB" w:rsidR="002720D7" w:rsidRPr="00F64B00" w:rsidRDefault="002720D7" w:rsidP="002720D7">
      <w:pPr>
        <w:pStyle w:val="Heading1"/>
        <w:rPr>
          <w:rFonts w:ascii="Arial" w:hAnsi="Arial" w:cs="Arial"/>
          <w:lang w:val="en-US"/>
        </w:rPr>
      </w:pPr>
      <w:bookmarkStart w:id="3" w:name="_Toc150110025"/>
      <w:r w:rsidRPr="00F64B00">
        <w:rPr>
          <w:rFonts w:ascii="Arial" w:hAnsi="Arial" w:cs="Arial"/>
          <w:lang w:val="en-US"/>
        </w:rPr>
        <w:lastRenderedPageBreak/>
        <w:t>2. Recent Initiatives and their Impact</w:t>
      </w:r>
      <w:bookmarkEnd w:id="3"/>
    </w:p>
    <w:p w14:paraId="1EA7EA94" w14:textId="2FEBC1F2" w:rsidR="002720D7" w:rsidRPr="002720D7" w:rsidRDefault="00C73D53" w:rsidP="002720D7">
      <w:pPr>
        <w:rPr>
          <w:rFonts w:ascii="Arial" w:hAnsi="Arial" w:cs="Arial"/>
          <w:lang w:val="en-US"/>
        </w:rPr>
      </w:pPr>
      <w:r w:rsidRPr="00F64B00">
        <w:rPr>
          <w:rFonts w:ascii="Arial" w:hAnsi="Arial" w:cs="Arial"/>
          <w:lang w:val="en-US"/>
        </w:rPr>
        <w:t xml:space="preserve"> In recent years, Hilton has undertaken a series of strategic change endeavors, aiming to align with the shifting requisites of the worldwide hospitality sector. These endeavors have been meticulously strategized and implemented, underscoring Hilton's steadfast dedication to upholding its competitive advantage and surpassing the expectations of its guests.</w:t>
      </w:r>
    </w:p>
    <w:p w14:paraId="2ADEEEC8" w14:textId="6B948BEB" w:rsidR="002720D7" w:rsidRPr="002720D7" w:rsidRDefault="008531A4" w:rsidP="002720D7">
      <w:pPr>
        <w:rPr>
          <w:rFonts w:ascii="Arial" w:hAnsi="Arial" w:cs="Arial"/>
          <w:lang w:val="en-US"/>
        </w:rPr>
      </w:pPr>
      <w:r w:rsidRPr="00F64B00">
        <w:rPr>
          <w:rFonts w:ascii="Arial" w:hAnsi="Arial" w:cs="Arial"/>
          <w:lang w:val="en-US"/>
        </w:rPr>
        <w:t xml:space="preserve"> One of the notable transformations that have garnered considerable attention pertains to the digital evolution</w:t>
      </w:r>
      <w:r w:rsidR="00D71E2E">
        <w:rPr>
          <w:rFonts w:ascii="Arial" w:hAnsi="Arial" w:cs="Arial"/>
          <w:lang w:val="en-US"/>
        </w:rPr>
        <w:t xml:space="preserve"> (</w:t>
      </w:r>
      <w:proofErr w:type="spellStart"/>
      <w:r w:rsidR="00D71E2E">
        <w:rPr>
          <w:rFonts w:ascii="Arial" w:hAnsi="Arial" w:cs="Arial"/>
          <w:lang w:val="en-US"/>
        </w:rPr>
        <w:t>Widiana</w:t>
      </w:r>
      <w:proofErr w:type="spellEnd"/>
      <w:r w:rsidR="00D71E2E">
        <w:rPr>
          <w:rFonts w:ascii="Arial" w:hAnsi="Arial" w:cs="Arial"/>
          <w:lang w:val="en-US"/>
        </w:rPr>
        <w:t>, 2019)</w:t>
      </w:r>
      <w:r w:rsidRPr="00F64B00">
        <w:rPr>
          <w:rFonts w:ascii="Arial" w:hAnsi="Arial" w:cs="Arial"/>
          <w:lang w:val="en-US"/>
        </w:rPr>
        <w:t>. Hilton has committed substantial resources towards the augmentation of its digital framework, with the aim of bestowing upon its guests an experience that is both seamless and tailored. The adoption of pioneering technologies, including but not limited to mobile check-in, digital room keys, and the Hilton Honors app, has not only harmonized the guest encounter but has also engendered a trove of invaluable data insights, destined to catalyze the continual enhancement of services.</w:t>
      </w:r>
    </w:p>
    <w:p w14:paraId="457B3F47" w14:textId="56FC9ABD" w:rsidR="002720D7" w:rsidRPr="002720D7" w:rsidRDefault="00C73D53" w:rsidP="002720D7">
      <w:pPr>
        <w:rPr>
          <w:rFonts w:ascii="Arial" w:hAnsi="Arial" w:cs="Arial"/>
          <w:lang w:val="en-US"/>
        </w:rPr>
      </w:pPr>
      <w:r w:rsidRPr="00F64B00">
        <w:rPr>
          <w:rFonts w:ascii="Arial" w:hAnsi="Arial" w:cs="Arial"/>
          <w:lang w:val="en-US"/>
        </w:rPr>
        <w:t xml:space="preserve"> </w:t>
      </w:r>
      <w:r w:rsidRPr="00F64B00">
        <w:rPr>
          <w:rFonts w:ascii="Arial" w:hAnsi="Arial" w:cs="Arial"/>
        </w:rPr>
        <w:t xml:space="preserve">In light of the escalating global consciousness surrounding sustainability and environmental accountability, </w:t>
      </w:r>
      <w:r w:rsidR="008A3292">
        <w:rPr>
          <w:rFonts w:ascii="Arial" w:hAnsi="Arial" w:cs="Arial"/>
        </w:rPr>
        <w:t>it</w:t>
      </w:r>
      <w:r w:rsidRPr="00F64B00">
        <w:rPr>
          <w:rFonts w:ascii="Arial" w:hAnsi="Arial" w:cs="Arial"/>
        </w:rPr>
        <w:t xml:space="preserve"> has embarked on an ambitious sustainability initiative</w:t>
      </w:r>
      <w:r w:rsidR="008A3292">
        <w:rPr>
          <w:rFonts w:ascii="Arial" w:hAnsi="Arial" w:cs="Arial"/>
        </w:rPr>
        <w:t xml:space="preserve"> (Lambin, 2020)</w:t>
      </w:r>
      <w:r w:rsidRPr="00F64B00">
        <w:rPr>
          <w:rFonts w:ascii="Arial" w:hAnsi="Arial" w:cs="Arial"/>
        </w:rPr>
        <w:t>. This strategic program has resulted in significant reductions in the organization's carbon footprint, thereby positioning Hilton as a frontrunner in the realm of sustainable hospitality. These transformative measures encompass the adoption of energy-efficient practices, the implementation of waste reduction strategies, and the establishment of collaborative partnerships with local communities to foster responsible sourcing practices</w:t>
      </w:r>
      <w:r w:rsidR="008A3292">
        <w:rPr>
          <w:rFonts w:ascii="Arial" w:hAnsi="Arial" w:cs="Arial"/>
        </w:rPr>
        <w:t xml:space="preserve"> (</w:t>
      </w:r>
      <w:proofErr w:type="spellStart"/>
      <w:r w:rsidR="008A3292">
        <w:rPr>
          <w:rFonts w:ascii="Arial" w:hAnsi="Arial" w:cs="Arial"/>
        </w:rPr>
        <w:t>Atutxa</w:t>
      </w:r>
      <w:proofErr w:type="spellEnd"/>
      <w:r w:rsidR="008A3292">
        <w:rPr>
          <w:rFonts w:ascii="Arial" w:hAnsi="Arial" w:cs="Arial"/>
        </w:rPr>
        <w:t xml:space="preserve"> et al, 2020)</w:t>
      </w:r>
      <w:r w:rsidRPr="00F64B00">
        <w:rPr>
          <w:rFonts w:ascii="Arial" w:hAnsi="Arial" w:cs="Arial"/>
        </w:rPr>
        <w:t>. Hilton's resolute commitment to sustainability underscores its dedication to environmental stewardship and corporate responsibility, aligning with a broader global movement toward a more eco-conscious and sustainable future.</w:t>
      </w:r>
    </w:p>
    <w:p w14:paraId="7C3E1D11" w14:textId="54413C08" w:rsidR="002720D7" w:rsidRPr="00F64B00" w:rsidRDefault="002720D7" w:rsidP="002720D7">
      <w:pPr>
        <w:rPr>
          <w:rFonts w:ascii="Arial" w:hAnsi="Arial" w:cs="Arial"/>
          <w:lang w:val="en-US"/>
        </w:rPr>
      </w:pPr>
    </w:p>
    <w:p w14:paraId="36C08563" w14:textId="77777777" w:rsidR="00C73D53" w:rsidRPr="00F64B00" w:rsidRDefault="00C73D53">
      <w:pPr>
        <w:spacing w:line="259" w:lineRule="auto"/>
        <w:jc w:val="left"/>
        <w:rPr>
          <w:rFonts w:ascii="Arial" w:eastAsiaTheme="majorEastAsia" w:hAnsi="Arial" w:cs="Arial"/>
          <w:b/>
          <w:sz w:val="32"/>
          <w:szCs w:val="32"/>
          <w:lang w:val="en-US"/>
        </w:rPr>
      </w:pPr>
      <w:r w:rsidRPr="00F64B00">
        <w:rPr>
          <w:rFonts w:ascii="Arial" w:hAnsi="Arial" w:cs="Arial"/>
          <w:lang w:val="en-US"/>
        </w:rPr>
        <w:br w:type="page"/>
      </w:r>
    </w:p>
    <w:p w14:paraId="217877E2" w14:textId="77E8BDA6" w:rsidR="002720D7" w:rsidRPr="00F64B00" w:rsidRDefault="002720D7" w:rsidP="002720D7">
      <w:pPr>
        <w:pStyle w:val="Heading1"/>
        <w:rPr>
          <w:rFonts w:ascii="Arial" w:hAnsi="Arial" w:cs="Arial"/>
          <w:lang w:val="en-US"/>
        </w:rPr>
      </w:pPr>
      <w:bookmarkStart w:id="4" w:name="_Toc150110026"/>
      <w:r w:rsidRPr="00F64B00">
        <w:rPr>
          <w:rFonts w:ascii="Arial" w:hAnsi="Arial" w:cs="Arial"/>
          <w:lang w:val="en-US"/>
        </w:rPr>
        <w:lastRenderedPageBreak/>
        <w:t>3. The Organization’s Strategic Direction</w:t>
      </w:r>
      <w:bookmarkEnd w:id="4"/>
    </w:p>
    <w:p w14:paraId="6579F622" w14:textId="25104108" w:rsidR="002720D7" w:rsidRPr="002720D7" w:rsidRDefault="002720D7" w:rsidP="002720D7">
      <w:pPr>
        <w:rPr>
          <w:rFonts w:ascii="Arial" w:hAnsi="Arial" w:cs="Arial"/>
          <w:lang w:val="en-US"/>
        </w:rPr>
      </w:pPr>
      <w:r w:rsidRPr="002720D7">
        <w:rPr>
          <w:rFonts w:ascii="Arial" w:hAnsi="Arial" w:cs="Arial"/>
          <w:b/>
          <w:bCs/>
          <w:lang w:val="en-US"/>
        </w:rPr>
        <w:t>Alignment with Industry Trends</w:t>
      </w:r>
    </w:p>
    <w:p w14:paraId="12E46699" w14:textId="0C39E309" w:rsidR="002720D7" w:rsidRPr="002720D7" w:rsidRDefault="004C60EF" w:rsidP="002720D7">
      <w:pPr>
        <w:rPr>
          <w:rFonts w:ascii="Arial" w:hAnsi="Arial" w:cs="Arial"/>
          <w:lang w:val="en-US"/>
        </w:rPr>
      </w:pPr>
      <w:r w:rsidRPr="00F64B00">
        <w:rPr>
          <w:rFonts w:ascii="Arial" w:hAnsi="Arial" w:cs="Arial"/>
          <w:lang w:val="en-US"/>
        </w:rPr>
        <w:t xml:space="preserve"> Hilton's strategic prowess is perceptible through its keen synchronization with the current trends in the industry. In this age characterized by a growing inclination towards customized experiences and environmentally conscious practices, </w:t>
      </w:r>
      <w:r w:rsidR="008A3292">
        <w:rPr>
          <w:rFonts w:ascii="Arial" w:hAnsi="Arial" w:cs="Arial"/>
          <w:lang w:val="en-US"/>
        </w:rPr>
        <w:t xml:space="preserve">it </w:t>
      </w:r>
      <w:r w:rsidRPr="00F64B00">
        <w:rPr>
          <w:rFonts w:ascii="Arial" w:hAnsi="Arial" w:cs="Arial"/>
          <w:lang w:val="en-US"/>
        </w:rPr>
        <w:t>has embraced the notions of ecological friendliness and customer-centeredness. The group has initiated a voyage to redefine opulence by placing sustainability at the forefront of its strategic framework</w:t>
      </w:r>
      <w:r w:rsidR="008A3292">
        <w:rPr>
          <w:rFonts w:ascii="Arial" w:hAnsi="Arial" w:cs="Arial"/>
          <w:lang w:val="en-US"/>
        </w:rPr>
        <w:t xml:space="preserve"> (Su et al, 2019)</w:t>
      </w:r>
      <w:r w:rsidRPr="00F64B00">
        <w:rPr>
          <w:rFonts w:ascii="Arial" w:hAnsi="Arial" w:cs="Arial"/>
          <w:lang w:val="en-US"/>
        </w:rPr>
        <w:t>.</w:t>
      </w:r>
    </w:p>
    <w:p w14:paraId="5F40B2CD" w14:textId="0273B27C" w:rsidR="002720D7" w:rsidRPr="002720D7" w:rsidRDefault="008531A4" w:rsidP="002720D7">
      <w:pPr>
        <w:rPr>
          <w:rFonts w:ascii="Arial" w:hAnsi="Arial" w:cs="Arial"/>
          <w:lang w:val="en-US"/>
        </w:rPr>
      </w:pPr>
      <w:r w:rsidRPr="00F64B00">
        <w:rPr>
          <w:rFonts w:ascii="Arial" w:hAnsi="Arial" w:cs="Arial"/>
          <w:lang w:val="en-US"/>
        </w:rPr>
        <w:t xml:space="preserve"> Hilton's unwavering commitment to eco-conscious practices is vividly reflected in its ambitious sustainability goals, which encompass a comprehensive strategy for curbing carbon emissions, minimizing waste production, and judiciously conserving valuable water resources. By aligning with the prevailing global emphasis on sustainability, </w:t>
      </w:r>
      <w:r w:rsidR="00CC4D0B">
        <w:rPr>
          <w:rFonts w:ascii="Arial" w:hAnsi="Arial" w:cs="Arial"/>
          <w:lang w:val="en-US"/>
        </w:rPr>
        <w:t>firms</w:t>
      </w:r>
      <w:r w:rsidRPr="00F64B00">
        <w:rPr>
          <w:rFonts w:ascii="Arial" w:hAnsi="Arial" w:cs="Arial"/>
          <w:lang w:val="en-US"/>
        </w:rPr>
        <w:t xml:space="preserve"> not only </w:t>
      </w:r>
      <w:r w:rsidR="00CC4D0B" w:rsidRPr="00F64B00">
        <w:rPr>
          <w:rFonts w:ascii="Arial" w:hAnsi="Arial" w:cs="Arial"/>
          <w:lang w:val="en-US"/>
        </w:rPr>
        <w:t>mitigate</w:t>
      </w:r>
      <w:r w:rsidRPr="00F64B00">
        <w:rPr>
          <w:rFonts w:ascii="Arial" w:hAnsi="Arial" w:cs="Arial"/>
          <w:lang w:val="en-US"/>
        </w:rPr>
        <w:t xml:space="preserve"> its ecological footprint but also strike a harmonious chord with conscientious travelers who highly value eco-friendly options</w:t>
      </w:r>
      <w:r w:rsidR="00CC4D0B">
        <w:rPr>
          <w:rFonts w:ascii="Arial" w:hAnsi="Arial" w:cs="Arial"/>
          <w:lang w:val="en-US"/>
        </w:rPr>
        <w:t xml:space="preserve"> (Ullah and Nasim, 2021; </w:t>
      </w:r>
      <w:proofErr w:type="spellStart"/>
      <w:r w:rsidR="00CC4D0B">
        <w:rPr>
          <w:rFonts w:ascii="Arial" w:hAnsi="Arial" w:cs="Arial"/>
          <w:lang w:val="en-US"/>
        </w:rPr>
        <w:t>Hba</w:t>
      </w:r>
      <w:proofErr w:type="spellEnd"/>
      <w:r w:rsidR="00CC4D0B">
        <w:rPr>
          <w:rFonts w:ascii="Arial" w:hAnsi="Arial" w:cs="Arial"/>
          <w:lang w:val="en-US"/>
        </w:rPr>
        <w:t xml:space="preserve"> and </w:t>
      </w:r>
      <w:proofErr w:type="spellStart"/>
      <w:r w:rsidR="00CC4D0B">
        <w:rPr>
          <w:rFonts w:ascii="Arial" w:hAnsi="Arial" w:cs="Arial"/>
          <w:lang w:val="en-US"/>
        </w:rPr>
        <w:t>Manouar</w:t>
      </w:r>
      <w:proofErr w:type="spellEnd"/>
      <w:r w:rsidR="00CC4D0B">
        <w:rPr>
          <w:rFonts w:ascii="Arial" w:hAnsi="Arial" w:cs="Arial"/>
          <w:lang w:val="en-US"/>
        </w:rPr>
        <w:t>, 2018)</w:t>
      </w:r>
      <w:r w:rsidRPr="00F64B00">
        <w:rPr>
          <w:rFonts w:ascii="Arial" w:hAnsi="Arial" w:cs="Arial"/>
          <w:lang w:val="en-US"/>
        </w:rPr>
        <w:t>.</w:t>
      </w:r>
    </w:p>
    <w:p w14:paraId="50185DA7" w14:textId="7B9BA0C0" w:rsidR="002720D7" w:rsidRPr="002720D7" w:rsidRDefault="002720D7" w:rsidP="002720D7">
      <w:pPr>
        <w:rPr>
          <w:rFonts w:ascii="Arial" w:hAnsi="Arial" w:cs="Arial"/>
          <w:lang w:val="en-US"/>
        </w:rPr>
      </w:pPr>
      <w:r w:rsidRPr="002720D7">
        <w:rPr>
          <w:rFonts w:ascii="Arial" w:hAnsi="Arial" w:cs="Arial"/>
          <w:b/>
          <w:bCs/>
          <w:lang w:val="en-US"/>
        </w:rPr>
        <w:t>Competitive Positioning</w:t>
      </w:r>
    </w:p>
    <w:p w14:paraId="51CDC12F" w14:textId="7617D905" w:rsidR="002720D7" w:rsidRPr="002720D7" w:rsidRDefault="008531A4" w:rsidP="002720D7">
      <w:pPr>
        <w:rPr>
          <w:rFonts w:ascii="Arial" w:hAnsi="Arial" w:cs="Arial"/>
          <w:lang w:val="en-US"/>
        </w:rPr>
      </w:pPr>
      <w:r w:rsidRPr="00F64B00">
        <w:rPr>
          <w:rFonts w:ascii="Arial" w:hAnsi="Arial" w:cs="Arial"/>
          <w:lang w:val="en-US"/>
        </w:rPr>
        <w:t xml:space="preserve"> The strategic acumen of Hilton Group manifests itself in its formidable standing within the global hospitality market. Hilton's extensive brand portfolio, encompassing illustrious names such as Hilton Hotels &amp; Resorts, Waldorf Astoria, and DoubleTree by Hilton, presents a versatile spectrum of experiences tailored to diverse market segments.</w:t>
      </w:r>
    </w:p>
    <w:p w14:paraId="5D790908" w14:textId="05259158" w:rsidR="002720D7" w:rsidRPr="002720D7" w:rsidRDefault="00D42926" w:rsidP="002720D7">
      <w:pPr>
        <w:rPr>
          <w:rFonts w:ascii="Arial" w:hAnsi="Arial" w:cs="Arial"/>
          <w:lang w:val="en-US"/>
        </w:rPr>
      </w:pPr>
      <w:r w:rsidRPr="00F64B00">
        <w:rPr>
          <w:rFonts w:ascii="Arial" w:hAnsi="Arial" w:cs="Arial"/>
          <w:lang w:val="en-US"/>
        </w:rPr>
        <w:t xml:space="preserve"> Moreover, Hilton's commitment to innovation and diversification is exemplified by its foray into multiple sectors, encompassing luxury and lifestyle brands, as a direct response to the dynamic shifts in consumer preferences. Through this strategic approach of providing a multitude of lodging choices, Hilton reinforces its market presence, guaranteeing its ability to address a diverse array of guest requirements and inclinations. </w:t>
      </w:r>
      <w:r w:rsidR="00CC4D0B">
        <w:rPr>
          <w:rFonts w:ascii="Arial" w:hAnsi="Arial" w:cs="Arial"/>
          <w:lang w:val="en-US"/>
        </w:rPr>
        <w:t>Signifying</w:t>
      </w:r>
      <w:r w:rsidRPr="00F64B00">
        <w:rPr>
          <w:rFonts w:ascii="Arial" w:hAnsi="Arial" w:cs="Arial"/>
          <w:lang w:val="en-US"/>
        </w:rPr>
        <w:t xml:space="preserve"> </w:t>
      </w:r>
      <w:r w:rsidR="00CC4D0B">
        <w:rPr>
          <w:rFonts w:ascii="Arial" w:hAnsi="Arial" w:cs="Arial"/>
          <w:lang w:val="en-US"/>
        </w:rPr>
        <w:t>the</w:t>
      </w:r>
      <w:r w:rsidRPr="00F64B00">
        <w:rPr>
          <w:rFonts w:ascii="Arial" w:hAnsi="Arial" w:cs="Arial"/>
          <w:lang w:val="en-US"/>
        </w:rPr>
        <w:t xml:space="preserve"> proactive step </w:t>
      </w:r>
      <w:r w:rsidR="00CC4D0B">
        <w:rPr>
          <w:rFonts w:ascii="Arial" w:hAnsi="Arial" w:cs="Arial"/>
          <w:lang w:val="en-US"/>
        </w:rPr>
        <w:t>firms</w:t>
      </w:r>
      <w:r w:rsidRPr="00F64B00">
        <w:rPr>
          <w:rFonts w:ascii="Arial" w:hAnsi="Arial" w:cs="Arial"/>
          <w:lang w:val="en-US"/>
        </w:rPr>
        <w:t xml:space="preserve"> stay relevant to an evolving clientele</w:t>
      </w:r>
      <w:r w:rsidR="008A3292">
        <w:rPr>
          <w:rFonts w:ascii="Arial" w:hAnsi="Arial" w:cs="Arial"/>
          <w:lang w:val="en-US"/>
        </w:rPr>
        <w:t xml:space="preserve"> (Matteucci, 2020)</w:t>
      </w:r>
      <w:r w:rsidRPr="00F64B00">
        <w:rPr>
          <w:rFonts w:ascii="Arial" w:hAnsi="Arial" w:cs="Arial"/>
          <w:lang w:val="en-US"/>
        </w:rPr>
        <w:t>.</w:t>
      </w:r>
    </w:p>
    <w:p w14:paraId="7BF81B36" w14:textId="1C72E595" w:rsidR="002720D7" w:rsidRPr="002720D7" w:rsidRDefault="002720D7" w:rsidP="002720D7">
      <w:pPr>
        <w:rPr>
          <w:rFonts w:ascii="Arial" w:hAnsi="Arial" w:cs="Arial"/>
          <w:lang w:val="en-US"/>
        </w:rPr>
      </w:pPr>
      <w:r w:rsidRPr="002720D7">
        <w:rPr>
          <w:rFonts w:ascii="Arial" w:hAnsi="Arial" w:cs="Arial"/>
          <w:b/>
          <w:bCs/>
          <w:lang w:val="en-US"/>
        </w:rPr>
        <w:t>Pursuit of Long-Term Goals</w:t>
      </w:r>
    </w:p>
    <w:p w14:paraId="7838D86E" w14:textId="139475F6" w:rsidR="002720D7" w:rsidRPr="002720D7" w:rsidRDefault="00D42926" w:rsidP="002720D7">
      <w:pPr>
        <w:rPr>
          <w:rFonts w:ascii="Arial" w:hAnsi="Arial" w:cs="Arial"/>
          <w:lang w:val="en-US"/>
        </w:rPr>
      </w:pPr>
      <w:r w:rsidRPr="00F64B00">
        <w:rPr>
          <w:rFonts w:ascii="Arial" w:hAnsi="Arial" w:cs="Arial"/>
          <w:lang w:val="en-US"/>
        </w:rPr>
        <w:t xml:space="preserve"> The bedrock of Hilton's strategic trajectory is rooted in its relentless pursuit of far-reaching objectives that transcend mere financial gains. The group's unswerving </w:t>
      </w:r>
      <w:r w:rsidRPr="00F64B00">
        <w:rPr>
          <w:rFonts w:ascii="Arial" w:hAnsi="Arial" w:cs="Arial"/>
          <w:lang w:val="en-US"/>
        </w:rPr>
        <w:lastRenderedPageBreak/>
        <w:t>dedication to corporate responsibility and immersive engagement with local communities stands as an integral cornerstone of its strategic framework. Hilton's endeavors for societal impact, epitomized by initiatives like Travel with Purpose, serve as a powerful testament to its unwavering commitment to effecting positive metamorphoses in the neighborhoods where it conducts its operations.</w:t>
      </w:r>
    </w:p>
    <w:p w14:paraId="37D3F0DE" w14:textId="553BE3D6" w:rsidR="002720D7" w:rsidRPr="002720D7" w:rsidRDefault="00747BD4" w:rsidP="002720D7">
      <w:pPr>
        <w:rPr>
          <w:rFonts w:ascii="Arial" w:hAnsi="Arial" w:cs="Arial"/>
          <w:lang w:val="en-US"/>
        </w:rPr>
      </w:pPr>
      <w:r w:rsidRPr="00F64B00">
        <w:rPr>
          <w:rFonts w:ascii="Arial" w:hAnsi="Arial" w:cs="Arial"/>
          <w:lang w:val="en-US"/>
        </w:rPr>
        <w:t xml:space="preserve"> Hilton's strategic orientation places a paramount focus on the cultivation of its talent pool. The organization dedicates substantial resources to foster the ongoing professional growth and empowerment of its employees, employing a spectrum of training and development initiatives as integral tools</w:t>
      </w:r>
      <w:r w:rsidR="001441D1">
        <w:rPr>
          <w:rFonts w:ascii="Arial" w:hAnsi="Arial" w:cs="Arial"/>
          <w:lang w:val="en-US"/>
        </w:rPr>
        <w:t xml:space="preserve"> (Dahou and Hacini, 2018)</w:t>
      </w:r>
      <w:r w:rsidRPr="00F64B00">
        <w:rPr>
          <w:rFonts w:ascii="Arial" w:hAnsi="Arial" w:cs="Arial"/>
          <w:lang w:val="en-US"/>
        </w:rPr>
        <w:t>. This steadfast commitment not only cements Hilton's standing as a coveted employer but also forms the cornerstone for nurturing a culture marked by peerless excellence and an unswerving dedication to delivering guests a truly exceptional and guest-centric experience.</w:t>
      </w:r>
    </w:p>
    <w:p w14:paraId="12A16235" w14:textId="77777777" w:rsidR="002720D7" w:rsidRPr="00F64B00" w:rsidRDefault="002720D7">
      <w:pPr>
        <w:spacing w:line="259" w:lineRule="auto"/>
        <w:jc w:val="left"/>
        <w:rPr>
          <w:rFonts w:ascii="Arial" w:hAnsi="Arial" w:cs="Arial"/>
          <w:lang w:val="en-US"/>
        </w:rPr>
      </w:pPr>
      <w:r w:rsidRPr="00F64B00">
        <w:rPr>
          <w:rFonts w:ascii="Arial" w:hAnsi="Arial" w:cs="Arial"/>
          <w:lang w:val="en-US"/>
        </w:rPr>
        <w:br w:type="page"/>
      </w:r>
    </w:p>
    <w:p w14:paraId="63BBDA9C" w14:textId="46DB7F14" w:rsidR="002720D7" w:rsidRPr="00F64B00" w:rsidRDefault="002720D7" w:rsidP="002720D7">
      <w:pPr>
        <w:pStyle w:val="Heading1"/>
        <w:rPr>
          <w:rFonts w:ascii="Arial" w:hAnsi="Arial" w:cs="Arial"/>
          <w:lang w:val="en-US"/>
        </w:rPr>
      </w:pPr>
      <w:bookmarkStart w:id="5" w:name="_Toc150110027"/>
      <w:r w:rsidRPr="00F64B00">
        <w:rPr>
          <w:rFonts w:ascii="Arial" w:hAnsi="Arial" w:cs="Arial"/>
          <w:lang w:val="en-US"/>
        </w:rPr>
        <w:lastRenderedPageBreak/>
        <w:t>4. Current Business Performance</w:t>
      </w:r>
      <w:bookmarkEnd w:id="5"/>
    </w:p>
    <w:p w14:paraId="226A1021" w14:textId="7192DC13" w:rsidR="002720D7" w:rsidRPr="00F64B00" w:rsidRDefault="00431B7E" w:rsidP="002720D7">
      <w:pPr>
        <w:pStyle w:val="Heading2"/>
        <w:rPr>
          <w:rFonts w:ascii="Arial" w:hAnsi="Arial" w:cs="Arial"/>
        </w:rPr>
      </w:pPr>
      <w:bookmarkStart w:id="6" w:name="_Toc150110028"/>
      <w:r w:rsidRPr="00F64B00">
        <w:rPr>
          <w:rFonts w:ascii="Arial" w:hAnsi="Arial" w:cs="Arial"/>
        </w:rPr>
        <w:t xml:space="preserve">4.1 </w:t>
      </w:r>
      <w:r w:rsidR="002720D7" w:rsidRPr="00F64B00">
        <w:rPr>
          <w:rFonts w:ascii="Arial" w:hAnsi="Arial" w:cs="Arial"/>
        </w:rPr>
        <w:t>Financial Performance</w:t>
      </w:r>
      <w:bookmarkEnd w:id="6"/>
    </w:p>
    <w:p w14:paraId="07AED0CA" w14:textId="159BCDD6" w:rsidR="002720D7" w:rsidRPr="00F64B00" w:rsidRDefault="00747BD4" w:rsidP="002720D7">
      <w:pPr>
        <w:rPr>
          <w:rFonts w:ascii="Arial" w:hAnsi="Arial" w:cs="Arial"/>
          <w:lang w:val="en-US"/>
        </w:rPr>
      </w:pPr>
      <w:r w:rsidRPr="00F64B00">
        <w:rPr>
          <w:rFonts w:ascii="Arial" w:hAnsi="Arial" w:cs="Arial"/>
          <w:lang w:val="en-US"/>
        </w:rPr>
        <w:t xml:space="preserve"> Hilton Group's formidable financial fortitude is a testament to its distinguished standing as a trailblazer in the hospitality sector. This prominence is the result of sturdy revenue sources, prudent financial stewardship, and an unwavering commitment to refining profitability</w:t>
      </w:r>
      <w:r w:rsidR="008A3292">
        <w:rPr>
          <w:rFonts w:ascii="Arial" w:hAnsi="Arial" w:cs="Arial"/>
          <w:lang w:val="en-US"/>
        </w:rPr>
        <w:t xml:space="preserve"> (</w:t>
      </w:r>
      <w:proofErr w:type="spellStart"/>
      <w:r w:rsidR="008A3292">
        <w:rPr>
          <w:rFonts w:ascii="Arial" w:hAnsi="Arial" w:cs="Arial"/>
          <w:lang w:val="en-US"/>
        </w:rPr>
        <w:t>Mardus</w:t>
      </w:r>
      <w:proofErr w:type="spellEnd"/>
      <w:r w:rsidR="008A3292">
        <w:rPr>
          <w:rFonts w:ascii="Arial" w:hAnsi="Arial" w:cs="Arial"/>
          <w:lang w:val="en-US"/>
        </w:rPr>
        <w:t xml:space="preserve"> and </w:t>
      </w:r>
      <w:proofErr w:type="spellStart"/>
      <w:r w:rsidR="008A3292">
        <w:rPr>
          <w:rFonts w:ascii="Arial" w:hAnsi="Arial" w:cs="Arial"/>
          <w:lang w:val="en-US"/>
        </w:rPr>
        <w:t>Rudenko</w:t>
      </w:r>
      <w:proofErr w:type="spellEnd"/>
      <w:r w:rsidR="008A3292">
        <w:rPr>
          <w:rFonts w:ascii="Arial" w:hAnsi="Arial" w:cs="Arial"/>
          <w:lang w:val="en-US"/>
        </w:rPr>
        <w:t>, 2021)</w:t>
      </w:r>
      <w:r w:rsidRPr="00F64B00">
        <w:rPr>
          <w:rFonts w:ascii="Arial" w:hAnsi="Arial" w:cs="Arial"/>
          <w:lang w:val="en-US"/>
        </w:rPr>
        <w:t>. Noteworthy is manifestation of remarkable revenue expansion, staunchly competitive profit margins</w:t>
      </w:r>
      <w:r w:rsidR="00CC4D0B">
        <w:rPr>
          <w:rFonts w:ascii="Arial" w:hAnsi="Arial" w:cs="Arial"/>
          <w:lang w:val="en-US"/>
        </w:rPr>
        <w:t xml:space="preserve"> </w:t>
      </w:r>
      <w:r w:rsidR="008B0CBF">
        <w:rPr>
          <w:rFonts w:ascii="Arial" w:hAnsi="Arial" w:cs="Arial"/>
          <w:lang w:val="en-US"/>
        </w:rPr>
        <w:t>result</w:t>
      </w:r>
      <w:r w:rsidRPr="00F64B00">
        <w:rPr>
          <w:rFonts w:ascii="Arial" w:hAnsi="Arial" w:cs="Arial"/>
          <w:lang w:val="en-US"/>
        </w:rPr>
        <w:t xml:space="preserve"> a vigorous cash inflow</w:t>
      </w:r>
      <w:r w:rsidR="00CC4D0B">
        <w:rPr>
          <w:rFonts w:ascii="Arial" w:hAnsi="Arial" w:cs="Arial"/>
          <w:lang w:val="en-US"/>
        </w:rPr>
        <w:t xml:space="preserve"> (</w:t>
      </w:r>
      <w:proofErr w:type="spellStart"/>
      <w:r w:rsidR="00CC4D0B">
        <w:rPr>
          <w:rFonts w:ascii="Arial" w:hAnsi="Arial" w:cs="Arial"/>
          <w:lang w:val="en-US"/>
        </w:rPr>
        <w:t>Qumsiyeh</w:t>
      </w:r>
      <w:proofErr w:type="spellEnd"/>
      <w:r w:rsidR="00CC4D0B">
        <w:rPr>
          <w:rFonts w:ascii="Arial" w:hAnsi="Arial" w:cs="Arial"/>
          <w:lang w:val="en-US"/>
        </w:rPr>
        <w:t xml:space="preserve"> and </w:t>
      </w:r>
      <w:proofErr w:type="spellStart"/>
      <w:r w:rsidR="00CC4D0B">
        <w:rPr>
          <w:rFonts w:ascii="Arial" w:hAnsi="Arial" w:cs="Arial"/>
          <w:lang w:val="en-US"/>
        </w:rPr>
        <w:t>Spindel</w:t>
      </w:r>
      <w:proofErr w:type="spellEnd"/>
      <w:r w:rsidR="00CC4D0B">
        <w:rPr>
          <w:rFonts w:ascii="Arial" w:hAnsi="Arial" w:cs="Arial"/>
          <w:lang w:val="en-US"/>
        </w:rPr>
        <w:t>, 2020)</w:t>
      </w:r>
      <w:r w:rsidRPr="00F64B00">
        <w:rPr>
          <w:rFonts w:ascii="Arial" w:hAnsi="Arial" w:cs="Arial"/>
          <w:lang w:val="en-US"/>
        </w:rPr>
        <w:t xml:space="preserve">. </w:t>
      </w:r>
      <w:r w:rsidR="001441D1">
        <w:rPr>
          <w:rFonts w:ascii="Arial" w:hAnsi="Arial" w:cs="Arial"/>
          <w:lang w:val="en-US"/>
        </w:rPr>
        <w:t>E</w:t>
      </w:r>
      <w:r w:rsidRPr="00F64B00">
        <w:rPr>
          <w:rFonts w:ascii="Arial" w:hAnsi="Arial" w:cs="Arial"/>
          <w:lang w:val="en-US"/>
        </w:rPr>
        <w:t xml:space="preserve">ments </w:t>
      </w:r>
      <w:r w:rsidR="001441D1">
        <w:rPr>
          <w:rFonts w:ascii="Arial" w:hAnsi="Arial" w:cs="Arial"/>
          <w:lang w:val="en-US"/>
        </w:rPr>
        <w:t xml:space="preserve">like </w:t>
      </w:r>
      <w:r w:rsidRPr="00F64B00">
        <w:rPr>
          <w:rFonts w:ascii="Arial" w:hAnsi="Arial" w:cs="Arial"/>
          <w:lang w:val="en-US"/>
        </w:rPr>
        <w:t>fiscal robustness empower</w:t>
      </w:r>
      <w:r w:rsidR="001441D1">
        <w:rPr>
          <w:rFonts w:ascii="Arial" w:hAnsi="Arial" w:cs="Arial"/>
          <w:lang w:val="en-US"/>
        </w:rPr>
        <w:t>s</w:t>
      </w:r>
      <w:r w:rsidRPr="00F64B00">
        <w:rPr>
          <w:rFonts w:ascii="Arial" w:hAnsi="Arial" w:cs="Arial"/>
          <w:lang w:val="en-US"/>
        </w:rPr>
        <w:t xml:space="preserve"> the enterprise to foster investments in extended reach, property refurbishments, and innovative ventures with unyielding conviction</w:t>
      </w:r>
      <w:r w:rsidR="001441D1">
        <w:rPr>
          <w:rFonts w:ascii="Arial" w:hAnsi="Arial" w:cs="Arial"/>
          <w:lang w:val="en-US"/>
        </w:rPr>
        <w:t xml:space="preserve"> (Bachmann et al, 2021)</w:t>
      </w:r>
      <w:r w:rsidRPr="00F64B00">
        <w:rPr>
          <w:rFonts w:ascii="Arial" w:hAnsi="Arial" w:cs="Arial"/>
          <w:lang w:val="en-US"/>
        </w:rPr>
        <w:t>.</w:t>
      </w:r>
    </w:p>
    <w:p w14:paraId="588C9479" w14:textId="5884B794" w:rsidR="002720D7" w:rsidRPr="00F64B00" w:rsidRDefault="00431B7E" w:rsidP="002720D7">
      <w:pPr>
        <w:pStyle w:val="Heading2"/>
        <w:rPr>
          <w:rFonts w:ascii="Arial" w:hAnsi="Arial" w:cs="Arial"/>
        </w:rPr>
      </w:pPr>
      <w:bookmarkStart w:id="7" w:name="_Toc150110029"/>
      <w:r w:rsidRPr="00F64B00">
        <w:rPr>
          <w:rFonts w:ascii="Arial" w:hAnsi="Arial" w:cs="Arial"/>
        </w:rPr>
        <w:t xml:space="preserve">4.2 </w:t>
      </w:r>
      <w:r w:rsidR="002720D7" w:rsidRPr="00F64B00">
        <w:rPr>
          <w:rFonts w:ascii="Arial" w:hAnsi="Arial" w:cs="Arial"/>
        </w:rPr>
        <w:t>Operational Metrics</w:t>
      </w:r>
      <w:bookmarkEnd w:id="7"/>
    </w:p>
    <w:p w14:paraId="2302F481" w14:textId="6C3132CB" w:rsidR="002720D7" w:rsidRPr="00F64B00" w:rsidRDefault="00747BD4" w:rsidP="002720D7">
      <w:pPr>
        <w:rPr>
          <w:rFonts w:ascii="Arial" w:hAnsi="Arial" w:cs="Arial"/>
          <w:lang w:val="en-US"/>
        </w:rPr>
      </w:pPr>
      <w:r w:rsidRPr="00F64B00">
        <w:rPr>
          <w:rFonts w:ascii="Arial" w:hAnsi="Arial" w:cs="Arial"/>
          <w:lang w:val="en-US"/>
        </w:rPr>
        <w:t xml:space="preserve"> Hilton Group's prowess in operations becomes self-evident when examining pivotal operational metrics. Delving into parameters like occupancy rates, average daily rates, and RevPAR unveils invaluable insights into the efficiency and efficacy of its daily operations,</w:t>
      </w:r>
      <w:r w:rsidR="001441D1">
        <w:rPr>
          <w:rFonts w:ascii="Arial" w:hAnsi="Arial" w:cs="Arial"/>
          <w:lang w:val="en-US"/>
        </w:rPr>
        <w:t xml:space="preserve"> showcased </w:t>
      </w:r>
      <w:r w:rsidRPr="00F64B00">
        <w:rPr>
          <w:rFonts w:ascii="Arial" w:hAnsi="Arial" w:cs="Arial"/>
          <w:lang w:val="en-US"/>
        </w:rPr>
        <w:t>unwavering capacity to allure and retain guests while furnishing a superlative experience that, in turn, engenders robust revenue generation</w:t>
      </w:r>
      <w:r w:rsidR="001441D1">
        <w:rPr>
          <w:rFonts w:ascii="Arial" w:hAnsi="Arial" w:cs="Arial"/>
          <w:lang w:val="en-US"/>
        </w:rPr>
        <w:t xml:space="preserve"> (</w:t>
      </w:r>
      <w:proofErr w:type="spellStart"/>
      <w:r w:rsidR="001441D1">
        <w:rPr>
          <w:rFonts w:ascii="Arial" w:hAnsi="Arial" w:cs="Arial"/>
          <w:lang w:val="en-US"/>
        </w:rPr>
        <w:t>Hnoievyi</w:t>
      </w:r>
      <w:proofErr w:type="spellEnd"/>
      <w:r w:rsidR="001441D1">
        <w:rPr>
          <w:rFonts w:ascii="Arial" w:hAnsi="Arial" w:cs="Arial"/>
          <w:lang w:val="en-US"/>
        </w:rPr>
        <w:t xml:space="preserve"> et al, 2022)</w:t>
      </w:r>
      <w:r w:rsidRPr="00F64B00">
        <w:rPr>
          <w:rFonts w:ascii="Arial" w:hAnsi="Arial" w:cs="Arial"/>
          <w:lang w:val="en-US"/>
        </w:rPr>
        <w:t>.</w:t>
      </w:r>
    </w:p>
    <w:p w14:paraId="436ABB53" w14:textId="0C41EAFE" w:rsidR="002720D7" w:rsidRPr="00F64B00" w:rsidRDefault="00431B7E" w:rsidP="002720D7">
      <w:pPr>
        <w:pStyle w:val="Heading2"/>
        <w:rPr>
          <w:rFonts w:ascii="Arial" w:hAnsi="Arial" w:cs="Arial"/>
        </w:rPr>
      </w:pPr>
      <w:bookmarkStart w:id="8" w:name="_Toc150110030"/>
      <w:r w:rsidRPr="00F64B00">
        <w:rPr>
          <w:rFonts w:ascii="Arial" w:hAnsi="Arial" w:cs="Arial"/>
        </w:rPr>
        <w:t xml:space="preserve">4.3 </w:t>
      </w:r>
      <w:r w:rsidR="002720D7" w:rsidRPr="00F64B00">
        <w:rPr>
          <w:rFonts w:ascii="Arial" w:hAnsi="Arial" w:cs="Arial"/>
        </w:rPr>
        <w:t>Benchmarking and Industry Position</w:t>
      </w:r>
      <w:bookmarkEnd w:id="8"/>
    </w:p>
    <w:p w14:paraId="313A39EE" w14:textId="68123D4E" w:rsidR="002720D7" w:rsidRPr="00F64B00" w:rsidRDefault="00747BD4" w:rsidP="002720D7">
      <w:pPr>
        <w:rPr>
          <w:rFonts w:ascii="Arial" w:hAnsi="Arial" w:cs="Arial"/>
          <w:lang w:val="en-US"/>
        </w:rPr>
      </w:pPr>
      <w:r w:rsidRPr="00F64B00">
        <w:rPr>
          <w:rFonts w:ascii="Arial" w:hAnsi="Arial" w:cs="Arial"/>
          <w:lang w:val="en-US"/>
        </w:rPr>
        <w:t xml:space="preserve"> In order to furnish a precise evaluation of Hilton Group's performance, it becomes imperative to undertake an industry benchmarking exercise and scrutinize its competitive position meticulously. This encompasses a comprehensive analysis of its financial and operational indicators when juxtaposed with those of its industrial contemporaries, as well as an all-encompassing scrutiny of its market presence across diverse industry sectors</w:t>
      </w:r>
      <w:r w:rsidR="001441D1">
        <w:rPr>
          <w:rFonts w:ascii="Arial" w:hAnsi="Arial" w:cs="Arial"/>
          <w:lang w:val="en-US"/>
        </w:rPr>
        <w:t xml:space="preserve"> (</w:t>
      </w:r>
      <w:proofErr w:type="spellStart"/>
      <w:r w:rsidR="001441D1">
        <w:rPr>
          <w:rFonts w:ascii="Arial" w:hAnsi="Arial" w:cs="Arial"/>
          <w:lang w:val="en-US"/>
        </w:rPr>
        <w:t>Zadneprevskaya</w:t>
      </w:r>
      <w:proofErr w:type="spellEnd"/>
      <w:r w:rsidR="001441D1">
        <w:rPr>
          <w:rFonts w:ascii="Arial" w:hAnsi="Arial" w:cs="Arial"/>
          <w:lang w:val="en-US"/>
        </w:rPr>
        <w:t xml:space="preserve"> et al, 2021)</w:t>
      </w:r>
      <w:r w:rsidRPr="00F64B00">
        <w:rPr>
          <w:rFonts w:ascii="Arial" w:hAnsi="Arial" w:cs="Arial"/>
          <w:lang w:val="en-US"/>
        </w:rPr>
        <w:t>.</w:t>
      </w:r>
    </w:p>
    <w:p w14:paraId="21CD2479" w14:textId="4675730B" w:rsidR="002720D7" w:rsidRPr="00F64B00" w:rsidRDefault="00431B7E" w:rsidP="002720D7">
      <w:pPr>
        <w:pStyle w:val="Heading2"/>
        <w:rPr>
          <w:rFonts w:ascii="Arial" w:hAnsi="Arial" w:cs="Arial"/>
        </w:rPr>
      </w:pPr>
      <w:bookmarkStart w:id="9" w:name="_Toc150110031"/>
      <w:r w:rsidRPr="00F64B00">
        <w:rPr>
          <w:rFonts w:ascii="Arial" w:hAnsi="Arial" w:cs="Arial"/>
        </w:rPr>
        <w:t xml:space="preserve">4.4 </w:t>
      </w:r>
      <w:r w:rsidR="002720D7" w:rsidRPr="00F64B00">
        <w:rPr>
          <w:rFonts w:ascii="Arial" w:hAnsi="Arial" w:cs="Arial"/>
        </w:rPr>
        <w:t>Challenges and Opportunities</w:t>
      </w:r>
      <w:bookmarkEnd w:id="9"/>
    </w:p>
    <w:p w14:paraId="30920B82" w14:textId="298BE5C0" w:rsidR="00431B7E" w:rsidRPr="00F64B00" w:rsidRDefault="00747BD4" w:rsidP="00CC4D0B">
      <w:pPr>
        <w:rPr>
          <w:rFonts w:ascii="Arial" w:hAnsi="Arial" w:cs="Arial"/>
          <w:lang w:val="en-US"/>
        </w:rPr>
      </w:pPr>
      <w:r w:rsidRPr="00F64B00">
        <w:rPr>
          <w:rFonts w:ascii="Arial" w:hAnsi="Arial" w:cs="Arial"/>
          <w:lang w:val="en-US"/>
        </w:rPr>
        <w:t xml:space="preserve"> Through a labyrinth of trials, encompassing external obstacles like economic downturns and fluctuations in consumer preferences, as well as internal struggles like talent retention, Hilton Group is deftly navigated. In parallel, opportunities within burgeoning markets, sustainable endeavors, and dynamic shifts in travel patterns are seized to fortify brand and market presence</w:t>
      </w:r>
      <w:r w:rsidR="00CC4D0B">
        <w:rPr>
          <w:rFonts w:ascii="Arial" w:hAnsi="Arial" w:cs="Arial"/>
          <w:lang w:val="en-US"/>
        </w:rPr>
        <w:t xml:space="preserve"> (</w:t>
      </w:r>
      <w:proofErr w:type="spellStart"/>
      <w:r w:rsidR="00CC4D0B">
        <w:rPr>
          <w:rFonts w:ascii="Arial" w:hAnsi="Arial" w:cs="Arial"/>
          <w:lang w:val="en-US"/>
        </w:rPr>
        <w:t>Chvrollier</w:t>
      </w:r>
      <w:proofErr w:type="spellEnd"/>
      <w:r w:rsidR="00CC4D0B">
        <w:rPr>
          <w:rFonts w:ascii="Arial" w:hAnsi="Arial" w:cs="Arial"/>
          <w:lang w:val="en-US"/>
        </w:rPr>
        <w:t xml:space="preserve"> and </w:t>
      </w:r>
      <w:proofErr w:type="spellStart"/>
      <w:r w:rsidR="00CC4D0B">
        <w:rPr>
          <w:rFonts w:ascii="Arial" w:hAnsi="Arial" w:cs="Arial"/>
          <w:lang w:val="en-US"/>
        </w:rPr>
        <w:t>Kuijf</w:t>
      </w:r>
      <w:proofErr w:type="spellEnd"/>
      <w:r w:rsidR="00CC4D0B">
        <w:rPr>
          <w:rFonts w:ascii="Arial" w:hAnsi="Arial" w:cs="Arial"/>
          <w:lang w:val="en-US"/>
        </w:rPr>
        <w:t>, 2021)</w:t>
      </w:r>
      <w:r w:rsidRPr="00F64B00">
        <w:rPr>
          <w:rFonts w:ascii="Arial" w:hAnsi="Arial" w:cs="Arial"/>
          <w:lang w:val="en-US"/>
        </w:rPr>
        <w:t>.</w:t>
      </w:r>
    </w:p>
    <w:p w14:paraId="5A08CB78" w14:textId="22866309" w:rsidR="002720D7" w:rsidRPr="00F64B00" w:rsidRDefault="00431B7E" w:rsidP="00431B7E">
      <w:pPr>
        <w:pStyle w:val="Heading1"/>
        <w:rPr>
          <w:rFonts w:ascii="Arial" w:hAnsi="Arial" w:cs="Arial"/>
          <w:lang w:val="en-US"/>
        </w:rPr>
      </w:pPr>
      <w:bookmarkStart w:id="10" w:name="_Toc150110032"/>
      <w:r w:rsidRPr="00F64B00">
        <w:rPr>
          <w:rFonts w:ascii="Arial" w:hAnsi="Arial" w:cs="Arial"/>
          <w:lang w:val="en-US"/>
        </w:rPr>
        <w:lastRenderedPageBreak/>
        <w:t>5</w:t>
      </w:r>
      <w:r w:rsidR="00F64B00">
        <w:rPr>
          <w:rFonts w:ascii="Arial" w:hAnsi="Arial" w:cs="Arial"/>
          <w:lang w:val="en-US"/>
        </w:rPr>
        <w:t xml:space="preserve">. </w:t>
      </w:r>
      <w:r w:rsidRPr="00F64B00">
        <w:rPr>
          <w:rFonts w:ascii="Arial" w:hAnsi="Arial" w:cs="Arial"/>
          <w:lang w:val="en-US"/>
        </w:rPr>
        <w:t>Key Theories and Framework</w:t>
      </w:r>
      <w:bookmarkEnd w:id="10"/>
    </w:p>
    <w:p w14:paraId="79670E71" w14:textId="27EEDF7A" w:rsidR="00431B7E" w:rsidRPr="00F64B00" w:rsidRDefault="00431B7E" w:rsidP="00431B7E">
      <w:pPr>
        <w:pStyle w:val="Heading2"/>
        <w:rPr>
          <w:rFonts w:ascii="Arial" w:hAnsi="Arial" w:cs="Arial"/>
        </w:rPr>
      </w:pPr>
      <w:bookmarkStart w:id="11" w:name="_Toc150110033"/>
      <w:r w:rsidRPr="00F64B00">
        <w:rPr>
          <w:rFonts w:ascii="Arial" w:hAnsi="Arial" w:cs="Arial"/>
        </w:rPr>
        <w:t>5.1 Contingency Theory</w:t>
      </w:r>
      <w:bookmarkEnd w:id="11"/>
    </w:p>
    <w:p w14:paraId="01A20D6D" w14:textId="77E94474" w:rsidR="00431B7E" w:rsidRPr="00F64B00" w:rsidRDefault="00747BD4" w:rsidP="00431B7E">
      <w:pPr>
        <w:rPr>
          <w:rFonts w:ascii="Arial" w:hAnsi="Arial" w:cs="Arial"/>
          <w:lang w:val="en-US"/>
        </w:rPr>
      </w:pPr>
      <w:r w:rsidRPr="00F64B00">
        <w:rPr>
          <w:rFonts w:ascii="Arial" w:hAnsi="Arial" w:cs="Arial"/>
          <w:lang w:val="en-US"/>
        </w:rPr>
        <w:t xml:space="preserve"> The Hilton Group, underpinned by the foundational tenets of Contingency theory, aptly acknowledges the intrinsic absence of a universally applicable management paradigm. It keenly grasps that the efficacy of management strategies must hinge on an array of multifaceted factors, including the organization's dimensions, configuration, and the ever-evolving external landscape. By meticulously harmonizing its management methodologies with the precise exigencies of each unique situation, its operational prowess across a kaleidoscope of properties and markets</w:t>
      </w:r>
      <w:r w:rsidR="001441D1">
        <w:rPr>
          <w:rFonts w:ascii="Arial" w:hAnsi="Arial" w:cs="Arial"/>
          <w:lang w:val="en-US"/>
        </w:rPr>
        <w:t xml:space="preserve"> has been astutely fine-tuned (Lester, 2018).</w:t>
      </w:r>
    </w:p>
    <w:p w14:paraId="40E9B230" w14:textId="7806408D" w:rsidR="00431B7E" w:rsidRPr="00F64B00" w:rsidRDefault="00431B7E" w:rsidP="00431B7E">
      <w:pPr>
        <w:pStyle w:val="Heading2"/>
        <w:rPr>
          <w:rFonts w:ascii="Arial" w:hAnsi="Arial" w:cs="Arial"/>
        </w:rPr>
      </w:pPr>
      <w:bookmarkStart w:id="12" w:name="_Toc150110034"/>
      <w:r w:rsidRPr="00F64B00">
        <w:rPr>
          <w:rFonts w:ascii="Arial" w:hAnsi="Arial" w:cs="Arial"/>
        </w:rPr>
        <w:t>5.2 Servant Leadership Theory</w:t>
      </w:r>
      <w:bookmarkEnd w:id="12"/>
    </w:p>
    <w:p w14:paraId="6065BFFE" w14:textId="68150EF8" w:rsidR="00431B7E" w:rsidRPr="00F64B00" w:rsidRDefault="00747BD4" w:rsidP="00431B7E">
      <w:pPr>
        <w:rPr>
          <w:rFonts w:ascii="Arial" w:hAnsi="Arial" w:cs="Arial"/>
          <w:lang w:val="en-US"/>
        </w:rPr>
      </w:pPr>
      <w:r w:rsidRPr="00F64B00">
        <w:rPr>
          <w:rFonts w:ascii="Arial" w:hAnsi="Arial" w:cs="Arial"/>
          <w:lang w:val="en-US"/>
        </w:rPr>
        <w:t xml:space="preserve"> Fundamental to Hilton's guiding principles is the philosophy of servant leadership. This doctrine places the wellbeing of team members at its core, advocating that leaders should act as humble servants, providing unwavering support to their teams to achieve peak performance. By wholeheartedly embracing this philosophy, a culture of empowerment and mutual esteem, thereby enhancing the overall guest experience</w:t>
      </w:r>
      <w:r w:rsidR="001441D1">
        <w:rPr>
          <w:rFonts w:ascii="Arial" w:hAnsi="Arial" w:cs="Arial"/>
          <w:lang w:val="en-US"/>
        </w:rPr>
        <w:t xml:space="preserve"> has been cultivated (Ma et al, 2021). </w:t>
      </w:r>
    </w:p>
    <w:p w14:paraId="3A834F70" w14:textId="64B5DEE9" w:rsidR="00431B7E" w:rsidRPr="00F64B00" w:rsidRDefault="00431B7E" w:rsidP="00431B7E">
      <w:pPr>
        <w:pStyle w:val="Heading2"/>
        <w:rPr>
          <w:rFonts w:ascii="Arial" w:hAnsi="Arial" w:cs="Arial"/>
        </w:rPr>
      </w:pPr>
      <w:bookmarkStart w:id="13" w:name="_Toc150110035"/>
      <w:r w:rsidRPr="00F64B00">
        <w:rPr>
          <w:rFonts w:ascii="Arial" w:hAnsi="Arial" w:cs="Arial"/>
        </w:rPr>
        <w:t>5.3 Resource-Based View (RBV) Theory</w:t>
      </w:r>
      <w:bookmarkEnd w:id="13"/>
    </w:p>
    <w:p w14:paraId="5A8B3F32" w14:textId="23C11DF8" w:rsidR="00431B7E" w:rsidRPr="00F64B00" w:rsidRDefault="00747BD4" w:rsidP="00431B7E">
      <w:pPr>
        <w:rPr>
          <w:rFonts w:ascii="Arial" w:hAnsi="Arial" w:cs="Arial"/>
          <w:lang w:val="en-US"/>
        </w:rPr>
      </w:pPr>
      <w:r w:rsidRPr="00F64B00">
        <w:rPr>
          <w:rFonts w:ascii="Arial" w:hAnsi="Arial" w:cs="Arial"/>
          <w:lang w:val="en-US"/>
        </w:rPr>
        <w:t>The RBV theory postulates that a firm's competitive advantage emanates from its distinct and precious assets. Hilton Group, with a well-thought-out strategy, harnesses its expansive collection of properties, worldwide brand recognition, and loyalty programs as invaluable resources that bestow a durable competitive edge within the hospitality sector. Th</w:t>
      </w:r>
      <w:r w:rsidR="00CC4D0B">
        <w:rPr>
          <w:rFonts w:ascii="Arial" w:hAnsi="Arial" w:cs="Arial"/>
          <w:lang w:val="en-US"/>
        </w:rPr>
        <w:t>e</w:t>
      </w:r>
      <w:r w:rsidRPr="00F64B00">
        <w:rPr>
          <w:rFonts w:ascii="Arial" w:hAnsi="Arial" w:cs="Arial"/>
          <w:lang w:val="en-US"/>
        </w:rPr>
        <w:t xml:space="preserve"> strategic approach consistently empower</w:t>
      </w:r>
      <w:r w:rsidR="00CC4D0B">
        <w:rPr>
          <w:rFonts w:ascii="Arial" w:hAnsi="Arial" w:cs="Arial"/>
          <w:lang w:val="en-US"/>
        </w:rPr>
        <w:t>ed</w:t>
      </w:r>
      <w:r w:rsidRPr="00F64B00">
        <w:rPr>
          <w:rFonts w:ascii="Arial" w:hAnsi="Arial" w:cs="Arial"/>
          <w:lang w:val="en-US"/>
        </w:rPr>
        <w:t xml:space="preserve"> </w:t>
      </w:r>
      <w:r w:rsidR="00CC4D0B">
        <w:rPr>
          <w:rFonts w:ascii="Arial" w:hAnsi="Arial" w:cs="Arial"/>
          <w:lang w:val="en-US"/>
        </w:rPr>
        <w:t>firms</w:t>
      </w:r>
      <w:r w:rsidRPr="00F64B00">
        <w:rPr>
          <w:rFonts w:ascii="Arial" w:hAnsi="Arial" w:cs="Arial"/>
          <w:lang w:val="en-US"/>
        </w:rPr>
        <w:t xml:space="preserve"> to deliver exceptional service and guest experiences</w:t>
      </w:r>
      <w:r w:rsidR="00CC4D0B">
        <w:rPr>
          <w:rFonts w:ascii="Arial" w:hAnsi="Arial" w:cs="Arial"/>
          <w:lang w:val="en-US"/>
        </w:rPr>
        <w:t xml:space="preserve"> (Sipe, 2018)</w:t>
      </w:r>
      <w:r w:rsidRPr="00F64B00">
        <w:rPr>
          <w:rFonts w:ascii="Arial" w:hAnsi="Arial" w:cs="Arial"/>
          <w:lang w:val="en-US"/>
        </w:rPr>
        <w:t>.</w:t>
      </w:r>
    </w:p>
    <w:p w14:paraId="56CCC0D0" w14:textId="61072C7F" w:rsidR="00431B7E" w:rsidRPr="00F64B00" w:rsidRDefault="00431B7E" w:rsidP="00431B7E">
      <w:pPr>
        <w:rPr>
          <w:rFonts w:ascii="Arial" w:hAnsi="Arial" w:cs="Arial"/>
        </w:rPr>
      </w:pPr>
    </w:p>
    <w:p w14:paraId="4020DA5F" w14:textId="7F6A4A11" w:rsidR="002720D7" w:rsidRPr="002720D7" w:rsidRDefault="00431B7E" w:rsidP="00431B7E">
      <w:pPr>
        <w:spacing w:line="259" w:lineRule="auto"/>
        <w:jc w:val="left"/>
        <w:rPr>
          <w:rFonts w:ascii="Arial" w:hAnsi="Arial" w:cs="Arial"/>
        </w:rPr>
      </w:pPr>
      <w:r w:rsidRPr="00F64B00">
        <w:rPr>
          <w:rFonts w:ascii="Arial" w:hAnsi="Arial" w:cs="Arial"/>
        </w:rPr>
        <w:br w:type="page"/>
      </w:r>
    </w:p>
    <w:p w14:paraId="0C5D1297" w14:textId="61773D90" w:rsidR="001834FC" w:rsidRPr="00F64B00" w:rsidRDefault="001834FC" w:rsidP="001834FC">
      <w:pPr>
        <w:pStyle w:val="Heading1"/>
        <w:rPr>
          <w:rFonts w:ascii="Arial" w:hAnsi="Arial" w:cs="Arial"/>
        </w:rPr>
      </w:pPr>
      <w:bookmarkStart w:id="14" w:name="_Toc150110036"/>
      <w:r w:rsidRPr="00F64B00">
        <w:rPr>
          <w:rFonts w:ascii="Arial" w:hAnsi="Arial" w:cs="Arial"/>
        </w:rPr>
        <w:lastRenderedPageBreak/>
        <w:t>Conclusion</w:t>
      </w:r>
      <w:bookmarkEnd w:id="14"/>
      <w:r w:rsidRPr="00F64B00">
        <w:rPr>
          <w:rFonts w:ascii="Arial" w:hAnsi="Arial" w:cs="Arial"/>
        </w:rPr>
        <w:t xml:space="preserve"> </w:t>
      </w:r>
    </w:p>
    <w:p w14:paraId="3681A04B" w14:textId="07034D02" w:rsidR="001834FC" w:rsidRPr="00F64B00" w:rsidRDefault="00F64B00">
      <w:pPr>
        <w:rPr>
          <w:rFonts w:ascii="Arial" w:hAnsi="Arial" w:cs="Arial"/>
        </w:rPr>
      </w:pPr>
      <w:r w:rsidRPr="00F64B00">
        <w:rPr>
          <w:rFonts w:ascii="Arial" w:hAnsi="Arial" w:cs="Arial"/>
        </w:rPr>
        <w:t xml:space="preserve"> In closing, the Hilton Group's audit underscores its unswerving commitment to achieving excellence in the ever-fluctuating global hospitality industry. The meticulously structured organizational hierarchy and the fully encompassing corporate culture at Hilton enable the delivery of sincere and heartfelt hospitality. The adept execution of recent transformative initiatives and the seamless alignment with contemporary industry dynamics provide compelling evidence of Hilton's adaptability and relevance. With a proactive approach to challenges and an unyielding dedication to pioneering innovations, Hilton is well-positioned to maintain its position as a pioneer, setting peerless standards and crafting exceptional guest experiences in the constantly evolving landscape of hospitality.</w:t>
      </w:r>
      <w:r w:rsidR="001834FC" w:rsidRPr="00F64B00">
        <w:rPr>
          <w:rFonts w:ascii="Arial" w:hAnsi="Arial" w:cs="Arial"/>
        </w:rPr>
        <w:br w:type="page"/>
      </w:r>
    </w:p>
    <w:p w14:paraId="17598CB2" w14:textId="61EB02A2" w:rsidR="001834FC" w:rsidRPr="00F64B00" w:rsidRDefault="001834FC" w:rsidP="001834FC">
      <w:pPr>
        <w:pStyle w:val="Heading1"/>
        <w:rPr>
          <w:rFonts w:ascii="Arial" w:hAnsi="Arial" w:cs="Arial"/>
        </w:rPr>
      </w:pPr>
      <w:bookmarkStart w:id="15" w:name="_Toc150110037"/>
      <w:r w:rsidRPr="00F64B00">
        <w:rPr>
          <w:rFonts w:ascii="Arial" w:hAnsi="Arial" w:cs="Arial"/>
        </w:rPr>
        <w:lastRenderedPageBreak/>
        <w:t>Reference</w:t>
      </w:r>
      <w:bookmarkEnd w:id="15"/>
      <w:r w:rsidRPr="00F64B00">
        <w:rPr>
          <w:rFonts w:ascii="Arial" w:hAnsi="Arial" w:cs="Arial"/>
        </w:rPr>
        <w:t xml:space="preserve"> </w:t>
      </w:r>
    </w:p>
    <w:bookmarkEnd w:id="0"/>
    <w:p w14:paraId="0FD0F3B8" w14:textId="6DDB25B5" w:rsidR="000F02BF" w:rsidRDefault="00D71E2E" w:rsidP="000F02BF">
      <w:pPr>
        <w:rPr>
          <w:rFonts w:ascii="Arial" w:hAnsi="Arial" w:cs="Arial"/>
        </w:rPr>
      </w:pPr>
      <w:r w:rsidRPr="00D71E2E">
        <w:rPr>
          <w:rFonts w:ascii="Arial" w:hAnsi="Arial" w:cs="Arial"/>
        </w:rPr>
        <w:t xml:space="preserve">Kostin, K., 2018. Assessment of Hospitality Industry Evolution and Development in the Russian Federation. , 2018, pp. 1-17. </w:t>
      </w:r>
      <w:hyperlink r:id="rId9" w:history="1">
        <w:r w:rsidRPr="00B173F1">
          <w:rPr>
            <w:rStyle w:val="Hyperlink"/>
            <w:rFonts w:ascii="Arial" w:hAnsi="Arial" w:cs="Arial"/>
          </w:rPr>
          <w:t>https://doi.org/10.5171/2018.471337</w:t>
        </w:r>
      </w:hyperlink>
      <w:r w:rsidRPr="00D71E2E">
        <w:rPr>
          <w:rFonts w:ascii="Arial" w:hAnsi="Arial" w:cs="Arial"/>
        </w:rPr>
        <w:t>.</w:t>
      </w:r>
    </w:p>
    <w:p w14:paraId="66403D77" w14:textId="37ED855A" w:rsidR="00D71E2E" w:rsidRDefault="00D71E2E" w:rsidP="000F02BF">
      <w:pPr>
        <w:rPr>
          <w:rFonts w:ascii="Arial" w:hAnsi="Arial" w:cs="Arial"/>
        </w:rPr>
      </w:pPr>
      <w:r w:rsidRPr="00D71E2E">
        <w:rPr>
          <w:rFonts w:ascii="Arial" w:hAnsi="Arial" w:cs="Arial"/>
        </w:rPr>
        <w:t xml:space="preserve">Zeng, L., 2021. Analysis of Hilton Worldwide Hotel Group’s Transnational Operation Strategy. Academic Journal of Business &amp; Management. </w:t>
      </w:r>
      <w:hyperlink r:id="rId10" w:history="1">
        <w:r w:rsidRPr="00B173F1">
          <w:rPr>
            <w:rStyle w:val="Hyperlink"/>
            <w:rFonts w:ascii="Arial" w:hAnsi="Arial" w:cs="Arial"/>
          </w:rPr>
          <w:t>https://doi.org/10.25236/ajbm.2021.031104</w:t>
        </w:r>
      </w:hyperlink>
      <w:r w:rsidRPr="00D71E2E">
        <w:rPr>
          <w:rFonts w:ascii="Arial" w:hAnsi="Arial" w:cs="Arial"/>
        </w:rPr>
        <w:t>.</w:t>
      </w:r>
    </w:p>
    <w:p w14:paraId="2499E1C6" w14:textId="7661A938" w:rsidR="00D71E2E" w:rsidRDefault="008A3292" w:rsidP="000F02BF">
      <w:pPr>
        <w:rPr>
          <w:rFonts w:ascii="Arial" w:hAnsi="Arial" w:cs="Arial"/>
        </w:rPr>
      </w:pPr>
      <w:r w:rsidRPr="008A3292">
        <w:rPr>
          <w:rFonts w:ascii="Arial" w:hAnsi="Arial" w:cs="Arial"/>
        </w:rPr>
        <w:t xml:space="preserve">Lambin, J., 2020. Global Corporate Accountability. </w:t>
      </w:r>
      <w:proofErr w:type="spellStart"/>
      <w:r w:rsidRPr="008A3292">
        <w:rPr>
          <w:rFonts w:ascii="Arial" w:hAnsi="Arial" w:cs="Arial"/>
        </w:rPr>
        <w:t>Symphonya</w:t>
      </w:r>
      <w:proofErr w:type="spellEnd"/>
      <w:r w:rsidRPr="008A3292">
        <w:rPr>
          <w:rFonts w:ascii="Arial" w:hAnsi="Arial" w:cs="Arial"/>
        </w:rPr>
        <w:t xml:space="preserve">. Emerging Issues in Management. </w:t>
      </w:r>
      <w:hyperlink r:id="rId11" w:history="1">
        <w:r w:rsidRPr="00B173F1">
          <w:rPr>
            <w:rStyle w:val="Hyperlink"/>
            <w:rFonts w:ascii="Arial" w:hAnsi="Arial" w:cs="Arial"/>
          </w:rPr>
          <w:t>https://doi.org/10.4468/2020.1.04lambin</w:t>
        </w:r>
      </w:hyperlink>
      <w:r w:rsidRPr="008A3292">
        <w:rPr>
          <w:rFonts w:ascii="Arial" w:hAnsi="Arial" w:cs="Arial"/>
        </w:rPr>
        <w:t>.</w:t>
      </w:r>
    </w:p>
    <w:p w14:paraId="367DF916" w14:textId="4FDB08D9" w:rsidR="008A3292" w:rsidRDefault="008A3292" w:rsidP="000F02BF">
      <w:pPr>
        <w:rPr>
          <w:rFonts w:ascii="Arial" w:hAnsi="Arial" w:cs="Arial"/>
        </w:rPr>
      </w:pPr>
      <w:proofErr w:type="spellStart"/>
      <w:r w:rsidRPr="008A3292">
        <w:rPr>
          <w:rFonts w:ascii="Arial" w:hAnsi="Arial" w:cs="Arial"/>
        </w:rPr>
        <w:t>Widiana</w:t>
      </w:r>
      <w:proofErr w:type="spellEnd"/>
      <w:r w:rsidRPr="008A3292">
        <w:rPr>
          <w:rFonts w:ascii="Arial" w:hAnsi="Arial" w:cs="Arial"/>
        </w:rPr>
        <w:t xml:space="preserve">, A., 2019. Book Review: Indonesia’s Digital-Based Economic Transformation: The Emergence of New Technological, Business, Economic, and Policy Trends in Indonesia. Economics and Finance in Indonesia. </w:t>
      </w:r>
      <w:hyperlink r:id="rId12" w:history="1">
        <w:r w:rsidRPr="00B173F1">
          <w:rPr>
            <w:rStyle w:val="Hyperlink"/>
            <w:rFonts w:ascii="Arial" w:hAnsi="Arial" w:cs="Arial"/>
          </w:rPr>
          <w:t>https://doi.org/10.47291/efi.v65i2.695</w:t>
        </w:r>
      </w:hyperlink>
      <w:r w:rsidRPr="008A3292">
        <w:rPr>
          <w:rFonts w:ascii="Arial" w:hAnsi="Arial" w:cs="Arial"/>
        </w:rPr>
        <w:t>.</w:t>
      </w:r>
    </w:p>
    <w:p w14:paraId="60C627AC" w14:textId="520C417B" w:rsidR="008A3292" w:rsidRDefault="008A3292" w:rsidP="000F02BF">
      <w:pPr>
        <w:rPr>
          <w:rFonts w:ascii="Arial" w:hAnsi="Arial" w:cs="Arial"/>
        </w:rPr>
      </w:pPr>
      <w:r w:rsidRPr="008A3292">
        <w:rPr>
          <w:rFonts w:ascii="Arial" w:hAnsi="Arial" w:cs="Arial"/>
        </w:rPr>
        <w:t xml:space="preserve">Mankowitz, S., 2018. 4.6 Change Management. , pp. 253-261. </w:t>
      </w:r>
      <w:hyperlink r:id="rId13" w:history="1">
        <w:r w:rsidRPr="00B173F1">
          <w:rPr>
            <w:rStyle w:val="Hyperlink"/>
            <w:rFonts w:ascii="Arial" w:hAnsi="Arial" w:cs="Arial"/>
          </w:rPr>
          <w:t>https://doi.org/10.1007/978-3-319-63766-2_16</w:t>
        </w:r>
      </w:hyperlink>
      <w:r w:rsidRPr="008A3292">
        <w:rPr>
          <w:rFonts w:ascii="Arial" w:hAnsi="Arial" w:cs="Arial"/>
        </w:rPr>
        <w:t>.</w:t>
      </w:r>
    </w:p>
    <w:p w14:paraId="664BACDB" w14:textId="2F46377F" w:rsidR="008A3292" w:rsidRDefault="008A3292" w:rsidP="000F02BF">
      <w:pPr>
        <w:rPr>
          <w:rFonts w:ascii="Arial" w:hAnsi="Arial" w:cs="Arial"/>
        </w:rPr>
      </w:pPr>
      <w:proofErr w:type="spellStart"/>
      <w:r w:rsidRPr="008A3292">
        <w:rPr>
          <w:rFonts w:ascii="Arial" w:hAnsi="Arial" w:cs="Arial"/>
        </w:rPr>
        <w:t>Atutxa</w:t>
      </w:r>
      <w:proofErr w:type="spellEnd"/>
      <w:r w:rsidRPr="008A3292">
        <w:rPr>
          <w:rFonts w:ascii="Arial" w:hAnsi="Arial" w:cs="Arial"/>
        </w:rPr>
        <w:t xml:space="preserve">, E., </w:t>
      </w:r>
      <w:proofErr w:type="spellStart"/>
      <w:r w:rsidRPr="008A3292">
        <w:rPr>
          <w:rFonts w:ascii="Arial" w:hAnsi="Arial" w:cs="Arial"/>
        </w:rPr>
        <w:t>Zubero</w:t>
      </w:r>
      <w:proofErr w:type="spellEnd"/>
      <w:r w:rsidRPr="008A3292">
        <w:rPr>
          <w:rFonts w:ascii="Arial" w:hAnsi="Arial" w:cs="Arial"/>
        </w:rPr>
        <w:t xml:space="preserve">, I., &amp; Calvo-Sotomayor, I., 2020. Scalability of Low Carbon Energy Communities in Spain: An Empiric Approach from the Renewed Commons Paradigm. Energies, 13, pp. 5045. </w:t>
      </w:r>
      <w:hyperlink r:id="rId14" w:history="1">
        <w:r w:rsidRPr="00B173F1">
          <w:rPr>
            <w:rStyle w:val="Hyperlink"/>
            <w:rFonts w:ascii="Arial" w:hAnsi="Arial" w:cs="Arial"/>
          </w:rPr>
          <w:t>https://doi.org/10.3390/EN13195045</w:t>
        </w:r>
      </w:hyperlink>
      <w:r w:rsidRPr="008A3292">
        <w:rPr>
          <w:rFonts w:ascii="Arial" w:hAnsi="Arial" w:cs="Arial"/>
        </w:rPr>
        <w:t>.</w:t>
      </w:r>
    </w:p>
    <w:p w14:paraId="34253D6E" w14:textId="43D7B92E" w:rsidR="008A3292" w:rsidRDefault="008A3292" w:rsidP="000F02BF">
      <w:pPr>
        <w:rPr>
          <w:rFonts w:ascii="Arial" w:hAnsi="Arial" w:cs="Arial"/>
        </w:rPr>
      </w:pPr>
      <w:r w:rsidRPr="008A3292">
        <w:rPr>
          <w:rFonts w:ascii="Arial" w:hAnsi="Arial" w:cs="Arial"/>
        </w:rPr>
        <w:t xml:space="preserve">Su, C., Tsai, C., Chen, M., &amp; Lv, W., 2019. U.S. Sustainable Food Market Generation Z Consumer Segments. Sustainability. </w:t>
      </w:r>
      <w:hyperlink r:id="rId15" w:history="1">
        <w:r w:rsidRPr="00B173F1">
          <w:rPr>
            <w:rStyle w:val="Hyperlink"/>
            <w:rFonts w:ascii="Arial" w:hAnsi="Arial" w:cs="Arial"/>
          </w:rPr>
          <w:t>https://doi.org/10.3390/SU11133607</w:t>
        </w:r>
      </w:hyperlink>
      <w:r w:rsidRPr="008A3292">
        <w:rPr>
          <w:rFonts w:ascii="Arial" w:hAnsi="Arial" w:cs="Arial"/>
        </w:rPr>
        <w:t>.</w:t>
      </w:r>
    </w:p>
    <w:p w14:paraId="1E18898A" w14:textId="49210459" w:rsidR="008A3292" w:rsidRDefault="008A3292" w:rsidP="000F02BF">
      <w:pPr>
        <w:rPr>
          <w:rFonts w:ascii="Arial" w:hAnsi="Arial" w:cs="Arial"/>
        </w:rPr>
      </w:pPr>
      <w:r w:rsidRPr="008A3292">
        <w:rPr>
          <w:rFonts w:ascii="Arial" w:hAnsi="Arial" w:cs="Arial"/>
        </w:rPr>
        <w:t xml:space="preserve">Matteucci, V., 2020. How can the hospitality industry increase corporate value aligned with sustainable development goals? Case examples from Hilton, Meliá and Sun. Worldwide Hospitality and Tourism Themes, 12, pp. 509-523. </w:t>
      </w:r>
      <w:hyperlink r:id="rId16" w:history="1">
        <w:r w:rsidRPr="00B173F1">
          <w:rPr>
            <w:rStyle w:val="Hyperlink"/>
            <w:rFonts w:ascii="Arial" w:hAnsi="Arial" w:cs="Arial"/>
          </w:rPr>
          <w:t>https://doi.org/10.1108/whatt-06-2020-0043</w:t>
        </w:r>
      </w:hyperlink>
      <w:r w:rsidRPr="008A3292">
        <w:rPr>
          <w:rFonts w:ascii="Arial" w:hAnsi="Arial" w:cs="Arial"/>
        </w:rPr>
        <w:t>.</w:t>
      </w:r>
    </w:p>
    <w:p w14:paraId="200E62E6" w14:textId="7773ED07" w:rsidR="008A3292" w:rsidRDefault="008A3292" w:rsidP="000F02BF">
      <w:pPr>
        <w:rPr>
          <w:rFonts w:ascii="Arial" w:hAnsi="Arial" w:cs="Arial"/>
        </w:rPr>
      </w:pPr>
      <w:proofErr w:type="spellStart"/>
      <w:r w:rsidRPr="008A3292">
        <w:rPr>
          <w:rFonts w:ascii="Arial" w:hAnsi="Arial" w:cs="Arial"/>
        </w:rPr>
        <w:t>Mardus</w:t>
      </w:r>
      <w:proofErr w:type="spellEnd"/>
      <w:r w:rsidRPr="008A3292">
        <w:rPr>
          <w:rFonts w:ascii="Arial" w:hAnsi="Arial" w:cs="Arial"/>
        </w:rPr>
        <w:t xml:space="preserve">, N., &amp; Rudenko, K., 2021. MAIN ASPECTS OF THE ORGANIZATION OF ACCOUNTING AND AUDIT OF THE PROFIT OF THE ENTERPRISE. Scientific opinion: Economics and Management. </w:t>
      </w:r>
      <w:hyperlink r:id="rId17" w:history="1">
        <w:r w:rsidRPr="00B173F1">
          <w:rPr>
            <w:rStyle w:val="Hyperlink"/>
            <w:rFonts w:ascii="Arial" w:hAnsi="Arial" w:cs="Arial"/>
          </w:rPr>
          <w:t>https://doi.org/10.32836/2521-666x/2021-76-18</w:t>
        </w:r>
      </w:hyperlink>
      <w:r w:rsidRPr="008A3292">
        <w:rPr>
          <w:rFonts w:ascii="Arial" w:hAnsi="Arial" w:cs="Arial"/>
        </w:rPr>
        <w:t>.</w:t>
      </w:r>
    </w:p>
    <w:p w14:paraId="14461A82" w14:textId="681CA7E3" w:rsidR="008A3292" w:rsidRDefault="001441D1" w:rsidP="000F02BF">
      <w:pPr>
        <w:rPr>
          <w:rFonts w:ascii="Arial" w:hAnsi="Arial" w:cs="Arial"/>
        </w:rPr>
      </w:pPr>
      <w:r w:rsidRPr="001441D1">
        <w:rPr>
          <w:rFonts w:ascii="Arial" w:hAnsi="Arial" w:cs="Arial"/>
        </w:rPr>
        <w:t xml:space="preserve">Dahou, K., &amp; Hacini, I., 2018. Successful Employee Empowerment: Major Determinants in the Jordanian Context. Eurasian Journal of Business and Economics. </w:t>
      </w:r>
      <w:hyperlink r:id="rId18" w:history="1">
        <w:r w:rsidRPr="00B173F1">
          <w:rPr>
            <w:rStyle w:val="Hyperlink"/>
            <w:rFonts w:ascii="Arial" w:hAnsi="Arial" w:cs="Arial"/>
          </w:rPr>
          <w:t>https://doi.org/10.17015/EJBE.2018.021.03</w:t>
        </w:r>
      </w:hyperlink>
      <w:r w:rsidRPr="001441D1">
        <w:rPr>
          <w:rFonts w:ascii="Arial" w:hAnsi="Arial" w:cs="Arial"/>
        </w:rPr>
        <w:t>.</w:t>
      </w:r>
    </w:p>
    <w:p w14:paraId="7D58D5A2" w14:textId="66F7FEBB" w:rsidR="001441D1" w:rsidRDefault="001441D1" w:rsidP="000F02BF">
      <w:pPr>
        <w:rPr>
          <w:rFonts w:ascii="Arial" w:hAnsi="Arial" w:cs="Arial"/>
        </w:rPr>
      </w:pPr>
      <w:r w:rsidRPr="001441D1">
        <w:rPr>
          <w:rFonts w:ascii="Arial" w:hAnsi="Arial" w:cs="Arial"/>
        </w:rPr>
        <w:lastRenderedPageBreak/>
        <w:t xml:space="preserve">Bachmann, J., </w:t>
      </w:r>
      <w:proofErr w:type="spellStart"/>
      <w:r w:rsidRPr="001441D1">
        <w:rPr>
          <w:rFonts w:ascii="Arial" w:hAnsi="Arial" w:cs="Arial"/>
        </w:rPr>
        <w:t>Ohlies</w:t>
      </w:r>
      <w:proofErr w:type="spellEnd"/>
      <w:r w:rsidRPr="001441D1">
        <w:rPr>
          <w:rFonts w:ascii="Arial" w:hAnsi="Arial" w:cs="Arial"/>
        </w:rPr>
        <w:t xml:space="preserve">, I., &amp; Flatten, T., 2021. Effects of entrepreneurial marketing on new ventures' exploitative and exploratory innovation: The moderating role of competitive intensity and firm size. Industrial Marketing Management, 92, pp. 87-100. </w:t>
      </w:r>
      <w:hyperlink r:id="rId19" w:history="1">
        <w:r w:rsidRPr="00B173F1">
          <w:rPr>
            <w:rStyle w:val="Hyperlink"/>
            <w:rFonts w:ascii="Arial" w:hAnsi="Arial" w:cs="Arial"/>
          </w:rPr>
          <w:t>https://doi.org/10.1016/j.indmarman.2020.10.002</w:t>
        </w:r>
      </w:hyperlink>
      <w:r w:rsidRPr="001441D1">
        <w:rPr>
          <w:rFonts w:ascii="Arial" w:hAnsi="Arial" w:cs="Arial"/>
        </w:rPr>
        <w:t>.</w:t>
      </w:r>
    </w:p>
    <w:p w14:paraId="1C2ABD8A" w14:textId="03E92ED1" w:rsidR="001441D1" w:rsidRDefault="001441D1" w:rsidP="000F02BF">
      <w:pPr>
        <w:rPr>
          <w:rFonts w:ascii="Arial" w:hAnsi="Arial" w:cs="Arial"/>
        </w:rPr>
      </w:pPr>
      <w:proofErr w:type="spellStart"/>
      <w:r w:rsidRPr="001441D1">
        <w:rPr>
          <w:rFonts w:ascii="Arial" w:hAnsi="Arial" w:cs="Arial"/>
        </w:rPr>
        <w:t>Hnoievyi</w:t>
      </w:r>
      <w:proofErr w:type="spellEnd"/>
      <w:r w:rsidRPr="001441D1">
        <w:rPr>
          <w:rFonts w:ascii="Arial" w:hAnsi="Arial" w:cs="Arial"/>
        </w:rPr>
        <w:t xml:space="preserve">, V., Koren, O., &amp; </w:t>
      </w:r>
      <w:proofErr w:type="spellStart"/>
      <w:r w:rsidRPr="001441D1">
        <w:rPr>
          <w:rFonts w:ascii="Arial" w:hAnsi="Arial" w:cs="Arial"/>
        </w:rPr>
        <w:t>Kviatkovska</w:t>
      </w:r>
      <w:proofErr w:type="spellEnd"/>
      <w:r w:rsidRPr="001441D1">
        <w:rPr>
          <w:rFonts w:ascii="Arial" w:hAnsi="Arial" w:cs="Arial"/>
        </w:rPr>
        <w:t xml:space="preserve">, L., 2022. REALIZATION OF VENTURE CAPITAL POTENTIAL IN PROVIDING AN INNOVATIVE MODEL OF ECONOMIC DEVELOPMENT. Academic Review. </w:t>
      </w:r>
      <w:hyperlink r:id="rId20" w:history="1">
        <w:r w:rsidRPr="00B173F1">
          <w:rPr>
            <w:rStyle w:val="Hyperlink"/>
            <w:rFonts w:ascii="Arial" w:hAnsi="Arial" w:cs="Arial"/>
          </w:rPr>
          <w:t>https://doi.org/10.32342/2074-5354-2022-1-56-4</w:t>
        </w:r>
      </w:hyperlink>
      <w:r w:rsidRPr="001441D1">
        <w:rPr>
          <w:rFonts w:ascii="Arial" w:hAnsi="Arial" w:cs="Arial"/>
        </w:rPr>
        <w:t>.</w:t>
      </w:r>
    </w:p>
    <w:p w14:paraId="34A46517" w14:textId="5F850B67" w:rsidR="001441D1" w:rsidRDefault="001441D1" w:rsidP="000F02BF">
      <w:pPr>
        <w:rPr>
          <w:rFonts w:ascii="Arial" w:hAnsi="Arial" w:cs="Arial"/>
        </w:rPr>
      </w:pPr>
      <w:proofErr w:type="spellStart"/>
      <w:r w:rsidRPr="001441D1">
        <w:rPr>
          <w:rFonts w:ascii="Arial" w:hAnsi="Arial" w:cs="Arial"/>
        </w:rPr>
        <w:t>Zadneprovskaya</w:t>
      </w:r>
      <w:proofErr w:type="spellEnd"/>
      <w:r w:rsidRPr="001441D1">
        <w:rPr>
          <w:rFonts w:ascii="Arial" w:hAnsi="Arial" w:cs="Arial"/>
        </w:rPr>
        <w:t xml:space="preserve">, E., </w:t>
      </w:r>
      <w:proofErr w:type="spellStart"/>
      <w:r w:rsidRPr="001441D1">
        <w:rPr>
          <w:rFonts w:ascii="Arial" w:hAnsi="Arial" w:cs="Arial"/>
        </w:rPr>
        <w:t>Poddubnaya</w:t>
      </w:r>
      <w:proofErr w:type="spellEnd"/>
      <w:r w:rsidRPr="001441D1">
        <w:rPr>
          <w:rFonts w:ascii="Arial" w:hAnsi="Arial" w:cs="Arial"/>
        </w:rPr>
        <w:t xml:space="preserve">, T., Panina, E., &amp; </w:t>
      </w:r>
      <w:proofErr w:type="spellStart"/>
      <w:r w:rsidRPr="001441D1">
        <w:rPr>
          <w:rFonts w:ascii="Arial" w:hAnsi="Arial" w:cs="Arial"/>
        </w:rPr>
        <w:t>Dzhum</w:t>
      </w:r>
      <w:proofErr w:type="spellEnd"/>
      <w:r w:rsidRPr="001441D1">
        <w:rPr>
          <w:rFonts w:ascii="Arial" w:hAnsi="Arial" w:cs="Arial"/>
        </w:rPr>
        <w:t xml:space="preserve">, T., 2021. Modern features of benchmarking in the hotel business. New Technologies. </w:t>
      </w:r>
      <w:hyperlink r:id="rId21" w:history="1">
        <w:r w:rsidRPr="00B173F1">
          <w:rPr>
            <w:rStyle w:val="Hyperlink"/>
            <w:rFonts w:ascii="Arial" w:hAnsi="Arial" w:cs="Arial"/>
          </w:rPr>
          <w:t>https://doi.org/10.47370/2072-0920-2021-17-4-84-93</w:t>
        </w:r>
      </w:hyperlink>
      <w:r w:rsidRPr="001441D1">
        <w:rPr>
          <w:rFonts w:ascii="Arial" w:hAnsi="Arial" w:cs="Arial"/>
        </w:rPr>
        <w:t>.</w:t>
      </w:r>
    </w:p>
    <w:p w14:paraId="4C2ACF55" w14:textId="53DAA4EF" w:rsidR="001441D1" w:rsidRDefault="001441D1" w:rsidP="000F02BF">
      <w:pPr>
        <w:rPr>
          <w:rFonts w:ascii="Arial" w:hAnsi="Arial" w:cs="Arial"/>
        </w:rPr>
      </w:pPr>
      <w:r w:rsidRPr="001441D1">
        <w:rPr>
          <w:rFonts w:ascii="Arial" w:hAnsi="Arial" w:cs="Arial"/>
        </w:rPr>
        <w:t xml:space="preserve">Lester, H., 2018. Systems Engineering: Enabling Operations Management. Contemporary Issues and Research in Operations Management. </w:t>
      </w:r>
      <w:hyperlink r:id="rId22" w:history="1">
        <w:r w:rsidRPr="00B173F1">
          <w:rPr>
            <w:rStyle w:val="Hyperlink"/>
            <w:rFonts w:ascii="Arial" w:hAnsi="Arial" w:cs="Arial"/>
          </w:rPr>
          <w:t>https://doi.org/10.5772/INTECHOPEN.76224</w:t>
        </w:r>
      </w:hyperlink>
      <w:r w:rsidRPr="001441D1">
        <w:rPr>
          <w:rFonts w:ascii="Arial" w:hAnsi="Arial" w:cs="Arial"/>
        </w:rPr>
        <w:t>.</w:t>
      </w:r>
    </w:p>
    <w:p w14:paraId="5DCED321" w14:textId="7B82D712" w:rsidR="001441D1" w:rsidRDefault="001441D1" w:rsidP="000F02BF">
      <w:pPr>
        <w:rPr>
          <w:rFonts w:ascii="Arial" w:hAnsi="Arial" w:cs="Arial"/>
        </w:rPr>
      </w:pPr>
      <w:r w:rsidRPr="001441D1">
        <w:rPr>
          <w:rFonts w:ascii="Arial" w:hAnsi="Arial" w:cs="Arial"/>
        </w:rPr>
        <w:t xml:space="preserve">Ma, E., Zhang, Y., Xu, F., Wang, D., &amp; Kim, M. (2021). Feeling empowered and doing good? A psychological mechanism of empowerment, self-esteem, perceived trust, and OCBs. Tourism Management, 87, 104356. </w:t>
      </w:r>
      <w:hyperlink r:id="rId23" w:history="1">
        <w:r w:rsidRPr="00B173F1">
          <w:rPr>
            <w:rStyle w:val="Hyperlink"/>
            <w:rFonts w:ascii="Arial" w:hAnsi="Arial" w:cs="Arial"/>
          </w:rPr>
          <w:t>https://doi.org/10.1016/J.TOURMAN.2021.104356</w:t>
        </w:r>
      </w:hyperlink>
      <w:r w:rsidRPr="001441D1">
        <w:rPr>
          <w:rFonts w:ascii="Arial" w:hAnsi="Arial" w:cs="Arial"/>
        </w:rPr>
        <w:t>.</w:t>
      </w:r>
    </w:p>
    <w:p w14:paraId="6611A1DB" w14:textId="3FFD36E1" w:rsidR="001441D1" w:rsidRDefault="00CC4D0B" w:rsidP="000F02BF">
      <w:pPr>
        <w:rPr>
          <w:rFonts w:ascii="Arial" w:hAnsi="Arial" w:cs="Arial"/>
        </w:rPr>
      </w:pPr>
      <w:r w:rsidRPr="00CC4D0B">
        <w:rPr>
          <w:rFonts w:ascii="Arial" w:hAnsi="Arial" w:cs="Arial"/>
        </w:rPr>
        <w:t xml:space="preserve">Sipe, L., 2018. Towards An Experience Innovation Canvas: A Framework for Measuring Innovation in the Hospitality and Tourism Industry. International Journal of Hospitality &amp; Tourism Administration, 22, pp. 85 - 109. </w:t>
      </w:r>
      <w:hyperlink r:id="rId24" w:history="1">
        <w:r w:rsidRPr="00B173F1">
          <w:rPr>
            <w:rStyle w:val="Hyperlink"/>
            <w:rFonts w:ascii="Arial" w:hAnsi="Arial" w:cs="Arial"/>
          </w:rPr>
          <w:t>https://doi.org/10.1080/15256480.2018.1547240</w:t>
        </w:r>
      </w:hyperlink>
      <w:r w:rsidRPr="00CC4D0B">
        <w:rPr>
          <w:rFonts w:ascii="Arial" w:hAnsi="Arial" w:cs="Arial"/>
        </w:rPr>
        <w:t>.</w:t>
      </w:r>
    </w:p>
    <w:p w14:paraId="356A9A6B" w14:textId="31F72B09" w:rsidR="00CC4D0B" w:rsidRDefault="00CC4D0B" w:rsidP="000F02BF">
      <w:pPr>
        <w:rPr>
          <w:rFonts w:ascii="Arial" w:hAnsi="Arial" w:cs="Arial"/>
        </w:rPr>
      </w:pPr>
      <w:proofErr w:type="spellStart"/>
      <w:r w:rsidRPr="00CC4D0B">
        <w:rPr>
          <w:rFonts w:ascii="Arial" w:hAnsi="Arial" w:cs="Arial"/>
        </w:rPr>
        <w:t>Chevrollier</w:t>
      </w:r>
      <w:proofErr w:type="spellEnd"/>
      <w:r w:rsidRPr="00CC4D0B">
        <w:rPr>
          <w:rFonts w:ascii="Arial" w:hAnsi="Arial" w:cs="Arial"/>
        </w:rPr>
        <w:t xml:space="preserve">, N., &amp; </w:t>
      </w:r>
      <w:proofErr w:type="spellStart"/>
      <w:r w:rsidRPr="00CC4D0B">
        <w:rPr>
          <w:rFonts w:ascii="Arial" w:hAnsi="Arial" w:cs="Arial"/>
        </w:rPr>
        <w:t>Kuijf</w:t>
      </w:r>
      <w:proofErr w:type="spellEnd"/>
      <w:r w:rsidRPr="00CC4D0B">
        <w:rPr>
          <w:rFonts w:ascii="Arial" w:hAnsi="Arial" w:cs="Arial"/>
        </w:rPr>
        <w:t xml:space="preserve">, F., 2021. Sensing and seizing in the apparel industry: the role of dynamic capabilities in fostering sustainable strategic orientations. International Journal of Organizational Analysis. </w:t>
      </w:r>
      <w:hyperlink r:id="rId25" w:history="1">
        <w:r w:rsidRPr="00B173F1">
          <w:rPr>
            <w:rStyle w:val="Hyperlink"/>
            <w:rFonts w:ascii="Arial" w:hAnsi="Arial" w:cs="Arial"/>
          </w:rPr>
          <w:t>https://doi.org/10.1108/ijoa-02-2021-2620</w:t>
        </w:r>
      </w:hyperlink>
      <w:r w:rsidRPr="00CC4D0B">
        <w:rPr>
          <w:rFonts w:ascii="Arial" w:hAnsi="Arial" w:cs="Arial"/>
        </w:rPr>
        <w:t>.</w:t>
      </w:r>
    </w:p>
    <w:p w14:paraId="38A73D2A" w14:textId="4B5A1B08" w:rsidR="00CC4D0B" w:rsidRDefault="00CC4D0B" w:rsidP="000F02BF">
      <w:pPr>
        <w:rPr>
          <w:rFonts w:ascii="Arial" w:hAnsi="Arial" w:cs="Arial"/>
        </w:rPr>
      </w:pPr>
      <w:proofErr w:type="spellStart"/>
      <w:r w:rsidRPr="00CC4D0B">
        <w:rPr>
          <w:rFonts w:ascii="Arial" w:hAnsi="Arial" w:cs="Arial"/>
        </w:rPr>
        <w:t>Qumsiyeh</w:t>
      </w:r>
      <w:proofErr w:type="spellEnd"/>
      <w:r w:rsidRPr="00CC4D0B">
        <w:rPr>
          <w:rFonts w:ascii="Arial" w:hAnsi="Arial" w:cs="Arial"/>
        </w:rPr>
        <w:t xml:space="preserve">, D., &amp; Spindel, M., 2020. Profit. Placing Papers. </w:t>
      </w:r>
      <w:hyperlink r:id="rId26" w:history="1">
        <w:r w:rsidRPr="00B173F1">
          <w:rPr>
            <w:rStyle w:val="Hyperlink"/>
            <w:rFonts w:ascii="Arial" w:hAnsi="Arial" w:cs="Arial"/>
          </w:rPr>
          <w:t>https://doi.org/10.2307/j.ctv138wqhk.7</w:t>
        </w:r>
      </w:hyperlink>
      <w:r w:rsidRPr="00CC4D0B">
        <w:rPr>
          <w:rFonts w:ascii="Arial" w:hAnsi="Arial" w:cs="Arial"/>
        </w:rPr>
        <w:t>.</w:t>
      </w:r>
    </w:p>
    <w:p w14:paraId="4D74BF56" w14:textId="77777777" w:rsidR="00CC4D0B" w:rsidRPr="00CC4D0B" w:rsidRDefault="00CC4D0B" w:rsidP="00CC4D0B">
      <w:pPr>
        <w:rPr>
          <w:rFonts w:ascii="Arial" w:hAnsi="Arial" w:cs="Arial"/>
        </w:rPr>
      </w:pPr>
      <w:r w:rsidRPr="00CC4D0B">
        <w:rPr>
          <w:rFonts w:ascii="Arial" w:hAnsi="Arial" w:cs="Arial"/>
        </w:rPr>
        <w:t xml:space="preserve">Ullah, S., &amp; Nasim, A., 2021. Do firm-level sustainability targets drive environmental innovation? Insights from BRICS Economies.. Journal of environmental management, 294, pp. </w:t>
      </w:r>
    </w:p>
    <w:p w14:paraId="12DD2135" w14:textId="77777777" w:rsidR="00CC4D0B" w:rsidRPr="00CC4D0B" w:rsidRDefault="00CC4D0B" w:rsidP="00CC4D0B">
      <w:pPr>
        <w:rPr>
          <w:rFonts w:ascii="Arial" w:hAnsi="Arial" w:cs="Arial"/>
        </w:rPr>
      </w:pPr>
      <w:r w:rsidRPr="00CC4D0B">
        <w:rPr>
          <w:rFonts w:ascii="Arial" w:hAnsi="Arial" w:cs="Arial"/>
        </w:rPr>
        <w:lastRenderedPageBreak/>
        <w:t xml:space="preserve">          112754</w:t>
      </w:r>
    </w:p>
    <w:p w14:paraId="2F0AA6E0" w14:textId="6A25A735" w:rsidR="00CC4D0B" w:rsidRDefault="00CC4D0B" w:rsidP="00CC4D0B">
      <w:pPr>
        <w:rPr>
          <w:rFonts w:ascii="Arial" w:hAnsi="Arial" w:cs="Arial"/>
        </w:rPr>
      </w:pPr>
      <w:r w:rsidRPr="00CC4D0B">
        <w:rPr>
          <w:rFonts w:ascii="Arial" w:hAnsi="Arial" w:cs="Arial"/>
        </w:rPr>
        <w:t xml:space="preserve">        . </w:t>
      </w:r>
      <w:hyperlink r:id="rId27" w:history="1">
        <w:r w:rsidRPr="00B173F1">
          <w:rPr>
            <w:rStyle w:val="Hyperlink"/>
            <w:rFonts w:ascii="Arial" w:hAnsi="Arial" w:cs="Arial"/>
          </w:rPr>
          <w:t>https://doi.org/10.1016/j.jenvman.2021.112754</w:t>
        </w:r>
      </w:hyperlink>
      <w:r w:rsidRPr="00CC4D0B">
        <w:rPr>
          <w:rFonts w:ascii="Arial" w:hAnsi="Arial" w:cs="Arial"/>
        </w:rPr>
        <w:t>.</w:t>
      </w:r>
    </w:p>
    <w:p w14:paraId="1456F70E" w14:textId="79A8E77A" w:rsidR="00CC4D0B" w:rsidRDefault="00CC4D0B" w:rsidP="00CC4D0B">
      <w:pPr>
        <w:rPr>
          <w:rFonts w:ascii="Arial" w:hAnsi="Arial" w:cs="Arial"/>
        </w:rPr>
      </w:pPr>
      <w:r w:rsidRPr="00CC4D0B">
        <w:rPr>
          <w:rFonts w:ascii="Arial" w:hAnsi="Arial" w:cs="Arial"/>
        </w:rPr>
        <w:t xml:space="preserve">Hba, R., &amp; </w:t>
      </w:r>
      <w:proofErr w:type="spellStart"/>
      <w:r w:rsidRPr="00CC4D0B">
        <w:rPr>
          <w:rFonts w:ascii="Arial" w:hAnsi="Arial" w:cs="Arial"/>
        </w:rPr>
        <w:t>Manouar</w:t>
      </w:r>
      <w:proofErr w:type="spellEnd"/>
      <w:r w:rsidRPr="00CC4D0B">
        <w:rPr>
          <w:rFonts w:ascii="Arial" w:hAnsi="Arial" w:cs="Arial"/>
        </w:rPr>
        <w:t xml:space="preserve">, A., 2018. ICT Green Alignment: New Generation Model Based on Corporate Social Responsibility and Green IT. Int. J. Web Appl., 10, pp. 64-73. </w:t>
      </w:r>
      <w:hyperlink r:id="rId28" w:history="1">
        <w:r w:rsidRPr="00B173F1">
          <w:rPr>
            <w:rStyle w:val="Hyperlink"/>
            <w:rFonts w:ascii="Arial" w:hAnsi="Arial" w:cs="Arial"/>
          </w:rPr>
          <w:t>https://doi.org/10.6025/IJWA/2018/10/2/64-73</w:t>
        </w:r>
      </w:hyperlink>
      <w:r w:rsidRPr="00CC4D0B">
        <w:rPr>
          <w:rFonts w:ascii="Arial" w:hAnsi="Arial" w:cs="Arial"/>
        </w:rPr>
        <w:t>.</w:t>
      </w:r>
    </w:p>
    <w:p w14:paraId="08BB54F1" w14:textId="77777777" w:rsidR="00CC4D0B" w:rsidRPr="00F64B00" w:rsidRDefault="00CC4D0B" w:rsidP="00CC4D0B">
      <w:pPr>
        <w:rPr>
          <w:rFonts w:ascii="Arial" w:hAnsi="Arial" w:cs="Arial"/>
        </w:rPr>
      </w:pPr>
    </w:p>
    <w:sectPr w:rsidR="00CC4D0B" w:rsidRPr="00F64B00"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D140C" w14:textId="77777777" w:rsidR="00865263" w:rsidRDefault="00865263" w:rsidP="001834FC">
      <w:pPr>
        <w:spacing w:after="0" w:line="240" w:lineRule="auto"/>
      </w:pPr>
      <w:r>
        <w:separator/>
      </w:r>
    </w:p>
  </w:endnote>
  <w:endnote w:type="continuationSeparator" w:id="0">
    <w:p w14:paraId="375A0557" w14:textId="77777777" w:rsidR="00865263" w:rsidRDefault="00865263"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06756" w14:textId="77777777" w:rsidR="00865263" w:rsidRDefault="00865263" w:rsidP="001834FC">
      <w:pPr>
        <w:spacing w:after="0" w:line="240" w:lineRule="auto"/>
      </w:pPr>
      <w:r>
        <w:separator/>
      </w:r>
    </w:p>
  </w:footnote>
  <w:footnote w:type="continuationSeparator" w:id="0">
    <w:p w14:paraId="6BB36458" w14:textId="77777777" w:rsidR="00865263" w:rsidRDefault="00865263"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60FCB"/>
    <w:multiLevelType w:val="multilevel"/>
    <w:tmpl w:val="398E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5E551D"/>
    <w:multiLevelType w:val="multilevel"/>
    <w:tmpl w:val="E8D4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C744FD"/>
    <w:multiLevelType w:val="multilevel"/>
    <w:tmpl w:val="A498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8D64D3"/>
    <w:multiLevelType w:val="multilevel"/>
    <w:tmpl w:val="836C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A04057"/>
    <w:multiLevelType w:val="multilevel"/>
    <w:tmpl w:val="FC586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D607B4"/>
    <w:multiLevelType w:val="multilevel"/>
    <w:tmpl w:val="7F72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A2142C"/>
    <w:multiLevelType w:val="multilevel"/>
    <w:tmpl w:val="3810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D52768"/>
    <w:multiLevelType w:val="multilevel"/>
    <w:tmpl w:val="13F2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16378C"/>
    <w:multiLevelType w:val="multilevel"/>
    <w:tmpl w:val="6AD0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2192740">
    <w:abstractNumId w:val="8"/>
  </w:num>
  <w:num w:numId="2" w16cid:durableId="1827545687">
    <w:abstractNumId w:val="2"/>
  </w:num>
  <w:num w:numId="3" w16cid:durableId="766969388">
    <w:abstractNumId w:val="1"/>
  </w:num>
  <w:num w:numId="4" w16cid:durableId="1694727475">
    <w:abstractNumId w:val="6"/>
  </w:num>
  <w:num w:numId="5" w16cid:durableId="476729589">
    <w:abstractNumId w:val="7"/>
  </w:num>
  <w:num w:numId="6" w16cid:durableId="260453161">
    <w:abstractNumId w:val="5"/>
  </w:num>
  <w:num w:numId="7" w16cid:durableId="1938782467">
    <w:abstractNumId w:val="0"/>
  </w:num>
  <w:num w:numId="8" w16cid:durableId="1211112465">
    <w:abstractNumId w:val="3"/>
  </w:num>
  <w:num w:numId="9" w16cid:durableId="16468107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E047C"/>
    <w:rsid w:val="000F02BF"/>
    <w:rsid w:val="001441D1"/>
    <w:rsid w:val="001834FC"/>
    <w:rsid w:val="001D16F6"/>
    <w:rsid w:val="0022399E"/>
    <w:rsid w:val="00252195"/>
    <w:rsid w:val="002720D7"/>
    <w:rsid w:val="003E63AA"/>
    <w:rsid w:val="00430D24"/>
    <w:rsid w:val="00431B7E"/>
    <w:rsid w:val="0044301B"/>
    <w:rsid w:val="004C60EF"/>
    <w:rsid w:val="006F3E7B"/>
    <w:rsid w:val="00731705"/>
    <w:rsid w:val="00747BD4"/>
    <w:rsid w:val="008531A4"/>
    <w:rsid w:val="00865263"/>
    <w:rsid w:val="008A3292"/>
    <w:rsid w:val="008B0CBF"/>
    <w:rsid w:val="00913C8F"/>
    <w:rsid w:val="00975554"/>
    <w:rsid w:val="00A60069"/>
    <w:rsid w:val="00BB2C9E"/>
    <w:rsid w:val="00BB6D54"/>
    <w:rsid w:val="00C73D53"/>
    <w:rsid w:val="00CC4D0B"/>
    <w:rsid w:val="00D42926"/>
    <w:rsid w:val="00D71E2E"/>
    <w:rsid w:val="00EB7A2D"/>
    <w:rsid w:val="00EC16C3"/>
    <w:rsid w:val="00F64B0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TOC2">
    <w:name w:val="toc 2"/>
    <w:basedOn w:val="Normal"/>
    <w:next w:val="Normal"/>
    <w:autoRedefine/>
    <w:uiPriority w:val="39"/>
    <w:unhideWhenUsed/>
    <w:rsid w:val="00431B7E"/>
    <w:pPr>
      <w:spacing w:after="100"/>
      <w:ind w:left="240"/>
    </w:pPr>
  </w:style>
  <w:style w:type="character" w:styleId="UnresolvedMention">
    <w:name w:val="Unresolved Mention"/>
    <w:basedOn w:val="DefaultParagraphFont"/>
    <w:uiPriority w:val="99"/>
    <w:semiHidden/>
    <w:unhideWhenUsed/>
    <w:rsid w:val="00D71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71848">
      <w:bodyDiv w:val="1"/>
      <w:marLeft w:val="0"/>
      <w:marRight w:val="0"/>
      <w:marTop w:val="0"/>
      <w:marBottom w:val="0"/>
      <w:divBdr>
        <w:top w:val="none" w:sz="0" w:space="0" w:color="auto"/>
        <w:left w:val="none" w:sz="0" w:space="0" w:color="auto"/>
        <w:bottom w:val="none" w:sz="0" w:space="0" w:color="auto"/>
        <w:right w:val="none" w:sz="0" w:space="0" w:color="auto"/>
      </w:divBdr>
    </w:div>
    <w:div w:id="1216887403">
      <w:bodyDiv w:val="1"/>
      <w:marLeft w:val="0"/>
      <w:marRight w:val="0"/>
      <w:marTop w:val="0"/>
      <w:marBottom w:val="0"/>
      <w:divBdr>
        <w:top w:val="none" w:sz="0" w:space="0" w:color="auto"/>
        <w:left w:val="none" w:sz="0" w:space="0" w:color="auto"/>
        <w:bottom w:val="none" w:sz="0" w:space="0" w:color="auto"/>
        <w:right w:val="none" w:sz="0" w:space="0" w:color="auto"/>
      </w:divBdr>
    </w:div>
    <w:div w:id="1225218720">
      <w:bodyDiv w:val="1"/>
      <w:marLeft w:val="0"/>
      <w:marRight w:val="0"/>
      <w:marTop w:val="0"/>
      <w:marBottom w:val="0"/>
      <w:divBdr>
        <w:top w:val="none" w:sz="0" w:space="0" w:color="auto"/>
        <w:left w:val="none" w:sz="0" w:space="0" w:color="auto"/>
        <w:bottom w:val="none" w:sz="0" w:space="0" w:color="auto"/>
        <w:right w:val="none" w:sz="0" w:space="0" w:color="auto"/>
      </w:divBdr>
    </w:div>
    <w:div w:id="1282685776">
      <w:bodyDiv w:val="1"/>
      <w:marLeft w:val="0"/>
      <w:marRight w:val="0"/>
      <w:marTop w:val="0"/>
      <w:marBottom w:val="0"/>
      <w:divBdr>
        <w:top w:val="none" w:sz="0" w:space="0" w:color="auto"/>
        <w:left w:val="none" w:sz="0" w:space="0" w:color="auto"/>
        <w:bottom w:val="none" w:sz="0" w:space="0" w:color="auto"/>
        <w:right w:val="none" w:sz="0" w:space="0" w:color="auto"/>
      </w:divBdr>
    </w:div>
    <w:div w:id="192927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07/978-3-319-63766-2_16" TargetMode="External"/><Relationship Id="rId18" Type="http://schemas.openxmlformats.org/officeDocument/2006/relationships/hyperlink" Target="https://doi.org/10.17015/EJBE.2018.021.03" TargetMode="External"/><Relationship Id="rId26" Type="http://schemas.openxmlformats.org/officeDocument/2006/relationships/hyperlink" Target="https://doi.org/10.2307/j.ctv138wqhk.7" TargetMode="External"/><Relationship Id="rId3" Type="http://schemas.openxmlformats.org/officeDocument/2006/relationships/styles" Target="styles.xml"/><Relationship Id="rId21" Type="http://schemas.openxmlformats.org/officeDocument/2006/relationships/hyperlink" Target="https://doi.org/10.47370/2072-0920-2021-17-4-84-93" TargetMode="External"/><Relationship Id="rId7" Type="http://schemas.openxmlformats.org/officeDocument/2006/relationships/endnotes" Target="endnotes.xml"/><Relationship Id="rId12" Type="http://schemas.openxmlformats.org/officeDocument/2006/relationships/hyperlink" Target="https://doi.org/10.47291/efi.v65i2.695" TargetMode="External"/><Relationship Id="rId17" Type="http://schemas.openxmlformats.org/officeDocument/2006/relationships/hyperlink" Target="https://doi.org/10.32836/2521-666x/2021-76-18" TargetMode="External"/><Relationship Id="rId25" Type="http://schemas.openxmlformats.org/officeDocument/2006/relationships/hyperlink" Target="https://doi.org/10.1108/ijoa-02-2021-2620" TargetMode="External"/><Relationship Id="rId2" Type="http://schemas.openxmlformats.org/officeDocument/2006/relationships/numbering" Target="numbering.xml"/><Relationship Id="rId16" Type="http://schemas.openxmlformats.org/officeDocument/2006/relationships/hyperlink" Target="https://doi.org/10.1108/whatt-06-2020-0043" TargetMode="External"/><Relationship Id="rId20" Type="http://schemas.openxmlformats.org/officeDocument/2006/relationships/hyperlink" Target="https://doi.org/10.32342/2074-5354-2022-1-56-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468/2020.1.04lambin" TargetMode="External"/><Relationship Id="rId24" Type="http://schemas.openxmlformats.org/officeDocument/2006/relationships/hyperlink" Target="https://doi.org/10.1080/15256480.2018.1547240" TargetMode="External"/><Relationship Id="rId5" Type="http://schemas.openxmlformats.org/officeDocument/2006/relationships/webSettings" Target="webSettings.xml"/><Relationship Id="rId15" Type="http://schemas.openxmlformats.org/officeDocument/2006/relationships/hyperlink" Target="https://doi.org/10.3390/SU11133607" TargetMode="External"/><Relationship Id="rId23" Type="http://schemas.openxmlformats.org/officeDocument/2006/relationships/hyperlink" Target="https://doi.org/10.1016/J.TOURMAN.2021.104356" TargetMode="External"/><Relationship Id="rId28" Type="http://schemas.openxmlformats.org/officeDocument/2006/relationships/hyperlink" Target="https://doi.org/10.6025/IJWA/2018/10/2/64-73" TargetMode="External"/><Relationship Id="rId10" Type="http://schemas.openxmlformats.org/officeDocument/2006/relationships/hyperlink" Target="https://doi.org/10.25236/ajbm.2021.031104" TargetMode="External"/><Relationship Id="rId19" Type="http://schemas.openxmlformats.org/officeDocument/2006/relationships/hyperlink" Target="https://doi.org/10.1016/j.indmarman.2020.10.002" TargetMode="External"/><Relationship Id="rId4" Type="http://schemas.openxmlformats.org/officeDocument/2006/relationships/settings" Target="settings.xml"/><Relationship Id="rId9" Type="http://schemas.openxmlformats.org/officeDocument/2006/relationships/hyperlink" Target="https://doi.org/10.5171/2018.471337" TargetMode="External"/><Relationship Id="rId14" Type="http://schemas.openxmlformats.org/officeDocument/2006/relationships/hyperlink" Target="https://doi.org/10.3390/EN13195045" TargetMode="External"/><Relationship Id="rId22" Type="http://schemas.openxmlformats.org/officeDocument/2006/relationships/hyperlink" Target="https://doi.org/10.5772/INTECHOPEN.76224" TargetMode="External"/><Relationship Id="rId27" Type="http://schemas.openxmlformats.org/officeDocument/2006/relationships/hyperlink" Target="https://doi.org/10.1016/j.jenvman.2021.11275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2023-11-05T15:37:00Z</dcterms:created>
  <dcterms:modified xsi:type="dcterms:W3CDTF">2023-11-13T14:31:00Z</dcterms:modified>
</cp:coreProperties>
</file>