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before="60"/>
      </w:pPr>
      <w:r>
        <w:t xml:space="preserve"/>
      </w:r>
    </w:p>
    <w:p>
      <w:pPr>
        <w:spacing w:after="60" w:before="60"/>
      </w:pPr>
      <w:r>
        <w:t xml:space="preserve"/>
      </w:r>
    </w:p>
    <w:p>
      <w:pPr>
        <w:spacing w:after="60" w:before="60"/>
      </w:pPr>
      <w:r>
        <w:t xml:space="preserve"/>
      </w:r>
    </w:p>
    <w:p>
      <w:pPr>
        <w:spacing w:after="200" w:before="200"/>
        <w:jc w:val="center"/>
      </w:pPr>
      <w:r>
        <w:rPr>
          <w:rFonts w:ascii="Arial" w:cs="Arial" w:eastAsia="Arial" w:hAnsi="Arial"/>
          <w:b/>
          <w:bCs/>
          <w:color w:val="2E74B5"/>
          <w:sz w:val="22"/>
          <w:szCs w:val="22"/>
        </w:rPr>
        <w:t xml:space="preserve">CASE STUDY</w:t>
      </w:r>
    </w:p>
    <w:p>
      <w:pPr>
        <w:spacing w:after="160" w:before="160"/>
        <w:jc w:val="center"/>
      </w:pPr>
      <w:r>
        <w:rPr>
          <w:rFonts w:ascii="Arial" w:cs="Arial" w:eastAsia="Arial" w:hAnsi="Arial"/>
          <w:b/>
          <w:bCs/>
          <w:color w:val="1F3864"/>
          <w:sz w:val="40"/>
          <w:szCs w:val="40"/>
        </w:rPr>
        <w:t xml:space="preserve">Skilled Worker Sponsorship by UK Companies:</w:t>
      </w:r>
    </w:p>
    <w:p>
      <w:pPr>
        <w:spacing w:after="300" w:before="100"/>
        <w:jc w:val="center"/>
      </w:pPr>
      <w:r>
        <w:rPr>
          <w:rFonts w:ascii="Arial" w:cs="Arial" w:eastAsia="Arial" w:hAnsi="Arial"/>
          <w:b/>
          <w:bCs/>
          <w:color w:val="1F3864"/>
          <w:sz w:val="40"/>
          <w:szCs w:val="40"/>
        </w:rPr>
        <w:t xml:space="preserve">Who is Leading and Why</w:t>
      </w:r>
    </w:p>
    <w:p>
      <w:pPr>
        <w:pBdr>
          <w:bottom w:val="single" w:color="2E74B5" w:sz="6" w:space="1"/>
        </w:pBdr>
        <w:spacing w:after="240" w:before="0"/>
        <w:jc w:val="center"/>
      </w:pPr>
      <w:r>
        <w:t xml:space="preserve"/>
      </w:r>
    </w:p>
    <w:p>
      <w:pPr>
        <w:spacing w:after="60" w:before="60"/>
      </w:pPr>
      <w:r>
        <w:t xml:space="preserve"/>
      </w:r>
    </w:p>
    <w:p>
      <w:pPr>
        <w:spacing w:after="60" w:before="60"/>
      </w:pPr>
      <w:r>
        <w:t xml:space="preserve"/>
      </w:r>
    </w:p>
    <w:p>
      <w:pPr>
        <w:spacing w:after="80" w:before="80"/>
        <w:jc w:val="center"/>
      </w:pPr>
      <w:r>
        <w:rPr>
          <w:rFonts w:ascii="Arial" w:cs="Arial" w:eastAsia="Arial" w:hAnsi="Arial"/>
          <w:b/>
          <w:bCs/>
          <w:sz w:val="22"/>
          <w:szCs w:val="22"/>
        </w:rPr>
        <w:t xml:space="preserve">Course: Business &amp; Management</w:t>
      </w:r>
    </w:p>
    <w:p>
      <w:pPr>
        <w:spacing w:after="80" w:before="80"/>
        <w:jc w:val="center"/>
      </w:pPr>
      <w:r>
        <w:rPr>
          <w:rFonts w:ascii="Arial" w:cs="Arial" w:eastAsia="Arial" w:hAnsi="Arial"/>
          <w:sz w:val="22"/>
          <w:szCs w:val="22"/>
        </w:rPr>
        <w:t xml:space="preserve">Citation Style: Harvard Referencing</w:t>
      </w:r>
    </w:p>
    <w:p>
      <w:pPr>
        <w:spacing w:after="80" w:before="80"/>
        <w:jc w:val="center"/>
      </w:pPr>
      <w:r>
        <w:rPr>
          <w:rFonts w:ascii="Arial" w:cs="Arial" w:eastAsia="Arial" w:hAnsi="Arial"/>
          <w:sz w:val="22"/>
          <w:szCs w:val="22"/>
        </w:rPr>
        <w:t xml:space="preserve">Academic Level: Undergraduate / Postgraduate</w:t>
      </w:r>
    </w:p>
    <w:p>
      <w:pPr>
        <w:spacing w:after="80" w:before="80"/>
        <w:jc w:val="center"/>
      </w:pPr>
      <w:r>
        <w:rPr>
          <w:rFonts w:ascii="Arial" w:cs="Arial" w:eastAsia="Arial" w:hAnsi="Arial"/>
          <w:sz w:val="22"/>
          <w:szCs w:val="22"/>
        </w:rPr>
        <w:t xml:space="preserve">Word Count: Approx. 2,800 words</w:t>
      </w:r>
    </w:p>
    <w:p>
      <w:pPr>
        <w:spacing w:after="60" w:before="60"/>
      </w:pPr>
      <w:r>
        <w:t xml:space="preserve"/>
      </w:r>
    </w:p>
    <w:p>
      <w:pPr>
        <w:spacing w:after="60" w:before="60"/>
      </w:pPr>
      <w:r>
        <w:t xml:space="preserve"/>
      </w:r>
    </w:p>
    <w:p>
      <w:pPr>
        <w:spacing w:after="60" w:before="60"/>
      </w:pPr>
      <w:r>
        <w:t xml:space="preserve"/>
      </w:r>
    </w:p>
    <w:p>
      <w:r>
        <w:br w:type="page"/>
      </w:r>
    </w:p>
    <w:p>
      <w:pPr>
        <w:pStyle w:val="Heading1"/>
        <w:spacing w:after="160" w:before="320"/>
      </w:pPr>
      <w:r>
        <w:rPr>
          <w:rFonts w:ascii="Arial" w:cs="Arial" w:eastAsia="Arial" w:hAnsi="Arial"/>
          <w:b/>
          <w:bCs/>
          <w:color w:val="1F3864"/>
          <w:sz w:val="30"/>
          <w:szCs w:val="30"/>
        </w:rPr>
        <w:t xml:space="preserve">1. Introduction</w:t>
      </w:r>
    </w:p>
    <w:p>
      <w:pPr>
        <w:spacing w:after="80" w:before="80" w:line="360"/>
        <w:jc w:val="both"/>
      </w:pPr>
      <w:r>
        <w:rPr>
          <w:rFonts w:ascii="Arial" w:cs="Arial" w:eastAsia="Arial" w:hAnsi="Arial"/>
          <w:sz w:val="22"/>
          <w:szCs w:val="22"/>
        </w:rPr>
        <w:t xml:space="preserve">Since the United Kingdom's departure from the European Union and the introduction of the Points-Based Immigration System in December 2020, employer-led skilled worker sponsorship has become the principal mechanism through which British organisations access international talent. The Skilled Worker visa — which replaced the legacy Tier 2 (General) route — requires every non-UK national to secure a Certificate of Sponsorship (CoS) from a licensed employer before they can legally work in the country. This structural shift has fundamentally repositioned the employer as a gatekeeper in the UK's immigration architecture, placing both considerable power and considerable responsibility in corporate hands.</w:t>
      </w:r>
    </w:p>
    <w:p>
      <w:pPr>
        <w:spacing w:after="60" w:before="60"/>
      </w:pPr>
      <w:r>
        <w:t xml:space="preserve"/>
      </w:r>
    </w:p>
    <w:p>
      <w:pPr>
        <w:spacing w:after="80" w:before="80" w:line="360"/>
        <w:jc w:val="both"/>
      </w:pPr>
      <w:r>
        <w:rPr>
          <w:rFonts w:ascii="Arial" w:cs="Arial" w:eastAsia="Arial" w:hAnsi="Arial"/>
          <w:sz w:val="22"/>
          <w:szCs w:val="22"/>
        </w:rPr>
        <w:t xml:space="preserve">This case study examines which UK companies are sponsoring the most skilled workers, the sectoral and strategic drivers behind their sponsorship activity, and how rapidly evolving policy has reshaped the landscape between 2023 and 2026. Drawing on official Home Office statistics, parliamentary reports, and analysis from the Migration Observatory at the University of Oxford, this study provides a rigorous, evidence-based account of corporate sponsorship behaviour in one of the world's most scrutinised immigration systems.</w:t>
      </w:r>
    </w:p>
    <w:p>
      <w:pPr>
        <w:spacing w:after="60" w:before="60"/>
      </w:pPr>
      <w:r>
        <w:t xml:space="preserve"/>
      </w:r>
    </w:p>
    <w:p>
      <w:pPr>
        <w:spacing w:after="80" w:before="80" w:line="360"/>
        <w:jc w:val="both"/>
      </w:pPr>
      <w:r>
        <w:rPr>
          <w:rFonts w:ascii="Arial" w:cs="Arial" w:eastAsia="Arial" w:hAnsi="Arial"/>
          <w:sz w:val="22"/>
          <w:szCs w:val="22"/>
        </w:rPr>
        <w:t xml:space="preserve">The period under review is characterised by a pronounced 'boom and bust' dynamic: record sponsorship volumes in 2022 and 2023, followed by steep contraction driven by salary threshold increases in April 2024 and further structural reforms in July 2025. Understanding which organisations have maintained their international recruitment pipelines — and the business logic underpinning those decisions — is of central importance to scholars of business strategy, human resource management, and labour market economics alike.</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2. The Regulatory and Policy Framework</w:t>
      </w:r>
    </w:p>
    <w:p>
      <w:pPr>
        <w:pStyle w:val="Heading2"/>
        <w:spacing w:after="120" w:before="240"/>
      </w:pPr>
      <w:r>
        <w:rPr>
          <w:rFonts w:ascii="Arial" w:cs="Arial" w:eastAsia="Arial" w:hAnsi="Arial"/>
          <w:b/>
          <w:bCs/>
          <w:color w:val="2E74B5"/>
          <w:sz w:val="26"/>
          <w:szCs w:val="26"/>
        </w:rPr>
        <w:t xml:space="preserve">2.1 The Points-Based System and Employer Obligations</w:t>
      </w:r>
    </w:p>
    <w:p>
      <w:pPr>
        <w:spacing w:after="80" w:before="80" w:line="360"/>
        <w:jc w:val="both"/>
      </w:pPr>
      <w:r>
        <w:rPr>
          <w:rFonts w:ascii="Arial" w:cs="Arial" w:eastAsia="Arial" w:hAnsi="Arial"/>
          <w:sz w:val="22"/>
          <w:szCs w:val="22"/>
        </w:rPr>
        <w:t xml:space="preserve">The Skilled Worker visa operates on a points-based model, requiring applicants to accumulate 70 points across a combination of mandatory and tradeable criteria. Mandatory elements include a confirmed job offer from a licensed sponsor, a role meeting the required occupational skill level, and a minimum salary threshold. To sponsor a worker, an organisation must first obtain and maintain a sponsor licence issued by the Home Office, hold an A-rating confirming full compliance, and assign a CoS for each worker — a unique reference number linking the individual to their role and employer.</w:t>
      </w:r>
    </w:p>
    <w:p>
      <w:pPr>
        <w:spacing w:after="60" w:before="60"/>
      </w:pPr>
      <w:r>
        <w:t xml:space="preserve"/>
      </w:r>
    </w:p>
    <w:p>
      <w:pPr>
        <w:spacing w:after="80" w:before="80" w:line="360"/>
        <w:jc w:val="both"/>
      </w:pPr>
      <w:r>
        <w:rPr>
          <w:rFonts w:ascii="Arial" w:cs="Arial" w:eastAsia="Arial" w:hAnsi="Arial"/>
          <w:sz w:val="22"/>
          <w:szCs w:val="22"/>
        </w:rPr>
        <w:t xml:space="preserve">The compliance burden on sponsors is substantial. Regulations require employers to retain comprehensive records per Home Office Appendix D, including passport copies, employment contracts, salary records, and attendance logs. Reporting obligations mandate that changes in a sponsored worker's circumstances be reported through the Sponsorship Management System within ten working days. Critically, sponsors cannot recoup any immigration costs from workers — a prohibition strengthened in December 2024 and extended across all visa routes in April 2025 (Davidson Morris, 2026).</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2.2 Key Policy Shifts: 2023–2026</w:t>
      </w:r>
    </w:p>
    <w:p>
      <w:pPr>
        <w:spacing w:after="80" w:before="80" w:line="360"/>
        <w:jc w:val="both"/>
      </w:pPr>
      <w:r>
        <w:rPr>
          <w:rFonts w:ascii="Arial" w:cs="Arial" w:eastAsia="Arial" w:hAnsi="Arial"/>
          <w:sz w:val="22"/>
          <w:szCs w:val="22"/>
        </w:rPr>
        <w:t xml:space="preserve">The sponsorship environment has undergone rapid and material transformation. The table below chronicles the principal legislative changes over this period and their measurable effects on sponsorship volumes:</w:t>
      </w:r>
    </w:p>
    <w:p>
      <w:pPr>
        <w:spacing w:after="6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3480"/>
        <w:gridCol w:w="4680"/>
      </w:tblGrid>
      <w:tr>
        <w:trPr>
          <w:tblHeader/>
        </w:trPr>
        <w:tc>
          <w:tcPr>
            <w:tcW w:type="dxa" w:w="1200"/>
            <w:tcBorders>
              <w:top w:val="single" w:color="1F3864" w:sz="1"/>
              <w:left w:val="single" w:color="1F3864" w:sz="1"/>
              <w:bottom w:val="single" w:color="1F3864" w:sz="1"/>
              <w:right w:val="single" w:color="1F3864" w:sz="1"/>
            </w:tcBorders>
            <w:shd w:fill="2E74B5" w:val="clear"/>
            <w:tcMar>
              <w:top w:type="dxa" w:w="80"/>
              <w:left w:type="dxa" w:w="120"/>
              <w:bottom w:type="dxa" w:w="80"/>
              <w:right w:type="dxa" w:w="120"/>
            </w:tcMar>
            <w:vAlign w:val="center"/>
          </w:tcPr>
          <w:p>
            <w:r>
              <w:rPr>
                <w:rFonts w:ascii="Arial" w:cs="Arial" w:eastAsia="Arial" w:hAnsi="Arial"/>
                <w:b/>
                <w:bCs/>
                <w:color w:val="FFFFFF"/>
                <w:sz w:val="20"/>
                <w:szCs w:val="20"/>
              </w:rPr>
              <w:t xml:space="preserve">Date</w:t>
            </w:r>
          </w:p>
        </w:tc>
        <w:tc>
          <w:tcPr>
            <w:tcW w:type="dxa" w:w="3480"/>
            <w:tcBorders>
              <w:top w:val="single" w:color="1F3864" w:sz="1"/>
              <w:left w:val="single" w:color="1F3864" w:sz="1"/>
              <w:bottom w:val="single" w:color="1F3864" w:sz="1"/>
              <w:right w:val="single" w:color="1F3864" w:sz="1"/>
            </w:tcBorders>
            <w:shd w:fill="2E74B5" w:val="clear"/>
            <w:tcMar>
              <w:top w:type="dxa" w:w="80"/>
              <w:left w:type="dxa" w:w="120"/>
              <w:bottom w:type="dxa" w:w="80"/>
              <w:right w:type="dxa" w:w="120"/>
            </w:tcMar>
            <w:vAlign w:val="center"/>
          </w:tcPr>
          <w:p>
            <w:r>
              <w:rPr>
                <w:rFonts w:ascii="Arial" w:cs="Arial" w:eastAsia="Arial" w:hAnsi="Arial"/>
                <w:b/>
                <w:bCs/>
                <w:color w:val="FFFFFF"/>
                <w:sz w:val="20"/>
                <w:szCs w:val="20"/>
              </w:rPr>
              <w:t xml:space="preserve">Policy Change</w:t>
            </w:r>
          </w:p>
        </w:tc>
        <w:tc>
          <w:tcPr>
            <w:tcW w:type="dxa" w:w="4680"/>
            <w:tcBorders>
              <w:top w:val="single" w:color="1F3864" w:sz="1"/>
              <w:left w:val="single" w:color="1F3864" w:sz="1"/>
              <w:bottom w:val="single" w:color="1F3864" w:sz="1"/>
              <w:right w:val="single" w:color="1F3864" w:sz="1"/>
            </w:tcBorders>
            <w:shd w:fill="2E74B5" w:val="clear"/>
            <w:tcMar>
              <w:top w:type="dxa" w:w="80"/>
              <w:left w:type="dxa" w:w="120"/>
              <w:bottom w:type="dxa" w:w="80"/>
              <w:right w:type="dxa" w:w="120"/>
            </w:tcMar>
            <w:vAlign w:val="center"/>
          </w:tcPr>
          <w:p>
            <w:r>
              <w:rPr>
                <w:rFonts w:ascii="Arial" w:cs="Arial" w:eastAsia="Arial" w:hAnsi="Arial"/>
                <w:b/>
                <w:bCs/>
                <w:color w:val="FFFFFF"/>
                <w:sz w:val="20"/>
                <w:szCs w:val="20"/>
              </w:rPr>
              <w:t xml:space="preserve">Impact on Sponsorship</w:t>
            </w:r>
          </w:p>
        </w:tc>
      </w:tr>
      <w:tr>
        <w:trPr>
          <w:tblHeader w:val="false"/>
        </w:trPr>
        <w:tc>
          <w:tcPr>
            <w:tcW w:type="dxa" w:w="120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Dec 2020</w:t>
            </w:r>
          </w:p>
        </w:tc>
        <w:tc>
          <w:tcPr>
            <w:tcW w:type="dxa" w:w="34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Points-Based System replaces Tier 2</w:t>
            </w:r>
          </w:p>
        </w:tc>
        <w:tc>
          <w:tcPr>
            <w:tcW w:type="dxa" w:w="46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All non-EU workers require employer sponsorship</w:t>
            </w:r>
          </w:p>
        </w:tc>
      </w:tr>
      <w:tr>
        <w:trPr>
          <w:tblHeader w:val="false"/>
        </w:trP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Apr 2024</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Salary threshold raised to £38,700</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39% drop in Skilled Worker grants (Jul–Dec 2024)</w:t>
            </w:r>
          </w:p>
        </w:tc>
      </w:tr>
      <w:tr>
        <w:trPr>
          <w:tblHeader w:val="false"/>
        </w:trPr>
        <w:tc>
          <w:tcPr>
            <w:tcW w:type="dxa" w:w="120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Jul 2025</w:t>
            </w:r>
          </w:p>
        </w:tc>
        <w:tc>
          <w:tcPr>
            <w:tcW w:type="dxa" w:w="34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RQF Level 6 (graduate-level) minimum introduced</w:t>
            </w:r>
          </w:p>
        </w:tc>
        <w:tc>
          <w:tcPr>
            <w:tcW w:type="dxa" w:w="46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Over 110 occupations removed from eligibility</w:t>
            </w:r>
          </w:p>
        </w:tc>
      </w:tr>
      <w:tr>
        <w:trPr>
          <w:tblHeader w:val="false"/>
        </w:trP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Jul 2025</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Care Worker overseas recruitment ended</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Health &amp; Care visas fell from 45,071 (Q3 2023) to 2,628 (Q3 2025)</w:t>
            </w:r>
          </w:p>
        </w:tc>
      </w:tr>
      <w:tr>
        <w:trPr>
          <w:tblHeader w:val="false"/>
        </w:trPr>
        <w:tc>
          <w:tcPr>
            <w:tcW w:type="dxa" w:w="120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Dec 2025</w:t>
            </w:r>
          </w:p>
        </w:tc>
        <w:tc>
          <w:tcPr>
            <w:tcW w:type="dxa" w:w="34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Immigration Skills Charge raised 32%</w:t>
            </w:r>
          </w:p>
        </w:tc>
        <w:tc>
          <w:tcPr>
            <w:tcW w:type="dxa" w:w="4680"/>
            <w:tcBorders>
              <w:top w:val="single" w:color="CCCCCC" w:sz="1"/>
              <w:left w:val="single" w:color="CCCCCC" w:sz="1"/>
              <w:bottom w:val="single" w:color="CCCCCC" w:sz="1"/>
              <w:right w:val="single" w:color="CCCCCC" w:sz="1"/>
            </w:tcBorders>
            <w:shd w:fill="F2F8FD"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Per-worker employer costs now exceed £5,000+</w:t>
            </w:r>
          </w:p>
        </w:tc>
      </w:tr>
      <w:tr>
        <w:trPr>
          <w:tblHeader w:val="false"/>
        </w:trPr>
        <w:tc>
          <w:tcPr>
            <w:tcW w:type="dxa" w:w="12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Jan 2026</w:t>
            </w:r>
          </w:p>
        </w:tc>
        <w:tc>
          <w:tcPr>
            <w:tcW w:type="dxa" w:w="34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English language raised to B2 (upper intermediate)</w:t>
            </w:r>
          </w:p>
        </w:tc>
        <w:tc>
          <w:tcPr>
            <w:tcW w:type="dxa" w:w="468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Tighter qualifying criteria for all skilled routes</w:t>
            </w:r>
          </w:p>
        </w:tc>
      </w:tr>
    </w:tbl>
    <w:p>
      <w:pPr>
        <w:spacing w:after="60" w:before="60"/>
      </w:pPr>
      <w:r>
        <w:t xml:space="preserve"/>
      </w:r>
    </w:p>
    <w:p>
      <w:pPr>
        <w:spacing w:after="80" w:before="80" w:line="360"/>
        <w:jc w:val="both"/>
      </w:pPr>
      <w:r>
        <w:rPr>
          <w:rFonts w:ascii="Arial" w:cs="Arial" w:eastAsia="Arial" w:hAnsi="Arial"/>
          <w:sz w:val="22"/>
          <w:szCs w:val="22"/>
        </w:rPr>
        <w:t xml:space="preserve">The most consequential shift was the April 2024 increase in the general salary threshold from £26,200 to £38,700 — a rise of nearly 50%. According to the Migration Observatory at the University of Oxford, grants of Skilled Worker visas (excluding Health and Care) fell by 39% between July and December 2024 compared to the same period in 2023 (Migration Observatory, 2025). The July 2025 reforms were more structurally fundamental: sponsorship eligibility was confined to graduate-level roles (RQF Level 6 and above), more than 110 occupations were removed from eligibility, and overseas recruitment for care workers was permanently ended.</w:t>
      </w:r>
    </w:p>
    <w:p>
      <w:pPr>
        <w:spacing w:after="60" w:before="60"/>
      </w:pPr>
      <w:r>
        <w:t xml:space="preserve"/>
      </w:r>
    </w:p>
    <w:p>
      <w:pPr>
        <w:spacing w:after="80" w:before="80" w:line="360"/>
        <w:jc w:val="both"/>
      </w:pPr>
      <w:r>
        <w:rPr>
          <w:rFonts w:ascii="Arial" w:cs="Arial" w:eastAsia="Arial" w:hAnsi="Arial"/>
          <w:sz w:val="22"/>
          <w:szCs w:val="22"/>
        </w:rPr>
        <w:t xml:space="preserve">The enforcement environment has intensified in parallel. Between July 2024 and June 2025, the Home Office revoked 1,948 sponsor licences — a 396% increase from 247 revocations recorded in 2022–2023 (Sponsor Licence Lawyers, 2026). The Home Office's approval rate on sponsor licence applications declined from 99% in 2021 to 79% in 2024, as compliance checks intensified (National Audit Office, 2025).</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3. Leading Corporate Sponsors: Sectors and Organisations</w:t>
      </w:r>
    </w:p>
    <w:p>
      <w:pPr>
        <w:pStyle w:val="Heading2"/>
        <w:spacing w:after="120" w:before="240"/>
      </w:pPr>
      <w:r>
        <w:rPr>
          <w:rFonts w:ascii="Arial" w:cs="Arial" w:eastAsia="Arial" w:hAnsi="Arial"/>
          <w:b/>
          <w:bCs/>
          <w:color w:val="2E74B5"/>
          <w:sz w:val="26"/>
          <w:szCs w:val="26"/>
        </w:rPr>
        <w:t xml:space="preserve">3.1 Overview of the Sponsorship Register</w:t>
      </w:r>
    </w:p>
    <w:p>
      <w:pPr>
        <w:spacing w:after="80" w:before="80" w:line="360"/>
        <w:jc w:val="both"/>
      </w:pPr>
      <w:r>
        <w:rPr>
          <w:rFonts w:ascii="Arial" w:cs="Arial" w:eastAsia="Arial" w:hAnsi="Arial"/>
          <w:sz w:val="22"/>
          <w:szCs w:val="22"/>
        </w:rPr>
        <w:t xml:space="preserve">As of early 2026, over 120,000 organisations hold a licence to sponsor workers in the UK. However, active sponsorship — the routine assignment of CoS to fill genuine vacancies — is concentrated among a far smaller cohort. The Home Office's Register of Licensed Sponsors is updated multiple times weekly and remains the authoritative public record, though it indicates capability rather than current recruitment activity (Davidson Morris, 2026). The organisations most consistently identified as high-volume sponsors operate in five core sectors: healthcare, technology, financial services, professional services, and pharmaceuticals.</w:t>
      </w:r>
    </w:p>
    <w:p>
      <w:pPr>
        <w:spacing w:after="60" w:before="60"/>
      </w:pPr>
      <w:r>
        <w:t xml:space="preserve"/>
      </w:r>
    </w:p>
    <w:p>
      <w:pPr>
        <w:spacing w:after="80" w:before="80" w:line="360"/>
        <w:jc w:val="both"/>
      </w:pPr>
      <w:r>
        <w:rPr>
          <w:rFonts w:ascii="Arial" w:cs="Arial" w:eastAsia="Arial" w:hAnsi="Arial"/>
          <w:sz w:val="22"/>
          <w:szCs w:val="22"/>
        </w:rPr>
        <w:t xml:space="preserve">The following table profiles the leading UK sponsoring organisations across these sectors:</w:t>
      </w:r>
    </w:p>
    <w:p>
      <w:pPr>
        <w:spacing w:after="6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900"/>
        <w:gridCol w:w="1700"/>
        <w:gridCol w:w="2360"/>
        <w:gridCol w:w="3400"/>
      </w:tblGrid>
      <w:tr>
        <w:trPr>
          <w:tblHeader/>
        </w:trPr>
        <w:tc>
          <w:tcPr>
            <w:tcW w:type="dxa" w:w="1900"/>
            <w:tcBorders>
              <w:top w:val="single" w:color="1F3864" w:sz="1"/>
              <w:left w:val="single" w:color="1F3864" w:sz="1"/>
              <w:bottom w:val="single" w:color="1F3864" w:sz="1"/>
              <w:right w:val="single" w:color="1F3864" w:sz="1"/>
            </w:tcBorders>
            <w:shd w:fill="1F3864" w:val="clear"/>
            <w:tcMar>
              <w:top w:type="dxa" w:w="80"/>
              <w:left w:type="dxa" w:w="120"/>
              <w:bottom w:type="dxa" w:w="80"/>
              <w:right w:type="dxa" w:w="120"/>
            </w:tcMar>
            <w:vAlign w:val="center"/>
          </w:tcPr>
          <w:p>
            <w:r>
              <w:rPr>
                <w:rFonts w:ascii="Arial" w:cs="Arial" w:eastAsia="Arial" w:hAnsi="Arial"/>
                <w:b/>
                <w:bCs/>
                <w:color w:val="FFFFFF"/>
                <w:sz w:val="20"/>
                <w:szCs w:val="20"/>
              </w:rPr>
              <w:t xml:space="preserve">Organisation</w:t>
            </w:r>
          </w:p>
        </w:tc>
        <w:tc>
          <w:tcPr>
            <w:tcW w:type="dxa" w:w="1700"/>
            <w:tcBorders>
              <w:top w:val="single" w:color="1F3864" w:sz="1"/>
              <w:left w:val="single" w:color="1F3864" w:sz="1"/>
              <w:bottom w:val="single" w:color="1F3864" w:sz="1"/>
              <w:right w:val="single" w:color="1F3864" w:sz="1"/>
            </w:tcBorders>
            <w:shd w:fill="1F3864" w:val="clear"/>
            <w:tcMar>
              <w:top w:type="dxa" w:w="80"/>
              <w:left w:type="dxa" w:w="120"/>
              <w:bottom w:type="dxa" w:w="80"/>
              <w:right w:type="dxa" w:w="120"/>
            </w:tcMar>
            <w:vAlign w:val="center"/>
          </w:tcPr>
          <w:p>
            <w:r>
              <w:rPr>
                <w:rFonts w:ascii="Arial" w:cs="Arial" w:eastAsia="Arial" w:hAnsi="Arial"/>
                <w:b/>
                <w:bCs/>
                <w:color w:val="FFFFFF"/>
                <w:sz w:val="20"/>
                <w:szCs w:val="20"/>
              </w:rPr>
              <w:t xml:space="preserve">Sector</w:t>
            </w:r>
          </w:p>
        </w:tc>
        <w:tc>
          <w:tcPr>
            <w:tcW w:type="dxa" w:w="2360"/>
            <w:tcBorders>
              <w:top w:val="single" w:color="1F3864" w:sz="1"/>
              <w:left w:val="single" w:color="1F3864" w:sz="1"/>
              <w:bottom w:val="single" w:color="1F3864" w:sz="1"/>
              <w:right w:val="single" w:color="1F3864" w:sz="1"/>
            </w:tcBorders>
            <w:shd w:fill="1F3864" w:val="clear"/>
            <w:tcMar>
              <w:top w:type="dxa" w:w="80"/>
              <w:left w:type="dxa" w:w="120"/>
              <w:bottom w:type="dxa" w:w="80"/>
              <w:right w:type="dxa" w:w="120"/>
            </w:tcMar>
            <w:vAlign w:val="center"/>
          </w:tcPr>
          <w:p>
            <w:r>
              <w:rPr>
                <w:rFonts w:ascii="Arial" w:cs="Arial" w:eastAsia="Arial" w:hAnsi="Arial"/>
                <w:b/>
                <w:bCs/>
                <w:color w:val="FFFFFF"/>
                <w:sz w:val="20"/>
                <w:szCs w:val="20"/>
              </w:rPr>
              <w:t xml:space="preserve">Visa Route</w:t>
            </w:r>
          </w:p>
        </w:tc>
        <w:tc>
          <w:tcPr>
            <w:tcW w:type="dxa" w:w="3400"/>
            <w:tcBorders>
              <w:top w:val="single" w:color="1F3864" w:sz="1"/>
              <w:left w:val="single" w:color="1F3864" w:sz="1"/>
              <w:bottom w:val="single" w:color="1F3864" w:sz="1"/>
              <w:right w:val="single" w:color="1F3864" w:sz="1"/>
            </w:tcBorders>
            <w:shd w:fill="1F3864" w:val="clear"/>
            <w:tcMar>
              <w:top w:type="dxa" w:w="80"/>
              <w:left w:type="dxa" w:w="120"/>
              <w:bottom w:type="dxa" w:w="80"/>
              <w:right w:type="dxa" w:w="120"/>
            </w:tcMar>
            <w:vAlign w:val="center"/>
          </w:tcPr>
          <w:p>
            <w:r>
              <w:rPr>
                <w:rFonts w:ascii="Arial" w:cs="Arial" w:eastAsia="Arial" w:hAnsi="Arial"/>
                <w:b/>
                <w:bCs/>
                <w:color w:val="FFFFFF"/>
                <w:sz w:val="20"/>
                <w:szCs w:val="20"/>
              </w:rPr>
              <w:t xml:space="preserve">Key Roles Sponsored</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NHS (Multiple Trusts)</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Healthcare</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Health &amp; Care Worker / 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Nurses, Doctors, Allied Health Professionals</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Amazon UK</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Technology &amp; Logistics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Software Engineers, Data Scientists, Operations</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HSBC</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Financial Services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Risk Analysts, IT, Investment Banking</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PwC</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Professional Services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Audit, Consulting, Tax, Technology</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Google UK</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Technology</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AI Engineers, Product Managers, R&amp;D</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GSK</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Pharmaceutical / Life Sciences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R&amp;D Scientists, Clinical Researchers</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BT Group</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Telecommunications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Cybersecurity, Network Engineers, AI</w:t>
            </w:r>
          </w:p>
        </w:tc>
      </w:tr>
      <w:tr>
        <w:trPr>
          <w:tblHeader w:val="false"/>
        </w:trPr>
        <w:tc>
          <w:tcPr>
            <w:tcW w:type="dxa" w:w="190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Barclays</w:t>
            </w:r>
          </w:p>
        </w:tc>
        <w:tc>
          <w:tcPr>
            <w:tcW w:type="dxa" w:w="17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Financial Services</w:t>
            </w:r>
          </w:p>
        </w:tc>
        <w:tc>
          <w:tcPr>
            <w:tcW w:type="dxa" w:w="2360"/>
            <w:tcBorders>
              <w:top w:val="single" w:color="CCCCCC" w:sz="1"/>
              <w:left w:val="single" w:color="CCCCCC" w:sz="1"/>
              <w:bottom w:val="single" w:color="CCCCCC" w:sz="1"/>
              <w:right w:val="single" w:color="CCCCCC" w:sz="1"/>
            </w:tcBorders>
            <w:shd w:fill="EBF3FA"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Skilled Worker</w:t>
            </w:r>
          </w:p>
        </w:tc>
        <w:tc>
          <w:tcPr>
            <w:tcW w:type="dxa" w:w="3400"/>
            <w:tcBorders>
              <w:top w:val="single" w:color="CCCCCC" w:sz="1"/>
              <w:left w:val="single" w:color="CCCCCC" w:sz="1"/>
              <w:bottom w:val="single" w:color="CCCCCC" w:sz="1"/>
              <w:right w:val="single" w:color="CCCCCC" w:sz="1"/>
            </w:tcBorders>
            <w:shd w:fill="FFFFFF" w:val="clear"/>
            <w:tcMar>
              <w:top w:type="dxa" w:w="80"/>
              <w:left w:type="dxa" w:w="120"/>
              <w:bottom w:type="dxa" w:w="80"/>
              <w:right w:type="dxa" w:w="120"/>
            </w:tcMar>
            <w:vAlign w:val="center"/>
          </w:tcPr>
          <w:p>
            <w:r>
              <w:rPr>
                <w:rFonts w:ascii="Arial" w:cs="Arial" w:eastAsia="Arial" w:hAnsi="Arial"/>
                <w:b w:val="false"/>
                <w:bCs w:val="false"/>
                <w:color w:val="000000"/>
                <w:sz w:val="19"/>
                <w:szCs w:val="19"/>
              </w:rPr>
              <w:t xml:space="preserve">Software Dev, Compliance, Business Analysis</w:t>
            </w:r>
          </w:p>
        </w:tc>
      </w:tr>
    </w:tbl>
    <w:p>
      <w:pPr>
        <w:spacing w:after="60" w:before="60"/>
      </w:pPr>
      <w:r>
        <w:t xml:space="preserve"/>
      </w:r>
    </w:p>
    <w:p>
      <w:pPr>
        <w:pStyle w:val="Heading2"/>
        <w:spacing w:after="120" w:before="240"/>
      </w:pPr>
      <w:r>
        <w:rPr>
          <w:rFonts w:ascii="Arial" w:cs="Arial" w:eastAsia="Arial" w:hAnsi="Arial"/>
          <w:b/>
          <w:bCs/>
          <w:color w:val="2E74B5"/>
          <w:sz w:val="26"/>
          <w:szCs w:val="26"/>
        </w:rPr>
        <w:t xml:space="preserve">3.2 The National Health Service (NHS)</w:t>
      </w:r>
    </w:p>
    <w:p>
      <w:pPr>
        <w:spacing w:after="80" w:before="80" w:line="360"/>
        <w:jc w:val="both"/>
      </w:pPr>
      <w:r>
        <w:rPr>
          <w:rFonts w:ascii="Arial" w:cs="Arial" w:eastAsia="Arial" w:hAnsi="Arial"/>
          <w:sz w:val="22"/>
          <w:szCs w:val="22"/>
        </w:rPr>
        <w:t xml:space="preserve">The NHS is, by a substantial margin, the single largest employer and sponsor in the United Kingdom, with approximately 1.51 million employees across England, Scotland, and Wales. Some 21% of the NHS workforce in England are non-UK nationals (UK Visa Jobs, 2026a). Operating under an A-rated sponsor licence and benefiting from the dedicated Health and Care Worker visa — which offers reduced application fees and immigration health surcharge exemptions — NHS Trusts have historically sponsored thousands of doctors, nurses, radiographers, midwives, and allied health professionals each year.</w:t>
      </w:r>
    </w:p>
    <w:p>
      <w:pPr>
        <w:spacing w:after="60" w:before="60"/>
      </w:pPr>
      <w:r>
        <w:t xml:space="preserve"/>
      </w:r>
    </w:p>
    <w:p>
      <w:pPr>
        <w:spacing w:after="80" w:before="80" w:line="360"/>
        <w:jc w:val="both"/>
      </w:pPr>
      <w:r>
        <w:rPr>
          <w:rFonts w:ascii="Arial" w:cs="Arial" w:eastAsia="Arial" w:hAnsi="Arial"/>
          <w:sz w:val="22"/>
          <w:szCs w:val="22"/>
        </w:rPr>
        <w:t xml:space="preserve">The scale of this dependence was starkly illustrated by the post-2022 boom: Health and Care Worker visa grants peaked at 45,071 in Q3 2023, before plummeting to just 2,628 by Q3 2025 following the cessation of overseas care worker recruitment (Work Rights Centre, 2025). This contraction reflects a deliberate policy decision to reduce NHS dependence on overseas hiring in lower-skilled roles, whilst retaining sponsorship for senior clinical and specialist positions. NHS employers continue to actively recruit internationally for roles such as consultant physicians, senior nurses, and specialist therapists, where domestic supply remains insufficient relative to demand.</w:t>
      </w:r>
    </w:p>
    <w:p>
      <w:pPr>
        <w:spacing w:after="60" w:before="60"/>
      </w:pPr>
      <w:r>
        <w:t xml:space="preserve"/>
      </w:r>
    </w:p>
    <w:p>
      <w:pPr>
        <w:spacing w:after="80" w:before="80" w:line="360"/>
        <w:jc w:val="both"/>
      </w:pPr>
      <w:r>
        <w:rPr>
          <w:rFonts w:ascii="Arial" w:cs="Arial" w:eastAsia="Arial" w:hAnsi="Arial"/>
          <w:b/>
          <w:bCs/>
          <w:sz w:val="22"/>
          <w:szCs w:val="22"/>
        </w:rPr>
        <w:t xml:space="preserve">Strategic driver: </w:t>
      </w:r>
      <w:r>
        <w:rPr>
          <w:rFonts w:ascii="Arial" w:cs="Arial" w:eastAsia="Arial" w:hAnsi="Arial"/>
          <w:sz w:val="22"/>
          <w:szCs w:val="22"/>
        </w:rPr>
        <w:t xml:space="preserve">Persistent structural shortages in clinical labour markets that cannot be resolved through domestic training pipelines within the medium term, particularly in nursing and medical specialisms.</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3.3 Technology Sector: Amazon UK and Google UK</w:t>
      </w:r>
    </w:p>
    <w:p>
      <w:pPr>
        <w:spacing w:after="80" w:before="80" w:line="360"/>
        <w:jc w:val="both"/>
      </w:pPr>
      <w:r>
        <w:rPr>
          <w:rFonts w:ascii="Arial" w:cs="Arial" w:eastAsia="Arial" w:hAnsi="Arial"/>
          <w:sz w:val="22"/>
          <w:szCs w:val="22"/>
        </w:rPr>
        <w:t xml:space="preserve">Amazon UK has emerged as one of the most active private-sector sponsors, recruiting internationally for roles in software engineering, data engineering, machine learning, cloud computing (primarily via AWS infrastructure), and logistics operations. Salaries for sponsored roles typically range from £45,000 to £90,000 or above, comfortably exceeding the post-2024 thresholds (Yosow, 2025). Google UK similarly maintains a prominent sponsorship pipeline, with demand centred on artificial intelligence engineers, product managers, and research scientists — categories prioritised under the UK government's own industrial strategy for AI leadership.</w:t>
      </w:r>
    </w:p>
    <w:p>
      <w:pPr>
        <w:spacing w:after="60" w:before="60"/>
      </w:pPr>
      <w:r>
        <w:t xml:space="preserve"/>
      </w:r>
    </w:p>
    <w:p>
      <w:pPr>
        <w:spacing w:after="80" w:before="80" w:line="360"/>
        <w:jc w:val="both"/>
      </w:pPr>
      <w:r>
        <w:rPr>
          <w:rFonts w:ascii="Arial" w:cs="Arial" w:eastAsia="Arial" w:hAnsi="Arial"/>
          <w:sz w:val="22"/>
          <w:szCs w:val="22"/>
        </w:rPr>
        <w:t xml:space="preserve">The technology sector's resilience as a sponsorship domain is attributable to three structural factors. First, the global nature of high-skill technology labour markets means no single country possesses sufficient domestic supply of specialists in rapidly evolving fields such as generative AI, cybersecurity, and quantum computing. Second, the salary profile of technology roles — routinely exceeding £50,000 — positions them well above revised thresholds. Third, the reputational and operational cost of talent gaps in technology functions is sufficiently high that employers are willing to absorb the £5,000-plus per-worker sponsorship cost (UK Visa Jobs, 2026a).</w:t>
      </w:r>
    </w:p>
    <w:p>
      <w:pPr>
        <w:spacing w:after="60" w:before="60"/>
      </w:pPr>
      <w:r>
        <w:t xml:space="preserve"/>
      </w:r>
    </w:p>
    <w:p>
      <w:pPr>
        <w:spacing w:after="80" w:before="80" w:line="360"/>
        <w:jc w:val="both"/>
      </w:pPr>
      <w:r>
        <w:rPr>
          <w:rFonts w:ascii="Arial" w:cs="Arial" w:eastAsia="Arial" w:hAnsi="Arial"/>
          <w:b/>
          <w:bCs/>
          <w:sz w:val="22"/>
          <w:szCs w:val="22"/>
        </w:rPr>
        <w:t xml:space="preserve">Strategic driver: </w:t>
      </w:r>
      <w:r>
        <w:rPr>
          <w:rFonts w:ascii="Arial" w:cs="Arial" w:eastAsia="Arial" w:hAnsi="Arial"/>
          <w:sz w:val="22"/>
          <w:szCs w:val="22"/>
        </w:rPr>
        <w:t xml:space="preserve">Global talent scarcity in high-value technology disciplines, combined with salary structures that comfortably satisfy regulatory thresholds and justify the administrative investment.</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3.4 Financial Services: HSBC, Barclays, and J.P. Morgan</w:t>
      </w:r>
    </w:p>
    <w:p>
      <w:pPr>
        <w:spacing w:after="80" w:before="80" w:line="360"/>
        <w:jc w:val="both"/>
      </w:pPr>
      <w:r>
        <w:rPr>
          <w:rFonts w:ascii="Arial" w:cs="Arial" w:eastAsia="Arial" w:hAnsi="Arial"/>
          <w:sz w:val="22"/>
          <w:szCs w:val="22"/>
        </w:rPr>
        <w:t xml:space="preserve">London's status as a leading global financial centre sustains substantial demand for internationally mobile talent in investment banking, quantitative analysis, risk management, compliance, and fintech. HSBC maintains a large sponsorship programme, though it withdrew junior sponsorship offers outside London in 2024 in response to tightened salary requirements (Yosow, 2025). Barclays sponsors roles in software development, business analysis, wealth management, and card product management. J.P. Morgan continues active international recruitment across investment banking and technology functions.</w:t>
      </w:r>
    </w:p>
    <w:p>
      <w:pPr>
        <w:spacing w:after="60" w:before="60"/>
      </w:pPr>
      <w:r>
        <w:t xml:space="preserve"/>
      </w:r>
    </w:p>
    <w:p>
      <w:pPr>
        <w:spacing w:after="80" w:before="80" w:line="360"/>
        <w:jc w:val="both"/>
      </w:pPr>
      <w:r>
        <w:rPr>
          <w:rFonts w:ascii="Arial" w:cs="Arial" w:eastAsia="Arial" w:hAnsi="Arial"/>
          <w:sz w:val="22"/>
          <w:szCs w:val="22"/>
        </w:rPr>
        <w:t xml:space="preserve">The financial services sector illustrates the bifurcation that salary threshold increases have introduced into corporate sponsorship behaviour. Roles at senior and specialist levels — where salary packages frequently exceed £70,000 — remain straightforwardly eligible and continue to attract overseas talent with minimal friction. Mid-level roles, however, have faced greater disruption, with some firms making strategic decisions to upskill domestically rather than incur the additional costs and administrative complexity associated with international hiring at that level.</w:t>
      </w:r>
    </w:p>
    <w:p>
      <w:pPr>
        <w:spacing w:after="60" w:before="60"/>
      </w:pPr>
      <w:r>
        <w:t xml:space="preserve"/>
      </w:r>
    </w:p>
    <w:p>
      <w:pPr>
        <w:spacing w:after="80" w:before="80" w:line="360"/>
        <w:jc w:val="both"/>
      </w:pPr>
      <w:r>
        <w:rPr>
          <w:rFonts w:ascii="Arial" w:cs="Arial" w:eastAsia="Arial" w:hAnsi="Arial"/>
          <w:b/>
          <w:bCs/>
          <w:sz w:val="22"/>
          <w:szCs w:val="22"/>
        </w:rPr>
        <w:t xml:space="preserve">Strategic driver: </w:t>
      </w:r>
      <w:r>
        <w:rPr>
          <w:rFonts w:ascii="Arial" w:cs="Arial" w:eastAsia="Arial" w:hAnsi="Arial"/>
          <w:sz w:val="22"/>
          <w:szCs w:val="22"/>
        </w:rPr>
        <w:t xml:space="preserve">The structural demand for specialist financial and quantitative expertise in a globally integrated market, concentrated primarily at senior levels following 2024 threshold revisions.</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3.5 Professional Services: PwC and the 'Big Four'</w:t>
      </w:r>
    </w:p>
    <w:p>
      <w:pPr>
        <w:spacing w:after="80" w:before="80" w:line="360"/>
        <w:jc w:val="both"/>
      </w:pPr>
      <w:r>
        <w:rPr>
          <w:rFonts w:ascii="Arial" w:cs="Arial" w:eastAsia="Arial" w:hAnsi="Arial"/>
          <w:sz w:val="22"/>
          <w:szCs w:val="22"/>
        </w:rPr>
        <w:t xml:space="preserve">PricewaterhouseCoopers (PwC) is consistently identified as one of the most active sponsors among UK professional services firms, recruiting internationally for roles in audit, consulting, tax advisory, and technology. PwC's graduate programme retains international pathways, though some firms in this category scaled back graduate-level sponsorship in 2024 before reinstating it for higher-qualified candidates (UK Visa Jobs, 2026b). The Big Four firms — PwC, Deloitte, EY, and KPMG — share a common strategic logic: a global client base demanding global expertise, and a workforce model that actively values international experience as a differentiator in consulting engagements.</w:t>
      </w:r>
    </w:p>
    <w:p>
      <w:pPr>
        <w:spacing w:after="60" w:before="60"/>
      </w:pPr>
      <w:r>
        <w:t xml:space="preserve"/>
      </w:r>
    </w:p>
    <w:p>
      <w:pPr>
        <w:spacing w:after="80" w:before="80" w:line="360"/>
        <w:jc w:val="both"/>
      </w:pPr>
      <w:r>
        <w:rPr>
          <w:rFonts w:ascii="Arial" w:cs="Arial" w:eastAsia="Arial" w:hAnsi="Arial"/>
          <w:b/>
          <w:bCs/>
          <w:sz w:val="22"/>
          <w:szCs w:val="22"/>
        </w:rPr>
        <w:t xml:space="preserve">Strategic driver: </w:t>
      </w:r>
      <w:r>
        <w:rPr>
          <w:rFonts w:ascii="Arial" w:cs="Arial" w:eastAsia="Arial" w:hAnsi="Arial"/>
          <w:sz w:val="22"/>
          <w:szCs w:val="22"/>
        </w:rPr>
        <w:t xml:space="preserve">Client-facing demands for internationally experienced professionals and the premium placed on cross-border expertise within global consulting and audit engagements.</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3.6 Pharmaceuticals and Life Sciences: GSK and the Biotech Sector</w:t>
      </w:r>
    </w:p>
    <w:p>
      <w:pPr>
        <w:spacing w:after="80" w:before="80" w:line="360"/>
        <w:jc w:val="both"/>
      </w:pPr>
      <w:r>
        <w:rPr>
          <w:rFonts w:ascii="Arial" w:cs="Arial" w:eastAsia="Arial" w:hAnsi="Arial"/>
          <w:sz w:val="22"/>
          <w:szCs w:val="22"/>
        </w:rPr>
        <w:t xml:space="preserve">GlaxoSmithKline (GSK) exemplifies the life sciences sector's sustained reliance on international scientific talent. GSK sponsors roles across microbiology, clinical research, medical robotics, lab automation, and commercial operations, with salaries for sponsored positions typically exceeding £50,000. Its Future Leaders Graduate Programme explicitly accommodates international candidates requiring visa sponsorship (Indeed, 2025). The broader pharmaceutical and biotech sector mirrors this pattern, driven by a global competition for researchers and scientists — a cohort whose specialist knowledge cannot be substituted through domestic recruitment alone.</w:t>
      </w:r>
    </w:p>
    <w:p>
      <w:pPr>
        <w:spacing w:after="60" w:before="60"/>
      </w:pPr>
      <w:r>
        <w:t xml:space="preserve"/>
      </w:r>
    </w:p>
    <w:p>
      <w:pPr>
        <w:spacing w:after="80" w:before="80" w:line="360"/>
        <w:jc w:val="both"/>
      </w:pPr>
      <w:r>
        <w:rPr>
          <w:rFonts w:ascii="Arial" w:cs="Arial" w:eastAsia="Arial" w:hAnsi="Arial"/>
          <w:sz w:val="22"/>
          <w:szCs w:val="22"/>
        </w:rPr>
        <w:t xml:space="preserve">The UK government's stated ambition to position the country as a world leader in life sciences, as referenced in the 2025 Immigration White Paper, has informed policy decisions to maintain accessible sponsorship routes for highly skilled STEM professionals even as lower-skilled occupations have been progressively removed from eligibility (UK Visa Jobs, 2026b).</w:t>
      </w:r>
    </w:p>
    <w:p>
      <w:pPr>
        <w:spacing w:after="60" w:before="60"/>
      </w:pPr>
      <w:r>
        <w:t xml:space="preserve"/>
      </w:r>
    </w:p>
    <w:p>
      <w:pPr>
        <w:spacing w:after="80" w:before="80" w:line="360"/>
        <w:jc w:val="both"/>
      </w:pPr>
      <w:r>
        <w:rPr>
          <w:rFonts w:ascii="Arial" w:cs="Arial" w:eastAsia="Arial" w:hAnsi="Arial"/>
          <w:b/>
          <w:bCs/>
          <w:sz w:val="22"/>
          <w:szCs w:val="22"/>
        </w:rPr>
        <w:t xml:space="preserve">Strategic driver: </w:t>
      </w:r>
      <w:r>
        <w:rPr>
          <w:rFonts w:ascii="Arial" w:cs="Arial" w:eastAsia="Arial" w:hAnsi="Arial"/>
          <w:sz w:val="22"/>
          <w:szCs w:val="22"/>
        </w:rPr>
        <w:t xml:space="preserve">Acute global scarcity of specialist scientific talent and alignment with national industrial strategy priorities in life sciences and advanced pharmaceuticals.</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4. Analytical Framework: Why Companies Sponsor</w:t>
      </w:r>
    </w:p>
    <w:p>
      <w:pPr>
        <w:pStyle w:val="Heading2"/>
        <w:spacing w:after="120" w:before="240"/>
      </w:pPr>
      <w:r>
        <w:rPr>
          <w:rFonts w:ascii="Arial" w:cs="Arial" w:eastAsia="Arial" w:hAnsi="Arial"/>
          <w:b/>
          <w:bCs/>
          <w:color w:val="2E74B5"/>
          <w:sz w:val="26"/>
          <w:szCs w:val="26"/>
        </w:rPr>
        <w:t xml:space="preserve">4.1 Labour Market Shortages and Structural Gaps</w:t>
      </w:r>
    </w:p>
    <w:p>
      <w:pPr>
        <w:spacing w:after="80" w:before="80" w:line="360"/>
        <w:jc w:val="both"/>
      </w:pPr>
      <w:r>
        <w:rPr>
          <w:rFonts w:ascii="Arial" w:cs="Arial" w:eastAsia="Arial" w:hAnsi="Arial"/>
          <w:sz w:val="22"/>
          <w:szCs w:val="22"/>
        </w:rPr>
        <w:t xml:space="preserve">The primary and most fundamental driver of corporate sponsorship activity is the existence of persistent structural shortages in specific occupational categories. The UK's domestic education and training pipeline has consistently under-produced graduates in clinical medicine, specialist nursing, software engineering, data science, and quantitative finance relative to employer demand. In the construction sector, the Construction Industry Training Board estimates that 61,000 new workers must be recruited annually to meet the government's housebuilding target of 1.5 million homes by 2030 — against just 1,660 Skilled Worker visas issued to the construction sector in the year to September 2025, or approximately 37 times fewer than required (Work Rights Centre, 2025). This structural mismatch between domestic labour supply and employer demand in critical sectors constitutes the foundational business rationale for sponsorship.</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4.2 Competitive Talent Acquisition and Global Recruitment Pipelines</w:t>
      </w:r>
    </w:p>
    <w:p>
      <w:pPr>
        <w:spacing w:after="80" w:before="80" w:line="360"/>
        <w:jc w:val="both"/>
      </w:pPr>
      <w:r>
        <w:rPr>
          <w:rFonts w:ascii="Arial" w:cs="Arial" w:eastAsia="Arial" w:hAnsi="Arial"/>
          <w:sz w:val="22"/>
          <w:szCs w:val="22"/>
        </w:rPr>
        <w:t xml:space="preserve">For multinational corporations operating in globally competitive markets, the ability to recruit from an international talent pool is not merely a supplementary strategy but a core component of workforce planning. Organisations such as Amazon, Google, HSBC, and GSK operate in sectors where intellectual capital is the primary source of competitive advantage, and where the relevant talent pool is globally distributed. Restricting recruitment to domestic candidates would, in practice, impose a structural disadvantage relative to competitors headquartered in jurisdictions with more permissive immigration regimes. As top employers including PwC, Amazon, and the NHS have continued to maintain their international hiring pipelines, the focus has increasingly shifted toward role justification and long-term workforce planning rather than volume (UK Visa Jobs, 2026b).</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4.3 Financial Investment and Cost-Benefit Assessment</w:t>
      </w:r>
    </w:p>
    <w:p>
      <w:pPr>
        <w:spacing w:after="80" w:before="80" w:line="360"/>
        <w:jc w:val="both"/>
      </w:pPr>
      <w:r>
        <w:rPr>
          <w:rFonts w:ascii="Arial" w:cs="Arial" w:eastAsia="Arial" w:hAnsi="Arial"/>
          <w:sz w:val="22"/>
          <w:szCs w:val="22"/>
        </w:rPr>
        <w:t xml:space="preserve">Sponsorship represents a material financial investment. Costs per sponsored worker — incorporating the Certificate of Sponsorship fee (£525 following the 120% increase in April 2025), the Immigration Skills Charge (raised a further 32% in December 2025), legal advisory fees, and internal administrative resource — routinely exceed £5,000 per worker for a three-year sponsorship period (Sponsor Licence Lawyers, 2026). Employers' decision to absorb these costs reflects a rational cost-benefit calculation: where the productivity, specialisation, or revenue-generating capacity of an internationally recruited worker exceeds the total cost of sponsorship, the business case is robust. This logic applies most powerfully at senior and specialist levels — precisely where the most active sponsorship continues to occur following threshold revisions.</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4.4 The Compliance Burden and Reputational Risk</w:t>
      </w:r>
    </w:p>
    <w:p>
      <w:pPr>
        <w:spacing w:after="80" w:before="80" w:line="360"/>
        <w:jc w:val="both"/>
      </w:pPr>
      <w:r>
        <w:rPr>
          <w:rFonts w:ascii="Arial" w:cs="Arial" w:eastAsia="Arial" w:hAnsi="Arial"/>
          <w:sz w:val="22"/>
          <w:szCs w:val="22"/>
        </w:rPr>
        <w:t xml:space="preserve">The intensification of Home Office enforcement has introduced a significant compliance dimension to sponsorship decisions. Businesses found guilty of exploiting migrant workers or breaching visa conditions now face a two-year ban on hiring foreign workers, an increase from the previous one-year restriction (UK Visa Jobs, 2026b). The 396% increase in licence revocations between 2022–23 and 2024–25 signals the Home Office's willingness to act decisively against non-compliant sponsors (Sponsor Licence Lawyers, 2026). Large, well-resourced organisations with dedicated HR and legal functions are better positioned to manage these compliance requirements than smaller employers, which partly explains why sponsorship activity is disproportionately concentrated among major corporations and public sector bodies.</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5. Critical Evaluation and Broader Implications</w:t>
      </w:r>
    </w:p>
    <w:p>
      <w:pPr>
        <w:pStyle w:val="Heading2"/>
        <w:spacing w:after="120" w:before="240"/>
      </w:pPr>
      <w:r>
        <w:rPr>
          <w:rFonts w:ascii="Arial" w:cs="Arial" w:eastAsia="Arial" w:hAnsi="Arial"/>
          <w:b/>
          <w:bCs/>
          <w:color w:val="2E74B5"/>
          <w:sz w:val="26"/>
          <w:szCs w:val="26"/>
        </w:rPr>
        <w:t xml:space="preserve">5.1 Equity and Geographic Imbalance</w:t>
      </w:r>
    </w:p>
    <w:p>
      <w:pPr>
        <w:spacing w:after="80" w:before="80" w:line="360"/>
        <w:jc w:val="both"/>
      </w:pPr>
      <w:r>
        <w:rPr>
          <w:rFonts w:ascii="Arial" w:cs="Arial" w:eastAsia="Arial" w:hAnsi="Arial"/>
          <w:sz w:val="22"/>
          <w:szCs w:val="22"/>
        </w:rPr>
        <w:t xml:space="preserve">A recurring critique of the UK's salary-threshold-based approach is that it disproportionately benefits organisations in London and the South East, where wage rates are structurally higher. The disproportionate impact of the salary threshold on regions outside London and the South East was specifically flagged in parliamentary evidence submitted to the Public Accounts Committee during its 2025 inquiry into the Skilled Worker visa route (Parliament UK, 2025). For employers in regions such as the North East or Wales, the £38,700 general threshold represents a considerable constraint that their southern counterparts do not face to the same degree. This geographic inequity has implications for levelling-up ambitions and regional economic development.</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5.2 Worker Vulnerability and Exploitation Risk</w:t>
      </w:r>
    </w:p>
    <w:p>
      <w:pPr>
        <w:spacing w:after="80" w:before="80" w:line="360"/>
        <w:jc w:val="both"/>
      </w:pPr>
      <w:r>
        <w:rPr>
          <w:rFonts w:ascii="Arial" w:cs="Arial" w:eastAsia="Arial" w:hAnsi="Arial"/>
          <w:sz w:val="22"/>
          <w:szCs w:val="22"/>
        </w:rPr>
        <w:t xml:space="preserve">The power asymmetry inherent in sponsorship — whereby a worker's legal right to remain in the UK is contingent on continued employment with their sponsor — has been identified as a vector for labour exploitation. Parliamentary scrutiny has highlighted evidence of sponsors making workers work excessive hours, engage in unpaid overtime, and in the most egregious cases, involvement in modern slavery and trafficking, particularly within the care sector (Parliament UK, 2025; Work Rights Centre, 2025). The Home Office's own concession that it referred only 1% of sponsors for enhanced compliance checks in 2024 suggests that oversight capacity remains materially insufficient relative to the scale of the risk (Parliament UK, 2025).</w:t>
      </w:r>
    </w:p>
    <w:p>
      <w:pPr>
        <w:spacing w:after="60" w:before="60"/>
      </w:pPr>
      <w:r>
        <w:t xml:space="preserve"/>
      </w:r>
    </w:p>
    <w:p>
      <w:pPr>
        <w:pStyle w:val="Heading2"/>
        <w:spacing w:after="120" w:before="240"/>
      </w:pPr>
      <w:r>
        <w:rPr>
          <w:rFonts w:ascii="Arial" w:cs="Arial" w:eastAsia="Arial" w:hAnsi="Arial"/>
          <w:b/>
          <w:bCs/>
          <w:color w:val="2E74B5"/>
          <w:sz w:val="26"/>
          <w:szCs w:val="26"/>
        </w:rPr>
        <w:t xml:space="preserve">5.3 Economic Consequences of Restriction</w:t>
      </w:r>
    </w:p>
    <w:p>
      <w:pPr>
        <w:spacing w:after="80" w:before="80" w:line="360"/>
        <w:jc w:val="both"/>
      </w:pPr>
      <w:r>
        <w:rPr>
          <w:rFonts w:ascii="Arial" w:cs="Arial" w:eastAsia="Arial" w:hAnsi="Arial"/>
          <w:sz w:val="22"/>
          <w:szCs w:val="22"/>
        </w:rPr>
        <w:t xml:space="preserve">The dramatic contraction in visa volumes following the 2024 and 2025 reforms has generated concern about unintended consequences for the UK economy. In sectors identified by the Migration Advisory Committee as 'potentially crucial' to the government's Industrial Strategy, just 7,572 Skilled Worker visas were issued in the twelve months to September 2025, including only 344 to engineering technicians and 311 to welders (Work Rights Centre, 2025). With domestic labour supply unlikely to fill these gaps at pace, labour shortages in construction, manufacturing, and infrastructure risk becoming a binding constraint on the government's own growth agenda.</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6. Conclusion</w:t>
      </w:r>
    </w:p>
    <w:p>
      <w:pPr>
        <w:spacing w:after="80" w:before="80" w:line="360"/>
        <w:jc w:val="both"/>
      </w:pPr>
      <w:r>
        <w:rPr>
          <w:rFonts w:ascii="Arial" w:cs="Arial" w:eastAsia="Arial" w:hAnsi="Arial"/>
          <w:sz w:val="22"/>
          <w:szCs w:val="22"/>
        </w:rPr>
        <w:t xml:space="preserve">This case study has demonstrated that skilled worker sponsorship in the United Kingdom is concentrated among a relatively small number of large, well-resourced organisations operating in healthcare, technology, financial services, professional services, and pharmaceuticals. The NHS, as the UK's largest employer, leads sponsorship volumes, followed by major private sector employers including Amazon, HSBC, PwC, Google, and GSK. The primary drivers of sponsorship activity — structural labour market shortages, competitive talent acquisition imperatives, and the business case for specialist international expertise — are consistent across sectors, though the specific configuration varies by industry.</w:t>
      </w:r>
    </w:p>
    <w:p>
      <w:pPr>
        <w:spacing w:after="60" w:before="60"/>
      </w:pPr>
      <w:r>
        <w:t xml:space="preserve"/>
      </w:r>
    </w:p>
    <w:p>
      <w:pPr>
        <w:spacing w:after="80" w:before="80" w:line="360"/>
        <w:jc w:val="both"/>
      </w:pPr>
      <w:r>
        <w:rPr>
          <w:rFonts w:ascii="Arial" w:cs="Arial" w:eastAsia="Arial" w:hAnsi="Arial"/>
          <w:sz w:val="22"/>
          <w:szCs w:val="22"/>
        </w:rPr>
        <w:t xml:space="preserve">The period from 2023 to 2026 has been one of rapid and significant policy evolution, characterised by rising salary thresholds, tightening occupational eligibility, and intensified compliance enforcement. These changes have reduced the total volume of sponsorship but have not eliminated it: organisations for which international talent is strategically essential continue to invest in sponsorship, accepting the increased financial and administrative burden as the cost of maintaining access to global labour markets.</w:t>
      </w:r>
    </w:p>
    <w:p>
      <w:pPr>
        <w:spacing w:after="60" w:before="60"/>
      </w:pPr>
      <w:r>
        <w:t xml:space="preserve"/>
      </w:r>
    </w:p>
    <w:p>
      <w:pPr>
        <w:spacing w:after="80" w:before="80" w:line="360"/>
        <w:jc w:val="both"/>
      </w:pPr>
      <w:r>
        <w:rPr>
          <w:rFonts w:ascii="Arial" w:cs="Arial" w:eastAsia="Arial" w:hAnsi="Arial"/>
          <w:sz w:val="22"/>
          <w:szCs w:val="22"/>
        </w:rPr>
        <w:t xml:space="preserve">The central strategic insight for business management practitioners is that sponsorship is most durable where it is anchored in genuine structural labour market need, where the role's salary profile comfortably exceeds regulatory thresholds, and where the organisation possesses sufficient scale and compliance infrastructure to manage the administrative requirements. As the UK continues to refine its immigration framework, corporate sponsors will need to embed international workforce planning as a core element of strategic HRM — proactively mapping talent pipelines, engaging with evolving policy, and building the compliance capabilities necessary to sustain their international recruitment programmes.</w:t>
      </w:r>
    </w:p>
    <w:p>
      <w:pPr>
        <w:spacing w:after="60" w:before="60"/>
      </w:pPr>
      <w:r>
        <w:t xml:space="preserve"/>
      </w:r>
    </w:p>
    <w:p>
      <w:pPr>
        <w:pStyle w:val="Heading1"/>
        <w:spacing w:after="160" w:before="320"/>
      </w:pPr>
      <w:r>
        <w:rPr>
          <w:rFonts w:ascii="Arial" w:cs="Arial" w:eastAsia="Arial" w:hAnsi="Arial"/>
          <w:b/>
          <w:bCs/>
          <w:color w:val="1F3864"/>
          <w:sz w:val="30"/>
          <w:szCs w:val="30"/>
        </w:rPr>
        <w:t xml:space="preserve">References</w:t>
      </w:r>
    </w:p>
    <w:p>
      <w:pPr>
        <w:spacing w:after="80" w:before="80" w:line="360"/>
      </w:pPr>
      <w:r>
        <w:rPr>
          <w:rFonts w:ascii="Arial" w:cs="Arial" w:eastAsia="Arial" w:hAnsi="Arial"/>
          <w:b/>
          <w:bCs/>
          <w:i w:val="false"/>
          <w:iCs w:val="false"/>
          <w:sz w:val="22"/>
          <w:szCs w:val="22"/>
        </w:rPr>
        <w:t xml:space="preserve">Davidson Morris (2026) </w:t>
      </w:r>
      <w:r>
        <w:rPr>
          <w:rFonts w:ascii="Arial" w:cs="Arial" w:eastAsia="Arial" w:hAnsi="Arial"/>
          <w:i/>
          <w:iCs/>
          <w:sz w:val="22"/>
          <w:szCs w:val="22"/>
        </w:rPr>
        <w:t xml:space="preserve">List of Companies That Can Sponsor a Visa in the UK.</w:t>
      </w:r>
      <w:r>
        <w:rPr>
          <w:rFonts w:ascii="Arial" w:cs="Arial" w:eastAsia="Arial" w:hAnsi="Arial"/>
          <w:sz w:val="22"/>
          <w:szCs w:val="22"/>
        </w:rPr>
        <w:t xml:space="preserve"> [Online] Available at: https://www.davidsonmorris.com/list-of-companies-that-can-sponsor-visa-in-uk/ [Accessed April 2026].</w:t>
      </w:r>
    </w:p>
    <w:p>
      <w:pPr>
        <w:spacing w:after="60" w:before="60"/>
      </w:pPr>
      <w:r>
        <w:t xml:space="preserve"/>
      </w:r>
    </w:p>
    <w:p>
      <w:pPr>
        <w:spacing w:after="80" w:before="80" w:line="360"/>
      </w:pPr>
      <w:r>
        <w:rPr>
          <w:rFonts w:ascii="Arial" w:cs="Arial" w:eastAsia="Arial" w:hAnsi="Arial"/>
          <w:b/>
          <w:bCs/>
          <w:sz w:val="22"/>
          <w:szCs w:val="22"/>
        </w:rPr>
        <w:t xml:space="preserve">Indeed UK (2025) </w:t>
      </w:r>
      <w:r>
        <w:rPr>
          <w:rFonts w:ascii="Arial" w:cs="Arial" w:eastAsia="Arial" w:hAnsi="Arial"/>
          <w:i/>
          <w:iCs/>
          <w:sz w:val="22"/>
          <w:szCs w:val="22"/>
        </w:rPr>
        <w:t xml:space="preserve">A List of Companies That Can Sponsor a Visa in the UK.</w:t>
      </w:r>
      <w:r>
        <w:rPr>
          <w:rFonts w:ascii="Arial" w:cs="Arial" w:eastAsia="Arial" w:hAnsi="Arial"/>
          <w:sz w:val="22"/>
          <w:szCs w:val="22"/>
        </w:rPr>
        <w:t xml:space="preserve"> [Online] Available at: https://uk.indeed.com/career-advice/finding-a-job/list-companies-sponsor-visa-uk [Accessed April 2026].</w:t>
      </w:r>
    </w:p>
    <w:p>
      <w:pPr>
        <w:spacing w:after="60" w:before="60"/>
      </w:pPr>
      <w:r>
        <w:t xml:space="preserve"/>
      </w:r>
    </w:p>
    <w:p>
      <w:pPr>
        <w:spacing w:after="80" w:before="80" w:line="360"/>
      </w:pPr>
      <w:r>
        <w:rPr>
          <w:rFonts w:ascii="Arial" w:cs="Arial" w:eastAsia="Arial" w:hAnsi="Arial"/>
          <w:b/>
          <w:bCs/>
          <w:sz w:val="22"/>
          <w:szCs w:val="22"/>
        </w:rPr>
        <w:t xml:space="preserve">Migration Observatory (2025) </w:t>
      </w:r>
      <w:r>
        <w:rPr>
          <w:rFonts w:ascii="Arial" w:cs="Arial" w:eastAsia="Arial" w:hAnsi="Arial"/>
          <w:i/>
          <w:iCs/>
          <w:sz w:val="22"/>
          <w:szCs w:val="22"/>
        </w:rPr>
        <w:t xml:space="preserve">Migration Statistics Show Dramatic Fall in Visas Granted in 2024.</w:t>
      </w:r>
      <w:r>
        <w:rPr>
          <w:rFonts w:ascii="Arial" w:cs="Arial" w:eastAsia="Arial" w:hAnsi="Arial"/>
          <w:sz w:val="22"/>
          <w:szCs w:val="22"/>
        </w:rPr>
        <w:t xml:space="preserve"> University of Oxford. [Online] Available at: https://migrationobservatory.ox.ac.uk [Accessed April 2026].</w:t>
      </w:r>
    </w:p>
    <w:p>
      <w:pPr>
        <w:spacing w:after="60" w:before="60"/>
      </w:pPr>
      <w:r>
        <w:t xml:space="preserve"/>
      </w:r>
    </w:p>
    <w:p>
      <w:pPr>
        <w:spacing w:after="80" w:before="80" w:line="360"/>
      </w:pPr>
      <w:r>
        <w:rPr>
          <w:rFonts w:ascii="Arial" w:cs="Arial" w:eastAsia="Arial" w:hAnsi="Arial"/>
          <w:b/>
          <w:bCs/>
          <w:sz w:val="22"/>
          <w:szCs w:val="22"/>
        </w:rPr>
        <w:t xml:space="preserve">National Audit Office (2025) </w:t>
      </w:r>
      <w:r>
        <w:rPr>
          <w:rFonts w:ascii="Arial" w:cs="Arial" w:eastAsia="Arial" w:hAnsi="Arial"/>
          <w:i/>
          <w:iCs/>
          <w:sz w:val="22"/>
          <w:szCs w:val="22"/>
        </w:rPr>
        <w:t xml:space="preserve">Immigration: Skilled Worker Visas — Summary.</w:t>
      </w:r>
      <w:r>
        <w:rPr>
          <w:rFonts w:ascii="Arial" w:cs="Arial" w:eastAsia="Arial" w:hAnsi="Arial"/>
          <w:sz w:val="22"/>
          <w:szCs w:val="22"/>
        </w:rPr>
        <w:t xml:space="preserve"> HC Session 2024–25, 17 March 2025. London: NAO.</w:t>
      </w:r>
    </w:p>
    <w:p>
      <w:pPr>
        <w:spacing w:after="60" w:before="60"/>
      </w:pPr>
      <w:r>
        <w:t xml:space="preserve"/>
      </w:r>
    </w:p>
    <w:p>
      <w:pPr>
        <w:spacing w:after="80" w:before="80" w:line="360"/>
      </w:pPr>
      <w:r>
        <w:rPr>
          <w:rFonts w:ascii="Arial" w:cs="Arial" w:eastAsia="Arial" w:hAnsi="Arial"/>
          <w:b/>
          <w:bCs/>
          <w:sz w:val="22"/>
          <w:szCs w:val="22"/>
        </w:rPr>
        <w:t xml:space="preserve">Parliament UK — Public Accounts Committee (2025) </w:t>
      </w:r>
      <w:r>
        <w:rPr>
          <w:rFonts w:ascii="Arial" w:cs="Arial" w:eastAsia="Arial" w:hAnsi="Arial"/>
          <w:i/>
          <w:iCs/>
          <w:sz w:val="22"/>
          <w:szCs w:val="22"/>
        </w:rPr>
        <w:t xml:space="preserve">Immigration: Skilled Worker Visas.</w:t>
      </w:r>
      <w:r>
        <w:rPr>
          <w:rFonts w:ascii="Arial" w:cs="Arial" w:eastAsia="Arial" w:hAnsi="Arial"/>
          <w:sz w:val="22"/>
          <w:szCs w:val="22"/>
        </w:rPr>
        <w:t xml:space="preserve"> [Online] Available at: https://publications.parliament.uk [Accessed April 2026].</w:t>
      </w:r>
    </w:p>
    <w:p>
      <w:pPr>
        <w:spacing w:after="60" w:before="60"/>
      </w:pPr>
      <w:r>
        <w:t xml:space="preserve"/>
      </w:r>
    </w:p>
    <w:p>
      <w:pPr>
        <w:spacing w:after="80" w:before="80" w:line="360"/>
      </w:pPr>
      <w:r>
        <w:rPr>
          <w:rFonts w:ascii="Arial" w:cs="Arial" w:eastAsia="Arial" w:hAnsi="Arial"/>
          <w:b/>
          <w:bCs/>
          <w:sz w:val="22"/>
          <w:szCs w:val="22"/>
        </w:rPr>
        <w:t xml:space="preserve">Sponsor Licence Lawyers (2026) </w:t>
      </w:r>
      <w:r>
        <w:rPr>
          <w:rFonts w:ascii="Arial" w:cs="Arial" w:eastAsia="Arial" w:hAnsi="Arial"/>
          <w:i/>
          <w:iCs/>
          <w:sz w:val="22"/>
          <w:szCs w:val="22"/>
        </w:rPr>
        <w:t xml:space="preserve">List of Companies That Can Sponsor Visas in the UK 2025/2026.</w:t>
      </w:r>
      <w:r>
        <w:rPr>
          <w:rFonts w:ascii="Arial" w:cs="Arial" w:eastAsia="Arial" w:hAnsi="Arial"/>
          <w:sz w:val="22"/>
          <w:szCs w:val="22"/>
        </w:rPr>
        <w:t xml:space="preserve"> [Online] Available at: https://sponsorlicenselawyers.co.uk [Accessed April 2026].</w:t>
      </w:r>
    </w:p>
    <w:p>
      <w:pPr>
        <w:spacing w:after="60" w:before="60"/>
      </w:pPr>
      <w:r>
        <w:t xml:space="preserve"/>
      </w:r>
    </w:p>
    <w:p>
      <w:pPr>
        <w:spacing w:after="80" w:before="80" w:line="360"/>
      </w:pPr>
      <w:r>
        <w:rPr>
          <w:rFonts w:ascii="Arial" w:cs="Arial" w:eastAsia="Arial" w:hAnsi="Arial"/>
          <w:b/>
          <w:bCs/>
          <w:sz w:val="22"/>
          <w:szCs w:val="22"/>
        </w:rPr>
        <w:t xml:space="preserve">UK Visa Jobs (2026a) </w:t>
      </w:r>
      <w:r>
        <w:rPr>
          <w:rFonts w:ascii="Arial" w:cs="Arial" w:eastAsia="Arial" w:hAnsi="Arial"/>
          <w:i/>
          <w:iCs/>
          <w:sz w:val="22"/>
          <w:szCs w:val="22"/>
        </w:rPr>
        <w:t xml:space="preserve">Top 10 UK Employers in 2025: Who Offers Visa Sponsorship?</w:t>
      </w:r>
      <w:r>
        <w:rPr>
          <w:rFonts w:ascii="Arial" w:cs="Arial" w:eastAsia="Arial" w:hAnsi="Arial"/>
          <w:sz w:val="22"/>
          <w:szCs w:val="22"/>
        </w:rPr>
        <w:t xml:space="preserve"> [Online] Available at: https://www.ukvisajobs.com [Accessed April 2026].</w:t>
      </w:r>
    </w:p>
    <w:p>
      <w:pPr>
        <w:spacing w:after="60" w:before="60"/>
      </w:pPr>
      <w:r>
        <w:t xml:space="preserve"/>
      </w:r>
    </w:p>
    <w:p>
      <w:pPr>
        <w:spacing w:after="80" w:before="80" w:line="360"/>
      </w:pPr>
      <w:r>
        <w:rPr>
          <w:rFonts w:ascii="Arial" w:cs="Arial" w:eastAsia="Arial" w:hAnsi="Arial"/>
          <w:b/>
          <w:bCs/>
          <w:sz w:val="22"/>
          <w:szCs w:val="22"/>
        </w:rPr>
        <w:t xml:space="preserve">UK Visa Jobs (2026b) </w:t>
      </w:r>
      <w:r>
        <w:rPr>
          <w:rFonts w:ascii="Arial" w:cs="Arial" w:eastAsia="Arial" w:hAnsi="Arial"/>
          <w:i/>
          <w:iCs/>
          <w:sz w:val="22"/>
          <w:szCs w:val="22"/>
        </w:rPr>
        <w:t xml:space="preserve">Top Visa Sponsoring Employers in the UK in 2025.</w:t>
      </w:r>
      <w:r>
        <w:rPr>
          <w:rFonts w:ascii="Arial" w:cs="Arial" w:eastAsia="Arial" w:hAnsi="Arial"/>
          <w:sz w:val="22"/>
          <w:szCs w:val="22"/>
        </w:rPr>
        <w:t xml:space="preserve"> [Online] Available at: https://www.ukvisajobs.com [Accessed April 2026].</w:t>
      </w:r>
    </w:p>
    <w:p>
      <w:pPr>
        <w:spacing w:after="60" w:before="60"/>
      </w:pPr>
      <w:r>
        <w:t xml:space="preserve"/>
      </w:r>
    </w:p>
    <w:p>
      <w:pPr>
        <w:spacing w:after="80" w:before="80" w:line="360"/>
      </w:pPr>
      <w:r>
        <w:rPr>
          <w:rFonts w:ascii="Arial" w:cs="Arial" w:eastAsia="Arial" w:hAnsi="Arial"/>
          <w:b/>
          <w:bCs/>
          <w:sz w:val="22"/>
          <w:szCs w:val="22"/>
        </w:rPr>
        <w:t xml:space="preserve">Work Rights Centre (2025) </w:t>
      </w:r>
      <w:r>
        <w:rPr>
          <w:rFonts w:ascii="Arial" w:cs="Arial" w:eastAsia="Arial" w:hAnsi="Arial"/>
          <w:i/>
          <w:iCs/>
          <w:sz w:val="22"/>
          <w:szCs w:val="22"/>
        </w:rPr>
        <w:t xml:space="preserve">With Skilled Worker Visa Numbers in Decline, What's the Cost?</w:t>
      </w:r>
      <w:r>
        <w:rPr>
          <w:rFonts w:ascii="Arial" w:cs="Arial" w:eastAsia="Arial" w:hAnsi="Arial"/>
          <w:sz w:val="22"/>
          <w:szCs w:val="22"/>
        </w:rPr>
        <w:t xml:space="preserve"> [Online] Available at: https://www.workrightscentre.org [Accessed April 2026].</w:t>
      </w:r>
    </w:p>
    <w:p>
      <w:pPr>
        <w:spacing w:after="60" w:before="60"/>
      </w:pPr>
      <w:r>
        <w:t xml:space="preserve"/>
      </w:r>
    </w:p>
    <w:p>
      <w:pPr>
        <w:spacing w:after="80" w:before="80" w:line="360"/>
      </w:pPr>
      <w:r>
        <w:rPr>
          <w:rFonts w:ascii="Arial" w:cs="Arial" w:eastAsia="Arial" w:hAnsi="Arial"/>
          <w:b/>
          <w:bCs/>
          <w:sz w:val="22"/>
          <w:szCs w:val="22"/>
        </w:rPr>
        <w:t xml:space="preserve">Yosow (2025) </w:t>
      </w:r>
      <w:r>
        <w:rPr>
          <w:rFonts w:ascii="Arial" w:cs="Arial" w:eastAsia="Arial" w:hAnsi="Arial"/>
          <w:i/>
          <w:iCs/>
          <w:sz w:val="22"/>
          <w:szCs w:val="22"/>
        </w:rPr>
        <w:t xml:space="preserve">Top 15 UK Companies Offering Work Visa Sponsorship in 2025.</w:t>
      </w:r>
      <w:r>
        <w:rPr>
          <w:rFonts w:ascii="Arial" w:cs="Arial" w:eastAsia="Arial" w:hAnsi="Arial"/>
          <w:sz w:val="22"/>
          <w:szCs w:val="22"/>
        </w:rPr>
        <w:t xml:space="preserve"> [Online] Available at: https://yosow.com [Accessed April 2026].</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60" w:before="320"/>
      <w:outlineLvl w:val="0"/>
    </w:pPr>
    <w:rPr>
      <w:rFonts w:ascii="Arial" w:cs="Arial" w:eastAsia="Arial" w:hAnsi="Arial"/>
      <w:b/>
      <w:bCs/>
      <w:color w:val="1F3864"/>
      <w:sz w:val="30"/>
      <w:szCs w:val="30"/>
    </w:rPr>
  </w:style>
  <w:style w:type="paragraph" w:styleId="Heading2">
    <w:name w:val="Heading 2"/>
    <w:basedOn w:val="Normal"/>
    <w:next w:val="Normal"/>
    <w:qFormat/>
    <w:pPr>
      <w:spacing w:after="120" w:before="240"/>
      <w:outlineLvl w:val="1"/>
    </w:pPr>
    <w:rPr>
      <w:rFonts w:ascii="Arial" w:cs="Arial" w:eastAsia="Arial" w:hAnsi="Arial"/>
      <w:b/>
      <w:bCs/>
      <w:color w:val="2E74B5"/>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2026-04-25T20:11:58.905Z</dcterms:created>
  <dcterms:modified xsi:type="dcterms:W3CDTF">2026-04-25T20:11:58.905Z</dcterms:modified>
</cp:coreProperties>
</file>

<file path=docProps/custom.xml><?xml version="1.0" encoding="utf-8"?>
<Properties xmlns="http://schemas.openxmlformats.org/officeDocument/2006/custom-properties" xmlns:vt="http://schemas.openxmlformats.org/officeDocument/2006/docPropsVTypes"/>
</file>