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r>
        <w:drawing xmlns:a="http://schemas.openxmlformats.org/drawingml/2006/main">
          <wp:inline distT="0" distB="0" distL="0" distR="0">
            <wp:extent cx="2038350" cy="704850"/>
            <wp:effectExtent l="0" t="0" r="0" b="0"/>
            <wp:docPr id="1073741825" name="officeArt object" descr="Picture 1054758965"/>
            <wp:cNvGraphicFramePr/>
            <a:graphic xmlns:a="http://schemas.openxmlformats.org/drawingml/2006/main">
              <a:graphicData uri="http://schemas.openxmlformats.org/drawingml/2006/picture">
                <pic:pic xmlns:pic="http://schemas.openxmlformats.org/drawingml/2006/picture">
                  <pic:nvPicPr>
                    <pic:cNvPr id="1073741825" name="Picture 1054758965" descr="Picture 1054758965"/>
                    <pic:cNvPicPr>
                      <a:picLocks noChangeAspect="1"/>
                    </pic:cNvPicPr>
                  </pic:nvPicPr>
                  <pic:blipFill>
                    <a:blip r:embed="rId4">
                      <a:extLst/>
                    </a:blip>
                    <a:stretch>
                      <a:fillRect/>
                    </a:stretch>
                  </pic:blipFill>
                  <pic:spPr>
                    <a:xfrm>
                      <a:off x="0" y="0"/>
                      <a:ext cx="2038350" cy="704850"/>
                    </a:xfrm>
                    <a:prstGeom prst="rect">
                      <a:avLst/>
                    </a:prstGeom>
                    <a:ln w="12700" cap="flat">
                      <a:noFill/>
                      <a:miter lim="400000"/>
                    </a:ln>
                    <a:effectLst/>
                  </pic:spPr>
                </pic:pic>
              </a:graphicData>
            </a:graphic>
          </wp:inline>
        </w:drawing>
      </w:r>
    </w:p>
    <w:p>
      <w:pPr>
        <w:pStyle w:val="Body A"/>
      </w:pPr>
    </w:p>
    <w:p>
      <w:pPr>
        <w:pStyle w:val="Body A"/>
        <w:rPr>
          <w:rFonts w:ascii="Arial" w:cs="Arial" w:hAnsi="Arial" w:eastAsia="Arial"/>
          <w:b w:val="1"/>
          <w:bCs w:val="1"/>
          <w:sz w:val="32"/>
          <w:szCs w:val="32"/>
        </w:rPr>
      </w:pPr>
      <w:r>
        <w:rPr>
          <w:rFonts w:ascii="Arial" w:hAnsi="Arial"/>
          <w:b w:val="1"/>
          <w:bCs w:val="1"/>
          <w:sz w:val="32"/>
          <w:szCs w:val="32"/>
          <w:rtl w:val="0"/>
          <w:lang w:val="en-US"/>
        </w:rPr>
        <w:t>BSc Professional Investigation Workbooks</w:t>
      </w:r>
    </w:p>
    <w:p>
      <w:pPr>
        <w:pStyle w:val="Body A"/>
        <w:rPr>
          <w:rFonts w:ascii="Arial" w:cs="Arial" w:hAnsi="Arial" w:eastAsia="Arial"/>
          <w:sz w:val="32"/>
          <w:szCs w:val="32"/>
        </w:rPr>
      </w:pPr>
    </w:p>
    <w:p>
      <w:pPr>
        <w:pStyle w:val="Body A"/>
        <w:ind w:right="237"/>
        <w:rPr>
          <w:rFonts w:ascii="Arial" w:cs="Arial" w:hAnsi="Arial" w:eastAsia="Arial"/>
          <w:outline w:val="0"/>
          <w:color w:val="000000"/>
          <w:sz w:val="32"/>
          <w:szCs w:val="32"/>
          <w:u w:color="000000"/>
          <w14:textFill>
            <w14:solidFill>
              <w14:srgbClr w14:val="000000"/>
            </w14:solidFill>
          </w14:textFill>
        </w:rPr>
      </w:pPr>
      <w:r>
        <w:rPr>
          <w:rFonts w:ascii="Arial" w:hAnsi="Arial"/>
          <w:b w:val="1"/>
          <w:bCs w:val="1"/>
          <w:outline w:val="0"/>
          <w:color w:val="000000"/>
          <w:sz w:val="32"/>
          <w:szCs w:val="32"/>
          <w:u w:color="000000"/>
          <w:rtl w:val="0"/>
          <w:lang w:val="en-US"/>
          <w14:textFill>
            <w14:solidFill>
              <w14:srgbClr w14:val="000000"/>
            </w14:solidFill>
          </w14:textFill>
        </w:rPr>
        <w:t>LEVEL 6 - 40 Credits</w:t>
      </w:r>
    </w:p>
    <w:p>
      <w:pPr>
        <w:pStyle w:val="Body A"/>
        <w:ind w:right="237"/>
        <w:rPr>
          <w:rFonts w:ascii="Arial" w:cs="Arial" w:hAnsi="Arial" w:eastAsia="Arial"/>
          <w:outline w:val="0"/>
          <w:color w:val="000000"/>
          <w:sz w:val="32"/>
          <w:szCs w:val="32"/>
          <w:u w:color="000000"/>
          <w14:textFill>
            <w14:solidFill>
              <w14:srgbClr w14:val="000000"/>
            </w14:solidFill>
          </w14:textFill>
        </w:rPr>
      </w:pPr>
    </w:p>
    <w:p>
      <w:pPr>
        <w:pStyle w:val="Body A"/>
        <w:ind w:right="237"/>
        <w:rPr>
          <w:rFonts w:ascii="Arial" w:cs="Arial" w:hAnsi="Arial" w:eastAsia="Arial"/>
          <w:b w:val="1"/>
          <w:bCs w:val="1"/>
          <w:outline w:val="0"/>
          <w:color w:val="000000"/>
          <w:sz w:val="32"/>
          <w:szCs w:val="32"/>
          <w:u w:color="000000"/>
          <w14:textFill>
            <w14:solidFill>
              <w14:srgbClr w14:val="000000"/>
            </w14:solidFill>
          </w14:textFill>
        </w:rPr>
      </w:pPr>
      <w:r>
        <w:rPr>
          <w:rFonts w:ascii="Arial" w:hAnsi="Arial"/>
          <w:b w:val="1"/>
          <w:bCs w:val="1"/>
          <w:outline w:val="0"/>
          <w:color w:val="000000"/>
          <w:sz w:val="32"/>
          <w:szCs w:val="32"/>
          <w:u w:color="000000"/>
          <w:rtl w:val="0"/>
          <w:lang w:val="en-US"/>
          <w14:textFill>
            <w14:solidFill>
              <w14:srgbClr w14:val="000000"/>
            </w14:solidFill>
          </w14:textFill>
        </w:rPr>
        <w:t>Workbook title: Competency Based Workbook 2</w:t>
      </w:r>
    </w:p>
    <w:p>
      <w:pPr>
        <w:pStyle w:val="Body A"/>
        <w:ind w:right="237"/>
        <w:rPr>
          <w:rFonts w:ascii="Arial" w:cs="Arial" w:hAnsi="Arial" w:eastAsia="Arial"/>
          <w:b w:val="1"/>
          <w:bCs w:val="1"/>
          <w:outline w:val="0"/>
          <w:color w:val="000000"/>
          <w:sz w:val="32"/>
          <w:szCs w:val="32"/>
          <w:u w:color="000000"/>
          <w14:textFill>
            <w14:solidFill>
              <w14:srgbClr w14:val="000000"/>
            </w14:solidFill>
          </w14:textFill>
        </w:rPr>
      </w:pPr>
    </w:p>
    <w:p>
      <w:pPr>
        <w:pStyle w:val="Body A"/>
        <w:ind w:right="237"/>
        <w:rPr>
          <w:rFonts w:ascii="Arial" w:cs="Arial" w:hAnsi="Arial" w:eastAsia="Arial"/>
          <w:outline w:val="0"/>
          <w:color w:val="000000"/>
          <w:sz w:val="32"/>
          <w:szCs w:val="32"/>
          <w:u w:color="000000"/>
          <w14:textFill>
            <w14:solidFill>
              <w14:srgbClr w14:val="000000"/>
            </w14:solidFill>
          </w14:textFill>
        </w:rPr>
      </w:pPr>
      <w:r>
        <w:rPr>
          <w:rFonts w:ascii="Arial" w:hAnsi="Arial"/>
          <w:b w:val="1"/>
          <w:bCs w:val="1"/>
          <w:outline w:val="0"/>
          <w:color w:val="000000"/>
          <w:sz w:val="32"/>
          <w:szCs w:val="32"/>
          <w:u w:color="000000"/>
          <w:rtl w:val="0"/>
          <w:lang w:val="en-US"/>
          <w14:textFill>
            <w14:solidFill>
              <w14:srgbClr w14:val="000000"/>
            </w14:solidFill>
          </w14:textFill>
        </w:rPr>
        <w:t>(SOUTH WALES POLICE AND UWTSD)</w:t>
      </w:r>
    </w:p>
    <w:p>
      <w:pPr>
        <w:pStyle w:val="Body A"/>
        <w:ind w:right="237"/>
        <w:rPr>
          <w:rFonts w:ascii="Arial" w:cs="Arial" w:hAnsi="Arial" w:eastAsia="Arial"/>
          <w:b w:val="1"/>
          <w:bCs w:val="1"/>
          <w:outline w:val="0"/>
          <w:color w:val="000000"/>
          <w:sz w:val="36"/>
          <w:szCs w:val="36"/>
          <w:u w:color="000000"/>
          <w14:textFill>
            <w14:solidFill>
              <w14:srgbClr w14:val="000000"/>
            </w14:solidFill>
          </w14:textFill>
        </w:rPr>
      </w:pPr>
    </w:p>
    <w:p>
      <w:pPr>
        <w:pStyle w:val="Body A"/>
        <w:rPr>
          <w:rFonts w:ascii="Arial" w:cs="Arial" w:hAnsi="Arial" w:eastAsia="Arial"/>
          <w:sz w:val="36"/>
          <w:szCs w:val="36"/>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314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A"/>
              <w:ind w:right="237"/>
              <w:rPr>
                <w:rFonts w:ascii="Arial" w:cs="Arial" w:hAnsi="Arial" w:eastAsia="Arial"/>
                <w:sz w:val="36"/>
                <w:szCs w:val="36"/>
                <w:shd w:val="nil" w:color="auto" w:fill="auto"/>
              </w:rPr>
            </w:pPr>
            <w:r>
              <w:rPr>
                <w:rFonts w:ascii="Arial" w:hAnsi="Arial"/>
                <w:b w:val="1"/>
                <w:bCs w:val="1"/>
                <w:sz w:val="36"/>
                <w:szCs w:val="36"/>
                <w:shd w:val="nil" w:color="auto" w:fill="auto"/>
                <w:rtl w:val="0"/>
                <w:lang w:val="en-US"/>
              </w:rPr>
              <w:t xml:space="preserve">Learner name: Tyrone Brian Peach </w:t>
            </w:r>
          </w:p>
          <w:p>
            <w:pPr>
              <w:pStyle w:val="Body A"/>
              <w:spacing w:after="0" w:line="240" w:lineRule="auto"/>
              <w:ind w:right="237"/>
              <w:rPr>
                <w:rFonts w:ascii="Arial" w:cs="Arial" w:hAnsi="Arial" w:eastAsia="Arial"/>
                <w:sz w:val="36"/>
                <w:szCs w:val="36"/>
                <w:shd w:val="nil" w:color="auto" w:fill="auto"/>
                <w:lang w:val="en-US"/>
              </w:rPr>
            </w:pPr>
          </w:p>
          <w:p>
            <w:pPr>
              <w:pStyle w:val="Body A"/>
              <w:bidi w:val="0"/>
              <w:spacing w:after="0" w:line="240" w:lineRule="auto"/>
              <w:ind w:left="0" w:right="237" w:firstLine="0"/>
              <w:jc w:val="left"/>
              <w:rPr>
                <w:rFonts w:ascii="Arial" w:cs="Arial" w:hAnsi="Arial" w:eastAsia="Arial"/>
                <w:sz w:val="36"/>
                <w:szCs w:val="36"/>
                <w:shd w:val="nil" w:color="auto" w:fill="auto"/>
                <w:rtl w:val="0"/>
              </w:rPr>
            </w:pPr>
            <w:r>
              <w:rPr>
                <w:rFonts w:ascii="Arial" w:hAnsi="Arial"/>
                <w:b w:val="1"/>
                <w:bCs w:val="1"/>
                <w:sz w:val="36"/>
                <w:szCs w:val="36"/>
                <w:shd w:val="nil" w:color="auto" w:fill="auto"/>
                <w:rtl w:val="0"/>
                <w:lang w:val="en-US"/>
              </w:rPr>
              <w:t>Learner</w:t>
            </w:r>
            <w:r>
              <w:rPr>
                <w:rFonts w:ascii="Arial" w:hAnsi="Arial" w:hint="default"/>
                <w:b w:val="1"/>
                <w:bCs w:val="1"/>
                <w:sz w:val="36"/>
                <w:szCs w:val="36"/>
                <w:shd w:val="nil" w:color="auto" w:fill="auto"/>
                <w:rtl w:val="0"/>
                <w:lang w:val="en-US"/>
              </w:rPr>
              <w:t>’</w:t>
            </w:r>
            <w:r>
              <w:rPr>
                <w:rFonts w:ascii="Arial" w:hAnsi="Arial"/>
                <w:b w:val="1"/>
                <w:bCs w:val="1"/>
                <w:sz w:val="36"/>
                <w:szCs w:val="36"/>
                <w:shd w:val="nil" w:color="auto" w:fill="auto"/>
                <w:rtl w:val="0"/>
                <w:lang w:val="en-US"/>
              </w:rPr>
              <w:t>s University Registration Number:</w:t>
            </w:r>
          </w:p>
          <w:p>
            <w:pPr>
              <w:pStyle w:val="Body A"/>
              <w:bidi w:val="0"/>
              <w:spacing w:after="0" w:line="240" w:lineRule="auto"/>
              <w:ind w:left="0" w:right="237" w:firstLine="0"/>
              <w:jc w:val="left"/>
              <w:rPr>
                <w:rFonts w:ascii="Arial" w:cs="Arial" w:hAnsi="Arial" w:eastAsia="Arial"/>
                <w:b w:val="1"/>
                <w:bCs w:val="1"/>
                <w:sz w:val="36"/>
                <w:szCs w:val="36"/>
                <w:shd w:val="nil" w:color="auto" w:fill="auto"/>
                <w:rtl w:val="0"/>
              </w:rPr>
            </w:pPr>
            <w:r>
              <w:rPr>
                <w:rFonts w:ascii="Arial" w:hAnsi="Arial"/>
                <w:b w:val="1"/>
                <w:bCs w:val="1"/>
                <w:sz w:val="36"/>
                <w:szCs w:val="36"/>
                <w:shd w:val="nil" w:color="auto" w:fill="auto"/>
                <w:rtl w:val="0"/>
                <w:lang w:val="en-US"/>
              </w:rPr>
              <w:t>2112542</w:t>
            </w:r>
          </w:p>
          <w:p>
            <w:pPr>
              <w:pStyle w:val="Body A"/>
              <w:spacing w:after="0" w:line="240" w:lineRule="auto"/>
            </w:pPr>
            <w:r>
              <w:rPr>
                <w:rFonts w:ascii="Arial" w:cs="Arial" w:hAnsi="Arial" w:eastAsia="Arial"/>
                <w:b w:val="1"/>
                <w:bCs w:val="1"/>
                <w:sz w:val="36"/>
                <w:szCs w:val="36"/>
                <w:shd w:val="nil" w:color="auto" w:fill="auto"/>
                <w:lang w:val="en-US"/>
              </w:rPr>
            </w:r>
          </w:p>
        </w:tc>
      </w:tr>
    </w:tbl>
    <w:p>
      <w:pPr>
        <w:pStyle w:val="Body A"/>
        <w:widowControl w:val="0"/>
        <w:spacing w:line="240" w:lineRule="auto"/>
        <w:ind w:left="108" w:hanging="108"/>
        <w:rPr>
          <w:rFonts w:ascii="Arial" w:cs="Arial" w:hAnsi="Arial" w:eastAsia="Arial"/>
          <w:sz w:val="36"/>
          <w:szCs w:val="36"/>
        </w:rPr>
      </w:pPr>
    </w:p>
    <w:p>
      <w:pPr>
        <w:pStyle w:val="Body A"/>
        <w:widowControl w:val="0"/>
        <w:spacing w:line="240" w:lineRule="auto"/>
        <w:rPr>
          <w:rFonts w:ascii="Arial" w:cs="Arial" w:hAnsi="Arial" w:eastAsia="Arial"/>
          <w:sz w:val="36"/>
          <w:szCs w:val="36"/>
        </w:rPr>
      </w:pPr>
    </w:p>
    <w:p>
      <w:pPr>
        <w:pStyle w:val="Body A"/>
        <w:ind w:right="237"/>
        <w:rPr>
          <w:rFonts w:ascii="Arial" w:cs="Arial" w:hAnsi="Arial" w:eastAsia="Arial"/>
          <w:outline w:val="0"/>
          <w:color w:val="000000"/>
          <w:sz w:val="32"/>
          <w:szCs w:val="32"/>
          <w:u w:color="000000"/>
          <w14:textFill>
            <w14:solidFill>
              <w14:srgbClr w14:val="000000"/>
            </w14:solidFill>
          </w14:textFill>
        </w:rPr>
      </w:pPr>
    </w:p>
    <w:p>
      <w:pPr>
        <w:pStyle w:val="Body A"/>
        <w:ind w:right="237"/>
        <w:rPr>
          <w:rFonts w:ascii="Arial" w:cs="Arial" w:hAnsi="Arial" w:eastAsia="Arial"/>
          <w:outline w:val="0"/>
          <w:color w:val="000000"/>
          <w:sz w:val="32"/>
          <w:szCs w:val="32"/>
          <w:u w:color="000000"/>
          <w14:textFill>
            <w14:solidFill>
              <w14:srgbClr w14:val="000000"/>
            </w14:solidFill>
          </w14:textFill>
        </w:rPr>
      </w:pPr>
      <w:r>
        <w:rPr>
          <w:rFonts w:ascii="Arial" w:hAnsi="Arial"/>
          <w:b w:val="1"/>
          <w:bCs w:val="1"/>
          <w:outline w:val="0"/>
          <w:color w:val="000000"/>
          <w:sz w:val="32"/>
          <w:szCs w:val="32"/>
          <w:u w:color="000000"/>
          <w:rtl w:val="0"/>
          <w:lang w:val="en-US"/>
          <w14:textFill>
            <w14:solidFill>
              <w14:srgbClr w14:val="000000"/>
            </w14:solidFill>
          </w14:textFill>
        </w:rPr>
        <w:t>FACULTY OF BUSINESS AND MANAGEMENT</w:t>
      </w:r>
    </w:p>
    <w:p>
      <w:pPr>
        <w:pStyle w:val="Body A"/>
        <w:ind w:right="237"/>
        <w:rPr>
          <w:rFonts w:ascii="Arial" w:cs="Arial" w:hAnsi="Arial" w:eastAsia="Arial"/>
          <w:outline w:val="0"/>
          <w:color w:val="000000"/>
          <w:sz w:val="32"/>
          <w:szCs w:val="32"/>
          <w:u w:color="000000"/>
          <w14:textFill>
            <w14:solidFill>
              <w14:srgbClr w14:val="000000"/>
            </w14:solidFill>
          </w14:textFill>
        </w:rPr>
      </w:pPr>
      <w:r>
        <w:rPr>
          <w:rFonts w:ascii="Arial" w:hAnsi="Arial"/>
          <w:b w:val="1"/>
          <w:bCs w:val="1"/>
          <w:outline w:val="0"/>
          <w:color w:val="000000"/>
          <w:sz w:val="32"/>
          <w:szCs w:val="32"/>
          <w:u w:color="000000"/>
          <w:rtl w:val="0"/>
          <w:lang w:val="en-US"/>
          <w14:textFill>
            <w14:solidFill>
              <w14:srgbClr w14:val="000000"/>
            </w14:solidFill>
          </w14:textFill>
        </w:rPr>
        <w:t>PUBLIC SERVICE PROGRAMME</w:t>
      </w:r>
    </w:p>
    <w:p>
      <w:pPr>
        <w:pStyle w:val="Body A"/>
        <w:ind w:right="237"/>
        <w:rPr>
          <w:rFonts w:ascii="Arial" w:cs="Arial" w:hAnsi="Arial" w:eastAsia="Arial"/>
          <w:outline w:val="0"/>
          <w:color w:val="000000"/>
          <w:sz w:val="32"/>
          <w:szCs w:val="32"/>
          <w:u w:color="000000"/>
          <w14:textFill>
            <w14:solidFill>
              <w14:srgbClr w14:val="000000"/>
            </w14:solidFill>
          </w14:textFill>
        </w:rPr>
      </w:pPr>
    </w:p>
    <w:p>
      <w:pPr>
        <w:pStyle w:val="Body A"/>
        <w:ind w:right="237"/>
        <w:rPr>
          <w:rFonts w:ascii="Arial" w:cs="Arial" w:hAnsi="Arial" w:eastAsia="Arial"/>
          <w:b w:val="1"/>
          <w:bCs w:val="1"/>
          <w:i w:val="1"/>
          <w:iCs w:val="1"/>
          <w:outline w:val="0"/>
          <w:color w:val="000000"/>
          <w:sz w:val="32"/>
          <w:szCs w:val="32"/>
          <w:u w:color="000000"/>
          <w14:textFill>
            <w14:solidFill>
              <w14:srgbClr w14:val="000000"/>
            </w14:solidFill>
          </w14:textFill>
        </w:rPr>
      </w:pPr>
      <w:r>
        <w:rPr>
          <w:rFonts w:ascii="Arial" w:hAnsi="Arial"/>
          <w:b w:val="1"/>
          <w:bCs w:val="1"/>
          <w:i w:val="1"/>
          <w:iCs w:val="1"/>
          <w:outline w:val="0"/>
          <w:color w:val="000000"/>
          <w:sz w:val="32"/>
          <w:szCs w:val="32"/>
          <w:u w:color="000000"/>
          <w:rtl w:val="0"/>
          <w:lang w:val="en-US"/>
          <w14:textFill>
            <w14:solidFill>
              <w14:srgbClr w14:val="000000"/>
            </w14:solidFill>
          </w14:textFill>
        </w:rPr>
        <w:t>Module title: Professional Investigative Practice BMPI6002</w:t>
      </w:r>
    </w:p>
    <w:p>
      <w:pPr>
        <w:pStyle w:val="Body A"/>
        <w:ind w:right="237"/>
        <w:rPr>
          <w:rFonts w:ascii="Arial" w:cs="Arial" w:hAnsi="Arial" w:eastAsia="Arial"/>
          <w:b w:val="1"/>
          <w:bCs w:val="1"/>
          <w:i w:val="1"/>
          <w:iCs w:val="1"/>
          <w:outline w:val="0"/>
          <w:color w:val="000000"/>
          <w:sz w:val="36"/>
          <w:szCs w:val="36"/>
          <w:u w:color="000000"/>
          <w14:textFill>
            <w14:solidFill>
              <w14:srgbClr w14:val="000000"/>
            </w14:solidFill>
          </w14:textFill>
        </w:rPr>
      </w:pPr>
    </w:p>
    <w:p>
      <w:pPr>
        <w:pStyle w:val="Body A"/>
        <w:ind w:right="237"/>
        <w:rPr>
          <w:rFonts w:ascii="Arial" w:cs="Arial" w:hAnsi="Arial" w:eastAsia="Arial"/>
          <w:b w:val="1"/>
          <w:bCs w:val="1"/>
          <w:i w:val="1"/>
          <w:iCs w:val="1"/>
          <w:outline w:val="0"/>
          <w:color w:val="000000"/>
          <w:sz w:val="28"/>
          <w:szCs w:val="28"/>
          <w:u w:color="000000"/>
          <w14:textFill>
            <w14:solidFill>
              <w14:srgbClr w14:val="000000"/>
            </w14:solidFill>
          </w14:textFill>
        </w:rPr>
      </w:pPr>
    </w:p>
    <w:p>
      <w:pPr>
        <w:pStyle w:val="Body A"/>
        <w:ind w:right="237"/>
        <w:rPr>
          <w:rFonts w:ascii="Arial" w:cs="Arial" w:hAnsi="Arial" w:eastAsia="Arial"/>
          <w:outline w:val="0"/>
          <w:color w:val="000000"/>
          <w:sz w:val="28"/>
          <w:szCs w:val="28"/>
          <w:u w:color="000000"/>
          <w14:textFill>
            <w14:solidFill>
              <w14:srgbClr w14:val="000000"/>
            </w14:solidFill>
          </w14:textFill>
        </w:rPr>
      </w:pPr>
      <w:r>
        <w:rPr>
          <w:rFonts w:ascii="Arial" w:hAnsi="Arial"/>
          <w:b w:val="1"/>
          <w:bCs w:val="1"/>
          <w:outline w:val="0"/>
          <w:color w:val="000000"/>
          <w:sz w:val="28"/>
          <w:szCs w:val="28"/>
          <w:u w:color="000000"/>
          <w:rtl w:val="0"/>
          <w:lang w:val="en-US"/>
          <w14:textFill>
            <w14:solidFill>
              <w14:srgbClr w14:val="000000"/>
            </w14:solidFill>
          </w14:textFill>
        </w:rPr>
        <w:t>Workbook Guidance</w:t>
      </w:r>
    </w:p>
    <w:p>
      <w:pPr>
        <w:pStyle w:val="Body A"/>
        <w:ind w:right="237"/>
        <w:rPr>
          <w:rFonts w:ascii="Arial" w:cs="Arial" w:hAnsi="Arial" w:eastAsia="Arial"/>
          <w:outline w:val="0"/>
          <w:color w:val="000000"/>
          <w:sz w:val="24"/>
          <w:szCs w:val="24"/>
          <w:u w:color="000000"/>
          <w14:textFill>
            <w14:solidFill>
              <w14:srgbClr w14:val="000000"/>
            </w14:solidFill>
          </w14:textFill>
        </w:rPr>
      </w:pPr>
    </w:p>
    <w:p>
      <w:pPr>
        <w:pStyle w:val="Body A"/>
        <w:ind w:right="237"/>
        <w:jc w:val="both"/>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Please read these notes carefully. They provide essential information. The documents you will use in developing your workbook are on the following pages.</w:t>
      </w:r>
    </w:p>
    <w:p>
      <w:pPr>
        <w:pStyle w:val="Body A"/>
        <w:ind w:right="237"/>
        <w:rPr>
          <w:rFonts w:ascii="Arial" w:cs="Arial" w:hAnsi="Arial" w:eastAsia="Arial"/>
          <w:outline w:val="0"/>
          <w:color w:val="000000"/>
          <w:sz w:val="24"/>
          <w:szCs w:val="24"/>
          <w:u w:color="000000"/>
          <w14:textFill>
            <w14:solidFill>
              <w14:srgbClr w14:val="000000"/>
            </w14:solidFill>
          </w14:textFill>
        </w:rPr>
      </w:pPr>
    </w:p>
    <w:p>
      <w:pPr>
        <w:pStyle w:val="Body A"/>
        <w:ind w:right="237"/>
        <w:jc w:val="both"/>
        <w:rPr>
          <w:rFonts w:ascii="Arial" w:cs="Arial" w:hAnsi="Arial" w:eastAsia="Arial"/>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What is the workbook for?</w:t>
      </w:r>
    </w:p>
    <w:p>
      <w:pPr>
        <w:pStyle w:val="Body A"/>
        <w:ind w:right="237"/>
        <w:jc w:val="both"/>
        <w:rPr>
          <w:rFonts w:ascii="Arial" w:cs="Arial" w:hAnsi="Arial" w:eastAsia="Arial"/>
          <w:outline w:val="0"/>
          <w:color w:val="000000"/>
          <w:sz w:val="24"/>
          <w:szCs w:val="24"/>
          <w:u w:color="000000"/>
          <w14:textFill>
            <w14:solidFill>
              <w14:srgbClr w14:val="000000"/>
            </w14:solidFill>
          </w14:textFill>
        </w:rPr>
      </w:pPr>
    </w:p>
    <w:p>
      <w:pPr>
        <w:pStyle w:val="Body A"/>
        <w:ind w:right="237"/>
        <w:jc w:val="both"/>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pPr>
        <w:pStyle w:val="Body A"/>
        <w:ind w:right="237"/>
        <w:jc w:val="both"/>
        <w:rPr>
          <w:rFonts w:ascii="Arial" w:cs="Arial" w:hAnsi="Arial" w:eastAsia="Arial"/>
          <w:outline w:val="0"/>
          <w:color w:val="000000"/>
          <w:sz w:val="24"/>
          <w:szCs w:val="24"/>
          <w:u w:color="000000"/>
          <w14:textFill>
            <w14:solidFill>
              <w14:srgbClr w14:val="000000"/>
            </w14:solidFill>
          </w14:textFill>
        </w:rPr>
      </w:pPr>
    </w:p>
    <w:p>
      <w:pPr>
        <w:pStyle w:val="Body A"/>
        <w:ind w:right="237"/>
        <w:jc w:val="both"/>
        <w:rPr>
          <w:rFonts w:ascii="Arial" w:cs="Arial" w:hAnsi="Arial" w:eastAsia="Arial"/>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How should the workbook be presented?</w:t>
      </w:r>
    </w:p>
    <w:p>
      <w:pPr>
        <w:pStyle w:val="Body A"/>
        <w:jc w:val="both"/>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14:textFill>
            <w14:solidFill>
              <w14:srgbClr w14:val="000000"/>
            </w14:solidFill>
          </w14:textFill>
        </w:rPr>
        <w:t xml:space="preserve"> </w:t>
      </w:r>
    </w:p>
    <w:p>
      <w:pPr>
        <w:pStyle w:val="Body A"/>
        <w:jc w:val="both"/>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Body A"/>
        <w:jc w:val="both"/>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14:textFill>
            <w14:solidFill>
              <w14:srgbClr w14:val="000000"/>
            </w14:solidFill>
          </w14:textFill>
        </w:rPr>
        <w:t xml:space="preserve"> </w:t>
      </w:r>
    </w:p>
    <w:p>
      <w:pPr>
        <w:pStyle w:val="Body A"/>
        <w:jc w:val="both"/>
        <w:rPr>
          <w:rFonts w:ascii="Arial" w:cs="Arial" w:hAnsi="Arial" w:eastAsia="Arial"/>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Word count policy</w:t>
      </w:r>
      <w:r>
        <w:rPr>
          <w:rFonts w:ascii="Arial" w:hAnsi="Arial"/>
          <w:outline w:val="0"/>
          <w:color w:val="000000"/>
          <w:sz w:val="24"/>
          <w:szCs w:val="24"/>
          <w:u w:color="000000"/>
          <w:rtl w:val="0"/>
          <w:lang w:val="en-US"/>
          <w14:textFill>
            <w14:solidFill>
              <w14:srgbClr w14:val="000000"/>
            </w14:solidFill>
          </w14:textFill>
        </w:rPr>
        <w:t xml:space="preserve"> can be found in chapter 7 of the Academic Quality under section 7.7 (this applies to presenting work above and under the specified word count).  </w:t>
      </w:r>
    </w:p>
    <w:p>
      <w:pPr>
        <w:pStyle w:val="Body A"/>
        <w:jc w:val="both"/>
        <w:rPr>
          <w:rStyle w:val="None"/>
          <w:rFonts w:ascii="Arial" w:cs="Arial" w:hAnsi="Arial" w:eastAsia="Arial"/>
          <w:outline w:val="0"/>
          <w:color w:val="0000ff"/>
          <w:sz w:val="24"/>
          <w:szCs w:val="24"/>
          <w:u w:color="0000ff"/>
          <w14:textFill>
            <w14:solidFill>
              <w14:srgbClr w14:val="0000FF"/>
            </w14:solidFill>
          </w14:textFill>
        </w:rPr>
      </w:pPr>
      <w:r>
        <w:rPr>
          <w:rFonts w:ascii="Arial" w:hAnsi="Arial"/>
          <w:outline w:val="0"/>
          <w:color w:val="000000"/>
          <w:sz w:val="24"/>
          <w:szCs w:val="24"/>
          <w:u w:color="000000"/>
          <w:rtl w:val="0"/>
          <w14:textFill>
            <w14:solidFill>
              <w14:srgbClr w14:val="000000"/>
            </w14:solidFill>
          </w14:textFill>
        </w:rPr>
        <w:t>(</w:t>
      </w:r>
      <w:r>
        <w:rPr>
          <w:rStyle w:val="Hyperlink.0"/>
        </w:rPr>
        <w:fldChar w:fldCharType="begin" w:fldLock="0"/>
      </w:r>
      <w:r>
        <w:rPr>
          <w:rStyle w:val="Hyperlink.0"/>
        </w:rPr>
        <w:instrText xml:space="preserve"> HYPERLINK "https://www.uwtsd.ac.uk/media/uwtsd-website/content-assets/documents/academic-office/aqh-chapters/chapters---en/Chapter_07_Assessment_Taught_Programmes_Pages_72-79-UPDATED-05-11-2019.pdf"</w:instrText>
      </w:r>
      <w:r>
        <w:rPr>
          <w:rStyle w:val="Hyperlink.0"/>
        </w:rPr>
        <w:fldChar w:fldCharType="separate" w:fldLock="0"/>
      </w:r>
      <w:r>
        <w:rPr>
          <w:rStyle w:val="Hyperlink.0"/>
          <w:rtl w:val="0"/>
          <w:lang w:val="en-US"/>
        </w:rPr>
        <w:t>https://www.uwtsd.ac.uk/media/uwtsd-website/content-assets/documents/academic-office/aqh-chapters/chapters---en/Chapter_07_Assessment_Taught_Programmes_Pages_72-79-UPDATED-05-11-2019.pdf</w:t>
      </w:r>
      <w:r>
        <w:rPr/>
        <w:fldChar w:fldCharType="end" w:fldLock="0"/>
      </w:r>
      <w:r>
        <w:rPr>
          <w:rStyle w:val="None"/>
          <w:rFonts w:ascii="Arial" w:hAnsi="Arial"/>
          <w:outline w:val="0"/>
          <w:color w:val="0000ff"/>
          <w:sz w:val="24"/>
          <w:szCs w:val="24"/>
          <w:u w:val="single" w:color="0000ff"/>
          <w:rtl w:val="0"/>
          <w14:textFill>
            <w14:solidFill>
              <w14:srgbClr w14:val="0000FF"/>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14:textFill>
            <w14:solidFill>
              <w14:srgbClr w14:val="000000"/>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Reflective practice is a core aspect for your workbooks and although there is a variety of useful resources on Moodle, there is one book, that is specifically based on reflective practice in policing, here is a link to one chapter from Selina Copley</w:t>
      </w:r>
      <w:r>
        <w:rPr>
          <w:rStyle w:val="None"/>
          <w:rFonts w:ascii="Arial" w:hAnsi="Arial" w:hint="default"/>
          <w:outline w:val="0"/>
          <w:color w:val="000000"/>
          <w:sz w:val="24"/>
          <w:szCs w:val="24"/>
          <w:u w:color="000000"/>
          <w:rtl w:val="0"/>
          <w:lang w:val="en-US"/>
          <w14:textFill>
            <w14:solidFill>
              <w14:srgbClr w14:val="000000"/>
            </w14:solidFill>
          </w14:textFill>
        </w:rPr>
        <w:t>’</w:t>
      </w:r>
      <w:r>
        <w:rPr>
          <w:rStyle w:val="None"/>
          <w:rFonts w:ascii="Arial" w:hAnsi="Arial"/>
          <w:outline w:val="0"/>
          <w:color w:val="000000"/>
          <w:sz w:val="24"/>
          <w:szCs w:val="24"/>
          <w:u w:color="000000"/>
          <w:rtl w:val="0"/>
          <w:lang w:val="en-US"/>
          <w14:textFill>
            <w14:solidFill>
              <w14:srgbClr w14:val="000000"/>
            </w14:solidFill>
          </w14:textFill>
        </w:rPr>
        <w:t xml:space="preserve">s Reflective Practice for Policing Students: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Hyperlink.0"/>
        </w:rPr>
        <w:fldChar w:fldCharType="begin" w:fldLock="0"/>
      </w:r>
      <w:r>
        <w:rPr>
          <w:rStyle w:val="Hyperlink.0"/>
        </w:rPr>
        <w:instrText xml:space="preserve"> HYPERLINK "https://moodle.uwtsd.ac.uk/pluginfile.php/298870/mod_resource/content/1/Reflective%252520Practice%252520for%252520Policing%252520Students%252520-%252520Selina%252520Copley%252520Chapter5.pdf"</w:instrText>
      </w:r>
      <w:r>
        <w:rPr>
          <w:rStyle w:val="Hyperlink.0"/>
        </w:rPr>
        <w:fldChar w:fldCharType="separate" w:fldLock="0"/>
      </w:r>
      <w:r>
        <w:rPr>
          <w:rStyle w:val="Hyperlink.0"/>
          <w:rtl w:val="0"/>
          <w:lang w:val="en-US"/>
        </w:rPr>
        <w:t>https://moodle.uwtsd.ac.uk/pluginfile.php/298870/mod_resource/content/1/Reflective%20Practice%20for%20Policing%20Students%20-%20Selina%20Copley%20Chapter5.pdf</w:t>
      </w:r>
      <w:r>
        <w:rPr/>
        <w:fldChar w:fldCharType="end" w:fldLock="0"/>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14:textFill>
            <w14:solidFill>
              <w14:srgbClr w14:val="000000"/>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How is the workbook assessed?</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14:textFill>
            <w14:solidFill>
              <w14:srgbClr w14:val="000000"/>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 xml:space="preserve">Advice and support about the completion of this workbook is available to you. Please contact Kelly Andrews direct using </w:t>
      </w:r>
      <w:r>
        <w:rPr>
          <w:rStyle w:val="Hyperlink.1"/>
        </w:rPr>
        <w:fldChar w:fldCharType="begin" w:fldLock="0"/>
      </w:r>
      <w:r>
        <w:rPr>
          <w:rStyle w:val="Hyperlink.1"/>
        </w:rPr>
        <w:instrText xml:space="preserve"> HYPERLINK "mailto:k.andrews@uwtsd.ac.uk"</w:instrText>
      </w:r>
      <w:r>
        <w:rPr>
          <w:rStyle w:val="Hyperlink.1"/>
        </w:rPr>
        <w:fldChar w:fldCharType="separate" w:fldLock="0"/>
      </w:r>
      <w:r>
        <w:rPr>
          <w:rStyle w:val="Hyperlink.1"/>
          <w:rtl w:val="0"/>
          <w:lang w:val="nl-NL"/>
        </w:rPr>
        <w:t>k.andrews@uwtsd.ac.uk</w:t>
      </w:r>
      <w:r>
        <w:rPr/>
        <w:fldChar w:fldCharType="end" w:fldLock="0"/>
      </w:r>
      <w:r>
        <w:rPr>
          <w:rStyle w:val="None"/>
          <w:rFonts w:ascii="Arial" w:hAnsi="Arial"/>
          <w:outline w:val="0"/>
          <w:color w:val="000000"/>
          <w:sz w:val="24"/>
          <w:szCs w:val="24"/>
          <w:u w:color="000000"/>
          <w:rtl w:val="0"/>
          <w:lang w:val="en-US"/>
          <w14:textFill>
            <w14:solidFill>
              <w14:srgbClr w14:val="000000"/>
            </w14:solidFill>
          </w14:textFill>
        </w:rPr>
        <w:t xml:space="preserve"> with any questions or queries you may have.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14:textFill>
            <w14:solidFill>
              <w14:srgbClr w14:val="000000"/>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 xml:space="preserve">Once submitted your workbook will be assessed and marked independently. You will be provided with individual feedback once the work has been marked. </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Confidentiality</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It is important that no individual can be identified either directly or indirectly from the information in the workbook. However, you must:</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List Paragraph"/>
        <w:numPr>
          <w:ilvl w:val="0"/>
          <w:numId w:val="2"/>
        </w:numPr>
        <w:bidi w:val="0"/>
        <w:ind w:right="237"/>
        <w:jc w:val="both"/>
        <w:rPr>
          <w:rFonts w:ascii="Arial" w:hAnsi="Arial"/>
          <w:sz w:val="24"/>
          <w:szCs w:val="24"/>
          <w:rtl w:val="0"/>
          <w:lang w:val="en-US"/>
        </w:rPr>
      </w:pPr>
      <w:r>
        <w:rPr>
          <w:rStyle w:val="None"/>
          <w:rFonts w:ascii="Arial" w:hAnsi="Arial"/>
          <w:outline w:val="0"/>
          <w:color w:val="000000"/>
          <w:sz w:val="24"/>
          <w:szCs w:val="24"/>
          <w:u w:color="000000"/>
          <w:rtl w:val="0"/>
          <w:lang w:val="en-US"/>
          <w14:textFill>
            <w14:solidFill>
              <w14:srgbClr w14:val="000000"/>
            </w14:solidFill>
          </w14:textFill>
        </w:rPr>
        <w:t>adhere to guidance in the Candidate Handbook about confidentiality.</w:t>
      </w:r>
    </w:p>
    <w:p>
      <w:pPr>
        <w:pStyle w:val="List Paragraph"/>
        <w:numPr>
          <w:ilvl w:val="0"/>
          <w:numId w:val="2"/>
        </w:numPr>
        <w:bidi w:val="0"/>
        <w:ind w:right="237"/>
        <w:jc w:val="both"/>
        <w:rPr>
          <w:rFonts w:ascii="Arial" w:hAnsi="Arial"/>
          <w:sz w:val="24"/>
          <w:szCs w:val="24"/>
          <w:rtl w:val="0"/>
          <w:lang w:val="en-US"/>
        </w:rPr>
      </w:pPr>
      <w:r>
        <w:rPr>
          <w:rStyle w:val="None"/>
          <w:rFonts w:ascii="Arial" w:hAnsi="Arial"/>
          <w:outline w:val="0"/>
          <w:color w:val="000000"/>
          <w:sz w:val="24"/>
          <w:szCs w:val="24"/>
          <w:u w:color="000000"/>
          <w:rtl w:val="0"/>
          <w:lang w:val="en-US"/>
          <w14:textFill>
            <w14:solidFill>
              <w14:srgbClr w14:val="000000"/>
            </w14:solidFill>
          </w14:textFill>
        </w:rPr>
        <w:t>not identify individuals including witnesses, victims, or offenders by name.</w:t>
      </w:r>
    </w:p>
    <w:p>
      <w:pPr>
        <w:pStyle w:val="List Paragraph"/>
        <w:numPr>
          <w:ilvl w:val="0"/>
          <w:numId w:val="4"/>
        </w:numPr>
        <w:bidi w:val="0"/>
        <w:ind w:right="237"/>
        <w:jc w:val="both"/>
        <w:rPr>
          <w:rFonts w:ascii="Arial" w:hAnsi="Arial"/>
          <w:sz w:val="24"/>
          <w:szCs w:val="24"/>
          <w:rtl w:val="0"/>
          <w:lang w:val="en-US"/>
        </w:rPr>
      </w:pPr>
      <w:r>
        <w:rPr>
          <w:rStyle w:val="None"/>
          <w:rFonts w:ascii="Arial" w:hAnsi="Arial"/>
          <w:outline w:val="0"/>
          <w:color w:val="000000"/>
          <w:sz w:val="24"/>
          <w:szCs w:val="24"/>
          <w:u w:color="000000"/>
          <w:rtl w:val="0"/>
          <w:lang w:val="en-US"/>
          <w14:textFill>
            <w14:solidFill>
              <w14:srgbClr w14:val="000000"/>
            </w14:solidFill>
          </w14:textFill>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 Paragraph"/>
        <w:numPr>
          <w:ilvl w:val="0"/>
          <w:numId w:val="4"/>
        </w:numPr>
        <w:bidi w:val="0"/>
        <w:ind w:right="237"/>
        <w:jc w:val="both"/>
        <w:rPr>
          <w:rFonts w:ascii="Arial" w:hAnsi="Arial"/>
          <w:sz w:val="24"/>
          <w:szCs w:val="24"/>
          <w:rtl w:val="0"/>
          <w:lang w:val="en-US"/>
        </w:rPr>
      </w:pPr>
      <w:r>
        <w:rPr>
          <w:rStyle w:val="None"/>
          <w:rFonts w:ascii="Arial" w:hAnsi="Arial"/>
          <w:outline w:val="0"/>
          <w:color w:val="000000"/>
          <w:sz w:val="24"/>
          <w:szCs w:val="24"/>
          <w:u w:color="000000"/>
          <w:rtl w:val="0"/>
          <w:lang w:val="en-US"/>
          <w14:textFill>
            <w14:solidFill>
              <w14:srgbClr w14:val="000000"/>
            </w14:solidFill>
          </w14:textFill>
        </w:rPr>
        <w:t xml:space="preserve">take personal responsibility for adhering to confidentiality rules. </w:t>
      </w:r>
    </w:p>
    <w:p>
      <w:pPr>
        <w:pStyle w:val="List Paragraph"/>
        <w:numPr>
          <w:ilvl w:val="0"/>
          <w:numId w:val="4"/>
        </w:numPr>
        <w:bidi w:val="0"/>
        <w:ind w:right="237"/>
        <w:jc w:val="both"/>
        <w:rPr>
          <w:rFonts w:ascii="Arial" w:hAnsi="Arial"/>
          <w:sz w:val="24"/>
          <w:szCs w:val="24"/>
          <w:rtl w:val="0"/>
          <w:lang w:val="en-US"/>
        </w:rPr>
      </w:pPr>
      <w:r>
        <w:rPr>
          <w:rStyle w:val="None"/>
          <w:rFonts w:ascii="Arial" w:hAnsi="Arial"/>
          <w:outline w:val="0"/>
          <w:color w:val="000000"/>
          <w:sz w:val="24"/>
          <w:szCs w:val="24"/>
          <w:u w:color="000000"/>
          <w:rtl w:val="0"/>
          <w:lang w:val="en-US"/>
          <w14:textFill>
            <w14:solidFill>
              <w14:srgbClr w14:val="000000"/>
            </w14:solidFill>
          </w14:textFill>
        </w:rPr>
        <w:t>not include any dates of any incidents or anything that specifically identifies an actual incident.</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NOTE</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 xml:space="preserve">Your workbook will be submitted electronically via Turnitin on Moodle. Guidance on this is in the Candidate Handbook. </w:t>
      </w:r>
    </w:p>
    <w:p>
      <w:pPr>
        <w:pStyle w:val="Body A"/>
        <w:ind w:left="360" w:right="237" w:firstLine="0"/>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i w:val="1"/>
          <w:iCs w:val="1"/>
          <w:outline w:val="0"/>
          <w:color w:val="000000"/>
          <w:sz w:val="24"/>
          <w:szCs w:val="24"/>
          <w:u w:color="000000"/>
          <w:rtl w:val="0"/>
          <w:lang w:val="en-US"/>
          <w14:textFill>
            <w14:solidFill>
              <w14:srgbClr w14:val="000000"/>
            </w14:solidFill>
          </w14:textFill>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pPr>
        <w:pStyle w:val="Body A"/>
        <w:ind w:left="360" w:right="237" w:firstLine="0"/>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Dyslexia and other special circumstances</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 xml:space="preserve">If you have any condition that you feel may affect your ability to deal with any part of the programme, please see the Candidate Handbook for further guidance. The University has a Student Services Unit that may be able to help but </w:t>
      </w:r>
      <w:r>
        <w:rPr>
          <w:rStyle w:val="None"/>
          <w:rFonts w:ascii="Arial" w:hAnsi="Arial"/>
          <w:b w:val="1"/>
          <w:bCs w:val="1"/>
          <w:i w:val="1"/>
          <w:iCs w:val="1"/>
          <w:outline w:val="0"/>
          <w:color w:val="000000"/>
          <w:sz w:val="24"/>
          <w:szCs w:val="24"/>
          <w:u w:color="000000"/>
          <w:rtl w:val="0"/>
          <w:lang w:val="en-US"/>
          <w14:textFill>
            <w14:solidFill>
              <w14:srgbClr w14:val="000000"/>
            </w14:solidFill>
          </w14:textFill>
        </w:rPr>
        <w:t>it is the learner</w:t>
      </w:r>
      <w:r>
        <w:rPr>
          <w:rStyle w:val="None"/>
          <w:rFonts w:ascii="Arial" w:hAnsi="Arial" w:hint="default"/>
          <w:b w:val="1"/>
          <w:bCs w:val="1"/>
          <w:i w:val="1"/>
          <w:iCs w:val="1"/>
          <w:outline w:val="0"/>
          <w:color w:val="000000"/>
          <w:sz w:val="24"/>
          <w:szCs w:val="24"/>
          <w:u w:color="000000"/>
          <w:rtl w:val="0"/>
          <w:lang w:val="en-US"/>
          <w14:textFill>
            <w14:solidFill>
              <w14:srgbClr w14:val="000000"/>
            </w14:solidFill>
          </w14:textFill>
        </w:rPr>
        <w:t>’</w:t>
      </w:r>
      <w:r>
        <w:rPr>
          <w:rStyle w:val="None"/>
          <w:rFonts w:ascii="Arial" w:hAnsi="Arial"/>
          <w:b w:val="1"/>
          <w:bCs w:val="1"/>
          <w:i w:val="1"/>
          <w:iCs w:val="1"/>
          <w:outline w:val="0"/>
          <w:color w:val="000000"/>
          <w:sz w:val="24"/>
          <w:szCs w:val="24"/>
          <w:u w:color="000000"/>
          <w:rtl w:val="0"/>
          <w:lang w:val="en-US"/>
          <w14:textFill>
            <w14:solidFill>
              <w14:srgbClr w14:val="000000"/>
            </w14:solidFill>
          </w14:textFill>
        </w:rPr>
        <w:t>s individual responsibility to contact them</w:t>
      </w:r>
      <w:r>
        <w:rPr>
          <w:rStyle w:val="None"/>
          <w:rFonts w:ascii="Arial" w:hAnsi="Arial"/>
          <w:outline w:val="0"/>
          <w:color w:val="000000"/>
          <w:sz w:val="24"/>
          <w:szCs w:val="24"/>
          <w:u w:color="000000"/>
          <w:rtl w:val="0"/>
          <w14:textFill>
            <w14:solidFill>
              <w14:srgbClr w14:val="000000"/>
            </w14:solidFill>
          </w14:textFill>
        </w:rPr>
        <w:t>.</w:t>
      </w: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after="200" w:line="240" w:lineRule="auto"/>
        <w:rPr>
          <w:rStyle w:val="None"/>
          <w:rFonts w:ascii="Arial" w:cs="Arial" w:hAnsi="Arial" w:eastAsia="Arial"/>
          <w:outline w:val="0"/>
          <w:color w:val="000000"/>
          <w:u w:color="000000"/>
          <w14:textFill>
            <w14:solidFill>
              <w14:srgbClr w14:val="000000"/>
            </w14:solidFill>
          </w14:textFill>
        </w:rPr>
      </w:pPr>
    </w:p>
    <w:p>
      <w:pPr>
        <w:pStyle w:val="Body A"/>
        <w:spacing w:before="120" w:after="0" w:line="240" w:lineRule="auto"/>
        <w:ind w:left="720" w:firstLine="0"/>
        <w:jc w:val="center"/>
        <w:rPr>
          <w:rStyle w:val="None"/>
          <w:rFonts w:ascii="Arial" w:cs="Arial" w:hAnsi="Arial" w:eastAsia="Arial"/>
          <w:outline w:val="0"/>
          <w:color w:val="000000"/>
          <w:u w:color="000000"/>
          <w14:textFill>
            <w14:solidFill>
              <w14:srgbClr w14:val="000000"/>
            </w14:solidFill>
          </w14:textFill>
        </w:rPr>
      </w:pPr>
    </w:p>
    <w:p>
      <w:pPr>
        <w:pStyle w:val="Body A"/>
        <w:jc w:val="center"/>
        <w:rPr>
          <w:rStyle w:val="None"/>
          <w:rFonts w:ascii="Arial" w:cs="Arial" w:hAnsi="Arial" w:eastAsia="Arial"/>
          <w:b w:val="1"/>
          <w:bCs w:val="1"/>
          <w:sz w:val="28"/>
          <w:szCs w:val="28"/>
        </w:rPr>
      </w:pPr>
      <w:r>
        <w:rPr>
          <w:rStyle w:val="None"/>
          <w:rFonts w:ascii="Arial" w:hAnsi="Arial"/>
          <w:b w:val="1"/>
          <w:bCs w:val="1"/>
          <w:sz w:val="28"/>
          <w:szCs w:val="28"/>
          <w:rtl w:val="0"/>
          <w:lang w:val="en-US"/>
        </w:rPr>
        <w:t>Contents</w:t>
      </w:r>
    </w:p>
    <w:p>
      <w:pPr>
        <w:pStyle w:val="Body A"/>
        <w:rPr>
          <w:rStyle w:val="None"/>
          <w:rFonts w:ascii="Arial" w:cs="Arial" w:hAnsi="Arial" w:eastAsia="Arial"/>
          <w:b w:val="1"/>
          <w:bCs w:val="1"/>
          <w:sz w:val="28"/>
          <w:szCs w:val="28"/>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005"/>
        <w:gridCol w:w="3005"/>
        <w:gridCol w:w="3005"/>
      </w:tblGrid>
      <w:tr>
        <w:tblPrEx>
          <w:shd w:val="clear" w:color="auto" w:fill="cdd4e9"/>
        </w:tblPrEx>
        <w:trPr>
          <w:trHeight w:val="331"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b9bd5"/>
            <w:tcMar>
              <w:top w:type="dxa" w:w="80"/>
              <w:left w:type="dxa" w:w="80"/>
              <w:bottom w:type="dxa" w:w="80"/>
              <w:right w:type="dxa" w:w="80"/>
            </w:tcMar>
            <w:vAlign w:val="top"/>
          </w:tcP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b9bd5"/>
            <w:tcMar>
              <w:top w:type="dxa" w:w="80"/>
              <w:left w:type="dxa" w:w="80"/>
              <w:bottom w:type="dxa" w:w="80"/>
              <w:right w:type="dxa" w:w="80"/>
            </w:tcMar>
            <w:vAlign w:val="top"/>
          </w:tcP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b9bd5"/>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4"/>
                <w:szCs w:val="24"/>
                <w:shd w:val="nil" w:color="auto" w:fill="auto"/>
                <w:rtl w:val="0"/>
                <w:lang w:val="en-US"/>
              </w:rPr>
              <w:t>Word Count</w:t>
            </w:r>
          </w:p>
        </w:tc>
      </w:tr>
      <w:tr>
        <w:tblPrEx>
          <w:shd w:val="clear" w:color="auto" w:fill="cdd4e9"/>
        </w:tblPrEx>
        <w:trPr>
          <w:trHeight w:val="493"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4"/>
                <w:szCs w:val="24"/>
                <w:shd w:val="nil" w:color="auto" w:fill="auto"/>
                <w:rtl w:val="0"/>
                <w:lang w:val="en-US"/>
              </w:rPr>
              <w:t>Task 1</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hd w:val="nil" w:color="auto" w:fill="auto"/>
                <w:rtl w:val="0"/>
                <w:lang w:val="en-US"/>
              </w:rPr>
              <w:t xml:space="preserve">Information and intelligence gathering </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hd w:val="nil" w:color="auto" w:fill="auto"/>
                <w:rtl w:val="0"/>
                <w:lang w:val="en-US"/>
              </w:rPr>
              <w:t>2000</w:t>
            </w:r>
          </w:p>
        </w:tc>
      </w:tr>
      <w:tr>
        <w:tblPrEx>
          <w:shd w:val="clear" w:color="auto" w:fill="cdd4e9"/>
        </w:tblPrEx>
        <w:trPr>
          <w:trHeight w:val="493"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hd w:val="nil" w:color="auto" w:fill="auto"/>
                <w:rtl w:val="0"/>
                <w:lang w:val="en-US"/>
              </w:rPr>
              <w:t>Task 2</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hd w:val="nil" w:color="auto" w:fill="auto"/>
                <w:rtl w:val="0"/>
                <w:lang w:val="en-US"/>
              </w:rPr>
              <w:t>Safeguarding and Risk assessment</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hd w:val="nil" w:color="auto" w:fill="auto"/>
                <w:rtl w:val="0"/>
                <w:lang w:val="en-US"/>
              </w:rPr>
              <w:t>2000</w:t>
            </w:r>
          </w:p>
        </w:tc>
      </w:tr>
      <w:tr>
        <w:tblPrEx>
          <w:shd w:val="clear" w:color="auto" w:fill="cdd4e9"/>
        </w:tblPrEx>
        <w:trPr>
          <w:trHeight w:val="493"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4"/>
                <w:szCs w:val="24"/>
                <w:shd w:val="nil" w:color="auto" w:fill="auto"/>
                <w:rtl w:val="0"/>
                <w:lang w:val="en-US"/>
              </w:rPr>
              <w:t>Task 3</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hd w:val="nil" w:color="auto" w:fill="auto"/>
                <w:rtl w:val="0"/>
                <w:lang w:val="en-US"/>
              </w:rPr>
              <w:t>Interview and custody processes</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hd w:val="nil" w:color="auto" w:fill="auto"/>
                <w:rtl w:val="0"/>
                <w:lang w:val="en-US"/>
              </w:rPr>
              <w:t>2000</w:t>
            </w:r>
          </w:p>
        </w:tc>
      </w:tr>
      <w:tr>
        <w:tblPrEx>
          <w:shd w:val="clear" w:color="auto" w:fill="cdd4e9"/>
        </w:tblPrEx>
        <w:trPr>
          <w:trHeight w:val="493"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4"/>
                <w:szCs w:val="24"/>
                <w:shd w:val="nil" w:color="auto" w:fill="auto"/>
                <w:rtl w:val="0"/>
                <w:lang w:val="en-US"/>
              </w:rPr>
              <w:t>Task 4</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hd w:val="nil" w:color="auto" w:fill="auto"/>
                <w:rtl w:val="0"/>
                <w:lang w:val="en-US"/>
              </w:rPr>
              <w:t xml:space="preserve">Investigation documentation processes. </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b w:val="1"/>
                <w:bCs w:val="1"/>
                <w:shd w:val="nil" w:color="auto" w:fill="auto"/>
                <w:rtl w:val="0"/>
                <w:lang w:val="en-US"/>
              </w:rPr>
              <w:t>2000</w:t>
            </w:r>
          </w:p>
        </w:tc>
      </w:tr>
      <w:tr>
        <w:tblPrEx>
          <w:shd w:val="clear" w:color="auto" w:fill="cdd4e9"/>
        </w:tblPrEx>
        <w:trPr>
          <w:trHeight w:val="1412"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rPr>
                <w:rStyle w:val="None"/>
                <w:rFonts w:ascii="Arial" w:cs="Arial" w:hAnsi="Arial" w:eastAsia="Arial"/>
                <w:b w:val="1"/>
                <w:bCs w:val="1"/>
                <w:sz w:val="24"/>
                <w:szCs w:val="24"/>
                <w:shd w:val="nil" w:color="auto" w:fill="auto"/>
              </w:rPr>
            </w:pPr>
            <w:r>
              <w:rPr>
                <w:rStyle w:val="None"/>
                <w:rFonts w:ascii="Arial" w:hAnsi="Arial"/>
                <w:b w:val="1"/>
                <w:bCs w:val="1"/>
                <w:sz w:val="24"/>
                <w:szCs w:val="24"/>
                <w:shd w:val="nil" w:color="auto" w:fill="auto"/>
                <w:rtl w:val="0"/>
                <w:lang w:val="en-US"/>
              </w:rPr>
              <w:t>Task 5</w:t>
            </w:r>
          </w:p>
          <w:p>
            <w:pPr>
              <w:pStyle w:val="Body A"/>
              <w:spacing w:after="0" w:line="240" w:lineRule="auto"/>
              <w:jc w:val="center"/>
              <w:rPr>
                <w:rStyle w:val="None"/>
                <w:rFonts w:ascii="Arial" w:cs="Arial" w:hAnsi="Arial" w:eastAsia="Arial"/>
                <w:b w:val="1"/>
                <w:bCs w:val="1"/>
                <w:sz w:val="24"/>
                <w:szCs w:val="24"/>
                <w:shd w:val="nil" w:color="auto" w:fill="auto"/>
                <w:lang w:val="en-US"/>
              </w:rPr>
            </w:pPr>
          </w:p>
          <w:p>
            <w:pPr>
              <w:pStyle w:val="Body A"/>
              <w:spacing w:after="0" w:line="240" w:lineRule="auto"/>
              <w:jc w:val="center"/>
            </w:pPr>
            <w:r>
              <w:rPr>
                <w:rStyle w:val="None"/>
                <w:rFonts w:ascii="Arial" w:cs="Arial" w:hAnsi="Arial" w:eastAsia="Arial"/>
                <w:b w:val="1"/>
                <w:bCs w:val="1"/>
                <w:sz w:val="24"/>
                <w:szCs w:val="24"/>
                <w:shd w:val="nil" w:color="auto" w:fill="auto"/>
                <w:lang w:val="en-US"/>
              </w:rPr>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hd w:val="nil" w:color="auto" w:fill="auto"/>
                <w:rtl w:val="0"/>
                <w:lang w:val="en-US"/>
              </w:rPr>
              <w:t>Personal study/learning plan</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hd w:val="nil" w:color="auto" w:fill="auto"/>
                <w:rtl w:val="0"/>
                <w:lang w:val="en-US"/>
              </w:rPr>
              <w:t>2000</w:t>
            </w:r>
          </w:p>
        </w:tc>
      </w:tr>
      <w:tr>
        <w:tblPrEx>
          <w:shd w:val="clear" w:color="auto" w:fill="cdd4e9"/>
        </w:tblPrEx>
        <w:trPr>
          <w:trHeight w:val="331"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4"/>
                <w:szCs w:val="24"/>
                <w:shd w:val="nil" w:color="auto" w:fill="auto"/>
                <w:rtl w:val="0"/>
                <w:lang w:val="en-US"/>
              </w:rPr>
              <w:t>Bibliography</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spacing w:line="240" w:lineRule="auto"/>
        <w:ind w:left="108" w:hanging="108"/>
        <w:rPr>
          <w:rStyle w:val="None"/>
          <w:rFonts w:ascii="Arial" w:cs="Arial" w:hAnsi="Arial" w:eastAsia="Arial"/>
          <w:b w:val="1"/>
          <w:bCs w:val="1"/>
          <w:sz w:val="28"/>
          <w:szCs w:val="28"/>
        </w:rPr>
      </w:pPr>
    </w:p>
    <w:p>
      <w:pPr>
        <w:pStyle w:val="Body A"/>
        <w:widowControl w:val="0"/>
        <w:spacing w:line="240" w:lineRule="auto"/>
        <w:rPr>
          <w:rStyle w:val="None"/>
          <w:rFonts w:ascii="Arial" w:cs="Arial" w:hAnsi="Arial" w:eastAsia="Arial"/>
          <w:b w:val="1"/>
          <w:bCs w:val="1"/>
          <w:sz w:val="28"/>
          <w:szCs w:val="28"/>
        </w:rPr>
      </w:pPr>
    </w:p>
    <w:p>
      <w:pPr>
        <w:pStyle w:val="Body A"/>
        <w:rPr>
          <w:rStyle w:val="None"/>
          <w:rFonts w:ascii="Arial" w:cs="Arial" w:hAnsi="Arial" w:eastAsia="Arial"/>
          <w:b w:val="1"/>
          <w:bCs w:val="1"/>
          <w:sz w:val="28"/>
          <w:szCs w:val="28"/>
        </w:rPr>
      </w:pPr>
    </w:p>
    <w:p>
      <w:pPr>
        <w:pStyle w:val="Body A"/>
        <w:rPr>
          <w:rStyle w:val="None"/>
          <w:rFonts w:ascii="Arial" w:cs="Arial" w:hAnsi="Arial" w:eastAsia="Arial"/>
          <w:b w:val="1"/>
          <w:bCs w:val="1"/>
          <w:sz w:val="28"/>
          <w:szCs w:val="28"/>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rPr>
      </w:pPr>
    </w:p>
    <w:p>
      <w:pPr>
        <w:pStyle w:val="Body A"/>
      </w:pPr>
      <w:r>
        <w:rPr>
          <w:rStyle w:val="None"/>
          <w:rFonts w:ascii="Arial" w:hAnsi="Arial"/>
          <w:b w:val="1"/>
          <w:bCs w:val="1"/>
          <w:sz w:val="24"/>
          <w:szCs w:val="24"/>
          <w:rtl w:val="0"/>
          <w:lang w:val="en-US"/>
        </w:rPr>
        <w:t xml:space="preserve">Task </w:t>
      </w:r>
      <w:r>
        <w:rPr>
          <w:rStyle w:val="None"/>
          <w:rFonts w:ascii="Arial" w:hAnsi="Arial"/>
          <w:b w:val="1"/>
          <w:bCs w:val="1"/>
          <w:outline w:val="0"/>
          <w:color w:val="000000"/>
          <w:sz w:val="24"/>
          <w:szCs w:val="24"/>
          <w:u w:color="000000"/>
          <w:rtl w:val="0"/>
          <w:lang w:val="ru-RU"/>
          <w14:textFill>
            <w14:solidFill>
              <w14:srgbClr w14:val="000000"/>
            </w14:solidFill>
          </w14:textFill>
        </w:rPr>
        <w:t xml:space="preserve">1: </w:t>
      </w:r>
    </w:p>
    <w:p>
      <w:pPr>
        <w:pStyle w:val="Body A"/>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You must choose a serious and complex investigation in which you played a significant role with the gathering of evidential material. </w:t>
      </w:r>
    </w:p>
    <w:p>
      <w:pPr>
        <w:pStyle w:val="Body A"/>
        <w:rPr>
          <w:rStyle w:val="None"/>
          <w:rFonts w:ascii="Arial" w:cs="Arial" w:hAnsi="Arial" w:eastAsia="Arial"/>
          <w:b w:val="1"/>
          <w:bCs w:val="1"/>
          <w:outline w:val="0"/>
          <w:color w:val="000000"/>
          <w:sz w:val="24"/>
          <w:szCs w:val="24"/>
          <w:u w:color="000000"/>
          <w14:textFill>
            <w14:solidFill>
              <w14:srgbClr w14:val="000000"/>
            </w14:solidFill>
          </w14:textFill>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4408"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Give a brief description</w:t>
            </w:r>
            <w:r>
              <w:rPr>
                <w:rStyle w:val="None"/>
                <w:rFonts w:ascii="Arial" w:hAnsi="Arial"/>
                <w:sz w:val="24"/>
                <w:szCs w:val="24"/>
                <w:shd w:val="nil" w:color="auto" w:fill="auto"/>
                <w:rtl w:val="0"/>
                <w:lang w:val="en-US"/>
              </w:rPr>
              <w:t xml:space="preserve"> of the investigation including social and legislative contexts and any relevant cultural, ethnicity and language issues.  </w:t>
            </w:r>
          </w:p>
          <w:p>
            <w:pPr>
              <w:pStyle w:val="Body A"/>
              <w:spacing w:after="0" w:line="240" w:lineRule="auto"/>
              <w:rPr>
                <w:rStyle w:val="None"/>
                <w:rFonts w:ascii="Arial" w:cs="Arial" w:hAnsi="Arial" w:eastAsia="Arial"/>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 xml:space="preserve">Evaluate </w:t>
            </w:r>
            <w:r>
              <w:rPr>
                <w:rStyle w:val="None"/>
                <w:rFonts w:ascii="Arial" w:hAnsi="Arial"/>
                <w:sz w:val="24"/>
                <w:szCs w:val="24"/>
                <w:shd w:val="nil" w:color="auto" w:fill="auto"/>
                <w:rtl w:val="0"/>
                <w:lang w:val="en-US"/>
              </w:rPr>
              <w:t xml:space="preserve">how you have worked with others (e.g., investigators, specialists and managers) to establish and use appropriate methods for gathering material. </w:t>
            </w:r>
          </w:p>
          <w:p>
            <w:pPr>
              <w:pStyle w:val="Body A"/>
              <w:spacing w:after="0" w:line="240" w:lineRule="auto"/>
              <w:rPr>
                <w:rStyle w:val="None"/>
                <w:rFonts w:ascii="Arial" w:cs="Arial" w:hAnsi="Arial" w:eastAsia="Arial"/>
                <w:shd w:val="nil" w:color="auto" w:fill="auto"/>
                <w:lang w:val="en-US"/>
              </w:rPr>
            </w:pPr>
          </w:p>
          <w:p>
            <w:pPr>
              <w:pStyle w:val="Body A"/>
              <w:bidi w:val="0"/>
              <w:spacing w:after="0" w:line="240" w:lineRule="auto"/>
              <w:ind w:left="0" w:right="0" w:firstLine="0"/>
              <w:jc w:val="left"/>
              <w:rPr>
                <w:rStyle w:val="None"/>
                <w:rFonts w:ascii="Arial" w:cs="Arial" w:hAnsi="Arial" w:eastAsia="Arial"/>
                <w:shd w:val="nil" w:color="auto" w:fill="auto"/>
                <w:rtl w:val="0"/>
              </w:rPr>
            </w:pPr>
            <w:r>
              <w:rPr>
                <w:rStyle w:val="None"/>
                <w:rFonts w:ascii="Arial" w:hAnsi="Arial"/>
                <w:b w:val="1"/>
                <w:bCs w:val="1"/>
                <w:shd w:val="nil" w:color="auto" w:fill="auto"/>
                <w:rtl w:val="0"/>
                <w:lang w:val="en-US"/>
              </w:rPr>
              <w:t>Assess</w:t>
            </w:r>
            <w:r>
              <w:rPr>
                <w:rStyle w:val="None"/>
                <w:rFonts w:ascii="Arial" w:hAnsi="Arial"/>
                <w:shd w:val="nil" w:color="auto" w:fill="auto"/>
                <w:rtl w:val="0"/>
                <w:lang w:val="en-US"/>
              </w:rPr>
              <w:t xml:space="preserve"> how you have gathered material from a range of appropriate sources. Consider how you have recorded and retained evidence in a format in line with policy and procedure. </w:t>
            </w:r>
          </w:p>
          <w:p>
            <w:pPr>
              <w:pStyle w:val="Body A"/>
              <w:spacing w:after="0" w:line="240" w:lineRule="auto"/>
              <w:rPr>
                <w:rStyle w:val="None"/>
                <w:shd w:val="nil" w:color="auto" w:fill="auto"/>
                <w:lang w:val="en-US"/>
              </w:rPr>
            </w:pPr>
          </w:p>
          <w:p>
            <w:pPr>
              <w:pStyle w:val="Body A"/>
              <w:bidi w:val="0"/>
              <w:spacing w:after="0" w:line="240" w:lineRule="auto"/>
              <w:ind w:left="0" w:right="0" w:firstLine="0"/>
              <w:jc w:val="left"/>
              <w:rPr>
                <w:rStyle w:val="None"/>
                <w:rFonts w:ascii="Arial" w:cs="Arial" w:hAnsi="Arial" w:eastAsia="Arial"/>
                <w:shd w:val="nil" w:color="auto" w:fill="auto"/>
                <w:rtl w:val="0"/>
              </w:rPr>
            </w:pPr>
            <w:r>
              <w:rPr>
                <w:rStyle w:val="None"/>
                <w:rFonts w:ascii="Arial" w:hAnsi="Arial"/>
                <w:b w:val="1"/>
                <w:bCs w:val="1"/>
                <w:shd w:val="nil" w:color="auto" w:fill="auto"/>
                <w:rtl w:val="0"/>
                <w:lang w:val="en-US"/>
              </w:rPr>
              <w:t>Describe</w:t>
            </w:r>
            <w:r>
              <w:rPr>
                <w:rStyle w:val="None"/>
                <w:rFonts w:ascii="Arial" w:hAnsi="Arial"/>
                <w:shd w:val="nil" w:color="auto" w:fill="auto"/>
                <w:rtl w:val="0"/>
                <w:lang w:val="en-US"/>
              </w:rPr>
              <w:t xml:space="preserve"> how you have identified and planned your own investigative actions, taking in account resources, priorities and proportionality to achieve investigatory objectives. </w:t>
            </w:r>
          </w:p>
          <w:p>
            <w:pPr>
              <w:pStyle w:val="Body A"/>
              <w:spacing w:after="0" w:line="240" w:lineRule="auto"/>
              <w:rPr>
                <w:rStyle w:val="None"/>
                <w:shd w:val="nil" w:color="auto" w:fill="auto"/>
                <w:lang w:val="en-US"/>
              </w:rPr>
            </w:pPr>
          </w:p>
          <w:p>
            <w:pPr>
              <w:pStyle w:val="Body A"/>
              <w:spacing w:after="0" w:line="240" w:lineRule="auto"/>
              <w:rPr>
                <w:rStyle w:val="None"/>
                <w:shd w:val="nil" w:color="auto" w:fill="auto"/>
                <w:lang w:val="en-US"/>
              </w:rPr>
            </w:pPr>
          </w:p>
          <w:p>
            <w:pPr>
              <w:pStyle w:val="Body A"/>
              <w:bidi w:val="0"/>
              <w:spacing w:after="0" w:line="240" w:lineRule="auto"/>
              <w:ind w:left="0" w:right="237" w:firstLine="0"/>
              <w:jc w:val="both"/>
              <w:rPr>
                <w:rtl w:val="0"/>
              </w:rPr>
            </w:pPr>
            <w:r>
              <w:rPr>
                <w:rStyle w:val="None"/>
                <w:rFonts w:ascii="Arial" w:hAnsi="Arial"/>
                <w:sz w:val="24"/>
                <w:szCs w:val="24"/>
                <w:shd w:val="nil" w:color="auto" w:fill="auto"/>
                <w:rtl w:val="0"/>
                <w:lang w:val="en-US"/>
              </w:rPr>
              <w:t xml:space="preserve">2000 words </w:t>
            </w:r>
            <w:r>
              <w:rPr>
                <w:rStyle w:val="None"/>
                <w:rFonts w:ascii="Arial" w:hAnsi="Arial"/>
                <w:i w:val="1"/>
                <w:iCs w:val="1"/>
                <w:sz w:val="24"/>
                <w:szCs w:val="24"/>
                <w:shd w:val="nil" w:color="auto" w:fill="auto"/>
                <w:rtl w:val="0"/>
                <w:lang w:val="en-US"/>
              </w:rPr>
              <w:t>(+/- 10%: include your actual word count at the end of each section)</w:t>
            </w:r>
          </w:p>
        </w:tc>
      </w:tr>
    </w:tbl>
    <w:p>
      <w:pPr>
        <w:pStyle w:val="Body A"/>
        <w:widowControl w:val="0"/>
        <w:spacing w:line="240" w:lineRule="auto"/>
        <w:ind w:left="108" w:hanging="108"/>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widowControl w:val="0"/>
        <w:spacing w:line="240" w:lineRule="auto"/>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right="237"/>
        <w:jc w:val="both"/>
      </w:pPr>
      <w:r>
        <w:rPr>
          <w:rStyle w:val="None"/>
          <w:rFonts w:ascii="Arial" w:hAnsi="Arial"/>
          <w:b w:val="1"/>
          <w:bCs w:val="1"/>
          <w:outline w:val="0"/>
          <w:color w:val="000000"/>
          <w:sz w:val="24"/>
          <w:szCs w:val="24"/>
          <w:u w:color="000000"/>
          <w:rtl w:val="0"/>
          <w:lang w:val="de-DE"/>
          <w14:textFill>
            <w14:solidFill>
              <w14:srgbClr w14:val="000000"/>
            </w14:solidFill>
          </w14:textFill>
        </w:rPr>
        <w:t>ANSWER:</w:t>
      </w: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The criminal investigation I will be discussing relates to an accomplished and professional bank card fraudster. His ultimate victims were well known names on the High Street, but this also touched the lives of those from whom the cards were stolen from, before being used to commit crimes on the High Street. The defendant travelled throughout England and Wales to conduct these transactions. The retailers noticed that bank cards belonging to a certain individual were receiving far more credits as refunds than there were debits as actual purchases. The defendant undertook more that 1,771 transactions and during the same time 1,911 refund transactions from the same stores. During the course of this offending the defendant was able to withdraw large amounts of cash from his personal bank accounts.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The defendant adopted two methods:</w:t>
      </w:r>
    </w:p>
    <w:p>
      <w:pPr>
        <w:pStyle w:val="Body A"/>
        <w:spacing w:after="0" w:line="240" w:lineRule="auto"/>
        <w:rPr>
          <w:rFonts w:ascii="Times Roman" w:cs="Times Roman" w:hAnsi="Times Roman" w:eastAsia="Times Roman"/>
          <w:sz w:val="24"/>
          <w:szCs w:val="24"/>
        </w:rPr>
      </w:pPr>
    </w:p>
    <w:p>
      <w:pPr>
        <w:pStyle w:val="Body A"/>
        <w:numPr>
          <w:ilvl w:val="0"/>
          <w:numId w:val="6"/>
        </w:numPr>
        <w:bidi w:val="0"/>
        <w:spacing w:after="0" w:line="240" w:lineRule="auto"/>
        <w:ind w:right="0"/>
        <w:jc w:val="left"/>
        <w:rPr>
          <w:rFonts w:ascii="Times Roman" w:hAnsi="Times Roman"/>
          <w:sz w:val="24"/>
          <w:szCs w:val="24"/>
          <w:rtl w:val="0"/>
          <w:lang w:val="en-US"/>
        </w:rPr>
      </w:pPr>
      <w:r>
        <w:rPr>
          <w:rStyle w:val="None"/>
          <w:rFonts w:ascii="Times Roman" w:hAnsi="Times Roman"/>
          <w:sz w:val="24"/>
          <w:szCs w:val="24"/>
          <w:rtl w:val="0"/>
          <w:lang w:val="en-US"/>
        </w:rPr>
        <w:t>Returning goods purchased with stolen cards for refunds to his own accounts.</w:t>
      </w:r>
    </w:p>
    <w:p>
      <w:pPr>
        <w:pStyle w:val="Body A"/>
        <w:numPr>
          <w:ilvl w:val="0"/>
          <w:numId w:val="6"/>
        </w:numPr>
        <w:bidi w:val="0"/>
        <w:spacing w:after="0" w:line="240" w:lineRule="auto"/>
        <w:ind w:right="0"/>
        <w:jc w:val="left"/>
        <w:rPr>
          <w:rFonts w:ascii="Times Roman" w:hAnsi="Times Roman"/>
          <w:sz w:val="24"/>
          <w:szCs w:val="24"/>
          <w:rtl w:val="0"/>
          <w:lang w:val="en-US"/>
        </w:rPr>
      </w:pPr>
      <w:r>
        <w:rPr>
          <w:rStyle w:val="None"/>
          <w:rFonts w:ascii="Times Roman" w:hAnsi="Times Roman"/>
          <w:sz w:val="24"/>
          <w:szCs w:val="24"/>
          <w:rtl w:val="0"/>
          <w:lang w:val="en-US"/>
        </w:rPr>
        <w:t xml:space="preserve">Selling gift vouchers purchased with stolen cards online selling platforms, such as eBay.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On examination of the online selling platforms the defendant sold in excess of </w:t>
      </w:r>
      <w:r>
        <w:rPr>
          <w:rStyle w:val="None"/>
          <w:rFonts w:ascii="Times Roman" w:hAnsi="Times Roman" w:hint="default"/>
          <w:sz w:val="24"/>
          <w:szCs w:val="24"/>
          <w:rtl w:val="0"/>
          <w:lang w:val="en-US"/>
        </w:rPr>
        <w:t>£</w:t>
      </w:r>
      <w:r>
        <w:rPr>
          <w:rStyle w:val="None"/>
          <w:rFonts w:ascii="Times Roman" w:hAnsi="Times Roman"/>
          <w:sz w:val="24"/>
          <w:szCs w:val="24"/>
          <w:rtl w:val="0"/>
          <w:lang w:val="en-US"/>
        </w:rPr>
        <w:t>20,000 in gift cards at a rate well below the actual value of them. The defendant established a very lucrative network of contacts, where they had an outlet to sell stolen bank cards and produced a significant source of funds for themselves. The contacts would target vehicles, gym lockers in changing rooms and crowded bars and restaurants.</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The offences that were applicable to this case;</w:t>
      </w:r>
    </w:p>
    <w:p>
      <w:pPr>
        <w:pStyle w:val="Body A"/>
        <w:spacing w:after="0" w:line="240" w:lineRule="auto"/>
        <w:rPr>
          <w:rFonts w:ascii="Times Roman" w:cs="Times Roman" w:hAnsi="Times Roman" w:eastAsia="Times Roman"/>
          <w:sz w:val="24"/>
          <w:szCs w:val="24"/>
        </w:rPr>
      </w:pPr>
    </w:p>
    <w:p>
      <w:pPr>
        <w:pStyle w:val="Body A"/>
        <w:numPr>
          <w:ilvl w:val="0"/>
          <w:numId w:val="7"/>
        </w:numPr>
        <w:bidi w:val="0"/>
        <w:spacing w:after="0" w:line="240" w:lineRule="auto"/>
        <w:ind w:right="0"/>
        <w:jc w:val="left"/>
        <w:rPr>
          <w:rFonts w:ascii="Times Roman" w:hAnsi="Times Roman"/>
          <w:sz w:val="24"/>
          <w:szCs w:val="24"/>
          <w:rtl w:val="0"/>
          <w:lang w:val="en-US"/>
        </w:rPr>
      </w:pPr>
      <w:r>
        <w:rPr>
          <w:rStyle w:val="None"/>
          <w:rFonts w:ascii="Times Roman" w:hAnsi="Times Roman"/>
          <w:sz w:val="24"/>
          <w:szCs w:val="24"/>
          <w:rtl w:val="0"/>
          <w:lang w:val="en-US"/>
        </w:rPr>
        <w:t xml:space="preserve">Converting Criminal Property, contrary to section 327 (1)(c) of the Proceeds of Crime Act 2002. </w:t>
      </w:r>
    </w:p>
    <w:p>
      <w:pPr>
        <w:pStyle w:val="Body A"/>
        <w:numPr>
          <w:ilvl w:val="0"/>
          <w:numId w:val="6"/>
        </w:numPr>
        <w:bidi w:val="0"/>
        <w:spacing w:after="0" w:line="240" w:lineRule="auto"/>
        <w:ind w:right="0"/>
        <w:jc w:val="left"/>
        <w:rPr>
          <w:rFonts w:ascii="Times Roman" w:hAnsi="Times Roman"/>
          <w:sz w:val="24"/>
          <w:szCs w:val="24"/>
          <w:rtl w:val="0"/>
          <w:lang w:val="en-US"/>
        </w:rPr>
      </w:pPr>
      <w:r>
        <w:rPr>
          <w:rStyle w:val="None"/>
          <w:rFonts w:ascii="Times Roman" w:hAnsi="Times Roman"/>
          <w:sz w:val="24"/>
          <w:szCs w:val="24"/>
          <w:rtl w:val="0"/>
          <w:lang w:val="en-US"/>
        </w:rPr>
        <w:t xml:space="preserve">Possessing Criminal Property, contrary to section 329 (1)(c) of the Proceeds of Crime Act 2002.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The impact of retail fraud has been documented by the British Retail Consortium, who stated that </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2.5 billion cost of crime to retailer including </w:t>
      </w:r>
      <w:r>
        <w:rPr>
          <w:rStyle w:val="None"/>
          <w:rFonts w:ascii="Times Roman" w:hAnsi="Times Roman" w:hint="default"/>
          <w:sz w:val="24"/>
          <w:szCs w:val="24"/>
          <w:rtl w:val="0"/>
          <w:lang w:val="en-US"/>
        </w:rPr>
        <w:t>£</w:t>
      </w:r>
      <w:r>
        <w:rPr>
          <w:rStyle w:val="None"/>
          <w:rFonts w:ascii="Times Roman" w:hAnsi="Times Roman"/>
          <w:sz w:val="24"/>
          <w:szCs w:val="24"/>
          <w:rtl w:val="0"/>
          <w:lang w:val="en-US"/>
        </w:rPr>
        <w:t>935 million in customer theft</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a 14 percent increase on 2020 (British Retail Consortium, 2021). Retired police Inspector Graham Osborne from Nottinghamshire Police spent two years working along side the retail crime team for the Co-op group and found that police forces around the country had different approaches in dealing with retail crime, some would go as far as not attending a report of retail crime. (Osbourne, 2021) The study highlighted when police and the retail sector work together there is a significant reduction is retail crime, and the selection of a particular outlet with the target approach aimed at prolific shoplifters. (Osborne, 2021). A number of methods are used by retailers to deter would be shoplifters, but the down side is that these measures that are used are costly, </w:t>
      </w:r>
      <w:r>
        <w:rPr>
          <w:rStyle w:val="None"/>
          <w:rFonts w:ascii="Times Roman" w:hAnsi="Times Roman" w:hint="default"/>
          <w:sz w:val="24"/>
          <w:szCs w:val="24"/>
          <w:rtl w:val="0"/>
          <w:lang w:val="en-US"/>
        </w:rPr>
        <w:t>‘</w:t>
      </w:r>
      <w:r>
        <w:rPr>
          <w:rStyle w:val="None"/>
          <w:rFonts w:ascii="Times Roman" w:hAnsi="Times Roman"/>
          <w:sz w:val="24"/>
          <w:szCs w:val="24"/>
          <w:rtl w:val="0"/>
          <w:lang w:val="en-US"/>
        </w:rPr>
        <w:t>according to the British Retail Consortium, retailers in the UK have spent over one billion GBP on crime prevention in 2018, almost four times the amount spent in 2014</w:t>
      </w:r>
      <w:r>
        <w:rPr>
          <w:rStyle w:val="None"/>
          <w:rFonts w:ascii="Times Roman" w:hAnsi="Times Roman" w:hint="default"/>
          <w:sz w:val="24"/>
          <w:szCs w:val="24"/>
          <w:rtl w:val="0"/>
          <w:lang w:val="en-US"/>
        </w:rPr>
        <w:t>’</w:t>
      </w:r>
      <w:r>
        <w:rPr>
          <w:rStyle w:val="None"/>
          <w:rFonts w:ascii="Times Roman" w:hAnsi="Times Roman"/>
          <w:sz w:val="24"/>
          <w:szCs w:val="24"/>
          <w:rtl w:val="0"/>
          <w:lang w:val="en-US"/>
        </w:rPr>
        <w:t>.</w:t>
      </w:r>
      <w:r>
        <w:rPr>
          <w:rFonts w:ascii="Times Roman" w:hAnsi="Times Roman"/>
          <w:sz w:val="24"/>
          <w:szCs w:val="24"/>
          <w:rtl w:val="0"/>
        </w:rPr>
        <w:t xml:space="preserve"> </w:t>
      </w:r>
      <w:r>
        <w:rPr>
          <w:rStyle w:val="None"/>
          <w:rFonts w:ascii="Times Roman" w:hAnsi="Times Roman"/>
          <w:sz w:val="24"/>
          <w:szCs w:val="24"/>
          <w:rtl w:val="0"/>
          <w:lang w:val="en-US"/>
        </w:rPr>
        <w:t>( Reid, S. Et al, 2021)</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I began to establish reasonable lines of enquiry. The Criminal Procedure and Investigations Act 1996 (CPIA) places a duty on me </w:t>
      </w:r>
      <w:r>
        <w:rPr>
          <w:rStyle w:val="None"/>
          <w:rFonts w:ascii="Times Roman" w:hAnsi="Times Roman" w:hint="default"/>
          <w:sz w:val="24"/>
          <w:szCs w:val="24"/>
          <w:rtl w:val="0"/>
          <w:lang w:val="en-US"/>
        </w:rPr>
        <w:t>‘</w:t>
      </w:r>
      <w:r>
        <w:rPr>
          <w:rStyle w:val="None"/>
          <w:rFonts w:ascii="Times Roman" w:hAnsi="Times Roman"/>
          <w:sz w:val="24"/>
          <w:szCs w:val="24"/>
          <w:rtl w:val="0"/>
          <w:lang w:val="en-US"/>
        </w:rPr>
        <w:t>to pursue all reasonable lines of enquiry, whether these point towards or away from a suspect, may extend to material in the hands of a third party</w:t>
      </w:r>
      <w:r>
        <w:rPr>
          <w:rStyle w:val="None"/>
          <w:rFonts w:ascii="Times Roman" w:hAnsi="Times Roman" w:hint="default"/>
          <w:sz w:val="24"/>
          <w:szCs w:val="24"/>
          <w:rtl w:val="0"/>
          <w:lang w:val="en-US"/>
        </w:rPr>
        <w:t>’</w:t>
      </w:r>
      <w:r>
        <w:rPr>
          <w:rFonts w:ascii="Times Roman" w:hAnsi="Times Roman"/>
          <w:sz w:val="24"/>
          <w:szCs w:val="24"/>
          <w:rtl w:val="0"/>
        </w:rPr>
        <w:t>.</w:t>
      </w:r>
      <w:r>
        <w:rPr>
          <w:rStyle w:val="None"/>
          <w:rFonts w:ascii="Times Roman" w:hAnsi="Times Roman"/>
          <w:sz w:val="24"/>
          <w:szCs w:val="24"/>
          <w:rtl w:val="0"/>
          <w:lang w:val="en-US"/>
        </w:rPr>
        <w:t xml:space="preserve"> (Criminal Procedure and Investigations Act 1996 Chapter 5) </w:t>
      </w:r>
      <w:r>
        <w:rPr>
          <w:rStyle w:val="None"/>
          <w:rFonts w:ascii="Times Roman" w:hAnsi="Times Roman" w:hint="default"/>
          <w:sz w:val="24"/>
          <w:szCs w:val="24"/>
          <w:rtl w:val="0"/>
          <w:lang w:val="en-US"/>
        </w:rPr>
        <w:t>‘</w:t>
      </w:r>
      <w:r>
        <w:rPr>
          <w:rStyle w:val="None"/>
          <w:rFonts w:ascii="Times Roman" w:hAnsi="Times Roman"/>
          <w:sz w:val="24"/>
          <w:szCs w:val="24"/>
          <w:rtl w:val="0"/>
          <w:lang w:val="en-US"/>
        </w:rPr>
        <w:t>Anything that appears to an investigator, or the OIC or the disclosure officer, to have some bearing on any offence under investigation or any person being investigated or on the surrounding circumstances, unless it is incapable of having any impact on the case</w:t>
      </w:r>
      <w:r>
        <w:rPr>
          <w:rStyle w:val="None"/>
          <w:rFonts w:ascii="Times Roman" w:hAnsi="Times Roman" w:hint="default"/>
          <w:sz w:val="24"/>
          <w:szCs w:val="24"/>
          <w:rtl w:val="0"/>
          <w:lang w:val="en-US"/>
        </w:rPr>
        <w:t>’</w:t>
      </w:r>
      <w:r>
        <w:rPr>
          <w:rStyle w:val="None"/>
          <w:rFonts w:ascii="Times Roman" w:hAnsi="Times Roman"/>
          <w:sz w:val="24"/>
          <w:szCs w:val="24"/>
          <w:rtl w:val="0"/>
          <w:lang w:val="en-US"/>
        </w:rPr>
        <w:t>. (Criminal Procedure and Investigations Act ,</w:t>
      </w:r>
      <w:r>
        <w:rPr>
          <w:rFonts w:ascii="Times Roman" w:hAnsi="Times Roman"/>
          <w:sz w:val="24"/>
          <w:szCs w:val="24"/>
          <w:rtl w:val="0"/>
        </w:rPr>
        <w:t>1996</w:t>
      </w:r>
      <w:r>
        <w:rPr>
          <w:rStyle w:val="None"/>
          <w:rFonts w:ascii="Times Roman" w:hAnsi="Times Roman"/>
          <w:sz w:val="24"/>
          <w:szCs w:val="24"/>
          <w:rtl w:val="0"/>
          <w:lang w:val="en-US"/>
        </w:rPr>
        <w:t xml:space="preserve">)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With the commencement of the investigation and as the officer in the case (OIC) I identified and planned my investigation approach and strategy by considering various lines of enquiry. I set out my investigation process, together with a financial analyst, setting the priorities in the investigation, the key factors and to prioritise lines of enquiry. I firstly wanted to secure and preserve any evidence. Part of my investigation evidence gathering process was to follow all lines of enquiry, including CCTV in the various retail outlets. As some of the offending had taken place sometime ago, prior to the report made to police, time was critical in recovering CCTV evidence in the event that it was no longer available. This enabled me to develop a more detailed picture of the offending and identify suspects, witnesses and vehicles not known at the time of the initial report. CCTV is classed as passive data, </w:t>
      </w:r>
      <w:r>
        <w:rPr>
          <w:rStyle w:val="None"/>
          <w:rFonts w:ascii="Times Roman" w:hAnsi="Times Roman" w:hint="default"/>
          <w:sz w:val="24"/>
          <w:szCs w:val="24"/>
          <w:rtl w:val="0"/>
          <w:lang w:val="en-US"/>
        </w:rPr>
        <w:t>‘</w:t>
      </w:r>
      <w:r>
        <w:rPr>
          <w:rStyle w:val="None"/>
          <w:rFonts w:ascii="Times Roman" w:hAnsi="Times Roman"/>
          <w:sz w:val="24"/>
          <w:szCs w:val="24"/>
          <w:rtl w:val="0"/>
          <w:lang w:val="en-US"/>
        </w:rPr>
        <w:t>Passive data generators are automated systems that gather and collate information</w:t>
      </w:r>
      <w:r>
        <w:rPr>
          <w:rStyle w:val="None"/>
          <w:rFonts w:ascii="Times Roman" w:hAnsi="Times Roman" w:hint="default"/>
          <w:sz w:val="24"/>
          <w:szCs w:val="24"/>
          <w:rtl w:val="0"/>
          <w:lang w:val="en-US"/>
        </w:rPr>
        <w:t xml:space="preserve">’ </w:t>
      </w:r>
      <w:r>
        <w:rPr>
          <w:rStyle w:val="None"/>
          <w:rFonts w:ascii="Times Roman" w:hAnsi="Times Roman"/>
          <w:sz w:val="24"/>
          <w:szCs w:val="24"/>
          <w:rtl w:val="0"/>
          <w:lang w:val="en-US"/>
        </w:rPr>
        <w:t xml:space="preserve">(College of policing, 2020). The data is </w:t>
      </w:r>
      <w:r>
        <w:rPr>
          <w:rStyle w:val="None"/>
          <w:rFonts w:ascii="Times Roman" w:hAnsi="Times Roman" w:hint="default"/>
          <w:sz w:val="24"/>
          <w:szCs w:val="24"/>
          <w:rtl w:val="0"/>
          <w:lang w:val="en-US"/>
        </w:rPr>
        <w:t>‘</w:t>
      </w:r>
      <w:r>
        <w:rPr>
          <w:rStyle w:val="None"/>
          <w:rFonts w:ascii="Times Roman" w:hAnsi="Times Roman"/>
          <w:sz w:val="24"/>
          <w:szCs w:val="24"/>
          <w:rtl w:val="0"/>
          <w:lang w:val="en-US"/>
        </w:rPr>
        <w:t>real time and is objective</w:t>
      </w:r>
      <w:r>
        <w:rPr>
          <w:rStyle w:val="None"/>
          <w:rFonts w:ascii="Times Roman" w:hAnsi="Times Roman" w:hint="default"/>
          <w:sz w:val="24"/>
          <w:szCs w:val="24"/>
          <w:rtl w:val="0"/>
          <w:lang w:val="en-US"/>
        </w:rPr>
        <w:t>’</w:t>
      </w:r>
      <w:r>
        <w:rPr>
          <w:rStyle w:val="None"/>
          <w:rFonts w:ascii="Times Roman" w:hAnsi="Times Roman"/>
          <w:sz w:val="24"/>
          <w:szCs w:val="24"/>
          <w:rtl w:val="0"/>
          <w:lang w:val="en-US"/>
        </w:rPr>
        <w:t>(College of policing, 2020)</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An example where issue with CCTV can distract the police and also the public confidence in police is the case of Omar Benguit, convicted of the murder of Jong-Ok Shin in 2002. Omar has spent almost 20 years in prison for a murder he says he did not commit, from enquiries his family have established that police hold CCTV which they believe would assist Omar. Three appeals have been dismissed by the court of Appeal, nevertheless the issues surrounding the CCTV raises questions for the family of Benguit as they believe that the CCTV supports Omar</w:t>
      </w:r>
      <w:r>
        <w:rPr>
          <w:rStyle w:val="None"/>
          <w:rFonts w:ascii="Times Roman" w:hAnsi="Times Roman" w:hint="default"/>
          <w:sz w:val="24"/>
          <w:szCs w:val="24"/>
          <w:rtl w:val="0"/>
          <w:lang w:val="en-US"/>
        </w:rPr>
        <w:t>’</w:t>
      </w:r>
      <w:r>
        <w:rPr>
          <w:rStyle w:val="None"/>
          <w:rFonts w:ascii="Times Roman" w:hAnsi="Times Roman"/>
          <w:sz w:val="24"/>
          <w:szCs w:val="24"/>
          <w:rtl w:val="0"/>
          <w:lang w:val="en-US"/>
        </w:rPr>
        <w:t>s first account to police. (BBC, 2021 Online)Although three appeals have been rejected, it is still a lingering issue that won</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t go away and something that causes concern for the family of Omar. Having said that CCTV evidence is vital to an investigation and often is not disputable thus in any investigation it would be a proportionate approach in retrieving the footage, consider the footage from the police point of view in obtaining evidence and it could also assist the defendant. This approach pays tribute to British policing in the sense that we are independent investigators in the search of evidence of a crime and that evidence is not wasted even if it assists the defendant.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I established the facts with a structured approach to the case, to establish lines of enquiry in identifying the suspects and witnesses. I set out clearly to the witnesses the method of retrieving the CCTV and how it would be produced in a witness statement, should the matter go to court. In gathering the material, such as refund slips, CCTV and items seized as a result of a search warrant executed at the home address of the suspect, I was governed by South Wales Police (SWP) force policy and Criminal Procedure and Investigations Act 1996 (CPIA).</w:t>
      </w:r>
      <w:r>
        <w:rPr>
          <w:rStyle w:val="None"/>
          <w:rFonts w:ascii="Times Roman" w:hAnsi="Times Roman" w:hint="default"/>
          <w:sz w:val="24"/>
          <w:szCs w:val="24"/>
          <w:rtl w:val="0"/>
          <w:lang w:val="en-US"/>
        </w:rPr>
        <w:t>‘</w:t>
      </w:r>
      <w:r>
        <w:rPr>
          <w:rStyle w:val="None"/>
          <w:rFonts w:ascii="Times Roman" w:hAnsi="Times Roman"/>
          <w:sz w:val="24"/>
          <w:szCs w:val="24"/>
          <w:rtl w:val="0"/>
          <w:lang w:val="en-US"/>
        </w:rPr>
        <w:t>The Criminal Procedure and Investigations Act 1996 is statutory legislation in the United Kingdom that governs the agendum of criminal investigations</w:t>
      </w:r>
      <w:r>
        <w:rPr>
          <w:rStyle w:val="None"/>
          <w:rFonts w:ascii="Times Roman" w:hAnsi="Times Roman" w:hint="default"/>
          <w:sz w:val="24"/>
          <w:szCs w:val="24"/>
          <w:rtl w:val="0"/>
          <w:lang w:val="en-US"/>
        </w:rPr>
        <w:t xml:space="preserve">’ </w:t>
      </w:r>
      <w:r>
        <w:rPr>
          <w:rStyle w:val="None"/>
          <w:rFonts w:ascii="Times Roman" w:hAnsi="Times Roman"/>
          <w:sz w:val="24"/>
          <w:szCs w:val="24"/>
          <w:rtl w:val="0"/>
          <w:lang w:val="en-US"/>
        </w:rPr>
        <w:t>( Wikipedia, 2021).</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The importance of handling material that had come into my possession as a result of the investigation, is a fundamental right of an accused, the right to a fair trail as guaranteed by Article 6 of the European Convention on Human Rights (ECHR). (Human Rights Act, 1998). This consideration continued throughout the investigation as the fair trial would encompass the disclosure process in the criminal trial. Once the relevant witnesses were identified I began to take statements and also recover the relevant exhibits. I applied the relevancy test to that material, as defined in CPIA, </w:t>
      </w:r>
      <w:r>
        <w:rPr>
          <w:rStyle w:val="None"/>
          <w:rFonts w:ascii="Times Roman" w:hAnsi="Times Roman" w:hint="default"/>
          <w:sz w:val="24"/>
          <w:szCs w:val="24"/>
          <w:rtl w:val="0"/>
          <w:lang w:val="en-US"/>
        </w:rPr>
        <w:t>‘</w:t>
      </w:r>
      <w:r>
        <w:rPr>
          <w:rStyle w:val="None"/>
          <w:rFonts w:ascii="Times Roman" w:hAnsi="Times Roman"/>
          <w:sz w:val="24"/>
          <w:szCs w:val="24"/>
          <w:rtl w:val="0"/>
          <w:lang w:val="en-US"/>
        </w:rPr>
        <w:t>material that is relevant to an investigation is material that shows to have some bearing on the offence under investigation</w:t>
      </w:r>
      <w:r>
        <w:rPr>
          <w:rStyle w:val="None"/>
          <w:rFonts w:ascii="Times Roman" w:hAnsi="Times Roman" w:hint="default"/>
          <w:sz w:val="24"/>
          <w:szCs w:val="24"/>
          <w:rtl w:val="0"/>
          <w:lang w:val="en-US"/>
        </w:rPr>
        <w:t>’</w:t>
      </w:r>
      <w:r>
        <w:rPr>
          <w:rStyle w:val="None"/>
          <w:rFonts w:ascii="Times Roman" w:hAnsi="Times Roman"/>
          <w:sz w:val="24"/>
          <w:szCs w:val="24"/>
          <w:rtl w:val="0"/>
          <w:lang w:val="en-US"/>
        </w:rPr>
        <w:t>. (CPIA, 1996) Failure to comply with the disclosure regime may result in the defence making an application to stay the applications.</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A section 8 warrant under Police and Criminal Evidence Act 1984 (PACE), was executed at the home address of the defendant and that yielded a large amount of material, this was in the form of receipts of fraudulent transactions, items of clothing that had been purchased with stolen credit cards, stolen credit cards, car satellite navigation devices (Satnav) and A to Z map books highlighting a number of areas in the United Kingdom where there were the High street shops that had been targeted by the defendant.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Section 8 PACE is applicable for evidence of indictable offences, and I was investigating allegations of indictable offences. (Police and Criminal Evidence Act 1984). I applied for a section 8 warrant because I did not anticipate that there would be excluded or special procedure material in the defendant</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s home address. Excluded material is </w:t>
      </w:r>
      <w:r>
        <w:rPr>
          <w:rStyle w:val="None"/>
          <w:rFonts w:ascii="Times Roman" w:hAnsi="Times Roman" w:hint="default"/>
          <w:sz w:val="24"/>
          <w:szCs w:val="24"/>
          <w:rtl w:val="0"/>
          <w:lang w:val="en-US"/>
        </w:rPr>
        <w:t>‘</w:t>
      </w:r>
      <w:r>
        <w:rPr>
          <w:rStyle w:val="None"/>
          <w:rFonts w:ascii="Times Roman" w:hAnsi="Times Roman"/>
          <w:sz w:val="24"/>
          <w:szCs w:val="24"/>
          <w:rtl w:val="0"/>
          <w:lang w:val="en-US"/>
        </w:rPr>
        <w:t>personal records that a person has acquired or created in the course of any trade, business, profession or other occupation or for the purposes of any paid or unpaid office, and which that person holds in confidence</w:t>
      </w:r>
      <w:r>
        <w:rPr>
          <w:rStyle w:val="None"/>
          <w:rFonts w:ascii="Times Roman" w:hAnsi="Times Roman" w:hint="default"/>
          <w:sz w:val="24"/>
          <w:szCs w:val="24"/>
          <w:rtl w:val="0"/>
          <w:lang w:val="en-US"/>
        </w:rPr>
        <w:t>’</w:t>
      </w:r>
      <w:r>
        <w:rPr>
          <w:rStyle w:val="None"/>
          <w:rFonts w:ascii="Times Roman" w:hAnsi="Times Roman"/>
          <w:sz w:val="24"/>
          <w:szCs w:val="24"/>
          <w:rtl w:val="0"/>
          <w:lang w:val="en-US"/>
        </w:rPr>
        <w:t>. ( Police and Criminal Evidence Act 1984, section 11).</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I submitted the Satnav for examination, as per force policy, this was in an attempt to obtain good evidence and also to make certain that the evidence gleaned from the device would be admissible in court. This proved to be a fruitful line of investigation as a result of the examination it revealed areas and locations the suspect travelled to and that were victims of the fraud.</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In November 2018 the Attorney General, Geoffrey Cox QC, conducted a review of effective disclosure in the criminal justice process and reported to parliament. The review found that police and prosecutors were failing to hand over relevant material. The cost of not doing this is confidence in the police and the criminal justice system (Attorney General</w:t>
      </w:r>
      <w:r>
        <w:rPr>
          <w:rStyle w:val="None"/>
          <w:rFonts w:ascii="Times Roman" w:hAnsi="Times Roman" w:hint="default"/>
          <w:sz w:val="24"/>
          <w:szCs w:val="24"/>
          <w:rtl w:val="0"/>
          <w:lang w:val="en-US"/>
        </w:rPr>
        <w:t>’</w:t>
      </w:r>
      <w:r>
        <w:rPr>
          <w:rStyle w:val="None"/>
          <w:rFonts w:ascii="Times Roman" w:hAnsi="Times Roman"/>
          <w:sz w:val="24"/>
          <w:szCs w:val="24"/>
          <w:rtl w:val="0"/>
          <w:lang w:val="en-US"/>
        </w:rPr>
        <w:t>s Office, 2018)</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Reflecting on the investigation, there were a number of delays in getting the case to court, this was due to procedural issues such as awaiting download from devices to check wether they contained any evidence relating to the fraud offences, the defendant being dealt with on other criminal matters as a result of examination of computers seized during the execution of warrant, and finally the confiscation process starting. The delay with examination of the devices was out of my control and I had to rely on other specialist departments to conduct the examination of the devices, a forensic submission was submitted as per SWP force policy and a number of keywords were submitted to firstly obtain data that related to the investigation and secondly to keep the data download relevant and to a minimum as I had to examine all items that were downloaded, this is a time consuming process and with limited resource I had to manage the process. The use of the Disclosure Management Document (DMD) is a requirement, and what I like about it is that it places an onus on the defence to actively participate in the process.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With the introduction of the The Investigation Management Document (IMD), this allows the investigator to document all reasonable lines of enquiry. I agree with this as it sets a record of decision making from the outset of the investigation and an investigators rationale about decisions made. Such as why that device was dowloaded, what was the criteria used to download the device and if a device was not downloaded why it was not downloaded. An investigator would have to explain to the court why these decisions were made.</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I would have benefited from this approach with the use of the IMD, as it would have assisted in my decision making and why I followed a certain path in my investigation. As with this investigation had I used the IMD I could have documented lines of enquiry and be sure that I did not overlook any enquiries. On reflection I prolonged the investigation stage of the enquiry as I felt that I had to follow every aspect of the investigation, and I did not apply the relevance test more appropriately. </w:t>
      </w: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 xml:space="preserve"> </w:t>
      </w:r>
    </w:p>
    <w:p>
      <w:pPr>
        <w:pStyle w:val="Body A"/>
        <w:spacing w:after="0" w:line="240" w:lineRule="auto"/>
        <w:rPr>
          <w:rFonts w:ascii="Times Roman" w:cs="Times Roman" w:hAnsi="Times Roman" w:eastAsia="Times Roman"/>
          <w:sz w:val="24"/>
          <w:szCs w:val="24"/>
        </w:rPr>
      </w:pPr>
    </w:p>
    <w:p>
      <w:pPr>
        <w:pStyle w:val="Body A"/>
        <w:spacing w:after="0" w:line="240" w:lineRule="auto"/>
        <w:rPr>
          <w:rFonts w:ascii="Times Roman" w:cs="Times Roman" w:hAnsi="Times Roman" w:eastAsia="Times Roman"/>
          <w:sz w:val="24"/>
          <w:szCs w:val="24"/>
        </w:rPr>
      </w:pPr>
      <w:r>
        <w:rPr>
          <w:rStyle w:val="None"/>
          <w:rFonts w:ascii="Times Roman" w:hAnsi="Times Roman"/>
          <w:sz w:val="24"/>
          <w:szCs w:val="24"/>
          <w:rtl w:val="0"/>
          <w:lang w:val="en-US"/>
        </w:rPr>
        <w:t>[Word Count 1889]</w:t>
      </w:r>
    </w:p>
    <w:p>
      <w:pPr>
        <w:pStyle w:val="Body A"/>
        <w:spacing w:after="0" w:line="240" w:lineRule="auto"/>
        <w:rPr>
          <w:rStyle w:val="None"/>
          <w:rFonts w:ascii="Times Roman" w:cs="Times Roman" w:hAnsi="Times Roman" w:eastAsia="Times Roman"/>
        </w:rPr>
      </w:pPr>
    </w:p>
    <w:p>
      <w:pPr>
        <w:pStyle w:val="Body A"/>
        <w:spacing w:after="0" w:line="240" w:lineRule="auto"/>
        <w:rPr>
          <w:rStyle w:val="None"/>
          <w:rFonts w:ascii="Times Roman" w:cs="Times Roman" w:hAnsi="Times Roman" w:eastAsia="Times Roman"/>
        </w:rPr>
      </w:pPr>
    </w:p>
    <w:p>
      <w:pPr>
        <w:pStyle w:val="Body A"/>
        <w:spacing w:after="0" w:line="240" w:lineRule="auto"/>
        <w:rPr>
          <w:rStyle w:val="None"/>
          <w:rFonts w:ascii="Times Roman" w:cs="Times Roman" w:hAnsi="Times Roman" w:eastAsia="Times Roman"/>
        </w:rPr>
      </w:pPr>
    </w:p>
    <w:p>
      <w:pPr>
        <w:pStyle w:val="Body A"/>
        <w:spacing w:after="0" w:line="240" w:lineRule="auto"/>
        <w:rPr>
          <w:rStyle w:val="None"/>
          <w:rFonts w:ascii="Times Roman" w:cs="Times Roman" w:hAnsi="Times Roman" w:eastAsia="Times Roman"/>
        </w:rPr>
      </w:pPr>
    </w:p>
    <w:p>
      <w:pPr>
        <w:pStyle w:val="Body A"/>
        <w:spacing w:after="0" w:line="240" w:lineRule="auto"/>
        <w:rPr>
          <w:rStyle w:val="None"/>
          <w:rFonts w:ascii="Times Roman" w:cs="Times Roman" w:hAnsi="Times Roman" w:eastAsia="Times Roman"/>
          <w:sz w:val="24"/>
          <w:szCs w:val="24"/>
          <w:u w:val="single"/>
        </w:rPr>
      </w:pPr>
    </w:p>
    <w:p>
      <w:pPr>
        <w:pStyle w:val="Body A"/>
        <w:spacing w:after="0" w:line="240" w:lineRule="auto"/>
        <w:rPr>
          <w:rStyle w:val="None"/>
          <w:rFonts w:ascii="Times Roman" w:cs="Times Roman" w:hAnsi="Times Roman" w:eastAsia="Times Roman"/>
          <w:sz w:val="24"/>
          <w:szCs w:val="24"/>
          <w:u w:val="single"/>
        </w:rPr>
      </w:pPr>
    </w:p>
    <w:p>
      <w:pPr>
        <w:pStyle w:val="Body A"/>
        <w:spacing w:after="0" w:line="240" w:lineRule="auto"/>
        <w:rPr>
          <w:rStyle w:val="None"/>
          <w:rFonts w:ascii="Times Roman" w:cs="Times Roman" w:hAnsi="Times Roman" w:eastAsia="Times Roman"/>
          <w:sz w:val="24"/>
          <w:szCs w:val="24"/>
          <w:u w:val="single"/>
        </w:rPr>
      </w:pPr>
      <w:r>
        <w:rPr>
          <w:rStyle w:val="None"/>
          <w:rFonts w:ascii="Times Roman" w:hAnsi="Times Roman"/>
          <w:sz w:val="24"/>
          <w:szCs w:val="24"/>
          <w:u w:val="single"/>
          <w:rtl w:val="0"/>
          <w:lang w:val="en-US"/>
        </w:rPr>
        <w:t>References</w:t>
      </w:r>
    </w:p>
    <w:p>
      <w:pPr>
        <w:pStyle w:val="Body A"/>
        <w:spacing w:after="0" w:line="240" w:lineRule="auto"/>
        <w:rPr>
          <w:rStyle w:val="None"/>
          <w:rFonts w:ascii="Times Roman" w:cs="Times Roman" w:hAnsi="Times Roman" w:eastAsia="Times Roman"/>
          <w:sz w:val="24"/>
          <w:szCs w:val="24"/>
          <w:u w:val="single"/>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Working with retail and security to reduce shoplifting. [online] Available at: https://www.college.police.uk/article/working-retail-and-security-reduce-shoplifting.  [Accessed 22</w:t>
      </w:r>
      <w:r>
        <w:rPr>
          <w:rStyle w:val="None"/>
          <w:rFonts w:ascii="Times Roman" w:hAnsi="Times Roman"/>
          <w:outline w:val="0"/>
          <w:color w:val="2c3e50"/>
          <w:u w:color="2c3e50"/>
          <w:shd w:val="clear" w:color="auto" w:fill="ffffff"/>
          <w:rtl w:val="0"/>
          <w:lang w:val="pt-PT"/>
          <w14:textFill>
            <w14:solidFill>
              <w14:srgbClr w14:val="2C3E50"/>
            </w14:solidFill>
          </w14:textFill>
        </w:rPr>
        <w:t xml:space="preserve"> Feb. 2022].</w:t>
      </w:r>
    </w:p>
    <w:p>
      <w:pPr>
        <w:pStyle w:val="Body A"/>
        <w:spacing w:after="0" w:line="240" w:lineRule="auto"/>
        <w:rPr>
          <w:rStyle w:val="None"/>
          <w:rFonts w:ascii="Times Roman" w:cs="Times Roman" w:hAnsi="Times Roman" w:eastAsia="Times Roman"/>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Criminal Procedure and Investigations Act 1996 (section 23(1)) Code of Practice Revised in accordance with section 25(4) of the Criminal Procedure and Investigations Act 1996 and presented to Parliament pursuant to section 25(2) of the Act. (2020). [online] Available at: </w:t>
      </w:r>
      <w:r>
        <w:rPr>
          <w:rStyle w:val="Hyperlink.2"/>
        </w:rPr>
        <w:fldChar w:fldCharType="begin" w:fldLock="0"/>
      </w:r>
      <w:r>
        <w:rPr>
          <w:rStyle w:val="Hyperlink.2"/>
        </w:rPr>
        <w:instrText xml:space="preserve"> HYPERLINK "https://assets.publishing.service.gov.uk/government/uploads/system/uploads/attachment_data/file/931173/Criminal-procedure-and-investigations-act-1996.pdf"</w:instrText>
      </w:r>
      <w:r>
        <w:rPr>
          <w:rStyle w:val="Hyperlink.2"/>
        </w:rPr>
        <w:fldChar w:fldCharType="separate" w:fldLock="0"/>
      </w:r>
      <w:r>
        <w:rPr>
          <w:rStyle w:val="Hyperlink.2"/>
          <w:rtl w:val="0"/>
          <w:lang w:val="en-US"/>
        </w:rPr>
        <w:t>https://assets.publishing.service.gov.uk/government/uploads/system/uploads/attachment_data/file/931173/Criminal-procedure-and-investigations-act-1996.pdf</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23 Feb. 2022].</w:t>
      </w:r>
    </w:p>
    <w:p>
      <w:pPr>
        <w:pStyle w:val="Default"/>
        <w:spacing w:before="0" w:line="240" w:lineRule="auto"/>
        <w:rPr>
          <w:rStyle w:val="None"/>
          <w:rFonts w:ascii="Times Roman" w:cs="Times Roman" w:hAnsi="Times Roman" w:eastAsia="Times Roman"/>
          <w:outline w:val="0"/>
          <w:color w:val="000000"/>
          <w:sz w:val="22"/>
          <w:szCs w:val="22"/>
          <w:u w:color="000000"/>
          <w:shd w:val="clear" w:color="auto" w:fill="ffffff"/>
          <w14:textFill>
            <w14:solidFill>
              <w14:srgbClr w14:val="00000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Disclosure | The Crown Prosecution Service. [online] Available at: https://www.cps.gov.uk/about-cps/disclosure. [Accessed 23 Feb.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GOV.UK. (n.d.). Review of the efficiency and effectiveness of disclosure in the criminal justice system. [online] Available at: https://www.gov.uk/government/publications/review-of-the-efficiency-and-effectiveness-of-disclosure-in-the-criminal-justice-system [Accessed 23 Feb. 2022].</w:t>
      </w:r>
    </w:p>
    <w:p>
      <w:pPr>
        <w:pStyle w:val="Default"/>
        <w:spacing w:before="0" w:line="240" w:lineRule="auto"/>
        <w:rPr>
          <w:rStyle w:val="None"/>
          <w:rFonts w:ascii="Times Roman" w:cs="Times Roman" w:hAnsi="Times Roman" w:eastAsia="Times Roman"/>
          <w:outline w:val="0"/>
          <w:color w:val="2c3e50"/>
          <w:sz w:val="22"/>
          <w:szCs w:val="22"/>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(2013). Police and Criminal Evidence Act 1984. [online] Available at: https://www.legislation.gov.uk/ukpga/1984/60/section/8.  [Accessed 23 Feb. 2022].</w:t>
      </w: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(2017). Police and Criminal Evidence Act 1984. [online] Available at: https://www.legislation.gov.uk/ukpga/1984/60/section/11. [Accessed 23 Feb.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(2017). Police and Criminal Evidence Act 1984. [online] Available at: https://www.legislation.gov.uk/ukpga/1984/60/section/14 [Accessed 23 Feb.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sz w:val="22"/>
          <w:szCs w:val="22"/>
          <w:u w:color="2c3e50"/>
          <w:shd w:val="clear" w:color="auto" w:fill="ffffff"/>
          <w14:textFill>
            <w14:solidFill>
              <w14:srgbClr w14:val="2C3E50"/>
            </w14:solidFill>
          </w14:textFill>
        </w:rPr>
      </w:pPr>
      <w:r>
        <w:rPr>
          <w:rStyle w:val="None"/>
          <w:rFonts w:ascii="Times Roman" w:hAnsi="Times Roman"/>
          <w:outline w:val="0"/>
          <w:color w:val="2c3e50"/>
          <w:sz w:val="22"/>
          <w:szCs w:val="22"/>
          <w:u w:color="2c3e50"/>
          <w:shd w:val="clear" w:color="auto" w:fill="ffffff"/>
          <w:rtl w:val="0"/>
          <w:lang w:val="en-US"/>
          <w14:textFill>
            <w14:solidFill>
              <w14:srgbClr w14:val="2C3E50"/>
            </w14:solidFill>
          </w14:textFill>
        </w:rPr>
        <w:t>Munro, B. (2021). He</w:t>
      </w:r>
      <w:r>
        <w:rPr>
          <w:rStyle w:val="None"/>
          <w:rFonts w:ascii="Arial Unicode MS" w:hAnsi="Arial Unicode MS" w:hint="default"/>
          <w:outline w:val="0"/>
          <w:color w:val="2c3e50"/>
          <w:sz w:val="22"/>
          <w:szCs w:val="22"/>
          <w:u w:color="2c3e50"/>
          <w:shd w:val="clear" w:color="auto" w:fill="ffffff"/>
          <w:rtl w:val="0"/>
          <w:lang w:val="en-US"/>
          <w14:textFill>
            <w14:solidFill>
              <w14:srgbClr w14:val="2C3E50"/>
            </w14:solidFill>
          </w14:textFill>
        </w:rPr>
        <w:t>’</w:t>
      </w:r>
      <w:r>
        <w:rPr>
          <w:rStyle w:val="None"/>
          <w:rFonts w:ascii="Times Roman" w:hAnsi="Times Roman"/>
          <w:outline w:val="0"/>
          <w:color w:val="2c3e50"/>
          <w:sz w:val="22"/>
          <w:szCs w:val="22"/>
          <w:u w:color="2c3e50"/>
          <w:shd w:val="clear" w:color="auto" w:fill="ffffff"/>
          <w:rtl w:val="0"/>
          <w:lang w:val="en-US"/>
          <w14:textFill>
            <w14:solidFill>
              <w14:srgbClr w14:val="2C3E50"/>
            </w14:solidFill>
          </w14:textFill>
        </w:rPr>
        <w:t>s spent almost 20 years in prison for murder - but could new evidence give Omar an alibi? [online] BBC Three. Available at: https://www.bbc.co.uk/bbcthree/article/60789858-fdc4-4c31-b030-712b33c107a8 [Accessed 23 Feb. 2022].</w:t>
      </w:r>
    </w:p>
    <w:p>
      <w:pPr>
        <w:pStyle w:val="Default"/>
        <w:spacing w:before="0" w:line="240" w:lineRule="auto"/>
        <w:rPr>
          <w:rStyle w:val="None"/>
          <w:rFonts w:ascii="Times Roman" w:cs="Times Roman" w:hAnsi="Times Roman" w:eastAsia="Times Roman"/>
          <w:outline w:val="0"/>
          <w:color w:val="2c3e50"/>
          <w:sz w:val="22"/>
          <w:szCs w:val="22"/>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Review of the efficiency and effectiveness of disclosure in the criminal justice system. (2018). [online] Available at: https://assets.publishing.service.gov.uk/government/uploads/system/uploads/attachment_data/file/756436/Attorney_General_s_Disclosure_Review.pdf. [Accessed 22</w:t>
      </w:r>
      <w:r>
        <w:rPr>
          <w:rStyle w:val="None"/>
          <w:rFonts w:ascii="Times Roman" w:hAnsi="Times Roman"/>
          <w:outline w:val="0"/>
          <w:color w:val="2c3e50"/>
          <w:u w:color="2c3e50"/>
          <w:shd w:val="clear" w:color="auto" w:fill="ffffff"/>
          <w:rtl w:val="0"/>
          <w:lang w:val="pt-PT"/>
          <w14:textFill>
            <w14:solidFill>
              <w14:srgbClr w14:val="2C3E50"/>
            </w14:solidFill>
          </w14:textFill>
        </w:rPr>
        <w:t xml:space="preserve"> Feb.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Wikipedia. (2020). Criminal Procedure and Investigations Act 1996. [online] Available at: https://en.wikipedia.org/wiki/Criminal_Procedure_and_Investigations_Act_1996.</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bidi w:val="1"/>
        <w:spacing w:before="0" w:after="320" w:line="240" w:lineRule="auto"/>
        <w:ind w:left="0" w:right="0" w:firstLine="0"/>
        <w:jc w:val="right"/>
        <w:rPr>
          <w:rStyle w:val="None"/>
          <w:rFonts w:ascii="Times Roman" w:cs="Times Roman" w:hAnsi="Times Roman" w:eastAsia="Times Roman"/>
          <w:outline w:val="0"/>
          <w:color w:val="2c3e50"/>
          <w:sz w:val="22"/>
          <w:szCs w:val="22"/>
          <w:u w:color="2c3e50"/>
          <w:shd w:val="clear" w:color="auto" w:fill="ffffff"/>
          <w:rtl w:val="1"/>
          <w14:textFill>
            <w14:solidFill>
              <w14:srgbClr w14:val="2C3E50"/>
            </w14:solidFill>
          </w14:textFill>
        </w:rPr>
      </w:pPr>
      <w:r>
        <w:rPr>
          <w:rStyle w:val="None"/>
          <w:rFonts w:ascii="Arial Unicode MS" w:hAnsi="Arial Unicode MS" w:hint="default"/>
          <w:outline w:val="0"/>
          <w:color w:val="2c3e50"/>
          <w:sz w:val="22"/>
          <w:szCs w:val="22"/>
          <w:u w:color="2c3e50"/>
          <w:shd w:val="clear" w:color="auto" w:fill="ffffff"/>
          <w:rtl w:val="0"/>
          <w:lang w:val="en-US"/>
          <w14:textFill>
            <w14:solidFill>
              <w14:srgbClr w14:val="2C3E50"/>
            </w14:solidFill>
          </w14:textFill>
        </w:rPr>
        <w:t>‌</w:t>
      </w:r>
    </w:p>
    <w:p>
      <w:pPr>
        <w:pStyle w:val="Body A"/>
        <w:spacing w:after="0" w:line="240" w:lineRule="auto"/>
        <w:rPr>
          <w:rStyle w:val="None"/>
          <w:rFonts w:ascii="Times Roman" w:cs="Times Roman" w:hAnsi="Times Roman" w:eastAsia="Times Roman"/>
          <w:sz w:val="24"/>
          <w:szCs w:val="24"/>
          <w:u w:val="single"/>
        </w:rPr>
      </w:pPr>
      <w:r>
        <w:rPr>
          <w:rStyle w:val="None"/>
          <w:rFonts w:ascii="Times Roman" w:hAnsi="Times Roman"/>
          <w:sz w:val="24"/>
          <w:szCs w:val="24"/>
          <w:u w:val="single"/>
          <w:rtl w:val="0"/>
          <w:lang w:val="en-US"/>
        </w:rPr>
        <w:t xml:space="preserve">Bibliography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"https://www.bbc.co.uk/news/uk-43174235"</w:instrText>
      </w:r>
      <w:r>
        <w:rPr>
          <w:rStyle w:val="Hyperlink.3"/>
        </w:rPr>
        <w:fldChar w:fldCharType="separate" w:fldLock="0"/>
      </w:r>
      <w:r>
        <w:rPr>
          <w:rStyle w:val="Hyperlink.3"/>
          <w:rtl w:val="0"/>
          <w:lang w:val="en-US"/>
        </w:rPr>
        <w:t>https://www.bbc.co.uk/news/uk-43174235</w:t>
      </w:r>
      <w:r>
        <w:rPr/>
        <w:fldChar w:fldCharType="end" w:fldLock="0"/>
      </w:r>
      <w:r>
        <w:rPr>
          <w:rStyle w:val="None"/>
          <w:rFonts w:ascii="Times Roman" w:hAnsi="Times Roman"/>
          <w:sz w:val="24"/>
          <w:szCs w:val="24"/>
          <w:rtl w:val="0"/>
          <w:lang w:val="en-US"/>
        </w:rPr>
        <w:t xml:space="preserve"> [Accessed 18</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"https://www.bbc.co.uk/bbcthree/article/60789858-fdc4-4c31-b030-712b33c107a8"</w:instrText>
      </w:r>
      <w:r>
        <w:rPr>
          <w:rStyle w:val="Hyperlink.3"/>
        </w:rPr>
        <w:fldChar w:fldCharType="separate" w:fldLock="0"/>
      </w:r>
      <w:r>
        <w:rPr>
          <w:rStyle w:val="Hyperlink.3"/>
          <w:rtl w:val="0"/>
          <w:lang w:val="en-US"/>
        </w:rPr>
        <w:t>https://www.bbc.co.uk/bbcthree/article/60789858-fdc4-4c31-b030-712b33c107a8</w:t>
      </w:r>
      <w:r>
        <w:rPr/>
        <w:fldChar w:fldCharType="end" w:fldLock="0"/>
      </w: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[Accessed 18/2/22]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"https://en.wikipedia.org/wiki/Criminal_Procedure_and_Investigations_Act_1996"</w:instrText>
      </w:r>
      <w:r>
        <w:rPr>
          <w:rStyle w:val="Hyperlink.3"/>
        </w:rPr>
        <w:fldChar w:fldCharType="separate" w:fldLock="0"/>
      </w:r>
      <w:r>
        <w:rPr>
          <w:rStyle w:val="Hyperlink.3"/>
          <w:rtl w:val="0"/>
          <w:lang w:val="en-US"/>
        </w:rPr>
        <w:t>https://en.wikipedia.org/wiki/Criminal_Procedure_and_Investigations_Act_1996</w:t>
      </w:r>
      <w:r>
        <w:rPr/>
        <w:fldChar w:fldCharType="end" w:fldLock="0"/>
      </w:r>
      <w:r>
        <w:rPr>
          <w:rStyle w:val="None"/>
          <w:rFonts w:ascii="Times Roman" w:hAnsi="Times Roman"/>
          <w:sz w:val="24"/>
          <w:szCs w:val="24"/>
          <w:rtl w:val="0"/>
          <w:lang w:val="en-US"/>
        </w:rPr>
        <w:t xml:space="preserve"> [Accessed 18</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"https://www.cps.gov.uk/about-cps/disclosure"</w:instrText>
      </w:r>
      <w:r>
        <w:rPr>
          <w:rStyle w:val="Hyperlink.3"/>
        </w:rPr>
        <w:fldChar w:fldCharType="separate" w:fldLock="0"/>
      </w:r>
      <w:r>
        <w:rPr>
          <w:rStyle w:val="Hyperlink.3"/>
          <w:rtl w:val="0"/>
          <w:lang w:val="en-US"/>
        </w:rPr>
        <w:t>https://www.cps.gov.uk/about-cps/disclosure</w:t>
      </w:r>
      <w:r>
        <w:rPr/>
        <w:fldChar w:fldCharType="end" w:fldLock="0"/>
      </w:r>
      <w:r>
        <w:rPr>
          <w:rStyle w:val="None"/>
          <w:rFonts w:ascii="Times Roman" w:hAnsi="Times Roman"/>
          <w:sz w:val="24"/>
          <w:szCs w:val="24"/>
          <w:rtl w:val="0"/>
          <w:lang w:val="en-US"/>
        </w:rPr>
        <w:t xml:space="preserve"> [Accessed 21</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"https://assets.publishing.service.gov.uk/government/uploads/system/uploads/attachment_data/file/756436/Attorney_General_s_Disclosure_Review.pdf"</w:instrText>
      </w:r>
      <w:r>
        <w:rPr>
          <w:rStyle w:val="Hyperlink.3"/>
        </w:rPr>
        <w:fldChar w:fldCharType="separate" w:fldLock="0"/>
      </w:r>
      <w:r>
        <w:rPr>
          <w:rStyle w:val="Hyperlink.3"/>
          <w:rtl w:val="0"/>
          <w:lang w:val="en-US"/>
        </w:rPr>
        <w:t>https://assets.publishing.service.gov.uk/government/uploads/system/uploads/attachment_data/file/756436/Attorney_General_s_Disclosure_Review.pdf</w:t>
      </w:r>
      <w:r>
        <w:rPr/>
        <w:fldChar w:fldCharType="end" w:fldLock="0"/>
      </w:r>
      <w:r>
        <w:rPr>
          <w:rStyle w:val="None"/>
          <w:rFonts w:ascii="Times Roman" w:hAnsi="Times Roman"/>
          <w:sz w:val="24"/>
          <w:szCs w:val="24"/>
          <w:rtl w:val="0"/>
          <w:lang w:val="en-US"/>
        </w:rPr>
        <w:t xml:space="preserve"> [Accessed 20</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"https://www.gov.uk/government/publications/review-of-the-efficiency-and-effectiveness-of-disclosure-in-the-criminal-justice-system"</w:instrText>
      </w:r>
      <w:r>
        <w:rPr>
          <w:rStyle w:val="Hyperlink.3"/>
        </w:rPr>
        <w:fldChar w:fldCharType="separate" w:fldLock="0"/>
      </w:r>
      <w:r>
        <w:rPr>
          <w:rStyle w:val="Hyperlink.3"/>
          <w:rtl w:val="0"/>
          <w:lang w:val="en-US"/>
        </w:rPr>
        <w:t>https://www.gov.uk/government/publications/review-of-the-efficiency-and-effectiveness-of-disclosure-in-the-criminal-justice-system</w:t>
      </w:r>
      <w:r>
        <w:rPr/>
        <w:fldChar w:fldCharType="end" w:fldLock="0"/>
      </w:r>
      <w:r>
        <w:rPr>
          <w:rStyle w:val="None"/>
          <w:rFonts w:ascii="Times Roman" w:hAnsi="Times Roman"/>
          <w:sz w:val="24"/>
          <w:szCs w:val="24"/>
          <w:rtl w:val="0"/>
          <w:lang w:val="en-US"/>
        </w:rPr>
        <w:t xml:space="preserve"> [Accessed 20</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"https://www.theguardian.com/law/2018/nov/15/cps-and-police-routinely-failing-to-disclose-evidence"</w:instrText>
      </w:r>
      <w:r>
        <w:rPr>
          <w:rStyle w:val="Hyperlink.3"/>
        </w:rPr>
        <w:fldChar w:fldCharType="separate" w:fldLock="0"/>
      </w:r>
      <w:r>
        <w:rPr>
          <w:rStyle w:val="Hyperlink.3"/>
          <w:rtl w:val="0"/>
          <w:lang w:val="en-US"/>
        </w:rPr>
        <w:t>https://www.theguardian.com/law/2018/nov/15/cps-and-police-routinely-failing-to-disclose-evidence</w:t>
      </w:r>
      <w:r>
        <w:rPr/>
        <w:fldChar w:fldCharType="end" w:fldLock="0"/>
      </w:r>
      <w:r>
        <w:rPr>
          <w:rStyle w:val="None"/>
          <w:rFonts w:ascii="Times Roman" w:hAnsi="Times Roman"/>
          <w:sz w:val="24"/>
          <w:szCs w:val="24"/>
          <w:rtl w:val="0"/>
          <w:lang w:val="en-US"/>
        </w:rPr>
        <w:t xml:space="preserve"> [Accessed 18</w:t>
      </w:r>
      <w:r>
        <w:rPr>
          <w:rStyle w:val="None"/>
          <w:rFonts w:ascii="Times Roman" w:hAnsi="Times Roman"/>
          <w:sz w:val="24"/>
          <w:szCs w:val="24"/>
          <w:rtl w:val="0"/>
          <w:lang w:val="pt-PT"/>
        </w:rPr>
        <w:t>/2/22]</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Hyperlink.3"/>
        </w:rPr>
        <w:fldChar w:fldCharType="begin" w:fldLock="0"/>
      </w:r>
      <w:r>
        <w:rPr>
          <w:rStyle w:val="Hyperlink.3"/>
        </w:rPr>
        <w:instrText xml:space="preserve"> HYPERLINK "https://www.college.police.uk/article/working-retail-and-security-reduce-shoplifting"</w:instrText>
      </w:r>
      <w:r>
        <w:rPr>
          <w:rStyle w:val="Hyperlink.3"/>
        </w:rPr>
        <w:fldChar w:fldCharType="separate" w:fldLock="0"/>
      </w:r>
      <w:r>
        <w:rPr>
          <w:rStyle w:val="Hyperlink.3"/>
          <w:rtl w:val="0"/>
          <w:lang w:val="en-US"/>
        </w:rPr>
        <w:t>https://www.college.police.uk/article/working-retail-and-security-reduce-shoplifting</w:t>
      </w:r>
      <w:r>
        <w:rPr/>
        <w:fldChar w:fldCharType="end" w:fldLock="0"/>
      </w:r>
      <w:r>
        <w:rPr>
          <w:rStyle w:val="None"/>
          <w:rFonts w:ascii="Times Roman" w:hAnsi="Times Roman"/>
          <w:sz w:val="24"/>
          <w:szCs w:val="24"/>
          <w:rtl w:val="0"/>
          <w:lang w:val="en-US"/>
        </w:rPr>
        <w:t xml:space="preserve"> [Accessed 22/2/22]</w:t>
      </w:r>
    </w:p>
    <w:p>
      <w:pPr>
        <w:pStyle w:val="Body A"/>
        <w:spacing w:after="0" w:line="240" w:lineRule="auto"/>
        <w:rPr>
          <w:rStyle w:val="None"/>
          <w:rFonts w:ascii="Times Roman" w:cs="Times Roman" w:hAnsi="Times Roman" w:eastAsia="Times Roman"/>
        </w:rPr>
      </w:pPr>
    </w:p>
    <w:p>
      <w:pPr>
        <w:pStyle w:val="Default"/>
        <w:spacing w:before="0" w:line="240" w:lineRule="auto"/>
        <w:rPr>
          <w:rStyle w:val="None"/>
          <w:rFonts w:ascii="Times Roman" w:cs="Times Roman" w:hAnsi="Times Roman" w:eastAsia="Times Roman"/>
          <w:shd w:val="clear" w:color="auto" w:fill="ffffff"/>
        </w:rPr>
      </w:pPr>
      <w:r>
        <w:rPr>
          <w:rStyle w:val="None"/>
          <w:rFonts w:ascii="Times Roman" w:hAnsi="Times Roman"/>
          <w:shd w:val="clear" w:color="auto" w:fill="ffffff"/>
          <w:rtl w:val="0"/>
          <w:lang w:val="en-US"/>
        </w:rPr>
        <w:t>College of Policing (2020). Search powers, and obtaining and executing search warrants. [online] www.app.college.police.uk. Available at: https://www.app.college.police.uk/app-content/investigations/investigative-strategies/search-powers-and-obtaining-and-executing-search-warrants/. [Accessed 22/2/22]</w:t>
      </w:r>
    </w:p>
    <w:p>
      <w:pPr>
        <w:pStyle w:val="Default"/>
        <w:spacing w:before="0" w:line="240" w:lineRule="auto"/>
        <w:rPr>
          <w:rStyle w:val="None"/>
          <w:rFonts w:ascii="Times Roman" w:cs="Times Roman" w:hAnsi="Times Roman" w:eastAsia="Times Roman"/>
          <w:shd w:val="clear" w:color="auto" w:fill="ffffff"/>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www.youtube.com. (n.d.). Police Track Down Dangerous Kidnapper Using CCTV | Murder On CCTV. [online] Available at: https://www.youtube.com/watch?v=t4HEc1BNTMo </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Townsend, M. (2021). How CCTV played a vital role in tracking Sarah Everard </w:t>
      </w:r>
      <w:r>
        <w:rPr>
          <w:rStyle w:val="None"/>
          <w:rFonts w:ascii="Times Roman" w:hAnsi="Times Roman" w:hint="default"/>
          <w:outline w:val="0"/>
          <w:color w:val="2c3e50"/>
          <w:u w:color="2c3e50"/>
          <w:shd w:val="clear" w:color="auto" w:fill="ffffff"/>
          <w:rtl w:val="0"/>
          <w:lang w:val="en-US"/>
          <w14:textFill>
            <w14:solidFill>
              <w14:srgbClr w14:val="2C3E50"/>
            </w14:solidFill>
          </w14:textFill>
        </w:rPr>
        <w:t xml:space="preserve">– </w:t>
      </w:r>
      <w:r>
        <w:rPr>
          <w:rStyle w:val="None"/>
          <w:rFonts w:ascii="Times Roman" w:hAnsi="Times Roman"/>
          <w:outline w:val="0"/>
          <w:color w:val="2c3e50"/>
          <w:u w:color="2c3e50"/>
          <w:shd w:val="clear" w:color="auto" w:fill="ffffff"/>
          <w:rtl w:val="0"/>
          <w:lang w:val="en-US"/>
          <w14:textFill>
            <w14:solidFill>
              <w14:srgbClr w14:val="2C3E50"/>
            </w14:solidFill>
          </w14:textFill>
        </w:rPr>
        <w:t>and her killer. [online] the Guardian. Available at: https://www.theguardian.com/uk-news/2021/oct/02/how-cctv-played-a-vital-role-in-tracking-sarah-everard-and-her-killer.</w:t>
      </w:r>
    </w:p>
    <w:p>
      <w:pPr>
        <w:pStyle w:val="Default"/>
        <w:bidi w:val="1"/>
        <w:spacing w:before="0" w:after="320" w:line="240" w:lineRule="auto"/>
        <w:ind w:left="0" w:right="0" w:firstLine="0"/>
        <w:jc w:val="right"/>
        <w:rPr>
          <w:rStyle w:val="None"/>
          <w:rFonts w:ascii="Times Roman" w:cs="Times Roman" w:hAnsi="Times Roman" w:eastAsia="Times Roman"/>
          <w:outline w:val="0"/>
          <w:color w:val="000000"/>
          <w:sz w:val="32"/>
          <w:szCs w:val="32"/>
          <w:u w:color="000000"/>
          <w:shd w:val="clear" w:color="auto" w:fill="ffffff"/>
          <w:rtl w:val="1"/>
          <w14:textFill>
            <w14:solidFill>
              <w14:srgbClr w14:val="000000"/>
            </w14:solidFill>
          </w14:textFill>
        </w:rPr>
      </w:pPr>
      <w:r>
        <w:rPr>
          <w:rStyle w:val="None"/>
          <w:rFonts w:ascii="Arial Unicode MS" w:hAnsi="Arial Unicode MS" w:hint="default"/>
          <w:outline w:val="0"/>
          <w:color w:val="2c3e50"/>
          <w:sz w:val="32"/>
          <w:szCs w:val="32"/>
          <w:u w:color="2c3e50"/>
          <w:shd w:val="clear" w:color="auto" w:fill="ffffff"/>
          <w:rtl w:val="0"/>
          <w:lang w:val="en-US"/>
          <w14:textFill>
            <w14:solidFill>
              <w14:srgbClr w14:val="2C3E50"/>
            </w14:solidFill>
          </w14:textFill>
        </w:rPr>
        <w:t>‌‌</w:t>
      </w:r>
    </w:p>
    <w:p>
      <w:pPr>
        <w:pStyle w:val="Default"/>
        <w:bidi w:val="1"/>
        <w:spacing w:before="0" w:after="320" w:line="240" w:lineRule="auto"/>
        <w:ind w:left="0" w:right="0" w:firstLine="0"/>
        <w:jc w:val="right"/>
        <w:rPr>
          <w:rStyle w:val="None"/>
          <w:rFonts w:ascii="Times Roman" w:cs="Times Roman" w:hAnsi="Times Roman" w:eastAsia="Times Roman"/>
          <w:outline w:val="0"/>
          <w:color w:val="2c3e50"/>
          <w:u w:color="2c3e50"/>
          <w:shd w:val="clear" w:color="auto" w:fill="ffffff"/>
          <w:rtl w:val="1"/>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p>
    <w:p>
      <w:pPr>
        <w:pStyle w:val="Body A"/>
        <w:spacing w:after="0" w:line="240" w:lineRule="auto"/>
        <w:rPr>
          <w:rStyle w:val="None"/>
          <w:rFonts w:ascii="Times Roman" w:cs="Times Roman" w:hAnsi="Times Roman" w:eastAsia="Times Roman"/>
        </w:rPr>
      </w:pPr>
    </w:p>
    <w:p>
      <w:pPr>
        <w:pStyle w:val="Body A"/>
        <w:spacing w:after="0" w:line="240" w:lineRule="auto"/>
        <w:rPr>
          <w:rStyle w:val="None"/>
          <w:rFonts w:ascii="Arial" w:cs="Arial" w:hAnsi="Arial" w:eastAsia="Arial"/>
          <w:outline w:val="0"/>
          <w:color w:val="000000"/>
          <w:u w:color="000000"/>
          <w14:textFill>
            <w14:solidFill>
              <w14:srgbClr w14:val="000000"/>
            </w14:solidFill>
          </w14:textFill>
        </w:rPr>
      </w:pPr>
    </w:p>
    <w:p>
      <w:pPr>
        <w:pStyle w:val="Body A"/>
        <w:ind w:left="3600" w:right="107" w:firstLine="720"/>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rPr>
      </w:pPr>
    </w:p>
    <w:p>
      <w:pPr>
        <w:pStyle w:val="Body A"/>
        <w:rPr>
          <w:rStyle w:val="None"/>
          <w:rFonts w:ascii="Arial" w:cs="Arial" w:hAnsi="Arial" w:eastAsia="Arial"/>
          <w:b w:val="1"/>
          <w:bCs w:val="1"/>
          <w:sz w:val="24"/>
          <w:szCs w:val="24"/>
        </w:rPr>
      </w:pPr>
      <w:r>
        <w:rPr>
          <w:rStyle w:val="None"/>
          <w:rFonts w:ascii="Arial" w:hAnsi="Arial"/>
          <w:b w:val="1"/>
          <w:bCs w:val="1"/>
          <w:sz w:val="24"/>
          <w:szCs w:val="24"/>
          <w:rtl w:val="0"/>
          <w:lang w:val="en-US"/>
        </w:rPr>
        <w:t xml:space="preserve">Task 2: </w:t>
      </w:r>
    </w:p>
    <w:p>
      <w:pPr>
        <w:pStyle w:val="Body A"/>
        <w:rPr>
          <w:rStyle w:val="None"/>
          <w:outline w:val="0"/>
          <w:color w:val="000000"/>
          <w:u w:color="000000"/>
          <w14:textFill>
            <w14:solidFill>
              <w14:srgbClr w14:val="000000"/>
            </w14:solidFill>
          </w14:textFill>
        </w:rPr>
      </w:pPr>
    </w:p>
    <w:p>
      <w:pPr>
        <w:pStyle w:val="Body A"/>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You must choose an investigation in which you played a significant role and reflect upon how you supported victims and or witnesses. </w:t>
      </w:r>
    </w:p>
    <w:p>
      <w:pPr>
        <w:pStyle w:val="Body A"/>
        <w:rPr>
          <w:rStyle w:val="None"/>
          <w:b w:val="1"/>
          <w:bCs w:val="1"/>
        </w:rPr>
      </w:pPr>
    </w:p>
    <w:p>
      <w:pPr>
        <w:pStyle w:val="Body A"/>
        <w:rPr>
          <w:rStyle w:val="None"/>
          <w:b w:val="1"/>
          <w:bCs w:val="1"/>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6517"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ind w:left="0" w:right="237" w:firstLine="0"/>
              <w:jc w:val="both"/>
              <w:rPr>
                <w:rStyle w:val="None"/>
                <w:shd w:val="nil" w:color="auto" w:fill="auto"/>
                <w:rtl w:val="0"/>
              </w:rPr>
            </w:pPr>
            <w:r>
              <w:rPr>
                <w:rStyle w:val="None"/>
                <w:rFonts w:ascii="Arial" w:hAnsi="Arial"/>
                <w:b w:val="1"/>
                <w:bCs w:val="1"/>
                <w:sz w:val="24"/>
                <w:szCs w:val="24"/>
                <w:shd w:val="nil" w:color="auto" w:fill="auto"/>
                <w:rtl w:val="0"/>
                <w:lang w:val="en-US"/>
              </w:rPr>
              <w:t>Give a brief description</w:t>
            </w:r>
            <w:r>
              <w:rPr>
                <w:rStyle w:val="None"/>
                <w:rFonts w:ascii="Arial" w:hAnsi="Arial"/>
                <w:sz w:val="24"/>
                <w:szCs w:val="24"/>
                <w:shd w:val="nil" w:color="auto" w:fill="auto"/>
                <w:rtl w:val="0"/>
                <w:lang w:val="en-US"/>
              </w:rPr>
              <w:t xml:space="preserve"> of the investigation including social and legislative contexts and any relevant cultural, ethnicity and language issues.   </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b w:val="1"/>
                <w:bCs w:val="1"/>
                <w:sz w:val="24"/>
                <w:szCs w:val="24"/>
                <w:shd w:val="nil" w:color="auto" w:fill="auto"/>
                <w:rtl w:val="0"/>
              </w:rPr>
            </w:pPr>
            <w:r>
              <w:rPr>
                <w:rStyle w:val="None"/>
                <w:rFonts w:ascii="Arial" w:hAnsi="Arial"/>
                <w:b w:val="1"/>
                <w:bCs w:val="1"/>
                <w:sz w:val="24"/>
                <w:szCs w:val="24"/>
                <w:shd w:val="nil" w:color="auto" w:fill="auto"/>
                <w:rtl w:val="0"/>
                <w:lang w:val="en-US"/>
              </w:rPr>
              <w:t xml:space="preserve">Critically evaluate </w:t>
            </w:r>
            <w:r>
              <w:rPr>
                <w:rStyle w:val="None"/>
                <w:rFonts w:ascii="Arial" w:hAnsi="Arial"/>
                <w:b w:val="0"/>
                <w:bCs w:val="0"/>
                <w:sz w:val="24"/>
                <w:szCs w:val="24"/>
                <w:shd w:val="nil" w:color="auto" w:fill="auto"/>
                <w:rtl w:val="0"/>
                <w:lang w:val="en-US"/>
              </w:rPr>
              <w:t xml:space="preserve">how you have provided appropriate support for victims during an investigation. Consider the use of a victim strategy when required and working with the Victim Care Unit. </w:t>
            </w:r>
          </w:p>
          <w:p>
            <w:pPr>
              <w:pStyle w:val="Body A"/>
              <w:spacing w:after="0" w:line="240" w:lineRule="auto"/>
              <w:rPr>
                <w:rStyle w:val="None"/>
                <w:rFonts w:ascii="Arial" w:cs="Arial" w:hAnsi="Arial" w:eastAsia="Arial"/>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Examine</w:t>
            </w:r>
            <w:r>
              <w:rPr>
                <w:rStyle w:val="None"/>
                <w:rFonts w:ascii="Arial" w:hAnsi="Arial"/>
                <w:sz w:val="24"/>
                <w:szCs w:val="24"/>
                <w:shd w:val="nil" w:color="auto" w:fill="auto"/>
                <w:rtl w:val="0"/>
                <w:lang w:val="en-US"/>
              </w:rPr>
              <w:t xml:space="preserve"> the use of appropriate responses to safeguarding concerns and management risk in investigations. (Examples include but not limited to; child abuse, offences against vulnerable adults and domestic abuse).</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 xml:space="preserve">Consider and reflect </w:t>
            </w:r>
            <w:r>
              <w:rPr>
                <w:rStyle w:val="None"/>
                <w:rFonts w:ascii="Arial" w:hAnsi="Arial"/>
                <w:sz w:val="24"/>
                <w:szCs w:val="24"/>
                <w:shd w:val="nil" w:color="auto" w:fill="auto"/>
                <w:rtl w:val="0"/>
                <w:lang w:val="en-US"/>
              </w:rPr>
              <w:t xml:space="preserve">upon how you have assessed threat, risk and harm to develop and implement plans and strategies to investigate serious and complex crime. </w:t>
            </w:r>
          </w:p>
          <w:p>
            <w:pPr>
              <w:pStyle w:val="Body A"/>
              <w:spacing w:after="0" w:line="240" w:lineRule="auto"/>
              <w:rPr>
                <w:rStyle w:val="None"/>
                <w:rFonts w:ascii="Arial" w:cs="Arial" w:hAnsi="Arial" w:eastAsia="Arial"/>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237" w:firstLine="0"/>
              <w:jc w:val="both"/>
              <w:rPr>
                <w:rtl w:val="0"/>
              </w:rPr>
            </w:pPr>
            <w:r>
              <w:rPr>
                <w:rStyle w:val="None"/>
                <w:rFonts w:ascii="Arial" w:hAnsi="Arial"/>
                <w:sz w:val="24"/>
                <w:szCs w:val="24"/>
                <w:shd w:val="nil" w:color="auto" w:fill="auto"/>
                <w:rtl w:val="0"/>
                <w:lang w:val="en-US"/>
              </w:rPr>
              <w:t xml:space="preserve">2000 words </w:t>
            </w:r>
            <w:r>
              <w:rPr>
                <w:rStyle w:val="None"/>
                <w:rFonts w:ascii="Arial" w:hAnsi="Arial"/>
                <w:i w:val="1"/>
                <w:iCs w:val="1"/>
                <w:sz w:val="24"/>
                <w:szCs w:val="24"/>
                <w:shd w:val="nil" w:color="auto" w:fill="auto"/>
                <w:rtl w:val="0"/>
                <w:lang w:val="en-US"/>
              </w:rPr>
              <w:t>(+/- 10%: include your actual word count at the end of each section)</w:t>
            </w:r>
            <w:r>
              <w:rPr>
                <w:rStyle w:val="None"/>
                <w:rFonts w:ascii="Arial" w:cs="Arial" w:hAnsi="Arial" w:eastAsia="Arial"/>
                <w:sz w:val="24"/>
                <w:szCs w:val="24"/>
                <w:shd w:val="nil" w:color="auto" w:fill="auto"/>
              </w:rPr>
            </w:r>
          </w:p>
        </w:tc>
      </w:tr>
    </w:tbl>
    <w:p>
      <w:pPr>
        <w:pStyle w:val="Body A"/>
        <w:widowControl w:val="0"/>
        <w:spacing w:line="240" w:lineRule="auto"/>
        <w:ind w:left="108" w:hanging="108"/>
        <w:rPr>
          <w:rStyle w:val="None"/>
          <w:b w:val="1"/>
          <w:bCs w:val="1"/>
        </w:rPr>
      </w:pPr>
    </w:p>
    <w:p>
      <w:pPr>
        <w:pStyle w:val="Body A"/>
        <w:widowControl w:val="0"/>
        <w:spacing w:line="240" w:lineRule="auto"/>
        <w:rPr>
          <w:rStyle w:val="None"/>
          <w:b w:val="1"/>
          <w:bCs w:val="1"/>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pPr>
      <w:r>
        <w:rPr>
          <w:rStyle w:val="None"/>
          <w:rFonts w:ascii="Arial" w:hAnsi="Arial"/>
          <w:b w:val="1"/>
          <w:bCs w:val="1"/>
          <w:outline w:val="0"/>
          <w:color w:val="000000"/>
          <w:sz w:val="24"/>
          <w:szCs w:val="24"/>
          <w:u w:color="000000"/>
          <w:rtl w:val="0"/>
          <w:lang w:val="de-DE"/>
          <w14:textFill>
            <w14:solidFill>
              <w14:srgbClr w14:val="000000"/>
            </w14:solidFill>
          </w14:textFill>
        </w:rPr>
        <w:t>ANSWER:</w:t>
      </w: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investigation relates to an allegation of fraud. The alleged fraud was that one business partner had bankrupted</w:t>
      </w:r>
      <w:r>
        <w:rPr>
          <w:rStyle w:val="None"/>
          <w:rFonts w:ascii="Times New Roman" w:hAnsi="Times New Roman"/>
          <w:outline w:val="0"/>
          <w:color w:val="ff2600"/>
          <w:sz w:val="24"/>
          <w:szCs w:val="24"/>
          <w:u w:color="ff2600"/>
          <w:rtl w:val="0"/>
          <w:lang w:val="en-US"/>
          <w14:textFill>
            <w14:solidFill>
              <w14:srgbClr w14:val="FF2600"/>
            </w14:solidFill>
          </w14:textFill>
        </w:rPr>
        <w:t xml:space="preserve"> </w:t>
      </w:r>
      <w:r>
        <w:rPr>
          <w:rStyle w:val="None"/>
          <w:rFonts w:ascii="Times New Roman" w:hAnsi="Times New Roman"/>
          <w:sz w:val="24"/>
          <w:szCs w:val="24"/>
          <w:rtl w:val="0"/>
          <w:lang w:val="en-US"/>
        </w:rPr>
        <w:t>the</w:t>
      </w:r>
      <w:r>
        <w:rPr>
          <w:rStyle w:val="None"/>
          <w:rFonts w:ascii="Times New Roman" w:hAnsi="Times New Roman"/>
          <w:outline w:val="0"/>
          <w:color w:val="ff2600"/>
          <w:sz w:val="24"/>
          <w:szCs w:val="24"/>
          <w:u w:color="ff2600"/>
          <w:rtl w:val="0"/>
          <w:lang w:val="en-US"/>
          <w14:textFill>
            <w14:solidFill>
              <w14:srgbClr w14:val="FF2600"/>
            </w14:solidFill>
          </w14:textFill>
        </w:rPr>
        <w:t xml:space="preserve"> </w:t>
      </w:r>
      <w:r>
        <w:rPr>
          <w:rStyle w:val="None"/>
          <w:rFonts w:ascii="Times New Roman" w:hAnsi="Times New Roman"/>
          <w:sz w:val="24"/>
          <w:szCs w:val="24"/>
          <w:rtl w:val="0"/>
          <w:lang w:val="en-US"/>
        </w:rPr>
        <w:t xml:space="preserve">company by securing unauthorised loans against the assets of the company, hire purchasing company vehicles and securing mortgages against the private home address of the other business partner without their consent or knowledge.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A police investigation established that a number of meetings were attended by the partners together at banks to obtain loans, and at finance companies with regards to the hire purchase. It appeared from police enquiries that the lenders and other finance companies did not put in place and apply the appropriate measures for the victim, who was deaf. The financial institutions accepted what the suspect explained regarding the economic health of the company, without ensuring that the other Director, the victim, fully understood what he was signing. It appeared that the banks and finance companies did not give the proper consideration to the victim. One could say they took the easy option, and accepted the reassurance from the suspect and had the victim</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home and vehicle as security to minimise the risk to their institutions.</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was a business run by the victim</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family and the suspect was a trusted employee for many years. The suspect was trusted to look after the business and also, the victim. When the family members who were running the business passed away the, victim and suspect ran the company together and were business partners and company directors.</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outline w:val="0"/>
          <w:color w:val="ff2600"/>
          <w:sz w:val="24"/>
          <w:szCs w:val="24"/>
          <w:u w:color="ff2600"/>
          <w14:textFill>
            <w14:solidFill>
              <w14:srgbClr w14:val="FF2600"/>
            </w14:solidFill>
          </w14:textFill>
        </w:rPr>
      </w:pPr>
      <w:r>
        <w:rPr>
          <w:rStyle w:val="None"/>
          <w:rFonts w:ascii="Times New Roman" w:hAnsi="Times New Roman"/>
          <w:sz w:val="24"/>
          <w:szCs w:val="24"/>
          <w:rtl w:val="0"/>
          <w:lang w:val="en-US"/>
        </w:rPr>
        <w:t>The victim and the suspect both had responsibility for running the company and one could argue that the victim was okay with everything until the monies ran out and questions began to be asked. They continued to spend monies on themselves by going on expensive cruises and holidays. One could consider that the victim must have stopped for a moment to give thought to where the monies were coming from, as the business was not as prosperous as it had been previously. Also, the victim was not collecting full payments for the services that were provided by the company.</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As the investigation progressed it became evident that the victim was treated like an employee by his family and the other business partner was more hands on with the family and had a greater involvement in the business. Nevertheless section 174 of the Companies Act 2006, sets out one of the obligations of a director,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duty to exercise reasonable care, skill and diligence towards the company</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One could argue that this was not done by the victim as he was the only other director of the company. (Companies Act, 2006). Still is was clear to me that he was taken advantage of due to him being deaf, but he did bear some responsibility in the demise of the company.</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legislation I considered was fraud by false representation, fraud by abuse of position (Fraud Act, 2006, Section 2&amp;4). Fraud by false representation, is a person makes a false representation to make a gain for himself or expose another to a loss (Fraud Act, 2006, section 2 ). The legislation related to the representations made in the applications to the banks, mortgage companies and finance companies thereby gaining the monies; had the finance companies known the true facts the monies would not have been advanced. Fraud by abuse of position is when a person who occupies a position of trust and there is an expectation that they would safeguard the interests of another person. (Fraud Act, 2006, section 4). The legislation related to the position the directors had in safeguarding the interests of the others in the company. The business partner allegedly exposed the other to this risk and abused their trust.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challenge I faced with this investigation was that the victim was deaf. Prior to this investigation I had not dealt with a witness or suspect that was deaf. I began by contacting the relevant department within the organisation for guidance and assistance in the process of obtaining an account from the victim. I was advised that I was to arrange for an accredited person in British Sign Language to help facilitate the interview process and also that the interview should be recorded as per force policy, to obtain best evidence.</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 contacted an external accredited interpreter who was able to facilitate the interview with the victim. I ensured that the interview did not take place inside a custody unit as I felt that was not an environment the victim would feel comfortable in. During the first, introductory meeting, I explained how the process would work to set the victim at ease and so that they would not feel overwhelmed. It can be a daunting task dealing with the police, especially for those who have never dealt with police before. The situation was enhanced with the added aspect of the victim being vulnerable, but I was confident by following force policy and with advice from colleagues that what I was doing in obtaining best evidence and keeping the victim focused and at ease, was right.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 gave consideration to the principles of interview as set out by the College of Policing, principle one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obtain an accurate account from the victim', principle two,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is to be fair to the victim when questioning</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(College of Policing, 2011). Together with using the PEACE framework interview model, Planning &amp; Preparation, Engage &amp; Explain, Account clarification &amp; Challenge, Closure and Evaluation, assisted me in having structure to the interview and allowed me to remain focused on what I wanted to accomplish. This proved difficult at times as the victim would become angry and annoyed when challenged with regards to his involvement with, and running of the business.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Between the 1 April 2020 </w:t>
      </w:r>
      <w:r>
        <w:rPr>
          <w:rStyle w:val="None"/>
          <w:rFonts w:ascii="Times New Roman" w:hAnsi="Times New Roman" w:hint="default"/>
          <w:sz w:val="24"/>
          <w:szCs w:val="24"/>
          <w:rtl w:val="0"/>
        </w:rPr>
        <w:t xml:space="preserve">– </w:t>
      </w:r>
      <w:r>
        <w:rPr>
          <w:rStyle w:val="None"/>
          <w:rFonts w:ascii="Times New Roman" w:hAnsi="Times New Roman"/>
          <w:sz w:val="24"/>
          <w:szCs w:val="24"/>
          <w:rtl w:val="0"/>
          <w:lang w:val="en-US"/>
        </w:rPr>
        <w:t xml:space="preserve">31 March 2021 the police barred list sets-out that the third factor in breaching the standard of professional behaviour of police officers is Equality and Diversity ( College of Policing, 2022). This is a Standard of Behaviour, expected of police officers and demonstrates the seriousness to which police forces hold officers to account. Without it, certain members of the public would be treated unfairly which could feed into peoples anxiety in engaging with the police. However, I am confident in reassuring victims of crime and especially those who are vulnerable in our communities.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There has been a vast improvement within police in relation to being victim focused. There are dedicated organisations, such as Victim Support, which assists and signposts investigators when liaising with victims of crime (Victim Support, 2022), it also provides advice and guidance regarding practical support. More importantly police have special measures available to implement too.</w:t>
      </w:r>
      <w:r>
        <w:rPr>
          <w:rStyle w:val="None"/>
          <w:rFonts w:ascii="Times New Roman" w:hAnsi="Times New Roman"/>
          <w:outline w:val="0"/>
          <w:color w:val="ff2600"/>
          <w:sz w:val="24"/>
          <w:szCs w:val="24"/>
          <w:u w:color="ff2600"/>
          <w:rtl w:val="0"/>
          <w:lang w:val="en-US"/>
          <w14:textFill>
            <w14:solidFill>
              <w14:srgbClr w14:val="FF2600"/>
            </w14:solidFill>
          </w14:textFill>
        </w:rPr>
        <w:t xml:space="preserve"> </w:t>
      </w:r>
      <w:r>
        <w:rPr>
          <w:rStyle w:val="None"/>
          <w:rFonts w:ascii="Times New Roman" w:hAnsi="Times New Roman"/>
          <w:sz w:val="24"/>
          <w:szCs w:val="24"/>
          <w:rtl w:val="0"/>
          <w:lang w:val="en-US"/>
        </w:rPr>
        <w:t xml:space="preserve">As in the case referred to above, the victim in this case fell into that category.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change in this approach both assists investigators in making the right decision and helps address any delays in the investigation in setting up this arrangement to interview the victim. It also puts the victim at the forefront of the investigation and equips investigators to ensure that we provide a seamless investigation process for victims of crime. It is unsatisfactory and unfortunate to have experienced being a victim of crime and to relive that experience in retelling it to the police must take its toll on the victim.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With the enhanced victim rights that came into effect in April 2021, this again is a positive step in engaging with victims of crime, in that they now provide additional measures for vulnerable victims, such as additional support (College of Policing, 2021). Also the Home Office has published a strategic guide for police forces and their partners when dealing with vulnerable persons, this is very helpful from a policing perspective, as the college of policing is clear that police officers should have the necessary skills in dealing with vulnerability and guidance from the home office is helpful. (Home Office, n.d). The victims code for policing sets out the minimum standards for organisations, such as the police in dealing with victims,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these codes make it easier for officers to understand, such as an emphasis on explaining why decisions are made</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College of policing, 2021).</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victim in my case was eligible for Special Measures, as one of the measures is if the victim has,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a physical disability or are suffering from a physical disorder</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(Youth Justice and Criminal Evidence Act,</w:t>
      </w:r>
      <w:r>
        <w:rPr>
          <w:rStyle w:val="None"/>
          <w:rFonts w:ascii="Times New Roman" w:hAnsi="Times New Roman"/>
          <w:sz w:val="24"/>
          <w:szCs w:val="24"/>
          <w:rtl w:val="0"/>
        </w:rPr>
        <w:t xml:space="preserve"> 1999</w:t>
      </w:r>
      <w:r>
        <w:rPr>
          <w:rStyle w:val="None"/>
          <w:rFonts w:ascii="Times New Roman" w:hAnsi="Times New Roman"/>
          <w:sz w:val="24"/>
          <w:szCs w:val="24"/>
          <w:rtl w:val="0"/>
          <w:lang w:val="en-US"/>
        </w:rPr>
        <w:t xml:space="preserve">). Managing a vulnerable persons risk, and at the same time affording them the dignity they deserve in reporting crimes should be a priority in the police service.  The United Nations, Article 1 of the Universal Declaration of Human Rights,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All human beings are born free and equal in dignity and rights' ( United Nations, 1948), this together with the UN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international norms and standards relating to disability are of relevance to policing, this clearly sets out persons who are not specifically covered by the declaration of human rights. (United Nations, n.d.</w:t>
      </w:r>
      <w:r>
        <w:rPr>
          <w:rStyle w:val="None"/>
          <w:rFonts w:ascii="Times New Roman" w:hAnsi="Times New Roman"/>
          <w:sz w:val="24"/>
          <w:szCs w:val="24"/>
          <w:rtl w:val="0"/>
        </w:rPr>
        <w:t>)</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In 2006 the Convention on the Rights of Persons with Disabilities was adopted and the United Kingdom (UK) agreed to follow it in 2009. The UK agreed to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protect the rights and eliminate disability discrimination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UN Convention on the Rights of Persons with Disabilities, 2006)</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Reflecting on how I engaged with the victim, I asked myself how would I want to be understood. I was not in the same position as the victim but certain elements of his struggle in interview in getting his point across to me I could see and feel his frustration. It felt as if I was going over the same question for some time until it came to a point I made a decision to move onto another question and return to particular relevant questions of importance at a later interview.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I am encouraged to see the police</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approach in dealing with victims, with a fuller picture and being better equipped with dealing with better social skills and in identifying vulnerabilities in our communities and providing the service they deserve. Sue Evans the chief executive of the Royal Association of Deaf People (RAD) 2021 states,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Our latest research confirms what many deaf people, and those working in the sector, have unfortunately known for a while: that deaf people continue to face significant challenges when it comes to accessing the labour market</w:t>
      </w:r>
      <w:r>
        <w:rPr>
          <w:rStyle w:val="None"/>
          <w:rFonts w:ascii="Times New Roman" w:hAnsi="Times New Roman" w:hint="default"/>
          <w:sz w:val="24"/>
          <w:szCs w:val="24"/>
          <w:rtl w:val="0"/>
          <w:lang w:val="en-US"/>
        </w:rPr>
        <w:t>’</w:t>
      </w:r>
      <w:r>
        <w:rPr>
          <w:rStyle w:val="None"/>
          <w:rFonts w:ascii="Times New Roman" w:hAnsi="Times New Roman"/>
          <w:sz w:val="24"/>
          <w:szCs w:val="24"/>
          <w:rtl w:val="0"/>
        </w:rPr>
        <w:t>.</w:t>
      </w:r>
      <w:r>
        <w:rPr>
          <w:rStyle w:val="None"/>
          <w:rFonts w:ascii="Times New Roman" w:hAnsi="Times New Roman"/>
          <w:sz w:val="24"/>
          <w:szCs w:val="24"/>
          <w:rtl w:val="0"/>
          <w:lang w:val="en-US"/>
        </w:rPr>
        <w:t xml:space="preserve"> (Bareham, 2021) This should not be the case when we are providing assistance from a policing point of view, just as with the Welsh language act, a person has the right to be dealt with in the medium of Welsh, so should a person who is deaf.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With the ever changing guidance, such as '</w:t>
      </w:r>
      <w:r>
        <w:rPr>
          <w:rStyle w:val="Hyperlink.4"/>
        </w:rPr>
        <w:fldChar w:fldCharType="begin" w:fldLock="0"/>
      </w:r>
      <w:r>
        <w:rPr>
          <w:rStyle w:val="Hyperlink.4"/>
        </w:rPr>
        <w:instrText xml:space="preserve"> HYPERLINK "https://www.gov.uk/government/publications/achieving-best-evidence-in-criminal-proceedings"</w:instrText>
      </w:r>
      <w:r>
        <w:rPr>
          <w:rStyle w:val="Hyperlink.4"/>
        </w:rPr>
        <w:fldChar w:fldCharType="separate" w:fldLock="0"/>
      </w:r>
      <w:r>
        <w:rPr>
          <w:rStyle w:val="Hyperlink.4"/>
          <w:rtl w:val="0"/>
          <w:lang w:val="en-US"/>
        </w:rPr>
        <w:t>MOJ (2022) Achieving Best Evidence in Criminal Proceedings: Guidance on Interviewing Victims and Witnesses, and using Special Measures</w:t>
      </w:r>
      <w:r>
        <w:rPr/>
        <w:fldChar w:fldCharType="end" w:fldLock="0"/>
      </w:r>
      <w:r>
        <w:rPr>
          <w:rStyle w:val="None"/>
          <w:rFonts w:ascii="Times New Roman" w:hAnsi="Times New Roman"/>
          <w:sz w:val="24"/>
          <w:szCs w:val="24"/>
          <w:rtl w:val="0"/>
        </w:rPr>
        <w:t>.</w:t>
      </w:r>
      <w:r>
        <w:rPr>
          <w:rStyle w:val="None"/>
          <w:rFonts w:ascii="Times New Roman" w:hAnsi="Times New Roman"/>
          <w:sz w:val="24"/>
          <w:szCs w:val="24"/>
          <w:rtl w:val="0"/>
          <w:lang w:val="en-US"/>
        </w:rPr>
        <w:t xml:space="preserve">' </w:t>
      </w:r>
      <w:r>
        <w:rPr>
          <w:rStyle w:val="None"/>
          <w:rFonts w:ascii="Times New Roman" w:hAnsi="Times New Roman"/>
          <w:outline w:val="0"/>
          <w:color w:val="333333"/>
          <w:sz w:val="24"/>
          <w:szCs w:val="24"/>
          <w:u w:color="333333"/>
          <w:rtl w:val="0"/>
          <w:lang w:val="en-US"/>
          <w14:textFill>
            <w14:solidFill>
              <w14:srgbClr w14:val="333333"/>
            </w14:solidFill>
          </w14:textFill>
        </w:rPr>
        <w:t xml:space="preserve">(College of Policing, 2011), this demonstrates to me that there is always room for improvement in that ultimately I can provide a better service to victims of crime and more particularly vulnerable people. </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My approach today would be slightly different as I am better trained and equipped in dealing with vulnerable suspects witnesses and victims of crime. Upon reflection I would know first hand who to contact to assist me with an investigation and also South Wales police has provided training and awareness for investigators.</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(Word Count 1857)</w:t>
      </w: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rPr>
      </w:pPr>
    </w:p>
    <w:p>
      <w:pPr>
        <w:pStyle w:val="Body A"/>
        <w:spacing w:after="0" w:line="240" w:lineRule="auto"/>
        <w:rPr>
          <w:rStyle w:val="None"/>
          <w:rFonts w:ascii="Times New Roman" w:cs="Times New Roman" w:hAnsi="Times New Roman" w:eastAsia="Times New Roman"/>
          <w:sz w:val="24"/>
          <w:szCs w:val="24"/>
          <w:u w:val="single"/>
        </w:rPr>
      </w:pPr>
      <w:r>
        <w:rPr>
          <w:rStyle w:val="None"/>
          <w:rFonts w:ascii="Times New Roman" w:hAnsi="Times New Roman"/>
          <w:sz w:val="24"/>
          <w:szCs w:val="24"/>
          <w:u w:val="single"/>
          <w:rtl w:val="0"/>
          <w:lang w:val="en-US"/>
        </w:rPr>
        <w:t>Reference</w:t>
      </w:r>
    </w:p>
    <w:p>
      <w:pPr>
        <w:pStyle w:val="Body A"/>
        <w:spacing w:after="0" w:line="240" w:lineRule="auto"/>
        <w:rPr>
          <w:rStyle w:val="None"/>
          <w:rFonts w:ascii="Times New Roman" w:cs="Times New Roman" w:hAnsi="Times New Roman" w:eastAsia="Times New Roman"/>
          <w:sz w:val="24"/>
          <w:szCs w:val="24"/>
          <w:u w:val="single"/>
        </w:rPr>
      </w:pP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Times Roman" w:hAnsi="Times Roman"/>
          <w:outline w:val="0"/>
          <w:color w:val="666666"/>
          <w:u w:color="666666"/>
          <w:shd w:val="clear" w:color="auto" w:fill="ffffff"/>
          <w:rtl w:val="0"/>
          <w:lang w:val="en-US"/>
          <w14:textFill>
            <w14:solidFill>
              <w14:srgbClr w14:val="666666"/>
            </w14:solidFill>
          </w14:textFill>
        </w:rPr>
        <w:t xml:space="preserve">Bareham, L., 2021. RAD research reveals significant barriers to employment and career progression opportunities for deaf people. [online] Available at: &lt;https://www.royaldeaf.org.uk/rad-research-reveals-significant-barriers-to-employment-and-career-progression-opportunities-for-deaf-people/&gt; </w:t>
      </w:r>
    </w:p>
    <w:p>
      <w:pPr>
        <w:pStyle w:val="Body A"/>
        <w:spacing w:after="0" w:line="240" w:lineRule="auto"/>
        <w:rPr>
          <w:rStyle w:val="None"/>
          <w:rFonts w:ascii="Times New Roman" w:cs="Times New Roman" w:hAnsi="Times New Roman" w:eastAsia="Times New Roman"/>
          <w:outline w:val="0"/>
          <w:color w:val="666666"/>
          <w:sz w:val="24"/>
          <w:szCs w:val="24"/>
          <w:u w:val="single" w:color="666666"/>
          <w14:textFill>
            <w14:solidFill>
              <w14:srgbClr w14:val="666666"/>
            </w14:solidFill>
          </w14:textFill>
        </w:rPr>
      </w:pPr>
    </w:p>
    <w:p>
      <w:pPr>
        <w:pStyle w:val="Default"/>
        <w:spacing w:before="0" w:after="32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Times Roman" w:hAnsi="Times Roman"/>
          <w:outline w:val="0"/>
          <w:color w:val="666666"/>
          <w:u w:color="666666"/>
          <w:shd w:val="clear" w:color="auto" w:fill="ffffff"/>
          <w:rtl w:val="0"/>
          <w:lang w:val="en-US"/>
          <w14:textFill>
            <w14:solidFill>
              <w14:srgbClr w14:val="666666"/>
            </w14:solidFill>
          </w14:textFill>
        </w:rPr>
        <w:t>College of Policing (2021). Victims</w:t>
      </w:r>
      <w:r>
        <w:rPr>
          <w:rStyle w:val="None"/>
          <w:rFonts w:ascii="Arial Unicode MS" w:hAnsi="Arial Unicode MS" w:hint="default"/>
          <w:outline w:val="0"/>
          <w:color w:val="666666"/>
          <w:u w:color="666666"/>
          <w:shd w:val="clear" w:color="auto" w:fill="ffffff"/>
          <w:rtl w:val="0"/>
          <w:lang w:val="en-US"/>
          <w14:textFill>
            <w14:solidFill>
              <w14:srgbClr w14:val="666666"/>
            </w14:solidFill>
          </w14:textFill>
        </w:rPr>
        <w:t xml:space="preserve">’ </w:t>
      </w:r>
      <w:r>
        <w:rPr>
          <w:rStyle w:val="None"/>
          <w:rFonts w:ascii="Times Roman" w:hAnsi="Times Roman"/>
          <w:outline w:val="0"/>
          <w:color w:val="666666"/>
          <w:u w:color="666666"/>
          <w:shd w:val="clear" w:color="auto" w:fill="ffffff"/>
          <w:rtl w:val="0"/>
          <w:lang w:val="en-US"/>
          <w14:textFill>
            <w14:solidFill>
              <w14:srgbClr w14:val="666666"/>
            </w14:solidFill>
          </w14:textFill>
        </w:rPr>
        <w:t xml:space="preserve">Code for policing. [online] College of Policing. Available at: </w:t>
      </w:r>
      <w:r>
        <w:rPr>
          <w:rStyle w:val="Hyperlink.5"/>
        </w:rPr>
        <w:fldChar w:fldCharType="begin" w:fldLock="0"/>
      </w:r>
      <w:r>
        <w:rPr>
          <w:rStyle w:val="Hyperlink.5"/>
        </w:rPr>
        <w:instrText xml:space="preserve"> HYPERLINK "https://www.college.police.uk/guidance/victims-code/victims-rights-policing"</w:instrText>
      </w:r>
      <w:r>
        <w:rPr>
          <w:rStyle w:val="Hyperlink.5"/>
        </w:rPr>
        <w:fldChar w:fldCharType="separate" w:fldLock="0"/>
      </w:r>
      <w:r>
        <w:rPr>
          <w:rStyle w:val="Hyperlink.5"/>
          <w:rtl w:val="0"/>
          <w:lang w:val="en-US"/>
        </w:rPr>
        <w:t>https://www.college.police.uk/guidance/victims-code/victims-rights-policing</w:t>
      </w:r>
      <w:r>
        <w:rPr/>
        <w:fldChar w:fldCharType="end" w:fldLock="0"/>
      </w:r>
      <w:r>
        <w:rPr>
          <w:rStyle w:val="None"/>
          <w:rFonts w:ascii="Times Roman" w:hAnsi="Times Roman"/>
          <w:outline w:val="0"/>
          <w:color w:val="666666"/>
          <w:u w:color="666666"/>
          <w:shd w:val="clear" w:color="auto" w:fill="ffffff"/>
          <w:rtl w:val="0"/>
          <w:lang w:val="en-US"/>
          <w14:textFill>
            <w14:solidFill>
              <w14:srgbClr w14:val="666666"/>
            </w14:solidFill>
          </w14:textFill>
        </w:rPr>
        <w:t xml:space="preserve"> [Accessed 17 Mar. 2022].</w:t>
      </w:r>
    </w:p>
    <w:p>
      <w:pPr>
        <w:pStyle w:val="Default"/>
        <w:spacing w:before="0" w:after="32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Arial Unicode MS" w:hAnsi="Arial Unicode MS" w:hint="default"/>
          <w:outline w:val="0"/>
          <w:color w:val="666666"/>
          <w:u w:color="666666"/>
          <w:shd w:val="clear" w:color="auto" w:fill="ffffff"/>
          <w:rtl w:val="0"/>
          <w:lang w:val="en-US"/>
          <w14:textFill>
            <w14:solidFill>
              <w14:srgbClr w14:val="666666"/>
            </w14:solidFill>
          </w14:textFill>
        </w:rPr>
        <w:t>‌</w:t>
      </w:r>
      <w:r>
        <w:rPr>
          <w:rStyle w:val="None"/>
          <w:rFonts w:ascii="Times Roman" w:hAnsi="Times Roman"/>
          <w:outline w:val="0"/>
          <w:color w:val="666666"/>
          <w:u w:color="666666"/>
          <w:shd w:val="clear" w:color="auto" w:fill="ffffff"/>
          <w:rtl w:val="0"/>
          <w:lang w:val="en-US"/>
          <w14:textFill>
            <w14:solidFill>
              <w14:srgbClr w14:val="666666"/>
            </w14:solidFill>
          </w14:textFill>
        </w:rPr>
        <w:t xml:space="preserve">College of policing (2011). Investigative Interviewing. [online] Police.uk. Available at: </w:t>
      </w:r>
      <w:r>
        <w:rPr>
          <w:rStyle w:val="Hyperlink.5"/>
        </w:rPr>
        <w:fldChar w:fldCharType="begin" w:fldLock="0"/>
      </w:r>
      <w:r>
        <w:rPr>
          <w:rStyle w:val="Hyperlink.5"/>
        </w:rPr>
        <w:instrText xml:space="preserve"> HYPERLINK "https://www.app.college.police.uk/app-content/investigations/investigative-interviewing/"</w:instrText>
      </w:r>
      <w:r>
        <w:rPr>
          <w:rStyle w:val="Hyperlink.5"/>
        </w:rPr>
        <w:fldChar w:fldCharType="separate" w:fldLock="0"/>
      </w:r>
      <w:r>
        <w:rPr>
          <w:rStyle w:val="Hyperlink.5"/>
          <w:rtl w:val="0"/>
          <w:lang w:val="en-US"/>
        </w:rPr>
        <w:t>https://www.app.college.police.uk/app-content/investigations/investigative-interviewing/</w:t>
      </w:r>
      <w:r>
        <w:rPr/>
        <w:fldChar w:fldCharType="end" w:fldLock="0"/>
      </w: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Times Roman" w:hAnsi="Times Roman"/>
          <w:outline w:val="0"/>
          <w:color w:val="666666"/>
          <w:u w:color="666666"/>
          <w:shd w:val="clear" w:color="auto" w:fill="ffffff"/>
          <w:rtl w:val="0"/>
          <w:lang w:val="en-US"/>
          <w14:textFill>
            <w14:solidFill>
              <w14:srgbClr w14:val="666666"/>
            </w14:solidFill>
          </w14:textFill>
        </w:rPr>
        <w:t xml:space="preserve">Equalityhumanrights.com. (2010). UN Convention on the Rights of Persons with Disabilities | Equality and Human Rights Commission. [online] Available at: </w:t>
      </w:r>
      <w:r>
        <w:rPr>
          <w:rStyle w:val="Hyperlink.5"/>
        </w:rPr>
        <w:fldChar w:fldCharType="begin" w:fldLock="0"/>
      </w:r>
      <w:r>
        <w:rPr>
          <w:rStyle w:val="Hyperlink.5"/>
        </w:rPr>
        <w:instrText xml:space="preserve"> HYPERLINK "https://www.equalityhumanrights.com/en/our-human-rights-work/monitoring-and-promoting-un-treaties/un-convention-rights-persons-disabilities.%255B"</w:instrText>
      </w:r>
      <w:r>
        <w:rPr>
          <w:rStyle w:val="Hyperlink.5"/>
        </w:rPr>
        <w:fldChar w:fldCharType="separate" w:fldLock="0"/>
      </w:r>
      <w:r>
        <w:rPr>
          <w:rStyle w:val="Hyperlink.5"/>
          <w:rtl w:val="0"/>
          <w:lang w:val="en-US"/>
        </w:rPr>
        <w:t>https://www.equalityhumanrights.com/en/our-human-rights-work/monitoring-and-promoting-un-treaties/un-convention-rights-persons-disabilities.[</w:t>
      </w:r>
      <w:r>
        <w:rPr/>
        <w:fldChar w:fldCharType="end" w:fldLock="0"/>
      </w:r>
      <w:r>
        <w:rPr>
          <w:rStyle w:val="None"/>
          <w:rFonts w:ascii="Times Roman" w:hAnsi="Times Roman"/>
          <w:outline w:val="0"/>
          <w:color w:val="666666"/>
          <w:u w:color="666666"/>
          <w:shd w:val="clear" w:color="auto" w:fill="ffffff"/>
          <w:rtl w:val="0"/>
          <w:lang w:val="en-US"/>
          <w14:textFill>
            <w14:solidFill>
              <w14:srgbClr w14:val="666666"/>
            </w14:solidFill>
          </w14:textFill>
        </w:rPr>
        <w:t>Accessed 19 Mar. 2022]</w:t>
      </w: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Times Roman" w:hAnsi="Times Roman"/>
          <w:outline w:val="0"/>
          <w:color w:val="666666"/>
          <w:u w:color="666666"/>
          <w:shd w:val="clear" w:color="auto" w:fill="ffffff"/>
          <w:rtl w:val="0"/>
          <w:lang w:val="en-US"/>
          <w14:textFill>
            <w14:solidFill>
              <w14:srgbClr w14:val="666666"/>
            </w14:solidFill>
          </w14:textFill>
        </w:rPr>
        <w:t>GOV.UK. (n.d.). Achieving best evidence in criminal proceedings. [online] Available at: https://www.gov.uk/government/publications/achieving-best-evidence-in-criminal-proceedings.</w:t>
      </w: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p>
    <w:p>
      <w:pPr>
        <w:pStyle w:val="Default"/>
        <w:spacing w:before="0" w:line="240" w:lineRule="auto"/>
        <w:rPr>
          <w:rStyle w:val="None"/>
          <w:rFonts w:ascii="Times New Roman" w:cs="Times New Roman" w:hAnsi="Times New Roman" w:eastAsia="Times New Roman"/>
          <w:outline w:val="0"/>
          <w:color w:val="666666"/>
          <w:u w:color="666666"/>
          <w:shd w:val="clear" w:color="auto" w:fill="ffffff"/>
          <w14:textFill>
            <w14:solidFill>
              <w14:srgbClr w14:val="666666"/>
            </w14:solidFill>
          </w14:textFill>
        </w:rPr>
      </w:pPr>
      <w:r>
        <w:rPr>
          <w:rStyle w:val="None"/>
          <w:rFonts w:ascii="Times New Roman" w:hAnsi="Times New Roman"/>
          <w:outline w:val="0"/>
          <w:color w:val="666666"/>
          <w:u w:color="666666"/>
          <w:shd w:val="clear" w:color="auto" w:fill="ffffff"/>
          <w:rtl w:val="0"/>
          <w:lang w:val="en-US"/>
          <w14:textFill>
            <w14:solidFill>
              <w14:srgbClr w14:val="666666"/>
            </w14:solidFill>
          </w14:textFill>
        </w:rPr>
        <w:t>Legislation.gov.uk. (2011). Fraud Act 2006. [online] Available at: https://www.legislation.gov.uk/ukpga/2006/35/section/4. [Accessed 26/02/2022]</w:t>
      </w:r>
    </w:p>
    <w:p>
      <w:pPr>
        <w:pStyle w:val="Default"/>
        <w:spacing w:before="0" w:line="240" w:lineRule="auto"/>
        <w:rPr>
          <w:rStyle w:val="None"/>
          <w:rFonts w:ascii="Times New Roman" w:cs="Times New Roman" w:hAnsi="Times New Roman" w:eastAsia="Times New Roman"/>
          <w:outline w:val="0"/>
          <w:color w:val="666666"/>
          <w:u w:color="666666"/>
          <w:shd w:val="clear" w:color="auto" w:fill="ffffff"/>
          <w14:textFill>
            <w14:solidFill>
              <w14:srgbClr w14:val="666666"/>
            </w14:solidFill>
          </w14:textFill>
        </w:rPr>
      </w:pPr>
    </w:p>
    <w:p>
      <w:pPr>
        <w:pStyle w:val="Default"/>
        <w:spacing w:before="0" w:after="320" w:line="240" w:lineRule="auto"/>
        <w:rPr>
          <w:rStyle w:val="None"/>
          <w:rFonts w:ascii="Times New Roman" w:cs="Times New Roman" w:hAnsi="Times New Roman" w:eastAsia="Times New Roman"/>
          <w:outline w:val="0"/>
          <w:color w:val="666666"/>
          <w:u w:color="666666"/>
          <w:shd w:val="clear" w:color="auto" w:fill="ffffff"/>
          <w14:textFill>
            <w14:solidFill>
              <w14:srgbClr w14:val="666666"/>
            </w14:solidFill>
          </w14:textFill>
        </w:rPr>
      </w:pPr>
      <w:r>
        <w:rPr>
          <w:rStyle w:val="None"/>
          <w:rFonts w:ascii="Arial Unicode MS" w:hAnsi="Arial Unicode MS" w:hint="default"/>
          <w:outline w:val="0"/>
          <w:color w:val="666666"/>
          <w:u w:color="666666"/>
          <w:shd w:val="clear" w:color="auto" w:fill="ffffff"/>
          <w:rtl w:val="0"/>
          <w:lang w:val="en-US"/>
          <w14:textFill>
            <w14:solidFill>
              <w14:srgbClr w14:val="666666"/>
            </w14:solidFill>
          </w14:textFill>
        </w:rPr>
        <w:t>‌</w:t>
      </w:r>
      <w:r>
        <w:rPr>
          <w:rStyle w:val="None"/>
          <w:rFonts w:ascii="Times New Roman" w:hAnsi="Times New Roman"/>
          <w:outline w:val="0"/>
          <w:color w:val="666666"/>
          <w:u w:color="666666"/>
          <w:shd w:val="clear" w:color="auto" w:fill="ffffff"/>
          <w:rtl w:val="0"/>
          <w:lang w:val="en-US"/>
          <w14:textFill>
            <w14:solidFill>
              <w14:srgbClr w14:val="666666"/>
            </w14:solidFill>
          </w14:textFill>
        </w:rPr>
        <w:t>Legislation.gov.uk. (2011). Fraud Act 2006. [online] Available at: https://www.legislation.gov.uk/ukpga/2006/35/section/2. [Accessed 26/02/2022]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(2010). Companies Act 2006. [online] Available at: https://www.legislation.gov.uk/ukpga/2006/46/part/10/chapter/2/crossheading/the-general-duties. [Accessed 19</w:t>
      </w:r>
      <w:r>
        <w:rPr>
          <w:rStyle w:val="None"/>
          <w:rFonts w:ascii="Times Roman" w:hAnsi="Times Roman"/>
          <w:outline w:val="0"/>
          <w:color w:val="2c3e50"/>
          <w:u w:color="2c3e50"/>
          <w:shd w:val="clear" w:color="auto" w:fill="ffffff"/>
          <w:rtl w:val="0"/>
          <w:lang w:val="pt-PT"/>
          <w14:textFill>
            <w14:solidFill>
              <w14:srgbClr w14:val="2C3E50"/>
            </w14:solidFill>
          </w14:textFill>
        </w:rPr>
        <w:t xml:space="preserve">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(2021). Youth Justice and Criminal Evidence Act 1999. [online] Available at: https://www.legislation.gov.uk/ukpga/1999/23/section/18. [Accessed 19 Mar. 2022]</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New Roman" w:cs="Times New Roman" w:hAnsi="Times New Roman" w:eastAsia="Times New Roman"/>
          <w:outline w:val="0"/>
          <w:color w:val="2c3e50"/>
          <w:u w:color="2c3e50"/>
          <w:shd w:val="clear" w:color="auto" w:fill="ffffff"/>
          <w14:textFill>
            <w14:solidFill>
              <w14:srgbClr w14:val="2C3E50"/>
            </w14:solidFill>
          </w14:textFill>
        </w:rPr>
      </w:pPr>
      <w:r>
        <w:rPr>
          <w:rStyle w:val="None"/>
          <w:rFonts w:ascii="Times New Roman" w:hAnsi="Times New Roman"/>
          <w:outline w:val="0"/>
          <w:color w:val="2c3e50"/>
          <w:u w:color="2c3e50"/>
          <w:shd w:val="clear" w:color="auto" w:fill="ffffff"/>
          <w:rtl w:val="0"/>
          <w:lang w:val="it-IT"/>
          <w14:textFill>
            <w14:solidFill>
              <w14:srgbClr w14:val="2C3E50"/>
            </w14:solidFill>
          </w14:textFill>
        </w:rPr>
        <w:t xml:space="preserve">Mastrocinque, J. M. et al. (2017) </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Deaf Victims</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 xml:space="preserve">’ </w:t>
      </w:r>
      <w:r>
        <w:rPr>
          <w:rStyle w:val="None"/>
          <w:rFonts w:ascii="Times New Roman" w:hAnsi="Times New Roman"/>
          <w:outline w:val="0"/>
          <w:color w:val="2c3e50"/>
          <w:u w:color="2c3e50"/>
          <w:shd w:val="clear" w:color="auto" w:fill="ffffff"/>
          <w:rtl w:val="0"/>
          <w:lang w:val="en-US"/>
          <w14:textFill>
            <w14:solidFill>
              <w14:srgbClr w14:val="2C3E50"/>
            </w14:solidFill>
          </w14:textFill>
        </w:rPr>
        <w:t>Experiences With Intimate Partner Violence: The Need for Integration and Innovation</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 Journal of Interpersonal Violence, 32(24), pp. 3753</w:t>
      </w:r>
      <w:r>
        <w:rPr>
          <w:rStyle w:val="None"/>
          <w:rFonts w:ascii="Times New Roman" w:hAnsi="Times New Roman"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3777. [Accessed 01/03/2022</w:t>
      </w:r>
      <w:r>
        <w:rPr>
          <w:rStyle w:val="None"/>
          <w:rFonts w:ascii="Times New Roman" w:hAnsi="Times New Roman"/>
          <w:outline w:val="0"/>
          <w:color w:val="2c3e50"/>
          <w:u w:color="2c3e50"/>
          <w:shd w:val="clear" w:color="auto" w:fill="ffffff"/>
          <w:rtl w:val="0"/>
          <w:lang w:val="pt-PT"/>
          <w14:textFill>
            <w14:solidFill>
              <w14:srgbClr w14:val="2C3E50"/>
            </w14:solidFill>
          </w14:textFill>
        </w:rPr>
        <w:t>]</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Police dismissals (Home Office forces). (n.d.). [online] Available at: https://assets.college.police.uk/s3fs-public/2022-03/Barred-List-Police-dismissals-(Home-Office-forces).pdf.</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South Wales Victim Focus. (n.d.). South Wales Victim Focus. [online] Available at: https://www.southwalesvictimfocus.org.uk [Accessed 17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Supporting vulnerable people who encounter the police: A strategic guide for police forces and their partners The issues. (n.d.). [online] Available at: https://assets.publishing.service.gov.uk/government/uploads/system/uploads/attachment_data/file/405397/6.379_Supporting_guidance_web_doc_v3.pdf. [Accessed 17 Mar. 2022]</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United Nations (1948). Universal Declaration of Human Rights. [online] United Nations. Available at: https://www.un.org/en/about-us/universal-declaration-of-human-rights. [Accessed 19 Mar. 2022]</w:t>
      </w: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www.un.org. (n.d.). The Resource : Part V. Persons with disabilities and multiple discrimination - Rights of special groups, 1/10. [online] Available at: https://www.un.org/esa/socdev/enable/comp500.htm. [Accessed 19 Mar. 2022]</w:t>
      </w: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UnHerd. (2021). </w:t>
      </w:r>
      <w:r>
        <w:rPr>
          <w:rStyle w:val="None"/>
          <w:rFonts w:ascii="Times Roman" w:hAnsi="Times Roman"/>
          <w:i w:val="1"/>
          <w:iCs w:val="1"/>
          <w:outline w:val="0"/>
          <w:color w:val="2c3e50"/>
          <w:u w:color="2c3e50"/>
          <w:shd w:val="clear" w:color="auto" w:fill="ffffff"/>
          <w:rtl w:val="0"/>
          <w:lang w:val="en-US"/>
          <w14:textFill>
            <w14:solidFill>
              <w14:srgbClr w14:val="2C3E50"/>
            </w14:solidFill>
          </w14:textFill>
        </w:rPr>
        <w:t>Why women fear the police</w:t>
      </w:r>
      <w:r>
        <w:rPr>
          <w:rStyle w:val="None"/>
          <w:rFonts w:ascii="Times Roman" w:hAnsi="Times Roman"/>
          <w:outline w:val="0"/>
          <w:color w:val="2c3e50"/>
          <w:u w:color="2c3e50"/>
          <w:shd w:val="clear" w:color="auto" w:fill="ffffff"/>
          <w:rtl w:val="0"/>
          <w:lang w:val="en-US"/>
          <w14:textFill>
            <w14:solidFill>
              <w14:srgbClr w14:val="2C3E50"/>
            </w14:solidFill>
          </w14:textFill>
        </w:rPr>
        <w:t>. [online] Available at: https://unherd.com/2021/03/why-women-fear-the-police/. [Accessed 17 Mar. 2022]</w:t>
      </w:r>
    </w:p>
    <w:p>
      <w:pPr>
        <w:pStyle w:val="Default"/>
        <w:spacing w:before="0" w:after="320" w:line="240" w:lineRule="auto"/>
        <w:rPr>
          <w:rStyle w:val="None"/>
          <w:rFonts w:ascii="Times Roman" w:cs="Times Roman" w:hAnsi="Times Roman" w:eastAsia="Times Roman"/>
          <w:outline w:val="0"/>
          <w:color w:val="2c3e50"/>
          <w:u w:val="single" w:color="2c3e50"/>
          <w:shd w:val="clear" w:color="auto" w:fill="ffffff"/>
          <w14:textFill>
            <w14:solidFill>
              <w14:srgbClr w14:val="2C3E50"/>
            </w14:solidFill>
          </w14:textFill>
        </w:rPr>
      </w:pPr>
      <w:r>
        <w:rPr>
          <w:rStyle w:val="None"/>
          <w:rFonts w:ascii="Arial Unicode MS" w:hAnsi="Arial Unicode MS" w:hint="default"/>
          <w:outline w:val="0"/>
          <w:color w:val="2c3e50"/>
          <w:sz w:val="32"/>
          <w:szCs w:val="32"/>
          <w:u w:val="single" w:color="2c3e50"/>
          <w:shd w:val="clear" w:color="auto" w:fill="ffffff"/>
          <w:rtl w:val="0"/>
          <w:lang w:val="en-US"/>
          <w14:textFill>
            <w14:solidFill>
              <w14:srgbClr w14:val="2C3E50"/>
            </w14:solidFill>
          </w14:textFill>
        </w:rPr>
        <w:t>‌</w:t>
      </w:r>
      <w:r>
        <w:rPr>
          <w:rStyle w:val="None"/>
          <w:rFonts w:ascii="Times Roman" w:hAnsi="Times Roman"/>
          <w:outline w:val="0"/>
          <w:color w:val="2c3e50"/>
          <w:u w:val="single" w:color="2c3e50"/>
          <w:shd w:val="clear" w:color="auto" w:fill="ffffff"/>
          <w:rtl w:val="0"/>
          <w:lang w:val="en-US"/>
          <w14:textFill>
            <w14:solidFill>
              <w14:srgbClr w14:val="2C3E50"/>
            </w14:solidFill>
          </w14:textFill>
        </w:rPr>
        <w:t>Bibliography</w:t>
      </w:r>
    </w:p>
    <w:p>
      <w:pPr>
        <w:pStyle w:val="Default"/>
        <w:spacing w:before="0" w:line="240" w:lineRule="auto"/>
        <w:rPr>
          <w:rStyle w:val="None"/>
          <w:rFonts w:ascii="Times New Roman" w:cs="Times New Roman" w:hAnsi="Times New Roman" w:eastAsia="Times New Roman"/>
          <w:outline w:val="0"/>
          <w:color w:val="2c3e50"/>
          <w:u w:color="2c3e50"/>
          <w:shd w:val="clear" w:color="auto" w:fill="ffffff"/>
          <w14:textFill>
            <w14:solidFill>
              <w14:srgbClr w14:val="2C3E50"/>
            </w14:solidFill>
          </w14:textFill>
        </w:rPr>
      </w:pPr>
      <w:r>
        <w:rPr>
          <w:rStyle w:val="None"/>
          <w:rFonts w:ascii="Times New Roman" w:hAnsi="Times New Roman"/>
          <w:outline w:val="0"/>
          <w:color w:val="2c3e50"/>
          <w:u w:color="2c3e50"/>
          <w:shd w:val="clear" w:color="auto" w:fill="ffffff"/>
          <w:rtl w:val="0"/>
          <w:lang w:val="en-US"/>
          <w14:textFill>
            <w14:solidFill>
              <w14:srgbClr w14:val="2C3E50"/>
            </w14:solidFill>
          </w14:textFill>
        </w:rPr>
        <w:t>Legislation.gov.uk. (2011). Fraud Act 2006. [online] Available at: https://www.legislation.gov.uk/ukpga/2006/35/section/4. [Accessed 26/02/2022]</w:t>
      </w:r>
    </w:p>
    <w:p>
      <w:pPr>
        <w:pStyle w:val="Default"/>
        <w:spacing w:before="0" w:line="240" w:lineRule="auto"/>
        <w:rPr>
          <w:rStyle w:val="None"/>
          <w:rFonts w:ascii="Times New Roman" w:cs="Times New Roman" w:hAnsi="Times New Roman" w:eastAsia="Times New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New Roman" w:cs="Times New Roman" w:hAnsi="Times New Roman" w:eastAsia="Times New Roman"/>
          <w:outline w:val="0"/>
          <w:color w:val="000000"/>
          <w:u w:color="000000"/>
          <w:shd w:val="clear" w:color="auto" w:fill="ffffff"/>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Legislation.gov.uk. (2011). Fraud Act 2006. [online] Available at: https://www.legislation.gov.uk/ukpga/2006/35/section/2. [Accessed 26/02/2022]</w:t>
      </w:r>
    </w:p>
    <w:p>
      <w:pPr>
        <w:pStyle w:val="Default"/>
        <w:spacing w:before="0" w:after="320" w:line="240" w:lineRule="auto"/>
        <w:rPr>
          <w:rStyle w:val="None"/>
          <w:rFonts w:ascii="Times New Roman" w:cs="Times New Roman" w:hAnsi="Times New Roman" w:eastAsia="Times New Roman"/>
          <w:outline w:val="0"/>
          <w:color w:val="2c3e50"/>
          <w:u w:color="2c3e50"/>
          <w:shd w:val="clear" w:color="auto" w:fill="ffffff"/>
          <w14:textFill>
            <w14:solidFill>
              <w14:srgbClr w14:val="2C3E50"/>
            </w14:solidFill>
          </w14:textFill>
        </w:rPr>
      </w:pPr>
      <w:r>
        <w:rPr>
          <w:rStyle w:val="None"/>
          <w:rFonts w:ascii="Times New Roman" w:hAnsi="Times New Roman"/>
          <w:outline w:val="0"/>
          <w:color w:val="2c3e50"/>
          <w:u w:color="2c3e50"/>
          <w:shd w:val="clear" w:color="auto" w:fill="ffffff"/>
          <w:rtl w:val="0"/>
          <w:lang w:val="it-IT"/>
          <w14:textFill>
            <w14:solidFill>
              <w14:srgbClr w14:val="2C3E50"/>
            </w14:solidFill>
          </w14:textFill>
        </w:rPr>
        <w:t xml:space="preserve">Mastrocinque, J. M. et al. (2017) </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Deaf Victims</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 xml:space="preserve">’ </w:t>
      </w:r>
      <w:r>
        <w:rPr>
          <w:rStyle w:val="None"/>
          <w:rFonts w:ascii="Times New Roman" w:hAnsi="Times New Roman"/>
          <w:outline w:val="0"/>
          <w:color w:val="2c3e50"/>
          <w:u w:color="2c3e50"/>
          <w:shd w:val="clear" w:color="auto" w:fill="ffffff"/>
          <w:rtl w:val="0"/>
          <w:lang w:val="en-US"/>
          <w14:textFill>
            <w14:solidFill>
              <w14:srgbClr w14:val="2C3E50"/>
            </w14:solidFill>
          </w14:textFill>
        </w:rPr>
        <w:t>Experiences With Intimate Partner Violence: The Need for Integration and Innovation</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 Journal of Interpersonal Violence, 32(24), pp. 3753</w:t>
      </w:r>
      <w:r>
        <w:rPr>
          <w:rStyle w:val="None"/>
          <w:rFonts w:ascii="Times New Roman" w:hAnsi="Times New Roman" w:hint="default"/>
          <w:outline w:val="0"/>
          <w:color w:val="2c3e50"/>
          <w:u w:color="2c3e50"/>
          <w:shd w:val="clear" w:color="auto" w:fill="ffffff"/>
          <w:rtl w:val="0"/>
          <w:lang w:val="en-US"/>
          <w14:textFill>
            <w14:solidFill>
              <w14:srgbClr w14:val="2C3E50"/>
            </w14:solidFill>
          </w14:textFill>
        </w:rPr>
        <w:t>–</w:t>
      </w:r>
      <w:r>
        <w:rPr>
          <w:rStyle w:val="None"/>
          <w:rFonts w:ascii="Times New Roman" w:hAnsi="Times New Roman"/>
          <w:outline w:val="0"/>
          <w:color w:val="2c3e50"/>
          <w:u w:color="2c3e50"/>
          <w:shd w:val="clear" w:color="auto" w:fill="ffffff"/>
          <w:rtl w:val="0"/>
          <w:lang w:val="en-US"/>
          <w14:textFill>
            <w14:solidFill>
              <w14:srgbClr w14:val="2C3E50"/>
            </w14:solidFill>
          </w14:textFill>
        </w:rPr>
        <w:t>3777. [Accessed 01/03/2022</w:t>
      </w:r>
      <w:r>
        <w:rPr>
          <w:rStyle w:val="None"/>
          <w:rFonts w:ascii="Times New Roman" w:hAnsi="Times New Roman"/>
          <w:outline w:val="0"/>
          <w:color w:val="2c3e50"/>
          <w:u w:color="2c3e50"/>
          <w:shd w:val="clear" w:color="auto" w:fill="ffffff"/>
          <w:rtl w:val="0"/>
          <w:lang w:val="pt-PT"/>
          <w14:textFill>
            <w14:solidFill>
              <w14:srgbClr w14:val="2C3E50"/>
            </w14:solidFill>
          </w14:textFill>
        </w:rPr>
        <w:t>]</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South Wales Victim Focus. (n.d.). South Wales Victim Focus. [online] Available at: https://www.southwalesvictimfocus.org.uk [Accessed 17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(2021). Victims</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 xml:space="preserve">’ </w:t>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Code for policing. [online] College of Policing. Available at: </w:t>
      </w:r>
      <w:r>
        <w:rPr>
          <w:rStyle w:val="Hyperlink.6"/>
        </w:rPr>
        <w:fldChar w:fldCharType="begin" w:fldLock="0"/>
      </w:r>
      <w:r>
        <w:rPr>
          <w:rStyle w:val="Hyperlink.6"/>
        </w:rPr>
        <w:instrText xml:space="preserve"> HYPERLINK "https://www.college.police.uk/guidance/victims-code/victims-rights-policing"</w:instrText>
      </w:r>
      <w:r>
        <w:rPr>
          <w:rStyle w:val="Hyperlink.6"/>
        </w:rPr>
        <w:fldChar w:fldCharType="separate" w:fldLock="0"/>
      </w:r>
      <w:r>
        <w:rPr>
          <w:rStyle w:val="Hyperlink.6"/>
          <w:rtl w:val="0"/>
          <w:lang w:val="en-US"/>
        </w:rPr>
        <w:t>https://www.college.police.uk/guidance/victims-code/victims-rights-policing</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17 Mar. 2022].</w:t>
      </w: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UnHerd. (2021). </w:t>
      </w:r>
      <w:r>
        <w:rPr>
          <w:rStyle w:val="None"/>
          <w:rFonts w:ascii="Times Roman" w:hAnsi="Times Roman"/>
          <w:i w:val="1"/>
          <w:iCs w:val="1"/>
          <w:outline w:val="0"/>
          <w:color w:val="2c3e50"/>
          <w:u w:color="2c3e50"/>
          <w:shd w:val="clear" w:color="auto" w:fill="ffffff"/>
          <w:rtl w:val="0"/>
          <w:lang w:val="en-US"/>
          <w14:textFill>
            <w14:solidFill>
              <w14:srgbClr w14:val="2C3E50"/>
            </w14:solidFill>
          </w14:textFill>
        </w:rPr>
        <w:t>Why women fear the police</w:t>
      </w:r>
      <w:r>
        <w:rPr>
          <w:rStyle w:val="None"/>
          <w:rFonts w:ascii="Times Roman" w:hAnsi="Times Roman"/>
          <w:outline w:val="0"/>
          <w:color w:val="2c3e50"/>
          <w:u w:color="2c3e50"/>
          <w:shd w:val="clear" w:color="auto" w:fill="ffffff"/>
          <w:rtl w:val="0"/>
          <w:lang w:val="en-US"/>
          <w14:textFill>
            <w14:solidFill>
              <w14:srgbClr w14:val="2C3E50"/>
            </w14:solidFill>
          </w14:textFill>
        </w:rPr>
        <w:t>. [online] Available at: https://unherd.com/2021/03/why-women-fear-the-police/. [Accessed 17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Supporting vulnerable people who encounter the police: A strategic guide for police forces and their partners The issues. (n.d.). [online] Available at: https://assets.publishing.service.gov.uk/government/uploads/system/uploads/attachment_data/file/405397/6.379_Supporting_guidance_web_doc_v3.pdf. [Accessed 17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(2010). Companies Act 2006. [online] Available at: https://www.legislation.gov.uk/ukpga/2006/46/part/10/chapter/2/crossheading/the-general-duties. [Accessed 19</w:t>
      </w:r>
      <w:r>
        <w:rPr>
          <w:rStyle w:val="None"/>
          <w:rFonts w:ascii="Times Roman" w:hAnsi="Times Roman"/>
          <w:outline w:val="0"/>
          <w:color w:val="2c3e50"/>
          <w:u w:color="2c3e50"/>
          <w:shd w:val="clear" w:color="auto" w:fill="ffffff"/>
          <w:rtl w:val="0"/>
          <w:lang w:val="pt-PT"/>
          <w14:textFill>
            <w14:solidFill>
              <w14:srgbClr w14:val="2C3E50"/>
            </w14:solidFill>
          </w14:textFill>
        </w:rPr>
        <w:t xml:space="preserve"> Mar. 2022]</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United Nations (1948). Universal Declaration of Human Rights. [online] United Nations. Available at: https://www.un.org/en/about-us/universal-declaration-of-human-rights. [Accessed 19 Mar. 2022]</w:t>
      </w: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www.un.org. (n.d.). The Resource : Part V. Persons with disabilities and multiple discrimination - Rights of special groups, 1/10. [online] Available at: https://www.un.org/esa/socdev/enable/comp500.htm. [Accessed 19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Equalityhumanrights.com. (2010). UN Convention on the Rights of Persons with Disabilities | Equality and Human Rights Commission. [online] Available at: </w:t>
      </w:r>
      <w:r>
        <w:rPr>
          <w:rStyle w:val="Hyperlink.6"/>
        </w:rPr>
        <w:fldChar w:fldCharType="begin" w:fldLock="0"/>
      </w:r>
      <w:r>
        <w:rPr>
          <w:rStyle w:val="Hyperlink.6"/>
        </w:rPr>
        <w:instrText xml:space="preserve"> HYPERLINK "https://www.equalityhumanrights.com/en/our-human-rights-work/monitoring-and-promoting-un-treaties/un-convention-rights-persons-disabilities.%255B"</w:instrText>
      </w:r>
      <w:r>
        <w:rPr>
          <w:rStyle w:val="Hyperlink.6"/>
        </w:rPr>
        <w:fldChar w:fldCharType="separate" w:fldLock="0"/>
      </w:r>
      <w:r>
        <w:rPr>
          <w:rStyle w:val="Hyperlink.6"/>
          <w:rtl w:val="0"/>
          <w:lang w:val="en-US"/>
        </w:rPr>
        <w:t>https://www.equalityhumanrights.com/en/our-human-rights-work/monitoring-and-promoting-un-treaties/un-convention-rights-persons-disabilities.[</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Accessed 19 Mar. 2022]</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(2021). Youth Justice and Criminal Evidence Act 1999. [online] Available at: https://www.legislation.gov.uk/ukpga/1999/23/section/18. [Accessed 19 Mar.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Police dismissals (Home Office forces). (n.d.). [online] Available at: https://assets.college.police.uk/s3fs-public/2022-03/Barred-List-Police-dismissals-(Home-Office-forces).pdf.</w:t>
      </w: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(2011). Investigative Interviewing. [online] Police.uk. Available at: https://www.app.college.police.uk/app-content/investigations/investigative-interviewing/.</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GOV.UK. (n.d.). Achieving best evidence in criminal proceedings. [online] Available at: https://www.gov.uk/government/publications/achieving-best-evidence-in-criminal-proceedings.</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Manciagli, D. (n.d.). Council Post: Workplace Struggles For Deaf Employees. [online] Forbes. Available at: https://www.forbes.com/sites/forbescoachescouncil/2020/12/03/workplace-struggles-for-deaf-employees/.</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666666"/>
          <w:u w:color="666666"/>
          <w:shd w:val="clear" w:color="auto" w:fill="ffffff"/>
          <w14:textFill>
            <w14:solidFill>
              <w14:srgbClr w14:val="666666"/>
            </w14:solidFill>
          </w14:textFill>
        </w:rPr>
      </w:pPr>
      <w:r>
        <w:rPr>
          <w:rStyle w:val="None"/>
          <w:rFonts w:ascii="Times Roman" w:hAnsi="Times Roman"/>
          <w:outline w:val="0"/>
          <w:color w:val="666666"/>
          <w:u w:color="666666"/>
          <w:shd w:val="clear" w:color="auto" w:fill="ffffff"/>
          <w:rtl w:val="0"/>
          <w:lang w:val="en-US"/>
          <w14:textFill>
            <w14:solidFill>
              <w14:srgbClr w14:val="666666"/>
            </w14:solidFill>
          </w14:textFill>
        </w:rPr>
        <w:t>Bareham, L., 2021. RAD research reveals significant barriers to employment and career progression opportunities for deaf people. [online] Available at: &lt;https://www.royaldeaf.org.uk/rad-research-reveals-significant-barriers-to-employment-and-career-progression-opportunities-for-deaf-people/&gt;</w:t>
      </w:r>
    </w:p>
    <w:p>
      <w:pPr>
        <w:pStyle w:val="Default"/>
        <w:bidi w:val="1"/>
        <w:spacing w:before="0" w:after="320" w:line="240" w:lineRule="auto"/>
        <w:ind w:left="0" w:right="0" w:firstLine="0"/>
        <w:jc w:val="right"/>
        <w:rPr>
          <w:rStyle w:val="None"/>
          <w:rFonts w:ascii="Times Roman" w:cs="Times Roman" w:hAnsi="Times Roman" w:eastAsia="Times Roman"/>
          <w:outline w:val="0"/>
          <w:color w:val="000000"/>
          <w:sz w:val="32"/>
          <w:szCs w:val="32"/>
          <w:u w:color="000000"/>
          <w:shd w:val="clear" w:color="auto" w:fill="ffffff"/>
          <w:rtl w:val="1"/>
          <w14:textFill>
            <w14:solidFill>
              <w14:srgbClr w14:val="000000"/>
            </w14:solidFill>
          </w14:textFill>
        </w:rPr>
      </w:pPr>
    </w:p>
    <w:p>
      <w:pPr>
        <w:pStyle w:val="Default"/>
        <w:spacing w:before="0" w:after="320" w:line="240" w:lineRule="auto"/>
        <w:rPr>
          <w:rStyle w:val="None"/>
          <w:rFonts w:ascii="Arial" w:cs="Arial" w:hAnsi="Arial" w:eastAsia="Arial"/>
          <w:b w:val="1"/>
          <w:bCs w:val="1"/>
          <w:outline w:val="0"/>
          <w:color w:val="000000"/>
          <w:u w:color="000000"/>
          <w:shd w:val="clear" w:color="auto" w:fill="ffffff"/>
          <w14:textFill>
            <w14:solidFill>
              <w14:srgbClr w14:val="000000"/>
            </w14:solidFill>
          </w14:textFill>
        </w:rPr>
      </w:pPr>
      <w:r>
        <w:rPr>
          <w:rStyle w:val="None"/>
          <w:rFonts w:ascii="Arial" w:hAnsi="Arial"/>
          <w:b w:val="1"/>
          <w:bCs w:val="1"/>
          <w:outline w:val="0"/>
          <w:color w:val="000000"/>
          <w:u w:color="000000"/>
          <w:shd w:val="clear" w:color="auto" w:fill="ffffff"/>
          <w:rtl w:val="0"/>
          <w:lang w:val="en-US"/>
          <w14:textFill>
            <w14:solidFill>
              <w14:srgbClr w14:val="000000"/>
            </w14:solidFill>
          </w14:textFill>
        </w:rPr>
        <w:t xml:space="preserve">Task 3: </w:t>
      </w:r>
    </w:p>
    <w:p>
      <w:pPr>
        <w:pStyle w:val="Body A"/>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You must choose a serious and complex investigation in which you played a significant role with witnesses, suspects or victims.</w:t>
      </w:r>
    </w:p>
    <w:p>
      <w:pPr>
        <w:pStyle w:val="Body A"/>
        <w:ind w:right="107"/>
        <w:rPr>
          <w:rStyle w:val="None"/>
          <w:rFonts w:ascii="Arial" w:cs="Arial" w:hAnsi="Arial" w:eastAsia="Arial"/>
          <w:b w:val="1"/>
          <w:bCs w:val="1"/>
          <w:outline w:val="0"/>
          <w:color w:val="000000"/>
          <w:sz w:val="24"/>
          <w:szCs w:val="24"/>
          <w:u w:color="000000"/>
          <w14:textFill>
            <w14:solidFill>
              <w14:srgbClr w14:val="000000"/>
            </w14:solidFill>
          </w14:textFill>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7400"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shd w:val="nil" w:color="auto" w:fill="auto"/>
                <w:lang w:val="en-US"/>
              </w:rPr>
            </w:pPr>
          </w:p>
          <w:p>
            <w:pPr>
              <w:pStyle w:val="Body A"/>
              <w:bidi w:val="0"/>
              <w:spacing w:after="0"/>
              <w:ind w:left="0" w:right="237" w:firstLine="0"/>
              <w:jc w:val="both"/>
              <w:rPr>
                <w:rStyle w:val="None"/>
                <w:shd w:val="nil" w:color="auto" w:fill="auto"/>
                <w:rtl w:val="0"/>
              </w:rPr>
            </w:pPr>
            <w:r>
              <w:rPr>
                <w:rStyle w:val="None"/>
                <w:rFonts w:ascii="Arial" w:hAnsi="Arial"/>
                <w:b w:val="1"/>
                <w:bCs w:val="1"/>
                <w:sz w:val="24"/>
                <w:szCs w:val="24"/>
                <w:shd w:val="nil" w:color="auto" w:fill="auto"/>
                <w:rtl w:val="0"/>
                <w:lang w:val="en-US"/>
              </w:rPr>
              <w:t>Give a brief description</w:t>
            </w:r>
            <w:r>
              <w:rPr>
                <w:rStyle w:val="None"/>
                <w:rFonts w:ascii="Arial" w:hAnsi="Arial"/>
                <w:sz w:val="24"/>
                <w:szCs w:val="24"/>
                <w:shd w:val="nil" w:color="auto" w:fill="auto"/>
                <w:rtl w:val="0"/>
                <w:lang w:val="en-US"/>
              </w:rPr>
              <w:t xml:space="preserve"> of the investigation including social and legislative contexts and any relevant cultural, ethnicity and language issues.   </w:t>
            </w:r>
          </w:p>
          <w:p>
            <w:pPr>
              <w:pStyle w:val="Body A"/>
              <w:spacing w:after="0"/>
              <w:ind w:right="237"/>
              <w:jc w:val="both"/>
              <w:rPr>
                <w:rStyle w:val="None"/>
                <w:rFonts w:ascii="Arial" w:cs="Arial" w:hAnsi="Arial" w:eastAsia="Arial"/>
                <w:sz w:val="24"/>
                <w:szCs w:val="24"/>
                <w:shd w:val="nil" w:color="auto" w:fill="auto"/>
                <w:lang w:val="en-US"/>
              </w:rPr>
            </w:pPr>
          </w:p>
          <w:p>
            <w:pPr>
              <w:pStyle w:val="Body A"/>
              <w:spacing w:after="0"/>
              <w:ind w:right="237"/>
              <w:jc w:val="both"/>
              <w:rPr>
                <w:rStyle w:val="None"/>
                <w:rFonts w:ascii="Arial" w:cs="Arial" w:hAnsi="Arial" w:eastAsia="Arial"/>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b w:val="1"/>
                <w:bCs w:val="1"/>
                <w:sz w:val="24"/>
                <w:szCs w:val="24"/>
                <w:shd w:val="nil" w:color="auto" w:fill="auto"/>
                <w:rtl w:val="0"/>
              </w:rPr>
            </w:pPr>
            <w:r>
              <w:rPr>
                <w:rStyle w:val="None"/>
                <w:rFonts w:ascii="Arial" w:hAnsi="Arial"/>
                <w:b w:val="1"/>
                <w:bCs w:val="1"/>
                <w:sz w:val="24"/>
                <w:szCs w:val="24"/>
                <w:shd w:val="nil" w:color="auto" w:fill="auto"/>
                <w:rtl w:val="0"/>
                <w:lang w:val="en-US"/>
              </w:rPr>
              <w:t xml:space="preserve">Critically evaluate </w:t>
            </w:r>
            <w:r>
              <w:rPr>
                <w:rStyle w:val="None"/>
                <w:rFonts w:ascii="Arial" w:hAnsi="Arial"/>
                <w:b w:val="0"/>
                <w:bCs w:val="0"/>
                <w:sz w:val="24"/>
                <w:szCs w:val="24"/>
                <w:shd w:val="nil" w:color="auto" w:fill="auto"/>
                <w:rtl w:val="0"/>
                <w:lang w:val="en-US"/>
              </w:rPr>
              <w:t xml:space="preserve">the interview process of witnesses and suspects and how you have gathered all required information in relation to the investigation in accordance with PIP2 investigative standards. (Consider generating further lines of enquiry where required). </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b w:val="1"/>
                <w:bCs w:val="1"/>
                <w:sz w:val="24"/>
                <w:szCs w:val="24"/>
                <w:shd w:val="nil" w:color="auto" w:fill="auto"/>
                <w:rtl w:val="0"/>
              </w:rPr>
            </w:pPr>
            <w:r>
              <w:rPr>
                <w:rStyle w:val="None"/>
                <w:rFonts w:ascii="Arial" w:hAnsi="Arial"/>
                <w:b w:val="1"/>
                <w:bCs w:val="1"/>
                <w:sz w:val="24"/>
                <w:szCs w:val="24"/>
                <w:shd w:val="nil" w:color="auto" w:fill="auto"/>
                <w:rtl w:val="0"/>
                <w:lang w:val="en-US"/>
              </w:rPr>
              <w:t xml:space="preserve">Reflect upon </w:t>
            </w:r>
            <w:r>
              <w:rPr>
                <w:rStyle w:val="None"/>
                <w:rFonts w:ascii="Arial" w:hAnsi="Arial"/>
                <w:b w:val="0"/>
                <w:bCs w:val="0"/>
                <w:sz w:val="24"/>
                <w:szCs w:val="24"/>
                <w:shd w:val="nil" w:color="auto" w:fill="auto"/>
                <w:rtl w:val="0"/>
                <w:lang w:val="en-US"/>
              </w:rPr>
              <w:t xml:space="preserve">your application of relevant powers to arrest and apprehend where necessary and the use of special warnings when required. </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b w:val="1"/>
                <w:bCs w:val="1"/>
                <w:sz w:val="24"/>
                <w:szCs w:val="24"/>
                <w:shd w:val="nil" w:color="auto" w:fill="auto"/>
                <w:rtl w:val="0"/>
              </w:rPr>
            </w:pPr>
            <w:r>
              <w:rPr>
                <w:rStyle w:val="None"/>
                <w:rFonts w:ascii="Arial" w:hAnsi="Arial"/>
                <w:b w:val="1"/>
                <w:bCs w:val="1"/>
                <w:sz w:val="24"/>
                <w:szCs w:val="24"/>
                <w:shd w:val="nil" w:color="auto" w:fill="auto"/>
                <w:rtl w:val="0"/>
                <w:lang w:val="en-US"/>
              </w:rPr>
              <w:t xml:space="preserve">Illustrate </w:t>
            </w:r>
            <w:r>
              <w:rPr>
                <w:rStyle w:val="None"/>
                <w:rFonts w:ascii="Arial" w:hAnsi="Arial"/>
                <w:b w:val="0"/>
                <w:bCs w:val="0"/>
                <w:sz w:val="24"/>
                <w:szCs w:val="24"/>
                <w:shd w:val="nil" w:color="auto" w:fill="auto"/>
                <w:rtl w:val="0"/>
                <w:lang w:val="en-US"/>
              </w:rPr>
              <w:t>how you have undertaken associated search and custody procedures to protect and safeguard the public in accordance with legalisation and policy.</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 xml:space="preserve">Analyse </w:t>
            </w:r>
            <w:r>
              <w:rPr>
                <w:rStyle w:val="None"/>
                <w:rFonts w:ascii="Arial" w:hAnsi="Arial"/>
                <w:sz w:val="24"/>
                <w:szCs w:val="24"/>
                <w:shd w:val="nil" w:color="auto" w:fill="auto"/>
                <w:rtl w:val="0"/>
                <w:lang w:val="en-US"/>
              </w:rPr>
              <w:t xml:space="preserve">your understanding of ethics and values of the service. </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237" w:firstLine="0"/>
              <w:jc w:val="both"/>
              <w:rPr>
                <w:rtl w:val="0"/>
              </w:rPr>
            </w:pPr>
            <w:r>
              <w:rPr>
                <w:rStyle w:val="None"/>
                <w:rFonts w:ascii="Arial" w:hAnsi="Arial"/>
                <w:sz w:val="24"/>
                <w:szCs w:val="24"/>
                <w:shd w:val="nil" w:color="auto" w:fill="auto"/>
                <w:rtl w:val="0"/>
                <w:lang w:val="en-US"/>
              </w:rPr>
              <w:t xml:space="preserve">2000 words </w:t>
            </w:r>
            <w:r>
              <w:rPr>
                <w:rStyle w:val="None"/>
                <w:rFonts w:ascii="Arial" w:hAnsi="Arial"/>
                <w:i w:val="1"/>
                <w:iCs w:val="1"/>
                <w:sz w:val="24"/>
                <w:szCs w:val="24"/>
                <w:shd w:val="nil" w:color="auto" w:fill="auto"/>
                <w:rtl w:val="0"/>
                <w:lang w:val="en-US"/>
              </w:rPr>
              <w:t>(+/- 10%: include your actual word count at the end of each section)</w:t>
            </w:r>
            <w:r>
              <w:rPr>
                <w:rStyle w:val="None"/>
                <w:rFonts w:ascii="Arial" w:cs="Arial" w:hAnsi="Arial" w:eastAsia="Arial"/>
                <w:sz w:val="24"/>
                <w:szCs w:val="24"/>
                <w:shd w:val="nil" w:color="auto" w:fill="auto"/>
              </w:rPr>
            </w:r>
          </w:p>
        </w:tc>
      </w:tr>
    </w:tbl>
    <w:p>
      <w:pPr>
        <w:pStyle w:val="Body A"/>
        <w:widowControl w:val="0"/>
        <w:spacing w:line="240" w:lineRule="auto"/>
        <w:ind w:left="108" w:hanging="108"/>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widowControl w:val="0"/>
        <w:spacing w:line="240" w:lineRule="auto"/>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widowControl w:val="0"/>
        <w:spacing w:line="240" w:lineRule="auto"/>
        <w:rPr>
          <w:rStyle w:val="None"/>
          <w:rFonts w:ascii="Arial" w:cs="Arial" w:hAnsi="Arial" w:eastAsia="Arial"/>
          <w:b w:val="1"/>
          <w:bCs w:val="1"/>
          <w:sz w:val="24"/>
          <w:szCs w:val="24"/>
        </w:rPr>
      </w:pPr>
      <w:r>
        <w:rPr>
          <w:rFonts w:ascii="Arial" w:hAnsi="Arial"/>
          <w:b w:val="1"/>
          <w:bCs w:val="1"/>
          <w:sz w:val="24"/>
          <w:szCs w:val="24"/>
          <w:rtl w:val="0"/>
          <w:lang w:val="en-US"/>
        </w:rPr>
        <w:t>ANSWER</w:t>
      </w:r>
    </w:p>
    <w:p>
      <w:pPr>
        <w:pStyle w:val="Body A"/>
        <w:spacing w:after="0" w:line="240" w:lineRule="auto"/>
        <w:rPr>
          <w:rStyle w:val="None"/>
          <w:rFonts w:ascii="Helvetica Neue" w:cs="Helvetica Neue" w:hAnsi="Helvetica Neue" w:eastAsia="Helvetica Neue"/>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The investigation relates to an allegation of fraud by false representation and fraud by abuse of position. ( Fraud Act 2006, Section 2 and Section 4).</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The suspects worked for a company as financial advisors and part of their role was to sell life cover. When a client applied for a policy the umbrella company whom the advisors worked under would process the policy application. When applications were approved, the advisors received a commission payment. The payment was a multiple of the monthly premiums and were paid in a one off payment to the advisor, and were typically thousands of pounds.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The fraud was that the clients were family members who were taking out a large value of life cover, even when some were not in full time employment. The commission payments were made and the suspects used them to pay the premiums. The policies began to be cancelled before a year was up, and as a result the insurance provider would contact the umbrella company and request a partial refund of the commission payment as the client cancelled the policy or failed to keep up with the payments. The umbrella company would in turn contact the financial advisors and advise them of the situation and request a partial refund of the commission payment. This became problematic as the advisors had spent the commission payments and were unable to provide the partial refund.</w:t>
      </w:r>
    </w:p>
    <w:p>
      <w:pPr>
        <w:pStyle w:val="Body A"/>
        <w:spacing w:after="0" w:line="240" w:lineRule="auto"/>
        <w:rPr>
          <w:rStyle w:val="None"/>
          <w:rFonts w:ascii="Times Roman" w:cs="Times Roman" w:hAnsi="Times Roman" w:eastAsia="Times Roman"/>
          <w:sz w:val="24"/>
          <w:szCs w:val="24"/>
        </w:rPr>
      </w:pPr>
    </w:p>
    <w:p>
      <w:pPr>
        <w:pStyle w:val="Default"/>
        <w:spacing w:before="0" w:line="240" w:lineRule="auto"/>
        <w:rPr>
          <w:rStyle w:val="None"/>
          <w:rFonts w:ascii="Times Roman" w:cs="Times Roman" w:hAnsi="Times Roman" w:eastAsia="Times Roman"/>
          <w:outline w:val="0"/>
          <w:color w:val="202124"/>
          <w:u w:color="202124"/>
          <w:shd w:val="clear" w:color="auto" w:fill="ffffff"/>
          <w14:textFill>
            <w14:solidFill>
              <w14:srgbClr w14:val="202124"/>
            </w14:solidFill>
          </w14:textFill>
        </w:rPr>
      </w:pPr>
      <w:r>
        <w:rPr>
          <w:rStyle w:val="None"/>
          <w:rFonts w:ascii="Times Roman" w:hAnsi="Times Roman" w:hint="default"/>
          <w:outline w:val="0"/>
          <w:color w:val="202124"/>
          <w:u w:color="202124"/>
          <w:shd w:val="clear" w:color="auto" w:fill="ffffff"/>
          <w:rtl w:val="0"/>
          <w:lang w:val="en-US"/>
          <w14:textFill>
            <w14:solidFill>
              <w14:srgbClr w14:val="202124"/>
            </w14:solidFill>
          </w14:textFill>
        </w:rPr>
        <w:t>‘</w:t>
      </w:r>
      <w:r>
        <w:rPr>
          <w:rStyle w:val="None"/>
          <w:rFonts w:ascii="Times Roman" w:hAnsi="Times Roman"/>
          <w:outline w:val="0"/>
          <w:color w:val="202124"/>
          <w:u w:color="202124"/>
          <w:shd w:val="clear" w:color="auto" w:fill="ffffff"/>
          <w:rtl w:val="0"/>
          <w:lang w:val="en-US"/>
          <w14:textFill>
            <w14:solidFill>
              <w14:srgbClr w14:val="202124"/>
            </w14:solidFill>
          </w14:textFill>
        </w:rPr>
        <w:t>If you don't know where you're going, you'll end up somewhere else</w:t>
      </w:r>
      <w:r>
        <w:rPr>
          <w:rStyle w:val="None"/>
          <w:rFonts w:ascii="Times Roman" w:hAnsi="Times Roman" w:hint="default"/>
          <w:outline w:val="0"/>
          <w:color w:val="202124"/>
          <w:u w:color="202124"/>
          <w:shd w:val="clear" w:color="auto" w:fill="ffffff"/>
          <w:rtl w:val="0"/>
          <w:lang w:val="en-US"/>
          <w14:textFill>
            <w14:solidFill>
              <w14:srgbClr w14:val="202124"/>
            </w14:solidFill>
          </w14:textFill>
        </w:rPr>
        <w:t>’</w:t>
      </w:r>
      <w:r>
        <w:rPr>
          <w:rStyle w:val="None"/>
          <w:rFonts w:ascii="Times Roman" w:hAnsi="Times Roman"/>
          <w:outline w:val="0"/>
          <w:color w:val="202124"/>
          <w:u w:color="202124"/>
          <w:shd w:val="clear" w:color="auto" w:fill="ffffff"/>
          <w:rtl w:val="0"/>
          <w:lang w:val="en-US"/>
          <w14:textFill>
            <w14:solidFill>
              <w14:srgbClr w14:val="202124"/>
            </w14:solidFill>
          </w14:textFill>
        </w:rPr>
        <w:t xml:space="preserve">. ( Yogi Berra, n.d), and this is true to any criminal investigation.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I gave consideration to planning the investigation, including my knowledge of the alleged offences, the scope, what material I held, what lines of enquiry that presented, how long I anticipated the investigation to take and what resources I had at the time.</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made an application for a number of section 9 PACE ( Police and Criminal Evidence Act 1984) warrants for the home addresses of the suspects and the business address for the company. The reason for a section 9 warrant, </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A constable may obtain access to excluded material or special procedure material for the purposes of a criminal investigation, a constable shall cease to have effect so far as it relates to the authorisation of searches- </w:t>
      </w:r>
      <w:r>
        <w:rPr>
          <w:rStyle w:val="None"/>
          <w:rFonts w:ascii="Times Roman" w:hAnsi="Times Roman"/>
          <w:sz w:val="24"/>
          <w:szCs w:val="24"/>
          <w:rtl w:val="0"/>
        </w:rPr>
        <w:t>(a</w:t>
      </w:r>
      <w:r>
        <w:rPr>
          <w:rStyle w:val="None"/>
          <w:rFonts w:ascii="Times Roman" w:hAnsi="Times Roman"/>
          <w:sz w:val="24"/>
          <w:szCs w:val="24"/>
          <w:rtl w:val="0"/>
          <w:lang w:val="en-US"/>
        </w:rPr>
        <w:t>)for items subject to legal privilege; or(b)for excluded material; or(c)for special procedure material consisting of documents or records other than documents</w:t>
      </w:r>
      <w:r>
        <w:rPr>
          <w:rStyle w:val="None"/>
          <w:rFonts w:ascii="Times Roman" w:hAnsi="Times Roman" w:hint="default"/>
          <w:sz w:val="24"/>
          <w:szCs w:val="24"/>
          <w:rtl w:val="0"/>
          <w:lang w:val="en-US"/>
        </w:rPr>
        <w:t>’</w:t>
      </w:r>
      <w:r>
        <w:rPr>
          <w:rStyle w:val="None"/>
          <w:rFonts w:ascii="Times Roman" w:hAnsi="Times Roman"/>
          <w:sz w:val="24"/>
          <w:szCs w:val="24"/>
          <w:rtl w:val="0"/>
        </w:rPr>
        <w:t>.</w:t>
      </w:r>
      <w:r>
        <w:rPr>
          <w:rStyle w:val="None"/>
          <w:rFonts w:ascii="Times Roman" w:hAnsi="Times Roman"/>
          <w:sz w:val="24"/>
          <w:szCs w:val="24"/>
          <w:rtl w:val="0"/>
          <w:lang w:val="en-US"/>
        </w:rPr>
        <w:t>(Police and Criminal Evidence Act 1984, Section 9). As this was a fully functioning business there was a strong likelihood of coming across material relating to other clients, not connected to the investigation.</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felt that my approach was proportionate to the investigation as I had investigative objectives to meet such as securing and preserving the evidence that I believed was held on the premises under the control of the suspects. </w:t>
      </w:r>
      <w:r>
        <w:rPr>
          <w:rStyle w:val="None"/>
          <w:rFonts w:ascii="Times Roman" w:hAnsi="Times Roman" w:hint="default"/>
          <w:sz w:val="24"/>
          <w:szCs w:val="24"/>
          <w:rtl w:val="0"/>
          <w:lang w:val="en-US"/>
        </w:rPr>
        <w:t>‘</w:t>
      </w:r>
      <w:r>
        <w:rPr>
          <w:rStyle w:val="None"/>
          <w:rFonts w:ascii="Times Roman" w:hAnsi="Times Roman"/>
          <w:sz w:val="24"/>
          <w:szCs w:val="24"/>
          <w:rtl w:val="0"/>
          <w:lang w:val="en-US"/>
        </w:rPr>
        <w:t>A plan should be a predictable road map leading to a solution of the crime.</w:t>
      </w:r>
      <w:r>
        <w:rPr>
          <w:rStyle w:val="None"/>
          <w:rFonts w:ascii="Times Roman" w:hAnsi="Times Roman" w:hint="default"/>
          <w:sz w:val="24"/>
          <w:szCs w:val="24"/>
          <w:rtl w:val="0"/>
          <w:lang w:val="en-US"/>
        </w:rPr>
        <w:t>’</w:t>
      </w:r>
      <w:r>
        <w:rPr>
          <w:rStyle w:val="None"/>
          <w:rFonts w:ascii="Times Roman" w:hAnsi="Times Roman"/>
          <w:sz w:val="24"/>
          <w:szCs w:val="24"/>
          <w:rtl w:val="0"/>
          <w:lang w:val="it-IT"/>
        </w:rPr>
        <w:t>(Investigative Plan, n.d.)</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decided to arrest the three financial advisors using my powers under section 24 (Statutory power for a constable to arrest without a warrant) and Code G of PACE. The requirements are that, the person is involved or suspected to be involved in a criminal offence and that I believe their arrest is necessary. ( Police and Criminal Evidence Act 1984). I believed that the grounds for arrest were necessary </w:t>
      </w:r>
      <w:r>
        <w:rPr>
          <w:rStyle w:val="None"/>
          <w:rFonts w:ascii="Times Roman" w:hAnsi="Times Roman" w:hint="default"/>
          <w:sz w:val="24"/>
          <w:szCs w:val="24"/>
          <w:rtl w:val="0"/>
          <w:lang w:val="en-US"/>
        </w:rPr>
        <w:t>‘</w:t>
      </w:r>
      <w:r>
        <w:rPr>
          <w:rStyle w:val="None"/>
          <w:rFonts w:ascii="Times Roman" w:hAnsi="Times Roman"/>
          <w:sz w:val="24"/>
          <w:szCs w:val="24"/>
          <w:rtl w:val="0"/>
          <w:lang w:val="en-US"/>
        </w:rPr>
        <w:t>to allow the prompt and effective investigation of the offence or of the conduct of the person in question</w:t>
      </w:r>
      <w:r>
        <w:rPr>
          <w:rStyle w:val="None"/>
          <w:rFonts w:ascii="Times Roman" w:hAnsi="Times Roman" w:hint="default"/>
          <w:sz w:val="24"/>
          <w:szCs w:val="24"/>
          <w:rtl w:val="0"/>
          <w:lang w:val="en-US"/>
        </w:rPr>
        <w:t>’</w:t>
      </w:r>
      <w:r>
        <w:rPr>
          <w:rStyle w:val="None"/>
          <w:rFonts w:ascii="Times Roman" w:hAnsi="Times Roman"/>
          <w:sz w:val="24"/>
          <w:szCs w:val="24"/>
          <w:rtl w:val="0"/>
          <w:lang w:val="en-US"/>
        </w:rPr>
        <w:t>.( Police and Criminal Evidence Act 1984 , Code G</w:t>
      </w:r>
      <w:r>
        <w:rPr>
          <w:rStyle w:val="None"/>
          <w:rFonts w:ascii="Times Roman" w:hAnsi="Times Roman"/>
          <w:sz w:val="24"/>
          <w:szCs w:val="24"/>
          <w:rtl w:val="0"/>
        </w:rPr>
        <w:t>)</w:t>
      </w:r>
      <w:r>
        <w:rPr>
          <w:rStyle w:val="None"/>
          <w:rFonts w:ascii="Times Roman" w:hAnsi="Times Roman"/>
          <w:sz w:val="24"/>
          <w:szCs w:val="24"/>
          <w:rtl w:val="0"/>
          <w:lang w:val="en-US"/>
        </w:rPr>
        <w:t>. As the three suspects</w:t>
      </w:r>
      <w:r>
        <w:rPr>
          <w:rStyle w:val="None"/>
          <w:rFonts w:ascii="Times Roman" w:hAnsi="Times Roman"/>
          <w:outline w:val="0"/>
          <w:color w:val="ff2600"/>
          <w:sz w:val="24"/>
          <w:szCs w:val="24"/>
          <w:u w:color="ff2600"/>
          <w:rtl w:val="0"/>
          <w:lang w:val="en-US"/>
          <w14:textFill>
            <w14:solidFill>
              <w14:srgbClr w14:val="FF2600"/>
            </w14:solidFill>
          </w14:textFill>
        </w:rPr>
        <w:t xml:space="preserve"> </w:t>
      </w:r>
      <w:r>
        <w:rPr>
          <w:rStyle w:val="None"/>
          <w:rFonts w:ascii="Times Roman" w:hAnsi="Times Roman"/>
          <w:sz w:val="24"/>
          <w:szCs w:val="24"/>
          <w:rtl w:val="0"/>
          <w:lang w:val="en-US"/>
        </w:rPr>
        <w:t xml:space="preserve">resided at different addresses I did not want them colluding with each other, or destroying evidence, if I had chosen to treat them as voluntarily attendees. I wanted to secure and preserve evidence by seizing devices, documentation and by way of questioning them on the same day. This also allowed me to make use of the powers </w:t>
      </w:r>
      <w:r>
        <w:rPr>
          <w:rStyle w:val="None"/>
          <w:rFonts w:ascii="Times Roman" w:hAnsi="Times Roman"/>
          <w:sz w:val="24"/>
          <w:szCs w:val="24"/>
          <w:rtl w:val="0"/>
          <w:lang w:val="en-US"/>
        </w:rPr>
        <w:t xml:space="preserve">under </w:t>
      </w:r>
      <w:r>
        <w:rPr>
          <w:rStyle w:val="Hyperlink.7"/>
        </w:rPr>
        <w:fldChar w:fldCharType="begin" w:fldLock="0"/>
      </w:r>
      <w:r>
        <w:rPr>
          <w:rStyle w:val="Hyperlink.7"/>
        </w:rPr>
        <w:instrText xml:space="preserve"> HYPERLINK "http://www.legislation.gov.uk/ukpga/2001/16/section/50"</w:instrText>
      </w:r>
      <w:r>
        <w:rPr>
          <w:rStyle w:val="Hyperlink.7"/>
        </w:rPr>
        <w:fldChar w:fldCharType="separate" w:fldLock="0"/>
      </w:r>
      <w:r>
        <w:rPr>
          <w:rStyle w:val="Hyperlink.7"/>
          <w:rtl w:val="0"/>
          <w:lang w:val="en-US"/>
        </w:rPr>
        <w:t>sections 50 and 51 of the Criminal Justice and Police Act 2001</w:t>
      </w:r>
      <w:r>
        <w:rPr/>
        <w:fldChar w:fldCharType="end" w:fldLock="0"/>
      </w:r>
      <w:r>
        <w:rPr>
          <w:rStyle w:val="None"/>
          <w:rFonts w:ascii="Times Roman" w:hAnsi="Times Roman"/>
          <w:sz w:val="24"/>
          <w:szCs w:val="24"/>
          <w:rtl w:val="0"/>
          <w:lang w:val="en-US"/>
        </w:rPr>
        <w:t xml:space="preserve"> (CJPA, 2001). This allowed me to remove large amounts of material from the premises and review the items away from the premises.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At the time of the arrests, I used my powers under section 32 of PACE to search the suspects. I then made enquiries with them with regards to their medical conditions, prior to being transported to the custody unit, this is done in the event the person requires prescription medication sometime during their detention and any delay in obtaining that medication would interrupt the interview. I also needed the information to make the custody sergeant and staff aware. Upon their arrival at the custody unit their custody was authorised and they were searched (Police and Criminal Evidence Act 1984 ,Section 54), prior to to being placed in the cells.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outline w:val="0"/>
          <w:color w:val="ff2600"/>
          <w:sz w:val="24"/>
          <w:szCs w:val="24"/>
          <w:u w:color="ff2600"/>
          <w14:textFill>
            <w14:solidFill>
              <w14:srgbClr w14:val="FF2600"/>
            </w14:solidFill>
          </w14:textFill>
        </w:rPr>
      </w:pPr>
      <w:r>
        <w:rPr>
          <w:rStyle w:val="None"/>
          <w:rFonts w:ascii="Times Roman" w:hAnsi="Times Roman"/>
          <w:sz w:val="24"/>
          <w:szCs w:val="24"/>
          <w:rtl w:val="0"/>
          <w:lang w:val="en-US"/>
        </w:rPr>
        <w:t xml:space="preserve">I planned the interviews as per force guidance and in accordance with the College of Policing and using the PEACE interview framework ( College of policing, 2012).  The PEACE interview model allows me to be methodical in the preparation and structure of the interview. This assistance and planning is aided by organisations such as the national strategic steering group on investigative interviewing (NSSGII) who </w:t>
      </w:r>
      <w:r>
        <w:rPr>
          <w:rStyle w:val="None"/>
          <w:rFonts w:ascii="Times Roman" w:hAnsi="Times Roman" w:hint="default"/>
          <w:sz w:val="24"/>
          <w:szCs w:val="24"/>
          <w:rtl w:val="0"/>
          <w:lang w:val="en-US"/>
        </w:rPr>
        <w:t>‘</w:t>
      </w:r>
      <w:r>
        <w:rPr>
          <w:rStyle w:val="None"/>
          <w:rFonts w:ascii="Times Roman" w:hAnsi="Times Roman"/>
          <w:sz w:val="24"/>
          <w:szCs w:val="24"/>
          <w:rtl w:val="0"/>
          <w:lang w:val="en-US"/>
        </w:rPr>
        <w:t>oversees that police the development and delivery of the most effective interview strategy. Its role is to ensure that the police service adopts a consistent and professional approach, which is able to withstand judicial and academic scrutiny and instil public confidence</w:t>
      </w:r>
      <w:r>
        <w:rPr>
          <w:rStyle w:val="None"/>
          <w:rFonts w:ascii="Times Roman" w:hAnsi="Times Roman" w:hint="default"/>
          <w:sz w:val="24"/>
          <w:szCs w:val="24"/>
          <w:rtl w:val="0"/>
          <w:lang w:val="en-US"/>
        </w:rPr>
        <w:t xml:space="preserve">’ </w:t>
      </w:r>
      <w:r>
        <w:rPr>
          <w:rStyle w:val="None"/>
          <w:rFonts w:ascii="Times Roman" w:hAnsi="Times Roman"/>
          <w:sz w:val="24"/>
          <w:szCs w:val="24"/>
          <w:rtl w:val="0"/>
          <w:lang w:val="en-US"/>
        </w:rPr>
        <w:t>(College of Policing, 2022</w:t>
      </w:r>
      <w:r>
        <w:rPr>
          <w:rStyle w:val="None"/>
          <w:rFonts w:ascii="Times Roman" w:hAnsi="Times Roman"/>
          <w:sz w:val="24"/>
          <w:szCs w:val="24"/>
          <w:rtl w:val="0"/>
        </w:rPr>
        <w:t>)</w:t>
      </w:r>
      <w:r>
        <w:rPr>
          <w:rStyle w:val="None"/>
          <w:rFonts w:ascii="Times Roman" w:hAnsi="Times Roman"/>
          <w:sz w:val="24"/>
          <w:szCs w:val="24"/>
          <w:rtl w:val="0"/>
          <w:lang w:val="en-US"/>
        </w:rPr>
        <w:t>. No special measures were used in the interviews of the three suspects who were arrested and the witnesses in this case.</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considered available options for speaking with the clients, the family members, whose names the life cover policies were in. I considered using the power of arrest, but applying the necessity test I used the option of voluntary attendees. It was not clear at that stage if they were complicit in the fraudulent applications, or, if their personal details been used by the suspects without their knowledge. (Police and Criminal Evidence Act 1984, Code C) This allowed me to question the persons under caution which allowed the evidence they provide to be admissible in the event the matter going to court, and as in this case it was beneficial.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One of the persons to be interviewed was very reluctant and got anxious when I explained to them that it would be done at a police station on a voluntary basis and under caution. I risk assessed the person and decided that they required additional support for the interview to be conducted. On the day in question they arrived with a family member, I spoke to the custody sergeant at the time and stated that I would be more than content for the family member being present in the interview but I would set out what they can and can</w:t>
      </w:r>
      <w:r>
        <w:rPr>
          <w:rStyle w:val="None"/>
          <w:rFonts w:ascii="Times Roman" w:hAnsi="Times Roman" w:hint="default"/>
          <w:sz w:val="24"/>
          <w:szCs w:val="24"/>
          <w:rtl w:val="0"/>
          <w:lang w:val="en-US"/>
        </w:rPr>
        <w:t>’</w:t>
      </w:r>
      <w:r>
        <w:rPr>
          <w:rStyle w:val="None"/>
          <w:rFonts w:ascii="Times Roman" w:hAnsi="Times Roman"/>
          <w:sz w:val="24"/>
          <w:szCs w:val="24"/>
          <w:rtl w:val="0"/>
          <w:lang w:val="en-US"/>
        </w:rPr>
        <w:t>t do. The custody sergeant was happy for this to go ahead. This person effectively acted as an appropriate adult for the family member, the family member acted as reassurance for the person being questioned. As per section 58 PACE, access to legal advice, this was made available to the person and they declined. (Police and Criminal Evidence Act 1984, Section 58</w:t>
      </w:r>
      <w:r>
        <w:rPr>
          <w:rStyle w:val="None"/>
          <w:rFonts w:ascii="Times Roman" w:hAnsi="Times Roman"/>
          <w:sz w:val="24"/>
          <w:szCs w:val="24"/>
          <w:rtl w:val="0"/>
        </w:rPr>
        <w:t>)</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At the start of the interview I cautioned the suspects under the provisions set out in section 10 of PACE, Code C. (Police and Criminal Evidence Act 1984, Code C). Hodgson, 2011, makes reference to the centre of safeguarding suspects right is centred around human rights.</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Analysing my understanding of the values and ethics of this investigation, I was mindful that my approach to the investigation was open and transparent, meaning that I had an open mind throughout the investigation and this allowed me not to predetermine the outcome due to my own theories and beliefs. This allowed me to explore all lines of enquiry guided by the evidence as it presented itself to me. I also tested various theories to establish if they corroborated the evidence. The review and recording of the evidence was a continuous process through the investigation. I agree with (Henkschke, 2015), </w:t>
      </w:r>
      <w:r>
        <w:rPr>
          <w:rStyle w:val="None"/>
          <w:rFonts w:ascii="Times Roman" w:hAnsi="Times Roman" w:hint="default"/>
          <w:sz w:val="24"/>
          <w:szCs w:val="24"/>
          <w:rtl w:val="0"/>
          <w:lang w:val="en-US"/>
        </w:rPr>
        <w:t>‘</w:t>
      </w:r>
      <w:r>
        <w:rPr>
          <w:rStyle w:val="None"/>
          <w:rFonts w:ascii="Times Roman" w:hAnsi="Times Roman"/>
          <w:sz w:val="24"/>
          <w:szCs w:val="24"/>
          <w:rtl w:val="0"/>
          <w:lang w:val="en-US"/>
        </w:rPr>
        <w:t>In Investigative Ethics they bring out the notion that investigations are not simply a set of policing (or other) actions but epistemic actions</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This creates a culture within investigators to pursue evidence or lines of enquiry in an investigation and allows the police to develop competent investigators.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Epistemic action and the simplicity of a pragmatic approach to an investigation allows an investigator to use the process of coming closer to answering the action and getting it done as part of the investigation. The epistemic approach equips the investigator to delve deeper into an investigation and allows them to recover evidence that is on the surface hidden from plain sight but does exist, but just needs to be discovered.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When I analyse and assess my performance in relation to this investigation, I find myself coming to a similar conclusion as with all my enquiries. The complex fraud cases which are dealt with, as in this case, is wholly under-resourced. This has a detrimental effect on the investigation as it becomes a drawn out enquiry, on the occasion when another investigator assisted me, the enquiry made progress, as various aspects could be made at the same time and also this assisted in the a fresh review of what had already been completed provided another perspective to the enquiry and a element of transparency and accountability to the investigation. It assisted in identify other lines of enquiry and the preparation for the interviews of the suspects. When these interviews were facilitated it was a better flow to the enquiry. I felt more motivated and I could discuss the case with the other investigator.</w:t>
      </w:r>
      <w:r>
        <w:rPr>
          <w:rStyle w:val="None"/>
          <w:rFonts w:ascii="Times Roman" w:hAnsi="Times Roman"/>
          <w:outline w:val="0"/>
          <w:color w:val="ff2600"/>
          <w:sz w:val="24"/>
          <w:szCs w:val="24"/>
          <w:u w:color="ff2600"/>
          <w:rtl w:val="0"/>
          <w:lang w:val="en-US"/>
          <w14:textFill>
            <w14:solidFill>
              <w14:srgbClr w14:val="FF2600"/>
            </w14:solidFill>
          </w14:textFill>
        </w:rPr>
        <w:t xml:space="preserv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 consideration is due to inadequate resourcing of enquiries, should anything happen to the investigator it would delay the enquiry and would take time to get another investigator up to speed to progress the enquiry. That is why, in relation to this investigation I kept a running log of actions, lines of enquiry, completed tasks, notes from interviews and recorded all decisions made during the course of the investigation. This allowed me to keep track of actions that were completed and also to prioritise lines of enquiry. As most volume crime is dealt with by a single investigator, complex cases are normally allocated to an investigator together with other supportive specialist departments. This is not the case in the Economic Crime Unit, as the investigator is effectively the investigator, exhibits officer, disclosure officer, interviewing officer and also the actions </w:t>
      </w:r>
      <w:r>
        <w:rPr>
          <w:rStyle w:val="None"/>
          <w:rFonts w:ascii="Times Roman" w:hAnsi="Times Roman" w:hint="default"/>
          <w:sz w:val="24"/>
          <w:szCs w:val="24"/>
          <w:rtl w:val="0"/>
          <w:lang w:val="en-US"/>
        </w:rPr>
        <w:t>‘</w:t>
      </w:r>
      <w:r>
        <w:rPr>
          <w:rStyle w:val="None"/>
          <w:rFonts w:ascii="Times Roman" w:hAnsi="Times Roman"/>
          <w:sz w:val="24"/>
          <w:szCs w:val="24"/>
          <w:rtl w:val="0"/>
          <w:lang w:val="en-US"/>
        </w:rPr>
        <w:t>team</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b w:val="1"/>
          <w:bCs w:val="1"/>
          <w:sz w:val="24"/>
          <w:szCs w:val="24"/>
        </w:rPr>
      </w:pPr>
      <w:r>
        <w:rPr>
          <w:rStyle w:val="None"/>
          <w:rFonts w:ascii="Times Roman" w:hAnsi="Times Roman"/>
          <w:b w:val="1"/>
          <w:bCs w:val="1"/>
          <w:sz w:val="24"/>
          <w:szCs w:val="24"/>
          <w:rtl w:val="0"/>
          <w:lang w:val="en-US"/>
        </w:rPr>
        <w:t>[Word Count 1746]</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Body A"/>
        <w:spacing w:after="0" w:line="240" w:lineRule="auto"/>
        <w:rPr>
          <w:rStyle w:val="None"/>
          <w:rFonts w:ascii="Times Roman" w:cs="Times Roman" w:hAnsi="Times Roman" w:eastAsia="Times Roman"/>
          <w:outline w:val="0"/>
          <w:color w:val="555555"/>
          <w:sz w:val="24"/>
          <w:szCs w:val="24"/>
          <w:u w:val="single" w:color="555555"/>
          <w14:textFill>
            <w14:solidFill>
              <w14:srgbClr w14:val="555555"/>
            </w14:solidFill>
          </w14:textFill>
        </w:rPr>
      </w:pPr>
    </w:p>
    <w:p>
      <w:pPr>
        <w:pStyle w:val="Body A"/>
        <w:spacing w:after="0" w:line="240" w:lineRule="auto"/>
        <w:rPr>
          <w:rStyle w:val="None"/>
          <w:rFonts w:ascii="Times Roman" w:cs="Times Roman" w:hAnsi="Times Roman" w:eastAsia="Times Roman"/>
          <w:outline w:val="0"/>
          <w:color w:val="555555"/>
          <w:sz w:val="24"/>
          <w:szCs w:val="24"/>
          <w:u w:val="single" w:color="555555"/>
          <w14:textFill>
            <w14:solidFill>
              <w14:srgbClr w14:val="555555"/>
            </w14:solidFill>
          </w14:textFill>
        </w:rPr>
      </w:pPr>
    </w:p>
    <w:p>
      <w:pPr>
        <w:pStyle w:val="Body A"/>
        <w:spacing w:after="0" w:line="240" w:lineRule="auto"/>
        <w:rPr>
          <w:rStyle w:val="None"/>
          <w:rFonts w:ascii="Times Roman" w:cs="Times Roman" w:hAnsi="Times Roman" w:eastAsia="Times Roman"/>
          <w:outline w:val="0"/>
          <w:color w:val="555555"/>
          <w:sz w:val="24"/>
          <w:szCs w:val="24"/>
          <w:u w:val="single" w:color="555555"/>
          <w14:textFill>
            <w14:solidFill>
              <w14:srgbClr w14:val="555555"/>
            </w14:solidFill>
          </w14:textFill>
        </w:rPr>
      </w:pPr>
      <w:r>
        <w:rPr>
          <w:rStyle w:val="None"/>
          <w:rFonts w:ascii="Times Roman" w:hAnsi="Times Roman"/>
          <w:outline w:val="0"/>
          <w:color w:val="555555"/>
          <w:sz w:val="24"/>
          <w:szCs w:val="24"/>
          <w:u w:val="single" w:color="555555"/>
          <w:rtl w:val="0"/>
          <w:lang w:val="en-US"/>
          <w14:textFill>
            <w14:solidFill>
              <w14:srgbClr w14:val="555555"/>
            </w14:solidFill>
          </w14:textFill>
        </w:rPr>
        <w:t>Reference</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r>
        <w:rPr>
          <w:rStyle w:val="Hyperlink.8"/>
        </w:rPr>
        <w:fldChar w:fldCharType="begin" w:fldLock="0"/>
      </w:r>
      <w:r>
        <w:rPr>
          <w:rStyle w:val="Hyperlink.8"/>
        </w:rPr>
        <w:instrText xml:space="preserve"> HYPERLINK "https://www.app.college.police.uk/app-content/investigations/investigative-interviewing/"</w:instrText>
      </w:r>
      <w:r>
        <w:rPr>
          <w:rStyle w:val="Hyperlink.8"/>
        </w:rPr>
        <w:fldChar w:fldCharType="separate" w:fldLock="0"/>
      </w:r>
      <w:r>
        <w:rPr>
          <w:rStyle w:val="Hyperlink.8"/>
          <w:rtl w:val="0"/>
          <w:lang w:val="en-US"/>
        </w:rPr>
        <w:t>https://www.app.college.police.uk/app-content/investigations/investigative-interviewing/</w:t>
      </w:r>
      <w:r>
        <w:rPr/>
        <w:fldChar w:fldCharType="end" w:fldLock="0"/>
      </w:r>
      <w:r>
        <w:rPr>
          <w:rStyle w:val="None"/>
          <w:rFonts w:ascii="Times Roman" w:hAnsi="Times Roman"/>
          <w:outline w:val="0"/>
          <w:color w:val="555555"/>
          <w:sz w:val="24"/>
          <w:szCs w:val="24"/>
          <w:u w:color="555555"/>
          <w:rtl w:val="0"/>
          <w:lang w:val="en-US"/>
          <w14:textFill>
            <w14:solidFill>
              <w14:srgbClr w14:val="555555"/>
            </w14:solidFill>
          </w14:textFill>
        </w:rPr>
        <w:t xml:space="preserve"> [ Accessed 15/04/22]</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College of Policing. (n.d.). Investigative interviewing. [online] Available at: https://www.college.police.uk/app/investigation/investigative-interviewing/investigative-interviewing#national-strategic-steering-group [Accessed 8 May 2022].</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Legislation.gov.uk. (2011). Fraud Act 2006. [online] Available at: https://www.legislation.gov.uk/ukpga/2006/35/section/2.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Legislation.gov.uk. (2011). Fraud Act 2006. [online] Available at: https://www.legislation.gov.uk/ukpga/2006/35/section/4.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fldChar w:fldCharType="begin" w:fldLock="0"/>
      </w: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instrText xml:space="preserve"> HYPERLINK "https://www.legislation.gov.uk/ukpga/1984/60/section/9"</w:instrText>
      </w: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fldChar w:fldCharType="separate" w:fldLock="0"/>
      </w:r>
      <w:r>
        <w:rPr>
          <w:rStyle w:val="Hyperlink.9"/>
          <w:rFonts w:ascii="Times Roman" w:hAnsi="Times Roman"/>
          <w:outline w:val="0"/>
          <w:color w:val="555555"/>
          <w:u w:val="single" w:color="0563c1"/>
          <w:shd w:val="clear" w:color="auto" w:fill="ffffff"/>
          <w:rtl w:val="0"/>
          <w:lang w:val="en-US"/>
          <w14:textFill>
            <w14:solidFill>
              <w14:srgbClr w14:val="555555"/>
            </w14:solidFill>
          </w14:textFill>
        </w:rPr>
        <w:t>https://www.legislation.gov.uk/ukpga/1984/60/section/9</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Gov.uk (2012). G POLICE AND CRIMINAL EVIDENCE ACT 1984 (PACE) CODE G REVISED CODE OF PRACTICE FOR THE STATUTORY POWER OF ARREST BY POLICE OFFICERS Commencement -Transitional Arrangements. [online] Available at: https://assets.publishing.service.gov.uk/government/uploads/system/uploads/attachment_data/file/903814/pace-code-g-2012.pdf.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"https://www.gov.uk/government/publications/voluntary-police-interview-your-rights/remember-your-rights-voluntary-interview-accessible-version"</w:instrText>
      </w:r>
      <w:r>
        <w:rPr>
          <w:rStyle w:val="Hyperlink.10"/>
        </w:rPr>
        <w:fldChar w:fldCharType="separate" w:fldLock="0"/>
      </w:r>
      <w:r>
        <w:rPr>
          <w:rStyle w:val="Hyperlink.10"/>
          <w:rtl w:val="0"/>
          <w:lang w:val="en-US"/>
        </w:rPr>
        <w:t>https://www.gov.uk/government/publications/voluntary-police-interview-your-rights/remember-your-rights-voluntary-interview-accessible-version</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"https://assets.publishing.service.gov.uk/government/uploads/system/uploads/attachment_data/file/864940/interviewing-suspects-v7.0.pdf"</w:instrText>
      </w:r>
      <w:r>
        <w:rPr>
          <w:rStyle w:val="Hyperlink.10"/>
        </w:rPr>
        <w:fldChar w:fldCharType="separate" w:fldLock="0"/>
      </w:r>
      <w:r>
        <w:rPr>
          <w:rStyle w:val="Hyperlink.10"/>
          <w:rtl w:val="0"/>
          <w:lang w:val="en-US"/>
        </w:rPr>
        <w:t>https://assets.publishing.service.gov.uk/government/uploads/system/uploads/attachment_data/file/864940/interviewing-suspects-v7.0.pdf</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www.app.college.police.uk. (n.d.). Control, restraint and searches. [online] Available at: https://www.app.college.police.uk/app-content/detention-and-custody-2/control-restraint-and-searches/.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"https://www.legislation.gov.uk/ukpga/1984/60/section/32"</w:instrText>
      </w:r>
      <w:r>
        <w:rPr>
          <w:rStyle w:val="Hyperlink.10"/>
        </w:rPr>
        <w:fldChar w:fldCharType="separate" w:fldLock="0"/>
      </w:r>
      <w:r>
        <w:rPr>
          <w:rStyle w:val="Hyperlink.10"/>
          <w:rtl w:val="0"/>
          <w:lang w:val="en-US"/>
        </w:rPr>
        <w:t>https://www.legislation.gov.uk/ukpga/1984/60/section/32</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after="21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HODGSON, J.S., 2011. Safeguarding Suspects' Rights in Europe. New Criminal Law Review, 14(4), pp. 611-665. [ Accessed 17/04/2022].</w:t>
      </w:r>
    </w:p>
    <w:p>
      <w:pPr>
        <w:pStyle w:val="Default"/>
        <w:spacing w:before="0" w:after="21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"https://www.legislation.gov.uk/ukpga/1984/60/section/58"</w:instrText>
      </w:r>
      <w:r>
        <w:rPr>
          <w:rStyle w:val="Hyperlink.10"/>
        </w:rPr>
        <w:fldChar w:fldCharType="separate" w:fldLock="0"/>
      </w:r>
      <w:r>
        <w:rPr>
          <w:rStyle w:val="Hyperlink.10"/>
          <w:rtl w:val="0"/>
          <w:lang w:val="en-US"/>
        </w:rPr>
        <w:t>https://www.legislation.gov.uk/ukpga/1984/60/section/58</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[Accessed 17/04/2022]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Henschke, A. (2015). Seumas Miller and Ian A. Gordon: Investigative Ethics: Ethics for Police Detectives and Criminal Investigators. Criminal Law and Philosophy, 11(2), pp.427</w:t>
      </w:r>
      <w:r>
        <w:rPr>
          <w:rStyle w:val="None"/>
          <w:rFonts w:ascii="Times Roman" w:hAnsi="Times Roman" w:hint="default"/>
          <w:outline w:val="0"/>
          <w:color w:val="555555"/>
          <w:u w:color="555555"/>
          <w:shd w:val="clear" w:color="auto" w:fill="ffffff"/>
          <w:rtl w:val="0"/>
          <w:lang w:val="en-US"/>
          <w14:textFill>
            <w14:solidFill>
              <w14:srgbClr w14:val="555555"/>
            </w14:solidFill>
          </w14:textFill>
        </w:rPr>
        <w:t>–</w:t>
      </w:r>
      <w:r>
        <w:rPr>
          <w:rStyle w:val="None"/>
          <w:rFonts w:ascii="Times Roman" w:hAnsi="Times Roman"/>
          <w:outline w:val="0"/>
          <w:color w:val="555555"/>
          <w:u w:color="555555"/>
          <w:shd w:val="clear" w:color="auto" w:fill="ffffff"/>
          <w:rtl w:val="0"/>
          <w:lang w:val="en-US"/>
          <w14:textFill>
            <w14:solidFill>
              <w14:srgbClr w14:val="555555"/>
            </w14:solidFill>
          </w14:textFill>
        </w:rPr>
        <w:t>429.</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Arial Unicode MS" w:hAnsi="Arial Unicode MS" w:hint="default"/>
          <w:outline w:val="0"/>
          <w:color w:val="555555"/>
          <w:u w:color="555555"/>
          <w:shd w:val="clear" w:color="auto" w:fill="ffffff"/>
          <w:rtl w:val="0"/>
          <w:lang w:val="en-US"/>
          <w14:textFill>
            <w14:solidFill>
              <w14:srgbClr w14:val="555555"/>
            </w14:solidFill>
          </w14:textFill>
        </w:rPr>
        <w:t>‌</w:t>
      </w:r>
      <w:r>
        <w:rPr>
          <w:rStyle w:val="None"/>
          <w:rFonts w:ascii="Times Roman" w:hAnsi="Times Roman"/>
          <w:outline w:val="0"/>
          <w:color w:val="555555"/>
          <w:u w:color="555555"/>
          <w:shd w:val="clear" w:color="auto" w:fill="ffffff"/>
          <w:rtl w:val="0"/>
          <w:lang w:val="en-US"/>
          <w14:textFill>
            <w14:solidFill>
              <w14:srgbClr w14:val="555555"/>
            </w14:solidFill>
          </w14:textFill>
        </w:rPr>
        <w:t>[ Accessed 17/04/2022]</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"https://www.app.college.police.uk/app-content/investigations/managing-investigations/"</w:instrText>
      </w:r>
      <w:r>
        <w:rPr>
          <w:rStyle w:val="Hyperlink.10"/>
        </w:rPr>
        <w:fldChar w:fldCharType="separate" w:fldLock="0"/>
      </w:r>
      <w:r>
        <w:rPr>
          <w:rStyle w:val="Hyperlink.10"/>
          <w:rtl w:val="0"/>
          <w:lang w:val="en-US"/>
        </w:rPr>
        <w:t>https://www.app.college.police.uk/app-content/investigations/managing-investigations/</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[Accessed 24/04/2022]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Investigative Plan. (n.d.). [online] Available at: https://rowman.com/webdocs/Reilly_Chapter8.pdf [Accessed 24 Apr. 2022].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www.forbes.com. (n.d.). {{meta.title}}. [online] Available at: https://www.forbes.com/quotes/10405/. [Accessed 24 Apr. 2022].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www.youtube.com. (n.d.). Investigation Planning presented by Dean Benard. [online] Available at: https://www.youtube.com/watch?v=iv20BKhuyWY [Accessed 24 Apr. 2022].</w:t>
      </w:r>
    </w:p>
    <w:p>
      <w:pPr>
        <w:pStyle w:val="Default"/>
        <w:bidi w:val="1"/>
        <w:spacing w:before="0" w:after="320" w:line="240" w:lineRule="auto"/>
        <w:ind w:left="0" w:right="0" w:firstLine="0"/>
        <w:jc w:val="right"/>
        <w:rPr>
          <w:rStyle w:val="None"/>
          <w:rFonts w:ascii="Times Roman" w:cs="Times Roman" w:hAnsi="Times Roman" w:eastAsia="Times Roman"/>
          <w:outline w:val="0"/>
          <w:color w:val="555555"/>
          <w:sz w:val="32"/>
          <w:szCs w:val="32"/>
          <w:u w:color="555555"/>
          <w:shd w:val="clear" w:color="auto" w:fill="ffffff"/>
          <w:rtl w:val="1"/>
          <w14:textFill>
            <w14:solidFill>
              <w14:srgbClr w14:val="555555"/>
            </w14:solidFill>
          </w14:textFill>
        </w:rPr>
      </w:pPr>
      <w:r>
        <w:rPr>
          <w:rStyle w:val="None"/>
          <w:rFonts w:ascii="Arial Unicode MS" w:hAnsi="Arial Unicode MS" w:hint="default"/>
          <w:outline w:val="0"/>
          <w:color w:val="555555"/>
          <w:sz w:val="32"/>
          <w:szCs w:val="32"/>
          <w:u w:color="555555"/>
          <w:shd w:val="clear" w:color="auto" w:fill="ffffff"/>
          <w:rtl w:val="0"/>
          <w:lang w:val="en-US"/>
          <w14:textFill>
            <w14:solidFill>
              <w14:srgbClr w14:val="555555"/>
            </w14:solidFill>
          </w14:textFill>
        </w:rPr>
        <w:t>‌</w:t>
      </w:r>
    </w:p>
    <w:p>
      <w:pPr>
        <w:pStyle w:val="Default"/>
        <w:spacing w:before="0" w:after="320" w:line="240" w:lineRule="auto"/>
        <w:rPr>
          <w:rStyle w:val="None"/>
          <w:rFonts w:ascii="Times Roman" w:cs="Times Roman" w:hAnsi="Times Roman" w:eastAsia="Times Roman"/>
          <w:outline w:val="0"/>
          <w:color w:val="555555"/>
          <w:u w:val="single" w:color="555555"/>
          <w:shd w:val="clear" w:color="auto" w:fill="ffffff"/>
          <w14:textFill>
            <w14:solidFill>
              <w14:srgbClr w14:val="555555"/>
            </w14:solidFill>
          </w14:textFill>
        </w:rPr>
      </w:pPr>
      <w:r>
        <w:rPr>
          <w:rStyle w:val="None"/>
          <w:rFonts w:ascii="Times Roman" w:hAnsi="Times Roman"/>
          <w:outline w:val="0"/>
          <w:color w:val="555555"/>
          <w:u w:val="single" w:color="555555"/>
          <w:shd w:val="clear" w:color="auto" w:fill="ffffff"/>
          <w:rtl w:val="0"/>
          <w:lang w:val="en-US"/>
          <w14:textFill>
            <w14:solidFill>
              <w14:srgbClr w14:val="555555"/>
            </w14:solidFill>
          </w14:textFill>
        </w:rPr>
        <w:t xml:space="preserve">Biography </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r>
        <w:rPr>
          <w:rStyle w:val="Hyperlink.8"/>
        </w:rPr>
        <w:fldChar w:fldCharType="begin" w:fldLock="0"/>
      </w:r>
      <w:r>
        <w:rPr>
          <w:rStyle w:val="Hyperlink.8"/>
        </w:rPr>
        <w:instrText xml:space="preserve"> HYPERLINK "https://www.app.college.police.uk/app-content/investigations/investigative-interviewing/"</w:instrText>
      </w:r>
      <w:r>
        <w:rPr>
          <w:rStyle w:val="Hyperlink.8"/>
        </w:rPr>
        <w:fldChar w:fldCharType="separate" w:fldLock="0"/>
      </w:r>
      <w:r>
        <w:rPr>
          <w:rStyle w:val="Hyperlink.8"/>
          <w:rtl w:val="0"/>
          <w:lang w:val="en-US"/>
        </w:rPr>
        <w:t>https://www.app.college.police.uk/app-content/investigations/investigative-interviewing/</w:t>
      </w:r>
      <w:r>
        <w:rPr/>
        <w:fldChar w:fldCharType="end" w:fldLock="0"/>
      </w:r>
      <w:r>
        <w:rPr>
          <w:rStyle w:val="None"/>
          <w:rFonts w:ascii="Times Roman" w:hAnsi="Times Roman"/>
          <w:outline w:val="0"/>
          <w:color w:val="555555"/>
          <w:sz w:val="24"/>
          <w:szCs w:val="24"/>
          <w:u w:color="555555"/>
          <w:rtl w:val="0"/>
          <w:lang w:val="en-US"/>
          <w14:textFill>
            <w14:solidFill>
              <w14:srgbClr w14:val="555555"/>
            </w14:solidFill>
          </w14:textFill>
        </w:rPr>
        <w:t xml:space="preserve"> [ Accessed 15/04/22]</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College of Policing. (n.d.). Investigative interviewing. [online] Available at: https://www.college.police.uk/app/investigation/investigative-interviewing/investigative-interviewing#national-strategic-steering-group [Accessed 8 May 2022].</w:t>
      </w:r>
    </w:p>
    <w:p>
      <w:pPr>
        <w:pStyle w:val="Body A"/>
        <w:spacing w:after="0" w:line="240" w:lineRule="auto"/>
        <w:rPr>
          <w:rStyle w:val="None"/>
          <w:rFonts w:ascii="Times Roman" w:cs="Times Roman" w:hAnsi="Times Roman" w:eastAsia="Times Roman"/>
          <w:outline w:val="0"/>
          <w:color w:val="555555"/>
          <w:sz w:val="24"/>
          <w:szCs w:val="24"/>
          <w:u w:color="555555"/>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Legislation.gov.uk. (2011). Fraud Act 2006. [online] Available at: https://www.legislation.gov.uk/ukpga/2006/35/section/2.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Legislation.gov.uk. (2011). Fraud Act 2006. [online] Available at: https://www.legislation.gov.uk/ukpga/2006/35/section/4.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fldChar w:fldCharType="begin" w:fldLock="0"/>
      </w: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instrText xml:space="preserve"> HYPERLINK "https://www.legislation.gov.uk/ukpga/1984/60/section/9"</w:instrText>
      </w:r>
      <w:r>
        <w:rPr>
          <w:rStyle w:val="Hyperlink.9"/>
          <w:rFonts w:ascii="Times Roman" w:cs="Times Roman" w:hAnsi="Times Roman" w:eastAsia="Times Roman"/>
          <w:outline w:val="0"/>
          <w:color w:val="555555"/>
          <w:u w:val="single" w:color="0563c1"/>
          <w:shd w:val="clear" w:color="auto" w:fill="ffffff"/>
          <w:lang w:val="en-US"/>
          <w14:textFill>
            <w14:solidFill>
              <w14:srgbClr w14:val="555555"/>
            </w14:solidFill>
          </w14:textFill>
        </w:rPr>
        <w:fldChar w:fldCharType="separate" w:fldLock="0"/>
      </w:r>
      <w:r>
        <w:rPr>
          <w:rStyle w:val="Hyperlink.9"/>
          <w:rFonts w:ascii="Times Roman" w:hAnsi="Times Roman"/>
          <w:outline w:val="0"/>
          <w:color w:val="555555"/>
          <w:u w:val="single" w:color="0563c1"/>
          <w:shd w:val="clear" w:color="auto" w:fill="ffffff"/>
          <w:rtl w:val="0"/>
          <w:lang w:val="en-US"/>
          <w14:textFill>
            <w14:solidFill>
              <w14:srgbClr w14:val="555555"/>
            </w14:solidFill>
          </w14:textFill>
        </w:rPr>
        <w:t>https://www.legislation.gov.uk/ukpga/1984/60/section/9</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08</w:t>
      </w:r>
      <w:r>
        <w:rPr>
          <w:rStyle w:val="None"/>
          <w:rFonts w:ascii="Times Roman" w:hAnsi="Times Roman"/>
          <w:outline w:val="0"/>
          <w:color w:val="555555"/>
          <w:u w:color="555555"/>
          <w:shd w:val="clear" w:color="auto" w:fill="ffffff"/>
          <w:rtl w:val="0"/>
          <w:lang w:val="pt-PT"/>
          <w14:textFill>
            <w14:solidFill>
              <w14:srgbClr w14:val="555555"/>
            </w14:solidFill>
          </w14:textFill>
        </w:rPr>
        <w:t>/04/22]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Gov.uk (2012). G POLICE AND CRIMINAL EVIDENCE ACT 1984 (PACE) CODE G REVISED CODE OF PRACTICE FOR THE STATUTORY POWER OF ARREST BY POLICE OFFICERS Commencement -Transitional Arrangements. [online] Available at: https://assets.publishing.service.gov.uk/government/uploads/system/uploads/attachment_data/file/903814/pace-code-g-2012.pdf.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"https://www.gov.uk/government/publications/voluntary-police-interview-your-rights/remember-your-rights-voluntary-interview-accessible-version"</w:instrText>
      </w:r>
      <w:r>
        <w:rPr>
          <w:rStyle w:val="Hyperlink.10"/>
        </w:rPr>
        <w:fldChar w:fldCharType="separate" w:fldLock="0"/>
      </w:r>
      <w:r>
        <w:rPr>
          <w:rStyle w:val="Hyperlink.10"/>
          <w:rtl w:val="0"/>
          <w:lang w:val="en-US"/>
        </w:rPr>
        <w:t>https://www.gov.uk/government/publications/voluntary-police-interview-your-rights/remember-your-rights-voluntary-interview-accessible-version</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"https://assets.publishing.service.gov.uk/government/uploads/system/uploads/attachment_data/file/864940/interviewing-suspects-v7.0.pdf"</w:instrText>
      </w:r>
      <w:r>
        <w:rPr>
          <w:rStyle w:val="Hyperlink.10"/>
        </w:rPr>
        <w:fldChar w:fldCharType="separate" w:fldLock="0"/>
      </w:r>
      <w:r>
        <w:rPr>
          <w:rStyle w:val="Hyperlink.10"/>
          <w:rtl w:val="0"/>
          <w:lang w:val="en-US"/>
        </w:rPr>
        <w:t>https://assets.publishing.service.gov.uk/government/uploads/system/uploads/attachment_data/file/864940/interviewing-suspects-v7.0.pdf</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www.app.college.police.uk. (n.d.). Control, restraint and searches. [online] Available at: https://www.app.college.police.uk/app-content/detention-and-custody-2/control-restraint-and-searches/. [ Accessed 15/04/22]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"https://www.legislation.gov.uk/ukpga/1984/60/section/32"</w:instrText>
      </w:r>
      <w:r>
        <w:rPr>
          <w:rStyle w:val="Hyperlink.10"/>
        </w:rPr>
        <w:fldChar w:fldCharType="separate" w:fldLock="0"/>
      </w:r>
      <w:r>
        <w:rPr>
          <w:rStyle w:val="Hyperlink.10"/>
          <w:rtl w:val="0"/>
          <w:lang w:val="en-US"/>
        </w:rPr>
        <w:t>https://www.legislation.gov.uk/ukpga/1984/60/section/32</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 Accessed 15/04/22]</w:t>
      </w:r>
    </w:p>
    <w:p>
      <w:pPr>
        <w:pStyle w:val="Default"/>
        <w:spacing w:before="0" w:after="21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HODGSON, J.S., 2011. Safeguarding Suspects' Rights in Europe. New Criminal Law Review, 14(4), pp. 611-665. [ Accessed 17/04/2022].</w:t>
      </w:r>
    </w:p>
    <w:p>
      <w:pPr>
        <w:pStyle w:val="Default"/>
        <w:spacing w:before="0" w:after="21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"https://www.legislation.gov.uk/ukpga/1984/60/section/58"</w:instrText>
      </w:r>
      <w:r>
        <w:rPr>
          <w:rStyle w:val="Hyperlink.10"/>
        </w:rPr>
        <w:fldChar w:fldCharType="separate" w:fldLock="0"/>
      </w:r>
      <w:r>
        <w:rPr>
          <w:rStyle w:val="Hyperlink.10"/>
          <w:rtl w:val="0"/>
          <w:lang w:val="en-US"/>
        </w:rPr>
        <w:t>https://www.legislation.gov.uk/ukpga/1984/60/section/58</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[Accessed 17/04/2022]</w:t>
      </w:r>
    </w:p>
    <w:p>
      <w:pPr>
        <w:pStyle w:val="Default"/>
        <w:spacing w:before="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Times Roman" w:hAnsi="Times Roman"/>
          <w:outline w:val="0"/>
          <w:color w:val="555555"/>
          <w:u w:color="555555"/>
          <w:shd w:val="clear" w:color="auto" w:fill="ffffff"/>
          <w:rtl w:val="0"/>
          <w:lang w:val="en-US"/>
          <w14:textFill>
            <w14:solidFill>
              <w14:srgbClr w14:val="555555"/>
            </w14:solidFill>
          </w14:textFill>
        </w:rPr>
        <w:t>Henschke, A. (2015). Seumas Miller and Ian A. Gordon: Investigative Ethics: Ethics for Police Detectives and Criminal Investigators. Criminal Law and Philosophy, 11(2), pp.427</w:t>
      </w:r>
      <w:r>
        <w:rPr>
          <w:rStyle w:val="None"/>
          <w:rFonts w:ascii="Times Roman" w:hAnsi="Times Roman" w:hint="default"/>
          <w:outline w:val="0"/>
          <w:color w:val="555555"/>
          <w:u w:color="555555"/>
          <w:shd w:val="clear" w:color="auto" w:fill="ffffff"/>
          <w:rtl w:val="0"/>
          <w:lang w:val="en-US"/>
          <w14:textFill>
            <w14:solidFill>
              <w14:srgbClr w14:val="555555"/>
            </w14:solidFill>
          </w14:textFill>
        </w:rPr>
        <w:t>–</w:t>
      </w:r>
      <w:r>
        <w:rPr>
          <w:rStyle w:val="None"/>
          <w:rFonts w:ascii="Times Roman" w:hAnsi="Times Roman"/>
          <w:outline w:val="0"/>
          <w:color w:val="555555"/>
          <w:u w:color="555555"/>
          <w:shd w:val="clear" w:color="auto" w:fill="ffffff"/>
          <w:rtl w:val="0"/>
          <w:lang w:val="en-US"/>
          <w14:textFill>
            <w14:solidFill>
              <w14:srgbClr w14:val="555555"/>
            </w14:solidFill>
          </w14:textFill>
        </w:rPr>
        <w:t>429.</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None"/>
          <w:rFonts w:ascii="Arial Unicode MS" w:hAnsi="Arial Unicode MS" w:hint="default"/>
          <w:outline w:val="0"/>
          <w:color w:val="555555"/>
          <w:u w:color="555555"/>
          <w:shd w:val="clear" w:color="auto" w:fill="ffffff"/>
          <w:rtl w:val="0"/>
          <w:lang w:val="en-US"/>
          <w14:textFill>
            <w14:solidFill>
              <w14:srgbClr w14:val="555555"/>
            </w14:solidFill>
          </w14:textFill>
        </w:rPr>
        <w:t>‌</w:t>
      </w:r>
      <w:r>
        <w:rPr>
          <w:rStyle w:val="None"/>
          <w:rFonts w:ascii="Times Roman" w:hAnsi="Times Roman"/>
          <w:outline w:val="0"/>
          <w:color w:val="555555"/>
          <w:u w:color="555555"/>
          <w:shd w:val="clear" w:color="auto" w:fill="ffffff"/>
          <w:rtl w:val="0"/>
          <w:lang w:val="en-US"/>
          <w14:textFill>
            <w14:solidFill>
              <w14:srgbClr w14:val="555555"/>
            </w14:solidFill>
          </w14:textFill>
        </w:rPr>
        <w:t>[ Accessed 17/04/2022]</w:t>
      </w:r>
    </w:p>
    <w:p>
      <w:pPr>
        <w:pStyle w:val="Default"/>
        <w:spacing w:before="0" w:after="32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"https://www.app.college.police.uk/app-content/investigations/managing-investigations/"</w:instrText>
      </w:r>
      <w:r>
        <w:rPr>
          <w:rStyle w:val="Hyperlink.10"/>
        </w:rPr>
        <w:fldChar w:fldCharType="separate" w:fldLock="0"/>
      </w:r>
      <w:r>
        <w:rPr>
          <w:rStyle w:val="Hyperlink.10"/>
          <w:rtl w:val="0"/>
          <w:lang w:val="en-US"/>
        </w:rPr>
        <w:t>https://www.app.college.police.uk/app-content/investigations/managing-investigations/</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[Accessed 24/04/2022]</w:t>
      </w:r>
    </w:p>
    <w:p>
      <w:pPr>
        <w:pStyle w:val="Default"/>
        <w:spacing w:before="0" w:after="210" w:line="240" w:lineRule="auto"/>
        <w:rPr>
          <w:rStyle w:val="None"/>
          <w:rFonts w:ascii="Times Roman" w:cs="Times Roman" w:hAnsi="Times Roman" w:eastAsia="Times Roman"/>
          <w:outline w:val="0"/>
          <w:color w:val="555555"/>
          <w:u w:color="555555"/>
          <w:shd w:val="clear" w:color="auto" w:fill="ffffff"/>
          <w14:textFill>
            <w14:solidFill>
              <w14:srgbClr w14:val="555555"/>
            </w14:solidFill>
          </w14:textFill>
        </w:rPr>
      </w:pPr>
      <w:r>
        <w:rPr>
          <w:rStyle w:val="Hyperlink.10"/>
        </w:rPr>
        <w:fldChar w:fldCharType="begin" w:fldLock="0"/>
      </w:r>
      <w:r>
        <w:rPr>
          <w:rStyle w:val="Hyperlink.10"/>
        </w:rPr>
        <w:instrText xml:space="preserve"> HYPERLINK "https://rowman.com/webdocs/Reilly_Chapter8.pdf"</w:instrText>
      </w:r>
      <w:r>
        <w:rPr>
          <w:rStyle w:val="Hyperlink.10"/>
        </w:rPr>
        <w:fldChar w:fldCharType="separate" w:fldLock="0"/>
      </w:r>
      <w:r>
        <w:rPr>
          <w:rStyle w:val="Hyperlink.10"/>
          <w:rtl w:val="0"/>
          <w:lang w:val="en-US"/>
        </w:rPr>
        <w:t>https://rowman.com/webdocs/Reilly_Chapter8.pdf</w:t>
      </w:r>
      <w:r>
        <w:rPr/>
        <w:fldChar w:fldCharType="end" w:fldLock="0"/>
      </w:r>
      <w:r>
        <w:rPr>
          <w:rStyle w:val="None"/>
          <w:rFonts w:ascii="Times Roman" w:hAnsi="Times Roman"/>
          <w:outline w:val="0"/>
          <w:color w:val="555555"/>
          <w:u w:color="555555"/>
          <w:shd w:val="clear" w:color="auto" w:fill="ffffff"/>
          <w:rtl w:val="0"/>
          <w:lang w:val="en-US"/>
          <w14:textFill>
            <w14:solidFill>
              <w14:srgbClr w14:val="555555"/>
            </w14:solidFill>
          </w14:textFill>
        </w:rPr>
        <w:t xml:space="preserve"> [Accessed 24/04/2022]</w:t>
      </w:r>
    </w:p>
    <w:p>
      <w:pPr>
        <w:pStyle w:val="Default"/>
        <w:spacing w:before="0" w:after="32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p>
    <w:p>
      <w:pPr>
        <w:pStyle w:val="Default"/>
        <w:bidi w:val="1"/>
        <w:spacing w:before="0" w:after="320" w:line="240" w:lineRule="auto"/>
        <w:ind w:left="0" w:right="0" w:firstLine="0"/>
        <w:jc w:val="right"/>
        <w:rPr>
          <w:rStyle w:val="None"/>
          <w:rFonts w:ascii="Arial" w:cs="Arial" w:hAnsi="Arial" w:eastAsia="Arial"/>
          <w:outline w:val="0"/>
          <w:color w:val="000000"/>
          <w:u w:color="000000"/>
          <w:shd w:val="clear" w:color="auto" w:fill="ffffff"/>
          <w:rtl w:val="1"/>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p>
    <w:p>
      <w:pPr>
        <w:pStyle w:val="Body A"/>
        <w:ind w:right="107"/>
        <w:jc w:val="both"/>
        <w:rPr>
          <w:rStyle w:val="None"/>
          <w:rFonts w:ascii="Arial" w:cs="Arial" w:hAnsi="Arial" w:eastAsia="Arial"/>
          <w:outline w:val="0"/>
          <w:color w:val="000000"/>
          <w:u w:color="000000"/>
          <w14:textFill>
            <w14:solidFill>
              <w14:srgbClr w14:val="000000"/>
            </w14:solidFill>
          </w14:textFill>
        </w:rPr>
      </w:pPr>
    </w:p>
    <w:p>
      <w:pPr>
        <w:pStyle w:val="Body A"/>
        <w:ind w:right="107"/>
        <w:jc w:val="both"/>
        <w:rPr>
          <w:rStyle w:val="None"/>
          <w:rFonts w:ascii="Arial" w:cs="Arial" w:hAnsi="Arial" w:eastAsia="Arial"/>
          <w:b w:val="1"/>
          <w:bCs w:val="1"/>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Task 4: </w:t>
      </w:r>
    </w:p>
    <w:p>
      <w:pPr>
        <w:pStyle w:val="Body A"/>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You must choose an investigation in which you played a significant role and reflect upon how you completed relevant documentation in relation to the investigation.  </w:t>
      </w:r>
    </w:p>
    <w:p>
      <w:pPr>
        <w:pStyle w:val="Body A"/>
        <w:ind w:right="107"/>
        <w:jc w:val="both"/>
        <w:rPr>
          <w:rStyle w:val="None"/>
          <w:rFonts w:ascii="Arial" w:cs="Arial" w:hAnsi="Arial" w:eastAsia="Arial"/>
          <w:b w:val="1"/>
          <w:bCs w:val="1"/>
          <w:outline w:val="0"/>
          <w:color w:val="000000"/>
          <w:sz w:val="24"/>
          <w:szCs w:val="24"/>
          <w:u w:color="000000"/>
          <w14:textFill>
            <w14:solidFill>
              <w14:srgbClr w14:val="000000"/>
            </w14:solidFill>
          </w14:textFill>
        </w:rPr>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5354"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Give a brief description</w:t>
            </w:r>
            <w:r>
              <w:rPr>
                <w:rStyle w:val="None"/>
                <w:rFonts w:ascii="Arial" w:hAnsi="Arial"/>
                <w:sz w:val="24"/>
                <w:szCs w:val="24"/>
                <w:shd w:val="nil" w:color="auto" w:fill="auto"/>
                <w:rtl w:val="0"/>
                <w:lang w:val="en-US"/>
              </w:rPr>
              <w:t xml:space="preserve"> of the investigation including social and legislative contexts and any relevant cultural, ethnicity and language issues</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Consider and reflect</w:t>
            </w:r>
            <w:r>
              <w:rPr>
                <w:rStyle w:val="None"/>
                <w:rFonts w:ascii="Arial" w:hAnsi="Arial"/>
                <w:sz w:val="24"/>
                <w:szCs w:val="24"/>
                <w:shd w:val="nil" w:color="auto" w:fill="auto"/>
                <w:rtl w:val="0"/>
                <w:lang w:val="en-US"/>
              </w:rPr>
              <w:t xml:space="preserve"> upon how you analysed, assessed and evaluated material generated by the investigation to identify offenders. </w:t>
            </w:r>
          </w:p>
          <w:p>
            <w:pPr>
              <w:pStyle w:val="Body A"/>
              <w:spacing w:after="0" w:line="240" w:lineRule="auto"/>
              <w:rPr>
                <w:rStyle w:val="None"/>
                <w:rFonts w:ascii="Arial" w:cs="Arial" w:hAnsi="Arial" w:eastAsia="Arial"/>
                <w:b w:val="1"/>
                <w:bCs w:val="1"/>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Illustrate</w:t>
            </w:r>
            <w:r>
              <w:rPr>
                <w:rStyle w:val="None"/>
                <w:rFonts w:ascii="Arial" w:hAnsi="Arial"/>
                <w:b w:val="1"/>
                <w:bCs w:val="1"/>
                <w:i w:val="1"/>
                <w:iCs w:val="1"/>
                <w:sz w:val="24"/>
                <w:szCs w:val="24"/>
                <w:shd w:val="nil" w:color="auto" w:fill="auto"/>
                <w:rtl w:val="0"/>
                <w:lang w:val="en-US"/>
              </w:rPr>
              <w:t xml:space="preserve"> </w:t>
            </w:r>
            <w:r>
              <w:rPr>
                <w:rStyle w:val="None"/>
                <w:rFonts w:ascii="Arial" w:hAnsi="Arial"/>
                <w:sz w:val="24"/>
                <w:szCs w:val="24"/>
                <w:shd w:val="nil" w:color="auto" w:fill="auto"/>
                <w:rtl w:val="0"/>
                <w:lang w:val="en-US"/>
              </w:rPr>
              <w:t xml:space="preserve">how you have ensured all material, including exhibits generated were seized, examined and retained in accordance with legalisation and policy where necessary (e.g., compliance with CPIA, PACE). </w:t>
            </w:r>
          </w:p>
          <w:p>
            <w:pPr>
              <w:pStyle w:val="Body A"/>
              <w:spacing w:after="0" w:line="240" w:lineRule="auto"/>
              <w:rPr>
                <w:rStyle w:val="None"/>
                <w:rFonts w:ascii="Arial" w:cs="Arial" w:hAnsi="Arial" w:eastAsia="Arial"/>
                <w:sz w:val="24"/>
                <w:szCs w:val="24"/>
                <w:shd w:val="nil" w:color="auto" w:fill="auto"/>
                <w:lang w:val="en-US"/>
              </w:rPr>
            </w:pPr>
          </w:p>
          <w:p>
            <w:pPr>
              <w:pStyle w:val="Body A"/>
              <w:bidi w:val="0"/>
              <w:spacing w:after="0" w:line="240" w:lineRule="auto"/>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Evaluate</w:t>
            </w:r>
            <w:r>
              <w:rPr>
                <w:rStyle w:val="None"/>
                <w:rFonts w:ascii="Arial" w:hAnsi="Arial"/>
                <w:sz w:val="24"/>
                <w:szCs w:val="24"/>
                <w:shd w:val="nil" w:color="auto" w:fill="auto"/>
                <w:rtl w:val="0"/>
                <w:lang w:val="en-US"/>
              </w:rPr>
              <w:t xml:space="preserve"> how you preprepared reports detailing the investigation and the management of case files. Examine how you have conducted disclosure with best practice procedures while creating an accurate audit trail. </w:t>
            </w:r>
          </w:p>
          <w:p>
            <w:pPr>
              <w:pStyle w:val="Body A"/>
              <w:spacing w:after="0" w:line="240" w:lineRule="auto"/>
              <w:rPr>
                <w:rStyle w:val="None"/>
                <w:rFonts w:ascii="Arial" w:cs="Arial" w:hAnsi="Arial" w:eastAsia="Arial"/>
                <w:sz w:val="24"/>
                <w:szCs w:val="24"/>
                <w:shd w:val="nil" w:color="auto" w:fill="auto"/>
                <w:lang w:val="en-US"/>
              </w:rPr>
            </w:pPr>
          </w:p>
          <w:p>
            <w:pPr>
              <w:pStyle w:val="Body A"/>
              <w:spacing w:after="0" w:line="240" w:lineRule="auto"/>
              <w:rPr>
                <w:rStyle w:val="None"/>
                <w:rFonts w:ascii="Arial" w:cs="Arial" w:hAnsi="Arial" w:eastAsia="Arial"/>
                <w:sz w:val="24"/>
                <w:szCs w:val="24"/>
                <w:shd w:val="nil" w:color="auto" w:fill="auto"/>
                <w:lang w:val="en-US"/>
              </w:rPr>
            </w:pPr>
          </w:p>
          <w:p>
            <w:pPr>
              <w:pStyle w:val="Body A"/>
              <w:bidi w:val="0"/>
              <w:spacing w:after="0" w:line="240" w:lineRule="auto"/>
              <w:ind w:left="0" w:right="0" w:firstLine="0"/>
              <w:jc w:val="left"/>
              <w:rPr>
                <w:rtl w:val="0"/>
              </w:rPr>
            </w:pPr>
            <w:r>
              <w:rPr>
                <w:rStyle w:val="None"/>
                <w:rFonts w:ascii="Arial" w:hAnsi="Arial"/>
                <w:sz w:val="24"/>
                <w:szCs w:val="24"/>
                <w:shd w:val="nil" w:color="auto" w:fill="auto"/>
                <w:rtl w:val="0"/>
                <w:lang w:val="en-US"/>
              </w:rPr>
              <w:t xml:space="preserve">2000 words </w:t>
            </w:r>
            <w:r>
              <w:rPr>
                <w:rStyle w:val="None"/>
                <w:rFonts w:ascii="Arial" w:hAnsi="Arial"/>
                <w:i w:val="1"/>
                <w:iCs w:val="1"/>
                <w:sz w:val="24"/>
                <w:szCs w:val="24"/>
                <w:shd w:val="nil" w:color="auto" w:fill="auto"/>
                <w:rtl w:val="0"/>
                <w:lang w:val="en-US"/>
              </w:rPr>
              <w:t>(+/- 10%: include your actual word count at the end of each section)</w:t>
            </w:r>
            <w:r>
              <w:rPr>
                <w:rStyle w:val="None"/>
                <w:rFonts w:ascii="Arial" w:cs="Arial" w:hAnsi="Arial" w:eastAsia="Arial"/>
                <w:sz w:val="24"/>
                <w:szCs w:val="24"/>
                <w:shd w:val="nil" w:color="auto" w:fill="auto"/>
              </w:rPr>
            </w:r>
          </w:p>
        </w:tc>
      </w:tr>
    </w:tbl>
    <w:p>
      <w:pPr>
        <w:pStyle w:val="Body A"/>
        <w:widowControl w:val="0"/>
        <w:spacing w:line="240" w:lineRule="auto"/>
        <w:ind w:left="108" w:hanging="108"/>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237"/>
        <w:jc w:val="both"/>
        <w:rPr>
          <w:rStyle w:val="None"/>
          <w:rFonts w:ascii="Arial" w:cs="Arial" w:hAnsi="Arial" w:eastAsia="Arial"/>
          <w:b w:val="1"/>
          <w:bCs w:val="1"/>
          <w:sz w:val="24"/>
          <w:szCs w:val="24"/>
        </w:rPr>
      </w:pPr>
      <w:r>
        <w:rPr>
          <w:rStyle w:val="None"/>
          <w:rFonts w:ascii="Arial" w:hAnsi="Arial"/>
          <w:b w:val="1"/>
          <w:bCs w:val="1"/>
          <w:outline w:val="0"/>
          <w:color w:val="000000"/>
          <w:sz w:val="24"/>
          <w:szCs w:val="24"/>
          <w:u w:color="000000"/>
          <w:rtl w:val="0"/>
          <w:lang w:val="de-DE"/>
          <w14:textFill>
            <w14:solidFill>
              <w14:srgbClr w14:val="000000"/>
            </w14:solidFill>
          </w14:textFill>
        </w:rPr>
        <w:t>ANSWER:</w:t>
      </w:r>
    </w:p>
    <w:p>
      <w:pPr>
        <w:pStyle w:val="Body A"/>
        <w:spacing w:after="0" w:line="240" w:lineRule="auto"/>
        <w:rPr>
          <w:rStyle w:val="None"/>
          <w:rFonts w:ascii="Times Roman" w:cs="Times Roman" w:hAnsi="Times Roman" w:eastAsia="Times Roman"/>
          <w:sz w:val="24"/>
          <w:szCs w:val="24"/>
          <w:u w:val="single"/>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The investigation relates to an allegation of fraud by false representation, fraud by abuse of position and making or supplying articles for use in frauds ( Fraud Act 2006, Section 2, Section 4 and Section 7).</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The suspect was an employee of a major bank and held the position of a cashier. They became friendly with an elderly customer whom they dealt with exclusively as the customer only spoke Welsh and they felt at ease with the employee and built up a relationship with her. On one occasion the customer attempted to withdraw a small amount of cash from their account. The customer</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s bank account book showed a balance of </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98,000.00. However, it was at the time they were informed there was actually a nil balance on the account.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At the time the customer requested the withdrawal, the suspect had retired from employment at the bank. It became evident through the investigation that the suspect had used a conventional typewriter to make the entries into the bank account book of the customer. The suspect was arrested and a search was conducted of the home address.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will be using the ERA reflective cycle </w:t>
      </w:r>
      <w:r>
        <w:rPr>
          <w:rStyle w:val="None"/>
          <w:rFonts w:ascii="Times Roman" w:hAnsi="Times Roman"/>
          <w:sz w:val="24"/>
          <w:szCs w:val="24"/>
          <w:rtl w:val="0"/>
        </w:rPr>
        <w:t>(Jasper, 2013)</w:t>
      </w:r>
      <w:r>
        <w:rPr>
          <w:rStyle w:val="None"/>
          <w:rFonts w:ascii="Times Roman" w:hAnsi="Times Roman"/>
          <w:sz w:val="24"/>
          <w:szCs w:val="24"/>
          <w:rtl w:val="0"/>
          <w:lang w:val="en-US"/>
        </w:rPr>
        <w:t xml:space="preserve"> which has three stages, Experience, Reflection and Action. One of the experiences I will be reflecting on is that the victim in this enquiry only spoke Welsh and I cannot speak or understand Welsh. As my knowledge and understanding of the complaint was limited due to communication I initially dealt with the victim with the aid of a family member. In the mean time I made enquiries to locate an officer within South Wales Police (SWP) who could assist me with the documentation and notes provided to me during the course of the investigation which were in Welsh.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 Welsh speaking officer was allocated to assist me with the documents which the victim provided, which were in Welsh. I considered and reflected on the documents to establish their relevance to the investigation so that I could make the necessary arrangements for them to be translated into English, for my benefit. This allowed me to make an informed decision on the investigation. I asked the Welsh speaking officer to write a report outlining the content of the documents which I decided were not relevant to the investigation. I asked the officer to sign a declaration outlining their level of Welsh speaking and that the documents were translated accurately into English, to the best of their ability.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 kept the documents for the duration of the investigation as with regular reviews they were considered again for their relevance, and they were also available to the prosecutor and the defence.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The examination of the documentation that was provided to me by the victim and family members, helped in assisting me to identify the suspect, such as notes provided to the victim during the relationship with the victim whilst the suspect was employed at the bank. This allowed me to discount anyone else who may have been involved and it was clear from the review of these notes that the suspect wanted to keep this from others, and their employer.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I made use of an analyst to assist me with a large number of bank accounts from the victim and suspect, together with forensic assistance in matching up the ribbon on a typewriter, that was used to make the entries into the victim</w:t>
      </w:r>
      <w:r>
        <w:rPr>
          <w:rStyle w:val="None"/>
          <w:rFonts w:ascii="Times Roman" w:hAnsi="Times Roman" w:hint="default"/>
          <w:sz w:val="24"/>
          <w:szCs w:val="24"/>
          <w:rtl w:val="0"/>
          <w:lang w:val="en-US"/>
        </w:rPr>
        <w:t>’</w:t>
      </w:r>
      <w:r>
        <w:rPr>
          <w:rStyle w:val="None"/>
          <w:rFonts w:ascii="Times Roman" w:hAnsi="Times Roman"/>
          <w:sz w:val="24"/>
          <w:szCs w:val="24"/>
          <w:rtl w:val="0"/>
          <w:lang w:val="en-US"/>
        </w:rPr>
        <w:t>s bank book. The use of the analyst assisted me in again confirming that the suspect was acting alone without her employer having any knowledge of her actions. The College of Policing (College of Policing, 2022</w:t>
      </w:r>
      <w:r>
        <w:rPr>
          <w:rStyle w:val="None"/>
          <w:rFonts w:ascii="Times Roman" w:hAnsi="Times Roman"/>
          <w:sz w:val="24"/>
          <w:szCs w:val="24"/>
          <w:rtl w:val="0"/>
        </w:rPr>
        <w:t>)</w:t>
      </w:r>
      <w:r>
        <w:rPr>
          <w:rStyle w:val="None"/>
          <w:rFonts w:ascii="Times Roman" w:hAnsi="Times Roman"/>
          <w:sz w:val="24"/>
          <w:szCs w:val="24"/>
          <w:rtl w:val="0"/>
          <w:lang w:val="en-US"/>
        </w:rPr>
        <w:t xml:space="preserve"> sets out some of the advantages of forensic analysis and specialist techniques;</w:t>
      </w:r>
    </w:p>
    <w:p>
      <w:pPr>
        <w:pStyle w:val="Body A"/>
        <w:spacing w:after="0" w:line="240" w:lineRule="auto"/>
        <w:rPr>
          <w:rStyle w:val="None"/>
          <w:rFonts w:ascii="Times Roman" w:cs="Times Roman" w:hAnsi="Times Roman" w:eastAsia="Times Roman"/>
          <w:sz w:val="24"/>
          <w:szCs w:val="24"/>
        </w:rPr>
      </w:pPr>
    </w:p>
    <w:p>
      <w:pPr>
        <w:pStyle w:val="Body A"/>
        <w:numPr>
          <w:ilvl w:val="0"/>
          <w:numId w:val="9"/>
        </w:numPr>
        <w:bidi w:val="0"/>
        <w:spacing w:after="0" w:line="240" w:lineRule="auto"/>
        <w:ind w:right="0"/>
        <w:jc w:val="left"/>
        <w:rPr>
          <w:rFonts w:ascii="Times Roman" w:hAnsi="Times Roman" w:hint="default"/>
          <w:sz w:val="24"/>
          <w:szCs w:val="24"/>
          <w:rtl w:val="0"/>
          <w:lang w:val="en-US"/>
        </w:rPr>
      </w:pPr>
      <w:r>
        <w:rPr>
          <w:rStyle w:val="None"/>
          <w:rFonts w:ascii="Times Roman" w:hAnsi="Times Roman" w:hint="default"/>
          <w:sz w:val="24"/>
          <w:szCs w:val="24"/>
          <w:rtl w:val="0"/>
          <w:lang w:val="en-US"/>
        </w:rPr>
        <w:t>‘</w:t>
      </w:r>
      <w:r>
        <w:rPr>
          <w:rStyle w:val="None"/>
          <w:rFonts w:ascii="Times Roman" w:hAnsi="Times Roman"/>
          <w:sz w:val="24"/>
          <w:szCs w:val="24"/>
          <w:rtl w:val="0"/>
          <w:lang w:val="en-US"/>
        </w:rPr>
        <w:t>Proves that the crime has been committed</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w:t>
      </w:r>
    </w:p>
    <w:p>
      <w:pPr>
        <w:pStyle w:val="Body A"/>
        <w:numPr>
          <w:ilvl w:val="0"/>
          <w:numId w:val="9"/>
        </w:numPr>
        <w:bidi w:val="0"/>
        <w:spacing w:after="0" w:line="240" w:lineRule="auto"/>
        <w:ind w:right="0"/>
        <w:jc w:val="left"/>
        <w:rPr>
          <w:rFonts w:ascii="Times Roman" w:hAnsi="Times Roman" w:hint="default"/>
          <w:sz w:val="24"/>
          <w:szCs w:val="24"/>
          <w:rtl w:val="0"/>
          <w:lang w:val="en-US"/>
        </w:rPr>
      </w:pPr>
      <w:r>
        <w:rPr>
          <w:rStyle w:val="None"/>
          <w:rFonts w:ascii="Times Roman" w:hAnsi="Times Roman" w:hint="default"/>
          <w:sz w:val="24"/>
          <w:szCs w:val="24"/>
          <w:rtl w:val="0"/>
          <w:lang w:val="en-US"/>
        </w:rPr>
        <w:t>‘</w:t>
      </w:r>
      <w:r>
        <w:rPr>
          <w:rStyle w:val="None"/>
          <w:rFonts w:ascii="Times Roman" w:hAnsi="Times Roman"/>
          <w:sz w:val="24"/>
          <w:szCs w:val="24"/>
          <w:rtl w:val="0"/>
          <w:lang w:val="en-US"/>
        </w:rPr>
        <w:t>Links a suspect with a crime</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w:t>
      </w:r>
    </w:p>
    <w:p>
      <w:pPr>
        <w:pStyle w:val="Body A"/>
        <w:numPr>
          <w:ilvl w:val="0"/>
          <w:numId w:val="9"/>
        </w:numPr>
        <w:bidi w:val="0"/>
        <w:spacing w:after="0" w:line="240" w:lineRule="auto"/>
        <w:ind w:right="0"/>
        <w:jc w:val="left"/>
        <w:rPr>
          <w:rFonts w:ascii="Times Roman" w:hAnsi="Times Roman" w:hint="default"/>
          <w:sz w:val="24"/>
          <w:szCs w:val="24"/>
          <w:rtl w:val="0"/>
          <w:lang w:val="en-US"/>
        </w:rPr>
      </w:pPr>
      <w:r>
        <w:rPr>
          <w:rStyle w:val="None"/>
          <w:rFonts w:ascii="Times Roman" w:hAnsi="Times Roman" w:hint="default"/>
          <w:sz w:val="24"/>
          <w:szCs w:val="24"/>
          <w:rtl w:val="0"/>
          <w:lang w:val="en-US"/>
        </w:rPr>
        <w:t>‘</w:t>
      </w:r>
      <w:r>
        <w:rPr>
          <w:rStyle w:val="None"/>
          <w:rFonts w:ascii="Times Roman" w:hAnsi="Times Roman"/>
          <w:sz w:val="24"/>
          <w:szCs w:val="24"/>
          <w:rtl w:val="0"/>
          <w:lang w:val="en-US"/>
        </w:rPr>
        <w:t>Corroborates or disproves witnesses accounts</w:t>
      </w:r>
      <w:r>
        <w:rPr>
          <w:rStyle w:val="None"/>
          <w:rFonts w:ascii="Times Roman" w:hAnsi="Times Roman" w:hint="default"/>
          <w:sz w:val="24"/>
          <w:szCs w:val="24"/>
          <w:rtl w:val="0"/>
          <w:lang w:val="en-US"/>
        </w:rPr>
        <w:t>’</w:t>
      </w:r>
      <w:r>
        <w:rPr>
          <w:rStyle w:val="None"/>
          <w:rFonts w:ascii="Times Roman" w:hAnsi="Times Roman"/>
          <w:sz w:val="24"/>
          <w:szCs w:val="24"/>
          <w:rtl w:val="0"/>
          <w:lang w:val="en-US"/>
        </w:rPr>
        <w:t>,</w:t>
      </w:r>
    </w:p>
    <w:p>
      <w:pPr>
        <w:pStyle w:val="Body A"/>
        <w:numPr>
          <w:ilvl w:val="0"/>
          <w:numId w:val="9"/>
        </w:numPr>
        <w:bidi w:val="0"/>
        <w:spacing w:after="0" w:line="240" w:lineRule="auto"/>
        <w:ind w:right="0"/>
        <w:jc w:val="left"/>
        <w:rPr>
          <w:rFonts w:ascii="Times Roman" w:hAnsi="Times Roman" w:hint="default"/>
          <w:sz w:val="24"/>
          <w:szCs w:val="24"/>
          <w:rtl w:val="0"/>
          <w:lang w:val="en-US"/>
        </w:rPr>
      </w:pPr>
      <w:r>
        <w:rPr>
          <w:rStyle w:val="None"/>
          <w:rFonts w:ascii="Times Roman" w:hAnsi="Times Roman" w:hint="default"/>
          <w:sz w:val="24"/>
          <w:szCs w:val="24"/>
          <w:rtl w:val="0"/>
          <w:lang w:val="en-US"/>
        </w:rPr>
        <w:t>‘</w:t>
      </w:r>
      <w:r>
        <w:rPr>
          <w:rStyle w:val="None"/>
          <w:rFonts w:ascii="Times Roman" w:hAnsi="Times Roman"/>
          <w:sz w:val="24"/>
          <w:szCs w:val="24"/>
          <w:rtl w:val="0"/>
          <w:lang w:val="en-US"/>
        </w:rPr>
        <w:t>Establishes the identity of the suspect, victim or witnesses</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The examination of the typewriter set out the uniqueness of that particular typewriter, </w:t>
      </w:r>
      <w:r>
        <w:rPr>
          <w:rStyle w:val="None"/>
          <w:rFonts w:ascii="Times Roman" w:hAnsi="Times Roman" w:hint="default"/>
          <w:sz w:val="24"/>
          <w:szCs w:val="24"/>
          <w:rtl w:val="0"/>
          <w:lang w:val="en-US"/>
        </w:rPr>
        <w:t>‘</w:t>
      </w:r>
      <w:r>
        <w:rPr>
          <w:rStyle w:val="None"/>
          <w:rFonts w:ascii="Times Roman" w:hAnsi="Times Roman"/>
          <w:sz w:val="24"/>
          <w:szCs w:val="24"/>
          <w:rtl w:val="0"/>
          <w:lang w:val="en-US"/>
        </w:rPr>
        <w:t>platen size and platen defects, lateral or vertical misalignment, and the uniformity of ribbon characteristics and pressure on the keys</w:t>
      </w:r>
      <w:r>
        <w:rPr>
          <w:rStyle w:val="None"/>
          <w:rFonts w:ascii="Times Roman" w:hAnsi="Times Roman" w:hint="default"/>
          <w:sz w:val="24"/>
          <w:szCs w:val="24"/>
          <w:rtl w:val="0"/>
          <w:lang w:val="en-US"/>
        </w:rPr>
        <w:t>’</w:t>
      </w:r>
      <w:r>
        <w:rPr>
          <w:rStyle w:val="None"/>
          <w:rFonts w:ascii="Times Roman" w:hAnsi="Times Roman"/>
          <w:sz w:val="24"/>
          <w:szCs w:val="24"/>
          <w:rtl w:val="0"/>
        </w:rPr>
        <w:t>.</w:t>
      </w:r>
      <w:r>
        <w:rPr>
          <w:rStyle w:val="None"/>
          <w:rFonts w:ascii="Times Roman" w:hAnsi="Times Roman"/>
          <w:sz w:val="24"/>
          <w:szCs w:val="24"/>
          <w:rtl w:val="0"/>
          <w:lang w:val="en-US"/>
        </w:rPr>
        <w:t xml:space="preserve"> </w:t>
      </w:r>
      <w:r>
        <w:rPr>
          <w:rStyle w:val="None"/>
          <w:rFonts w:ascii="Times Roman" w:hAnsi="Times Roman"/>
          <w:sz w:val="24"/>
          <w:szCs w:val="24"/>
          <w:rtl w:val="0"/>
        </w:rPr>
        <w:t>(www.ojp.gov, n.d.)</w:t>
      </w:r>
      <w:r>
        <w:rPr>
          <w:rStyle w:val="None"/>
          <w:rFonts w:ascii="Times Roman" w:hAnsi="Times Roman"/>
          <w:sz w:val="24"/>
          <w:szCs w:val="24"/>
          <w:rtl w:val="0"/>
          <w:lang w:val="en-US"/>
        </w:rPr>
        <w:t xml:space="preserve"> it is these uniquenesses that assisted in the overwhelming evidence that the suspect was the only one who committed these offences.</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outline w:val="0"/>
          <w:color w:val="000000"/>
          <w:sz w:val="24"/>
          <w:szCs w:val="24"/>
          <w:u w:color="000000"/>
          <w14:textFill>
            <w14:solidFill>
              <w14:srgbClr w14:val="000000"/>
            </w14:solidFill>
          </w14:textFill>
        </w:rPr>
      </w:pPr>
      <w:r>
        <w:rPr>
          <w:rStyle w:val="None"/>
          <w:rFonts w:ascii="Times Roman" w:hAnsi="Times Roman"/>
          <w:sz w:val="24"/>
          <w:szCs w:val="24"/>
          <w:rtl w:val="0"/>
          <w:lang w:val="en-US"/>
        </w:rPr>
        <w:t xml:space="preserve">All material was sized under section 8 Police and Criminal Evidence Act 1984 (PACE), as the conditions were met in that it was an indictable offence (cases that must be tried in a Crown Court),  that there is material on the premises that is likely to be of substantial value to the investigation and it does not consist of or include material subject to legal privilege, excluded material or special procedure material </w:t>
      </w:r>
      <w:r>
        <w:rPr>
          <w:rStyle w:val="None"/>
          <w:rFonts w:ascii="Times Roman" w:hAnsi="Times Roman"/>
          <w:sz w:val="24"/>
          <w:szCs w:val="24"/>
          <w:rtl w:val="0"/>
        </w:rPr>
        <w:t>(Legislation.gov.uk, 2013)</w:t>
      </w:r>
      <w:r>
        <w:rPr>
          <w:rStyle w:val="None"/>
          <w:rFonts w:ascii="Times Roman" w:hAnsi="Times Roman"/>
          <w:sz w:val="24"/>
          <w:szCs w:val="24"/>
          <w:rtl w:val="0"/>
          <w:lang w:val="en-US"/>
        </w:rPr>
        <w:t xml:space="preserve">. I also had the power under section 19 of PACE, general power of seizure, whilst on a premises. I made use of this power with regards to other offences. </w:t>
      </w:r>
      <w:r>
        <w:rPr>
          <w:rStyle w:val="None"/>
          <w:rFonts w:ascii="Times Roman" w:hAnsi="Times Roman" w:hint="default"/>
          <w:sz w:val="24"/>
          <w:szCs w:val="24"/>
          <w:rtl w:val="0"/>
          <w:lang w:val="en-US"/>
        </w:rPr>
        <w:t>‘</w:t>
      </w:r>
      <w:r>
        <w:rPr>
          <w:rStyle w:val="None"/>
          <w:rFonts w:ascii="Times Roman" w:hAnsi="Times Roman"/>
          <w:sz w:val="24"/>
          <w:szCs w:val="24"/>
          <w:rtl w:val="0"/>
          <w:lang w:val="en-US"/>
        </w:rPr>
        <w:t>A constable may seize anything which is on the premises if he has reasonable grounds for believing, that it has been obtained in consequence of the commission of an offence; and</w:t>
      </w:r>
    </w:p>
    <w:p>
      <w:pPr>
        <w:pStyle w:val="Default"/>
        <w:spacing w:before="0" w:line="240" w:lineRule="auto"/>
        <w:jc w:val="both"/>
        <w:rPr>
          <w:rStyle w:val="None"/>
          <w:rFonts w:ascii="Times Roman" w:cs="Times Roman" w:hAnsi="Times Roman" w:eastAsia="Times Roman"/>
          <w:outline w:val="0"/>
          <w:color w:val="292929"/>
          <w:u w:color="292929"/>
          <w:shd w:val="clear" w:color="auto" w:fill="ffffff"/>
          <w14:textFill>
            <w14:solidFill>
              <w14:srgbClr w14:val="292929"/>
            </w14:solidFill>
          </w14:textFill>
        </w:rPr>
      </w:pPr>
      <w:r>
        <w:rPr>
          <w:rStyle w:val="None"/>
          <w:rFonts w:ascii="Times Roman" w:hAnsi="Times Roman"/>
          <w:outline w:val="0"/>
          <w:color w:val="292929"/>
          <w:u w:color="292929"/>
          <w:shd w:val="clear" w:color="auto" w:fill="ffffff"/>
          <w:rtl w:val="0"/>
          <w:lang w:val="en-US"/>
          <w14:textFill>
            <w14:solidFill>
              <w14:srgbClr w14:val="292929"/>
            </w14:solidFill>
          </w14:textFill>
        </w:rPr>
        <w:t>that it is necessary to seize it in order to prevent it being concealed, lost, damaged, altered or destroyed</w:t>
      </w:r>
      <w:r>
        <w:rPr>
          <w:rStyle w:val="None"/>
          <w:rFonts w:ascii="Times Roman" w:hAnsi="Times Roman" w:hint="default"/>
          <w:outline w:val="0"/>
          <w:color w:val="292929"/>
          <w:u w:color="292929"/>
          <w:shd w:val="clear" w:color="auto" w:fill="ffffff"/>
          <w:rtl w:val="0"/>
          <w:lang w:val="en-US"/>
          <w14:textFill>
            <w14:solidFill>
              <w14:srgbClr w14:val="292929"/>
            </w14:solidFill>
          </w14:textFill>
        </w:rPr>
        <w:t>’</w:t>
      </w:r>
      <w:r>
        <w:rPr>
          <w:rStyle w:val="None"/>
          <w:rFonts w:ascii="Times Roman" w:hAnsi="Times Roman"/>
          <w:outline w:val="0"/>
          <w:color w:val="292929"/>
          <w:u w:color="292929"/>
          <w:shd w:val="clear" w:color="auto" w:fill="ffffff"/>
          <w:rtl w:val="0"/>
          <w:lang w:val="en-US"/>
          <w14:textFill>
            <w14:solidFill>
              <w14:srgbClr w14:val="292929"/>
            </w14:solidFill>
          </w14:textFill>
        </w:rPr>
        <w:t>. (legislation.gov.uk, 2013) PACE provided me with the powers and also set out the codes of practise in me exercising those powers. (Gov.uk, 1984)</w:t>
      </w:r>
    </w:p>
    <w:p>
      <w:pPr>
        <w:pStyle w:val="Default"/>
        <w:spacing w:before="0" w:line="240" w:lineRule="auto"/>
        <w:jc w:val="both"/>
        <w:rPr>
          <w:rStyle w:val="None"/>
          <w:rFonts w:ascii="Times Roman" w:cs="Times Roman" w:hAnsi="Times Roman" w:eastAsia="Times Roman"/>
          <w:outline w:val="0"/>
          <w:color w:val="292929"/>
          <w:u w:color="292929"/>
          <w:shd w:val="clear" w:color="auto" w:fill="ffffff"/>
          <w14:textFill>
            <w14:solidFill>
              <w14:srgbClr w14:val="292929"/>
            </w14:solidFill>
          </w14:textFill>
        </w:rPr>
      </w:pPr>
    </w:p>
    <w:p>
      <w:pPr>
        <w:pStyle w:val="Default"/>
        <w:spacing w:before="0" w:line="240" w:lineRule="auto"/>
        <w:jc w:val="both"/>
        <w:rPr>
          <w:rStyle w:val="None"/>
          <w:rFonts w:ascii="Times Roman" w:cs="Times Roman" w:hAnsi="Times Roman" w:eastAsia="Times Roman"/>
          <w:outline w:val="0"/>
          <w:color w:val="292929"/>
          <w:u w:color="292929"/>
          <w:shd w:val="clear" w:color="auto" w:fill="ffffff"/>
          <w14:textFill>
            <w14:solidFill>
              <w14:srgbClr w14:val="292929"/>
            </w14:solidFill>
          </w14:textFill>
        </w:rPr>
      </w:pPr>
      <w:r>
        <w:rPr>
          <w:rStyle w:val="None"/>
          <w:rFonts w:ascii="Times Roman" w:hAnsi="Times Roman"/>
          <w:outline w:val="0"/>
          <w:color w:val="292929"/>
          <w:u w:color="292929"/>
          <w:shd w:val="clear" w:color="auto" w:fill="ffffff"/>
          <w:rtl w:val="0"/>
          <w:lang w:val="en-US"/>
          <w14:textFill>
            <w14:solidFill>
              <w14:srgbClr w14:val="292929"/>
            </w14:solidFill>
          </w14:textFill>
        </w:rPr>
        <w:t xml:space="preserve">As a result of the seizure of material from the home address of the suspect I applied the principles of the Criminal Procedure and Investigations Act 1996, which sets the level and policy on how police investigate, together with the requirements in the retention of such items.  The codes of practise were applicable in this investigation, some of the items I was unsure off so as a result I included them on schedules and provided those to the prosecutor and sought their advice and guidance. </w:t>
      </w:r>
      <w:r>
        <w:rPr>
          <w:rStyle w:val="None"/>
          <w:rFonts w:ascii="Times Roman" w:hAnsi="Times Roman"/>
          <w:outline w:val="0"/>
          <w:color w:val="292929"/>
          <w:u w:color="292929"/>
          <w:shd w:val="clear" w:color="auto" w:fill="ffffff"/>
          <w:rtl w:val="0"/>
          <w:lang w:val="it-IT"/>
          <w14:textFill>
            <w14:solidFill>
              <w14:srgbClr w14:val="292929"/>
            </w14:solidFill>
          </w14:textFill>
        </w:rPr>
        <w:t>(Gov.uk, 1996)</w:t>
      </w:r>
      <w:r>
        <w:rPr>
          <w:rStyle w:val="None"/>
          <w:rFonts w:ascii="Times Roman" w:hAnsi="Times Roman"/>
          <w:outline w:val="0"/>
          <w:color w:val="292929"/>
          <w:u w:color="292929"/>
          <w:shd w:val="clear" w:color="auto" w:fill="ffffff"/>
          <w:rtl w:val="0"/>
          <w:lang w:val="en-US"/>
          <w14:textFill>
            <w14:solidFill>
              <w14:srgbClr w14:val="292929"/>
            </w14:solidFill>
          </w14:textFill>
        </w:rPr>
        <w:t xml:space="preserve">. </w:t>
      </w:r>
      <w:r>
        <w:rPr>
          <w:rStyle w:val="None"/>
          <w:rFonts w:ascii="Times Roman" w:hAnsi="Times Roman" w:hint="default"/>
          <w:outline w:val="0"/>
          <w:color w:val="292929"/>
          <w:u w:color="292929"/>
          <w:shd w:val="clear" w:color="auto" w:fill="ffffff"/>
          <w:rtl w:val="0"/>
          <w:lang w:val="en-US"/>
          <w14:textFill>
            <w14:solidFill>
              <w14:srgbClr w14:val="292929"/>
            </w14:solidFill>
          </w14:textFill>
        </w:rPr>
        <w:t>‘</w:t>
      </w:r>
      <w:r>
        <w:rPr>
          <w:rStyle w:val="None"/>
          <w:rFonts w:ascii="Times Roman" w:hAnsi="Times Roman"/>
          <w:outline w:val="0"/>
          <w:color w:val="292929"/>
          <w:u w:color="292929"/>
          <w:shd w:val="clear" w:color="auto" w:fill="ffffff"/>
          <w:rtl w:val="0"/>
          <w:lang w:val="en-US"/>
          <w14:textFill>
            <w14:solidFill>
              <w14:srgbClr w14:val="292929"/>
            </w14:solidFill>
          </w14:textFill>
        </w:rPr>
        <w:t>The aim of a review is to constructively evaluate the conduct of a particular investigation</w:t>
      </w:r>
      <w:r>
        <w:rPr>
          <w:rStyle w:val="None"/>
          <w:rFonts w:ascii="Times Roman" w:hAnsi="Times Roman" w:hint="default"/>
          <w:outline w:val="0"/>
          <w:color w:val="292929"/>
          <w:u w:color="292929"/>
          <w:shd w:val="clear" w:color="auto" w:fill="ffffff"/>
          <w:rtl w:val="0"/>
          <w:lang w:val="en-US"/>
          <w14:textFill>
            <w14:solidFill>
              <w14:srgbClr w14:val="292929"/>
            </w14:solidFill>
          </w14:textFill>
        </w:rPr>
        <w:t xml:space="preserve">’ </w:t>
      </w:r>
      <w:r>
        <w:rPr>
          <w:rStyle w:val="None"/>
          <w:rFonts w:ascii="Times Roman" w:hAnsi="Times Roman"/>
          <w:outline w:val="0"/>
          <w:color w:val="292929"/>
          <w:u w:color="292929"/>
          <w:shd w:val="clear" w:color="auto" w:fill="ffffff"/>
          <w:rtl w:val="0"/>
          <w:lang w:val="en-US"/>
          <w14:textFill>
            <w14:solidFill>
              <w14:srgbClr w14:val="292929"/>
            </w14:solidFill>
          </w14:textFill>
        </w:rPr>
        <w:t>(Nicol et al., n.d.). This was applicable in me reviewing each document and to evaluate its worth to the investigation as all the documents obtained were retained for the disclosure process. I then gave consideration to the case management and also engagement with the Crown Prosecution Service (CPS).</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hint="default"/>
          <w:sz w:val="24"/>
          <w:szCs w:val="24"/>
          <w:rtl w:val="0"/>
          <w:lang w:val="en-US"/>
        </w:rPr>
        <w:t>‘</w:t>
      </w:r>
      <w:r>
        <w:rPr>
          <w:rStyle w:val="None"/>
          <w:rFonts w:ascii="Times Roman" w:hAnsi="Times Roman"/>
          <w:sz w:val="24"/>
          <w:szCs w:val="24"/>
          <w:rtl w:val="0"/>
          <w:lang w:val="en-US"/>
        </w:rPr>
        <w:t>Case management allows the prosecution and police to work together in the criminal justice system</w:t>
      </w:r>
      <w:r>
        <w:rPr>
          <w:rStyle w:val="None"/>
          <w:rFonts w:ascii="Times Roman" w:hAnsi="Times Roman" w:hint="default"/>
          <w:sz w:val="24"/>
          <w:szCs w:val="24"/>
          <w:rtl w:val="0"/>
          <w:lang w:val="en-US"/>
        </w:rPr>
        <w:t xml:space="preserve">’ </w:t>
      </w:r>
      <w:r>
        <w:rPr>
          <w:rStyle w:val="None"/>
          <w:rFonts w:ascii="Times Roman" w:hAnsi="Times Roman"/>
          <w:sz w:val="24"/>
          <w:szCs w:val="24"/>
          <w:rtl w:val="0"/>
          <w:lang w:val="en-US"/>
        </w:rPr>
        <w:t>(College of Policing, n.d), and this allowed me to seek pre-charge advice from the CPS. As a result of the pre-charge advice further lines of enquiry were identified to assist the prosecutor in the decision making with regards to a charge in the case. I sought early investigative advice from the prosecutor, I did not use CPS direct as this was a case that was being dealt with by CPS complex case, as this allowed me to concentrate on key elements in the investigation and not to delay the investigation unnecessarily as the victim in the case was approaching 100 years of age. As a result of that advice from the prosecutor I began to construct a file of evidence. I was guided by the national disclosure standards, and the Attorney General guidelines on disclosure came into effect in December 2020. (Attorney General</w:t>
      </w:r>
      <w:r>
        <w:rPr>
          <w:rStyle w:val="None"/>
          <w:rFonts w:ascii="Arial Unicode MS" w:hAnsi="Arial Unicode MS" w:hint="default"/>
          <w:sz w:val="24"/>
          <w:szCs w:val="24"/>
          <w:rtl w:val="1"/>
        </w:rPr>
        <w:t>’</w:t>
      </w:r>
      <w:r>
        <w:rPr>
          <w:rStyle w:val="None"/>
          <w:rFonts w:ascii="Times Roman" w:hAnsi="Times Roman"/>
          <w:sz w:val="24"/>
          <w:szCs w:val="24"/>
          <w:rtl w:val="0"/>
          <w:lang w:val="en-US"/>
        </w:rPr>
        <w:t xml:space="preserve">s Guidelines on Disclosure 2020, n.d.) this sets out the principles that are to be followed in criminal cases with regards to disclosure.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The national disclosure standards sets out the requirement in completion of the MG6 schedules and the streamline disclosure certificate. The standards also set out my obligation as an investigator to continue the duty of disclosure under CPIA. (Relevant, Retain, Record, Review, Respond &amp; Reveal). </w:t>
      </w:r>
      <w:r>
        <w:rPr>
          <w:rStyle w:val="None"/>
          <w:rFonts w:ascii="Times Roman" w:hAnsi="Times Roman"/>
          <w:sz w:val="24"/>
          <w:szCs w:val="24"/>
          <w:rtl w:val="0"/>
        </w:rPr>
        <w:t>(www.cps.gov.uk, n.d.)</w:t>
      </w:r>
      <w:r>
        <w:rPr>
          <w:rStyle w:val="None"/>
          <w:rFonts w:ascii="Times Roman" w:hAnsi="Times Roman"/>
          <w:sz w:val="24"/>
          <w:szCs w:val="24"/>
          <w:rtl w:val="0"/>
          <w:lang w:val="en-US"/>
        </w:rPr>
        <w:t xml:space="preserve">. The schedules allowed me to list all relevant material associated with the investigation, non-sensitive (MG6C) and sensitive material (MG6D).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I was then at a stage where I considered the full code test, which has two stages (1) the evidential test and (2) the public interest test. The evidential test was satisfied and in consultation with the CPS the public interest test was also met. (College of Policing, n.d.)</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As per CPIA, the defendant was charged with an indictable offence and I completed the disclosure schedules for submission to the prosecutor, which were signed and dated by me. This was submitted together with the MG6E, </w:t>
      </w:r>
      <w:r>
        <w:rPr>
          <w:rStyle w:val="None"/>
          <w:rFonts w:ascii="Times Roman" w:hAnsi="Times Roman" w:hint="default"/>
          <w:sz w:val="24"/>
          <w:szCs w:val="24"/>
          <w:rtl w:val="0"/>
          <w:lang w:val="en-US"/>
        </w:rPr>
        <w:t>‘</w:t>
      </w:r>
      <w:r>
        <w:rPr>
          <w:rStyle w:val="None"/>
          <w:rFonts w:ascii="Times Roman" w:hAnsi="Times Roman"/>
          <w:sz w:val="24"/>
          <w:szCs w:val="24"/>
          <w:rtl w:val="0"/>
          <w:lang w:val="en-US"/>
        </w:rPr>
        <w:t>The disclosure officer should use the MG6E to bring to the prosecutor's attention any material that could reasonably be considered capable of undermining the prosecution case against the accused or of assisting the case for the accused</w:t>
      </w:r>
      <w:r>
        <w:rPr>
          <w:rStyle w:val="None"/>
          <w:rFonts w:ascii="Times Roman" w:hAnsi="Times Roman" w:hint="default"/>
          <w:sz w:val="24"/>
          <w:szCs w:val="24"/>
          <w:rtl w:val="0"/>
          <w:lang w:val="en-US"/>
        </w:rPr>
        <w:t>’</w:t>
      </w:r>
      <w:r>
        <w:rPr>
          <w:rStyle w:val="None"/>
          <w:rFonts w:ascii="Times Roman" w:hAnsi="Times Roman"/>
          <w:sz w:val="24"/>
          <w:szCs w:val="24"/>
          <w:rtl w:val="0"/>
        </w:rPr>
        <w:t>(www.cps.gov.uk, n.d.)</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Upon conviction of the defendant, I gave consideration to confiscation proceedings, but prior to this whilst the criminal investigation was proceeding, I began the process of identifying assets I could attribute to the defendant. I did this with the intention of restraint under the Proceeds of Crime Act 2002 (</w:t>
      </w:r>
      <w:r>
        <w:rPr>
          <w:rStyle w:val="None"/>
          <w:rFonts w:ascii="Times Roman" w:hAnsi="Times Roman"/>
          <w:sz w:val="24"/>
          <w:szCs w:val="24"/>
          <w:rtl w:val="0"/>
        </w:rPr>
        <w:t>(Legislation.gov.uk, 2015)</w:t>
      </w:r>
      <w:r>
        <w:rPr>
          <w:rStyle w:val="None"/>
          <w:rFonts w:ascii="Times Roman" w:hAnsi="Times Roman"/>
          <w:sz w:val="24"/>
          <w:szCs w:val="24"/>
          <w:rtl w:val="0"/>
          <w:lang w:val="en-US"/>
        </w:rPr>
        <w:t xml:space="preserve">. </w:t>
      </w:r>
      <w:r>
        <w:rPr>
          <w:rStyle w:val="None"/>
          <w:rFonts w:ascii="Times Roman" w:hAnsi="Times Roman" w:hint="default"/>
          <w:sz w:val="24"/>
          <w:szCs w:val="24"/>
          <w:rtl w:val="0"/>
          <w:lang w:val="en-US"/>
        </w:rPr>
        <w:t>‘</w:t>
      </w:r>
      <w:r>
        <w:rPr>
          <w:rStyle w:val="None"/>
          <w:rFonts w:ascii="Times Roman" w:hAnsi="Times Roman"/>
          <w:sz w:val="24"/>
          <w:szCs w:val="24"/>
          <w:rtl w:val="0"/>
          <w:lang w:val="en-US"/>
        </w:rPr>
        <w:t>Confiscation proceedings are orders made against a defendant and orders them to pay the amount calculated to have benefited from their crime</w:t>
      </w:r>
      <w:r>
        <w:rPr>
          <w:rStyle w:val="None"/>
          <w:rFonts w:ascii="Times Roman" w:hAnsi="Times Roman" w:hint="default"/>
          <w:sz w:val="24"/>
          <w:szCs w:val="24"/>
          <w:rtl w:val="0"/>
          <w:lang w:val="en-US"/>
        </w:rPr>
        <w:t xml:space="preserve">’ </w:t>
      </w:r>
      <w:r>
        <w:rPr>
          <w:rStyle w:val="None"/>
          <w:rFonts w:ascii="Times Roman" w:hAnsi="Times Roman"/>
          <w:sz w:val="24"/>
          <w:szCs w:val="24"/>
          <w:rtl w:val="0"/>
        </w:rPr>
        <w:t>(www.cps.gov.uk, n.d.)</w:t>
      </w:r>
      <w:r>
        <w:rPr>
          <w:rStyle w:val="None"/>
          <w:rFonts w:ascii="Times Roman" w:hAnsi="Times Roman"/>
          <w:sz w:val="24"/>
          <w:szCs w:val="24"/>
          <w:rtl w:val="0"/>
          <w:lang w:val="en-US"/>
        </w:rPr>
        <w:t>.  None were identified, as the home address was registered in the name of the suspect</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s partner. A benefit figure was calculated but there were no assets to satisfy the order and in light of that a nominal </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1 order was made against the defendant. This allowed me to revisit the confiscation order in the future.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On reflection of the investigation, resources were an issue, as I was the investigative officer, exhibits officer, interviewing officer and disclosure officer. Having said that, this is a force issue in specialist departments, and the organisation only has a finite amount of resources. Having another officer to assist would have been beneficial in the sense of getting the enquiry completed much quicker as my victim was very elderly. I also took steps in being able to just greet my victim in their first language of Welsh. According to, </w:t>
      </w:r>
      <w:r>
        <w:rPr>
          <w:rStyle w:val="None"/>
          <w:rFonts w:ascii="Times Roman" w:hAnsi="Times Roman"/>
          <w:sz w:val="24"/>
          <w:szCs w:val="24"/>
          <w:rtl w:val="0"/>
        </w:rPr>
        <w:t>(UniversalClass.com, n.d.)</w:t>
      </w:r>
      <w:r>
        <w:rPr>
          <w:rStyle w:val="None"/>
          <w:rFonts w:ascii="Times Roman" w:hAnsi="Times Roman"/>
          <w:sz w:val="24"/>
          <w:szCs w:val="24"/>
          <w:rtl w:val="0"/>
          <w:lang w:val="en-US"/>
        </w:rPr>
        <w:t xml:space="preserve">, </w:t>
      </w:r>
      <w:r>
        <w:rPr>
          <w:rStyle w:val="None"/>
          <w:rFonts w:ascii="Times Roman" w:hAnsi="Times Roman" w:hint="default"/>
          <w:sz w:val="24"/>
          <w:szCs w:val="24"/>
          <w:rtl w:val="0"/>
          <w:lang w:val="en-US"/>
        </w:rPr>
        <w:t>‘</w:t>
      </w:r>
      <w:r>
        <w:rPr>
          <w:rStyle w:val="None"/>
          <w:rFonts w:ascii="Times Roman" w:hAnsi="Times Roman"/>
          <w:sz w:val="24"/>
          <w:szCs w:val="24"/>
          <w:rtl w:val="0"/>
          <w:lang w:val="en-US"/>
        </w:rPr>
        <w:t>Every greeting and introduction is an opportunity to demonstrate respect for others and to create a favourable impression of yourself to others</w:t>
      </w:r>
      <w:r>
        <w:rPr>
          <w:rStyle w:val="None"/>
          <w:rFonts w:ascii="Times Roman" w:hAnsi="Times Roman" w:hint="default"/>
          <w:sz w:val="24"/>
          <w:szCs w:val="24"/>
          <w:rtl w:val="0"/>
          <w:lang w:val="en-US"/>
        </w:rPr>
        <w:t>’</w:t>
      </w:r>
      <w:r>
        <w:rPr>
          <w:rStyle w:val="None"/>
          <w:rFonts w:ascii="Times Roman" w:hAnsi="Times Roman"/>
          <w:sz w:val="24"/>
          <w:szCs w:val="24"/>
          <w:rtl w:val="0"/>
          <w:lang w:val="en-US"/>
        </w:rPr>
        <w:t xml:space="preserve">. The (British Council, 2015), also confirms that </w:t>
      </w:r>
      <w:r>
        <w:rPr>
          <w:rStyle w:val="None"/>
          <w:rFonts w:ascii="Times Roman" w:hAnsi="Times Roman" w:hint="default"/>
          <w:sz w:val="24"/>
          <w:szCs w:val="24"/>
          <w:rtl w:val="0"/>
          <w:lang w:val="en-US"/>
        </w:rPr>
        <w:t>‘</w:t>
      </w:r>
      <w:r>
        <w:rPr>
          <w:rStyle w:val="None"/>
          <w:rFonts w:ascii="Times Roman" w:hAnsi="Times Roman"/>
          <w:sz w:val="24"/>
          <w:szCs w:val="24"/>
          <w:rtl w:val="0"/>
          <w:lang w:val="en-US"/>
        </w:rPr>
        <w:t>learning another language if of great benefit to a person</w:t>
      </w:r>
      <w:r>
        <w:rPr>
          <w:rStyle w:val="None"/>
          <w:rFonts w:ascii="Times Roman" w:hAnsi="Times Roman" w:hint="default"/>
          <w:sz w:val="24"/>
          <w:szCs w:val="24"/>
          <w:rtl w:val="0"/>
          <w:lang w:val="en-US"/>
        </w:rPr>
        <w:t>’</w:t>
      </w:r>
      <w:r>
        <w:rPr>
          <w:rStyle w:val="None"/>
          <w:rFonts w:ascii="Times Roman" w:hAnsi="Times Roman"/>
          <w:sz w:val="24"/>
          <w:szCs w:val="24"/>
          <w:rtl w:val="0"/>
          <w:lang w:val="en-US"/>
        </w:rPr>
        <w:t>, let alone to the person you are communicating with.</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Also after consideration and reflection if I had submitted the typewriter much earlier in the investigation and also engaged with the analyst earlier, this would have cut down on the amount of times I interviewed the suspect.</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Also of benefit was the Welsh speaking officer. Once I had secured his support on the enquiry I engaged with him throughout the investigation. The victim was comfortable when liaising with the Welsh speaking officer and I saw that they had a good rapport together. Another benefit was that the documents and notes were translated into English more quickly than if I had used external translation services.</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In conclusion a conviction was achieved and the victim was fully compensated by the bank. </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Times Roman" w:cs="Times Roman" w:hAnsi="Times Roman" w:eastAsia="Times Roman"/>
          <w:sz w:val="24"/>
          <w:szCs w:val="24"/>
        </w:rPr>
      </w:pPr>
      <w:r>
        <w:rPr>
          <w:rStyle w:val="None"/>
          <w:rFonts w:ascii="Times Roman" w:hAnsi="Times Roman"/>
          <w:sz w:val="24"/>
          <w:szCs w:val="24"/>
          <w:rtl w:val="0"/>
          <w:lang w:val="en-US"/>
        </w:rPr>
        <w:t xml:space="preserve"> (Word Count 1806)</w:t>
      </w: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r>
        <w:rPr>
          <w:rStyle w:val="None"/>
          <w:rFonts w:ascii="Times Roman" w:hAnsi="Times Roman"/>
          <w:outline w:val="0"/>
          <w:color w:val="2c3e50"/>
          <w:sz w:val="24"/>
          <w:szCs w:val="24"/>
          <w:u w:val="single" w:color="2c3e50"/>
          <w:rtl w:val="0"/>
          <w:lang w:val="en-US"/>
          <w14:textFill>
            <w14:solidFill>
              <w14:srgbClr w14:val="2C3E50"/>
            </w14:solidFill>
          </w14:textFill>
        </w:rPr>
        <w:t>References</w:t>
      </w: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Forensics. [online] Available at: https://www.college.police.uk/app/investigation/forensics. [Accessed 08/05/2022]</w:t>
      </w: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British Council (2015). Three surprising benefits of learning a new language. YouTube. Available at: https://www.youtube.com/watch?v=nQJ8HPrFkSI [Accessed 14 Mar. 2021].</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Prosecution and case management. [online] Available at: https://www.college.police.uk/app/prosecution-and-case-management [Accessed 01/05/</w:t>
      </w:r>
      <w:r>
        <w:rPr>
          <w:rStyle w:val="None"/>
          <w:rFonts w:ascii="Times Roman" w:hAnsi="Times Roman"/>
          <w:outline w:val="0"/>
          <w:color w:val="2c3e50"/>
          <w:u w:color="2c3e50"/>
          <w:shd w:val="clear" w:color="auto" w:fill="ffffff"/>
          <w:rtl w:val="0"/>
          <w:lang w:val="pt-PT"/>
          <w14:textFill>
            <w14:solidFill>
              <w14:srgbClr w14:val="2C3E50"/>
            </w14:solidFill>
          </w14:textFill>
        </w:rPr>
        <w:t>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Charging and case preparation. [online] Available at: https://www.college.police.uk/app/prosecution-and-case-management/charging-and-case-preparation#pre-charge-referral-to-the-cps [Accessed 4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Proceeds of Crime | The Crown Prosecution Service. [online] Available at: https://www.cps.gov.uk/legal-guidance/proceeds-crime. [Accessed 05/05/2022]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Disclosure Manual: Chapter 10 - The Disclosure Officer</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s Report | The Crown Prosecution Service. [online] Available at: https://www.cps.gov.uk/legal-guidance/disclosure-manual-chapter-10-disclosure-officers-report. [Accessed 05/05/2022]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Confiscation and Ancillary Orders pre-POCA: Proceeds of Crime Guidance | The Crown Prosecution Service. [online] Available at: https://www.cps.gov.uk/legal-guidance/confiscation-and-ancillary-orders-pre-poca-proceeds-crime-guidance [Accessed 6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"https://www.legislation.gov.uk/ukpga/2006/35/section/2"</w:instrText>
      </w:r>
      <w:r>
        <w:rPr>
          <w:rStyle w:val="Hyperlink.11"/>
        </w:rPr>
        <w:fldChar w:fldCharType="separate" w:fldLock="0"/>
      </w:r>
      <w:r>
        <w:rPr>
          <w:rStyle w:val="Hyperlink.11"/>
          <w:rtl w:val="0"/>
          <w:lang w:val="en-US"/>
        </w:rPr>
        <w:t>https://www.legislation.gov.uk/ukpga/2006/35/section/2</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"https://www.legislation.gov.uk/ukpga/2006/35/section/4"</w:instrText>
      </w:r>
      <w:r>
        <w:rPr>
          <w:rStyle w:val="Hyperlink.11"/>
        </w:rPr>
        <w:fldChar w:fldCharType="separate" w:fldLock="0"/>
      </w:r>
      <w:r>
        <w:rPr>
          <w:rStyle w:val="Hyperlink.11"/>
          <w:rtl w:val="0"/>
          <w:lang w:val="en-US"/>
        </w:rPr>
        <w:t>https://www.legislation.gov.uk/ukpga/2006/35/section/4</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"https://www.legislation.gov.uk/ukpga/2006/35/section/7"</w:instrText>
      </w:r>
      <w:r>
        <w:rPr>
          <w:rStyle w:val="Hyperlink.11"/>
        </w:rPr>
        <w:fldChar w:fldCharType="separate" w:fldLock="0"/>
      </w:r>
      <w:r>
        <w:rPr>
          <w:rStyle w:val="Hyperlink.11"/>
          <w:rtl w:val="0"/>
          <w:lang w:val="en-US"/>
        </w:rPr>
        <w:t>https://www.legislation.gov.uk/ukpga/2006/35/section/7</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"https://libguides.cam.ac.uk/reflectivepracticetoolkit/models"</w:instrText>
      </w:r>
      <w:r>
        <w:rPr>
          <w:rStyle w:val="Hyperlink.11"/>
        </w:rPr>
        <w:fldChar w:fldCharType="separate" w:fldLock="0"/>
      </w:r>
      <w:r>
        <w:rPr>
          <w:rStyle w:val="Hyperlink.11"/>
          <w:rtl w:val="0"/>
          <w:lang w:val="en-US"/>
        </w:rPr>
        <w:t>https://libguides.cam.ac.uk/reflectivepracticetoolkit/models</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(2013). Police and Criminal Evidence Act 1984. [online] Available at: https://www.legislation.gov.uk/ukpga/1984/60/section/8.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(2013). Police and Criminal Evidence Act 1984 Section 19. [online] Legislation.gov.uk. Available at: https://www.legislation.gov.uk/ukpga/1984/60/section/19.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(2015). Proceeds of Crime Act 2002. [online] Available at: https://www.legislation.gov.uk/ukpga/2002/29/part/2/crossheading/restraint-orders [Accessed 5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www.ojp.gov. (n.d.). Identification of Typewritten Documents | Office of Justice Programs. [online] Available at: https://www.ojp.gov/ncjrs/virtual-library/abstracts/identification-typewritten-documents [Accessed 8 May 2022].</w:t>
      </w:r>
    </w:p>
    <w:p>
      <w:pPr>
        <w:pStyle w:val="Default"/>
        <w:bidi w:val="1"/>
        <w:spacing w:before="0" w:after="320" w:line="240" w:lineRule="auto"/>
        <w:ind w:left="0" w:right="0" w:firstLine="0"/>
        <w:jc w:val="right"/>
        <w:rPr>
          <w:rStyle w:val="None"/>
          <w:rFonts w:ascii="Times Roman" w:cs="Times Roman" w:hAnsi="Times Roman" w:eastAsia="Times Roman"/>
          <w:outline w:val="0"/>
          <w:color w:val="2c3e50"/>
          <w:sz w:val="32"/>
          <w:szCs w:val="32"/>
          <w:u w:color="2c3e50"/>
          <w:shd w:val="clear" w:color="auto" w:fill="ffffff"/>
          <w:rtl w:val="1"/>
          <w14:textFill>
            <w14:solidFill>
              <w14:srgbClr w14:val="2C3E50"/>
            </w14:solidFill>
          </w14:textFill>
        </w:rPr>
      </w:pPr>
      <w:r>
        <w:rPr>
          <w:rStyle w:val="None"/>
          <w:rFonts w:ascii="Arial Unicode MS" w:hAnsi="Arial Unicode MS" w:hint="default"/>
          <w:outline w:val="0"/>
          <w:color w:val="2c3e50"/>
          <w:sz w:val="32"/>
          <w:szCs w:val="32"/>
          <w:u w:color="2c3e50"/>
          <w:shd w:val="clear" w:color="auto" w:fill="ffffff"/>
          <w:rtl w:val="0"/>
          <w:lang w:val="en-US"/>
          <w14:textFill>
            <w14:solidFill>
              <w14:srgbClr w14:val="2C3E50"/>
            </w14:solidFill>
          </w14:textFill>
        </w:rPr>
        <w:t>‌</w:t>
      </w: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Gov.uk (1996). Criminal Procedure and Investigations Act 1996. [online] www.legislation.gov.uk. Available at: https://www.legislation.gov.uk/ukpga/1996/25/contents.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Gov.uk (1984). Police and Criminal Evidence Act 1984. [online] Legislation.gov.uk. Available at: </w:t>
      </w:r>
      <w:r>
        <w:rPr>
          <w:rStyle w:val="Hyperlink.6"/>
        </w:rPr>
        <w:fldChar w:fldCharType="begin" w:fldLock="0"/>
      </w:r>
      <w:r>
        <w:rPr>
          <w:rStyle w:val="Hyperlink.6"/>
        </w:rPr>
        <w:instrText xml:space="preserve"> HYPERLINK "https://www.legislation.gov.uk/ukpga/1984/60/contents.%255B"</w:instrText>
      </w:r>
      <w:r>
        <w:rPr>
          <w:rStyle w:val="Hyperlink.6"/>
        </w:rPr>
        <w:fldChar w:fldCharType="separate" w:fldLock="0"/>
      </w:r>
      <w:r>
        <w:rPr>
          <w:rStyle w:val="Hyperlink.6"/>
          <w:rtl w:val="0"/>
          <w:lang w:val="en-US"/>
        </w:rPr>
        <w:t>https://www.legislation.gov.uk/ukpga/1984/60/contents.[</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Nicol, C., Innes, M., Gee, D. and Feist, A. (n.d.). Reviewing murder investigations: an analysis of progress reviews from six police forces. [online] Available at: https://www.politieacademie.nl/kennisenonderzoek/kennis/mediatheek/PDF/4106.pdf.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www.cps.gov.uk. (n.d.). Disclosure | The Crown Prosecution Service. [online] Available at: </w:t>
      </w:r>
      <w:r>
        <w:rPr>
          <w:rStyle w:val="Hyperlink.6"/>
        </w:rPr>
        <w:fldChar w:fldCharType="begin" w:fldLock="0"/>
      </w:r>
      <w:r>
        <w:rPr>
          <w:rStyle w:val="Hyperlink.6"/>
        </w:rPr>
        <w:instrText xml:space="preserve"> HYPERLINK "https://www.cps.gov.uk/about-cps/disclosure.%255B"</w:instrText>
      </w:r>
      <w:r>
        <w:rPr>
          <w:rStyle w:val="Hyperlink.6"/>
        </w:rPr>
        <w:fldChar w:fldCharType="separate" w:fldLock="0"/>
      </w:r>
      <w:r>
        <w:rPr>
          <w:rStyle w:val="Hyperlink.6"/>
          <w:rtl w:val="0"/>
          <w:lang w:val="en-US"/>
        </w:rPr>
        <w:t>https://www.cps.gov.uk/about-cps/disclosure.[</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Charging and case preparation. [online] Available at: https://www.college.police.uk/app/prosecution-and-case-management/charging-and-case-preparation.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Hyperlink.6"/>
        </w:rPr>
        <w:fldChar w:fldCharType="begin" w:fldLock="0"/>
      </w:r>
      <w:r>
        <w:rPr>
          <w:rStyle w:val="Hyperlink.6"/>
        </w:rPr>
        <w:instrText xml:space="preserve"> HYPERLINK "https://www.gov.uk/government/publications/attorney-generals-guidelines-on-disclosure-2020"</w:instrText>
      </w:r>
      <w:r>
        <w:rPr>
          <w:rStyle w:val="Hyperlink.6"/>
        </w:rPr>
        <w:fldChar w:fldCharType="separate" w:fldLock="0"/>
      </w:r>
      <w:r>
        <w:rPr>
          <w:rStyle w:val="Hyperlink.6"/>
          <w:rtl w:val="0"/>
          <w:lang w:val="en-US"/>
        </w:rPr>
        <w:t>https://www.gov.uk/government/publications/attorney-generals-guidelines-on-disclosure-2020</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Attorney General</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s Guidelines on Disclosure 2020. (n.d.). GOV.UK. https:</w:t>
      </w:r>
      <w:r>
        <w:rPr>
          <w:rStyle w:val="Hyperlink.6"/>
        </w:rPr>
        <w:fldChar w:fldCharType="begin" w:fldLock="0"/>
      </w:r>
      <w:r>
        <w:rPr>
          <w:rStyle w:val="Hyperlink.6"/>
        </w:rPr>
        <w:instrText xml:space="preserve"> HYPERLINK "http://www.gov.ukgovernment"</w:instrText>
      </w:r>
      <w:r>
        <w:rPr>
          <w:rStyle w:val="Hyperlink.6"/>
        </w:rPr>
        <w:fldChar w:fldCharType="separate" w:fldLock="0"/>
      </w:r>
      <w:r>
        <w:rPr>
          <w:rStyle w:val="Hyperlink.6"/>
          <w:rtl w:val="0"/>
          <w:lang w:val="en-US"/>
        </w:rPr>
        <w:t>www.gov.ukgovernment</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publications/attorney-generals-guidelines-on-disclosure-2020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UniversalClass.com. (n.d.). The Etiquette Involved in Greetings and Introduction to Know as an Etiquette Consultant. [online] Available at: </w:t>
      </w:r>
      <w:r>
        <w:rPr>
          <w:rStyle w:val="Hyperlink.6"/>
        </w:rPr>
        <w:fldChar w:fldCharType="begin" w:fldLock="0"/>
      </w:r>
      <w:r>
        <w:rPr>
          <w:rStyle w:val="Hyperlink.6"/>
        </w:rPr>
        <w:instrText xml:space="preserve"> HYPERLINK "https://www.universalclass.com/articles/business"</w:instrText>
      </w:r>
      <w:r>
        <w:rPr>
          <w:rStyle w:val="Hyperlink.6"/>
        </w:rPr>
        <w:fldChar w:fldCharType="separate" w:fldLock="0"/>
      </w:r>
      <w:r>
        <w:rPr>
          <w:rStyle w:val="Hyperlink.6"/>
          <w:rtl w:val="0"/>
          <w:lang w:val="en-US"/>
        </w:rPr>
        <w:t>https://www.universalclass.com/articles/business</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theetiquette-involved-in-greetings-and-introduction-to-know-as-an-etiquette-consultant.htm. [Accessed 06/05/2022]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The Workplace Stack Exchange. (n.d.). communication - Greeting someone in their native language. [online] Available at: https://workplace.stackexchange.com/questions/159380/greeting-someone-in-their-native-language [Accessed 6 May 2022].</w:t>
      </w:r>
    </w:p>
    <w:p>
      <w:pPr>
        <w:pStyle w:val="Default"/>
        <w:bidi w:val="1"/>
        <w:spacing w:before="0" w:after="320" w:line="240" w:lineRule="auto"/>
        <w:ind w:left="0" w:right="0" w:firstLine="0"/>
        <w:jc w:val="right"/>
        <w:rPr>
          <w:rStyle w:val="None"/>
          <w:rFonts w:ascii="Times Roman" w:cs="Times Roman" w:hAnsi="Times Roman" w:eastAsia="Times Roman"/>
          <w:outline w:val="0"/>
          <w:color w:val="000000"/>
          <w:u w:color="000000"/>
          <w:shd w:val="clear" w:color="auto" w:fill="ffffff"/>
          <w:rtl w:val="1"/>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p>
    <w:p>
      <w:pPr>
        <w:pStyle w:val="Default"/>
        <w:spacing w:before="0" w:after="320" w:line="240" w:lineRule="auto"/>
        <w:rPr>
          <w:rStyle w:val="None"/>
          <w:rFonts w:ascii="Times Roman" w:cs="Times Roman" w:hAnsi="Times Roman" w:eastAsia="Times Roman"/>
          <w:outline w:val="0"/>
          <w:color w:val="2c3e50"/>
          <w:sz w:val="32"/>
          <w:szCs w:val="32"/>
          <w:u w:color="2c3e50"/>
          <w:shd w:val="clear" w:color="auto" w:fill="ffffff"/>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r>
        <w:rPr>
          <w:rStyle w:val="None"/>
          <w:rFonts w:ascii="Times Roman" w:hAnsi="Times Roman"/>
          <w:outline w:val="0"/>
          <w:color w:val="2c3e50"/>
          <w:sz w:val="24"/>
          <w:szCs w:val="24"/>
          <w:u w:val="single" w:color="2c3e50"/>
          <w:rtl w:val="0"/>
          <w:lang w:val="en-US"/>
          <w14:textFill>
            <w14:solidFill>
              <w14:srgbClr w14:val="2C3E50"/>
            </w14:solidFill>
          </w14:textFill>
        </w:rPr>
        <w:t xml:space="preserve">Bibliography </w:t>
      </w:r>
    </w:p>
    <w:p>
      <w:pPr>
        <w:pStyle w:val="Body A"/>
        <w:spacing w:after="0" w:line="240" w:lineRule="auto"/>
        <w:rPr>
          <w:rStyle w:val="None"/>
          <w:rFonts w:ascii="Times Roman" w:cs="Times Roman" w:hAnsi="Times Roman" w:eastAsia="Times Roman"/>
          <w:outline w:val="0"/>
          <w:color w:val="2c3e50"/>
          <w:sz w:val="24"/>
          <w:szCs w:val="24"/>
          <w:u w:val="single"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Forensics. [online] Available at: https://www.college.police.uk/app/investigation/forensics. [Accessed 08/05/2022]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British Council (2015). Three surprising benefits of learning a new language. YouTube. Available at: https://www.youtube.com/watch?v=nQJ8HPrFkSI [Accessed 14 Mar. 2021].</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Indictable only cases: sending to the Crown Court | The Crown Prosecution Service. [online] Available at: https://www.cps.gov.uk/legal-guidance/indictable-only-cases-sending-crown-court.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Disclosure Manual: Chapter 10 - The Disclosure Officer</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s Report | The Crown Prosecution Service. [online] Available at: https://www.cps.gov.uk/legal-guidance/disclosure-manual-chapter-10-disclosure-officers-report. [Accessed 05/05/2022]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Stuart Miller Solicitors (2020). What is an indictable offence in the UK? [online] Stuart Miller Solicitors. Available at: https://www.stuartmillersolicitors.co.uk/what-is-an-indictable-offence-in-the-uk/. </w:t>
      </w:r>
      <w:r>
        <w:rPr>
          <w:rStyle w:val="None"/>
          <w:rFonts w:ascii="Times Roman" w:hAnsi="Times Roman"/>
          <w:outline w:val="0"/>
          <w:color w:val="2c3e50"/>
          <w:u w:color="2c3e50"/>
          <w:shd w:val="clear" w:color="auto" w:fill="ffffff"/>
          <w:rtl w:val="0"/>
          <w:lang w:val="pt-PT"/>
          <w14:textFill>
            <w14:solidFill>
              <w14:srgbClr w14:val="2C3E50"/>
            </w14:solidFill>
          </w14:textFill>
        </w:rPr>
        <w:t>[01/05/2022]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Prosecution and case management. [online] Available at: https://www.college.police.uk/app/prosecution-and-case-management [Accessed 01/05/</w:t>
      </w:r>
      <w:r>
        <w:rPr>
          <w:rStyle w:val="None"/>
          <w:rFonts w:ascii="Times Roman" w:hAnsi="Times Roman"/>
          <w:outline w:val="0"/>
          <w:color w:val="2c3e50"/>
          <w:u w:color="2c3e50"/>
          <w:shd w:val="clear" w:color="auto" w:fill="ffffff"/>
          <w:rtl w:val="0"/>
          <w:lang w:val="pt-PT"/>
          <w14:textFill>
            <w14:solidFill>
              <w14:srgbClr w14:val="2C3E50"/>
            </w14:solidFill>
          </w14:textFill>
        </w:rPr>
        <w:t>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Confiscation and Ancillary Orders pre-POCA: Proceeds of Crime Guidance | The Crown Prosecution Service. [online] Available at: https://www.cps.gov.uk/legal-guidance/confiscation-and-ancillary-orders-pre-poca-proceeds-crime-guidance [Accessed 6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"https://www.legislation.gov.uk/ukpga/2006/35/section/2"</w:instrText>
      </w:r>
      <w:r>
        <w:rPr>
          <w:rStyle w:val="Hyperlink.11"/>
        </w:rPr>
        <w:fldChar w:fldCharType="separate" w:fldLock="0"/>
      </w:r>
      <w:r>
        <w:rPr>
          <w:rStyle w:val="Hyperlink.11"/>
          <w:rtl w:val="0"/>
          <w:lang w:val="en-US"/>
        </w:rPr>
        <w:t>https://www.legislation.gov.uk/ukpga/2006/35/section/2</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"https://www.legislation.gov.uk/ukpga/2006/35/section/4"</w:instrText>
      </w:r>
      <w:r>
        <w:rPr>
          <w:rStyle w:val="Hyperlink.11"/>
        </w:rPr>
        <w:fldChar w:fldCharType="separate" w:fldLock="0"/>
      </w:r>
      <w:r>
        <w:rPr>
          <w:rStyle w:val="Hyperlink.11"/>
          <w:rtl w:val="0"/>
          <w:lang w:val="en-US"/>
        </w:rPr>
        <w:t>https://www.legislation.gov.uk/ukpga/2006/35/section/4</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"https://www.legislation.gov.uk/ukpga/2006/35/section/7"</w:instrText>
      </w:r>
      <w:r>
        <w:rPr>
          <w:rStyle w:val="Hyperlink.11"/>
        </w:rPr>
        <w:fldChar w:fldCharType="separate" w:fldLock="0"/>
      </w:r>
      <w:r>
        <w:rPr>
          <w:rStyle w:val="Hyperlink.11"/>
          <w:rtl w:val="0"/>
          <w:lang w:val="en-US"/>
        </w:rPr>
        <w:t>https://www.legislation.gov.uk/ukpga/2006/35/section/7</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r>
        <w:rPr>
          <w:rStyle w:val="Hyperlink.11"/>
        </w:rPr>
        <w:fldChar w:fldCharType="begin" w:fldLock="0"/>
      </w:r>
      <w:r>
        <w:rPr>
          <w:rStyle w:val="Hyperlink.11"/>
        </w:rPr>
        <w:instrText xml:space="preserve"> HYPERLINK "https://libguides.cam.ac.uk/reflectivepracticetoolkit/models"</w:instrText>
      </w:r>
      <w:r>
        <w:rPr>
          <w:rStyle w:val="Hyperlink.11"/>
        </w:rPr>
        <w:fldChar w:fldCharType="separate" w:fldLock="0"/>
      </w:r>
      <w:r>
        <w:rPr>
          <w:rStyle w:val="Hyperlink.11"/>
          <w:rtl w:val="0"/>
          <w:lang w:val="en-US"/>
        </w:rPr>
        <w:t>https://libguides.cam.ac.uk/reflectivepracticetoolkit/models</w:t>
      </w:r>
      <w:r>
        <w:rPr/>
        <w:fldChar w:fldCharType="end" w:fldLock="0"/>
      </w:r>
      <w:r>
        <w:rPr>
          <w:rStyle w:val="None"/>
          <w:rFonts w:ascii="Times Roman" w:hAnsi="Times Roman"/>
          <w:outline w:val="0"/>
          <w:color w:val="2c3e50"/>
          <w:sz w:val="24"/>
          <w:szCs w:val="24"/>
          <w:u w:color="2c3e50"/>
          <w:rtl w:val="0"/>
          <w:lang w:val="en-US"/>
          <w14:textFill>
            <w14:solidFill>
              <w14:srgbClr w14:val="2C3E50"/>
            </w14:solidFill>
          </w14:textFill>
        </w:rPr>
        <w:t xml:space="preserve"> [Accessed 28/04/2022]</w:t>
      </w:r>
    </w:p>
    <w:p>
      <w:pPr>
        <w:pStyle w:val="Body A"/>
        <w:spacing w:after="0" w:line="240" w:lineRule="auto"/>
        <w:rPr>
          <w:rStyle w:val="None"/>
          <w:rFonts w:ascii="Times Roman" w:cs="Times Roman" w:hAnsi="Times Roman" w:eastAsia="Times Roman"/>
          <w:outline w:val="0"/>
          <w:color w:val="2c3e50"/>
          <w:sz w:val="24"/>
          <w:szCs w:val="24"/>
          <w:u w:color="2c3e50"/>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(2013). Police and Criminal Evidence Act 1984. [online] Available at: https://www.legislation.gov.uk/ukpga/1984/60/section/8.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(2013). Police and Criminal Evidence Act 1984 Section 19. [online] Legislation.gov.uk. Available at: https://www.legislation.gov.uk/ukpga/1984/60/section/19.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Legislation.gov.uk. (2015). Proceeds of Crime Act 2002. [online] Available at: https://www.legislation.gov.uk/ukpga/2002/29/part/2/crossheading/restraint-orders [Accessed 5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Gov.uk (1996). </w:t>
      </w:r>
      <w:r>
        <w:rPr>
          <w:rStyle w:val="None"/>
          <w:rFonts w:ascii="Times Roman" w:hAnsi="Times Roman"/>
          <w:i w:val="1"/>
          <w:iCs w:val="1"/>
          <w:outline w:val="0"/>
          <w:color w:val="2c3e50"/>
          <w:u w:color="2c3e50"/>
          <w:shd w:val="clear" w:color="auto" w:fill="ffffff"/>
          <w:rtl w:val="0"/>
          <w:lang w:val="en-US"/>
          <w14:textFill>
            <w14:solidFill>
              <w14:srgbClr w14:val="2C3E50"/>
            </w14:solidFill>
          </w14:textFill>
        </w:rPr>
        <w:t>Criminal Procedure and Investigations Act 1996</w:t>
      </w:r>
      <w:r>
        <w:rPr>
          <w:rStyle w:val="None"/>
          <w:rFonts w:ascii="Times Roman" w:hAnsi="Times Roman"/>
          <w:outline w:val="0"/>
          <w:color w:val="2c3e50"/>
          <w:u w:color="2c3e50"/>
          <w:shd w:val="clear" w:color="auto" w:fill="ffffff"/>
          <w:rtl w:val="0"/>
          <w:lang w:val="en-US"/>
          <w14:textFill>
            <w14:solidFill>
              <w14:srgbClr w14:val="2C3E50"/>
            </w14:solidFill>
          </w14:textFill>
        </w:rPr>
        <w:t>. [online] www.legislation.gov.uk. Available at: https://www.legislation.gov.uk/ukpga/1996/25/contents.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Gov.uk (1984). Police and Criminal Evidence Act 1984. [online] Legislation.gov.uk. Available at: </w:t>
      </w:r>
      <w:r>
        <w:rPr>
          <w:rStyle w:val="Hyperlink.6"/>
        </w:rPr>
        <w:fldChar w:fldCharType="begin" w:fldLock="0"/>
      </w:r>
      <w:r>
        <w:rPr>
          <w:rStyle w:val="Hyperlink.6"/>
        </w:rPr>
        <w:instrText xml:space="preserve"> HYPERLINK "https://www.legislation.gov.uk/ukpga/1984/60/contents.%255B"</w:instrText>
      </w:r>
      <w:r>
        <w:rPr>
          <w:rStyle w:val="Hyperlink.6"/>
        </w:rPr>
        <w:fldChar w:fldCharType="separate" w:fldLock="0"/>
      </w:r>
      <w:r>
        <w:rPr>
          <w:rStyle w:val="Hyperlink.6"/>
          <w:rtl w:val="0"/>
          <w:lang w:val="en-US"/>
        </w:rPr>
        <w:t>https://www.legislation.gov.uk/ukpga/1984/60/contents.[</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nl-NL"/>
          <w14:textFill>
            <w14:solidFill>
              <w14:srgbClr w14:val="2C3E50"/>
            </w14:solidFill>
          </w14:textFill>
        </w:rPr>
        <w:t>Nicol, C., Innes, M., Gee, D. and Feist, A. (n.d.). Reviewing murder investigations: an analysis of progress reviews from six police forces. [online] Available at: https://www.politieacademie.nl/kennisenonderzoek/kennis/mediatheek/PDF/4106.pdf.</w:t>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www.cps.gov.uk. (n.d.). Disclosure | The Crown Prosecution Service. [online] Available at: </w:t>
      </w:r>
      <w:r>
        <w:rPr>
          <w:rStyle w:val="Hyperlink.6"/>
        </w:rPr>
        <w:fldChar w:fldCharType="begin" w:fldLock="0"/>
      </w:r>
      <w:r>
        <w:rPr>
          <w:rStyle w:val="Hyperlink.6"/>
        </w:rPr>
        <w:instrText xml:space="preserve"> HYPERLINK "https://www.cps.gov.uk/about-cps/disclosure.%255B"</w:instrText>
      </w:r>
      <w:r>
        <w:rPr>
          <w:rStyle w:val="Hyperlink.6"/>
        </w:rPr>
        <w:fldChar w:fldCharType="separate" w:fldLock="0"/>
      </w:r>
      <w:r>
        <w:rPr>
          <w:rStyle w:val="Hyperlink.6"/>
          <w:rtl w:val="0"/>
          <w:lang w:val="en-US"/>
        </w:rPr>
        <w:t>https://www.cps.gov.uk/about-cps/disclosure.[</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Charging and case preparation. [online] Available at: https://www.college.police.uk/app/prosecution-and-case-management/charging-and-case-preparation.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Hyperlink.6"/>
        </w:rPr>
        <w:fldChar w:fldCharType="begin" w:fldLock="0"/>
      </w:r>
      <w:r>
        <w:rPr>
          <w:rStyle w:val="Hyperlink.6"/>
        </w:rPr>
        <w:instrText xml:space="preserve"> HYPERLINK "https://www.gov.uk/government/publications/attorney-generals-guidelines-on-disclosure-2020"</w:instrText>
      </w:r>
      <w:r>
        <w:rPr>
          <w:rStyle w:val="Hyperlink.6"/>
        </w:rPr>
        <w:fldChar w:fldCharType="separate" w:fldLock="0"/>
      </w:r>
      <w:r>
        <w:rPr>
          <w:rStyle w:val="Hyperlink.6"/>
          <w:rtl w:val="0"/>
          <w:lang w:val="en-US"/>
        </w:rPr>
        <w:t>https://www.gov.uk/government/publications/attorney-generals-guidelines-on-disclosure-2020</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after="32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Attorney General</w:t>
      </w: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r>
        <w:rPr>
          <w:rStyle w:val="None"/>
          <w:rFonts w:ascii="Times Roman" w:hAnsi="Times Roman"/>
          <w:outline w:val="0"/>
          <w:color w:val="2c3e50"/>
          <w:u w:color="2c3e50"/>
          <w:shd w:val="clear" w:color="auto" w:fill="ffffff"/>
          <w:rtl w:val="0"/>
          <w:lang w:val="en-US"/>
          <w14:textFill>
            <w14:solidFill>
              <w14:srgbClr w14:val="2C3E50"/>
            </w14:solidFill>
          </w14:textFill>
        </w:rPr>
        <w:t>s Guidelines on Disclosure 2020. (n.d.). GOV.UK. https:</w:t>
      </w:r>
      <w:r>
        <w:rPr>
          <w:rStyle w:val="Hyperlink.6"/>
        </w:rPr>
        <w:fldChar w:fldCharType="begin" w:fldLock="0"/>
      </w:r>
      <w:r>
        <w:rPr>
          <w:rStyle w:val="Hyperlink.6"/>
        </w:rPr>
        <w:instrText xml:space="preserve"> HYPERLINK "http://www.gov.ukgovernment"</w:instrText>
      </w:r>
      <w:r>
        <w:rPr>
          <w:rStyle w:val="Hyperlink.6"/>
        </w:rPr>
        <w:fldChar w:fldCharType="separate" w:fldLock="0"/>
      </w:r>
      <w:r>
        <w:rPr>
          <w:rStyle w:val="Hyperlink.6"/>
          <w:rtl w:val="0"/>
          <w:lang w:val="en-US"/>
        </w:rPr>
        <w:t>www.gov.ukgovernment</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publications/attorney-generals-guidelines-on-disclosure-2020 [Accessed 01/05/2022]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College of Policing. (n.d.). Charging and case preparation. [online] Available at: https://www.college.police.uk/app/prosecution-and-case-management/charging-and-case-preparation#pre-charge-referral-to-the-cps [Accessed 4 May 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www.cps.gov.uk. (n.d.). Proceeds of Crime | The Crown Prosecution Service. [online] Available at: https://www.cps.gov.uk/legal-guidance/proceeds-crime. [Accessed 05/05/2022]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UniversalClass.com. (n.d.). The Etiquette Involved in Greetings and Introduction to Know as an Etiquette Consultant. [online] Available at: </w:t>
      </w:r>
      <w:r>
        <w:rPr>
          <w:rStyle w:val="Hyperlink.6"/>
        </w:rPr>
        <w:fldChar w:fldCharType="begin" w:fldLock="0"/>
      </w:r>
      <w:r>
        <w:rPr>
          <w:rStyle w:val="Hyperlink.6"/>
        </w:rPr>
        <w:instrText xml:space="preserve"> HYPERLINK "https://www.universalclass.com/articles/business"</w:instrText>
      </w:r>
      <w:r>
        <w:rPr>
          <w:rStyle w:val="Hyperlink.6"/>
        </w:rPr>
        <w:fldChar w:fldCharType="separate" w:fldLock="0"/>
      </w:r>
      <w:r>
        <w:rPr>
          <w:rStyle w:val="Hyperlink.6"/>
          <w:rtl w:val="0"/>
          <w:lang w:val="en-US"/>
        </w:rPr>
        <w:t>https://www.universalclass.com/articles/business</w:t>
      </w:r>
      <w:r>
        <w:rPr/>
        <w:fldChar w:fldCharType="end" w:fldLock="0"/>
      </w:r>
      <w:r>
        <w:rPr>
          <w:rStyle w:val="None"/>
          <w:rFonts w:ascii="Times Roman" w:hAnsi="Times Roman"/>
          <w:outline w:val="0"/>
          <w:color w:val="2c3e50"/>
          <w:u w:color="2c3e50"/>
          <w:shd w:val="clear" w:color="auto" w:fill="ffffff"/>
          <w:rtl w:val="0"/>
          <w:lang w:val="en-US"/>
          <w14:textFill>
            <w14:solidFill>
              <w14:srgbClr w14:val="2C3E50"/>
            </w14:solidFill>
          </w14:textFill>
        </w:rPr>
        <w:t xml:space="preserve"> theetiquette-involved-in-greetings-and-introduction-to-know-as-an-etiquette-consultant.htm. [Accessed 06/05/2022]</w:t>
      </w: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2c3e50"/>
          <w:u w:color="2c3e50"/>
          <w:shd w:val="clear" w:color="auto" w:fill="ffffff"/>
          <w14:textFill>
            <w14:solidFill>
              <w14:srgbClr w14:val="2C3E50"/>
            </w14:solidFill>
          </w14:textFill>
        </w:rPr>
      </w:pPr>
    </w:p>
    <w:p>
      <w:pPr>
        <w:pStyle w:val="Default"/>
        <w:spacing w:before="0" w:line="240" w:lineRule="auto"/>
        <w:rPr>
          <w:rStyle w:val="None"/>
          <w:rFonts w:ascii="Times Roman" w:cs="Times Roman" w:hAnsi="Times Roman" w:eastAsia="Times Roman"/>
          <w:outline w:val="0"/>
          <w:color w:val="000000"/>
          <w:u w:color="000000"/>
          <w:shd w:val="clear" w:color="auto" w:fill="ffffff"/>
          <w14:textFill>
            <w14:solidFill>
              <w14:srgbClr w14:val="000000"/>
            </w14:solidFill>
          </w14:textFill>
        </w:rPr>
      </w:pPr>
      <w:r>
        <w:rPr>
          <w:rStyle w:val="None"/>
          <w:rFonts w:ascii="Times Roman" w:hAnsi="Times Roman"/>
          <w:outline w:val="0"/>
          <w:color w:val="2c3e50"/>
          <w:u w:color="2c3e50"/>
          <w:shd w:val="clear" w:color="auto" w:fill="ffffff"/>
          <w:rtl w:val="0"/>
          <w:lang w:val="en-US"/>
          <w14:textFill>
            <w14:solidFill>
              <w14:srgbClr w14:val="2C3E50"/>
            </w14:solidFill>
          </w14:textFill>
        </w:rPr>
        <w:t>www.ojp.gov. (n.d.). Identification of Typewritten Documents | Office of Justice Programs. [online] Available at: https://www.ojp.gov/ncjrs/virtual-library/abstracts/identification-typewritten-documents [Accessed 8 May 2022].</w:t>
      </w:r>
    </w:p>
    <w:p>
      <w:pPr>
        <w:pStyle w:val="Default"/>
        <w:bidi w:val="1"/>
        <w:spacing w:before="0" w:after="320" w:line="240" w:lineRule="auto"/>
        <w:ind w:left="0" w:right="0" w:firstLine="0"/>
        <w:jc w:val="right"/>
        <w:rPr>
          <w:rStyle w:val="None"/>
          <w:rFonts w:ascii="Times Roman" w:cs="Times Roman" w:hAnsi="Times Roman" w:eastAsia="Times Roman"/>
          <w:outline w:val="0"/>
          <w:color w:val="000000"/>
          <w:sz w:val="32"/>
          <w:szCs w:val="32"/>
          <w:u w:color="000000"/>
          <w:shd w:val="clear" w:color="auto" w:fill="ffffff"/>
          <w:rtl w:val="1"/>
          <w14:textFill>
            <w14:solidFill>
              <w14:srgbClr w14:val="000000"/>
            </w14:solidFill>
          </w14:textFill>
        </w:rPr>
      </w:pPr>
      <w:r>
        <w:rPr>
          <w:rStyle w:val="None"/>
          <w:rFonts w:ascii="Arial Unicode MS" w:hAnsi="Arial Unicode MS" w:hint="default"/>
          <w:outline w:val="0"/>
          <w:color w:val="2c3e50"/>
          <w:sz w:val="32"/>
          <w:szCs w:val="32"/>
          <w:u w:color="2c3e50"/>
          <w:shd w:val="clear" w:color="auto" w:fill="ffffff"/>
          <w:rtl w:val="0"/>
          <w:lang w:val="en-US"/>
          <w14:textFill>
            <w14:solidFill>
              <w14:srgbClr w14:val="2C3E50"/>
            </w14:solidFill>
          </w14:textFill>
        </w:rPr>
        <w:t>‌</w:t>
      </w:r>
    </w:p>
    <w:p>
      <w:pPr>
        <w:pStyle w:val="Default"/>
        <w:spacing w:before="0" w:after="320" w:line="240" w:lineRule="auto"/>
        <w:rPr>
          <w:rStyle w:val="None"/>
          <w:rFonts w:ascii="Times Roman" w:cs="Times Roman" w:hAnsi="Times Roman" w:eastAsia="Times Roman"/>
          <w:outline w:val="0"/>
          <w:color w:val="000000"/>
          <w:sz w:val="32"/>
          <w:szCs w:val="32"/>
          <w:u w:color="000000"/>
          <w:shd w:val="clear" w:color="auto" w:fill="ffffff"/>
          <w14:textFill>
            <w14:solidFill>
              <w14:srgbClr w14:val="000000"/>
            </w14:solidFill>
          </w14:textFill>
        </w:rPr>
      </w:pPr>
    </w:p>
    <w:p>
      <w:pPr>
        <w:pStyle w:val="Default"/>
        <w:bidi w:val="1"/>
        <w:spacing w:before="0" w:after="320" w:line="240" w:lineRule="auto"/>
        <w:ind w:left="0" w:right="0" w:firstLine="0"/>
        <w:jc w:val="right"/>
        <w:rPr>
          <w:rStyle w:val="None"/>
          <w:rFonts w:ascii="Times Roman" w:cs="Times Roman" w:hAnsi="Times Roman" w:eastAsia="Times Roman"/>
          <w:outline w:val="0"/>
          <w:color w:val="000000"/>
          <w:u w:color="000000"/>
          <w:shd w:val="clear" w:color="auto" w:fill="ffffff"/>
          <w:rtl w:val="1"/>
          <w14:textFill>
            <w14:solidFill>
              <w14:srgbClr w14:val="00000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p>
    <w:p>
      <w:pPr>
        <w:pStyle w:val="Default"/>
        <w:bidi w:val="1"/>
        <w:spacing w:before="0" w:after="320" w:line="240" w:lineRule="auto"/>
        <w:ind w:left="0" w:right="0" w:firstLine="0"/>
        <w:jc w:val="right"/>
        <w:rPr>
          <w:rStyle w:val="None"/>
          <w:rFonts w:ascii="Times Roman" w:cs="Times Roman" w:hAnsi="Times Roman" w:eastAsia="Times Roman"/>
          <w:outline w:val="0"/>
          <w:color w:val="2c3e50"/>
          <w:u w:color="2c3e50"/>
          <w:shd w:val="clear" w:color="auto" w:fill="ffffff"/>
          <w:rtl w:val="1"/>
          <w14:textFill>
            <w14:solidFill>
              <w14:srgbClr w14:val="2C3E50"/>
            </w14:solidFill>
          </w14:textFill>
        </w:rPr>
      </w:pPr>
      <w:r>
        <w:rPr>
          <w:rStyle w:val="None"/>
          <w:rFonts w:ascii="Arial Unicode MS" w:hAnsi="Arial Unicode MS" w:hint="default"/>
          <w:outline w:val="0"/>
          <w:color w:val="2c3e50"/>
          <w:u w:color="2c3e50"/>
          <w:shd w:val="clear" w:color="auto" w:fill="ffffff"/>
          <w:rtl w:val="0"/>
          <w:lang w:val="en-US"/>
          <w14:textFill>
            <w14:solidFill>
              <w14:srgbClr w14:val="2C3E50"/>
            </w14:solidFill>
          </w14:textFill>
        </w:rPr>
        <w:t>‌</w:t>
      </w:r>
    </w:p>
    <w:p>
      <w:pPr>
        <w:pStyle w:val="Body A"/>
        <w:spacing w:after="0" w:line="240" w:lineRule="auto"/>
        <w:rPr>
          <w:rStyle w:val="None"/>
          <w:rFonts w:ascii="Times Roman" w:cs="Times Roman" w:hAnsi="Times Roman" w:eastAsia="Times Roman"/>
          <w:sz w:val="24"/>
          <w:szCs w:val="24"/>
        </w:rPr>
      </w:pPr>
    </w:p>
    <w:p>
      <w:pPr>
        <w:pStyle w:val="Body A"/>
        <w:spacing w:after="0" w:line="240" w:lineRule="auto"/>
        <w:rPr>
          <w:rStyle w:val="None"/>
          <w:rFonts w:ascii="Arial" w:cs="Arial" w:hAnsi="Arial" w:eastAsia="Arial"/>
          <w:outline w:val="0"/>
          <w:color w:val="000000"/>
          <w:sz w:val="24"/>
          <w:szCs w:val="24"/>
          <w:u w:color="000000"/>
          <w14:textFill>
            <w14:solidFill>
              <w14:srgbClr w14:val="000000"/>
            </w14:solidFill>
          </w14:textFill>
        </w:rPr>
      </w:pPr>
    </w:p>
    <w:p>
      <w:pPr>
        <w:pStyle w:val="Body A"/>
        <w:ind w:left="3600" w:right="107" w:firstLine="720"/>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outline w:val="0"/>
          <w:color w:val="000000"/>
          <w:u w:color="000000"/>
          <w14:textFill>
            <w14:solidFill>
              <w14:srgbClr w14:val="000000"/>
            </w14:solidFill>
          </w14:textFill>
        </w:rPr>
      </w:pPr>
    </w:p>
    <w:p>
      <w:pPr>
        <w:pStyle w:val="Body A"/>
        <w:ind w:right="107"/>
        <w:jc w:val="both"/>
        <w:rPr>
          <w:rStyle w:val="None"/>
          <w:rFonts w:ascii="Arial" w:cs="Arial" w:hAnsi="Arial" w:eastAsia="Arial"/>
          <w:b w:val="1"/>
          <w:bCs w:val="1"/>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Task 5: </w:t>
      </w: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Personal Development Plan (PDP)</w:t>
      </w: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As part of your reflective process, please use this table to aid you in identifying the next steps for development. </w:t>
      </w: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Formulate and implement a personal study programme to further enhance the development of your professional police practice.</w:t>
      </w:r>
      <w:r>
        <w:rPr>
          <w:rStyle w:val="None"/>
          <w:rFonts w:ascii="Arial" w:hAnsi="Arial" w:hint="default"/>
          <w:outline w:val="0"/>
          <w:color w:val="000000"/>
          <w:sz w:val="24"/>
          <w:szCs w:val="24"/>
          <w:u w:color="000000"/>
          <w:rtl w:val="0"/>
          <w:lang w:val="en-US"/>
          <w14:textFill>
            <w14:solidFill>
              <w14:srgbClr w14:val="000000"/>
            </w14:solidFill>
          </w14:textFill>
        </w:rPr>
        <w:t> </w:t>
      </w:r>
      <w:r>
        <w:rPr>
          <w:rStyle w:val="None"/>
          <w:rFonts w:ascii="Arial" w:hAnsi="Arial"/>
          <w:outline w:val="0"/>
          <w:color w:val="000000"/>
          <w:sz w:val="24"/>
          <w:szCs w:val="24"/>
          <w:u w:color="000000"/>
          <w:rtl w:val="0"/>
          <w:lang w:val="en-US"/>
          <w14:textFill>
            <w14:solidFill>
              <w14:srgbClr w14:val="000000"/>
            </w14:solidFill>
          </w14:textFill>
        </w:rPr>
        <w:t xml:space="preserve">A template has been added for an </w:t>
      </w:r>
      <w:r>
        <w:rPr>
          <w:rStyle w:val="None"/>
          <w:rFonts w:ascii="Arial" w:hAnsi="Arial" w:hint="default"/>
          <w:outline w:val="0"/>
          <w:color w:val="000000"/>
          <w:sz w:val="24"/>
          <w:szCs w:val="24"/>
          <w:u w:color="000000"/>
          <w:rtl w:val="0"/>
          <w:lang w:val="en-US"/>
          <w14:textFill>
            <w14:solidFill>
              <w14:srgbClr w14:val="000000"/>
            </w14:solidFill>
          </w14:textFill>
        </w:rPr>
        <w:t>‘</w:t>
      </w:r>
      <w:r>
        <w:rPr>
          <w:rStyle w:val="None"/>
          <w:rFonts w:ascii="Arial" w:hAnsi="Arial"/>
          <w:outline w:val="0"/>
          <w:color w:val="000000"/>
          <w:sz w:val="24"/>
          <w:szCs w:val="24"/>
          <w:u w:color="000000"/>
          <w:rtl w:val="0"/>
          <w:lang w:val="en-US"/>
          <w14:textFill>
            <w14:solidFill>
              <w14:srgbClr w14:val="000000"/>
            </w14:solidFill>
          </w14:textFill>
        </w:rPr>
        <w:t>Individual Learning Plan</w:t>
      </w:r>
      <w:r>
        <w:rPr>
          <w:rStyle w:val="None"/>
          <w:rFonts w:ascii="Arial" w:hAnsi="Arial" w:hint="default"/>
          <w:outline w:val="0"/>
          <w:color w:val="000000"/>
          <w:sz w:val="24"/>
          <w:szCs w:val="24"/>
          <w:u w:color="000000"/>
          <w:rtl w:val="0"/>
          <w:lang w:val="en-US"/>
          <w14:textFill>
            <w14:solidFill>
              <w14:srgbClr w14:val="000000"/>
            </w14:solidFill>
          </w14:textFill>
        </w:rPr>
        <w:t xml:space="preserve">’ </w:t>
      </w:r>
      <w:r>
        <w:rPr>
          <w:rStyle w:val="None"/>
          <w:rFonts w:ascii="Arial" w:hAnsi="Arial"/>
          <w:outline w:val="0"/>
          <w:color w:val="000000"/>
          <w:sz w:val="24"/>
          <w:szCs w:val="24"/>
          <w:u w:color="000000"/>
          <w:rtl w:val="0"/>
          <w:lang w:val="en-US"/>
          <w14:textFill>
            <w14:solidFill>
              <w14:srgbClr w14:val="000000"/>
            </w14:solidFill>
          </w14:textFill>
        </w:rPr>
        <w:t>that you can use for this task.</w:t>
      </w:r>
      <w:r>
        <w:rPr>
          <w:rStyle w:val="None"/>
          <w:rFonts w:ascii="Arial" w:hAnsi="Arial" w:hint="default"/>
          <w:outline w:val="0"/>
          <w:color w:val="000000"/>
          <w:sz w:val="24"/>
          <w:szCs w:val="24"/>
          <w:u w:color="000000"/>
          <w:rtl w:val="0"/>
          <w:lang w:val="en-US"/>
          <w14:textFill>
            <w14:solidFill>
              <w14:srgbClr w14:val="000000"/>
            </w14:solidFill>
          </w14:textFill>
        </w:rPr>
        <w:t>  </w:t>
      </w:r>
    </w:p>
    <w:p>
      <w:pPr>
        <w:pStyle w:val="Body A"/>
        <w:ind w:right="225"/>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hint="default"/>
          <w:outline w:val="0"/>
          <w:color w:val="000000"/>
          <w:sz w:val="24"/>
          <w:szCs w:val="24"/>
          <w:u w:color="000000"/>
          <w:rtl w:val="0"/>
          <w:lang w:val="en-US"/>
          <w14:textFill>
            <w14:solidFill>
              <w14:srgbClr w14:val="000000"/>
            </w14:solidFill>
          </w14:textFill>
        </w:rPr>
        <w:t> </w:t>
      </w:r>
    </w:p>
    <w:p>
      <w:pPr>
        <w:pStyle w:val="Body A"/>
        <w:ind w:right="225"/>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This task differs from the PDP</w:t>
      </w:r>
      <w:r>
        <w:rPr>
          <w:rStyle w:val="None"/>
          <w:rFonts w:ascii="Arial" w:hAnsi="Arial" w:hint="default"/>
          <w:outline w:val="0"/>
          <w:color w:val="000000"/>
          <w:sz w:val="24"/>
          <w:szCs w:val="24"/>
          <w:u w:color="000000"/>
          <w:rtl w:val="0"/>
          <w:lang w:val="en-US"/>
          <w14:textFill>
            <w14:solidFill>
              <w14:srgbClr w14:val="000000"/>
            </w14:solidFill>
          </w14:textFill>
        </w:rPr>
        <w:t> </w:t>
      </w:r>
      <w:r>
        <w:rPr>
          <w:rStyle w:val="None"/>
          <w:rFonts w:ascii="Arial" w:hAnsi="Arial"/>
          <w:outline w:val="0"/>
          <w:color w:val="000000"/>
          <w:sz w:val="24"/>
          <w:szCs w:val="24"/>
          <w:u w:color="000000"/>
          <w:rtl w:val="0"/>
          <w:lang w:val="en-US"/>
          <w14:textFill>
            <w14:solidFill>
              <w14:srgbClr w14:val="000000"/>
            </w14:solidFill>
          </w14:textFill>
        </w:rPr>
        <w:t xml:space="preserve">that you have completed in your previous workbook in that this learning plan allows you to assess what level you believe you are in key knowledge, skills, and experience against where you believe you (and the force) consider you should be </w:t>
      </w:r>
      <w:r>
        <w:rPr>
          <w:rStyle w:val="None"/>
          <w:rFonts w:ascii="Arial" w:hAnsi="Arial" w:hint="default"/>
          <w:outline w:val="0"/>
          <w:color w:val="000000"/>
          <w:sz w:val="24"/>
          <w:szCs w:val="24"/>
          <w:u w:color="000000"/>
          <w:rtl w:val="0"/>
          <w:lang w:val="en-US"/>
          <w14:textFill>
            <w14:solidFill>
              <w14:srgbClr w14:val="000000"/>
            </w14:solidFill>
          </w14:textFill>
        </w:rPr>
        <w:t xml:space="preserve">– </w:t>
      </w:r>
      <w:r>
        <w:rPr>
          <w:rStyle w:val="None"/>
          <w:rFonts w:ascii="Arial" w:hAnsi="Arial"/>
          <w:outline w:val="0"/>
          <w:color w:val="000000"/>
          <w:sz w:val="24"/>
          <w:szCs w:val="24"/>
          <w:u w:color="000000"/>
          <w:rtl w:val="0"/>
          <w:lang w:val="en-US"/>
          <w14:textFill>
            <w14:solidFill>
              <w14:srgbClr w14:val="000000"/>
            </w14:solidFill>
          </w14:textFill>
        </w:rPr>
        <w:t>now and in the coming 6 to 12 months. This should then be used to target future development need.</w:t>
      </w:r>
      <w:r>
        <w:rPr>
          <w:rStyle w:val="None"/>
          <w:rFonts w:ascii="Arial" w:hAnsi="Arial" w:hint="default"/>
          <w:outline w:val="0"/>
          <w:color w:val="000000"/>
          <w:sz w:val="24"/>
          <w:szCs w:val="24"/>
          <w:u w:color="000000"/>
          <w:rtl w:val="0"/>
          <w:lang w:val="en-US"/>
          <w14:textFill>
            <w14:solidFill>
              <w14:srgbClr w14:val="000000"/>
            </w14:solidFill>
          </w14:textFill>
        </w:rPr>
        <w:t> </w:t>
      </w:r>
    </w:p>
    <w:p>
      <w:pPr>
        <w:pStyle w:val="Body A"/>
        <w:ind w:right="225"/>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hint="default"/>
          <w:outline w:val="0"/>
          <w:color w:val="000000"/>
          <w:sz w:val="24"/>
          <w:szCs w:val="24"/>
          <w:u w:color="000000"/>
          <w:rtl w:val="0"/>
          <w:lang w:val="en-US"/>
          <w14:textFill>
            <w14:solidFill>
              <w14:srgbClr w14:val="000000"/>
            </w14:solidFill>
          </w14:textFill>
        </w:rPr>
        <w:t> </w:t>
      </w: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This is equivalent to 2000 words towards the overall wordcount, please note this is not the actual number of words used in completing the table, the count reflects the thought and research behind it.</w:t>
      </w: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ind w:right="107"/>
        <w:jc w:val="both"/>
        <w:rPr>
          <w:rStyle w:val="None"/>
          <w:rFonts w:ascii="Arial" w:cs="Arial" w:hAnsi="Arial" w:eastAsia="Arial"/>
          <w:i w:val="1"/>
          <w:iCs w:val="1"/>
          <w:outline w:val="0"/>
          <w:color w:val="000000"/>
          <w:sz w:val="24"/>
          <w:szCs w:val="24"/>
          <w:u w:color="000000"/>
          <w14:textFill>
            <w14:solidFill>
              <w14:srgbClr w14:val="000000"/>
            </w14:solidFill>
          </w14:textFill>
        </w:rPr>
      </w:pPr>
    </w:p>
    <w:p>
      <w:pPr>
        <w:pStyle w:val="Body A"/>
        <w:jc w:val="center"/>
        <w:rPr>
          <w:rStyle w:val="None"/>
          <w:rFonts w:ascii="Arial" w:cs="Arial" w:hAnsi="Arial" w:eastAsia="Arial"/>
          <w:sz w:val="24"/>
          <w:szCs w:val="24"/>
        </w:rPr>
      </w:pPr>
      <w:r>
        <w:rPr>
          <w:rStyle w:val="None"/>
          <w:rFonts w:ascii="Arial" w:hAnsi="Arial"/>
          <w:b w:val="1"/>
          <w:bCs w:val="1"/>
          <w:outline w:val="0"/>
          <w:color w:val="000000"/>
          <w:u w:color="000000"/>
          <w:rtl w:val="0"/>
          <w:lang w:val="en-US"/>
          <w14:textFill>
            <w14:solidFill>
              <w14:srgbClr w14:val="000000"/>
            </w14:solidFill>
          </w14:textFill>
        </w:rPr>
        <w:t>Knowledge, Skills and Experience Assessment</w:t>
      </w:r>
      <w:r>
        <w:rPr>
          <w:rStyle w:val="None"/>
          <w:rFonts w:ascii="Arial" w:hAnsi="Arial" w:hint="default"/>
          <w:outline w:val="0"/>
          <w:color w:val="000000"/>
          <w:u w:color="000000"/>
          <w:rtl w:val="0"/>
          <w:lang w:val="en-US"/>
          <w14:textFill>
            <w14:solidFill>
              <w14:srgbClr w14:val="000000"/>
            </w14:solidFill>
          </w14:textFill>
        </w:rPr>
        <w:t> </w:t>
      </w:r>
    </w:p>
    <w:p>
      <w:pPr>
        <w:pStyle w:val="Body A"/>
        <w:ind w:right="107"/>
        <w:jc w:val="both"/>
        <w:rPr>
          <w:rStyle w:val="None"/>
          <w:rFonts w:ascii="Arial" w:cs="Arial" w:hAnsi="Arial" w:eastAsia="Arial"/>
          <w:outline w:val="0"/>
          <w:color w:val="000000"/>
          <w:sz w:val="24"/>
          <w:szCs w:val="24"/>
          <w:u w:color="000000"/>
          <w14:textFill>
            <w14:solidFill>
              <w14:srgbClr w14:val="000000"/>
            </w14:solidFill>
          </w14:textFill>
        </w:rPr>
      </w:pPr>
    </w:p>
    <w:tbl>
      <w:tblPr>
        <w:tblW w:w="88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15"/>
        <w:gridCol w:w="705"/>
        <w:gridCol w:w="705"/>
        <w:gridCol w:w="705"/>
        <w:gridCol w:w="705"/>
        <w:gridCol w:w="705"/>
        <w:gridCol w:w="720"/>
        <w:gridCol w:w="2520"/>
      </w:tblGrid>
      <w:tr>
        <w:tblPrEx>
          <w:shd w:val="clear" w:color="auto" w:fill="cdd4e9"/>
        </w:tblPrEx>
        <w:trPr>
          <w:trHeight w:val="940" w:hRule="atLeast"/>
        </w:trPr>
        <w:tc>
          <w:tcPr>
            <w:tcW w:type="dxa" w:w="211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5b9bd5"/>
            <w:tcMar>
              <w:top w:type="dxa" w:w="80"/>
              <w:left w:type="dxa" w:w="80"/>
              <w:bottom w:type="dxa" w:w="80"/>
              <w:right w:type="dxa" w:w="80"/>
            </w:tcMar>
            <w:vAlign w:val="top"/>
          </w:tcPr>
          <w:p>
            <w:pPr>
              <w:pStyle w:val="Body A"/>
            </w:pPr>
            <w:r>
              <w:rPr>
                <w:rStyle w:val="None"/>
                <w:rFonts w:ascii="Arial" w:hAnsi="Arial" w:hint="default"/>
                <w:shd w:val="nil" w:color="auto" w:fill="auto"/>
                <w:rtl w:val="0"/>
                <w:lang w:val="en-US"/>
              </w:rPr>
              <w:t> </w:t>
            </w:r>
          </w:p>
        </w:tc>
        <w:tc>
          <w:tcPr>
            <w:tcW w:type="dxa" w:w="2115"/>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5b9bd5"/>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REQUIRED</w:t>
            </w:r>
            <w:r>
              <w:rPr>
                <w:rStyle w:val="None"/>
                <w:rFonts w:ascii="Arial" w:hAnsi="Arial" w:hint="default"/>
                <w:shd w:val="nil" w:color="auto" w:fill="auto"/>
                <w:rtl w:val="0"/>
                <w:lang w:val="en-US"/>
              </w:rPr>
              <w:t> </w:t>
            </w:r>
          </w:p>
        </w:tc>
        <w:tc>
          <w:tcPr>
            <w:tcW w:type="dxa" w:w="213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5b9bd5"/>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RATING</w:t>
            </w:r>
            <w:r>
              <w:rPr>
                <w:rStyle w:val="None"/>
                <w:rFonts w:ascii="Arial" w:hAnsi="Arial" w:hint="default"/>
                <w:shd w:val="nil" w:color="auto" w:fill="auto"/>
                <w:rtl w:val="0"/>
                <w:lang w:val="en-US"/>
              </w:rPr>
              <w:t> </w:t>
            </w:r>
          </w:p>
        </w:tc>
        <w:tc>
          <w:tcPr>
            <w:tcW w:type="dxa" w:w="25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5b9bd5"/>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b w:val="1"/>
                <w:bCs w:val="1"/>
                <w:shd w:val="nil" w:color="auto" w:fill="auto"/>
                <w:rtl w:val="0"/>
                <w:lang w:val="en-US"/>
              </w:rPr>
              <w:t>DEVELOPMENT NEED</w:t>
            </w:r>
            <w:r>
              <w:rPr>
                <w:rStyle w:val="None"/>
                <w:rFonts w:ascii="Arial" w:hAnsi="Arial" w:hint="default"/>
                <w:shd w:val="nil" w:color="auto" w:fill="auto"/>
                <w:rtl w:val="0"/>
                <w:lang w:val="en-US"/>
              </w:rPr>
              <w:t> </w:t>
            </w:r>
          </w:p>
          <w:p>
            <w:pPr>
              <w:pStyle w:val="Body A"/>
              <w:bidi w:val="0"/>
              <w:ind w:left="0" w:right="0" w:firstLine="0"/>
              <w:jc w:val="left"/>
              <w:rPr>
                <w:rtl w:val="0"/>
              </w:rPr>
            </w:pPr>
            <w:r>
              <w:rPr>
                <w:rStyle w:val="None"/>
                <w:rFonts w:ascii="Arial" w:hAnsi="Arial" w:hint="default"/>
                <w:shd w:val="nil" w:color="auto" w:fill="auto"/>
                <w:rtl w:val="0"/>
                <w:lang w:val="en-US"/>
              </w:rPr>
              <w:t> </w:t>
            </w:r>
          </w:p>
        </w:tc>
      </w:tr>
      <w:tr>
        <w:tblPrEx>
          <w:shd w:val="clear" w:color="auto" w:fill="cdd4e9"/>
        </w:tblPrEx>
        <w:trPr>
          <w:trHeight w:val="4915" w:hRule="atLeast"/>
        </w:trPr>
        <w:tc>
          <w:tcPr>
            <w:tcW w:type="dxa" w:w="211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b w:val="1"/>
                <w:bCs w:val="1"/>
                <w:shd w:val="nil" w:color="auto" w:fill="auto"/>
                <w:rtl w:val="0"/>
                <w:lang w:val="en-US"/>
              </w:rPr>
              <w:t>KNOWLEDGE</w:t>
            </w:r>
            <w:r>
              <w:rPr>
                <w:rStyle w:val="None"/>
                <w:rFonts w:ascii="Arial" w:hAnsi="Arial" w:hint="default"/>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shd w:val="nil" w:color="auto" w:fill="auto"/>
                <w:rtl w:val="0"/>
                <w:lang w:val="en-US"/>
              </w:rPr>
              <w:t> </w:t>
            </w:r>
          </w:p>
          <w:p>
            <w:pPr>
              <w:pStyle w:val="Body A"/>
              <w:bidi w:val="0"/>
              <w:ind w:left="0" w:right="0" w:firstLine="0"/>
              <w:jc w:val="left"/>
              <w:rPr>
                <w:rtl w:val="0"/>
              </w:rPr>
            </w:pPr>
            <w:r>
              <w:rPr>
                <w:rStyle w:val="None"/>
                <w:rFonts w:ascii="Arial" w:hAnsi="Arial" w:hint="default"/>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b w:val="1"/>
                <w:bCs w:val="1"/>
                <w:sz w:val="20"/>
                <w:szCs w:val="20"/>
                <w:rtl w:val="0"/>
                <w:lang w:val="en-US"/>
              </w:rPr>
              <w:t>Low</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14:textOutline>
                  <w14:noFill/>
                </w14:textOutline>
              </w:rPr>
              <w:t>1-4</w:t>
            </w:r>
            <w:r>
              <w:rPr>
                <w:rStyle w:val="None"/>
                <w:rFonts w:ascii="Arial" w:hAnsi="Arial" w:hint="default"/>
                <w:b w:val="1"/>
                <w:bCs w:val="1"/>
                <w:sz w:val="20"/>
                <w:szCs w:val="20"/>
                <w:rtl w:val="0"/>
                <w:lang w:val="en-US"/>
                <w14:textOutline>
                  <w14:noFill/>
                </w14:textOutline>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Med</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5-7</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High</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8-10</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Low</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1-4</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Fonts w:ascii="Arial" w:cs="Arial" w:hAnsi="Arial" w:eastAsia="Arial"/>
                <w:b w:val="1"/>
                <w:bCs w:val="1"/>
                <w:sz w:val="20"/>
                <w:szCs w:val="20"/>
              </w:rPr>
            </w:pPr>
            <w:r>
              <w:rPr>
                <w:rStyle w:val="None"/>
                <w:rFonts w:ascii="Arial" w:hAnsi="Arial"/>
                <w:b w:val="1"/>
                <w:bCs w:val="1"/>
                <w:sz w:val="20"/>
                <w:szCs w:val="20"/>
                <w:rtl w:val="0"/>
                <w:lang w:val="en-US"/>
              </w:rPr>
              <w:t>Med</w:t>
            </w:r>
            <w:r>
              <w:rPr>
                <w:rStyle w:val="None"/>
                <w:rFonts w:ascii="Arial" w:hAnsi="Arial" w:hint="default"/>
                <w:b w:val="1"/>
                <w:bCs w:val="1"/>
                <w:sz w:val="20"/>
                <w:szCs w:val="20"/>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rPr>
              <w:t>5-7</w:t>
            </w:r>
            <w:r>
              <w:rPr>
                <w:rStyle w:val="None"/>
                <w:rFonts w:ascii="Arial" w:hAnsi="Arial" w:hint="default"/>
                <w:b w:val="1"/>
                <w:bCs w:val="1"/>
                <w:sz w:val="20"/>
                <w:szCs w:val="20"/>
                <w:rtl w:val="0"/>
                <w:lang w:val="en-US"/>
              </w:rPr>
              <w:t> </w:t>
            </w:r>
          </w:p>
        </w:tc>
        <w:tc>
          <w:tcPr>
            <w:tcW w:type="dxa" w:w="7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High</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8-10</w:t>
            </w:r>
            <w:r>
              <w:rPr>
                <w:rStyle w:val="None"/>
                <w:rFonts w:ascii="Arial" w:hAnsi="Arial" w:hint="default"/>
                <w:sz w:val="20"/>
                <w:szCs w:val="20"/>
                <w:shd w:val="nil" w:color="auto" w:fill="auto"/>
                <w:rtl w:val="0"/>
                <w:lang w:val="en-US"/>
              </w:rPr>
              <w:t> </w:t>
            </w:r>
          </w:p>
        </w:tc>
        <w:tc>
          <w:tcPr>
            <w:tcW w:type="dxa" w:w="25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hint="default"/>
                <w:shd w:val="nil" w:color="auto" w:fill="auto"/>
                <w:rtl w:val="0"/>
                <w:lang w:val="en-US"/>
              </w:rPr>
              <w:t> </w:t>
            </w:r>
            <w:r>
              <w:rPr>
                <w:rStyle w:val="None"/>
                <w:rFonts w:ascii="Arial" w:hAnsi="Arial"/>
                <w:shd w:val="nil" w:color="auto" w:fill="auto"/>
                <w:rtl w:val="0"/>
                <w:lang w:val="en-US"/>
              </w:rPr>
              <w:t>Development Need- I have not had the opportunity to deal with or make the application in relation to an an unexplained wealth order, Proceeds of Crime Act. I need to set time assisted to gain this knowledge through racing the legislation and also to visit the online Proceeds of Crime financial investigators support  system and review case law and cases that have been through the courts.</w:t>
            </w:r>
          </w:p>
        </w:tc>
      </w:tr>
      <w:tr>
        <w:tblPrEx>
          <w:shd w:val="clear" w:color="auto" w:fill="cdd4e9"/>
        </w:tblPrEx>
        <w:trPr>
          <w:trHeight w:val="5690" w:hRule="atLeast"/>
        </w:trPr>
        <w:tc>
          <w:tcPr>
            <w:tcW w:type="dxa" w:w="211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b w:val="1"/>
                <w:bCs w:val="1"/>
                <w:shd w:val="nil" w:color="auto" w:fill="auto"/>
                <w:rtl w:val="0"/>
                <w:lang w:val="en-US"/>
              </w:rPr>
              <w:t>SKILLS</w:t>
            </w: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b w:val="1"/>
                <w:bCs w:val="1"/>
                <w:shd w:val="nil" w:color="auto" w:fill="auto"/>
                <w:rtl w:val="0"/>
              </w:rPr>
            </w:pPr>
            <w:r>
              <w:rPr>
                <w:rStyle w:val="None"/>
                <w:rFonts w:ascii="Arial" w:hAnsi="Arial" w:hint="default"/>
                <w:b w:val="1"/>
                <w:bCs w:val="1"/>
                <w:shd w:val="nil" w:color="auto" w:fill="auto"/>
                <w:rtl w:val="0"/>
                <w:lang w:val="en-US"/>
              </w:rPr>
              <w:t> </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hd w:val="nil" w:color="auto" w:fill="auto"/>
                <w:lang w:val="en-US"/>
              </w:rPr>
            </w:pPr>
          </w:p>
          <w:p>
            <w:pPr>
              <w:pStyle w:val="Body A"/>
              <w:bidi w:val="0"/>
              <w:ind w:left="0" w:right="0" w:firstLine="0"/>
              <w:jc w:val="left"/>
              <w:rPr>
                <w:rtl w:val="0"/>
              </w:rPr>
            </w:pPr>
            <w:r>
              <w:rPr>
                <w:rStyle w:val="None"/>
                <w:rFonts w:ascii="Arial" w:hAnsi="Arial" w:hint="default"/>
                <w:b w:val="1"/>
                <w:bCs w:val="1"/>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Fonts w:ascii="Arial" w:cs="Arial" w:hAnsi="Arial" w:eastAsia="Arial"/>
                <w:b w:val="1"/>
                <w:bCs w:val="1"/>
                <w:sz w:val="20"/>
                <w:szCs w:val="20"/>
              </w:rPr>
            </w:pPr>
            <w:r>
              <w:rPr>
                <w:rStyle w:val="None"/>
                <w:rFonts w:ascii="Arial" w:hAnsi="Arial"/>
                <w:b w:val="1"/>
                <w:bCs w:val="1"/>
                <w:sz w:val="20"/>
                <w:szCs w:val="20"/>
                <w:rtl w:val="0"/>
                <w:lang w:val="en-US"/>
              </w:rPr>
              <w:t>Low</w:t>
            </w:r>
            <w:r>
              <w:rPr>
                <w:rStyle w:val="None"/>
                <w:rFonts w:ascii="Arial" w:hAnsi="Arial" w:hint="default"/>
                <w:b w:val="1"/>
                <w:bCs w:val="1"/>
                <w:sz w:val="20"/>
                <w:szCs w:val="20"/>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rPr>
              <w:t>1-4</w:t>
            </w:r>
            <w:r>
              <w:rPr>
                <w:rStyle w:val="None"/>
                <w:rFonts w:ascii="Arial" w:hAnsi="Arial" w:hint="default"/>
                <w:b w:val="1"/>
                <w:bCs w:val="1"/>
                <w:sz w:val="20"/>
                <w:szCs w:val="20"/>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Med</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5-7</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High</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8-10</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Low</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1-4</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Med</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5-7</w:t>
            </w:r>
            <w:r>
              <w:rPr>
                <w:rStyle w:val="None"/>
                <w:rFonts w:ascii="Arial" w:hAnsi="Arial" w:hint="default"/>
                <w:sz w:val="20"/>
                <w:szCs w:val="20"/>
                <w:shd w:val="nil" w:color="auto" w:fill="auto"/>
                <w:rtl w:val="0"/>
                <w:lang w:val="en-US"/>
              </w:rPr>
              <w:t> </w:t>
            </w:r>
          </w:p>
        </w:tc>
        <w:tc>
          <w:tcPr>
            <w:tcW w:type="dxa" w:w="7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Fonts w:ascii="Arial" w:cs="Arial" w:hAnsi="Arial" w:eastAsia="Arial"/>
                <w:b w:val="1"/>
                <w:bCs w:val="1"/>
                <w:sz w:val="20"/>
                <w:szCs w:val="20"/>
              </w:rPr>
            </w:pPr>
            <w:r>
              <w:rPr>
                <w:rStyle w:val="None"/>
                <w:rFonts w:ascii="Arial" w:hAnsi="Arial"/>
                <w:b w:val="1"/>
                <w:bCs w:val="1"/>
                <w:sz w:val="20"/>
                <w:szCs w:val="20"/>
                <w:rtl w:val="0"/>
                <w:lang w:val="en-US"/>
              </w:rPr>
              <w:t>High</w:t>
            </w:r>
            <w:r>
              <w:rPr>
                <w:rStyle w:val="None"/>
                <w:rFonts w:ascii="Arial" w:hAnsi="Arial" w:hint="default"/>
                <w:b w:val="1"/>
                <w:bCs w:val="1"/>
                <w:sz w:val="20"/>
                <w:szCs w:val="20"/>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rPr>
              <w:t>8-10</w:t>
            </w:r>
            <w:r>
              <w:rPr>
                <w:rStyle w:val="None"/>
                <w:rFonts w:ascii="Arial" w:hAnsi="Arial" w:hint="default"/>
                <w:b w:val="1"/>
                <w:bCs w:val="1"/>
                <w:sz w:val="20"/>
                <w:szCs w:val="20"/>
                <w:rtl w:val="0"/>
                <w:lang w:val="en-US"/>
              </w:rPr>
              <w:t> </w:t>
            </w:r>
          </w:p>
        </w:tc>
        <w:tc>
          <w:tcPr>
            <w:tcW w:type="dxa" w:w="25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We have used NICHE and HOLMES with regards to case management for a number of years, South Wales Police have now funded the ALTIA system, we have only used the feature with regards to reconciling bank accounts, this is now the full case management system. I am waiting for the next enquiry to come into the office so that I can get it on ALTIA. I will be attending training session on it for case management and also the supervision aspect of the system.</w:t>
            </w:r>
          </w:p>
        </w:tc>
      </w:tr>
      <w:tr>
        <w:tblPrEx>
          <w:shd w:val="clear" w:color="auto" w:fill="cdd4e9"/>
        </w:tblPrEx>
        <w:trPr>
          <w:trHeight w:val="4915" w:hRule="atLeast"/>
        </w:trPr>
        <w:tc>
          <w:tcPr>
            <w:tcW w:type="dxa" w:w="211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b w:val="1"/>
                <w:bCs w:val="1"/>
                <w:shd w:val="nil" w:color="auto" w:fill="auto"/>
                <w:rtl w:val="0"/>
                <w:lang w:val="en-US"/>
              </w:rPr>
              <w:t>EXPERIENCE</w:t>
            </w: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hint="default"/>
                <w:b w:val="1"/>
                <w:bCs w:val="1"/>
                <w:shd w:val="nil" w:color="auto" w:fill="auto"/>
                <w:rtl w:val="0"/>
                <w:lang w:val="en-US"/>
              </w:rPr>
              <w:t> </w:t>
            </w:r>
          </w:p>
          <w:p>
            <w:pPr>
              <w:pStyle w:val="Body A"/>
              <w:bidi w:val="0"/>
              <w:ind w:left="0" w:right="0" w:firstLine="0"/>
              <w:jc w:val="left"/>
              <w:rPr>
                <w:rtl w:val="0"/>
              </w:rPr>
            </w:pPr>
            <w:r>
              <w:rPr>
                <w:rStyle w:val="None"/>
                <w:rFonts w:ascii="Arial" w:hAnsi="Arial" w:hint="default"/>
                <w:b w:val="1"/>
                <w:bCs w:val="1"/>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Fonts w:ascii="Arial" w:cs="Arial" w:hAnsi="Arial" w:eastAsia="Arial"/>
                <w:b w:val="1"/>
                <w:bCs w:val="1"/>
                <w:sz w:val="20"/>
                <w:szCs w:val="20"/>
              </w:rPr>
            </w:pPr>
            <w:r>
              <w:rPr>
                <w:rStyle w:val="None"/>
                <w:rFonts w:ascii="Arial" w:hAnsi="Arial"/>
                <w:b w:val="1"/>
                <w:bCs w:val="1"/>
                <w:sz w:val="20"/>
                <w:szCs w:val="20"/>
                <w:rtl w:val="0"/>
                <w:lang w:val="en-US"/>
              </w:rPr>
              <w:t>Low</w:t>
            </w:r>
            <w:r>
              <w:rPr>
                <w:rStyle w:val="None"/>
                <w:rFonts w:ascii="Arial" w:hAnsi="Arial" w:hint="default"/>
                <w:b w:val="1"/>
                <w:bCs w:val="1"/>
                <w:sz w:val="20"/>
                <w:szCs w:val="20"/>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rPr>
              <w:t>1-4</w:t>
            </w:r>
            <w:r>
              <w:rPr>
                <w:rStyle w:val="None"/>
                <w:rFonts w:ascii="Arial" w:hAnsi="Arial" w:hint="default"/>
                <w:b w:val="1"/>
                <w:bCs w:val="1"/>
                <w:sz w:val="20"/>
                <w:szCs w:val="20"/>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Med</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5-7</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High</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8-10</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Low</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1-4</w:t>
            </w:r>
            <w:r>
              <w:rPr>
                <w:rStyle w:val="None"/>
                <w:rFonts w:ascii="Arial" w:hAnsi="Arial" w:hint="default"/>
                <w:sz w:val="20"/>
                <w:szCs w:val="20"/>
                <w:shd w:val="nil" w:color="auto" w:fill="auto"/>
                <w:rtl w:val="0"/>
                <w:lang w:val="en-US"/>
              </w:rPr>
              <w:t> </w:t>
            </w:r>
          </w:p>
        </w:tc>
        <w:tc>
          <w:tcPr>
            <w:tcW w:type="dxa" w:w="70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df7f"/>
            <w:tcMar>
              <w:top w:type="dxa" w:w="80"/>
              <w:left w:type="dxa" w:w="80"/>
              <w:bottom w:type="dxa" w:w="80"/>
              <w:right w:type="dxa" w:w="80"/>
            </w:tcMar>
            <w:vAlign w:val="top"/>
          </w:tcPr>
          <w:p>
            <w:pPr>
              <w:pStyle w:val="Body A"/>
              <w:rPr>
                <w:rFonts w:ascii="Arial" w:cs="Arial" w:hAnsi="Arial" w:eastAsia="Arial"/>
                <w:b w:val="1"/>
                <w:bCs w:val="1"/>
                <w:sz w:val="20"/>
                <w:szCs w:val="20"/>
              </w:rPr>
            </w:pPr>
            <w:r>
              <w:rPr>
                <w:rStyle w:val="None"/>
                <w:rFonts w:ascii="Arial" w:hAnsi="Arial"/>
                <w:b w:val="1"/>
                <w:bCs w:val="1"/>
                <w:sz w:val="20"/>
                <w:szCs w:val="20"/>
                <w:rtl w:val="0"/>
                <w:lang w:val="en-US"/>
              </w:rPr>
              <w:t>Med</w:t>
            </w:r>
            <w:r>
              <w:rPr>
                <w:rStyle w:val="None"/>
                <w:rFonts w:ascii="Arial" w:hAnsi="Arial" w:hint="default"/>
                <w:b w:val="1"/>
                <w:bCs w:val="1"/>
                <w:sz w:val="20"/>
                <w:szCs w:val="20"/>
                <w:rtl w:val="0"/>
                <w:lang w:val="en-US"/>
              </w:rPr>
              <w:t> </w:t>
            </w:r>
          </w:p>
          <w:p>
            <w:pPr>
              <w:pStyle w:val="Body A"/>
              <w:bidi w:val="0"/>
              <w:ind w:left="0" w:right="0" w:firstLine="0"/>
              <w:jc w:val="left"/>
              <w:rPr>
                <w:rtl w:val="0"/>
              </w:rPr>
            </w:pPr>
            <w:r>
              <w:rPr>
                <w:rStyle w:val="None"/>
                <w:rFonts w:ascii="Arial" w:hAnsi="Arial"/>
                <w:b w:val="1"/>
                <w:bCs w:val="1"/>
                <w:sz w:val="20"/>
                <w:szCs w:val="20"/>
                <w:rtl w:val="0"/>
                <w:lang w:val="en-US"/>
              </w:rPr>
              <w:t>5-7</w:t>
            </w:r>
            <w:r>
              <w:rPr>
                <w:rStyle w:val="None"/>
                <w:rFonts w:ascii="Arial" w:hAnsi="Arial" w:hint="default"/>
                <w:b w:val="1"/>
                <w:bCs w:val="1"/>
                <w:sz w:val="20"/>
                <w:szCs w:val="20"/>
                <w:rtl w:val="0"/>
                <w:lang w:val="en-US"/>
              </w:rPr>
              <w:t> </w:t>
            </w:r>
          </w:p>
        </w:tc>
        <w:tc>
          <w:tcPr>
            <w:tcW w:type="dxa" w:w="7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0"/>
                <w:szCs w:val="20"/>
                <w:shd w:val="nil" w:color="auto" w:fill="auto"/>
              </w:rPr>
            </w:pPr>
            <w:r>
              <w:rPr>
                <w:rStyle w:val="None"/>
                <w:rFonts w:ascii="Arial" w:hAnsi="Arial"/>
                <w:sz w:val="20"/>
                <w:szCs w:val="20"/>
                <w:shd w:val="nil" w:color="auto" w:fill="auto"/>
                <w:rtl w:val="0"/>
                <w:lang w:val="en-US"/>
              </w:rPr>
              <w:t>High</w:t>
            </w:r>
            <w:r>
              <w:rPr>
                <w:rStyle w:val="None"/>
                <w:rFonts w:ascii="Arial" w:hAnsi="Arial" w:hint="default"/>
                <w:sz w:val="20"/>
                <w:szCs w:val="20"/>
                <w:shd w:val="nil" w:color="auto" w:fill="auto"/>
                <w:rtl w:val="0"/>
                <w:lang w:val="en-US"/>
              </w:rPr>
              <w:t> </w:t>
            </w:r>
          </w:p>
          <w:p>
            <w:pPr>
              <w:pStyle w:val="Body A"/>
              <w:bidi w:val="0"/>
              <w:ind w:left="0" w:right="0" w:firstLine="0"/>
              <w:jc w:val="left"/>
              <w:rPr>
                <w:rtl w:val="0"/>
              </w:rPr>
            </w:pPr>
            <w:r>
              <w:rPr>
                <w:rStyle w:val="None"/>
                <w:rFonts w:ascii="Arial" w:hAnsi="Arial"/>
                <w:sz w:val="20"/>
                <w:szCs w:val="20"/>
                <w:shd w:val="nil" w:color="auto" w:fill="auto"/>
                <w:rtl w:val="0"/>
                <w:lang w:val="en-US"/>
              </w:rPr>
              <w:t>8-10</w:t>
            </w:r>
            <w:r>
              <w:rPr>
                <w:rStyle w:val="None"/>
                <w:rFonts w:ascii="Arial" w:hAnsi="Arial" w:hint="default"/>
                <w:sz w:val="20"/>
                <w:szCs w:val="20"/>
                <w:shd w:val="nil" w:color="auto" w:fill="auto"/>
                <w:rtl w:val="0"/>
                <w:lang w:val="en-US"/>
              </w:rPr>
              <w:t> </w:t>
            </w:r>
          </w:p>
        </w:tc>
        <w:tc>
          <w:tcPr>
            <w:tcW w:type="dxa" w:w="25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hint="default"/>
                <w:shd w:val="nil" w:color="auto" w:fill="auto"/>
                <w:rtl w:val="0"/>
                <w:lang w:val="en-US"/>
              </w:rPr>
              <w:t> </w:t>
            </w:r>
            <w:r>
              <w:rPr>
                <w:rStyle w:val="None"/>
                <w:rFonts w:ascii="Arial" w:hAnsi="Arial"/>
                <w:shd w:val="nil" w:color="auto" w:fill="auto"/>
                <w:rtl w:val="0"/>
                <w:lang w:val="en-US"/>
              </w:rPr>
              <w:t xml:space="preserve">As a supervisor I complete closure reports and also write reports for the Senior management team, I know I can always improve on this and my detective inspector has a certain niche in writing these reports and his management style. I would aim to get to this standard, I will continue to read his reports and others to prove on my writing skills and experience together with his management style. </w:t>
            </w:r>
          </w:p>
        </w:tc>
      </w:tr>
    </w:tbl>
    <w:p>
      <w:pPr>
        <w:pStyle w:val="Body A"/>
        <w:widowControl w:val="0"/>
        <w:spacing w:line="240" w:lineRule="auto"/>
        <w:ind w:left="108" w:hanging="108"/>
        <w:rPr>
          <w:rStyle w:val="None"/>
          <w:rFonts w:ascii="Arial" w:cs="Arial" w:hAnsi="Arial" w:eastAsia="Arial"/>
          <w:outline w:val="0"/>
          <w:color w:val="000000"/>
          <w:sz w:val="24"/>
          <w:szCs w:val="24"/>
          <w:u w:color="000000"/>
          <w14:textFill>
            <w14:solidFill>
              <w14:srgbClr w14:val="000000"/>
            </w14:solidFill>
          </w14:textFill>
        </w:rPr>
      </w:pPr>
    </w:p>
    <w:p>
      <w:pPr>
        <w:pStyle w:val="Body A"/>
        <w:widowControl w:val="0"/>
        <w:spacing w:line="240" w:lineRule="auto"/>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rPr>
          <w:rStyle w:val="None"/>
          <w:rFonts w:ascii="Arial" w:cs="Arial" w:hAnsi="Arial" w:eastAsia="Arial"/>
          <w:b w:val="1"/>
          <w:bCs w:val="1"/>
          <w:sz w:val="28"/>
          <w:szCs w:val="28"/>
        </w:rPr>
      </w:pPr>
    </w:p>
    <w:p>
      <w:pPr>
        <w:pStyle w:val="Body A"/>
        <w:rPr>
          <w:rStyle w:val="None"/>
          <w:rFonts w:ascii="Arial" w:cs="Arial" w:hAnsi="Arial" w:eastAsia="Arial"/>
          <w:b w:val="1"/>
          <w:bCs w:val="1"/>
          <w:sz w:val="28"/>
          <w:szCs w:val="28"/>
        </w:rPr>
      </w:pPr>
    </w:p>
    <w:p>
      <w:pPr>
        <w:pStyle w:val="Body A"/>
        <w:spacing w:before="240" w:after="60"/>
        <w:ind w:right="237"/>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b w:val="1"/>
          <w:bCs w:val="1"/>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fr-FR"/>
          <w14:textFill>
            <w14:solidFill>
              <w14:srgbClr w14:val="000000"/>
            </w14:solidFill>
          </w14:textFill>
        </w:rPr>
        <w:t>Bibliography</w:t>
      </w: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b w:val="1"/>
          <w:bCs w:val="1"/>
          <w:outline w:val="0"/>
          <w:color w:val="000000"/>
          <w:sz w:val="24"/>
          <w:szCs w:val="24"/>
          <w:u w:color="000000"/>
          <w14:textFill>
            <w14:solidFill>
              <w14:srgbClr w14:val="000000"/>
            </w14:solidFill>
          </w14:textFill>
        </w:rPr>
      </w:pPr>
      <w:r>
        <w:rPr>
          <w:rStyle w:val="None"/>
          <w:rFonts w:ascii="Arial" w:hAnsi="Arial"/>
          <w:b w:val="1"/>
          <w:bCs w:val="1"/>
          <w:outline w:val="0"/>
          <w:color w:val="000000"/>
          <w:sz w:val="24"/>
          <w:szCs w:val="24"/>
          <w:u w:color="000000"/>
          <w:rtl w:val="0"/>
          <w:lang w:val="en-US"/>
          <w14:textFill>
            <w14:solidFill>
              <w14:srgbClr w14:val="000000"/>
            </w14:solidFill>
          </w14:textFill>
        </w:rPr>
        <w:t xml:space="preserve">Harvard Refencing Guide Link: </w:t>
      </w:r>
    </w:p>
    <w:p>
      <w:pPr>
        <w:pStyle w:val="Body A"/>
        <w:spacing w:before="240" w:after="60"/>
        <w:ind w:right="237"/>
        <w:jc w:val="both"/>
        <w:rPr>
          <w:rStyle w:val="None"/>
          <w:rFonts w:ascii="Arial" w:cs="Arial" w:hAnsi="Arial" w:eastAsia="Arial"/>
          <w:sz w:val="24"/>
          <w:szCs w:val="24"/>
        </w:rPr>
      </w:pPr>
      <w:r>
        <w:rPr>
          <w:rStyle w:val="Hyperlink.12"/>
        </w:rPr>
        <w:fldChar w:fldCharType="begin" w:fldLock="0"/>
      </w:r>
      <w:r>
        <w:rPr>
          <w:rStyle w:val="Hyperlink.12"/>
        </w:rPr>
        <w:instrText xml:space="preserve"> HYPERLINK "https://moodle.uwtsd.ac.uk/pluginfile.php/324905/mod_resource/content/1/Harvard%252520Referencing%252520GUide.pdf"</w:instrText>
      </w:r>
      <w:r>
        <w:rPr>
          <w:rStyle w:val="Hyperlink.12"/>
        </w:rPr>
        <w:fldChar w:fldCharType="separate" w:fldLock="0"/>
      </w:r>
      <w:r>
        <w:rPr>
          <w:rStyle w:val="Hyperlink.12"/>
          <w:rtl w:val="0"/>
          <w:lang w:val="en-US"/>
        </w:rPr>
        <w:t>https://moodle.uwtsd.ac.uk/pluginfile.php/324905/mod_resource/content/1/Harvard%20Referencing%20GUide.pdf</w:t>
      </w:r>
      <w:r>
        <w:rPr/>
        <w:fldChar w:fldCharType="end" w:fldLock="0"/>
      </w: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spacing w:before="240" w:after="60"/>
        <w:ind w:right="237"/>
        <w:jc w:val="both"/>
        <w:rPr>
          <w:rStyle w:val="None"/>
          <w:rFonts w:ascii="Arial" w:cs="Arial" w:hAnsi="Arial" w:eastAsia="Arial"/>
          <w:outline w:val="0"/>
          <w:color w:val="000000"/>
          <w:sz w:val="24"/>
          <w:szCs w:val="24"/>
          <w:u w:color="000000"/>
          <w14:textFill>
            <w14:solidFill>
              <w14:srgbClr w14:val="000000"/>
            </w14:solidFill>
          </w14:textFill>
        </w:rPr>
      </w:pP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Signed:  _</w:t>
      </w:r>
      <w:r>
        <w:rPr>
          <w:rStyle w:val="None"/>
          <w:rFonts w:ascii="Arial" w:hAnsi="Arial"/>
          <w:outline w:val="0"/>
          <w:color w:val="000000"/>
          <w:sz w:val="24"/>
          <w:szCs w:val="24"/>
          <w:u w:color="000000"/>
          <w:rtl w:val="0"/>
          <w:lang w:val="en-US"/>
          <w14:textFill>
            <w14:solidFill>
              <w14:srgbClr w14:val="000000"/>
            </w14:solidFill>
          </w14:textFill>
        </w:rPr>
        <w:t>T Peach</w:t>
      </w:r>
      <w:r>
        <w:rPr>
          <w:rStyle w:val="None"/>
          <w:rFonts w:ascii="Arial" w:hAnsi="Arial"/>
          <w:outline w:val="0"/>
          <w:color w:val="000000"/>
          <w:sz w:val="24"/>
          <w:szCs w:val="24"/>
          <w:u w:color="000000"/>
          <w:rtl w:val="0"/>
          <w:lang w:val="en-US"/>
          <w14:textFill>
            <w14:solidFill>
              <w14:srgbClr w14:val="000000"/>
            </w14:solidFill>
          </w14:textFill>
        </w:rPr>
        <w:t xml:space="preserve"> _ _ _ _ _ _ _ _ _ _ _ _ (Learner, Electronic signature or type name)</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14:textFill>
            <w14:solidFill>
              <w14:srgbClr w14:val="000000"/>
            </w14:solidFill>
          </w14:textFill>
        </w:rPr>
        <w:t xml:space="preserve"> </w:t>
      </w:r>
    </w:p>
    <w:p>
      <w:pPr>
        <w:pStyle w:val="Body A"/>
        <w:jc w:val="both"/>
        <w:rPr>
          <w:rStyle w:val="None"/>
          <w:rFonts w:ascii="Arial" w:cs="Arial" w:hAnsi="Arial" w:eastAsia="Arial"/>
          <w:outline w:val="0"/>
          <w:color w:val="000000"/>
          <w:sz w:val="24"/>
          <w:szCs w:val="24"/>
          <w:u w:color="000000"/>
          <w14:textFill>
            <w14:solidFill>
              <w14:srgbClr w14:val="000000"/>
            </w14:solidFill>
          </w14:textFill>
        </w:rPr>
      </w:pPr>
      <w:r>
        <w:rPr>
          <w:rStyle w:val="None"/>
          <w:rFonts w:ascii="Arial" w:hAnsi="Arial"/>
          <w:outline w:val="0"/>
          <w:color w:val="000000"/>
          <w:sz w:val="24"/>
          <w:szCs w:val="24"/>
          <w:u w:color="000000"/>
          <w:rtl w:val="0"/>
          <w:lang w:val="en-US"/>
          <w14:textFill>
            <w14:solidFill>
              <w14:srgbClr w14:val="000000"/>
            </w14:solidFill>
          </w14:textFill>
        </w:rPr>
        <w:t>Date: _</w:t>
      </w:r>
      <w:r>
        <w:rPr>
          <w:rStyle w:val="None"/>
          <w:rFonts w:ascii="Arial" w:hAnsi="Arial"/>
          <w:outline w:val="0"/>
          <w:color w:val="000000"/>
          <w:sz w:val="24"/>
          <w:szCs w:val="24"/>
          <w:u w:color="000000"/>
          <w:rtl w:val="0"/>
          <w:lang w:val="en-US"/>
          <w14:textFill>
            <w14:solidFill>
              <w14:srgbClr w14:val="000000"/>
            </w14:solidFill>
          </w14:textFill>
        </w:rPr>
        <w:t>8 May 2022</w:t>
      </w:r>
      <w:r>
        <w:rPr>
          <w:rStyle w:val="None"/>
          <w:rFonts w:ascii="Arial" w:hAnsi="Arial"/>
          <w:outline w:val="0"/>
          <w:color w:val="000000"/>
          <w:sz w:val="24"/>
          <w:szCs w:val="24"/>
          <w:u w:color="000000"/>
          <w:rtl w:val="0"/>
          <w:lang w:val="en-US"/>
          <w14:textFill>
            <w14:solidFill>
              <w14:srgbClr w14:val="000000"/>
            </w14:solidFill>
          </w14:textFill>
        </w:rPr>
        <w:t xml:space="preserve"> _ _ _ _ _ _ _ _ _</w:t>
      </w:r>
    </w:p>
    <w:p>
      <w:pPr>
        <w:pStyle w:val="Body A"/>
      </w:pPr>
      <w:r>
        <w:rPr>
          <w:rStyle w:val="None"/>
          <w:rFonts w:ascii="Arial" w:cs="Arial" w:hAnsi="Arial" w:eastAsia="Arial"/>
          <w:b w:val="1"/>
          <w:bCs w:val="1"/>
          <w:outline w:val="0"/>
          <w:color w:val="000000"/>
          <w:sz w:val="24"/>
          <w:szCs w:val="24"/>
          <w:u w:color="000000"/>
          <w14:textFill>
            <w14:solidFill>
              <w14:srgbClr w14:val="000000"/>
            </w14:solidFill>
          </w14:textFill>
        </w:rPr>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Bullet"/>
  </w:abstractNum>
  <w:abstractNum w:abstractNumId="7">
    <w:multiLevelType w:val="hybridMultilevel"/>
    <w:styleLink w:val="Bullet"/>
    <w:lvl w:ilvl="0">
      <w:start w:val="1"/>
      <w:numFmt w:val="bullet"/>
      <w:suff w:val="tab"/>
      <w:lvlText w:val="•"/>
      <w:lvlJc w:val="left"/>
      <w:pPr>
        <w:ind w:left="19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1"/>
    </w:lvlOverride>
  </w:num>
  <w:num w:numId="8">
    <w:abstractNumId w:val="7"/>
  </w:num>
  <w:num w:numId="9">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0563c1"/>
      <w:sz w:val="24"/>
      <w:szCs w:val="24"/>
      <w:u w:val="single" w:color="0563c1"/>
      <w:lang w:val="en-US"/>
      <w14:textFill>
        <w14:solidFill>
          <w14:srgbClr w14:val="0563C1"/>
        </w14:solidFill>
      </w14:textFill>
    </w:rPr>
  </w:style>
  <w:style w:type="character" w:styleId="Hyperlink.1">
    <w:name w:val="Hyperlink.1"/>
    <w:basedOn w:val="None"/>
    <w:next w:val="Hyperlink.1"/>
    <w:rPr>
      <w:rFonts w:ascii="Arial" w:cs="Arial" w:hAnsi="Arial" w:eastAsia="Arial"/>
      <w:outline w:val="0"/>
      <w:color w:val="0563c1"/>
      <w:sz w:val="24"/>
      <w:szCs w:val="24"/>
      <w:u w:val="single" w:color="0563c1"/>
      <w:lang w:val="nl-NL"/>
      <w14:textFill>
        <w14:solidFill>
          <w14:srgbClr w14:val="0563C1"/>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Numbered">
    <w:name w:val="Numbered"/>
    <w:pPr>
      <w:numPr>
        <w:numId w:val="5"/>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Hyperlink.2">
    <w:name w:val="Hyperlink.2"/>
    <w:basedOn w:val="None"/>
    <w:next w:val="Hyperlink.2"/>
    <w:rPr>
      <w:rFonts w:ascii="Times Roman" w:cs="Times Roman" w:hAnsi="Times Roman" w:eastAsia="Times Roman"/>
      <w:outline w:val="0"/>
      <w:color w:val="2c3e50"/>
      <w:u w:val="single" w:color="0563c1"/>
      <w:shd w:val="nil" w:color="auto" w:fill="auto"/>
      <w14:textFill>
        <w14:solidFill>
          <w14:srgbClr w14:val="2C3E50"/>
        </w14:solidFill>
      </w14:textFill>
    </w:rPr>
  </w:style>
  <w:style w:type="character" w:styleId="Hyperlink.3">
    <w:name w:val="Hyperlink.3"/>
    <w:basedOn w:val="None"/>
    <w:next w:val="Hyperlink.3"/>
    <w:rPr>
      <w:rFonts w:ascii="Times Roman" w:cs="Times Roman" w:hAnsi="Times Roman" w:eastAsia="Times Roman"/>
      <w:outline w:val="0"/>
      <w:color w:val="000000"/>
      <w:sz w:val="24"/>
      <w:szCs w:val="24"/>
      <w:u w:val="single" w:color="0563c1"/>
      <w:lang w:val="en-US"/>
      <w14:textFill>
        <w14:solidFill>
          <w14:srgbClr w14:val="000000"/>
        </w14:solidFill>
      </w14:textFill>
    </w:rPr>
  </w:style>
  <w:style w:type="character" w:styleId="Hyperlink.4">
    <w:name w:val="Hyperlink.4"/>
    <w:basedOn w:val="None"/>
    <w:next w:val="Hyperlink.4"/>
    <w:rPr>
      <w:rFonts w:ascii="Times New Roman" w:cs="Times New Roman" w:hAnsi="Times New Roman" w:eastAsia="Times New Roman"/>
      <w:outline w:val="0"/>
      <w:color w:val="000000"/>
      <w:sz w:val="24"/>
      <w:szCs w:val="24"/>
      <w:u w:val="single" w:color="0563c1"/>
      <w:lang w:val="en-US"/>
      <w14:textFill>
        <w14:solidFill>
          <w14:srgbClr w14:val="000000"/>
        </w14:solidFill>
      </w14:textFill>
    </w:rPr>
  </w:style>
  <w:style w:type="character" w:styleId="Hyperlink.5">
    <w:name w:val="Hyperlink.5"/>
    <w:basedOn w:val="None"/>
    <w:next w:val="Hyperlink.5"/>
    <w:rPr>
      <w:rFonts w:ascii="Times Roman" w:cs="Times Roman" w:hAnsi="Times Roman" w:eastAsia="Times Roman"/>
      <w:outline w:val="0"/>
      <w:color w:val="666666"/>
      <w:u w:val="single" w:color="0563c1"/>
      <w:shd w:val="clear" w:color="auto" w:fill="ffffff"/>
      <w14:textFill>
        <w14:solidFill>
          <w14:srgbClr w14:val="666666"/>
        </w14:solidFill>
      </w14:textFill>
    </w:rPr>
  </w:style>
  <w:style w:type="character" w:styleId="Hyperlink.6">
    <w:name w:val="Hyperlink.6"/>
    <w:basedOn w:val="None"/>
    <w:next w:val="Hyperlink.6"/>
    <w:rPr>
      <w:rFonts w:ascii="Times Roman" w:cs="Times Roman" w:hAnsi="Times Roman" w:eastAsia="Times Roman"/>
      <w:outline w:val="0"/>
      <w:color w:val="2c3e50"/>
      <w:u w:val="single" w:color="0563c1"/>
      <w:shd w:val="clear" w:color="auto" w:fill="ffffff"/>
      <w14:textFill>
        <w14:solidFill>
          <w14:srgbClr w14:val="2C3E50"/>
        </w14:solidFill>
      </w14:textFill>
    </w:rPr>
  </w:style>
  <w:style w:type="character" w:styleId="Hyperlink.7">
    <w:name w:val="Hyperlink.7"/>
    <w:basedOn w:val="None"/>
    <w:next w:val="Hyperlink.7"/>
    <w:rPr>
      <w:rFonts w:ascii="Times Roman" w:cs="Times Roman" w:hAnsi="Times Roman" w:eastAsia="Times Roman"/>
      <w:sz w:val="24"/>
      <w:szCs w:val="24"/>
      <w:u w:color="0563c1"/>
      <w:lang w:val="en-US"/>
    </w:rPr>
  </w:style>
  <w:style w:type="character" w:styleId="Hyperlink.8">
    <w:name w:val="Hyperlink.8"/>
    <w:basedOn w:val="None"/>
    <w:next w:val="Hyperlink.8"/>
    <w:rPr>
      <w:rFonts w:ascii="Times Roman" w:cs="Times Roman" w:hAnsi="Times Roman" w:eastAsia="Times Roman"/>
      <w:outline w:val="0"/>
      <w:color w:val="555555"/>
      <w:sz w:val="24"/>
      <w:szCs w:val="24"/>
      <w:u w:val="single" w:color="0563c1"/>
      <w:lang w:val="en-US"/>
      <w14:textFill>
        <w14:solidFill>
          <w14:srgbClr w14:val="555555"/>
        </w14:solidFill>
      </w14:textFill>
    </w:rPr>
  </w:style>
  <w:style w:type="character" w:styleId="Hyperlink.9">
    <w:name w:val="Hyperlink.9"/>
    <w:basedOn w:val="None"/>
    <w:next w:val="Hyperlink.9"/>
    <w:rPr>
      <w:rFonts w:ascii="Times Roman" w:cs="Times Roman" w:hAnsi="Times Roman" w:eastAsia="Times Roman"/>
      <w:outline w:val="0"/>
      <w:color w:val="555555"/>
      <w:u w:val="single" w:color="0563c1"/>
      <w:shd w:val="clear" w:color="auto" w:fill="ffffff"/>
      <w:lang w:val="en-US"/>
      <w14:textFill>
        <w14:solidFill>
          <w14:srgbClr w14:val="555555"/>
        </w14:solidFill>
      </w14:textFill>
    </w:rPr>
  </w:style>
  <w:style w:type="character" w:styleId="Hyperlink.10">
    <w:name w:val="Hyperlink.10"/>
    <w:basedOn w:val="None"/>
    <w:next w:val="Hyperlink.10"/>
    <w:rPr>
      <w:rFonts w:ascii="Times Roman" w:cs="Times Roman" w:hAnsi="Times Roman" w:eastAsia="Times Roman"/>
      <w:outline w:val="0"/>
      <w:color w:val="555555"/>
      <w:u w:val="single" w:color="0563c1"/>
      <w:shd w:val="clear" w:color="auto" w:fill="ffffff"/>
      <w14:textFill>
        <w14:solidFill>
          <w14:srgbClr w14:val="555555"/>
        </w14:solidFill>
      </w14:textFill>
    </w:rPr>
  </w:style>
  <w:style w:type="numbering" w:styleId="Bullet">
    <w:name w:val="Bullet"/>
    <w:pPr>
      <w:numPr>
        <w:numId w:val="8"/>
      </w:numPr>
    </w:pPr>
  </w:style>
  <w:style w:type="character" w:styleId="Hyperlink.11">
    <w:name w:val="Hyperlink.11"/>
    <w:basedOn w:val="None"/>
    <w:next w:val="Hyperlink.11"/>
    <w:rPr>
      <w:rFonts w:ascii="Times Roman" w:cs="Times Roman" w:hAnsi="Times Roman" w:eastAsia="Times Roman"/>
      <w:outline w:val="0"/>
      <w:color w:val="2c3e50"/>
      <w:sz w:val="24"/>
      <w:szCs w:val="24"/>
      <w:u w:val="single" w:color="0563c1"/>
      <w:lang w:val="en-US"/>
      <w14:textFill>
        <w14:solidFill>
          <w14:srgbClr w14:val="2C3E50"/>
        </w14:solidFill>
      </w14:textFill>
    </w:rPr>
  </w:style>
  <w:style w:type="character" w:styleId="Hyperlink.12">
    <w:name w:val="Hyperlink.12"/>
    <w:basedOn w:val="None"/>
    <w:next w:val="Hyperlink.12"/>
    <w:rPr>
      <w:rFonts w:ascii="Calibri" w:cs="Calibri" w:hAnsi="Calibri" w:eastAsia="Calibri"/>
      <w:outline w:val="0"/>
      <w:color w:val="0563c1"/>
      <w:sz w:val="24"/>
      <w:szCs w:val="24"/>
      <w:u w:val="single" w:color="0563c1"/>
      <w:lang w:val="en-US"/>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