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SMU ARIAL 14 BOLD"/>
        <w:spacing w:before="0"/>
        <w:jc w:val="center"/>
      </w:pPr>
      <w:r>
        <w:drawing xmlns:a="http://schemas.openxmlformats.org/drawingml/2006/main">
          <wp:inline distT="0" distB="0" distL="0" distR="0">
            <wp:extent cx="1798320" cy="741045"/>
            <wp:effectExtent l="0" t="0" r="0" b="0"/>
            <wp:docPr id="1073741825" name="officeArt object" descr="TSD_logo2010"/>
            <wp:cNvGraphicFramePr/>
            <a:graphic xmlns:a="http://schemas.openxmlformats.org/drawingml/2006/main">
              <a:graphicData uri="http://schemas.openxmlformats.org/drawingml/2006/picture">
                <pic:pic xmlns:pic="http://schemas.openxmlformats.org/drawingml/2006/picture">
                  <pic:nvPicPr>
                    <pic:cNvPr id="1073741825" name="TSD_logo2010" descr="TSD_logo2010"/>
                    <pic:cNvPicPr>
                      <a:picLocks noChangeAspect="1"/>
                    </pic:cNvPicPr>
                  </pic:nvPicPr>
                  <pic:blipFill>
                    <a:blip r:embed="rId4">
                      <a:extLst/>
                    </a:blip>
                    <a:stretch>
                      <a:fillRect/>
                    </a:stretch>
                  </pic:blipFill>
                  <pic:spPr>
                    <a:xfrm>
                      <a:off x="0" y="0"/>
                      <a:ext cx="1798320" cy="741045"/>
                    </a:xfrm>
                    <a:prstGeom prst="rect">
                      <a:avLst/>
                    </a:prstGeom>
                    <a:ln w="12700" cap="flat">
                      <a:noFill/>
                      <a:miter lim="400000"/>
                    </a:ln>
                    <a:effectLst/>
                  </pic:spPr>
                </pic:pic>
              </a:graphicData>
            </a:graphic>
          </wp:inline>
        </w:drawing>
      </w:r>
    </w:p>
    <w:p>
      <w:pPr>
        <w:pStyle w:val="SMU ARIAL 14 BOLD"/>
        <w:spacing w:before="0"/>
        <w:jc w:val="center"/>
      </w:pPr>
    </w:p>
    <w:p>
      <w:pPr>
        <w:pStyle w:val="Body"/>
        <w:spacing w:line="276" w:lineRule="auto"/>
        <w:jc w:val="center"/>
        <w:rPr>
          <w:rFonts w:ascii="Arial" w:cs="Arial" w:hAnsi="Arial" w:eastAsia="Arial"/>
          <w:b w:val="1"/>
          <w:bCs w:val="1"/>
        </w:rPr>
      </w:pPr>
      <w:r>
        <w:rPr>
          <w:rFonts w:ascii="Arial" w:hAnsi="Arial"/>
          <w:b w:val="1"/>
          <w:bCs w:val="1"/>
          <w:rtl w:val="0"/>
          <w:lang w:val="en-US"/>
        </w:rPr>
        <w:t>ECPS6001: Psychology Empirical Project</w:t>
      </w:r>
    </w:p>
    <w:p>
      <w:pPr>
        <w:pStyle w:val="Body"/>
        <w:spacing w:line="276" w:lineRule="auto"/>
        <w:jc w:val="center"/>
        <w:rPr>
          <w:rFonts w:ascii="Arial" w:cs="Arial" w:hAnsi="Arial" w:eastAsia="Arial"/>
          <w:b w:val="1"/>
          <w:bCs w:val="1"/>
        </w:rPr>
      </w:pPr>
      <w:r>
        <w:rPr>
          <w:rFonts w:ascii="Arial" w:hAnsi="Arial"/>
          <w:b w:val="1"/>
          <w:bCs w:val="1"/>
          <w:rtl w:val="0"/>
          <w:lang w:val="en-US"/>
        </w:rPr>
        <w:t>Research Proposal</w:t>
      </w:r>
    </w:p>
    <w:p>
      <w:pPr>
        <w:pStyle w:val="Body"/>
        <w:spacing w:line="276" w:lineRule="auto"/>
        <w:jc w:val="center"/>
        <w:rPr>
          <w:rFonts w:ascii="Arial" w:cs="Arial" w:hAnsi="Arial" w:eastAsia="Arial"/>
          <w:b w:val="1"/>
          <w:bCs w:val="1"/>
        </w:rPr>
      </w:pPr>
    </w:p>
    <w:p>
      <w:pPr>
        <w:pStyle w:val="Body"/>
        <w:spacing w:line="276" w:lineRule="auto"/>
        <w:rPr>
          <w:rFonts w:ascii="Arial" w:cs="Arial" w:hAnsi="Arial" w:eastAsia="Arial"/>
        </w:rPr>
      </w:pPr>
      <w:r>
        <w:rPr>
          <w:rFonts w:ascii="Arial" w:hAnsi="Arial"/>
          <w:rtl w:val="0"/>
          <w:lang w:val="en-US"/>
        </w:rPr>
        <w:t xml:space="preserve">Assessment Component 1: Research proposal (1,000 words) worth 10% of the overall module mark for the Psychology Empirical Project. The proposal form will be marked in line with the Level Six Grading Rubric. The boxes below will expand as you type.  </w:t>
      </w:r>
    </w:p>
    <w:tbl>
      <w:tblPr>
        <w:tblW w:w="1036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508"/>
        <w:gridCol w:w="7860"/>
      </w:tblGrid>
      <w:tr>
        <w:tblPrEx>
          <w:shd w:val="clear" w:color="auto" w:fill="d0ddef"/>
        </w:tblPrEx>
        <w:trPr>
          <w:trHeight w:val="638" w:hRule="atLeast"/>
        </w:trPr>
        <w:tc>
          <w:tcPr>
            <w:tcW w:type="dxa" w:w="2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Student Name and University ID number:</w:t>
            </w:r>
          </w:p>
        </w:tc>
        <w:tc>
          <w:tcPr>
            <w:tcW w:type="dxa" w:w="78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Ashlee Ryan- Rose</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2103457</w:t>
            </w:r>
          </w:p>
        </w:tc>
      </w:tr>
      <w:tr>
        <w:tblPrEx>
          <w:shd w:val="clear" w:color="auto" w:fill="d0ddef"/>
        </w:tblPrEx>
        <w:trPr>
          <w:trHeight w:val="662" w:hRule="atLeast"/>
        </w:trPr>
        <w:tc>
          <w:tcPr>
            <w:tcW w:type="dxa" w:w="25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0e0e0"/>
            <w:tcMar>
              <w:top w:type="dxa" w:w="80"/>
              <w:left w:type="dxa" w:w="80"/>
              <w:bottom w:type="dxa" w:w="80"/>
              <w:right w:type="dxa" w:w="80"/>
            </w:tcMar>
            <w:vAlign w:val="top"/>
          </w:tcPr>
          <w:p>
            <w:pPr>
              <w:pStyle w:val="Body"/>
            </w:pPr>
            <w:r>
              <w:rPr>
                <w:rFonts w:ascii="Arial" w:hAnsi="Arial"/>
                <w:sz w:val="22"/>
                <w:szCs w:val="22"/>
                <w:shd w:val="nil" w:color="auto" w:fill="auto"/>
                <w:rtl w:val="0"/>
                <w:lang w:val="en-US"/>
              </w:rPr>
              <w:t>Proposed Supervisor</w:t>
            </w:r>
            <w:r>
              <w:rPr>
                <w:rFonts w:ascii="Arial" w:hAnsi="Arial" w:hint="default"/>
                <w:sz w:val="22"/>
                <w:szCs w:val="22"/>
                <w:shd w:val="nil" w:color="auto" w:fill="auto"/>
                <w:rtl w:val="0"/>
                <w:lang w:val="en-US"/>
              </w:rPr>
              <w:t>’</w:t>
            </w:r>
            <w:r>
              <w:rPr>
                <w:rFonts w:ascii="Arial" w:hAnsi="Arial"/>
                <w:sz w:val="22"/>
                <w:szCs w:val="22"/>
                <w:shd w:val="nil" w:color="auto" w:fill="auto"/>
                <w:rtl w:val="0"/>
                <w:lang w:val="en-US"/>
              </w:rPr>
              <w:t>s name:</w:t>
            </w:r>
          </w:p>
        </w:tc>
        <w:tc>
          <w:tcPr>
            <w:tcW w:type="dxa" w:w="786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sz w:val="20"/>
                <w:szCs w:val="20"/>
                <w:shd w:val="nil" w:color="auto" w:fill="auto"/>
                <w:lang w:val="en-US"/>
              </w:rPr>
            </w:pPr>
            <w:r>
              <w:rPr>
                <w:i w:val="1"/>
                <w:iCs w:val="1"/>
                <w:sz w:val="20"/>
                <w:szCs w:val="20"/>
                <w:rtl w:val="0"/>
                <w:lang w:val="en-US"/>
              </w:rPr>
              <w:t>Dr. Judith Marshall</w:t>
            </w:r>
          </w:p>
          <w:p>
            <w:pPr>
              <w:pStyle w:val="Body"/>
            </w:pPr>
            <w:r>
              <w:rPr>
                <w:i w:val="1"/>
                <w:iCs w:val="1"/>
                <w:sz w:val="20"/>
                <w:szCs w:val="20"/>
                <w:shd w:val="nil" w:color="auto" w:fill="auto"/>
                <w:lang w:val="en-US"/>
              </w:rPr>
            </w:r>
          </w:p>
        </w:tc>
      </w:tr>
    </w:tbl>
    <w:p>
      <w:pPr>
        <w:pStyle w:val="SMU ARIAL 14 BOLD"/>
        <w:spacing w:before="0"/>
        <w:rPr>
          <w:b w:val="0"/>
          <w:bCs w:val="0"/>
          <w:sz w:val="32"/>
          <w:szCs w:val="32"/>
        </w:rPr>
      </w:pPr>
    </w:p>
    <w:p>
      <w:pPr>
        <w:pStyle w:val="Body"/>
        <w:rPr>
          <w:rFonts w:ascii="Arial" w:cs="Arial" w:hAnsi="Arial" w:eastAsia="Arial"/>
          <w:b w:val="1"/>
          <w:bCs w:val="1"/>
          <w:sz w:val="20"/>
          <w:szCs w:val="20"/>
        </w:rPr>
      </w:pPr>
      <w:r>
        <w:rPr>
          <w:rFonts w:ascii="Arial" w:hAnsi="Arial"/>
          <w:b w:val="1"/>
          <w:bCs w:val="1"/>
          <w:sz w:val="20"/>
          <w:szCs w:val="20"/>
          <w:rtl w:val="0"/>
          <w:lang w:val="en-US"/>
        </w:rPr>
        <w:t xml:space="preserve">Psychology Research Area (tick all that apply) </w:t>
      </w:r>
    </w:p>
    <w:p>
      <w:pPr>
        <w:pStyle w:val="Body"/>
        <w:rPr>
          <w:rFonts w:ascii="Arial" w:cs="Arial" w:hAnsi="Arial" w:eastAsia="Arial"/>
          <w:b w:val="1"/>
          <w:bCs w:val="1"/>
          <w:sz w:val="20"/>
          <w:szCs w:val="20"/>
        </w:rPr>
      </w:pPr>
    </w:p>
    <w:p>
      <w:pPr>
        <w:pStyle w:val="Body"/>
        <w:rPr>
          <w:rFonts w:ascii="Arial" w:cs="Arial" w:hAnsi="Arial" w:eastAsia="Arial"/>
          <w:b w:val="1"/>
          <w:bCs w:val="1"/>
          <w:sz w:val="20"/>
          <w:szCs w:val="20"/>
        </w:rPr>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577"/>
        <w:gridCol w:w="2577"/>
        <w:gridCol w:w="2577"/>
        <w:gridCol w:w="2577"/>
      </w:tblGrid>
      <w:tr>
        <w:tblPrEx>
          <w:shd w:val="clear" w:color="auto" w:fill="d0ddef"/>
        </w:tblPrEx>
        <w:trPr>
          <w:trHeight w:val="663" w:hRule="atLeast"/>
        </w:trPr>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0"/>
                <w:szCs w:val="20"/>
                <w:u w:val="single"/>
                <w:rtl w:val="0"/>
                <w:lang w:val="en-US"/>
              </w:rPr>
              <w:t xml:space="preserve">Social Psychology </w:t>
            </w:r>
            <w:r>
              <w:rPr>
                <w:rFonts w:ascii="Arial" w:cs="Arial" w:hAnsi="Arial" w:eastAsia="Arial"/>
                <w:b w:val="1"/>
                <w:bCs w:val="1"/>
                <w:sz w:val="20"/>
                <w:szCs w:val="20"/>
                <w:u w:val="single"/>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Developmental Psychology </w:t>
            </w:r>
            <w:r>
              <w:rPr>
                <w:rFonts w:ascii="Arial" w:cs="Arial" w:hAnsi="Arial" w:eastAsia="Arial"/>
                <w:sz w:val="20"/>
                <w:szCs w:val="20"/>
                <w:shd w:val="nil" w:color="auto" w:fill="auto"/>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Biological Psychology </w:t>
            </w:r>
          </w:p>
        </w:tc>
        <w:tc>
          <w:tcPr>
            <w:tcW w:type="dxa" w:w="25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Forensic Psychology </w:t>
            </w:r>
          </w:p>
        </w:tc>
      </w:tr>
      <w:tr>
        <w:tblPrEx>
          <w:shd w:val="clear" w:color="auto" w:fill="d0ddef"/>
        </w:tblPrEx>
        <w:trPr>
          <w:trHeight w:val="443" w:hRule="atLeast"/>
        </w:trPr>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Health Psychology </w:t>
            </w:r>
            <w:r>
              <w:rPr>
                <w:rFonts w:ascii="Arial" w:cs="Arial" w:hAnsi="Arial" w:eastAsia="Arial"/>
                <w:sz w:val="20"/>
                <w:szCs w:val="20"/>
                <w:shd w:val="nil" w:color="auto" w:fill="auto"/>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0"/>
                <w:szCs w:val="20"/>
                <w:u w:val="single"/>
                <w:rtl w:val="0"/>
                <w:lang w:val="en-US"/>
              </w:rPr>
              <w:t xml:space="preserve">Individual Differences </w:t>
            </w:r>
            <w:r>
              <w:rPr>
                <w:rFonts w:ascii="Arial" w:cs="Arial" w:hAnsi="Arial" w:eastAsia="Arial"/>
                <w:b w:val="1"/>
                <w:bCs w:val="1"/>
                <w:sz w:val="20"/>
                <w:szCs w:val="20"/>
                <w:u w:val="single"/>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Educational Psychology </w:t>
            </w:r>
          </w:p>
        </w:tc>
        <w:tc>
          <w:tcPr>
            <w:tcW w:type="dxa" w:w="25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Political Psychology </w:t>
            </w:r>
          </w:p>
        </w:tc>
      </w:tr>
      <w:tr>
        <w:tblPrEx>
          <w:shd w:val="clear" w:color="auto" w:fill="d0ddef"/>
        </w:tblPrEx>
        <w:trPr>
          <w:trHeight w:val="443" w:hRule="atLeast"/>
        </w:trPr>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Cognitive Psychology </w:t>
            </w:r>
            <w:r>
              <w:rPr>
                <w:rFonts w:ascii="Arial" w:cs="Arial" w:hAnsi="Arial" w:eastAsia="Arial"/>
                <w:sz w:val="20"/>
                <w:szCs w:val="20"/>
                <w:shd w:val="nil" w:color="auto" w:fill="auto"/>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Clinical Psychology </w:t>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Counselling Psychology </w:t>
            </w:r>
          </w:p>
        </w:tc>
        <w:tc>
          <w:tcPr>
            <w:tcW w:type="dxa" w:w="25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Occupational Psychology </w:t>
            </w:r>
          </w:p>
        </w:tc>
      </w:tr>
      <w:tr>
        <w:tblPrEx>
          <w:shd w:val="clear" w:color="auto" w:fill="d0ddef"/>
        </w:tblPrEx>
        <w:trPr>
          <w:trHeight w:val="443" w:hRule="atLeast"/>
        </w:trPr>
        <w:tc>
          <w:tcPr>
            <w:tcW w:type="dxa" w:w="10308"/>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i w:val="1"/>
                <w:iCs w:val="1"/>
                <w:sz w:val="20"/>
                <w:szCs w:val="20"/>
                <w:shd w:val="nil" w:color="auto" w:fill="auto"/>
                <w:rtl w:val="0"/>
                <w:lang w:val="en-US"/>
              </w:rPr>
              <w:t>Other:  indicate briefly (not included in word count)</w:t>
            </w:r>
            <w:r>
              <w:rPr>
                <w:rFonts w:ascii="Arial" w:cs="Arial" w:hAnsi="Arial" w:eastAsia="Arial"/>
                <w:i w:val="1"/>
                <w:iCs w:val="1"/>
                <w:sz w:val="20"/>
                <w:szCs w:val="20"/>
                <w:shd w:val="nil" w:color="auto" w:fill="auto"/>
              </w:rPr>
            </w:r>
          </w:p>
        </w:tc>
      </w:tr>
    </w:tbl>
    <w:p>
      <w:pPr>
        <w:pStyle w:val="Body"/>
        <w:widowControl w:val="0"/>
        <w:rPr>
          <w:rFonts w:ascii="Arial" w:cs="Arial" w:hAnsi="Arial" w:eastAsia="Arial"/>
          <w:b w:val="1"/>
          <w:bCs w:val="1"/>
          <w:sz w:val="20"/>
          <w:szCs w:val="20"/>
        </w:rPr>
      </w:pPr>
    </w:p>
    <w:p>
      <w:pPr>
        <w:pStyle w:val="Body"/>
        <w:rPr>
          <w:sz w:val="32"/>
          <w:szCs w:val="32"/>
        </w:rPr>
      </w:pPr>
    </w:p>
    <w:p>
      <w:pPr>
        <w:pStyle w:val="Body"/>
        <w:rPr>
          <w:rFonts w:ascii="Arial" w:cs="Arial" w:hAnsi="Arial" w:eastAsia="Arial"/>
          <w:b w:val="1"/>
          <w:bCs w:val="1"/>
          <w:sz w:val="20"/>
          <w:szCs w:val="20"/>
        </w:rPr>
      </w:pPr>
      <w:r>
        <w:rPr>
          <w:rFonts w:ascii="Arial" w:hAnsi="Arial"/>
          <w:b w:val="1"/>
          <w:bCs w:val="1"/>
          <w:sz w:val="20"/>
          <w:szCs w:val="20"/>
          <w:rtl w:val="0"/>
          <w:lang w:val="en-US"/>
        </w:rPr>
        <w:t xml:space="preserve">Proposed Study Design (tick all that apply) </w:t>
      </w:r>
    </w:p>
    <w:p>
      <w:pPr>
        <w:pStyle w:val="Body"/>
        <w:rPr>
          <w:rFonts w:ascii="Arial" w:cs="Arial" w:hAnsi="Arial" w:eastAsia="Arial"/>
          <w:b w:val="1"/>
          <w:bCs w:val="1"/>
          <w:sz w:val="20"/>
          <w:szCs w:val="20"/>
        </w:rPr>
      </w:pPr>
    </w:p>
    <w:p>
      <w:pPr>
        <w:pStyle w:val="Body"/>
        <w:rPr>
          <w:rFonts w:ascii="Arial" w:cs="Arial" w:hAnsi="Arial" w:eastAsia="Arial"/>
          <w:b w:val="1"/>
          <w:bCs w:val="1"/>
          <w:sz w:val="20"/>
          <w:szCs w:val="20"/>
        </w:rPr>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577"/>
        <w:gridCol w:w="2577"/>
        <w:gridCol w:w="2577"/>
        <w:gridCol w:w="2577"/>
      </w:tblGrid>
      <w:tr>
        <w:tblPrEx>
          <w:shd w:val="clear" w:color="auto" w:fill="d0ddef"/>
        </w:tblPrEx>
        <w:trPr>
          <w:trHeight w:val="663" w:hRule="atLeast"/>
        </w:trPr>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Quantitative </w:t>
            </w:r>
            <w:r>
              <w:rPr>
                <w:rFonts w:ascii="Arial" w:cs="Arial" w:hAnsi="Arial" w:eastAsia="Arial"/>
                <w:sz w:val="20"/>
                <w:szCs w:val="20"/>
                <w:shd w:val="nil" w:color="auto" w:fill="auto"/>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Experimental </w:t>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Applied (with UWTSD students </w:t>
            </w:r>
            <w:r>
              <w:rPr>
                <w:rFonts w:ascii="Arial" w:cs="Arial" w:hAnsi="Arial" w:eastAsia="Arial"/>
                <w:sz w:val="20"/>
                <w:szCs w:val="20"/>
                <w:shd w:val="nil" w:color="auto" w:fill="auto"/>
              </w:rPr>
            </w:r>
          </w:p>
        </w:tc>
        <w:tc>
          <w:tcPr>
            <w:tcW w:type="dxa" w:w="25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Online Questionnaire Survey </w:t>
            </w:r>
          </w:p>
        </w:tc>
      </w:tr>
      <w:tr>
        <w:tblPrEx>
          <w:shd w:val="clear" w:color="auto" w:fill="d0ddef"/>
        </w:tblPrEx>
        <w:trPr>
          <w:trHeight w:val="663" w:hRule="atLeast"/>
        </w:trPr>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0"/>
                <w:szCs w:val="20"/>
                <w:u w:val="single"/>
                <w:rtl w:val="0"/>
                <w:lang w:val="en-US"/>
              </w:rPr>
              <w:t>Qualitative</w:t>
            </w:r>
            <w:r>
              <w:rPr>
                <w:rFonts w:ascii="Arial" w:hAnsi="Arial"/>
                <w:sz w:val="20"/>
                <w:szCs w:val="20"/>
                <w:rtl w:val="0"/>
                <w:lang w:val="en-US"/>
              </w:rPr>
              <w:t xml:space="preserve"> </w:t>
            </w:r>
            <w:r>
              <w:rPr>
                <w:rFonts w:ascii="Arial" w:cs="Arial" w:hAnsi="Arial" w:eastAsia="Arial"/>
                <w:sz w:val="20"/>
                <w:szCs w:val="20"/>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0"/>
                <w:szCs w:val="20"/>
                <w:shd w:val="nil" w:color="auto" w:fill="auto"/>
              </w:rPr>
            </w:pPr>
            <w:r>
              <w:rPr>
                <w:rFonts w:ascii="Arial" w:hAnsi="Arial"/>
                <w:sz w:val="20"/>
                <w:szCs w:val="20"/>
                <w:shd w:val="nil" w:color="auto" w:fill="auto"/>
                <w:rtl w:val="0"/>
                <w:lang w:val="en-US"/>
              </w:rPr>
              <w:t xml:space="preserve">Quasi Experimental </w:t>
            </w:r>
          </w:p>
          <w:p>
            <w:pPr>
              <w:pStyle w:val="Body"/>
            </w:pPr>
            <w:r>
              <w:rPr>
                <w:rFonts w:ascii="Arial" w:cs="Arial" w:hAnsi="Arial" w:eastAsia="Arial"/>
                <w:sz w:val="20"/>
                <w:szCs w:val="20"/>
                <w:shd w:val="nil" w:color="auto" w:fill="auto"/>
                <w:lang w:val="en-US"/>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b w:val="1"/>
                <w:bCs w:val="1"/>
                <w:sz w:val="20"/>
                <w:szCs w:val="20"/>
                <w:u w:val="single"/>
                <w:rtl w:val="0"/>
                <w:lang w:val="en-US"/>
              </w:rPr>
              <w:t>Focus Groups</w:t>
            </w:r>
          </w:p>
        </w:tc>
        <w:tc>
          <w:tcPr>
            <w:tcW w:type="dxa" w:w="25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Online  </w:t>
            </w:r>
            <w:r>
              <w:rPr>
                <w:rFonts w:ascii="Arial" w:cs="Arial" w:hAnsi="Arial" w:eastAsia="Arial"/>
                <w:sz w:val="20"/>
                <w:szCs w:val="20"/>
                <w:shd w:val="nil" w:color="auto" w:fill="auto"/>
              </w:rPr>
            </w:r>
          </w:p>
        </w:tc>
      </w:tr>
      <w:tr>
        <w:tblPrEx>
          <w:shd w:val="clear" w:color="auto" w:fill="d0ddef"/>
        </w:tblPrEx>
        <w:trPr>
          <w:trHeight w:val="883" w:hRule="atLeast"/>
        </w:trPr>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Mixed Methods </w:t>
            </w:r>
            <w:r>
              <w:rPr>
                <w:rFonts w:ascii="Arial" w:cs="Arial" w:hAnsi="Arial" w:eastAsia="Arial"/>
                <w:sz w:val="20"/>
                <w:szCs w:val="20"/>
                <w:shd w:val="nil" w:color="auto" w:fill="auto"/>
              </w:rPr>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Applied (with external organisation) </w:t>
            </w:r>
          </w:p>
        </w:tc>
        <w:tc>
          <w:tcPr>
            <w:tcW w:type="dxa" w:w="257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0"/>
                <w:szCs w:val="20"/>
                <w:shd w:val="nil" w:color="auto" w:fill="auto"/>
              </w:rPr>
            </w:pPr>
            <w:r>
              <w:rPr>
                <w:rFonts w:ascii="Arial" w:hAnsi="Arial"/>
                <w:sz w:val="20"/>
                <w:szCs w:val="20"/>
                <w:shd w:val="nil" w:color="auto" w:fill="auto"/>
                <w:rtl w:val="0"/>
                <w:lang w:val="en-US"/>
              </w:rPr>
              <w:t xml:space="preserve">Interviews </w:t>
            </w:r>
          </w:p>
          <w:p>
            <w:pPr>
              <w:pStyle w:val="Body"/>
              <w:rPr>
                <w:rFonts w:ascii="Arial" w:cs="Arial" w:hAnsi="Arial" w:eastAsia="Arial"/>
                <w:sz w:val="20"/>
                <w:szCs w:val="20"/>
                <w:shd w:val="nil" w:color="auto" w:fill="auto"/>
                <w:lang w:val="en-US"/>
              </w:rPr>
            </w:pPr>
          </w:p>
          <w:p>
            <w:pPr>
              <w:pStyle w:val="Body"/>
            </w:pPr>
            <w:r>
              <w:rPr>
                <w:rFonts w:ascii="Arial" w:cs="Arial" w:hAnsi="Arial" w:eastAsia="Arial"/>
                <w:sz w:val="20"/>
                <w:szCs w:val="20"/>
                <w:shd w:val="nil" w:color="auto" w:fill="auto"/>
                <w:lang w:val="en-US"/>
              </w:rPr>
            </w:r>
          </w:p>
        </w:tc>
        <w:tc>
          <w:tcPr>
            <w:tcW w:type="dxa" w:w="25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0"/>
                <w:szCs w:val="20"/>
                <w:shd w:val="nil" w:color="auto" w:fill="auto"/>
                <w:rtl w:val="0"/>
                <w:lang w:val="en-US"/>
              </w:rPr>
              <w:t xml:space="preserve">Lab-based study </w:t>
            </w:r>
          </w:p>
        </w:tc>
      </w:tr>
      <w:tr>
        <w:tblPrEx>
          <w:shd w:val="clear" w:color="auto" w:fill="d0ddef"/>
        </w:tblPrEx>
        <w:trPr>
          <w:trHeight w:val="2203" w:hRule="atLeast"/>
        </w:trPr>
        <w:tc>
          <w:tcPr>
            <w:tcW w:type="dxa" w:w="515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20"/>
                <w:szCs w:val="20"/>
                <w:shd w:val="nil" w:color="auto" w:fill="auto"/>
              </w:rPr>
            </w:pPr>
            <w:r>
              <w:rPr>
                <w:rFonts w:ascii="Arial" w:hAnsi="Arial"/>
                <w:i w:val="1"/>
                <w:iCs w:val="1"/>
                <w:sz w:val="20"/>
                <w:szCs w:val="20"/>
                <w:shd w:val="nil" w:color="auto" w:fill="auto"/>
                <w:rtl w:val="0"/>
                <w:lang w:val="en-US"/>
              </w:rPr>
              <w:t>If Applied, and involving an external organisation, please indicate your plans for gaining appropriate approvals from the organisation: (not included in the word count)</w:t>
            </w:r>
          </w:p>
          <w:p>
            <w:pPr>
              <w:pStyle w:val="Body"/>
              <w:rPr>
                <w:rFonts w:ascii="Arial" w:cs="Arial" w:hAnsi="Arial" w:eastAsia="Arial"/>
                <w:i w:val="1"/>
                <w:iCs w:val="1"/>
                <w:sz w:val="20"/>
                <w:szCs w:val="20"/>
                <w:shd w:val="nil" w:color="auto" w:fill="auto"/>
                <w:lang w:val="en-US"/>
              </w:rPr>
            </w:pPr>
          </w:p>
          <w:p>
            <w:pPr>
              <w:pStyle w:val="Body"/>
              <w:rPr>
                <w:rFonts w:ascii="Arial" w:cs="Arial" w:hAnsi="Arial" w:eastAsia="Arial"/>
                <w:i w:val="1"/>
                <w:iCs w:val="1"/>
                <w:sz w:val="20"/>
                <w:szCs w:val="20"/>
                <w:shd w:val="nil" w:color="auto" w:fill="auto"/>
                <w:lang w:val="en-US"/>
              </w:rPr>
            </w:pPr>
          </w:p>
          <w:p>
            <w:pPr>
              <w:pStyle w:val="Body"/>
              <w:rPr>
                <w:rFonts w:ascii="Arial" w:cs="Arial" w:hAnsi="Arial" w:eastAsia="Arial"/>
                <w:i w:val="1"/>
                <w:iCs w:val="1"/>
                <w:sz w:val="20"/>
                <w:szCs w:val="20"/>
                <w:shd w:val="nil" w:color="auto" w:fill="auto"/>
                <w:lang w:val="en-US"/>
              </w:rPr>
            </w:pPr>
          </w:p>
          <w:p>
            <w:pPr>
              <w:pStyle w:val="Body"/>
              <w:rPr>
                <w:rFonts w:ascii="Arial" w:cs="Arial" w:hAnsi="Arial" w:eastAsia="Arial"/>
                <w:i w:val="1"/>
                <w:iCs w:val="1"/>
                <w:sz w:val="20"/>
                <w:szCs w:val="20"/>
                <w:shd w:val="nil" w:color="auto" w:fill="auto"/>
                <w:lang w:val="en-US"/>
              </w:rPr>
            </w:pPr>
          </w:p>
          <w:p>
            <w:pPr>
              <w:pStyle w:val="Body"/>
            </w:pPr>
            <w:r>
              <w:rPr>
                <w:rFonts w:ascii="Arial" w:cs="Arial" w:hAnsi="Arial" w:eastAsia="Arial"/>
                <w:i w:val="1"/>
                <w:iCs w:val="1"/>
                <w:sz w:val="20"/>
                <w:szCs w:val="20"/>
                <w:shd w:val="nil" w:color="auto" w:fill="auto"/>
                <w:lang w:val="en-US"/>
              </w:rPr>
            </w:r>
          </w:p>
        </w:tc>
        <w:tc>
          <w:tcPr>
            <w:tcW w:type="dxa" w:w="515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i w:val="1"/>
                <w:iCs w:val="1"/>
                <w:sz w:val="20"/>
                <w:szCs w:val="20"/>
                <w:shd w:val="nil" w:color="auto" w:fill="auto"/>
                <w:rtl w:val="0"/>
                <w:lang w:val="en-US"/>
              </w:rPr>
              <w:t>Other study design: indicate briefly (not included in word count)</w:t>
            </w:r>
            <w:r>
              <w:rPr>
                <w:rFonts w:ascii="Arial" w:cs="Arial" w:hAnsi="Arial" w:eastAsia="Arial"/>
                <w:i w:val="1"/>
                <w:iCs w:val="1"/>
                <w:sz w:val="20"/>
                <w:szCs w:val="20"/>
                <w:shd w:val="nil" w:color="auto" w:fill="auto"/>
              </w:rPr>
            </w:r>
          </w:p>
        </w:tc>
      </w:tr>
    </w:tbl>
    <w:p>
      <w:pPr>
        <w:pStyle w:val="Body"/>
        <w:widowControl w:val="0"/>
        <w:rPr>
          <w:rFonts w:ascii="Arial" w:cs="Arial" w:hAnsi="Arial" w:eastAsia="Arial"/>
          <w:b w:val="1"/>
          <w:bCs w:val="1"/>
          <w:sz w:val="20"/>
          <w:szCs w:val="20"/>
        </w:rPr>
      </w:pPr>
    </w:p>
    <w:p>
      <w:pPr>
        <w:pStyle w:val="Body"/>
        <w:rPr>
          <w:sz w:val="32"/>
          <w:szCs w:val="32"/>
        </w:rPr>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308"/>
      </w:tblGrid>
      <w:tr>
        <w:tblPrEx>
          <w:shd w:val="clear" w:color="auto" w:fill="d0ddef"/>
        </w:tblPrEx>
        <w:trPr>
          <w:trHeight w:val="1041"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0"/>
                <w:szCs w:val="20"/>
                <w:shd w:val="nil" w:color="auto" w:fill="auto"/>
              </w:rPr>
            </w:pPr>
            <w:r>
              <w:rPr>
                <w:rFonts w:ascii="Arial" w:hAnsi="Arial"/>
                <w:b w:val="1"/>
                <w:bCs w:val="1"/>
                <w:sz w:val="20"/>
                <w:szCs w:val="20"/>
                <w:shd w:val="nil" w:color="auto" w:fill="auto"/>
                <w:rtl w:val="0"/>
                <w:lang w:val="en-US"/>
              </w:rPr>
              <w:t xml:space="preserve">Suggested Research Title/Area: </w:t>
            </w:r>
            <w:r>
              <w:rPr>
                <w:rFonts w:ascii="Arial" w:hAnsi="Arial"/>
                <w:sz w:val="20"/>
                <w:szCs w:val="20"/>
                <w:shd w:val="nil" w:color="auto" w:fill="auto"/>
                <w:rtl w:val="0"/>
                <w:lang w:val="en-US"/>
              </w:rPr>
              <w:t>(between 10-15 words and must reflect the essence of your proposed research question, study design and study population and should be more specific than a broad topic area).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tl w:val="0"/>
              </w:rPr>
            </w:pPr>
            <w:r>
              <w:rPr>
                <w:rFonts w:ascii="Arial" w:hAnsi="Arial"/>
                <w:sz w:val="26"/>
                <w:szCs w:val="26"/>
                <w:shd w:val="nil" w:color="auto" w:fill="auto"/>
                <w:rtl w:val="0"/>
                <w:lang w:val="en-US"/>
              </w:rPr>
              <w:t>Unveiling the Media Narrative</w:t>
            </w:r>
            <w:r>
              <w:rPr>
                <w:rFonts w:ascii="Arial" w:hAnsi="Arial"/>
                <w:sz w:val="26"/>
                <w:szCs w:val="26"/>
                <w:shd w:val="nil" w:color="auto" w:fill="auto"/>
                <w:rtl w:val="0"/>
                <w:lang w:val="en-US"/>
              </w:rPr>
              <w:t xml:space="preserve">: </w:t>
            </w:r>
            <w:r>
              <w:rPr>
                <w:rFonts w:ascii="Arial" w:hAnsi="Arial"/>
                <w:sz w:val="26"/>
                <w:szCs w:val="26"/>
                <w:shd w:val="nil" w:color="auto" w:fill="auto"/>
                <w:rtl w:val="0"/>
                <w:lang w:val="en-US"/>
              </w:rPr>
              <w:t>A qualitative exploration of student perceptions on bullying victim representation within the media</w:t>
            </w:r>
          </w:p>
        </w:tc>
      </w:tr>
    </w:tbl>
    <w:p>
      <w:pPr>
        <w:pStyle w:val="Body"/>
        <w:widowControl w:val="0"/>
        <w:rPr>
          <w:sz w:val="32"/>
          <w:szCs w:val="32"/>
        </w:rPr>
      </w:pPr>
    </w:p>
    <w:p>
      <w:pPr>
        <w:pStyle w:val="Body"/>
        <w:rPr>
          <w:sz w:val="32"/>
          <w:szCs w:val="32"/>
        </w:rPr>
      </w:pPr>
    </w:p>
    <w:p>
      <w:pPr>
        <w:pStyle w:val="Body"/>
        <w:rPr>
          <w:sz w:val="32"/>
          <w:szCs w:val="32"/>
        </w:rPr>
      </w:pPr>
    </w:p>
    <w:p>
      <w:pPr>
        <w:pStyle w:val="Body"/>
        <w:rPr>
          <w:rFonts w:ascii="Arial" w:cs="Arial" w:hAnsi="Arial" w:eastAsia="Arial"/>
          <w:b w:val="1"/>
          <w:bCs w:val="1"/>
          <w:sz w:val="32"/>
          <w:szCs w:val="32"/>
        </w:rPr>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308"/>
      </w:tblGrid>
      <w:tr>
        <w:tblPrEx>
          <w:shd w:val="clear" w:color="auto" w:fill="d0ddef"/>
        </w:tblPrEx>
        <w:trPr>
          <w:trHeight w:val="15131"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0"/>
                <w:szCs w:val="20"/>
                <w:shd w:val="nil" w:color="auto" w:fill="auto"/>
              </w:rPr>
            </w:pPr>
            <w:r>
              <w:rPr>
                <w:rFonts w:ascii="Arial" w:hAnsi="Arial"/>
                <w:b w:val="1"/>
                <w:bCs w:val="1"/>
                <w:sz w:val="20"/>
                <w:szCs w:val="20"/>
                <w:shd w:val="nil" w:color="auto" w:fill="auto"/>
                <w:rtl w:val="0"/>
                <w:lang w:val="en-US"/>
              </w:rPr>
              <w:t xml:space="preserve">Background: 250 words </w:t>
            </w:r>
          </w:p>
          <w:p>
            <w:pPr>
              <w:pStyle w:val="Body"/>
              <w:bidi w:val="0"/>
              <w:ind w:left="0" w:right="0" w:firstLine="0"/>
              <w:jc w:val="left"/>
              <w:rPr>
                <w:rFonts w:ascii="Arial" w:cs="Arial" w:hAnsi="Arial" w:eastAsia="Arial"/>
                <w:b w:val="1"/>
                <w:bCs w:val="1"/>
                <w:sz w:val="20"/>
                <w:szCs w:val="20"/>
                <w:shd w:val="nil" w:color="auto" w:fill="auto"/>
                <w:rtl w:val="0"/>
              </w:rPr>
            </w:pPr>
            <w:r>
              <w:rPr>
                <w:rFonts w:ascii="Arial" w:hAnsi="Arial"/>
                <w:b w:val="1"/>
                <w:bCs w:val="1"/>
                <w:sz w:val="20"/>
                <w:szCs w:val="20"/>
                <w:shd w:val="nil" w:color="auto" w:fill="auto"/>
                <w:rtl w:val="0"/>
                <w:lang w:val="en-US"/>
              </w:rPr>
              <w:t xml:space="preserve">Why is your study important? What theory and empirical research evidence supports your research question? </w:t>
            </w:r>
            <w:r>
              <w:rPr>
                <w:rFonts w:ascii="Arial" w:hAnsi="Arial"/>
                <w:b w:val="0"/>
                <w:bCs w:val="0"/>
                <w:sz w:val="20"/>
                <w:szCs w:val="20"/>
                <w:shd w:val="nil" w:color="auto" w:fill="auto"/>
                <w:rtl w:val="0"/>
                <w:lang w:val="en-US"/>
              </w:rPr>
              <w:t xml:space="preserve">(Please provide a rationale for your study including a brief review of relevant psychological literature and theory and a minimum of five references).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360" w:lineRule="auto"/>
              <w:ind w:left="0" w:right="0" w:firstLine="0"/>
              <w:jc w:val="left"/>
              <w:rPr>
                <w:sz w:val="22"/>
                <w:szCs w:val="22"/>
                <w:rtl w:val="0"/>
              </w:rPr>
            </w:pPr>
            <w:r>
              <w:rPr>
                <w:sz w:val="22"/>
                <w:szCs w:val="22"/>
                <w:rtl w:val="0"/>
                <w:lang w:val="en-US"/>
              </w:rPr>
              <w:t>The way bullying victims are depicted in media plays a crucial role in shaping how the public perceives and reacts to this issue</w:t>
            </w:r>
            <w:r>
              <w:rPr>
                <w:sz w:val="22"/>
                <w:szCs w:val="22"/>
                <w:rtl w:val="0"/>
                <w:lang w:val="en-US"/>
              </w:rPr>
              <w:t>. This research should be seen as crucial, as t</w:t>
            </w:r>
            <w:r>
              <w:rPr>
                <w:sz w:val="22"/>
                <w:szCs w:val="22"/>
                <w:rtl w:val="0"/>
                <w:lang w:val="en-US"/>
              </w:rPr>
              <w:t xml:space="preserve">he representation of bullying victims in media can impact the psychological well-being of those who have experienced bullying. Studies have shown that media exposure to violence and </w:t>
            </w:r>
            <w:r>
              <w:rPr>
                <w:sz w:val="22"/>
                <w:szCs w:val="22"/>
                <w:rtl w:val="0"/>
                <w:lang w:val="en-US"/>
              </w:rPr>
              <w:t>victimisation</w:t>
            </w:r>
            <w:r>
              <w:rPr>
                <w:sz w:val="22"/>
                <w:szCs w:val="22"/>
                <w:rtl w:val="0"/>
                <w:lang w:val="en-US"/>
              </w:rPr>
              <w:t xml:space="preserve"> can lead to increased distress, anxiety, and depression among individuals who have experienced similar incidents (</w:t>
            </w:r>
            <w:r>
              <w:rPr>
                <w:sz w:val="22"/>
                <w:szCs w:val="22"/>
                <w:rtl w:val="0"/>
                <w:lang w:val="en-US"/>
              </w:rPr>
              <w:t>Hinduja &amp; Patchin, 2010</w:t>
            </w:r>
            <w:r>
              <w:rPr>
                <w:sz w:val="22"/>
                <w:szCs w:val="22"/>
                <w:rtl w:val="0"/>
              </w:rPr>
              <w:t>).</w:t>
            </w:r>
            <w:r>
              <w:rPr>
                <w:sz w:val="22"/>
                <w:szCs w:val="22"/>
                <w:rtl w:val="0"/>
                <w:lang w:val="en-US"/>
              </w:rPr>
              <w:t xml:space="preserve"> Additionally, b</w:t>
            </w:r>
            <w:r>
              <w:rPr>
                <w:sz w:val="22"/>
                <w:szCs w:val="22"/>
                <w:rtl w:val="0"/>
                <w:lang w:val="en-US"/>
              </w:rPr>
              <w:t>y exploring student perceptions, this study can provide insights into promoting media literacy skills and empowering individuals to engage critically with media representations of bullying victims.</w:t>
            </w:r>
            <w:r>
              <w:rPr>
                <w:sz w:val="22"/>
                <w:szCs w:val="22"/>
                <w:rtl w:val="0"/>
                <w:lang w:val="en-US"/>
              </w:rPr>
              <w:t xml:space="preserve"> </w:t>
            </w:r>
            <w:r>
              <w:rPr>
                <w:sz w:val="22"/>
                <w:szCs w:val="22"/>
                <w:rtl w:val="0"/>
                <w:lang w:val="en-US"/>
              </w:rPr>
              <w:t>Livingstone (2004) asserts the importance of media literacy education in addressing these challenges.</w:t>
            </w:r>
            <w:r>
              <w:rPr>
                <w:sz w:val="22"/>
                <w:szCs w:val="22"/>
                <w:rtl w:val="0"/>
                <w:lang w:val="en-US"/>
              </w:rPr>
              <w:t xml:space="preserve"> </w:t>
            </w:r>
            <w:r>
              <w:rPr>
                <w:sz w:val="22"/>
                <w:szCs w:val="22"/>
                <w:rtl w:val="0"/>
                <w:lang w:val="en-US"/>
              </w:rPr>
              <w:t>The research highlights that individuals need to develop skills to critically analyse media content, evaluate its credibility, and understand its potential effects.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360" w:lineRule="auto"/>
              <w:ind w:left="0" w:right="0" w:firstLine="0"/>
              <w:jc w:val="left"/>
              <w:rPr>
                <w:sz w:val="22"/>
                <w:szCs w:val="22"/>
                <w:rtl w:val="0"/>
              </w:rPr>
            </w:pPr>
            <w:r>
              <w:rPr>
                <w:sz w:val="22"/>
                <w:szCs w:val="22"/>
                <w:rtl w:val="0"/>
                <w:lang w:val="en-US"/>
              </w:rPr>
              <w:t xml:space="preserve">       </w:t>
            </w:r>
            <w:r>
              <w:rPr>
                <w:sz w:val="22"/>
                <w:szCs w:val="22"/>
                <w:rtl w:val="0"/>
                <w:lang w:val="en-US"/>
              </w:rPr>
              <w:t>Social exclusion theory (Abrams &amp; Hogg, 2004</w:t>
            </w:r>
            <w:r>
              <w:rPr>
                <w:sz w:val="22"/>
                <w:szCs w:val="22"/>
                <w:rtl w:val="0"/>
                <w:lang w:val="en-US"/>
              </w:rPr>
              <w:t xml:space="preserve">; </w:t>
            </w:r>
            <w:r>
              <w:rPr>
                <w:sz w:val="22"/>
                <w:szCs w:val="22"/>
                <w:rtl w:val="0"/>
              </w:rPr>
              <w:t>Byrne</w:t>
            </w:r>
            <w:r>
              <w:rPr>
                <w:sz w:val="22"/>
                <w:szCs w:val="22"/>
                <w:rtl w:val="0"/>
                <w:lang w:val="en-US"/>
              </w:rPr>
              <w:t>, 2</w:t>
            </w:r>
            <w:r>
              <w:rPr>
                <w:sz w:val="22"/>
                <w:szCs w:val="22"/>
                <w:rtl w:val="0"/>
              </w:rPr>
              <w:t>005</w:t>
            </w:r>
            <w:r>
              <w:rPr>
                <w:sz w:val="22"/>
                <w:szCs w:val="22"/>
                <w:rtl w:val="0"/>
                <w:lang w:val="en-US"/>
              </w:rPr>
              <w:t>; Silver, 1994</w:t>
            </w:r>
            <w:r>
              <w:rPr>
                <w:sz w:val="22"/>
                <w:szCs w:val="22"/>
                <w:rtl w:val="0"/>
              </w:rPr>
              <w:t>)</w:t>
            </w:r>
            <w:r>
              <w:rPr>
                <w:sz w:val="22"/>
                <w:szCs w:val="22"/>
                <w:rtl w:val="0"/>
                <w:lang w:val="en-US"/>
              </w:rPr>
              <w:t xml:space="preserve"> </w:t>
            </w:r>
            <w:r>
              <w:rPr>
                <w:sz w:val="22"/>
                <w:szCs w:val="22"/>
                <w:rtl w:val="0"/>
                <w:lang w:val="en-US"/>
              </w:rPr>
              <w:t xml:space="preserve"> is the term used to describe the systematic marginalisation or restriction of certain individuals or groups, preventing them from fully participating in various aspects of society.</w:t>
            </w:r>
            <w:r>
              <w:rPr>
                <w:sz w:val="22"/>
                <w:szCs w:val="22"/>
                <w:rtl w:val="0"/>
                <w:lang w:val="en-US"/>
              </w:rPr>
              <w:t xml:space="preserve"> </w:t>
            </w:r>
            <w:r>
              <w:rPr>
                <w:sz w:val="22"/>
                <w:szCs w:val="22"/>
                <w:rtl w:val="0"/>
                <w:lang w:val="en-US"/>
              </w:rPr>
              <w:t>Social exclusion can be linked to an individual's social class, racial background, skin col</w:t>
            </w:r>
            <w:r>
              <w:rPr>
                <w:sz w:val="22"/>
                <w:szCs w:val="22"/>
                <w:rtl w:val="0"/>
                <w:lang w:val="en-US"/>
              </w:rPr>
              <w:t>ou</w:t>
            </w:r>
            <w:r>
              <w:rPr>
                <w:sz w:val="22"/>
                <w:szCs w:val="22"/>
                <w:rtl w:val="0"/>
                <w:lang w:val="en-US"/>
              </w:rPr>
              <w:t>r, religious beliefs, ethnic heritage, education, and early-life social connections.</w:t>
            </w:r>
            <w:r>
              <w:rPr>
                <w:sz w:val="22"/>
                <w:szCs w:val="22"/>
                <w:rtl w:val="0"/>
                <w:lang w:val="en-US"/>
              </w:rPr>
              <w:t xml:space="preserve"> </w:t>
            </w:r>
            <w:r>
              <w:rPr>
                <w:sz w:val="22"/>
                <w:szCs w:val="22"/>
                <w:rtl w:val="0"/>
                <w:lang w:val="en-US"/>
              </w:rPr>
              <w:t>By acknowledging and actively addressing social exclusion, societies can work as a collective towards creating a more equitable and inclusive world that uplifts the well-being and flourishing of every individual.</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360" w:lineRule="auto"/>
              <w:ind w:left="0" w:right="0" w:firstLine="0"/>
              <w:jc w:val="left"/>
              <w:rPr>
                <w:sz w:val="22"/>
                <w:szCs w:val="22"/>
                <w:rtl w:val="0"/>
              </w:rPr>
            </w:pPr>
            <w:r>
              <w:rPr>
                <w:sz w:val="22"/>
                <w:szCs w:val="22"/>
                <w:rtl w:val="0"/>
                <w:lang w:val="en-US"/>
              </w:rPr>
              <w:t xml:space="preserve">     </w:t>
            </w:r>
            <w:r>
              <w:rPr>
                <w:sz w:val="22"/>
                <w:szCs w:val="22"/>
                <w:rtl w:val="0"/>
                <w:lang w:val="en-US"/>
              </w:rPr>
              <w:t>Modecki et al. (2014) conducted a meta-analysis to investigate the occurrence of traditional bullying and cyberbullying in adolescents. They examined data from 80 studies with over 300,000 participants and observed that 35% experienced traditional bullying victimisation, while 15% engaged in perpetration. Cyberbullying victimisation stood at 15%, with perpetration at 11%. The study emphasised the interconnectedness of traditional and cyberbullying and highlighted gender disparities. Specifically, boys tended to perpetrate traditional bullying more, while girls were more likely to engage in cyberbullying. The research highlighted the importance of addressing both forms of bullying in prevention and intervention strategies.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sz w:val="22"/>
                <w:szCs w:val="22"/>
                <w:rtl w:val="0"/>
              </w:rPr>
            </w:pPr>
            <w:r>
              <w:rPr>
                <w:sz w:val="22"/>
                <w:szCs w:val="22"/>
                <w:rtl w:val="0"/>
                <w:lang w:val="en-US"/>
              </w:rPr>
              <w:t xml:space="preserve">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0"/>
                <w:szCs w:val="20"/>
                <w:rtl w:val="0"/>
              </w:rPr>
            </w:pPr>
            <w:r>
              <w:rPr>
                <w:rFonts w:ascii="Arial" w:hAnsi="Arial"/>
                <w:sz w:val="20"/>
                <w:szCs w:val="20"/>
                <w:rtl w:val="0"/>
                <w:lang w:val="en-US"/>
              </w:rPr>
              <w:t>References: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0"/>
                <w:szCs w:val="20"/>
                <w:rtl w:val="0"/>
              </w:rPr>
            </w:pPr>
          </w:p>
          <w:p>
            <w:pPr>
              <w:pStyle w:val="Default"/>
              <w:bidi w:val="0"/>
              <w:spacing w:before="0" w:line="322" w:lineRule="atLeast"/>
              <w:ind w:left="720" w:right="0" w:hanging="720"/>
              <w:jc w:val="left"/>
              <w:rPr>
                <w:rFonts w:ascii="Arial" w:cs="Arial" w:hAnsi="Arial" w:eastAsia="Arial"/>
                <w:outline w:val="0"/>
                <w:color w:val="222222"/>
                <w:sz w:val="20"/>
                <w:szCs w:val="20"/>
                <w:rtl w:val="0"/>
                <w14:textFill>
                  <w14:solidFill>
                    <w14:srgbClr w14:val="222222"/>
                  </w14:solidFill>
                </w14:textFill>
              </w:rPr>
            </w:pPr>
            <w:r>
              <w:rPr>
                <w:rFonts w:ascii="Arial" w:hAnsi="Arial"/>
                <w:outline w:val="0"/>
                <w:color w:val="222222"/>
                <w:sz w:val="20"/>
                <w:szCs w:val="20"/>
                <w:rtl w:val="0"/>
                <w:lang w:val="en-US"/>
                <w14:textFill>
                  <w14:solidFill>
                    <w14:srgbClr w14:val="222222"/>
                  </w14:solidFill>
                </w14:textFill>
              </w:rPr>
              <w:t>Abrams, D., &amp; Hogg, M. A. (2004). A social psychological framework for understanding social inclusion and exclusion. In</w:t>
            </w:r>
            <w:r>
              <w:rPr>
                <w:rFonts w:ascii="Arial" w:hAnsi="Arial" w:hint="default"/>
                <w:outline w:val="0"/>
                <w:color w:val="222222"/>
                <w:sz w:val="20"/>
                <w:szCs w:val="20"/>
                <w:rtl w:val="0"/>
                <w14:textFill>
                  <w14:solidFill>
                    <w14:srgbClr w14:val="222222"/>
                  </w14:solidFill>
                </w14:textFill>
              </w:rPr>
              <w:t> </w:t>
            </w:r>
            <w:r>
              <w:rPr>
                <w:rFonts w:ascii="Arial" w:hAnsi="Arial"/>
                <w:i w:val="1"/>
                <w:iCs w:val="1"/>
                <w:outline w:val="0"/>
                <w:color w:val="222222"/>
                <w:sz w:val="20"/>
                <w:szCs w:val="20"/>
                <w:rtl w:val="0"/>
                <w:lang w:val="en-US"/>
                <w14:textFill>
                  <w14:solidFill>
                    <w14:srgbClr w14:val="222222"/>
                  </w14:solidFill>
                </w14:textFill>
              </w:rPr>
              <w:t>Social psychology of inclusion and exclusion</w:t>
            </w:r>
            <w:r>
              <w:rPr>
                <w:rFonts w:ascii="Arial" w:hAnsi="Arial" w:hint="default"/>
                <w:outline w:val="0"/>
                <w:color w:val="222222"/>
                <w:sz w:val="20"/>
                <w:szCs w:val="20"/>
                <w:rtl w:val="0"/>
                <w14:textFill>
                  <w14:solidFill>
                    <w14:srgbClr w14:val="222222"/>
                  </w14:solidFill>
                </w14:textFill>
              </w:rPr>
              <w:t> </w:t>
            </w:r>
            <w:r>
              <w:rPr>
                <w:rFonts w:ascii="Arial" w:hAnsi="Arial"/>
                <w:outline w:val="0"/>
                <w:color w:val="222222"/>
                <w:sz w:val="20"/>
                <w:szCs w:val="20"/>
                <w:rtl w:val="0"/>
                <w14:textFill>
                  <w14:solidFill>
                    <w14:srgbClr w14:val="222222"/>
                  </w14:solidFill>
                </w14:textFill>
              </w:rPr>
              <w:t>(pp. 19-42). Psychology Press.</w:t>
            </w:r>
          </w:p>
          <w:p>
            <w:pPr>
              <w:pStyle w:val="Default"/>
              <w:bidi w:val="0"/>
              <w:spacing w:before="0" w:line="322" w:lineRule="atLeast"/>
              <w:ind w:left="720" w:right="0" w:hanging="720"/>
              <w:jc w:val="left"/>
              <w:rPr>
                <w:rFonts w:ascii="Arial" w:cs="Arial" w:hAnsi="Arial" w:eastAsia="Arial"/>
                <w:outline w:val="0"/>
                <w:color w:val="222222"/>
                <w:sz w:val="20"/>
                <w:szCs w:val="20"/>
                <w:rtl w:val="0"/>
                <w14:textFill>
                  <w14:solidFill>
                    <w14:srgbClr w14:val="222222"/>
                  </w14:solidFill>
                </w14:textFill>
              </w:rPr>
            </w:pPr>
          </w:p>
          <w:p>
            <w:pPr>
              <w:pStyle w:val="Default"/>
              <w:bidi w:val="0"/>
              <w:spacing w:before="0" w:line="240" w:lineRule="auto"/>
              <w:ind w:left="720" w:right="0" w:hanging="720"/>
              <w:jc w:val="left"/>
              <w:rPr>
                <w:rFonts w:ascii="Arial" w:cs="Arial" w:hAnsi="Arial" w:eastAsia="Arial"/>
                <w:outline w:val="0"/>
                <w:color w:val="222222"/>
                <w:sz w:val="20"/>
                <w:szCs w:val="20"/>
                <w:shd w:val="clear" w:color="auto" w:fill="ffffff"/>
                <w:rtl w:val="0"/>
                <w14:textFill>
                  <w14:solidFill>
                    <w14:srgbClr w14:val="222222"/>
                  </w14:solidFill>
                </w14:textFill>
              </w:rPr>
            </w:pPr>
            <w:r>
              <w:rPr>
                <w:rFonts w:ascii="Arial" w:hAnsi="Arial"/>
                <w:outline w:val="0"/>
                <w:color w:val="222222"/>
                <w:sz w:val="20"/>
                <w:szCs w:val="20"/>
                <w:shd w:val="clear" w:color="auto" w:fill="ffffff"/>
                <w:rtl w:val="0"/>
                <w14:textFill>
                  <w14:solidFill>
                    <w14:srgbClr w14:val="222222"/>
                  </w14:solidFill>
                </w14:textFill>
              </w:rPr>
              <w:t>Byrne, D. (2005).</w:t>
            </w:r>
            <w:r>
              <w:rPr>
                <w:rFonts w:ascii="Arial" w:hAnsi="Arial" w:hint="default"/>
                <w:outline w:val="0"/>
                <w:color w:val="222222"/>
                <w:sz w:val="20"/>
                <w:szCs w:val="20"/>
                <w:shd w:val="clear" w:color="auto" w:fill="ffffff"/>
                <w:rtl w:val="0"/>
                <w14:textFill>
                  <w14:solidFill>
                    <w14:srgbClr w14:val="222222"/>
                  </w14:solidFill>
                </w14:textFill>
              </w:rPr>
              <w:t> </w:t>
            </w:r>
            <w:r>
              <w:rPr>
                <w:rFonts w:ascii="Arial" w:hAnsi="Arial"/>
                <w:i w:val="1"/>
                <w:iCs w:val="1"/>
                <w:outline w:val="0"/>
                <w:color w:val="222222"/>
                <w:sz w:val="20"/>
                <w:szCs w:val="20"/>
                <w:shd w:val="clear" w:color="auto" w:fill="ffffff"/>
                <w:rtl w:val="0"/>
                <w:lang w:val="es-ES_tradnl"/>
                <w14:textFill>
                  <w14:solidFill>
                    <w14:srgbClr w14:val="222222"/>
                  </w14:solidFill>
                </w14:textFill>
              </w:rPr>
              <w:t>Social exclusion</w:t>
            </w:r>
            <w:r>
              <w:rPr>
                <w:rFonts w:ascii="Arial" w:hAnsi="Arial"/>
                <w:outline w:val="0"/>
                <w:color w:val="222222"/>
                <w:sz w:val="20"/>
                <w:szCs w:val="20"/>
                <w:shd w:val="clear" w:color="auto" w:fill="ffffff"/>
                <w:rtl w:val="0"/>
                <w:lang w:val="en-US"/>
                <w14:textFill>
                  <w14:solidFill>
                    <w14:srgbClr w14:val="222222"/>
                  </w14:solidFill>
                </w14:textFill>
              </w:rPr>
              <w:t>. McGraw-Hill Education (UK).</w:t>
            </w:r>
          </w:p>
          <w:p>
            <w:pPr>
              <w:pStyle w:val="Default"/>
              <w:bidi w:val="0"/>
              <w:spacing w:before="0" w:line="322" w:lineRule="atLeast"/>
              <w:ind w:left="720" w:right="0" w:hanging="720"/>
              <w:jc w:val="left"/>
              <w:rPr>
                <w:rFonts w:ascii="Arial" w:cs="Arial" w:hAnsi="Arial" w:eastAsia="Arial"/>
                <w:outline w:val="0"/>
                <w:color w:val="222222"/>
                <w:sz w:val="20"/>
                <w:szCs w:val="20"/>
                <w:rtl w:val="0"/>
                <w14:textFill>
                  <w14:solidFill>
                    <w14:srgbClr w14:val="222222"/>
                  </w14:solidFill>
                </w14:textFill>
              </w:rPr>
            </w:pPr>
          </w:p>
          <w:p>
            <w:pPr>
              <w:pStyle w:val="Default"/>
              <w:bidi w:val="0"/>
              <w:spacing w:before="0" w:line="240" w:lineRule="auto"/>
              <w:ind w:left="720" w:right="0" w:hanging="720"/>
              <w:jc w:val="left"/>
              <w:rPr>
                <w:rFonts w:ascii="Arial" w:cs="Arial" w:hAnsi="Arial" w:eastAsia="Arial"/>
                <w:outline w:val="0"/>
                <w:color w:val="222222"/>
                <w:sz w:val="20"/>
                <w:szCs w:val="20"/>
                <w:shd w:val="clear" w:color="auto" w:fill="ffffff"/>
                <w:rtl w:val="0"/>
                <w14:textFill>
                  <w14:solidFill>
                    <w14:srgbClr w14:val="222222"/>
                  </w14:solidFill>
                </w14:textFill>
              </w:rPr>
            </w:pPr>
            <w:r>
              <w:rPr>
                <w:rFonts w:ascii="Arial" w:hAnsi="Arial"/>
                <w:outline w:val="0"/>
                <w:color w:val="222222"/>
                <w:sz w:val="20"/>
                <w:szCs w:val="20"/>
                <w:shd w:val="clear" w:color="auto" w:fill="ffffff"/>
                <w:rtl w:val="0"/>
                <w:lang w:val="en-US"/>
                <w14:textFill>
                  <w14:solidFill>
                    <w14:srgbClr w14:val="222222"/>
                  </w14:solidFill>
                </w14:textFill>
              </w:rPr>
              <w:t>Hinduja, S., &amp; Patchin, J. W. (2010). Bullying, cyberbullying, and suicide.</w:t>
            </w:r>
            <w:r>
              <w:rPr>
                <w:rFonts w:ascii="Arial" w:hAnsi="Arial" w:hint="default"/>
                <w:outline w:val="0"/>
                <w:color w:val="222222"/>
                <w:sz w:val="20"/>
                <w:szCs w:val="20"/>
                <w:shd w:val="clear" w:color="auto" w:fill="ffffff"/>
                <w:rtl w:val="0"/>
                <w14:textFill>
                  <w14:solidFill>
                    <w14:srgbClr w14:val="222222"/>
                  </w14:solidFill>
                </w14:textFill>
              </w:rPr>
              <w:t> </w:t>
            </w:r>
            <w:r>
              <w:rPr>
                <w:rFonts w:ascii="Arial" w:hAnsi="Arial"/>
                <w:i w:val="1"/>
                <w:iCs w:val="1"/>
                <w:outline w:val="0"/>
                <w:color w:val="222222"/>
                <w:sz w:val="20"/>
                <w:szCs w:val="20"/>
                <w:shd w:val="clear" w:color="auto" w:fill="ffffff"/>
                <w:rtl w:val="0"/>
                <w:lang w:val="en-US"/>
                <w14:textFill>
                  <w14:solidFill>
                    <w14:srgbClr w14:val="222222"/>
                  </w14:solidFill>
                </w14:textFill>
              </w:rPr>
              <w:t>Archives of suicide research</w:t>
            </w:r>
            <w:r>
              <w:rPr>
                <w:rFonts w:ascii="Arial" w:hAnsi="Arial"/>
                <w:outline w:val="0"/>
                <w:color w:val="222222"/>
                <w:sz w:val="20"/>
                <w:szCs w:val="20"/>
                <w:shd w:val="clear" w:color="auto" w:fill="ffffff"/>
                <w:rtl w:val="0"/>
                <w14:textFill>
                  <w14:solidFill>
                    <w14:srgbClr w14:val="222222"/>
                  </w14:solidFill>
                </w14:textFill>
              </w:rPr>
              <w:t>,</w:t>
            </w:r>
            <w:r>
              <w:rPr>
                <w:rFonts w:ascii="Arial" w:hAnsi="Arial" w:hint="default"/>
                <w:outline w:val="0"/>
                <w:color w:val="222222"/>
                <w:sz w:val="20"/>
                <w:szCs w:val="20"/>
                <w:shd w:val="clear" w:color="auto" w:fill="ffffff"/>
                <w:rtl w:val="0"/>
                <w14:textFill>
                  <w14:solidFill>
                    <w14:srgbClr w14:val="222222"/>
                  </w14:solidFill>
                </w14:textFill>
              </w:rPr>
              <w:t> </w:t>
            </w:r>
            <w:r>
              <w:rPr>
                <w:rFonts w:ascii="Arial" w:hAnsi="Arial"/>
                <w:i w:val="1"/>
                <w:iCs w:val="1"/>
                <w:outline w:val="0"/>
                <w:color w:val="222222"/>
                <w:sz w:val="20"/>
                <w:szCs w:val="20"/>
                <w:shd w:val="clear" w:color="auto" w:fill="ffffff"/>
                <w:rtl w:val="0"/>
                <w14:textFill>
                  <w14:solidFill>
                    <w14:srgbClr w14:val="222222"/>
                  </w14:solidFill>
                </w14:textFill>
              </w:rPr>
              <w:t>14</w:t>
            </w:r>
            <w:r>
              <w:rPr>
                <w:rFonts w:ascii="Arial" w:hAnsi="Arial"/>
                <w:outline w:val="0"/>
                <w:color w:val="222222"/>
                <w:sz w:val="20"/>
                <w:szCs w:val="20"/>
                <w:shd w:val="clear" w:color="auto" w:fill="ffffff"/>
                <w:rtl w:val="0"/>
                <w14:textFill>
                  <w14:solidFill>
                    <w14:srgbClr w14:val="222222"/>
                  </w14:solidFill>
                </w14:textFill>
              </w:rPr>
              <w:t>(3), 206-221.</w:t>
            </w:r>
          </w:p>
          <w:p>
            <w:pPr>
              <w:pStyle w:val="Default"/>
              <w:bidi w:val="0"/>
              <w:spacing w:before="0" w:line="240" w:lineRule="auto"/>
              <w:ind w:left="720" w:right="0" w:hanging="720"/>
              <w:jc w:val="left"/>
              <w:rPr>
                <w:rFonts w:ascii="Arial" w:cs="Arial" w:hAnsi="Arial" w:eastAsia="Arial"/>
                <w:outline w:val="0"/>
                <w:color w:val="222222"/>
                <w:sz w:val="20"/>
                <w:szCs w:val="20"/>
                <w:shd w:val="nil" w:color="auto" w:fill="auto"/>
                <w:rtl w:val="0"/>
                <w:lang w:val="en-US"/>
                <w14:textFill>
                  <w14:solidFill>
                    <w14:srgbClr w14:val="222222"/>
                  </w14:solidFill>
                </w14:textFill>
              </w:rPr>
            </w:pPr>
          </w:p>
          <w:p>
            <w:pPr>
              <w:pStyle w:val="Default"/>
              <w:bidi w:val="0"/>
              <w:spacing w:before="0" w:line="240" w:lineRule="auto"/>
              <w:ind w:left="720" w:right="0" w:hanging="720"/>
              <w:jc w:val="left"/>
              <w:rPr>
                <w:rFonts w:ascii="Arial" w:cs="Arial" w:hAnsi="Arial" w:eastAsia="Arial"/>
                <w:outline w:val="0"/>
                <w:color w:val="222222"/>
                <w:sz w:val="20"/>
                <w:szCs w:val="20"/>
                <w:shd w:val="clear" w:color="auto" w:fill="ffffff"/>
                <w:rtl w:val="0"/>
                <w14:textFill>
                  <w14:solidFill>
                    <w14:srgbClr w14:val="222222"/>
                  </w14:solidFill>
                </w14:textFill>
              </w:rPr>
            </w:pPr>
            <w:r>
              <w:rPr>
                <w:rFonts w:ascii="Arial" w:hAnsi="Arial"/>
                <w:outline w:val="0"/>
                <w:color w:val="222222"/>
                <w:sz w:val="20"/>
                <w:szCs w:val="20"/>
                <w:shd w:val="clear" w:color="auto" w:fill="ffffff"/>
                <w:rtl w:val="0"/>
                <w:lang w:val="en-US"/>
                <w14:textFill>
                  <w14:solidFill>
                    <w14:srgbClr w14:val="222222"/>
                  </w14:solidFill>
                </w14:textFill>
              </w:rPr>
              <w:t>Livingstone, S. (2004). Media literacy and the challenge of new information and communication technologies.</w:t>
            </w:r>
            <w:r>
              <w:rPr>
                <w:rFonts w:ascii="Arial" w:hAnsi="Arial" w:hint="default"/>
                <w:outline w:val="0"/>
                <w:color w:val="222222"/>
                <w:sz w:val="20"/>
                <w:szCs w:val="20"/>
                <w:shd w:val="clear" w:color="auto" w:fill="ffffff"/>
                <w:rtl w:val="0"/>
                <w14:textFill>
                  <w14:solidFill>
                    <w14:srgbClr w14:val="222222"/>
                  </w14:solidFill>
                </w14:textFill>
              </w:rPr>
              <w:t> </w:t>
            </w:r>
            <w:r>
              <w:rPr>
                <w:rFonts w:ascii="Arial" w:hAnsi="Arial"/>
                <w:i w:val="1"/>
                <w:iCs w:val="1"/>
                <w:outline w:val="0"/>
                <w:color w:val="222222"/>
                <w:sz w:val="20"/>
                <w:szCs w:val="20"/>
                <w:shd w:val="clear" w:color="auto" w:fill="ffffff"/>
                <w:rtl w:val="0"/>
                <w:lang w:val="en-US"/>
                <w14:textFill>
                  <w14:solidFill>
                    <w14:srgbClr w14:val="222222"/>
                  </w14:solidFill>
                </w14:textFill>
              </w:rPr>
              <w:t>The communication review</w:t>
            </w:r>
            <w:r>
              <w:rPr>
                <w:rFonts w:ascii="Arial" w:hAnsi="Arial"/>
                <w:outline w:val="0"/>
                <w:color w:val="222222"/>
                <w:sz w:val="20"/>
                <w:szCs w:val="20"/>
                <w:shd w:val="clear" w:color="auto" w:fill="ffffff"/>
                <w:rtl w:val="0"/>
                <w14:textFill>
                  <w14:solidFill>
                    <w14:srgbClr w14:val="222222"/>
                  </w14:solidFill>
                </w14:textFill>
              </w:rPr>
              <w:t>,</w:t>
            </w:r>
            <w:r>
              <w:rPr>
                <w:rFonts w:ascii="Arial" w:hAnsi="Arial" w:hint="default"/>
                <w:outline w:val="0"/>
                <w:color w:val="222222"/>
                <w:sz w:val="20"/>
                <w:szCs w:val="20"/>
                <w:shd w:val="clear" w:color="auto" w:fill="ffffff"/>
                <w:rtl w:val="0"/>
                <w14:textFill>
                  <w14:solidFill>
                    <w14:srgbClr w14:val="222222"/>
                  </w14:solidFill>
                </w14:textFill>
              </w:rPr>
              <w:t> </w:t>
            </w:r>
            <w:r>
              <w:rPr>
                <w:rFonts w:ascii="Arial" w:hAnsi="Arial"/>
                <w:i w:val="1"/>
                <w:iCs w:val="1"/>
                <w:outline w:val="0"/>
                <w:color w:val="222222"/>
                <w:sz w:val="20"/>
                <w:szCs w:val="20"/>
                <w:shd w:val="clear" w:color="auto" w:fill="ffffff"/>
                <w:rtl w:val="0"/>
                <w14:textFill>
                  <w14:solidFill>
                    <w14:srgbClr w14:val="222222"/>
                  </w14:solidFill>
                </w14:textFill>
              </w:rPr>
              <w:t>7</w:t>
            </w:r>
            <w:r>
              <w:rPr>
                <w:rFonts w:ascii="Arial" w:hAnsi="Arial"/>
                <w:outline w:val="0"/>
                <w:color w:val="222222"/>
                <w:sz w:val="20"/>
                <w:szCs w:val="20"/>
                <w:shd w:val="clear" w:color="auto" w:fill="ffffff"/>
                <w:rtl w:val="0"/>
                <w14:textFill>
                  <w14:solidFill>
                    <w14:srgbClr w14:val="222222"/>
                  </w14:solidFill>
                </w14:textFill>
              </w:rPr>
              <w:t>(1), 3-14.</w:t>
            </w:r>
          </w:p>
          <w:p>
            <w:pPr>
              <w:pStyle w:val="Default"/>
              <w:bidi w:val="0"/>
              <w:spacing w:before="0" w:line="240" w:lineRule="auto"/>
              <w:ind w:left="720" w:right="0" w:hanging="720"/>
              <w:jc w:val="left"/>
              <w:rPr>
                <w:rFonts w:ascii="Arial" w:cs="Arial" w:hAnsi="Arial" w:eastAsia="Arial"/>
                <w:outline w:val="0"/>
                <w:color w:val="222222"/>
                <w:sz w:val="20"/>
                <w:szCs w:val="20"/>
                <w:shd w:val="clear" w:color="auto" w:fill="ffffff"/>
                <w:rtl w:val="0"/>
                <w14:textFill>
                  <w14:solidFill>
                    <w14:srgbClr w14:val="222222"/>
                  </w14:solidFill>
                </w14:textFill>
              </w:rPr>
            </w:pPr>
          </w:p>
          <w:p>
            <w:pPr>
              <w:pStyle w:val="Default"/>
              <w:bidi w:val="0"/>
              <w:spacing w:before="0" w:line="240" w:lineRule="auto"/>
              <w:ind w:left="720" w:right="0" w:hanging="720"/>
              <w:jc w:val="left"/>
              <w:rPr>
                <w:rFonts w:ascii="Arial" w:cs="Arial" w:hAnsi="Arial" w:eastAsia="Arial"/>
                <w:outline w:val="0"/>
                <w:color w:val="222222"/>
                <w:sz w:val="20"/>
                <w:szCs w:val="20"/>
                <w:shd w:val="clear" w:color="auto" w:fill="ffffff"/>
                <w:rtl w:val="0"/>
                <w14:textFill>
                  <w14:solidFill>
                    <w14:srgbClr w14:val="222222"/>
                  </w14:solidFill>
                </w14:textFill>
              </w:rPr>
            </w:pPr>
            <w:r>
              <w:rPr>
                <w:rFonts w:ascii="Arial" w:hAnsi="Arial"/>
                <w:outline w:val="0"/>
                <w:color w:val="222222"/>
                <w:sz w:val="20"/>
                <w:szCs w:val="20"/>
                <w:shd w:val="clear" w:color="auto" w:fill="ffffff"/>
                <w:rtl w:val="0"/>
                <w:lang w:val="en-US"/>
                <w14:textFill>
                  <w14:solidFill>
                    <w14:srgbClr w14:val="222222"/>
                  </w14:solidFill>
                </w14:textFill>
              </w:rPr>
              <w:t>Modecki, K. L., Minchin, J., Harbaugh, A. G., Guerra, N. G., &amp; Runions, K. C. (2014). Bullying prevalence across contexts: A meta-analysis measuring cyber and traditional bullying.</w:t>
            </w:r>
            <w:r>
              <w:rPr>
                <w:rFonts w:ascii="Arial" w:hAnsi="Arial" w:hint="default"/>
                <w:outline w:val="0"/>
                <w:color w:val="222222"/>
                <w:sz w:val="20"/>
                <w:szCs w:val="20"/>
                <w:shd w:val="clear" w:color="auto" w:fill="ffffff"/>
                <w:rtl w:val="0"/>
                <w14:textFill>
                  <w14:solidFill>
                    <w14:srgbClr w14:val="222222"/>
                  </w14:solidFill>
                </w14:textFill>
              </w:rPr>
              <w:t> </w:t>
            </w:r>
            <w:r>
              <w:rPr>
                <w:rFonts w:ascii="Arial" w:hAnsi="Arial"/>
                <w:i w:val="1"/>
                <w:iCs w:val="1"/>
                <w:outline w:val="0"/>
                <w:color w:val="222222"/>
                <w:sz w:val="20"/>
                <w:szCs w:val="20"/>
                <w:shd w:val="clear" w:color="auto" w:fill="ffffff"/>
                <w:rtl w:val="0"/>
                <w:lang w:val="en-US"/>
                <w14:textFill>
                  <w14:solidFill>
                    <w14:srgbClr w14:val="222222"/>
                  </w14:solidFill>
                </w14:textFill>
              </w:rPr>
              <w:t>Journal of Adolescent Health</w:t>
            </w:r>
            <w:r>
              <w:rPr>
                <w:rFonts w:ascii="Arial" w:hAnsi="Arial"/>
                <w:outline w:val="0"/>
                <w:color w:val="222222"/>
                <w:sz w:val="20"/>
                <w:szCs w:val="20"/>
                <w:shd w:val="clear" w:color="auto" w:fill="ffffff"/>
                <w:rtl w:val="0"/>
                <w14:textFill>
                  <w14:solidFill>
                    <w14:srgbClr w14:val="222222"/>
                  </w14:solidFill>
                </w14:textFill>
              </w:rPr>
              <w:t>,</w:t>
            </w:r>
            <w:r>
              <w:rPr>
                <w:rFonts w:ascii="Arial" w:hAnsi="Arial" w:hint="default"/>
                <w:outline w:val="0"/>
                <w:color w:val="222222"/>
                <w:sz w:val="20"/>
                <w:szCs w:val="20"/>
                <w:shd w:val="clear" w:color="auto" w:fill="ffffff"/>
                <w:rtl w:val="0"/>
                <w14:textFill>
                  <w14:solidFill>
                    <w14:srgbClr w14:val="222222"/>
                  </w14:solidFill>
                </w14:textFill>
              </w:rPr>
              <w:t> </w:t>
            </w:r>
            <w:r>
              <w:rPr>
                <w:rFonts w:ascii="Arial" w:hAnsi="Arial"/>
                <w:i w:val="1"/>
                <w:iCs w:val="1"/>
                <w:outline w:val="0"/>
                <w:color w:val="222222"/>
                <w:sz w:val="20"/>
                <w:szCs w:val="20"/>
                <w:shd w:val="clear" w:color="auto" w:fill="ffffff"/>
                <w:rtl w:val="0"/>
                <w14:textFill>
                  <w14:solidFill>
                    <w14:srgbClr w14:val="222222"/>
                  </w14:solidFill>
                </w14:textFill>
              </w:rPr>
              <w:t>55</w:t>
            </w:r>
            <w:r>
              <w:rPr>
                <w:rFonts w:ascii="Arial" w:hAnsi="Arial"/>
                <w:outline w:val="0"/>
                <w:color w:val="222222"/>
                <w:sz w:val="20"/>
                <w:szCs w:val="20"/>
                <w:shd w:val="clear" w:color="auto" w:fill="ffffff"/>
                <w:rtl w:val="0"/>
                <w14:textFill>
                  <w14:solidFill>
                    <w14:srgbClr w14:val="222222"/>
                  </w14:solidFill>
                </w14:textFill>
              </w:rPr>
              <w:t>(5), 602-611.</w:t>
            </w:r>
          </w:p>
          <w:p>
            <w:pPr>
              <w:pStyle w:val="Default"/>
              <w:bidi w:val="0"/>
              <w:spacing w:before="0" w:line="240" w:lineRule="auto"/>
              <w:ind w:left="720" w:right="0" w:hanging="720"/>
              <w:jc w:val="left"/>
              <w:rPr>
                <w:rFonts w:ascii="Arial" w:cs="Arial" w:hAnsi="Arial" w:eastAsia="Arial"/>
                <w:outline w:val="0"/>
                <w:color w:val="222222"/>
                <w:sz w:val="20"/>
                <w:szCs w:val="20"/>
                <w:shd w:val="clear" w:color="auto" w:fill="ffffff"/>
                <w:rtl w:val="0"/>
                <w14:textFill>
                  <w14:solidFill>
                    <w14:srgbClr w14:val="222222"/>
                  </w14:solidFill>
                </w14:textFill>
              </w:rPr>
            </w:pPr>
          </w:p>
          <w:p>
            <w:pPr>
              <w:pStyle w:val="Default"/>
              <w:bidi w:val="0"/>
              <w:spacing w:before="0" w:line="322" w:lineRule="atLeast"/>
              <w:ind w:left="720" w:right="0" w:hanging="720"/>
              <w:jc w:val="left"/>
              <w:rPr>
                <w:rtl w:val="0"/>
              </w:rPr>
            </w:pPr>
            <w:r>
              <w:rPr>
                <w:rFonts w:ascii="Arial" w:hAnsi="Arial"/>
                <w:outline w:val="0"/>
                <w:color w:val="222222"/>
                <w:sz w:val="20"/>
                <w:szCs w:val="20"/>
                <w:rtl w:val="0"/>
                <w:lang w:val="en-US"/>
                <w14:textFill>
                  <w14:solidFill>
                    <w14:srgbClr w14:val="222222"/>
                  </w14:solidFill>
                </w14:textFill>
              </w:rPr>
              <w:t>Silver, H. (1994). Social exclusion and social solidarity: Three paradigms.</w:t>
            </w:r>
            <w:r>
              <w:rPr>
                <w:rFonts w:ascii="Arial" w:hAnsi="Arial" w:hint="default"/>
                <w:outline w:val="0"/>
                <w:color w:val="222222"/>
                <w:sz w:val="20"/>
                <w:szCs w:val="20"/>
                <w:rtl w:val="0"/>
                <w14:textFill>
                  <w14:solidFill>
                    <w14:srgbClr w14:val="222222"/>
                  </w14:solidFill>
                </w14:textFill>
              </w:rPr>
              <w:t> </w:t>
            </w:r>
            <w:r>
              <w:rPr>
                <w:rFonts w:ascii="Arial" w:hAnsi="Arial"/>
                <w:i w:val="1"/>
                <w:iCs w:val="1"/>
                <w:outline w:val="0"/>
                <w:color w:val="222222"/>
                <w:sz w:val="20"/>
                <w:szCs w:val="20"/>
                <w:rtl w:val="0"/>
                <w14:textFill>
                  <w14:solidFill>
                    <w14:srgbClr w14:val="222222"/>
                  </w14:solidFill>
                </w14:textFill>
              </w:rPr>
              <w:t>Int'l Lab. Rev.</w:t>
            </w:r>
            <w:r>
              <w:rPr>
                <w:rFonts w:ascii="Arial" w:hAnsi="Arial"/>
                <w:outline w:val="0"/>
                <w:color w:val="222222"/>
                <w:sz w:val="20"/>
                <w:szCs w:val="20"/>
                <w:rtl w:val="0"/>
                <w14:textFill>
                  <w14:solidFill>
                    <w14:srgbClr w14:val="222222"/>
                  </w14:solidFill>
                </w14:textFill>
              </w:rPr>
              <w:t>,</w:t>
            </w:r>
            <w:r>
              <w:rPr>
                <w:rFonts w:ascii="Arial" w:hAnsi="Arial" w:hint="default"/>
                <w:outline w:val="0"/>
                <w:color w:val="222222"/>
                <w:sz w:val="20"/>
                <w:szCs w:val="20"/>
                <w:rtl w:val="0"/>
                <w14:textFill>
                  <w14:solidFill>
                    <w14:srgbClr w14:val="222222"/>
                  </w14:solidFill>
                </w14:textFill>
              </w:rPr>
              <w:t> </w:t>
            </w:r>
            <w:r>
              <w:rPr>
                <w:rFonts w:ascii="Arial" w:hAnsi="Arial"/>
                <w:i w:val="1"/>
                <w:iCs w:val="1"/>
                <w:outline w:val="0"/>
                <w:color w:val="222222"/>
                <w:sz w:val="20"/>
                <w:szCs w:val="20"/>
                <w:rtl w:val="0"/>
                <w14:textFill>
                  <w14:solidFill>
                    <w14:srgbClr w14:val="222222"/>
                  </w14:solidFill>
                </w14:textFill>
              </w:rPr>
              <w:t>133</w:t>
            </w:r>
            <w:r>
              <w:rPr>
                <w:rFonts w:ascii="Arial" w:hAnsi="Arial"/>
                <w:outline w:val="0"/>
                <w:color w:val="222222"/>
                <w:sz w:val="20"/>
                <w:szCs w:val="20"/>
                <w:rtl w:val="0"/>
                <w14:textFill>
                  <w14:solidFill>
                    <w14:srgbClr w14:val="222222"/>
                  </w14:solidFill>
                </w14:textFill>
              </w:rPr>
              <w:t>, 531.</w:t>
            </w:r>
            <w:r>
              <w:rPr>
                <w:rFonts w:ascii="Times New Roman" w:cs="Times New Roman" w:hAnsi="Times New Roman" w:eastAsia="Times New Roman"/>
                <w:outline w:val="0"/>
                <w:color w:val="222222"/>
                <w:sz w:val="20"/>
                <w:szCs w:val="20"/>
                <w:shd w:val="nil" w:color="auto" w:fill="auto"/>
                <w:rtl w:val="0"/>
                <w:lang w:val="en-US"/>
                <w14:textFill>
                  <w14:solidFill>
                    <w14:srgbClr w14:val="222222"/>
                  </w14:solidFill>
                </w14:textFill>
              </w:rPr>
            </w:r>
          </w:p>
        </w:tc>
      </w:tr>
      <w:tr>
        <w:tblPrEx>
          <w:shd w:val="clear" w:color="auto" w:fill="d0ddef"/>
        </w:tblPrEx>
        <w:trPr>
          <w:trHeight w:val="223"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rFonts w:ascii="Arial" w:cs="Arial" w:hAnsi="Arial" w:eastAsia="Arial"/>
          <w:b w:val="1"/>
          <w:bCs w:val="1"/>
          <w:sz w:val="32"/>
          <w:szCs w:val="32"/>
        </w:rPr>
      </w:pPr>
    </w:p>
    <w:p>
      <w:pPr>
        <w:pStyle w:val="Body"/>
        <w:rPr>
          <w:rFonts w:ascii="Arial" w:cs="Arial" w:hAnsi="Arial" w:eastAsia="Arial"/>
          <w:sz w:val="8"/>
          <w:szCs w:val="8"/>
        </w:rPr>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308"/>
      </w:tblGrid>
      <w:tr>
        <w:tblPrEx>
          <w:shd w:val="clear" w:color="auto" w:fill="d0ddef"/>
        </w:tblPrEx>
        <w:trPr>
          <w:trHeight w:val="3102"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sz w:val="20"/>
                <w:szCs w:val="20"/>
                <w:shd w:val="nil" w:color="auto" w:fill="auto"/>
              </w:rPr>
            </w:pPr>
            <w:r>
              <w:rPr>
                <w:rFonts w:ascii="Arial" w:hAnsi="Arial"/>
                <w:b w:val="1"/>
                <w:bCs w:val="1"/>
                <w:sz w:val="20"/>
                <w:szCs w:val="20"/>
                <w:shd w:val="nil" w:color="auto" w:fill="auto"/>
                <w:rtl w:val="0"/>
                <w:lang w:val="en-US"/>
              </w:rPr>
              <w:t>Please state the main research question(s) or hypotheses(s): (100 words max)</w:t>
            </w:r>
          </w:p>
          <w:p>
            <w:pPr>
              <w:pStyle w:val="Body"/>
              <w:rPr>
                <w:rFonts w:ascii="Arial" w:cs="Arial" w:hAnsi="Arial" w:eastAsia="Arial"/>
                <w:b w:val="1"/>
                <w:bCs w:val="1"/>
                <w:sz w:val="20"/>
                <w:szCs w:val="20"/>
                <w:shd w:val="nil" w:color="auto" w:fill="auto"/>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Are participants of the study inclined to believe that enduring a lifelong cycle of bullying reflects some inherent characteristic of the victim?</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 xml:space="preserve"> Has there been transformations in the nature of bullying due to the influence of social media remote technology resulting in bullying becoming more hidden?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shd w:val="nil" w:color="auto" w:fill="auto"/>
                <w:rtl w:val="0"/>
                <w:lang w:val="en-US"/>
              </w:rPr>
            </w:pPr>
            <w:r>
              <w:rPr>
                <w:rFonts w:ascii="Arial" w:hAnsi="Arial"/>
                <w:sz w:val="22"/>
                <w:szCs w:val="22"/>
                <w:rtl w:val="0"/>
                <w:lang w:val="en-US"/>
              </w:rPr>
              <w:t>D</w:t>
            </w:r>
            <w:r>
              <w:rPr>
                <w:rFonts w:ascii="Arial" w:hAnsi="Arial"/>
                <w:sz w:val="22"/>
                <w:szCs w:val="22"/>
                <w:rtl w:val="0"/>
                <w:lang w:val="en-US"/>
              </w:rPr>
              <w:t xml:space="preserve">o </w:t>
            </w:r>
            <w:r>
              <w:rPr>
                <w:rFonts w:ascii="Arial" w:hAnsi="Arial" w:hint="default"/>
                <w:sz w:val="22"/>
                <w:szCs w:val="22"/>
                <w:rtl w:val="0"/>
                <w:lang w:val="en-US"/>
              </w:rPr>
              <w:t>‘</w:t>
            </w:r>
            <w:r>
              <w:rPr>
                <w:rFonts w:ascii="Arial" w:hAnsi="Arial"/>
                <w:sz w:val="22"/>
                <w:szCs w:val="22"/>
                <w:rtl w:val="0"/>
                <w:lang w:val="en-US"/>
              </w:rPr>
              <w:t>modern</w:t>
            </w:r>
            <w:r>
              <w:rPr>
                <w:rFonts w:ascii="Arial" w:hAnsi="Arial" w:hint="default"/>
                <w:sz w:val="22"/>
                <w:szCs w:val="22"/>
                <w:rtl w:val="0"/>
                <w:lang w:val="en-US"/>
              </w:rPr>
              <w:t xml:space="preserve">’ </w:t>
            </w:r>
            <w:r>
              <w:rPr>
                <w:rFonts w:ascii="Arial" w:hAnsi="Arial"/>
                <w:sz w:val="22"/>
                <w:szCs w:val="22"/>
                <w:rtl w:val="0"/>
                <w:lang w:val="en-US"/>
              </w:rPr>
              <w:t xml:space="preserve">forms of bullying </w:t>
            </w:r>
            <w:r>
              <w:rPr>
                <w:rFonts w:ascii="Arial" w:hAnsi="Arial"/>
                <w:sz w:val="22"/>
                <w:szCs w:val="22"/>
                <w:rtl w:val="0"/>
                <w:lang w:val="en-US"/>
              </w:rPr>
              <w:t xml:space="preserve">have a more substantial </w:t>
            </w:r>
            <w:r>
              <w:rPr>
                <w:rFonts w:ascii="Arial" w:hAnsi="Arial"/>
                <w:sz w:val="22"/>
                <w:szCs w:val="22"/>
                <w:rtl w:val="0"/>
                <w:lang w:val="en-US"/>
              </w:rPr>
              <w:t xml:space="preserve">affect </w:t>
            </w:r>
            <w:r>
              <w:rPr>
                <w:rFonts w:ascii="Arial" w:hAnsi="Arial"/>
                <w:sz w:val="22"/>
                <w:szCs w:val="22"/>
                <w:rtl w:val="0"/>
                <w:lang w:val="en-US"/>
              </w:rPr>
              <w:t>on</w:t>
            </w:r>
            <w:r>
              <w:rPr>
                <w:rFonts w:ascii="Arial" w:hAnsi="Arial"/>
                <w:sz w:val="22"/>
                <w:szCs w:val="22"/>
                <w:rtl w:val="0"/>
                <w:lang w:val="en-US"/>
              </w:rPr>
              <w:t xml:space="preserve"> psychological and emotional distress experienced by both child and adult victims?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shd w:val="nil" w:color="auto" w:fill="auto"/>
                <w:rtl w:val="0"/>
                <w:lang w:val="en-US"/>
              </w:rPr>
            </w:pPr>
          </w:p>
          <w:p>
            <w:pPr>
              <w:pStyle w:val="Body"/>
            </w:pPr>
            <w:r>
              <w:rPr>
                <w:rFonts w:ascii="Arial" w:cs="Arial" w:hAnsi="Arial" w:eastAsia="Arial"/>
                <w:b w:val="1"/>
                <w:bCs w:val="1"/>
                <w:sz w:val="20"/>
                <w:szCs w:val="20"/>
                <w:shd w:val="nil" w:color="auto" w:fill="auto"/>
                <w:lang w:val="en-US"/>
              </w:rPr>
            </w:r>
          </w:p>
        </w:tc>
      </w:tr>
    </w:tbl>
    <w:p>
      <w:pPr>
        <w:pStyle w:val="Body"/>
        <w:rPr>
          <w:rFonts w:ascii="Arial" w:cs="Arial" w:hAnsi="Arial" w:eastAsia="Arial"/>
          <w:b w:val="1"/>
          <w:bCs w:val="1"/>
          <w:sz w:val="20"/>
          <w:szCs w:val="20"/>
        </w:rPr>
      </w:pPr>
    </w:p>
    <w:p>
      <w:pPr>
        <w:pStyle w:val="Body"/>
        <w:rPr>
          <w:rFonts w:ascii="Arial" w:cs="Arial" w:hAnsi="Arial" w:eastAsia="Arial"/>
          <w:b w:val="1"/>
          <w:bCs w:val="1"/>
          <w:sz w:val="20"/>
          <w:szCs w:val="20"/>
        </w:rPr>
      </w:pPr>
    </w:p>
    <w:p>
      <w:pPr>
        <w:pStyle w:val="Body"/>
        <w:rPr>
          <w:rFonts w:ascii="Arial" w:cs="Arial" w:hAnsi="Arial" w:eastAsia="Arial"/>
          <w:b w:val="1"/>
          <w:bCs w:val="1"/>
          <w:sz w:val="20"/>
          <w:szCs w:val="20"/>
          <w:u w:val="single"/>
        </w:rPr>
      </w:pPr>
      <w:r>
        <w:rPr>
          <w:rFonts w:ascii="Arial" w:hAnsi="Arial"/>
          <w:b w:val="1"/>
          <w:bCs w:val="1"/>
          <w:sz w:val="20"/>
          <w:szCs w:val="20"/>
          <w:u w:val="single"/>
          <w:rtl w:val="0"/>
          <w:lang w:val="en-US"/>
        </w:rPr>
        <w:t xml:space="preserve">Methodological Details (500 words) </w:t>
      </w:r>
    </w:p>
    <w:p>
      <w:pPr>
        <w:pStyle w:val="Body"/>
        <w:rPr>
          <w:rFonts w:ascii="Arial" w:cs="Arial" w:hAnsi="Arial" w:eastAsia="Arial"/>
          <w:b w:val="1"/>
          <w:bCs w:val="1"/>
          <w:sz w:val="20"/>
          <w:szCs w:val="20"/>
        </w:rPr>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308"/>
      </w:tblGrid>
      <w:tr>
        <w:tblPrEx>
          <w:shd w:val="clear" w:color="auto" w:fill="d0ddef"/>
        </w:tblPrEx>
        <w:trPr>
          <w:trHeight w:val="15131"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b w:val="1"/>
                <w:bCs w:val="1"/>
                <w:i w:val="1"/>
                <w:iCs w:val="1"/>
                <w:sz w:val="20"/>
                <w:szCs w:val="20"/>
                <w:shd w:val="nil" w:color="auto" w:fill="auto"/>
              </w:rPr>
            </w:pPr>
            <w:r>
              <w:rPr>
                <w:rFonts w:ascii="Arial" w:hAnsi="Arial"/>
                <w:b w:val="1"/>
                <w:bCs w:val="1"/>
                <w:i w:val="1"/>
                <w:iCs w:val="1"/>
                <w:sz w:val="20"/>
                <w:szCs w:val="20"/>
                <w:shd w:val="nil" w:color="auto" w:fill="auto"/>
                <w:rtl w:val="0"/>
                <w:lang w:val="en-US"/>
              </w:rPr>
              <w:t>Please summarise the key methodological approach: (you can include copies of proposed study materials as appendices if you wish). You must include details of the following:</w:t>
            </w:r>
          </w:p>
          <w:p>
            <w:pPr>
              <w:pStyle w:val="Body"/>
              <w:rPr>
                <w:rFonts w:ascii="Arial" w:cs="Arial" w:hAnsi="Arial" w:eastAsia="Arial"/>
                <w:b w:val="1"/>
                <w:bCs w:val="1"/>
                <w:shd w:val="nil" w:color="auto" w:fill="auto"/>
              </w:rPr>
            </w:pPr>
          </w:p>
          <w:p>
            <w:pPr>
              <w:pStyle w:val="Body"/>
              <w:rPr>
                <w:rFonts w:ascii="Arial" w:cs="Arial" w:hAnsi="Arial" w:eastAsia="Arial"/>
                <w:b w:val="1"/>
                <w:bCs w:val="1"/>
                <w:sz w:val="22"/>
                <w:szCs w:val="22"/>
              </w:rPr>
            </w:pPr>
            <w:r>
              <w:rPr>
                <w:rFonts w:ascii="Arial" w:hAnsi="Arial"/>
                <w:b w:val="1"/>
                <w:bCs w:val="1"/>
                <w:sz w:val="22"/>
                <w:szCs w:val="22"/>
                <w:rtl w:val="0"/>
                <w:lang w:val="en-US"/>
              </w:rPr>
              <w:t>Participants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The study seeks to recruit 12-16 participants from UWTSD who are enrolled in a Psychology-related undergraduate program and are above the age of 18. Eligible individuals can voluntarily register through the Experimental Management System (EMS) provided by the department. Participants will receive course credit for their participation. No specific requirements or restrictions for inclusion or exclusion are specified. The participants will be divided into two groups as part of the study.</w:t>
            </w: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r>
              <w:rPr>
                <w:rFonts w:ascii="Arial" w:hAnsi="Arial"/>
                <w:b w:val="1"/>
                <w:bCs w:val="1"/>
                <w:sz w:val="22"/>
                <w:szCs w:val="22"/>
                <w:rtl w:val="0"/>
                <w:lang w:val="en-US"/>
              </w:rPr>
              <w:t>Design</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The study will employ a focus group methodology to facilitate in-depth discussions among participants. Two separate focus groups will be conducted, each comprising approximately 6 to 8 participants. Both focus group sessions will be audio recorded with participants' consent, allowing for accurate transcription and analysis of the discussions.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 xml:space="preserve">    </w:t>
            </w:r>
            <w:r>
              <w:rPr>
                <w:rFonts w:ascii="Arial" w:hAnsi="Arial"/>
                <w:sz w:val="22"/>
                <w:szCs w:val="22"/>
                <w:rtl w:val="0"/>
                <w:lang w:val="en-US"/>
              </w:rPr>
              <w:t>Participants in both groups will be provided with printed media articles and online articles that depict instances of bullying victims in various contexts. These articles will be selected based on their relevance to the study's objectives and to stimulate discussion among the participants. The articles will be carefully chosen to include a range of perspectives and portrayals of bullying victims in the media.</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 xml:space="preserve">    </w:t>
            </w:r>
            <w:r>
              <w:rPr>
                <w:rFonts w:ascii="Arial" w:hAnsi="Arial"/>
                <w:sz w:val="22"/>
                <w:szCs w:val="22"/>
                <w:rtl w:val="0"/>
                <w:lang w:val="en-US"/>
              </w:rPr>
              <w:t>To guide the focus group discussions, a series of open-ended questions will be prepared. These questions will elicit participants' perceptions</w:t>
            </w:r>
            <w:r>
              <w:rPr>
                <w:rFonts w:ascii="Arial" w:hAnsi="Arial"/>
                <w:sz w:val="22"/>
                <w:szCs w:val="22"/>
                <w:rtl w:val="0"/>
                <w:lang w:val="en-US"/>
              </w:rPr>
              <w:t xml:space="preserve"> and </w:t>
            </w:r>
            <w:r>
              <w:rPr>
                <w:rFonts w:ascii="Arial" w:hAnsi="Arial"/>
                <w:sz w:val="22"/>
                <w:szCs w:val="22"/>
                <w:rtl w:val="0"/>
                <w:lang w:val="en-US"/>
              </w:rPr>
              <w:t>opinions</w:t>
            </w:r>
            <w:r>
              <w:rPr>
                <w:rFonts w:ascii="Arial" w:hAnsi="Arial"/>
                <w:sz w:val="22"/>
                <w:szCs w:val="22"/>
                <w:rtl w:val="0"/>
                <w:lang w:val="en-US"/>
              </w:rPr>
              <w:t>.</w:t>
            </w:r>
            <w:r>
              <w:rPr>
                <w:rFonts w:ascii="Arial" w:hAnsi="Arial"/>
                <w:sz w:val="22"/>
                <w:szCs w:val="22"/>
                <w:rtl w:val="0"/>
                <w:lang w:val="en-US"/>
              </w:rPr>
              <w:t xml:space="preserve"> Some example questions that will be asked during the focus groups include: Do bullied children become bullied adults? How do you think bullying has changed over the years? Are there any specific media portrayals of bullying victims that have had an impact on you? Do you believe that bullied children are more likely to become bullies themselves?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 xml:space="preserve">   </w:t>
            </w:r>
            <w:r>
              <w:rPr>
                <w:rFonts w:ascii="Arial" w:hAnsi="Arial"/>
                <w:sz w:val="22"/>
                <w:szCs w:val="22"/>
                <w:rtl w:val="0"/>
                <w:lang w:val="en-US"/>
              </w:rPr>
              <w:t xml:space="preserve">The audio recordings from the focus group sessions will be transcribed verbatim. A Thematic analysis (Braun &amp; Clarke, 2006) will be adopted to identify recurring themes and patterns within the data. </w:t>
            </w: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r>
              <w:rPr>
                <w:rFonts w:ascii="Arial" w:hAnsi="Arial"/>
                <w:b w:val="1"/>
                <w:bCs w:val="1"/>
                <w:sz w:val="22"/>
                <w:szCs w:val="22"/>
                <w:rtl w:val="0"/>
                <w:lang w:val="en-US"/>
              </w:rPr>
              <w:t>Materials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The study will supply participants with consent forms and information sheets, which they must review and sign to demonstrate their voluntary participation and understanding of the study's requirements and ethical considerations. After the study concludes, participants will receive a debrief form that outlines the study's intentions, research questions, and hypotheses.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 xml:space="preserve">    P</w:t>
            </w:r>
            <w:r>
              <w:rPr>
                <w:rFonts w:ascii="Arial" w:hAnsi="Arial"/>
                <w:sz w:val="22"/>
                <w:szCs w:val="22"/>
                <w:rtl w:val="0"/>
                <w:lang w:val="en-US"/>
              </w:rPr>
              <w:t xml:space="preserve">rinted media articles will be made available to participants. These articles will be chosen based on their relevance to the study's objectives and their ability to represent a variety of portrayals and viewpoints concerning bullying victims in the media. </w:t>
            </w:r>
            <w:r>
              <w:rPr>
                <w:rFonts w:ascii="Arial" w:hAnsi="Arial"/>
                <w:sz w:val="22"/>
                <w:szCs w:val="22"/>
                <w:rtl w:val="0"/>
                <w:lang w:val="en-US"/>
              </w:rPr>
              <w:t>Additionally</w:t>
            </w:r>
            <w:r>
              <w:rPr>
                <w:rFonts w:ascii="Arial" w:hAnsi="Arial"/>
                <w:sz w:val="22"/>
                <w:szCs w:val="22"/>
                <w:rtl w:val="0"/>
                <w:lang w:val="en-US"/>
              </w:rPr>
              <w:t>, participants will receive photocopies of online articles focusing on media portrayals of bullying victims. Careful selection will ensure that these online articles present diverse perspectives and examples from various sources, including reputable news outlets, online publications, and scholarly resources.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 xml:space="preserve">    </w:t>
            </w:r>
            <w:r>
              <w:rPr>
                <w:rFonts w:ascii="Arial" w:hAnsi="Arial"/>
                <w:sz w:val="22"/>
                <w:szCs w:val="22"/>
                <w:rtl w:val="0"/>
                <w:lang w:val="en-US"/>
              </w:rPr>
              <w:t>For the purpose of accurate data collection and analysis, the focus group sessions will be recorded using recording equipment such as digital audio recorders or smartphones with recording capabilities.</w:t>
            </w: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r>
              <w:rPr>
                <w:rFonts w:ascii="Arial" w:hAnsi="Arial"/>
                <w:b w:val="1"/>
                <w:bCs w:val="1"/>
                <w:sz w:val="22"/>
                <w:szCs w:val="22"/>
                <w:rtl w:val="0"/>
                <w:lang w:val="en-US"/>
              </w:rPr>
              <w:t>Procedure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lang w:val="en-US"/>
              </w:rPr>
            </w:pPr>
            <w:r>
              <w:rPr>
                <w:rFonts w:ascii="Arial" w:hAnsi="Arial"/>
                <w:sz w:val="22"/>
                <w:szCs w:val="22"/>
                <w:rtl w:val="0"/>
                <w:lang w:val="en-US"/>
              </w:rPr>
              <w:t>Participants will be randomly assigned to one of two groups. Media and online articles will be printed for participants. Following individual reading, a facilitated group discussion will take place, audio recorded for accuracy. Open questions are adopted to explore topics such as long-term effects of childhood bullying and the relationship between childhood bullying and adult experiences. Participants will receive a debriefing session after the study.</w:t>
            </w: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rPr>
                <w:rFonts w:ascii="Arial" w:cs="Arial" w:hAnsi="Arial" w:eastAsia="Arial"/>
                <w:b w:val="1"/>
                <w:bCs w:val="1"/>
                <w:sz w:val="22"/>
                <w:szCs w:val="22"/>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rPr>
                <w:rFonts w:ascii="Arial" w:cs="Arial" w:hAnsi="Arial" w:eastAsia="Arial"/>
                <w:b w:val="1"/>
                <w:bCs w:val="1"/>
                <w:sz w:val="18"/>
                <w:szCs w:val="18"/>
                <w:lang w:val="en-US"/>
              </w:rPr>
            </w:pPr>
          </w:p>
          <w:p>
            <w:pPr>
              <w:pStyle w:val="Body"/>
            </w:pPr>
            <w:r>
              <w:rPr>
                <w:rFonts w:ascii="Arial" w:cs="Arial" w:hAnsi="Arial" w:eastAsia="Arial"/>
                <w:b w:val="1"/>
                <w:bCs w:val="1"/>
                <w:sz w:val="18"/>
                <w:szCs w:val="18"/>
                <w:lang w:val="en-US"/>
              </w:rPr>
            </w:r>
          </w:p>
        </w:tc>
      </w:tr>
    </w:tbl>
    <w:p>
      <w:pPr>
        <w:pStyle w:val="Body"/>
        <w:widowControl w:val="0"/>
        <w:rPr>
          <w:rFonts w:ascii="Arial" w:cs="Arial" w:hAnsi="Arial" w:eastAsia="Arial"/>
          <w:b w:val="1"/>
          <w:bCs w:val="1"/>
          <w:sz w:val="20"/>
          <w:szCs w:val="20"/>
        </w:rPr>
      </w:pPr>
    </w:p>
    <w:p>
      <w:pPr>
        <w:pStyle w:val="Body"/>
        <w:rPr>
          <w:rFonts w:ascii="Arial" w:cs="Arial" w:hAnsi="Arial" w:eastAsia="Arial"/>
          <w:b w:val="1"/>
          <w:bCs w:val="1"/>
        </w:rPr>
      </w:pPr>
    </w:p>
    <w:p>
      <w:pPr>
        <w:pStyle w:val="Body"/>
        <w:rPr>
          <w:rFonts w:ascii="Arial" w:cs="Arial" w:hAnsi="Arial" w:eastAsia="Arial"/>
          <w:b w:val="1"/>
          <w:bCs w:val="1"/>
          <w:sz w:val="20"/>
          <w:szCs w:val="20"/>
        </w:rPr>
      </w:pPr>
    </w:p>
    <w:p>
      <w:pPr>
        <w:pStyle w:val="Body"/>
        <w:rPr>
          <w:rFonts w:ascii="Arial" w:cs="Arial" w:hAnsi="Arial" w:eastAsia="Arial"/>
          <w:b w:val="1"/>
          <w:bCs w:val="1"/>
          <w:sz w:val="20"/>
          <w:szCs w:val="20"/>
          <w:u w:val="single"/>
        </w:rPr>
      </w:pPr>
      <w:r>
        <w:rPr>
          <w:rFonts w:ascii="Arial" w:hAnsi="Arial"/>
          <w:b w:val="1"/>
          <w:bCs w:val="1"/>
          <w:sz w:val="20"/>
          <w:szCs w:val="20"/>
          <w:u w:val="single"/>
          <w:rtl w:val="0"/>
          <w:lang w:val="en-US"/>
        </w:rPr>
        <w:t>Key Ethical considerations (150 words)</w:t>
      </w:r>
    </w:p>
    <w:p>
      <w:pPr>
        <w:pStyle w:val="Body"/>
        <w:rPr>
          <w:rFonts w:ascii="Arial" w:cs="Arial" w:hAnsi="Arial" w:eastAsia="Arial"/>
          <w:b w:val="1"/>
          <w:bCs w:val="1"/>
          <w:sz w:val="20"/>
          <w:szCs w:val="20"/>
          <w:u w:val="single"/>
        </w:rPr>
      </w:pPr>
    </w:p>
    <w:p>
      <w:pPr>
        <w:pStyle w:val="Body"/>
        <w:rPr>
          <w:sz w:val="4"/>
          <w:szCs w:val="4"/>
        </w:rPr>
      </w:pPr>
    </w:p>
    <w:tbl>
      <w:tblPr>
        <w:tblW w:w="1030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10308"/>
      </w:tblGrid>
      <w:tr>
        <w:tblPrEx>
          <w:shd w:val="clear" w:color="auto" w:fill="d0ddef"/>
        </w:tblPrEx>
        <w:trPr>
          <w:trHeight w:val="10043"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22"/>
                <w:szCs w:val="22"/>
                <w:shd w:val="nil" w:color="auto" w:fill="auto"/>
              </w:rPr>
            </w:pPr>
            <w:r>
              <w:rPr>
                <w:rFonts w:ascii="Arial" w:hAnsi="Arial"/>
                <w:i w:val="1"/>
                <w:iCs w:val="1"/>
                <w:sz w:val="22"/>
                <w:szCs w:val="22"/>
                <w:shd w:val="nil" w:color="auto" w:fill="auto"/>
                <w:rtl w:val="0"/>
                <w:lang w:val="en-US"/>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Pr>
                <w:rFonts w:ascii="Arial" w:hAnsi="Arial"/>
                <w:i w:val="1"/>
                <w:iCs w:val="1"/>
                <w:sz w:val="22"/>
                <w:szCs w:val="22"/>
                <w:u w:val="single"/>
                <w:shd w:val="nil" w:color="auto" w:fill="auto"/>
                <w:rtl w:val="0"/>
                <w:lang w:val="en-US"/>
              </w:rPr>
              <w:t>additional or specific key ethical considerations</w:t>
            </w:r>
            <w:r>
              <w:rPr>
                <w:rFonts w:ascii="Arial" w:hAnsi="Arial"/>
                <w:i w:val="1"/>
                <w:iCs w:val="1"/>
                <w:sz w:val="22"/>
                <w:szCs w:val="22"/>
                <w:shd w:val="nil" w:color="auto" w:fill="auto"/>
                <w:rtl w:val="0"/>
                <w:lang w:val="en-US"/>
              </w:rPr>
              <w:t xml:space="preserve"> for your particular project e.g. potential for distress or discomfort, any deception, research with vulnerable populations or sensitive topic areas, and briefly outline how you expect to manage these risks within your project. </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sz w:val="22"/>
                <w:szCs w:val="22"/>
                <w:shd w:val="nil" w:color="auto" w:fill="auto"/>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sz w:val="22"/>
                <w:szCs w:val="22"/>
                <w:rtl w:val="0"/>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rPr>
            </w:pPr>
            <w:r>
              <w:rPr>
                <w:rFonts w:ascii="Arial" w:hAnsi="Arial"/>
                <w:sz w:val="22"/>
                <w:szCs w:val="22"/>
                <w:rtl w:val="0"/>
                <w:lang w:val="en-US"/>
              </w:rPr>
              <w:t>Confidentiality and anonymity should be maintained to protect participants' identities and sensitive information, both during data collection and in reporting the findings. To ensure that confidentiality is maintained, no names will be used during the study. Additionally, participants will be made aware that all their input can be reduced by request.</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rtl w:val="0"/>
              </w:rPr>
            </w:pPr>
            <w:r>
              <w:rPr>
                <w:rFonts w:ascii="Arial" w:hAnsi="Arial"/>
                <w:sz w:val="22"/>
                <w:szCs w:val="22"/>
                <w:rtl w:val="0"/>
                <w:lang w:val="en-US"/>
              </w:rPr>
              <w:t xml:space="preserve">       </w:t>
            </w:r>
            <w:r>
              <w:rPr>
                <w:rFonts w:ascii="Arial" w:hAnsi="Arial"/>
                <w:sz w:val="22"/>
                <w:szCs w:val="22"/>
                <w:rtl w:val="0"/>
                <w:lang w:val="en-US"/>
              </w:rPr>
              <w:t>Participant well-being is a priority, as discussions on perceptions of vulnerable individuals may evoke distressing emotions or traumatic memories. This can be avoided in a number of ways, such as offering debriefing sessions and providing information about available emotional support available through student services.</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 w:val="left" w:pos="10080"/>
              </w:tabs>
              <w:bidi w:val="0"/>
              <w:spacing w:before="0" w:line="240" w:lineRule="auto"/>
              <w:ind w:left="0" w:right="0" w:firstLine="0"/>
              <w:jc w:val="left"/>
              <w:rPr>
                <w:rFonts w:ascii="Arial" w:cs="Arial" w:hAnsi="Arial" w:eastAsia="Arial"/>
                <w:sz w:val="22"/>
                <w:szCs w:val="22"/>
                <w:shd w:val="nil" w:color="auto" w:fill="auto"/>
                <w:rtl w:val="0"/>
                <w:lang w:val="en-US"/>
              </w:rPr>
            </w:pPr>
            <w:r>
              <w:rPr>
                <w:rFonts w:ascii="Arial" w:hAnsi="Arial"/>
                <w:sz w:val="22"/>
                <w:szCs w:val="22"/>
                <w:rtl w:val="0"/>
                <w:lang w:val="en-US"/>
              </w:rPr>
              <w:t xml:space="preserve">       </w:t>
            </w:r>
            <w:r>
              <w:rPr>
                <w:rFonts w:ascii="Arial" w:hAnsi="Arial"/>
                <w:sz w:val="22"/>
                <w:szCs w:val="22"/>
                <w:rtl w:val="0"/>
                <w:lang w:val="en-US"/>
              </w:rPr>
              <w:t>Power dynamics within the focus group should be carefully managed, allowing all participants to freely express their opinions and experiences without fear of judgment.</w:t>
            </w:r>
            <w:r>
              <w:rPr>
                <w:rFonts w:ascii="Arial" w:hAnsi="Arial"/>
                <w:sz w:val="22"/>
                <w:szCs w:val="22"/>
                <w:rtl w:val="0"/>
                <w:lang w:val="en-US"/>
              </w:rPr>
              <w:t xml:space="preserve"> </w:t>
            </w:r>
            <w:r>
              <w:rPr>
                <w:rFonts w:ascii="Arial" w:hAnsi="Arial"/>
                <w:sz w:val="22"/>
                <w:szCs w:val="22"/>
                <w:rtl w:val="0"/>
                <w:lang w:val="en-US"/>
              </w:rPr>
              <w:t>Establishing ground rules at the beginning of the focus group can help set expectations for respectful and inclusive communication. These rules may include active listening, allowing everyone to finish speaking before responding, and respecting diverse viewpoints</w:t>
            </w:r>
            <w:r>
              <w:rPr>
                <w:sz w:val="22"/>
                <w:szCs w:val="22"/>
                <w:rtl w:val="0"/>
              </w:rPr>
              <w:t>.</w:t>
            </w: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rPr>
                <w:rFonts w:ascii="Arial" w:cs="Arial" w:hAnsi="Arial" w:eastAsia="Arial"/>
                <w:b w:val="1"/>
                <w:bCs w:val="1"/>
                <w:shd w:val="nil" w:color="auto" w:fill="auto"/>
                <w:lang w:val="en-US"/>
              </w:rPr>
            </w:pPr>
          </w:p>
          <w:p>
            <w:pPr>
              <w:pStyle w:val="Body"/>
            </w:pPr>
            <w:r>
              <w:rPr>
                <w:rFonts w:ascii="Arial" w:cs="Arial" w:hAnsi="Arial" w:eastAsia="Arial"/>
                <w:b w:val="1"/>
                <w:bCs w:val="1"/>
                <w:shd w:val="nil" w:color="auto" w:fill="auto"/>
                <w:lang w:val="en-US"/>
              </w:rPr>
            </w:r>
          </w:p>
        </w:tc>
      </w:tr>
      <w:tr>
        <w:tblPrEx>
          <w:shd w:val="clear" w:color="auto" w:fill="d0ddef"/>
        </w:tblPrEx>
        <w:trPr>
          <w:trHeight w:val="243"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d0ddef"/>
        </w:tblPrEx>
        <w:trPr>
          <w:trHeight w:val="243" w:hRule="atLeast"/>
        </w:trPr>
        <w:tc>
          <w:tcPr>
            <w:tcW w:type="dxa" w:w="103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sz w:val="4"/>
          <w:szCs w:val="4"/>
        </w:rPr>
      </w:pPr>
    </w:p>
    <w:p>
      <w:pPr>
        <w:pStyle w:val="Body"/>
        <w:rPr>
          <w:sz w:val="8"/>
          <w:szCs w:val="8"/>
        </w:rPr>
      </w:pPr>
    </w:p>
    <w:p>
      <w:pPr>
        <w:pStyle w:val="Body"/>
      </w:pPr>
      <w:r>
        <w:rPr>
          <w:rFonts w:ascii="Arial" w:cs="Arial" w:hAnsi="Arial" w:eastAsia="Arial"/>
          <w:b w:val="1"/>
          <w:bCs w:val="1"/>
        </w:rPr>
      </w:r>
    </w:p>
    <w:sectPr>
      <w:headerReference w:type="default" r:id="rId5"/>
      <w:headerReference w:type="first" r:id="rId6"/>
      <w:footerReference w:type="default" r:id="rId7"/>
      <w:footerReference w:type="first" r:id="rId8"/>
      <w:pgSz w:w="11900" w:h="16840" w:orient="portrait"/>
      <w:pgMar w:top="567" w:right="794" w:bottom="397" w:left="794" w:header="709" w:footer="709"/>
      <w:pgNumType w:start="6"/>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SMU ARIAL 14 BOLD">
    <w:name w:val="SMU ARIAL 14 BOLD"/>
    <w:next w:val="SMU ARIAL 14 BOLD"/>
    <w:pPr>
      <w:keepNext w:val="0"/>
      <w:keepLines w:val="0"/>
      <w:pageBreakBefore w:val="0"/>
      <w:widowControl w:val="1"/>
      <w:shd w:val="clear" w:color="auto" w:fill="auto"/>
      <w:suppressAutoHyphens w:val="0"/>
      <w:bidi w:val="0"/>
      <w:spacing w:before="240" w:after="0" w:line="240" w:lineRule="auto"/>
      <w:ind w:left="0" w:right="0" w:firstLine="0"/>
      <w:jc w:val="left"/>
      <w:outlineLvl w:val="9"/>
    </w:pPr>
    <w:rPr>
      <w:rFonts w:ascii="Arial" w:cs="Arial Unicode MS" w:hAnsi="Arial" w:eastAsia="Arial Unicode MS"/>
      <w:b w:val="1"/>
      <w:bCs w:val="1"/>
      <w:i w:val="0"/>
      <w:iCs w:val="0"/>
      <w:caps w:val="1"/>
      <w:strike w:val="0"/>
      <w:dstrike w:val="0"/>
      <w:outline w:val="0"/>
      <w:color w:val="000000"/>
      <w:spacing w:val="0"/>
      <w:kern w:val="32"/>
      <w:position w:val="0"/>
      <w:sz w:val="28"/>
      <w:szCs w:val="28"/>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