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43095" w14:textId="77777777" w:rsidR="002E2D3C" w:rsidRPr="00765072" w:rsidRDefault="002E2D3C" w:rsidP="002E2D3C">
      <w:pPr>
        <w:jc w:val="center"/>
        <w:rPr>
          <w:sz w:val="52"/>
          <w:szCs w:val="52"/>
        </w:rPr>
      </w:pPr>
      <w:r w:rsidRPr="00765072">
        <w:rPr>
          <w:sz w:val="52"/>
          <w:szCs w:val="52"/>
        </w:rPr>
        <w:t>REHAN JOSEPH</w:t>
      </w:r>
    </w:p>
    <w:p w14:paraId="67F885B0" w14:textId="77777777" w:rsidR="002E2D3C" w:rsidRPr="00765072" w:rsidRDefault="002E2D3C" w:rsidP="002E2D3C">
      <w:pPr>
        <w:jc w:val="center"/>
        <w:rPr>
          <w:sz w:val="52"/>
          <w:szCs w:val="52"/>
        </w:rPr>
      </w:pPr>
      <w:r w:rsidRPr="00765072">
        <w:rPr>
          <w:sz w:val="52"/>
          <w:szCs w:val="52"/>
        </w:rPr>
        <w:t>(2404834)</w:t>
      </w:r>
    </w:p>
    <w:p w14:paraId="442DAEAB" w14:textId="6056F6FC" w:rsidR="002E2D3C" w:rsidRDefault="002E2D3C" w:rsidP="002E2D3C">
      <w:pPr>
        <w:jc w:val="center"/>
        <w:rPr>
          <w:sz w:val="52"/>
          <w:szCs w:val="52"/>
        </w:rPr>
      </w:pPr>
      <w:r w:rsidRPr="00765072">
        <w:rPr>
          <w:sz w:val="52"/>
          <w:szCs w:val="52"/>
        </w:rPr>
        <w:t xml:space="preserve">Data </w:t>
      </w:r>
      <w:r>
        <w:rPr>
          <w:sz w:val="52"/>
          <w:szCs w:val="52"/>
        </w:rPr>
        <w:t>Security and Compliance</w:t>
      </w:r>
      <w:r w:rsidRPr="00765072">
        <w:rPr>
          <w:sz w:val="52"/>
          <w:szCs w:val="52"/>
        </w:rPr>
        <w:t xml:space="preserve"> </w:t>
      </w:r>
    </w:p>
    <w:p w14:paraId="2792A805" w14:textId="13E8F840" w:rsidR="002E2D3C" w:rsidRPr="00765072" w:rsidRDefault="002E2D3C" w:rsidP="002E2D3C">
      <w:pPr>
        <w:jc w:val="center"/>
        <w:rPr>
          <w:sz w:val="52"/>
          <w:szCs w:val="52"/>
        </w:rPr>
      </w:pPr>
      <w:r w:rsidRPr="003541CB">
        <w:rPr>
          <w:sz w:val="52"/>
          <w:szCs w:val="52"/>
        </w:rPr>
        <w:t>ACC</w:t>
      </w:r>
      <w:r>
        <w:rPr>
          <w:sz w:val="52"/>
          <w:szCs w:val="52"/>
        </w:rPr>
        <w:t>A5034</w:t>
      </w:r>
    </w:p>
    <w:p w14:paraId="2B0D2CB1" w14:textId="60D76DBB" w:rsidR="002E2D3C" w:rsidRDefault="002E2D3C" w:rsidP="002E2D3C">
      <w:pPr>
        <w:jc w:val="center"/>
        <w:rPr>
          <w:sz w:val="52"/>
          <w:szCs w:val="52"/>
        </w:rPr>
      </w:pPr>
      <w:r w:rsidRPr="00765072">
        <w:rPr>
          <w:sz w:val="52"/>
          <w:szCs w:val="52"/>
        </w:rPr>
        <w:t>Assignmen</w:t>
      </w:r>
      <w:r>
        <w:rPr>
          <w:sz w:val="52"/>
          <w:szCs w:val="52"/>
        </w:rPr>
        <w:t>t</w:t>
      </w:r>
    </w:p>
    <w:p w14:paraId="780FC101" w14:textId="6293F2D3" w:rsidR="002E2D3C" w:rsidRDefault="002E2D3C" w:rsidP="002E2D3C">
      <w:pPr>
        <w:jc w:val="center"/>
        <w:rPr>
          <w:sz w:val="52"/>
          <w:szCs w:val="52"/>
        </w:rPr>
        <w:sectPr w:rsidR="002E2D3C" w:rsidSect="002E2D3C">
          <w:footerReference w:type="default" r:id="rId8"/>
          <w:pgSz w:w="11906" w:h="16838"/>
          <w:pgMar w:top="1440" w:right="1440" w:bottom="1440" w:left="1440" w:header="708" w:footer="708" w:gutter="0"/>
          <w:pgBorders w:offsetFrom="page">
            <w:top w:val="thickThinLargeGap" w:sz="24" w:space="24" w:color="auto"/>
            <w:left w:val="thickThinLargeGap" w:sz="24" w:space="24" w:color="auto"/>
            <w:bottom w:val="thickThinLargeGap" w:sz="24" w:space="24" w:color="auto"/>
            <w:right w:val="thickThinLargeGap" w:sz="24" w:space="24" w:color="auto"/>
          </w:pgBorders>
          <w:cols w:space="708"/>
          <w:docGrid w:linePitch="360"/>
        </w:sectPr>
      </w:pPr>
      <w:r>
        <w:rPr>
          <w:sz w:val="52"/>
          <w:szCs w:val="52"/>
        </w:rPr>
        <w:t>6 January 2026</w:t>
      </w:r>
    </w:p>
    <w:p w14:paraId="3DD00DDC" w14:textId="3C08D964" w:rsidR="002E2D3C" w:rsidRDefault="002E2D3C" w:rsidP="002E2D3C">
      <w:pPr>
        <w:rPr>
          <w:sz w:val="52"/>
          <w:szCs w:val="52"/>
        </w:rPr>
        <w:sectPr w:rsidR="002E2D3C" w:rsidSect="002E2D3C">
          <w:type w:val="continuous"/>
          <w:pgSz w:w="11906" w:h="16838"/>
          <w:pgMar w:top="1440" w:right="1440" w:bottom="1440" w:left="1440" w:header="708" w:footer="708" w:gutter="0"/>
          <w:pgBorders w:offsetFrom="page">
            <w:top w:val="thickThinLargeGap" w:sz="24" w:space="24" w:color="auto"/>
            <w:left w:val="thickThinLargeGap" w:sz="24" w:space="24" w:color="auto"/>
            <w:bottom w:val="thickThinLargeGap" w:sz="24" w:space="24" w:color="auto"/>
            <w:right w:val="thickThinLargeGap" w:sz="24" w:space="24" w:color="auto"/>
          </w:pgBorders>
          <w:cols w:num="2" w:space="708"/>
          <w:docGrid w:linePitch="360"/>
        </w:sectPr>
      </w:pPr>
      <w:r>
        <w:rPr>
          <w:noProof/>
        </w:rPr>
        <w:drawing>
          <wp:anchor distT="0" distB="0" distL="114300" distR="114300" simplePos="0" relativeHeight="251660288" behindDoc="1" locked="0" layoutInCell="1" allowOverlap="1" wp14:anchorId="3F08C36C" wp14:editId="3A88A33A">
            <wp:simplePos x="0" y="0"/>
            <wp:positionH relativeFrom="margin">
              <wp:align>center</wp:align>
            </wp:positionH>
            <wp:positionV relativeFrom="paragraph">
              <wp:posOffset>132715</wp:posOffset>
            </wp:positionV>
            <wp:extent cx="4318635" cy="4272915"/>
            <wp:effectExtent l="0" t="0" r="5715" b="0"/>
            <wp:wrapTopAndBottom/>
            <wp:docPr id="2"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in The United Kingdom : Review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635" cy="4272915"/>
                    </a:xfrm>
                    <a:prstGeom prst="rect">
                      <a:avLst/>
                    </a:prstGeom>
                    <a:noFill/>
                    <a:ln>
                      <a:noFill/>
                    </a:ln>
                  </pic:spPr>
                </pic:pic>
              </a:graphicData>
            </a:graphic>
          </wp:anchor>
        </w:drawing>
      </w:r>
    </w:p>
    <w:p w14:paraId="71B084C4" w14:textId="3474786A" w:rsidR="002E2D3C" w:rsidRDefault="002E2D3C" w:rsidP="002E2D3C">
      <w:pPr>
        <w:jc w:val="center"/>
        <w:sectPr w:rsidR="002E2D3C" w:rsidSect="002E2D3C">
          <w:type w:val="continuous"/>
          <w:pgSz w:w="11906" w:h="16838"/>
          <w:pgMar w:top="1440" w:right="1440" w:bottom="1440" w:left="1440" w:header="708" w:footer="708" w:gutter="0"/>
          <w:pgBorders w:offsetFrom="page">
            <w:top w:val="thickThinLargeGap" w:sz="24" w:space="24" w:color="auto"/>
            <w:left w:val="thickThinLargeGap" w:sz="24" w:space="24" w:color="auto"/>
            <w:bottom w:val="thickThinLargeGap" w:sz="24" w:space="24" w:color="auto"/>
            <w:right w:val="thickThinLargeGap" w:sz="24" w:space="24" w:color="auto"/>
          </w:pgBorders>
          <w:cols w:space="708"/>
          <w:docGrid w:linePitch="360"/>
        </w:sectPr>
      </w:pPr>
    </w:p>
    <w:p w14:paraId="67ABA5E9" w14:textId="58331DBE" w:rsidR="002E2D3C" w:rsidRPr="00B27E93" w:rsidRDefault="002E2D3C" w:rsidP="002E2D3C">
      <w:pPr>
        <w:jc w:val="center"/>
      </w:pPr>
      <w:r>
        <w:t xml:space="preserve"> </w:t>
      </w:r>
      <w:r>
        <w:br w:type="page"/>
      </w:r>
    </w:p>
    <w:sdt>
      <w:sdtPr>
        <w:rPr>
          <w:rFonts w:asciiTheme="minorHAnsi" w:eastAsiaTheme="minorHAnsi" w:hAnsiTheme="minorHAnsi" w:cstheme="minorBidi"/>
          <w:color w:val="auto"/>
          <w:kern w:val="2"/>
          <w:sz w:val="24"/>
          <w:szCs w:val="24"/>
          <w:lang w:val="en-ZA"/>
          <w14:ligatures w14:val="standardContextual"/>
        </w:rPr>
        <w:id w:val="-1563790770"/>
        <w:docPartObj>
          <w:docPartGallery w:val="Table of Contents"/>
          <w:docPartUnique/>
        </w:docPartObj>
      </w:sdtPr>
      <w:sdtEndPr>
        <w:rPr>
          <w:b/>
          <w:bCs/>
          <w:noProof/>
        </w:rPr>
      </w:sdtEndPr>
      <w:sdtContent>
        <w:p w14:paraId="2BCCC6A9" w14:textId="027158B9" w:rsidR="00F81ED3" w:rsidRDefault="00F81ED3">
          <w:pPr>
            <w:pStyle w:val="TOCHeading"/>
          </w:pPr>
          <w:r>
            <w:t>Contents</w:t>
          </w:r>
        </w:p>
        <w:p w14:paraId="47692453" w14:textId="77777777" w:rsidR="00DA1586" w:rsidRDefault="00DA1586">
          <w:pPr>
            <w:pStyle w:val="TOC1"/>
            <w:tabs>
              <w:tab w:val="right" w:leader="dot" w:pos="4149"/>
            </w:tabs>
            <w:sectPr w:rsidR="00DA1586" w:rsidSect="002E2D3C">
              <w:type w:val="continuous"/>
              <w:pgSz w:w="11906" w:h="16838"/>
              <w:pgMar w:top="1440" w:right="1440" w:bottom="1440" w:left="1440" w:header="708" w:footer="708" w:gutter="0"/>
              <w:pgBorders w:offsetFrom="page">
                <w:top w:val="thickThinLargeGap" w:sz="24" w:space="24" w:color="auto"/>
                <w:left w:val="thickThinLargeGap" w:sz="24" w:space="24" w:color="auto"/>
                <w:bottom w:val="thickThinLargeGap" w:sz="24" w:space="24" w:color="auto"/>
                <w:right w:val="thickThinLargeGap" w:sz="24" w:space="24" w:color="auto"/>
              </w:pgBorders>
              <w:cols w:num="2" w:space="708"/>
              <w:docGrid w:linePitch="360"/>
            </w:sectPr>
          </w:pPr>
        </w:p>
        <w:p w14:paraId="18F4DD07" w14:textId="49977D67" w:rsidR="005F3A34" w:rsidRDefault="00F81ED3">
          <w:pPr>
            <w:pStyle w:val="TOC1"/>
            <w:tabs>
              <w:tab w:val="right" w:leader="dot" w:pos="9016"/>
            </w:tabs>
            <w:rPr>
              <w:rFonts w:eastAsiaTheme="minorEastAsia"/>
              <w:noProof/>
              <w:lang w:eastAsia="en-ZA"/>
            </w:rPr>
          </w:pPr>
          <w:r>
            <w:fldChar w:fldCharType="begin"/>
          </w:r>
          <w:r>
            <w:instrText xml:space="preserve"> TOC \o "1-3" \h \z \u </w:instrText>
          </w:r>
          <w:r>
            <w:fldChar w:fldCharType="separate"/>
          </w:r>
          <w:hyperlink w:anchor="_Toc218546885" w:history="1">
            <w:r w:rsidR="005F3A34" w:rsidRPr="00FF4568">
              <w:rPr>
                <w:rStyle w:val="Hyperlink"/>
                <w:noProof/>
              </w:rPr>
              <w:t>Figures</w:t>
            </w:r>
            <w:r w:rsidR="005F3A34">
              <w:rPr>
                <w:noProof/>
                <w:webHidden/>
              </w:rPr>
              <w:tab/>
            </w:r>
            <w:r w:rsidR="005F3A34">
              <w:rPr>
                <w:noProof/>
                <w:webHidden/>
              </w:rPr>
              <w:fldChar w:fldCharType="begin"/>
            </w:r>
            <w:r w:rsidR="005F3A34">
              <w:rPr>
                <w:noProof/>
                <w:webHidden/>
              </w:rPr>
              <w:instrText xml:space="preserve"> PAGEREF _Toc218546885 \h </w:instrText>
            </w:r>
            <w:r w:rsidR="005F3A34">
              <w:rPr>
                <w:noProof/>
                <w:webHidden/>
              </w:rPr>
            </w:r>
            <w:r w:rsidR="005F3A34">
              <w:rPr>
                <w:noProof/>
                <w:webHidden/>
              </w:rPr>
              <w:fldChar w:fldCharType="separate"/>
            </w:r>
            <w:r w:rsidR="005F3A34">
              <w:rPr>
                <w:noProof/>
                <w:webHidden/>
              </w:rPr>
              <w:t>3</w:t>
            </w:r>
            <w:r w:rsidR="005F3A34">
              <w:rPr>
                <w:noProof/>
                <w:webHidden/>
              </w:rPr>
              <w:fldChar w:fldCharType="end"/>
            </w:r>
          </w:hyperlink>
        </w:p>
        <w:p w14:paraId="04D01F20" w14:textId="0C9ADB0D" w:rsidR="005F3A34" w:rsidRDefault="005F3A34">
          <w:pPr>
            <w:pStyle w:val="TOC1"/>
            <w:tabs>
              <w:tab w:val="right" w:leader="dot" w:pos="9016"/>
            </w:tabs>
            <w:rPr>
              <w:rFonts w:eastAsiaTheme="minorEastAsia"/>
              <w:noProof/>
              <w:lang w:eastAsia="en-ZA"/>
            </w:rPr>
          </w:pPr>
          <w:hyperlink w:anchor="_Toc218546886" w:history="1">
            <w:r w:rsidRPr="00FF4568">
              <w:rPr>
                <w:rStyle w:val="Hyperlink"/>
                <w:noProof/>
              </w:rPr>
              <w:t>Table of Acronyms</w:t>
            </w:r>
            <w:r>
              <w:rPr>
                <w:noProof/>
                <w:webHidden/>
              </w:rPr>
              <w:tab/>
            </w:r>
            <w:r>
              <w:rPr>
                <w:noProof/>
                <w:webHidden/>
              </w:rPr>
              <w:fldChar w:fldCharType="begin"/>
            </w:r>
            <w:r>
              <w:rPr>
                <w:noProof/>
                <w:webHidden/>
              </w:rPr>
              <w:instrText xml:space="preserve"> PAGEREF _Toc218546886 \h </w:instrText>
            </w:r>
            <w:r>
              <w:rPr>
                <w:noProof/>
                <w:webHidden/>
              </w:rPr>
            </w:r>
            <w:r>
              <w:rPr>
                <w:noProof/>
                <w:webHidden/>
              </w:rPr>
              <w:fldChar w:fldCharType="separate"/>
            </w:r>
            <w:r>
              <w:rPr>
                <w:noProof/>
                <w:webHidden/>
              </w:rPr>
              <w:t>3</w:t>
            </w:r>
            <w:r>
              <w:rPr>
                <w:noProof/>
                <w:webHidden/>
              </w:rPr>
              <w:fldChar w:fldCharType="end"/>
            </w:r>
          </w:hyperlink>
        </w:p>
        <w:p w14:paraId="3F46D056" w14:textId="3DB0F046" w:rsidR="005F3A34" w:rsidRDefault="005F3A34">
          <w:pPr>
            <w:pStyle w:val="TOC1"/>
            <w:tabs>
              <w:tab w:val="right" w:leader="dot" w:pos="9016"/>
            </w:tabs>
            <w:rPr>
              <w:rFonts w:eastAsiaTheme="minorEastAsia"/>
              <w:noProof/>
              <w:lang w:eastAsia="en-ZA"/>
            </w:rPr>
          </w:pPr>
          <w:hyperlink w:anchor="_Toc218546887" w:history="1">
            <w:r w:rsidRPr="00FF4568">
              <w:rPr>
                <w:rStyle w:val="Hyperlink"/>
                <w:b/>
                <w:bCs/>
                <w:noProof/>
              </w:rPr>
              <w:t>Task 1</w:t>
            </w:r>
            <w:r>
              <w:rPr>
                <w:noProof/>
                <w:webHidden/>
              </w:rPr>
              <w:tab/>
            </w:r>
            <w:r>
              <w:rPr>
                <w:noProof/>
                <w:webHidden/>
              </w:rPr>
              <w:fldChar w:fldCharType="begin"/>
            </w:r>
            <w:r>
              <w:rPr>
                <w:noProof/>
                <w:webHidden/>
              </w:rPr>
              <w:instrText xml:space="preserve"> PAGEREF _Toc218546887 \h </w:instrText>
            </w:r>
            <w:r>
              <w:rPr>
                <w:noProof/>
                <w:webHidden/>
              </w:rPr>
            </w:r>
            <w:r>
              <w:rPr>
                <w:noProof/>
                <w:webHidden/>
              </w:rPr>
              <w:fldChar w:fldCharType="separate"/>
            </w:r>
            <w:r>
              <w:rPr>
                <w:noProof/>
                <w:webHidden/>
              </w:rPr>
              <w:t>5</w:t>
            </w:r>
            <w:r>
              <w:rPr>
                <w:noProof/>
                <w:webHidden/>
              </w:rPr>
              <w:fldChar w:fldCharType="end"/>
            </w:r>
          </w:hyperlink>
        </w:p>
        <w:p w14:paraId="1AB3588C" w14:textId="089B6AA2" w:rsidR="005F3A34" w:rsidRDefault="005F3A34">
          <w:pPr>
            <w:pStyle w:val="TOC1"/>
            <w:tabs>
              <w:tab w:val="right" w:leader="dot" w:pos="9016"/>
            </w:tabs>
            <w:rPr>
              <w:rFonts w:eastAsiaTheme="minorEastAsia"/>
              <w:noProof/>
              <w:lang w:eastAsia="en-ZA"/>
            </w:rPr>
          </w:pPr>
          <w:hyperlink w:anchor="_Toc218546888" w:history="1">
            <w:r w:rsidRPr="00FF4568">
              <w:rPr>
                <w:rStyle w:val="Hyperlink"/>
                <w:noProof/>
              </w:rPr>
              <w:t>Introduction</w:t>
            </w:r>
            <w:r>
              <w:rPr>
                <w:noProof/>
                <w:webHidden/>
              </w:rPr>
              <w:tab/>
            </w:r>
            <w:r>
              <w:rPr>
                <w:noProof/>
                <w:webHidden/>
              </w:rPr>
              <w:fldChar w:fldCharType="begin"/>
            </w:r>
            <w:r>
              <w:rPr>
                <w:noProof/>
                <w:webHidden/>
              </w:rPr>
              <w:instrText xml:space="preserve"> PAGEREF _Toc218546888 \h </w:instrText>
            </w:r>
            <w:r>
              <w:rPr>
                <w:noProof/>
                <w:webHidden/>
              </w:rPr>
            </w:r>
            <w:r>
              <w:rPr>
                <w:noProof/>
                <w:webHidden/>
              </w:rPr>
              <w:fldChar w:fldCharType="separate"/>
            </w:r>
            <w:r>
              <w:rPr>
                <w:noProof/>
                <w:webHidden/>
              </w:rPr>
              <w:t>5</w:t>
            </w:r>
            <w:r>
              <w:rPr>
                <w:noProof/>
                <w:webHidden/>
              </w:rPr>
              <w:fldChar w:fldCharType="end"/>
            </w:r>
          </w:hyperlink>
        </w:p>
        <w:p w14:paraId="6D58BC83" w14:textId="09EF5410" w:rsidR="005F3A34" w:rsidRDefault="005F3A34">
          <w:pPr>
            <w:pStyle w:val="TOC1"/>
            <w:tabs>
              <w:tab w:val="right" w:leader="dot" w:pos="9016"/>
            </w:tabs>
            <w:rPr>
              <w:rFonts w:eastAsiaTheme="minorEastAsia"/>
              <w:noProof/>
              <w:lang w:eastAsia="en-ZA"/>
            </w:rPr>
          </w:pPr>
          <w:hyperlink w:anchor="_Toc218546889" w:history="1">
            <w:r w:rsidRPr="00FF4568">
              <w:rPr>
                <w:rStyle w:val="Hyperlink"/>
                <w:noProof/>
              </w:rPr>
              <w:t>Why AI Governance Is Important</w:t>
            </w:r>
            <w:r>
              <w:rPr>
                <w:noProof/>
                <w:webHidden/>
              </w:rPr>
              <w:tab/>
            </w:r>
            <w:r>
              <w:rPr>
                <w:noProof/>
                <w:webHidden/>
              </w:rPr>
              <w:fldChar w:fldCharType="begin"/>
            </w:r>
            <w:r>
              <w:rPr>
                <w:noProof/>
                <w:webHidden/>
              </w:rPr>
              <w:instrText xml:space="preserve"> PAGEREF _Toc218546889 \h </w:instrText>
            </w:r>
            <w:r>
              <w:rPr>
                <w:noProof/>
                <w:webHidden/>
              </w:rPr>
            </w:r>
            <w:r>
              <w:rPr>
                <w:noProof/>
                <w:webHidden/>
              </w:rPr>
              <w:fldChar w:fldCharType="separate"/>
            </w:r>
            <w:r>
              <w:rPr>
                <w:noProof/>
                <w:webHidden/>
              </w:rPr>
              <w:t>5</w:t>
            </w:r>
            <w:r>
              <w:rPr>
                <w:noProof/>
                <w:webHidden/>
              </w:rPr>
              <w:fldChar w:fldCharType="end"/>
            </w:r>
          </w:hyperlink>
        </w:p>
        <w:p w14:paraId="0044DCA3" w14:textId="56879971" w:rsidR="005F3A34" w:rsidRDefault="005F3A34">
          <w:pPr>
            <w:pStyle w:val="TOC2"/>
            <w:tabs>
              <w:tab w:val="right" w:leader="dot" w:pos="9016"/>
            </w:tabs>
            <w:rPr>
              <w:rFonts w:eastAsiaTheme="minorEastAsia"/>
              <w:noProof/>
              <w:lang w:eastAsia="en-ZA"/>
            </w:rPr>
          </w:pPr>
          <w:hyperlink w:anchor="_Toc218546890" w:history="1">
            <w:r w:rsidRPr="00FF4568">
              <w:rPr>
                <w:rStyle w:val="Hyperlink"/>
                <w:noProof/>
              </w:rPr>
              <w:t>AI as a High-Impact but High-Risk Technology</w:t>
            </w:r>
            <w:r>
              <w:rPr>
                <w:noProof/>
                <w:webHidden/>
              </w:rPr>
              <w:tab/>
            </w:r>
            <w:r>
              <w:rPr>
                <w:noProof/>
                <w:webHidden/>
              </w:rPr>
              <w:fldChar w:fldCharType="begin"/>
            </w:r>
            <w:r>
              <w:rPr>
                <w:noProof/>
                <w:webHidden/>
              </w:rPr>
              <w:instrText xml:space="preserve"> PAGEREF _Toc218546890 \h </w:instrText>
            </w:r>
            <w:r>
              <w:rPr>
                <w:noProof/>
                <w:webHidden/>
              </w:rPr>
            </w:r>
            <w:r>
              <w:rPr>
                <w:noProof/>
                <w:webHidden/>
              </w:rPr>
              <w:fldChar w:fldCharType="separate"/>
            </w:r>
            <w:r>
              <w:rPr>
                <w:noProof/>
                <w:webHidden/>
              </w:rPr>
              <w:t>5</w:t>
            </w:r>
            <w:r>
              <w:rPr>
                <w:noProof/>
                <w:webHidden/>
              </w:rPr>
              <w:fldChar w:fldCharType="end"/>
            </w:r>
          </w:hyperlink>
        </w:p>
        <w:p w14:paraId="6CD1142E" w14:textId="173901AE" w:rsidR="005F3A34" w:rsidRDefault="005F3A34">
          <w:pPr>
            <w:pStyle w:val="TOC2"/>
            <w:tabs>
              <w:tab w:val="right" w:leader="dot" w:pos="9016"/>
            </w:tabs>
            <w:rPr>
              <w:rFonts w:eastAsiaTheme="minorEastAsia"/>
              <w:noProof/>
              <w:lang w:eastAsia="en-ZA"/>
            </w:rPr>
          </w:pPr>
          <w:hyperlink w:anchor="_Toc218546891" w:history="1">
            <w:r w:rsidRPr="00FF4568">
              <w:rPr>
                <w:rStyle w:val="Hyperlink"/>
                <w:noProof/>
              </w:rPr>
              <w:t>Legal and Ethical Responsibilities</w:t>
            </w:r>
            <w:r>
              <w:rPr>
                <w:noProof/>
                <w:webHidden/>
              </w:rPr>
              <w:tab/>
            </w:r>
            <w:r>
              <w:rPr>
                <w:noProof/>
                <w:webHidden/>
              </w:rPr>
              <w:fldChar w:fldCharType="begin"/>
            </w:r>
            <w:r>
              <w:rPr>
                <w:noProof/>
                <w:webHidden/>
              </w:rPr>
              <w:instrText xml:space="preserve"> PAGEREF _Toc218546891 \h </w:instrText>
            </w:r>
            <w:r>
              <w:rPr>
                <w:noProof/>
                <w:webHidden/>
              </w:rPr>
            </w:r>
            <w:r>
              <w:rPr>
                <w:noProof/>
                <w:webHidden/>
              </w:rPr>
              <w:fldChar w:fldCharType="separate"/>
            </w:r>
            <w:r>
              <w:rPr>
                <w:noProof/>
                <w:webHidden/>
              </w:rPr>
              <w:t>6</w:t>
            </w:r>
            <w:r>
              <w:rPr>
                <w:noProof/>
                <w:webHidden/>
              </w:rPr>
              <w:fldChar w:fldCharType="end"/>
            </w:r>
          </w:hyperlink>
        </w:p>
        <w:p w14:paraId="2C00270B" w14:textId="4B75F938" w:rsidR="005F3A34" w:rsidRDefault="005F3A34">
          <w:pPr>
            <w:pStyle w:val="TOC2"/>
            <w:tabs>
              <w:tab w:val="right" w:leader="dot" w:pos="9016"/>
            </w:tabs>
            <w:rPr>
              <w:rFonts w:eastAsiaTheme="minorEastAsia"/>
              <w:noProof/>
              <w:lang w:eastAsia="en-ZA"/>
            </w:rPr>
          </w:pPr>
          <w:hyperlink w:anchor="_Toc218546892" w:history="1">
            <w:r w:rsidRPr="00FF4568">
              <w:rPr>
                <w:rStyle w:val="Hyperlink"/>
                <w:noProof/>
              </w:rPr>
              <w:t>Governance as Protection and Enablement</w:t>
            </w:r>
            <w:r>
              <w:rPr>
                <w:noProof/>
                <w:webHidden/>
              </w:rPr>
              <w:tab/>
            </w:r>
            <w:r>
              <w:rPr>
                <w:noProof/>
                <w:webHidden/>
              </w:rPr>
              <w:fldChar w:fldCharType="begin"/>
            </w:r>
            <w:r>
              <w:rPr>
                <w:noProof/>
                <w:webHidden/>
              </w:rPr>
              <w:instrText xml:space="preserve"> PAGEREF _Toc218546892 \h </w:instrText>
            </w:r>
            <w:r>
              <w:rPr>
                <w:noProof/>
                <w:webHidden/>
              </w:rPr>
            </w:r>
            <w:r>
              <w:rPr>
                <w:noProof/>
                <w:webHidden/>
              </w:rPr>
              <w:fldChar w:fldCharType="separate"/>
            </w:r>
            <w:r>
              <w:rPr>
                <w:noProof/>
                <w:webHidden/>
              </w:rPr>
              <w:t>6</w:t>
            </w:r>
            <w:r>
              <w:rPr>
                <w:noProof/>
                <w:webHidden/>
              </w:rPr>
              <w:fldChar w:fldCharType="end"/>
            </w:r>
          </w:hyperlink>
        </w:p>
        <w:p w14:paraId="1CE69C4D" w14:textId="39A2C1A2" w:rsidR="005F3A34" w:rsidRDefault="005F3A34">
          <w:pPr>
            <w:pStyle w:val="TOC1"/>
            <w:tabs>
              <w:tab w:val="right" w:leader="dot" w:pos="9016"/>
            </w:tabs>
            <w:rPr>
              <w:rFonts w:eastAsiaTheme="minorEastAsia"/>
              <w:noProof/>
              <w:lang w:eastAsia="en-ZA"/>
            </w:rPr>
          </w:pPr>
          <w:hyperlink w:anchor="_Toc218546893" w:history="1">
            <w:r w:rsidRPr="00FF4568">
              <w:rPr>
                <w:rStyle w:val="Hyperlink"/>
                <w:noProof/>
              </w:rPr>
              <w:t>Anticipating Risks in AI Systems</w:t>
            </w:r>
            <w:r>
              <w:rPr>
                <w:noProof/>
                <w:webHidden/>
              </w:rPr>
              <w:tab/>
            </w:r>
            <w:r>
              <w:rPr>
                <w:noProof/>
                <w:webHidden/>
              </w:rPr>
              <w:fldChar w:fldCharType="begin"/>
            </w:r>
            <w:r>
              <w:rPr>
                <w:noProof/>
                <w:webHidden/>
              </w:rPr>
              <w:instrText xml:space="preserve"> PAGEREF _Toc218546893 \h </w:instrText>
            </w:r>
            <w:r>
              <w:rPr>
                <w:noProof/>
                <w:webHidden/>
              </w:rPr>
            </w:r>
            <w:r>
              <w:rPr>
                <w:noProof/>
                <w:webHidden/>
              </w:rPr>
              <w:fldChar w:fldCharType="separate"/>
            </w:r>
            <w:r>
              <w:rPr>
                <w:noProof/>
                <w:webHidden/>
              </w:rPr>
              <w:t>6</w:t>
            </w:r>
            <w:r>
              <w:rPr>
                <w:noProof/>
                <w:webHidden/>
              </w:rPr>
              <w:fldChar w:fldCharType="end"/>
            </w:r>
          </w:hyperlink>
        </w:p>
        <w:p w14:paraId="5606FE81" w14:textId="5FCAA214" w:rsidR="005F3A34" w:rsidRDefault="005F3A34">
          <w:pPr>
            <w:pStyle w:val="TOC2"/>
            <w:tabs>
              <w:tab w:val="right" w:leader="dot" w:pos="9016"/>
            </w:tabs>
            <w:rPr>
              <w:rFonts w:eastAsiaTheme="minorEastAsia"/>
              <w:noProof/>
              <w:lang w:eastAsia="en-ZA"/>
            </w:rPr>
          </w:pPr>
          <w:hyperlink w:anchor="_Toc218546894" w:history="1">
            <w:r w:rsidRPr="00FF4568">
              <w:rPr>
                <w:rStyle w:val="Hyperlink"/>
                <w:noProof/>
              </w:rPr>
              <w:t>Risk Assessment Before Development</w:t>
            </w:r>
            <w:r>
              <w:rPr>
                <w:noProof/>
                <w:webHidden/>
              </w:rPr>
              <w:tab/>
            </w:r>
            <w:r>
              <w:rPr>
                <w:noProof/>
                <w:webHidden/>
              </w:rPr>
              <w:fldChar w:fldCharType="begin"/>
            </w:r>
            <w:r>
              <w:rPr>
                <w:noProof/>
                <w:webHidden/>
              </w:rPr>
              <w:instrText xml:space="preserve"> PAGEREF _Toc218546894 \h </w:instrText>
            </w:r>
            <w:r>
              <w:rPr>
                <w:noProof/>
                <w:webHidden/>
              </w:rPr>
            </w:r>
            <w:r>
              <w:rPr>
                <w:noProof/>
                <w:webHidden/>
              </w:rPr>
              <w:fldChar w:fldCharType="separate"/>
            </w:r>
            <w:r>
              <w:rPr>
                <w:noProof/>
                <w:webHidden/>
              </w:rPr>
              <w:t>7</w:t>
            </w:r>
            <w:r>
              <w:rPr>
                <w:noProof/>
                <w:webHidden/>
              </w:rPr>
              <w:fldChar w:fldCharType="end"/>
            </w:r>
          </w:hyperlink>
        </w:p>
        <w:p w14:paraId="655E6E1B" w14:textId="7A8A8425" w:rsidR="005F3A34" w:rsidRDefault="005F3A34">
          <w:pPr>
            <w:pStyle w:val="TOC2"/>
            <w:tabs>
              <w:tab w:val="right" w:leader="dot" w:pos="9016"/>
            </w:tabs>
            <w:rPr>
              <w:rFonts w:eastAsiaTheme="minorEastAsia"/>
              <w:noProof/>
              <w:lang w:eastAsia="en-ZA"/>
            </w:rPr>
          </w:pPr>
          <w:hyperlink w:anchor="_Toc218546895" w:history="1">
            <w:r w:rsidRPr="00FF4568">
              <w:rPr>
                <w:rStyle w:val="Hyperlink"/>
                <w:noProof/>
              </w:rPr>
              <w:t>Data Quality, Bias, and Fairness</w:t>
            </w:r>
            <w:r>
              <w:rPr>
                <w:noProof/>
                <w:webHidden/>
              </w:rPr>
              <w:tab/>
            </w:r>
            <w:r>
              <w:rPr>
                <w:noProof/>
                <w:webHidden/>
              </w:rPr>
              <w:fldChar w:fldCharType="begin"/>
            </w:r>
            <w:r>
              <w:rPr>
                <w:noProof/>
                <w:webHidden/>
              </w:rPr>
              <w:instrText xml:space="preserve"> PAGEREF _Toc218546895 \h </w:instrText>
            </w:r>
            <w:r>
              <w:rPr>
                <w:noProof/>
                <w:webHidden/>
              </w:rPr>
            </w:r>
            <w:r>
              <w:rPr>
                <w:noProof/>
                <w:webHidden/>
              </w:rPr>
              <w:fldChar w:fldCharType="separate"/>
            </w:r>
            <w:r>
              <w:rPr>
                <w:noProof/>
                <w:webHidden/>
              </w:rPr>
              <w:t>7</w:t>
            </w:r>
            <w:r>
              <w:rPr>
                <w:noProof/>
                <w:webHidden/>
              </w:rPr>
              <w:fldChar w:fldCharType="end"/>
            </w:r>
          </w:hyperlink>
        </w:p>
        <w:p w14:paraId="72B2FA71" w14:textId="287D25E5" w:rsidR="005F3A34" w:rsidRDefault="005F3A34">
          <w:pPr>
            <w:pStyle w:val="TOC2"/>
            <w:tabs>
              <w:tab w:val="right" w:leader="dot" w:pos="9016"/>
            </w:tabs>
            <w:rPr>
              <w:rFonts w:eastAsiaTheme="minorEastAsia"/>
              <w:noProof/>
              <w:lang w:eastAsia="en-ZA"/>
            </w:rPr>
          </w:pPr>
          <w:hyperlink w:anchor="_Toc218546896" w:history="1">
            <w:r w:rsidRPr="00FF4568">
              <w:rPr>
                <w:rStyle w:val="Hyperlink"/>
                <w:noProof/>
              </w:rPr>
              <w:t>Ethical and Social Impact</w:t>
            </w:r>
            <w:r>
              <w:rPr>
                <w:noProof/>
                <w:webHidden/>
              </w:rPr>
              <w:tab/>
            </w:r>
            <w:r>
              <w:rPr>
                <w:noProof/>
                <w:webHidden/>
              </w:rPr>
              <w:fldChar w:fldCharType="begin"/>
            </w:r>
            <w:r>
              <w:rPr>
                <w:noProof/>
                <w:webHidden/>
              </w:rPr>
              <w:instrText xml:space="preserve"> PAGEREF _Toc218546896 \h </w:instrText>
            </w:r>
            <w:r>
              <w:rPr>
                <w:noProof/>
                <w:webHidden/>
              </w:rPr>
            </w:r>
            <w:r>
              <w:rPr>
                <w:noProof/>
                <w:webHidden/>
              </w:rPr>
              <w:fldChar w:fldCharType="separate"/>
            </w:r>
            <w:r>
              <w:rPr>
                <w:noProof/>
                <w:webHidden/>
              </w:rPr>
              <w:t>7</w:t>
            </w:r>
            <w:r>
              <w:rPr>
                <w:noProof/>
                <w:webHidden/>
              </w:rPr>
              <w:fldChar w:fldCharType="end"/>
            </w:r>
          </w:hyperlink>
        </w:p>
        <w:p w14:paraId="573EABD3" w14:textId="445F5980" w:rsidR="005F3A34" w:rsidRDefault="005F3A34">
          <w:pPr>
            <w:pStyle w:val="TOC1"/>
            <w:tabs>
              <w:tab w:val="right" w:leader="dot" w:pos="9016"/>
            </w:tabs>
            <w:rPr>
              <w:rFonts w:eastAsiaTheme="minorEastAsia"/>
              <w:noProof/>
              <w:lang w:eastAsia="en-ZA"/>
            </w:rPr>
          </w:pPr>
          <w:hyperlink w:anchor="_Toc218546897" w:history="1">
            <w:r w:rsidRPr="00FF4568">
              <w:rPr>
                <w:rStyle w:val="Hyperlink"/>
                <w:noProof/>
              </w:rPr>
              <w:t>Anticipating Security Threats</w:t>
            </w:r>
            <w:r>
              <w:rPr>
                <w:noProof/>
                <w:webHidden/>
              </w:rPr>
              <w:tab/>
            </w:r>
            <w:r>
              <w:rPr>
                <w:noProof/>
                <w:webHidden/>
              </w:rPr>
              <w:fldChar w:fldCharType="begin"/>
            </w:r>
            <w:r>
              <w:rPr>
                <w:noProof/>
                <w:webHidden/>
              </w:rPr>
              <w:instrText xml:space="preserve"> PAGEREF _Toc218546897 \h </w:instrText>
            </w:r>
            <w:r>
              <w:rPr>
                <w:noProof/>
                <w:webHidden/>
              </w:rPr>
            </w:r>
            <w:r>
              <w:rPr>
                <w:noProof/>
                <w:webHidden/>
              </w:rPr>
              <w:fldChar w:fldCharType="separate"/>
            </w:r>
            <w:r>
              <w:rPr>
                <w:noProof/>
                <w:webHidden/>
              </w:rPr>
              <w:t>7</w:t>
            </w:r>
            <w:r>
              <w:rPr>
                <w:noProof/>
                <w:webHidden/>
              </w:rPr>
              <w:fldChar w:fldCharType="end"/>
            </w:r>
          </w:hyperlink>
        </w:p>
        <w:p w14:paraId="1A52915A" w14:textId="33CBE9C4" w:rsidR="005F3A34" w:rsidRDefault="005F3A34">
          <w:pPr>
            <w:pStyle w:val="TOC2"/>
            <w:tabs>
              <w:tab w:val="right" w:leader="dot" w:pos="9016"/>
            </w:tabs>
            <w:rPr>
              <w:rFonts w:eastAsiaTheme="minorEastAsia"/>
              <w:noProof/>
              <w:lang w:eastAsia="en-ZA"/>
            </w:rPr>
          </w:pPr>
          <w:hyperlink w:anchor="_Toc218546898" w:history="1">
            <w:r w:rsidRPr="00FF4568">
              <w:rPr>
                <w:rStyle w:val="Hyperlink"/>
                <w:noProof/>
              </w:rPr>
              <w:t>Building a Preventative Governance Mindset</w:t>
            </w:r>
            <w:r>
              <w:rPr>
                <w:noProof/>
                <w:webHidden/>
              </w:rPr>
              <w:tab/>
            </w:r>
            <w:r>
              <w:rPr>
                <w:noProof/>
                <w:webHidden/>
              </w:rPr>
              <w:fldChar w:fldCharType="begin"/>
            </w:r>
            <w:r>
              <w:rPr>
                <w:noProof/>
                <w:webHidden/>
              </w:rPr>
              <w:instrText xml:space="preserve"> PAGEREF _Toc218546898 \h </w:instrText>
            </w:r>
            <w:r>
              <w:rPr>
                <w:noProof/>
                <w:webHidden/>
              </w:rPr>
            </w:r>
            <w:r>
              <w:rPr>
                <w:noProof/>
                <w:webHidden/>
              </w:rPr>
              <w:fldChar w:fldCharType="separate"/>
            </w:r>
            <w:r>
              <w:rPr>
                <w:noProof/>
                <w:webHidden/>
              </w:rPr>
              <w:t>8</w:t>
            </w:r>
            <w:r>
              <w:rPr>
                <w:noProof/>
                <w:webHidden/>
              </w:rPr>
              <w:fldChar w:fldCharType="end"/>
            </w:r>
          </w:hyperlink>
        </w:p>
        <w:p w14:paraId="6C9ED90C" w14:textId="4AC93FDE" w:rsidR="005F3A34" w:rsidRDefault="005F3A34">
          <w:pPr>
            <w:pStyle w:val="TOC1"/>
            <w:tabs>
              <w:tab w:val="right" w:leader="dot" w:pos="9016"/>
            </w:tabs>
            <w:rPr>
              <w:rFonts w:eastAsiaTheme="minorEastAsia"/>
              <w:noProof/>
              <w:lang w:eastAsia="en-ZA"/>
            </w:rPr>
          </w:pPr>
          <w:hyperlink w:anchor="_Toc218546899" w:history="1">
            <w:r w:rsidRPr="00FF4568">
              <w:rPr>
                <w:rStyle w:val="Hyperlink"/>
                <w:noProof/>
              </w:rPr>
              <w:t>Protecting AI Systems Throughout Their Lifecycle</w:t>
            </w:r>
            <w:r>
              <w:rPr>
                <w:noProof/>
                <w:webHidden/>
              </w:rPr>
              <w:tab/>
            </w:r>
            <w:r>
              <w:rPr>
                <w:noProof/>
                <w:webHidden/>
              </w:rPr>
              <w:fldChar w:fldCharType="begin"/>
            </w:r>
            <w:r>
              <w:rPr>
                <w:noProof/>
                <w:webHidden/>
              </w:rPr>
              <w:instrText xml:space="preserve"> PAGEREF _Toc218546899 \h </w:instrText>
            </w:r>
            <w:r>
              <w:rPr>
                <w:noProof/>
                <w:webHidden/>
              </w:rPr>
            </w:r>
            <w:r>
              <w:rPr>
                <w:noProof/>
                <w:webHidden/>
              </w:rPr>
              <w:fldChar w:fldCharType="separate"/>
            </w:r>
            <w:r>
              <w:rPr>
                <w:noProof/>
                <w:webHidden/>
              </w:rPr>
              <w:t>8</w:t>
            </w:r>
            <w:r>
              <w:rPr>
                <w:noProof/>
                <w:webHidden/>
              </w:rPr>
              <w:fldChar w:fldCharType="end"/>
            </w:r>
          </w:hyperlink>
        </w:p>
        <w:p w14:paraId="24F999C5" w14:textId="1EC8D65F" w:rsidR="005F3A34" w:rsidRDefault="005F3A34">
          <w:pPr>
            <w:pStyle w:val="TOC2"/>
            <w:tabs>
              <w:tab w:val="right" w:leader="dot" w:pos="9016"/>
            </w:tabs>
            <w:rPr>
              <w:rFonts w:eastAsiaTheme="minorEastAsia"/>
              <w:noProof/>
              <w:lang w:eastAsia="en-ZA"/>
            </w:rPr>
          </w:pPr>
          <w:hyperlink w:anchor="_Toc218546900" w:history="1">
            <w:r w:rsidRPr="00FF4568">
              <w:rPr>
                <w:rStyle w:val="Hyperlink"/>
                <w:noProof/>
              </w:rPr>
              <w:t>Robust Data Governance</w:t>
            </w:r>
            <w:r>
              <w:rPr>
                <w:noProof/>
                <w:webHidden/>
              </w:rPr>
              <w:tab/>
            </w:r>
            <w:r>
              <w:rPr>
                <w:noProof/>
                <w:webHidden/>
              </w:rPr>
              <w:fldChar w:fldCharType="begin"/>
            </w:r>
            <w:r>
              <w:rPr>
                <w:noProof/>
                <w:webHidden/>
              </w:rPr>
              <w:instrText xml:space="preserve"> PAGEREF _Toc218546900 \h </w:instrText>
            </w:r>
            <w:r>
              <w:rPr>
                <w:noProof/>
                <w:webHidden/>
              </w:rPr>
            </w:r>
            <w:r>
              <w:rPr>
                <w:noProof/>
                <w:webHidden/>
              </w:rPr>
              <w:fldChar w:fldCharType="separate"/>
            </w:r>
            <w:r>
              <w:rPr>
                <w:noProof/>
                <w:webHidden/>
              </w:rPr>
              <w:t>8</w:t>
            </w:r>
            <w:r>
              <w:rPr>
                <w:noProof/>
                <w:webHidden/>
              </w:rPr>
              <w:fldChar w:fldCharType="end"/>
            </w:r>
          </w:hyperlink>
        </w:p>
        <w:p w14:paraId="168CF083" w14:textId="104027C8" w:rsidR="005F3A34" w:rsidRDefault="005F3A34">
          <w:pPr>
            <w:pStyle w:val="TOC2"/>
            <w:tabs>
              <w:tab w:val="right" w:leader="dot" w:pos="9016"/>
            </w:tabs>
            <w:rPr>
              <w:rFonts w:eastAsiaTheme="minorEastAsia"/>
              <w:noProof/>
              <w:lang w:eastAsia="en-ZA"/>
            </w:rPr>
          </w:pPr>
          <w:hyperlink w:anchor="_Toc218546901" w:history="1">
            <w:r w:rsidRPr="00FF4568">
              <w:rPr>
                <w:rStyle w:val="Hyperlink"/>
                <w:noProof/>
              </w:rPr>
              <w:t>Secure Model Development Practices</w:t>
            </w:r>
            <w:r>
              <w:rPr>
                <w:noProof/>
                <w:webHidden/>
              </w:rPr>
              <w:tab/>
            </w:r>
            <w:r>
              <w:rPr>
                <w:noProof/>
                <w:webHidden/>
              </w:rPr>
              <w:fldChar w:fldCharType="begin"/>
            </w:r>
            <w:r>
              <w:rPr>
                <w:noProof/>
                <w:webHidden/>
              </w:rPr>
              <w:instrText xml:space="preserve"> PAGEREF _Toc218546901 \h </w:instrText>
            </w:r>
            <w:r>
              <w:rPr>
                <w:noProof/>
                <w:webHidden/>
              </w:rPr>
            </w:r>
            <w:r>
              <w:rPr>
                <w:noProof/>
                <w:webHidden/>
              </w:rPr>
              <w:fldChar w:fldCharType="separate"/>
            </w:r>
            <w:r>
              <w:rPr>
                <w:noProof/>
                <w:webHidden/>
              </w:rPr>
              <w:t>8</w:t>
            </w:r>
            <w:r>
              <w:rPr>
                <w:noProof/>
                <w:webHidden/>
              </w:rPr>
              <w:fldChar w:fldCharType="end"/>
            </w:r>
          </w:hyperlink>
        </w:p>
        <w:p w14:paraId="37F3922E" w14:textId="094C4D9E" w:rsidR="005F3A34" w:rsidRDefault="005F3A34">
          <w:pPr>
            <w:pStyle w:val="TOC2"/>
            <w:tabs>
              <w:tab w:val="right" w:leader="dot" w:pos="9016"/>
            </w:tabs>
            <w:rPr>
              <w:rFonts w:eastAsiaTheme="minorEastAsia"/>
              <w:noProof/>
              <w:lang w:eastAsia="en-ZA"/>
            </w:rPr>
          </w:pPr>
          <w:hyperlink w:anchor="_Toc218546902" w:history="1">
            <w:r w:rsidRPr="00FF4568">
              <w:rPr>
                <w:rStyle w:val="Hyperlink"/>
                <w:noProof/>
              </w:rPr>
              <w:t>Ethical Frameworks and Embedded Principles</w:t>
            </w:r>
            <w:r>
              <w:rPr>
                <w:noProof/>
                <w:webHidden/>
              </w:rPr>
              <w:tab/>
            </w:r>
            <w:r>
              <w:rPr>
                <w:noProof/>
                <w:webHidden/>
              </w:rPr>
              <w:fldChar w:fldCharType="begin"/>
            </w:r>
            <w:r>
              <w:rPr>
                <w:noProof/>
                <w:webHidden/>
              </w:rPr>
              <w:instrText xml:space="preserve"> PAGEREF _Toc218546902 \h </w:instrText>
            </w:r>
            <w:r>
              <w:rPr>
                <w:noProof/>
                <w:webHidden/>
              </w:rPr>
            </w:r>
            <w:r>
              <w:rPr>
                <w:noProof/>
                <w:webHidden/>
              </w:rPr>
              <w:fldChar w:fldCharType="separate"/>
            </w:r>
            <w:r>
              <w:rPr>
                <w:noProof/>
                <w:webHidden/>
              </w:rPr>
              <w:t>8</w:t>
            </w:r>
            <w:r>
              <w:rPr>
                <w:noProof/>
                <w:webHidden/>
              </w:rPr>
              <w:fldChar w:fldCharType="end"/>
            </w:r>
          </w:hyperlink>
        </w:p>
        <w:p w14:paraId="163BB838" w14:textId="7588B3F6" w:rsidR="005F3A34" w:rsidRDefault="005F3A34">
          <w:pPr>
            <w:pStyle w:val="TOC2"/>
            <w:tabs>
              <w:tab w:val="right" w:leader="dot" w:pos="9016"/>
            </w:tabs>
            <w:rPr>
              <w:rFonts w:eastAsiaTheme="minorEastAsia"/>
              <w:noProof/>
              <w:lang w:eastAsia="en-ZA"/>
            </w:rPr>
          </w:pPr>
          <w:hyperlink w:anchor="_Toc218546903" w:history="1">
            <w:r w:rsidRPr="00FF4568">
              <w:rPr>
                <w:rStyle w:val="Hyperlink"/>
                <w:noProof/>
              </w:rPr>
              <w:t>Legal and Regulatory Compliance</w:t>
            </w:r>
            <w:r>
              <w:rPr>
                <w:noProof/>
                <w:webHidden/>
              </w:rPr>
              <w:tab/>
            </w:r>
            <w:r>
              <w:rPr>
                <w:noProof/>
                <w:webHidden/>
              </w:rPr>
              <w:fldChar w:fldCharType="begin"/>
            </w:r>
            <w:r>
              <w:rPr>
                <w:noProof/>
                <w:webHidden/>
              </w:rPr>
              <w:instrText xml:space="preserve"> PAGEREF _Toc218546903 \h </w:instrText>
            </w:r>
            <w:r>
              <w:rPr>
                <w:noProof/>
                <w:webHidden/>
              </w:rPr>
            </w:r>
            <w:r>
              <w:rPr>
                <w:noProof/>
                <w:webHidden/>
              </w:rPr>
              <w:fldChar w:fldCharType="separate"/>
            </w:r>
            <w:r>
              <w:rPr>
                <w:noProof/>
                <w:webHidden/>
              </w:rPr>
              <w:t>9</w:t>
            </w:r>
            <w:r>
              <w:rPr>
                <w:noProof/>
                <w:webHidden/>
              </w:rPr>
              <w:fldChar w:fldCharType="end"/>
            </w:r>
          </w:hyperlink>
        </w:p>
        <w:p w14:paraId="0C16F717" w14:textId="24A3658D" w:rsidR="005F3A34" w:rsidRDefault="005F3A34">
          <w:pPr>
            <w:pStyle w:val="TOC1"/>
            <w:tabs>
              <w:tab w:val="right" w:leader="dot" w:pos="9016"/>
            </w:tabs>
            <w:rPr>
              <w:rFonts w:eastAsiaTheme="minorEastAsia"/>
              <w:noProof/>
              <w:lang w:eastAsia="en-ZA"/>
            </w:rPr>
          </w:pPr>
          <w:hyperlink w:anchor="_Toc218546904" w:history="1">
            <w:r w:rsidRPr="00FF4568">
              <w:rPr>
                <w:rStyle w:val="Hyperlink"/>
                <w:noProof/>
              </w:rPr>
              <w:t>Detecting Problems in AI Systems</w:t>
            </w:r>
            <w:r>
              <w:rPr>
                <w:noProof/>
                <w:webHidden/>
              </w:rPr>
              <w:tab/>
            </w:r>
            <w:r>
              <w:rPr>
                <w:noProof/>
                <w:webHidden/>
              </w:rPr>
              <w:fldChar w:fldCharType="begin"/>
            </w:r>
            <w:r>
              <w:rPr>
                <w:noProof/>
                <w:webHidden/>
              </w:rPr>
              <w:instrText xml:space="preserve"> PAGEREF _Toc218546904 \h </w:instrText>
            </w:r>
            <w:r>
              <w:rPr>
                <w:noProof/>
                <w:webHidden/>
              </w:rPr>
            </w:r>
            <w:r>
              <w:rPr>
                <w:noProof/>
                <w:webHidden/>
              </w:rPr>
              <w:fldChar w:fldCharType="separate"/>
            </w:r>
            <w:r>
              <w:rPr>
                <w:noProof/>
                <w:webHidden/>
              </w:rPr>
              <w:t>9</w:t>
            </w:r>
            <w:r>
              <w:rPr>
                <w:noProof/>
                <w:webHidden/>
              </w:rPr>
              <w:fldChar w:fldCharType="end"/>
            </w:r>
          </w:hyperlink>
        </w:p>
        <w:p w14:paraId="6811F06A" w14:textId="3CE49447" w:rsidR="005F3A34" w:rsidRDefault="005F3A34">
          <w:pPr>
            <w:pStyle w:val="TOC1"/>
            <w:tabs>
              <w:tab w:val="right" w:leader="dot" w:pos="9016"/>
            </w:tabs>
            <w:rPr>
              <w:rFonts w:eastAsiaTheme="minorEastAsia"/>
              <w:noProof/>
              <w:lang w:eastAsia="en-ZA"/>
            </w:rPr>
          </w:pPr>
          <w:hyperlink w:anchor="_Toc218546905" w:history="1">
            <w:r w:rsidRPr="00FF4568">
              <w:rPr>
                <w:rStyle w:val="Hyperlink"/>
                <w:noProof/>
              </w:rPr>
              <w:t>Responding to AI Incidents in Real Time</w:t>
            </w:r>
            <w:r>
              <w:rPr>
                <w:noProof/>
                <w:webHidden/>
              </w:rPr>
              <w:tab/>
            </w:r>
            <w:r>
              <w:rPr>
                <w:noProof/>
                <w:webHidden/>
              </w:rPr>
              <w:fldChar w:fldCharType="begin"/>
            </w:r>
            <w:r>
              <w:rPr>
                <w:noProof/>
                <w:webHidden/>
              </w:rPr>
              <w:instrText xml:space="preserve"> PAGEREF _Toc218546905 \h </w:instrText>
            </w:r>
            <w:r>
              <w:rPr>
                <w:noProof/>
                <w:webHidden/>
              </w:rPr>
            </w:r>
            <w:r>
              <w:rPr>
                <w:noProof/>
                <w:webHidden/>
              </w:rPr>
              <w:fldChar w:fldCharType="separate"/>
            </w:r>
            <w:r>
              <w:rPr>
                <w:noProof/>
                <w:webHidden/>
              </w:rPr>
              <w:t>9</w:t>
            </w:r>
            <w:r>
              <w:rPr>
                <w:noProof/>
                <w:webHidden/>
              </w:rPr>
              <w:fldChar w:fldCharType="end"/>
            </w:r>
          </w:hyperlink>
        </w:p>
        <w:p w14:paraId="13410227" w14:textId="6ADB2253" w:rsidR="005F3A34" w:rsidRDefault="005F3A34">
          <w:pPr>
            <w:pStyle w:val="TOC2"/>
            <w:tabs>
              <w:tab w:val="right" w:leader="dot" w:pos="9016"/>
            </w:tabs>
            <w:rPr>
              <w:rFonts w:eastAsiaTheme="minorEastAsia"/>
              <w:noProof/>
              <w:lang w:eastAsia="en-ZA"/>
            </w:rPr>
          </w:pPr>
          <w:hyperlink w:anchor="_Toc218546906" w:history="1">
            <w:r w:rsidRPr="00FF4568">
              <w:rPr>
                <w:rStyle w:val="Hyperlink"/>
                <w:noProof/>
              </w:rPr>
              <w:t>Embedding Response Within a Comprehensive AI Governance Framework</w:t>
            </w:r>
            <w:r>
              <w:rPr>
                <w:noProof/>
                <w:webHidden/>
              </w:rPr>
              <w:tab/>
            </w:r>
            <w:r>
              <w:rPr>
                <w:noProof/>
                <w:webHidden/>
              </w:rPr>
              <w:fldChar w:fldCharType="begin"/>
            </w:r>
            <w:r>
              <w:rPr>
                <w:noProof/>
                <w:webHidden/>
              </w:rPr>
              <w:instrText xml:space="preserve"> PAGEREF _Toc218546906 \h </w:instrText>
            </w:r>
            <w:r>
              <w:rPr>
                <w:noProof/>
                <w:webHidden/>
              </w:rPr>
            </w:r>
            <w:r>
              <w:rPr>
                <w:noProof/>
                <w:webHidden/>
              </w:rPr>
              <w:fldChar w:fldCharType="separate"/>
            </w:r>
            <w:r>
              <w:rPr>
                <w:noProof/>
                <w:webHidden/>
              </w:rPr>
              <w:t>10</w:t>
            </w:r>
            <w:r>
              <w:rPr>
                <w:noProof/>
                <w:webHidden/>
              </w:rPr>
              <w:fldChar w:fldCharType="end"/>
            </w:r>
          </w:hyperlink>
        </w:p>
        <w:p w14:paraId="3FFC5E5F" w14:textId="43F50FD7" w:rsidR="005F3A34" w:rsidRDefault="005F3A34">
          <w:pPr>
            <w:pStyle w:val="TOC1"/>
            <w:tabs>
              <w:tab w:val="right" w:leader="dot" w:pos="9016"/>
            </w:tabs>
            <w:rPr>
              <w:rFonts w:eastAsiaTheme="minorEastAsia"/>
              <w:noProof/>
              <w:lang w:eastAsia="en-ZA"/>
            </w:rPr>
          </w:pPr>
          <w:hyperlink w:anchor="_Toc218546907" w:history="1">
            <w:r w:rsidRPr="00FF4568">
              <w:rPr>
                <w:rStyle w:val="Hyperlink"/>
                <w:noProof/>
              </w:rPr>
              <w:t>Case Examples</w:t>
            </w:r>
            <w:r>
              <w:rPr>
                <w:noProof/>
                <w:webHidden/>
              </w:rPr>
              <w:tab/>
            </w:r>
            <w:r>
              <w:rPr>
                <w:noProof/>
                <w:webHidden/>
              </w:rPr>
              <w:fldChar w:fldCharType="begin"/>
            </w:r>
            <w:r>
              <w:rPr>
                <w:noProof/>
                <w:webHidden/>
              </w:rPr>
              <w:instrText xml:space="preserve"> PAGEREF _Toc218546907 \h </w:instrText>
            </w:r>
            <w:r>
              <w:rPr>
                <w:noProof/>
                <w:webHidden/>
              </w:rPr>
            </w:r>
            <w:r>
              <w:rPr>
                <w:noProof/>
                <w:webHidden/>
              </w:rPr>
              <w:fldChar w:fldCharType="separate"/>
            </w:r>
            <w:r>
              <w:rPr>
                <w:noProof/>
                <w:webHidden/>
              </w:rPr>
              <w:t>10</w:t>
            </w:r>
            <w:r>
              <w:rPr>
                <w:noProof/>
                <w:webHidden/>
              </w:rPr>
              <w:fldChar w:fldCharType="end"/>
            </w:r>
          </w:hyperlink>
        </w:p>
        <w:p w14:paraId="4FBD31EF" w14:textId="241083E6" w:rsidR="005F3A34" w:rsidRDefault="005F3A34">
          <w:pPr>
            <w:pStyle w:val="TOC1"/>
            <w:tabs>
              <w:tab w:val="right" w:leader="dot" w:pos="9016"/>
            </w:tabs>
            <w:rPr>
              <w:rFonts w:eastAsiaTheme="minorEastAsia"/>
              <w:noProof/>
              <w:lang w:eastAsia="en-ZA"/>
            </w:rPr>
          </w:pPr>
          <w:hyperlink w:anchor="_Toc218546908" w:history="1">
            <w:r w:rsidRPr="00FF4568">
              <w:rPr>
                <w:rStyle w:val="Hyperlink"/>
                <w:noProof/>
              </w:rPr>
              <w:t>Conclusion</w:t>
            </w:r>
            <w:r>
              <w:rPr>
                <w:noProof/>
                <w:webHidden/>
              </w:rPr>
              <w:tab/>
            </w:r>
            <w:r>
              <w:rPr>
                <w:noProof/>
                <w:webHidden/>
              </w:rPr>
              <w:fldChar w:fldCharType="begin"/>
            </w:r>
            <w:r>
              <w:rPr>
                <w:noProof/>
                <w:webHidden/>
              </w:rPr>
              <w:instrText xml:space="preserve"> PAGEREF _Toc218546908 \h </w:instrText>
            </w:r>
            <w:r>
              <w:rPr>
                <w:noProof/>
                <w:webHidden/>
              </w:rPr>
            </w:r>
            <w:r>
              <w:rPr>
                <w:noProof/>
                <w:webHidden/>
              </w:rPr>
              <w:fldChar w:fldCharType="separate"/>
            </w:r>
            <w:r>
              <w:rPr>
                <w:noProof/>
                <w:webHidden/>
              </w:rPr>
              <w:t>11</w:t>
            </w:r>
            <w:r>
              <w:rPr>
                <w:noProof/>
                <w:webHidden/>
              </w:rPr>
              <w:fldChar w:fldCharType="end"/>
            </w:r>
          </w:hyperlink>
        </w:p>
        <w:p w14:paraId="28318C58" w14:textId="3BC1AD40" w:rsidR="005F3A34" w:rsidRDefault="005F3A34">
          <w:pPr>
            <w:pStyle w:val="TOC1"/>
            <w:tabs>
              <w:tab w:val="right" w:leader="dot" w:pos="9016"/>
            </w:tabs>
            <w:rPr>
              <w:rFonts w:eastAsiaTheme="minorEastAsia"/>
              <w:noProof/>
              <w:lang w:eastAsia="en-ZA"/>
            </w:rPr>
          </w:pPr>
          <w:hyperlink w:anchor="_Toc218546909" w:history="1">
            <w:r w:rsidRPr="00FF4568">
              <w:rPr>
                <w:rStyle w:val="Hyperlink"/>
                <w:noProof/>
              </w:rPr>
              <w:t>TASK 2</w:t>
            </w:r>
            <w:r>
              <w:rPr>
                <w:noProof/>
                <w:webHidden/>
              </w:rPr>
              <w:tab/>
            </w:r>
            <w:r>
              <w:rPr>
                <w:noProof/>
                <w:webHidden/>
              </w:rPr>
              <w:fldChar w:fldCharType="begin"/>
            </w:r>
            <w:r>
              <w:rPr>
                <w:noProof/>
                <w:webHidden/>
              </w:rPr>
              <w:instrText xml:space="preserve"> PAGEREF _Toc218546909 \h </w:instrText>
            </w:r>
            <w:r>
              <w:rPr>
                <w:noProof/>
                <w:webHidden/>
              </w:rPr>
            </w:r>
            <w:r>
              <w:rPr>
                <w:noProof/>
                <w:webHidden/>
              </w:rPr>
              <w:fldChar w:fldCharType="separate"/>
            </w:r>
            <w:r>
              <w:rPr>
                <w:noProof/>
                <w:webHidden/>
              </w:rPr>
              <w:t>12</w:t>
            </w:r>
            <w:r>
              <w:rPr>
                <w:noProof/>
                <w:webHidden/>
              </w:rPr>
              <w:fldChar w:fldCharType="end"/>
            </w:r>
          </w:hyperlink>
        </w:p>
        <w:p w14:paraId="0FE1E2BD" w14:textId="3F7140ED" w:rsidR="005F3A34" w:rsidRDefault="005F3A34">
          <w:pPr>
            <w:pStyle w:val="TOC1"/>
            <w:tabs>
              <w:tab w:val="right" w:leader="dot" w:pos="9016"/>
            </w:tabs>
            <w:rPr>
              <w:rFonts w:eastAsiaTheme="minorEastAsia"/>
              <w:noProof/>
              <w:lang w:eastAsia="en-ZA"/>
            </w:rPr>
          </w:pPr>
          <w:hyperlink w:anchor="_Toc218546910" w:history="1">
            <w:r w:rsidRPr="00FF4568">
              <w:rPr>
                <w:rStyle w:val="Hyperlink"/>
                <w:noProof/>
              </w:rPr>
              <w:t>1. Introduction</w:t>
            </w:r>
            <w:r>
              <w:rPr>
                <w:noProof/>
                <w:webHidden/>
              </w:rPr>
              <w:tab/>
            </w:r>
            <w:r>
              <w:rPr>
                <w:noProof/>
                <w:webHidden/>
              </w:rPr>
              <w:fldChar w:fldCharType="begin"/>
            </w:r>
            <w:r>
              <w:rPr>
                <w:noProof/>
                <w:webHidden/>
              </w:rPr>
              <w:instrText xml:space="preserve"> PAGEREF _Toc218546910 \h </w:instrText>
            </w:r>
            <w:r>
              <w:rPr>
                <w:noProof/>
                <w:webHidden/>
              </w:rPr>
            </w:r>
            <w:r>
              <w:rPr>
                <w:noProof/>
                <w:webHidden/>
              </w:rPr>
              <w:fldChar w:fldCharType="separate"/>
            </w:r>
            <w:r>
              <w:rPr>
                <w:noProof/>
                <w:webHidden/>
              </w:rPr>
              <w:t>12</w:t>
            </w:r>
            <w:r>
              <w:rPr>
                <w:noProof/>
                <w:webHidden/>
              </w:rPr>
              <w:fldChar w:fldCharType="end"/>
            </w:r>
          </w:hyperlink>
        </w:p>
        <w:p w14:paraId="67C42D2C" w14:textId="57A47BDF" w:rsidR="005F3A34" w:rsidRDefault="005F3A34">
          <w:pPr>
            <w:pStyle w:val="TOC1"/>
            <w:tabs>
              <w:tab w:val="right" w:leader="dot" w:pos="9016"/>
            </w:tabs>
            <w:rPr>
              <w:rFonts w:eastAsiaTheme="minorEastAsia"/>
              <w:noProof/>
              <w:lang w:eastAsia="en-ZA"/>
            </w:rPr>
          </w:pPr>
          <w:hyperlink w:anchor="_Toc218546911" w:history="1">
            <w:r w:rsidRPr="00FF4568">
              <w:rPr>
                <w:rStyle w:val="Hyperlink"/>
                <w:noProof/>
              </w:rPr>
              <w:t>2. Organisational Structure: Embedding Zero Trust into People and Processes</w:t>
            </w:r>
            <w:r>
              <w:rPr>
                <w:noProof/>
                <w:webHidden/>
              </w:rPr>
              <w:tab/>
            </w:r>
            <w:r>
              <w:rPr>
                <w:noProof/>
                <w:webHidden/>
              </w:rPr>
              <w:fldChar w:fldCharType="begin"/>
            </w:r>
            <w:r>
              <w:rPr>
                <w:noProof/>
                <w:webHidden/>
              </w:rPr>
              <w:instrText xml:space="preserve"> PAGEREF _Toc218546911 \h </w:instrText>
            </w:r>
            <w:r>
              <w:rPr>
                <w:noProof/>
                <w:webHidden/>
              </w:rPr>
            </w:r>
            <w:r>
              <w:rPr>
                <w:noProof/>
                <w:webHidden/>
              </w:rPr>
              <w:fldChar w:fldCharType="separate"/>
            </w:r>
            <w:r>
              <w:rPr>
                <w:noProof/>
                <w:webHidden/>
              </w:rPr>
              <w:t>13</w:t>
            </w:r>
            <w:r>
              <w:rPr>
                <w:noProof/>
                <w:webHidden/>
              </w:rPr>
              <w:fldChar w:fldCharType="end"/>
            </w:r>
          </w:hyperlink>
        </w:p>
        <w:p w14:paraId="6C05D9E2" w14:textId="613513C2" w:rsidR="005F3A34" w:rsidRDefault="005F3A34">
          <w:pPr>
            <w:pStyle w:val="TOC1"/>
            <w:tabs>
              <w:tab w:val="right" w:leader="dot" w:pos="9016"/>
            </w:tabs>
            <w:rPr>
              <w:rFonts w:eastAsiaTheme="minorEastAsia"/>
              <w:noProof/>
              <w:lang w:eastAsia="en-ZA"/>
            </w:rPr>
          </w:pPr>
          <w:hyperlink w:anchor="_Toc218546912" w:history="1">
            <w:r w:rsidRPr="00FF4568">
              <w:rPr>
                <w:rStyle w:val="Hyperlink"/>
                <w:noProof/>
              </w:rPr>
              <w:t>3. Policies and Procedures: Translating Zero Trust into Everyday Practice</w:t>
            </w:r>
            <w:r>
              <w:rPr>
                <w:noProof/>
                <w:webHidden/>
              </w:rPr>
              <w:tab/>
            </w:r>
            <w:r>
              <w:rPr>
                <w:noProof/>
                <w:webHidden/>
              </w:rPr>
              <w:fldChar w:fldCharType="begin"/>
            </w:r>
            <w:r>
              <w:rPr>
                <w:noProof/>
                <w:webHidden/>
              </w:rPr>
              <w:instrText xml:space="preserve"> PAGEREF _Toc218546912 \h </w:instrText>
            </w:r>
            <w:r>
              <w:rPr>
                <w:noProof/>
                <w:webHidden/>
              </w:rPr>
            </w:r>
            <w:r>
              <w:rPr>
                <w:noProof/>
                <w:webHidden/>
              </w:rPr>
              <w:fldChar w:fldCharType="separate"/>
            </w:r>
            <w:r>
              <w:rPr>
                <w:noProof/>
                <w:webHidden/>
              </w:rPr>
              <w:t>14</w:t>
            </w:r>
            <w:r>
              <w:rPr>
                <w:noProof/>
                <w:webHidden/>
              </w:rPr>
              <w:fldChar w:fldCharType="end"/>
            </w:r>
          </w:hyperlink>
        </w:p>
        <w:p w14:paraId="37849855" w14:textId="6136DA49" w:rsidR="005F3A34" w:rsidRDefault="005F3A34">
          <w:pPr>
            <w:pStyle w:val="TOC2"/>
            <w:tabs>
              <w:tab w:val="right" w:leader="dot" w:pos="9016"/>
            </w:tabs>
            <w:rPr>
              <w:rFonts w:eastAsiaTheme="minorEastAsia"/>
              <w:noProof/>
              <w:lang w:eastAsia="en-ZA"/>
            </w:rPr>
          </w:pPr>
          <w:hyperlink w:anchor="_Toc218546913" w:history="1">
            <w:r w:rsidRPr="00FF4568">
              <w:rPr>
                <w:rStyle w:val="Hyperlink"/>
                <w:noProof/>
              </w:rPr>
              <w:t>AI Usage Policy</w:t>
            </w:r>
            <w:r>
              <w:rPr>
                <w:noProof/>
                <w:webHidden/>
              </w:rPr>
              <w:tab/>
            </w:r>
            <w:r>
              <w:rPr>
                <w:noProof/>
                <w:webHidden/>
              </w:rPr>
              <w:fldChar w:fldCharType="begin"/>
            </w:r>
            <w:r>
              <w:rPr>
                <w:noProof/>
                <w:webHidden/>
              </w:rPr>
              <w:instrText xml:space="preserve"> PAGEREF _Toc218546913 \h </w:instrText>
            </w:r>
            <w:r>
              <w:rPr>
                <w:noProof/>
                <w:webHidden/>
              </w:rPr>
            </w:r>
            <w:r>
              <w:rPr>
                <w:noProof/>
                <w:webHidden/>
              </w:rPr>
              <w:fldChar w:fldCharType="separate"/>
            </w:r>
            <w:r>
              <w:rPr>
                <w:noProof/>
                <w:webHidden/>
              </w:rPr>
              <w:t>15</w:t>
            </w:r>
            <w:r>
              <w:rPr>
                <w:noProof/>
                <w:webHidden/>
              </w:rPr>
              <w:fldChar w:fldCharType="end"/>
            </w:r>
          </w:hyperlink>
        </w:p>
        <w:p w14:paraId="74D4B7A3" w14:textId="76870705" w:rsidR="005F3A34" w:rsidRDefault="005F3A34">
          <w:pPr>
            <w:pStyle w:val="TOC2"/>
            <w:tabs>
              <w:tab w:val="right" w:leader="dot" w:pos="9016"/>
            </w:tabs>
            <w:rPr>
              <w:rFonts w:eastAsiaTheme="minorEastAsia"/>
              <w:noProof/>
              <w:lang w:eastAsia="en-ZA"/>
            </w:rPr>
          </w:pPr>
          <w:hyperlink w:anchor="_Toc218546914" w:history="1">
            <w:r w:rsidRPr="00FF4568">
              <w:rPr>
                <w:rStyle w:val="Hyperlink"/>
                <w:noProof/>
              </w:rPr>
              <w:t>Secure SaaS Configuration Policy</w:t>
            </w:r>
            <w:r>
              <w:rPr>
                <w:noProof/>
                <w:webHidden/>
              </w:rPr>
              <w:tab/>
            </w:r>
            <w:r>
              <w:rPr>
                <w:noProof/>
                <w:webHidden/>
              </w:rPr>
              <w:fldChar w:fldCharType="begin"/>
            </w:r>
            <w:r>
              <w:rPr>
                <w:noProof/>
                <w:webHidden/>
              </w:rPr>
              <w:instrText xml:space="preserve"> PAGEREF _Toc218546914 \h </w:instrText>
            </w:r>
            <w:r>
              <w:rPr>
                <w:noProof/>
                <w:webHidden/>
              </w:rPr>
            </w:r>
            <w:r>
              <w:rPr>
                <w:noProof/>
                <w:webHidden/>
              </w:rPr>
              <w:fldChar w:fldCharType="separate"/>
            </w:r>
            <w:r>
              <w:rPr>
                <w:noProof/>
                <w:webHidden/>
              </w:rPr>
              <w:t>15</w:t>
            </w:r>
            <w:r>
              <w:rPr>
                <w:noProof/>
                <w:webHidden/>
              </w:rPr>
              <w:fldChar w:fldCharType="end"/>
            </w:r>
          </w:hyperlink>
        </w:p>
        <w:p w14:paraId="1F95E25A" w14:textId="6EFBBBC1" w:rsidR="005F3A34" w:rsidRDefault="005F3A34">
          <w:pPr>
            <w:pStyle w:val="TOC2"/>
            <w:tabs>
              <w:tab w:val="right" w:leader="dot" w:pos="9016"/>
            </w:tabs>
            <w:rPr>
              <w:rFonts w:eastAsiaTheme="minorEastAsia"/>
              <w:noProof/>
              <w:lang w:eastAsia="en-ZA"/>
            </w:rPr>
          </w:pPr>
          <w:hyperlink w:anchor="_Toc218546915" w:history="1">
            <w:r w:rsidRPr="00FF4568">
              <w:rPr>
                <w:rStyle w:val="Hyperlink"/>
                <w:noProof/>
              </w:rPr>
              <w:t>BYOD Policy</w:t>
            </w:r>
            <w:r>
              <w:rPr>
                <w:noProof/>
                <w:webHidden/>
              </w:rPr>
              <w:tab/>
            </w:r>
            <w:r>
              <w:rPr>
                <w:noProof/>
                <w:webHidden/>
              </w:rPr>
              <w:fldChar w:fldCharType="begin"/>
            </w:r>
            <w:r>
              <w:rPr>
                <w:noProof/>
                <w:webHidden/>
              </w:rPr>
              <w:instrText xml:space="preserve"> PAGEREF _Toc218546915 \h </w:instrText>
            </w:r>
            <w:r>
              <w:rPr>
                <w:noProof/>
                <w:webHidden/>
              </w:rPr>
            </w:r>
            <w:r>
              <w:rPr>
                <w:noProof/>
                <w:webHidden/>
              </w:rPr>
              <w:fldChar w:fldCharType="separate"/>
            </w:r>
            <w:r>
              <w:rPr>
                <w:noProof/>
                <w:webHidden/>
              </w:rPr>
              <w:t>15</w:t>
            </w:r>
            <w:r>
              <w:rPr>
                <w:noProof/>
                <w:webHidden/>
              </w:rPr>
              <w:fldChar w:fldCharType="end"/>
            </w:r>
          </w:hyperlink>
        </w:p>
        <w:p w14:paraId="54194D2B" w14:textId="345860DE" w:rsidR="005F3A34" w:rsidRDefault="005F3A34">
          <w:pPr>
            <w:pStyle w:val="TOC1"/>
            <w:tabs>
              <w:tab w:val="right" w:leader="dot" w:pos="9016"/>
            </w:tabs>
            <w:rPr>
              <w:rFonts w:eastAsiaTheme="minorEastAsia"/>
              <w:noProof/>
              <w:lang w:eastAsia="en-ZA"/>
            </w:rPr>
          </w:pPr>
          <w:hyperlink w:anchor="_Toc218546916" w:history="1">
            <w:r w:rsidRPr="00FF4568">
              <w:rPr>
                <w:rStyle w:val="Hyperlink"/>
                <w:noProof/>
              </w:rPr>
              <w:t>4. Regulatory Compliance: Addressing DORA and NIS2 Requirements</w:t>
            </w:r>
            <w:r>
              <w:rPr>
                <w:noProof/>
                <w:webHidden/>
              </w:rPr>
              <w:tab/>
            </w:r>
            <w:r>
              <w:rPr>
                <w:noProof/>
                <w:webHidden/>
              </w:rPr>
              <w:fldChar w:fldCharType="begin"/>
            </w:r>
            <w:r>
              <w:rPr>
                <w:noProof/>
                <w:webHidden/>
              </w:rPr>
              <w:instrText xml:space="preserve"> PAGEREF _Toc218546916 \h </w:instrText>
            </w:r>
            <w:r>
              <w:rPr>
                <w:noProof/>
                <w:webHidden/>
              </w:rPr>
            </w:r>
            <w:r>
              <w:rPr>
                <w:noProof/>
                <w:webHidden/>
              </w:rPr>
              <w:fldChar w:fldCharType="separate"/>
            </w:r>
            <w:r>
              <w:rPr>
                <w:noProof/>
                <w:webHidden/>
              </w:rPr>
              <w:t>16</w:t>
            </w:r>
            <w:r>
              <w:rPr>
                <w:noProof/>
                <w:webHidden/>
              </w:rPr>
              <w:fldChar w:fldCharType="end"/>
            </w:r>
          </w:hyperlink>
        </w:p>
        <w:p w14:paraId="69B2467B" w14:textId="4795A140" w:rsidR="005F3A34" w:rsidRDefault="005F3A34">
          <w:pPr>
            <w:pStyle w:val="TOC1"/>
            <w:tabs>
              <w:tab w:val="right" w:leader="dot" w:pos="9016"/>
            </w:tabs>
            <w:rPr>
              <w:rFonts w:eastAsiaTheme="minorEastAsia"/>
              <w:noProof/>
              <w:lang w:eastAsia="en-ZA"/>
            </w:rPr>
          </w:pPr>
          <w:hyperlink w:anchor="_Toc218546917" w:history="1">
            <w:r w:rsidRPr="00FF4568">
              <w:rPr>
                <w:rStyle w:val="Hyperlink"/>
                <w:noProof/>
              </w:rPr>
              <w:t>5. Governance and Strategy: Aligning Security with Business Goals Using NIST CSF 2.0</w:t>
            </w:r>
            <w:r>
              <w:rPr>
                <w:noProof/>
                <w:webHidden/>
              </w:rPr>
              <w:tab/>
            </w:r>
            <w:r>
              <w:rPr>
                <w:noProof/>
                <w:webHidden/>
              </w:rPr>
              <w:fldChar w:fldCharType="begin"/>
            </w:r>
            <w:r>
              <w:rPr>
                <w:noProof/>
                <w:webHidden/>
              </w:rPr>
              <w:instrText xml:space="preserve"> PAGEREF _Toc218546917 \h </w:instrText>
            </w:r>
            <w:r>
              <w:rPr>
                <w:noProof/>
                <w:webHidden/>
              </w:rPr>
            </w:r>
            <w:r>
              <w:rPr>
                <w:noProof/>
                <w:webHidden/>
              </w:rPr>
              <w:fldChar w:fldCharType="separate"/>
            </w:r>
            <w:r>
              <w:rPr>
                <w:noProof/>
                <w:webHidden/>
              </w:rPr>
              <w:t>17</w:t>
            </w:r>
            <w:r>
              <w:rPr>
                <w:noProof/>
                <w:webHidden/>
              </w:rPr>
              <w:fldChar w:fldCharType="end"/>
            </w:r>
          </w:hyperlink>
        </w:p>
        <w:p w14:paraId="7746D10B" w14:textId="144703A8" w:rsidR="005F3A34" w:rsidRDefault="005F3A34">
          <w:pPr>
            <w:pStyle w:val="TOC1"/>
            <w:tabs>
              <w:tab w:val="right" w:leader="dot" w:pos="9016"/>
            </w:tabs>
            <w:rPr>
              <w:rFonts w:eastAsiaTheme="minorEastAsia"/>
              <w:noProof/>
              <w:lang w:eastAsia="en-ZA"/>
            </w:rPr>
          </w:pPr>
          <w:hyperlink w:anchor="_Toc218546918" w:history="1">
            <w:r w:rsidRPr="00FF4568">
              <w:rPr>
                <w:rStyle w:val="Hyperlink"/>
                <w:noProof/>
              </w:rPr>
              <w:t>6. Risk Management: Focus on AI and Cloud Threats</w:t>
            </w:r>
            <w:r>
              <w:rPr>
                <w:noProof/>
                <w:webHidden/>
              </w:rPr>
              <w:tab/>
            </w:r>
            <w:r>
              <w:rPr>
                <w:noProof/>
                <w:webHidden/>
              </w:rPr>
              <w:fldChar w:fldCharType="begin"/>
            </w:r>
            <w:r>
              <w:rPr>
                <w:noProof/>
                <w:webHidden/>
              </w:rPr>
              <w:instrText xml:space="preserve"> PAGEREF _Toc218546918 \h </w:instrText>
            </w:r>
            <w:r>
              <w:rPr>
                <w:noProof/>
                <w:webHidden/>
              </w:rPr>
            </w:r>
            <w:r>
              <w:rPr>
                <w:noProof/>
                <w:webHidden/>
              </w:rPr>
              <w:fldChar w:fldCharType="separate"/>
            </w:r>
            <w:r>
              <w:rPr>
                <w:noProof/>
                <w:webHidden/>
              </w:rPr>
              <w:t>19</w:t>
            </w:r>
            <w:r>
              <w:rPr>
                <w:noProof/>
                <w:webHidden/>
              </w:rPr>
              <w:fldChar w:fldCharType="end"/>
            </w:r>
          </w:hyperlink>
        </w:p>
        <w:p w14:paraId="72CE9691" w14:textId="2F6E0D21" w:rsidR="005F3A34" w:rsidRDefault="005F3A34">
          <w:pPr>
            <w:pStyle w:val="TOC1"/>
            <w:tabs>
              <w:tab w:val="right" w:leader="dot" w:pos="9016"/>
            </w:tabs>
            <w:rPr>
              <w:rFonts w:eastAsiaTheme="minorEastAsia"/>
              <w:noProof/>
              <w:lang w:eastAsia="en-ZA"/>
            </w:rPr>
          </w:pPr>
          <w:hyperlink w:anchor="_Toc218546919" w:history="1">
            <w:r w:rsidRPr="00FF4568">
              <w:rPr>
                <w:rStyle w:val="Hyperlink"/>
                <w:noProof/>
              </w:rPr>
              <w:t>7. Contingency Planning: Ransomware Impacting AI Assets</w:t>
            </w:r>
            <w:r>
              <w:rPr>
                <w:noProof/>
                <w:webHidden/>
              </w:rPr>
              <w:tab/>
            </w:r>
            <w:r>
              <w:rPr>
                <w:noProof/>
                <w:webHidden/>
              </w:rPr>
              <w:fldChar w:fldCharType="begin"/>
            </w:r>
            <w:r>
              <w:rPr>
                <w:noProof/>
                <w:webHidden/>
              </w:rPr>
              <w:instrText xml:space="preserve"> PAGEREF _Toc218546919 \h </w:instrText>
            </w:r>
            <w:r>
              <w:rPr>
                <w:noProof/>
                <w:webHidden/>
              </w:rPr>
            </w:r>
            <w:r>
              <w:rPr>
                <w:noProof/>
                <w:webHidden/>
              </w:rPr>
              <w:fldChar w:fldCharType="separate"/>
            </w:r>
            <w:r>
              <w:rPr>
                <w:noProof/>
                <w:webHidden/>
              </w:rPr>
              <w:t>20</w:t>
            </w:r>
            <w:r>
              <w:rPr>
                <w:noProof/>
                <w:webHidden/>
              </w:rPr>
              <w:fldChar w:fldCharType="end"/>
            </w:r>
          </w:hyperlink>
        </w:p>
        <w:p w14:paraId="7A733760" w14:textId="43597B1D" w:rsidR="005F3A34" w:rsidRDefault="005F3A34">
          <w:pPr>
            <w:pStyle w:val="TOC1"/>
            <w:tabs>
              <w:tab w:val="right" w:leader="dot" w:pos="9016"/>
            </w:tabs>
            <w:rPr>
              <w:rFonts w:eastAsiaTheme="minorEastAsia"/>
              <w:noProof/>
              <w:lang w:eastAsia="en-ZA"/>
            </w:rPr>
          </w:pPr>
          <w:hyperlink w:anchor="_Toc218546920" w:history="1">
            <w:r w:rsidRPr="00FF4568">
              <w:rPr>
                <w:rStyle w:val="Hyperlink"/>
                <w:noProof/>
              </w:rPr>
              <w:t>8. Protection Mechanisms: Enforcing Zero Trust Through Modern Controls</w:t>
            </w:r>
            <w:r>
              <w:rPr>
                <w:noProof/>
                <w:webHidden/>
              </w:rPr>
              <w:tab/>
            </w:r>
            <w:r>
              <w:rPr>
                <w:noProof/>
                <w:webHidden/>
              </w:rPr>
              <w:fldChar w:fldCharType="begin"/>
            </w:r>
            <w:r>
              <w:rPr>
                <w:noProof/>
                <w:webHidden/>
              </w:rPr>
              <w:instrText xml:space="preserve"> PAGEREF _Toc218546920 \h </w:instrText>
            </w:r>
            <w:r>
              <w:rPr>
                <w:noProof/>
                <w:webHidden/>
              </w:rPr>
            </w:r>
            <w:r>
              <w:rPr>
                <w:noProof/>
                <w:webHidden/>
              </w:rPr>
              <w:fldChar w:fldCharType="separate"/>
            </w:r>
            <w:r>
              <w:rPr>
                <w:noProof/>
                <w:webHidden/>
              </w:rPr>
              <w:t>20</w:t>
            </w:r>
            <w:r>
              <w:rPr>
                <w:noProof/>
                <w:webHidden/>
              </w:rPr>
              <w:fldChar w:fldCharType="end"/>
            </w:r>
          </w:hyperlink>
        </w:p>
        <w:p w14:paraId="31206413" w14:textId="31B7A9FE" w:rsidR="005F3A34" w:rsidRDefault="005F3A34">
          <w:pPr>
            <w:pStyle w:val="TOC1"/>
            <w:tabs>
              <w:tab w:val="right" w:leader="dot" w:pos="9016"/>
            </w:tabs>
            <w:rPr>
              <w:rFonts w:eastAsiaTheme="minorEastAsia"/>
              <w:noProof/>
              <w:lang w:eastAsia="en-ZA"/>
            </w:rPr>
          </w:pPr>
          <w:hyperlink w:anchor="_Toc218546921" w:history="1">
            <w:r w:rsidRPr="00FF4568">
              <w:rPr>
                <w:rStyle w:val="Hyperlink"/>
                <w:noProof/>
              </w:rPr>
              <w:t>9. Conclusion</w:t>
            </w:r>
            <w:r>
              <w:rPr>
                <w:noProof/>
                <w:webHidden/>
              </w:rPr>
              <w:tab/>
            </w:r>
            <w:r>
              <w:rPr>
                <w:noProof/>
                <w:webHidden/>
              </w:rPr>
              <w:fldChar w:fldCharType="begin"/>
            </w:r>
            <w:r>
              <w:rPr>
                <w:noProof/>
                <w:webHidden/>
              </w:rPr>
              <w:instrText xml:space="preserve"> PAGEREF _Toc218546921 \h </w:instrText>
            </w:r>
            <w:r>
              <w:rPr>
                <w:noProof/>
                <w:webHidden/>
              </w:rPr>
            </w:r>
            <w:r>
              <w:rPr>
                <w:noProof/>
                <w:webHidden/>
              </w:rPr>
              <w:fldChar w:fldCharType="separate"/>
            </w:r>
            <w:r>
              <w:rPr>
                <w:noProof/>
                <w:webHidden/>
              </w:rPr>
              <w:t>21</w:t>
            </w:r>
            <w:r>
              <w:rPr>
                <w:noProof/>
                <w:webHidden/>
              </w:rPr>
              <w:fldChar w:fldCharType="end"/>
            </w:r>
          </w:hyperlink>
        </w:p>
        <w:p w14:paraId="27A37106" w14:textId="42ABECAB" w:rsidR="00DA1586" w:rsidRDefault="00F81ED3">
          <w:pPr>
            <w:rPr>
              <w:b/>
              <w:bCs/>
              <w:noProof/>
            </w:rPr>
            <w:sectPr w:rsidR="00DA1586" w:rsidSect="00DA1586">
              <w:type w:val="continuous"/>
              <w:pgSz w:w="11906" w:h="16838"/>
              <w:pgMar w:top="1440" w:right="1440" w:bottom="1440" w:left="1440" w:header="708" w:footer="708" w:gutter="0"/>
              <w:pgBorders w:offsetFrom="page">
                <w:top w:val="thickThinLargeGap" w:sz="24" w:space="24" w:color="auto"/>
                <w:left w:val="thickThinLargeGap" w:sz="24" w:space="24" w:color="auto"/>
                <w:bottom w:val="thickThinLargeGap" w:sz="24" w:space="24" w:color="auto"/>
                <w:right w:val="thickThinLargeGap" w:sz="24" w:space="24" w:color="auto"/>
              </w:pgBorders>
              <w:cols w:space="708"/>
              <w:docGrid w:linePitch="360"/>
            </w:sectPr>
          </w:pPr>
          <w:r>
            <w:rPr>
              <w:b/>
              <w:bCs/>
              <w:noProof/>
            </w:rPr>
            <w:fldChar w:fldCharType="end"/>
          </w:r>
        </w:p>
        <w:p w14:paraId="32A39CE8" w14:textId="6B82F641" w:rsidR="00DB12B2" w:rsidRPr="00467331" w:rsidRDefault="00000000" w:rsidP="00467331">
          <w:pPr>
            <w:sectPr w:rsidR="00DB12B2" w:rsidRPr="00467331" w:rsidSect="00DB12B2">
              <w:type w:val="continuous"/>
              <w:pgSz w:w="11906" w:h="16838"/>
              <w:pgMar w:top="1440" w:right="1440" w:bottom="1440" w:left="1440" w:header="709" w:footer="709" w:gutter="0"/>
              <w:pgBorders w:offsetFrom="page">
                <w:top w:val="thickThinLargeGap" w:sz="24" w:space="24" w:color="auto"/>
                <w:left w:val="thickThinLargeGap" w:sz="24" w:space="24" w:color="auto"/>
                <w:bottom w:val="thickThinLargeGap" w:sz="24" w:space="24" w:color="auto"/>
                <w:right w:val="thickThinLargeGap" w:sz="24" w:space="24" w:color="auto"/>
              </w:pgBorders>
              <w:cols w:num="2" w:space="708"/>
              <w:docGrid w:linePitch="360"/>
            </w:sectPr>
          </w:pPr>
        </w:p>
      </w:sdtContent>
    </w:sdt>
    <w:p w14:paraId="4E11C4A9" w14:textId="592B3D75" w:rsidR="0019261E" w:rsidRDefault="0019261E" w:rsidP="0019261E">
      <w:pPr>
        <w:pStyle w:val="Heading1"/>
      </w:pPr>
      <w:bookmarkStart w:id="0" w:name="_Toc218546885"/>
      <w:r>
        <w:t>Figures</w:t>
      </w:r>
      <w:bookmarkEnd w:id="0"/>
    </w:p>
    <w:p w14:paraId="65961D1E" w14:textId="720846BF" w:rsidR="0019261E" w:rsidRDefault="00DB12B2" w:rsidP="0019261E">
      <w:pPr>
        <w:pStyle w:val="TableofFigures"/>
        <w:tabs>
          <w:tab w:val="right" w:leader="dot" w:pos="9016"/>
        </w:tabs>
        <w:rPr>
          <w:rFonts w:eastAsiaTheme="minorEastAsia"/>
          <w:noProof/>
          <w:lang w:eastAsia="en-ZA"/>
        </w:rPr>
      </w:pPr>
      <w:r>
        <w:rPr>
          <w:b/>
          <w:bCs/>
          <w:sz w:val="48"/>
          <w:szCs w:val="48"/>
          <w:u w:val="single"/>
        </w:rPr>
        <w:fldChar w:fldCharType="begin"/>
      </w:r>
      <w:r>
        <w:rPr>
          <w:b/>
          <w:bCs/>
          <w:sz w:val="48"/>
          <w:szCs w:val="48"/>
          <w:u w:val="single"/>
        </w:rPr>
        <w:instrText xml:space="preserve"> TOC \h \z \c "Figure" </w:instrText>
      </w:r>
      <w:r>
        <w:rPr>
          <w:b/>
          <w:bCs/>
          <w:sz w:val="48"/>
          <w:szCs w:val="48"/>
          <w:u w:val="single"/>
        </w:rPr>
        <w:fldChar w:fldCharType="separate"/>
      </w:r>
      <w:hyperlink w:anchor="_Toc218509217" w:history="1">
        <w:r w:rsidR="0019261E" w:rsidRPr="00372D84">
          <w:rPr>
            <w:rStyle w:val="Hyperlink"/>
            <w:noProof/>
          </w:rPr>
          <w:t>Figure 1: AI Governance as a balancing mechan</w:t>
        </w:r>
        <w:r w:rsidR="004C4813">
          <w:rPr>
            <w:rStyle w:val="Hyperlink"/>
            <w:noProof/>
          </w:rPr>
          <w:t>is</w:t>
        </w:r>
        <w:r w:rsidR="0019261E" w:rsidRPr="00372D84">
          <w:rPr>
            <w:rStyle w:val="Hyperlink"/>
            <w:noProof/>
          </w:rPr>
          <w:t>m</w:t>
        </w:r>
        <w:r w:rsidR="0019261E">
          <w:rPr>
            <w:noProof/>
            <w:webHidden/>
          </w:rPr>
          <w:tab/>
        </w:r>
        <w:r w:rsidR="0019261E">
          <w:rPr>
            <w:noProof/>
            <w:webHidden/>
          </w:rPr>
          <w:fldChar w:fldCharType="begin"/>
        </w:r>
        <w:r w:rsidR="0019261E">
          <w:rPr>
            <w:noProof/>
            <w:webHidden/>
          </w:rPr>
          <w:instrText xml:space="preserve"> PAGEREF _Toc218509217 \h </w:instrText>
        </w:r>
        <w:r w:rsidR="0019261E">
          <w:rPr>
            <w:noProof/>
            <w:webHidden/>
          </w:rPr>
        </w:r>
        <w:r w:rsidR="0019261E">
          <w:rPr>
            <w:noProof/>
            <w:webHidden/>
          </w:rPr>
          <w:fldChar w:fldCharType="separate"/>
        </w:r>
        <w:r w:rsidR="0019261E">
          <w:rPr>
            <w:noProof/>
            <w:webHidden/>
          </w:rPr>
          <w:t>5</w:t>
        </w:r>
        <w:r w:rsidR="0019261E">
          <w:rPr>
            <w:noProof/>
            <w:webHidden/>
          </w:rPr>
          <w:fldChar w:fldCharType="end"/>
        </w:r>
      </w:hyperlink>
    </w:p>
    <w:p w14:paraId="4AE7EBB4" w14:textId="77777777" w:rsidR="0019261E" w:rsidRDefault="0019261E" w:rsidP="0019261E">
      <w:pPr>
        <w:pStyle w:val="TableofFigures"/>
        <w:tabs>
          <w:tab w:val="right" w:leader="dot" w:pos="9016"/>
        </w:tabs>
        <w:rPr>
          <w:rFonts w:eastAsiaTheme="minorEastAsia"/>
          <w:noProof/>
          <w:lang w:eastAsia="en-ZA"/>
        </w:rPr>
      </w:pPr>
      <w:hyperlink w:anchor="_Toc218509218" w:history="1">
        <w:r w:rsidRPr="00372D84">
          <w:rPr>
            <w:rStyle w:val="Hyperlink"/>
            <w:noProof/>
          </w:rPr>
          <w:t>Figure 2: Summary of Case Studies</w:t>
        </w:r>
        <w:r>
          <w:rPr>
            <w:noProof/>
            <w:webHidden/>
          </w:rPr>
          <w:tab/>
        </w:r>
        <w:r>
          <w:rPr>
            <w:noProof/>
            <w:webHidden/>
          </w:rPr>
          <w:fldChar w:fldCharType="begin"/>
        </w:r>
        <w:r>
          <w:rPr>
            <w:noProof/>
            <w:webHidden/>
          </w:rPr>
          <w:instrText xml:space="preserve"> PAGEREF _Toc218509218 \h </w:instrText>
        </w:r>
        <w:r>
          <w:rPr>
            <w:noProof/>
            <w:webHidden/>
          </w:rPr>
        </w:r>
        <w:r>
          <w:rPr>
            <w:noProof/>
            <w:webHidden/>
          </w:rPr>
          <w:fldChar w:fldCharType="separate"/>
        </w:r>
        <w:r>
          <w:rPr>
            <w:noProof/>
            <w:webHidden/>
          </w:rPr>
          <w:t>9</w:t>
        </w:r>
        <w:r>
          <w:rPr>
            <w:noProof/>
            <w:webHidden/>
          </w:rPr>
          <w:fldChar w:fldCharType="end"/>
        </w:r>
      </w:hyperlink>
    </w:p>
    <w:p w14:paraId="3E4A3022" w14:textId="77777777" w:rsidR="0019261E" w:rsidRDefault="0019261E" w:rsidP="0019261E">
      <w:pPr>
        <w:pStyle w:val="TableofFigures"/>
        <w:tabs>
          <w:tab w:val="right" w:leader="dot" w:pos="9016"/>
        </w:tabs>
        <w:rPr>
          <w:rFonts w:eastAsiaTheme="minorEastAsia"/>
          <w:noProof/>
          <w:lang w:eastAsia="en-ZA"/>
        </w:rPr>
      </w:pPr>
      <w:hyperlink w:anchor="_Toc218509219" w:history="1">
        <w:r w:rsidRPr="00372D84">
          <w:rPr>
            <w:rStyle w:val="Hyperlink"/>
            <w:noProof/>
          </w:rPr>
          <w:t>Figure 3: Organisational Structure</w:t>
        </w:r>
        <w:r>
          <w:rPr>
            <w:noProof/>
            <w:webHidden/>
          </w:rPr>
          <w:tab/>
        </w:r>
        <w:r>
          <w:rPr>
            <w:noProof/>
            <w:webHidden/>
          </w:rPr>
          <w:fldChar w:fldCharType="begin"/>
        </w:r>
        <w:r>
          <w:rPr>
            <w:noProof/>
            <w:webHidden/>
          </w:rPr>
          <w:instrText xml:space="preserve"> PAGEREF _Toc218509219 \h </w:instrText>
        </w:r>
        <w:r>
          <w:rPr>
            <w:noProof/>
            <w:webHidden/>
          </w:rPr>
        </w:r>
        <w:r>
          <w:rPr>
            <w:noProof/>
            <w:webHidden/>
          </w:rPr>
          <w:fldChar w:fldCharType="separate"/>
        </w:r>
        <w:r>
          <w:rPr>
            <w:noProof/>
            <w:webHidden/>
          </w:rPr>
          <w:t>12</w:t>
        </w:r>
        <w:r>
          <w:rPr>
            <w:noProof/>
            <w:webHidden/>
          </w:rPr>
          <w:fldChar w:fldCharType="end"/>
        </w:r>
      </w:hyperlink>
    </w:p>
    <w:p w14:paraId="3F2556BA" w14:textId="77777777" w:rsidR="0019261E" w:rsidRDefault="0019261E" w:rsidP="0019261E">
      <w:pPr>
        <w:pStyle w:val="TableofFigures"/>
        <w:tabs>
          <w:tab w:val="right" w:leader="dot" w:pos="9016"/>
        </w:tabs>
        <w:rPr>
          <w:rFonts w:eastAsiaTheme="minorEastAsia"/>
          <w:noProof/>
          <w:lang w:eastAsia="en-ZA"/>
        </w:rPr>
      </w:pPr>
      <w:hyperlink w:anchor="_Toc218509220" w:history="1">
        <w:r w:rsidRPr="00372D84">
          <w:rPr>
            <w:rStyle w:val="Hyperlink"/>
            <w:noProof/>
          </w:rPr>
          <w:t>Figure 4 Policy Table</w:t>
        </w:r>
        <w:r>
          <w:rPr>
            <w:noProof/>
            <w:webHidden/>
          </w:rPr>
          <w:tab/>
        </w:r>
        <w:r>
          <w:rPr>
            <w:noProof/>
            <w:webHidden/>
          </w:rPr>
          <w:fldChar w:fldCharType="begin"/>
        </w:r>
        <w:r>
          <w:rPr>
            <w:noProof/>
            <w:webHidden/>
          </w:rPr>
          <w:instrText xml:space="preserve"> PAGEREF _Toc218509220 \h </w:instrText>
        </w:r>
        <w:r>
          <w:rPr>
            <w:noProof/>
            <w:webHidden/>
          </w:rPr>
        </w:r>
        <w:r>
          <w:rPr>
            <w:noProof/>
            <w:webHidden/>
          </w:rPr>
          <w:fldChar w:fldCharType="separate"/>
        </w:r>
        <w:r>
          <w:rPr>
            <w:noProof/>
            <w:webHidden/>
          </w:rPr>
          <w:t>14</w:t>
        </w:r>
        <w:r>
          <w:rPr>
            <w:noProof/>
            <w:webHidden/>
          </w:rPr>
          <w:fldChar w:fldCharType="end"/>
        </w:r>
      </w:hyperlink>
    </w:p>
    <w:p w14:paraId="167CF743" w14:textId="77777777" w:rsidR="0019261E" w:rsidRDefault="0019261E" w:rsidP="0019261E">
      <w:pPr>
        <w:pStyle w:val="TableofFigures"/>
        <w:tabs>
          <w:tab w:val="right" w:leader="dot" w:pos="9016"/>
        </w:tabs>
        <w:rPr>
          <w:rFonts w:eastAsiaTheme="minorEastAsia"/>
          <w:noProof/>
          <w:lang w:eastAsia="en-ZA"/>
        </w:rPr>
      </w:pPr>
      <w:hyperlink w:anchor="_Toc218509221" w:history="1">
        <w:r w:rsidRPr="00372D84">
          <w:rPr>
            <w:rStyle w:val="Hyperlink"/>
            <w:noProof/>
          </w:rPr>
          <w:t>Figure 5 : NIST Cybersecurity Framework (CSF)</w:t>
        </w:r>
        <w:r>
          <w:rPr>
            <w:noProof/>
            <w:webHidden/>
          </w:rPr>
          <w:tab/>
        </w:r>
        <w:r>
          <w:rPr>
            <w:noProof/>
            <w:webHidden/>
          </w:rPr>
          <w:fldChar w:fldCharType="begin"/>
        </w:r>
        <w:r>
          <w:rPr>
            <w:noProof/>
            <w:webHidden/>
          </w:rPr>
          <w:instrText xml:space="preserve"> PAGEREF _Toc218509221 \h </w:instrText>
        </w:r>
        <w:r>
          <w:rPr>
            <w:noProof/>
            <w:webHidden/>
          </w:rPr>
        </w:r>
        <w:r>
          <w:rPr>
            <w:noProof/>
            <w:webHidden/>
          </w:rPr>
          <w:fldChar w:fldCharType="separate"/>
        </w:r>
        <w:r>
          <w:rPr>
            <w:noProof/>
            <w:webHidden/>
          </w:rPr>
          <w:t>16</w:t>
        </w:r>
        <w:r>
          <w:rPr>
            <w:noProof/>
            <w:webHidden/>
          </w:rPr>
          <w:fldChar w:fldCharType="end"/>
        </w:r>
      </w:hyperlink>
    </w:p>
    <w:p w14:paraId="53268913" w14:textId="4F046ACF" w:rsidR="0019261E" w:rsidRPr="0019261E" w:rsidRDefault="00780F2E" w:rsidP="0019261E">
      <w:pPr>
        <w:pStyle w:val="TableofFigures"/>
        <w:tabs>
          <w:tab w:val="right" w:leader="dot" w:pos="9016"/>
        </w:tabs>
        <w:rPr>
          <w:noProof/>
          <w:color w:val="0000FF"/>
          <w:u w:val="single"/>
        </w:rPr>
      </w:pPr>
      <w:r w:rsidRPr="00780F2E">
        <w:rPr>
          <w:rStyle w:val="Hyperlink"/>
          <w:noProof/>
          <w:color w:val="000000" w:themeColor="text1"/>
          <w:u w:val="none"/>
        </w:rPr>
        <w:t>Figure 6</w:t>
      </w:r>
      <w:r w:rsidR="0019261E">
        <w:rPr>
          <w:noProof/>
          <w:webHidden/>
        </w:rPr>
        <w:tab/>
      </w:r>
      <w:r w:rsidR="0019261E">
        <w:rPr>
          <w:noProof/>
          <w:webHidden/>
        </w:rPr>
        <w:fldChar w:fldCharType="begin"/>
      </w:r>
      <w:r w:rsidR="0019261E">
        <w:rPr>
          <w:noProof/>
          <w:webHidden/>
        </w:rPr>
        <w:instrText xml:space="preserve"> PAGEREF _Toc218509222 \h </w:instrText>
      </w:r>
      <w:r w:rsidR="0019261E">
        <w:rPr>
          <w:noProof/>
          <w:webHidden/>
        </w:rPr>
      </w:r>
      <w:r w:rsidR="0019261E">
        <w:rPr>
          <w:noProof/>
          <w:webHidden/>
        </w:rPr>
        <w:fldChar w:fldCharType="separate"/>
      </w:r>
      <w:r w:rsidR="0019261E">
        <w:rPr>
          <w:noProof/>
          <w:webHidden/>
        </w:rPr>
        <w:t>18</w:t>
      </w:r>
      <w:r w:rsidR="0019261E">
        <w:rPr>
          <w:noProof/>
          <w:webHidden/>
        </w:rPr>
        <w:fldChar w:fldCharType="end"/>
      </w:r>
    </w:p>
    <w:p w14:paraId="08657F8A" w14:textId="77777777" w:rsidR="0019261E" w:rsidRDefault="0019261E" w:rsidP="0019261E">
      <w:pPr>
        <w:pStyle w:val="Heading1"/>
      </w:pPr>
    </w:p>
    <w:p w14:paraId="38DA783F" w14:textId="77777777" w:rsidR="0019261E" w:rsidRDefault="0019261E" w:rsidP="0019261E">
      <w:pPr>
        <w:pStyle w:val="Heading1"/>
      </w:pPr>
      <w:bookmarkStart w:id="1" w:name="_Toc218546886"/>
      <w:r>
        <w:t>Table of Acronyms</w:t>
      </w:r>
      <w:bookmarkEnd w:id="1"/>
    </w:p>
    <w:tbl>
      <w:tblPr>
        <w:tblStyle w:val="TableGrid"/>
        <w:tblW w:w="0" w:type="auto"/>
        <w:tblLook w:val="04A0" w:firstRow="1" w:lastRow="0" w:firstColumn="1" w:lastColumn="0" w:noHBand="0" w:noVBand="1"/>
      </w:tblPr>
      <w:tblGrid>
        <w:gridCol w:w="4508"/>
        <w:gridCol w:w="4508"/>
      </w:tblGrid>
      <w:tr w:rsidR="0019261E" w14:paraId="26700131" w14:textId="77777777" w:rsidTr="00B03FAA">
        <w:tc>
          <w:tcPr>
            <w:tcW w:w="4508" w:type="dxa"/>
            <w:vAlign w:val="center"/>
          </w:tcPr>
          <w:p w14:paraId="3043DBAF" w14:textId="77777777" w:rsidR="0019261E" w:rsidRDefault="0019261E" w:rsidP="00B03FAA">
            <w:r>
              <w:rPr>
                <w:b/>
                <w:bCs/>
              </w:rPr>
              <w:t>Acronym</w:t>
            </w:r>
          </w:p>
        </w:tc>
        <w:tc>
          <w:tcPr>
            <w:tcW w:w="4508" w:type="dxa"/>
            <w:vAlign w:val="center"/>
          </w:tcPr>
          <w:p w14:paraId="364F9766" w14:textId="77777777" w:rsidR="0019261E" w:rsidRDefault="0019261E" w:rsidP="00B03FAA">
            <w:r>
              <w:rPr>
                <w:b/>
                <w:bCs/>
              </w:rPr>
              <w:t>Full Term</w:t>
            </w:r>
          </w:p>
        </w:tc>
      </w:tr>
      <w:tr w:rsidR="0019261E" w14:paraId="2594E1FF" w14:textId="77777777" w:rsidTr="00B03FAA">
        <w:tc>
          <w:tcPr>
            <w:tcW w:w="4508" w:type="dxa"/>
            <w:vAlign w:val="center"/>
          </w:tcPr>
          <w:p w14:paraId="31EA862D" w14:textId="77777777" w:rsidR="0019261E" w:rsidRPr="00345019" w:rsidRDefault="0019261E" w:rsidP="00B03FAA">
            <w:r w:rsidRPr="00345019">
              <w:t>AI</w:t>
            </w:r>
          </w:p>
        </w:tc>
        <w:tc>
          <w:tcPr>
            <w:tcW w:w="4508" w:type="dxa"/>
            <w:vAlign w:val="center"/>
          </w:tcPr>
          <w:p w14:paraId="0D2A29DE" w14:textId="77777777" w:rsidR="0019261E" w:rsidRPr="00345019" w:rsidRDefault="0019261E" w:rsidP="00B03FAA">
            <w:r w:rsidRPr="00345019">
              <w:t>Artificial Intelligence</w:t>
            </w:r>
          </w:p>
        </w:tc>
      </w:tr>
      <w:tr w:rsidR="0019261E" w14:paraId="7696EA67" w14:textId="77777777" w:rsidTr="00B03FAA">
        <w:tc>
          <w:tcPr>
            <w:tcW w:w="4508" w:type="dxa"/>
            <w:vAlign w:val="center"/>
          </w:tcPr>
          <w:p w14:paraId="5BAEBDE4" w14:textId="77777777" w:rsidR="0019261E" w:rsidRPr="00345019" w:rsidRDefault="0019261E" w:rsidP="00B03FAA">
            <w:r w:rsidRPr="00345019">
              <w:t>ML</w:t>
            </w:r>
          </w:p>
        </w:tc>
        <w:tc>
          <w:tcPr>
            <w:tcW w:w="4508" w:type="dxa"/>
            <w:vAlign w:val="center"/>
          </w:tcPr>
          <w:p w14:paraId="59B7ADE4" w14:textId="77777777" w:rsidR="0019261E" w:rsidRPr="00345019" w:rsidRDefault="0019261E" w:rsidP="00B03FAA">
            <w:r w:rsidRPr="00345019">
              <w:t>Machine Learning</w:t>
            </w:r>
          </w:p>
        </w:tc>
      </w:tr>
      <w:tr w:rsidR="0019261E" w14:paraId="6CEB6A68" w14:textId="77777777" w:rsidTr="00B03FAA">
        <w:tc>
          <w:tcPr>
            <w:tcW w:w="4508" w:type="dxa"/>
            <w:vAlign w:val="center"/>
          </w:tcPr>
          <w:p w14:paraId="16AB64CF" w14:textId="77777777" w:rsidR="0019261E" w:rsidRPr="00345019" w:rsidRDefault="0019261E" w:rsidP="00B03FAA">
            <w:r w:rsidRPr="00345019">
              <w:t>BYOD</w:t>
            </w:r>
          </w:p>
        </w:tc>
        <w:tc>
          <w:tcPr>
            <w:tcW w:w="4508" w:type="dxa"/>
            <w:vAlign w:val="center"/>
          </w:tcPr>
          <w:p w14:paraId="4847288C" w14:textId="77777777" w:rsidR="0019261E" w:rsidRPr="00345019" w:rsidRDefault="0019261E" w:rsidP="00B03FAA">
            <w:r w:rsidRPr="00345019">
              <w:t>Bring Your Own Device</w:t>
            </w:r>
          </w:p>
        </w:tc>
      </w:tr>
      <w:tr w:rsidR="0019261E" w14:paraId="7E4B1812" w14:textId="77777777" w:rsidTr="00B03FAA">
        <w:tc>
          <w:tcPr>
            <w:tcW w:w="4508" w:type="dxa"/>
            <w:vAlign w:val="center"/>
          </w:tcPr>
          <w:p w14:paraId="1E5E1909" w14:textId="77777777" w:rsidR="0019261E" w:rsidRPr="00345019" w:rsidRDefault="0019261E" w:rsidP="00B03FAA">
            <w:r w:rsidRPr="00345019">
              <w:t>CI/CD</w:t>
            </w:r>
          </w:p>
        </w:tc>
        <w:tc>
          <w:tcPr>
            <w:tcW w:w="4508" w:type="dxa"/>
            <w:vAlign w:val="center"/>
          </w:tcPr>
          <w:p w14:paraId="1AF32E7C" w14:textId="77777777" w:rsidR="0019261E" w:rsidRPr="00345019" w:rsidRDefault="0019261E" w:rsidP="00B03FAA">
            <w:r w:rsidRPr="00345019">
              <w:t>Continuous Integration / Continuous Deployment</w:t>
            </w:r>
          </w:p>
        </w:tc>
      </w:tr>
      <w:tr w:rsidR="0019261E" w14:paraId="5998993B" w14:textId="77777777" w:rsidTr="00B03FAA">
        <w:tc>
          <w:tcPr>
            <w:tcW w:w="4508" w:type="dxa"/>
            <w:vAlign w:val="center"/>
          </w:tcPr>
          <w:p w14:paraId="21E76041" w14:textId="77777777" w:rsidR="0019261E" w:rsidRPr="00345019" w:rsidRDefault="0019261E" w:rsidP="00B03FAA">
            <w:r w:rsidRPr="00345019">
              <w:t>CSPM</w:t>
            </w:r>
          </w:p>
        </w:tc>
        <w:tc>
          <w:tcPr>
            <w:tcW w:w="4508" w:type="dxa"/>
            <w:vAlign w:val="center"/>
          </w:tcPr>
          <w:p w14:paraId="44645EE0" w14:textId="77777777" w:rsidR="0019261E" w:rsidRPr="00345019" w:rsidRDefault="0019261E" w:rsidP="00B03FAA">
            <w:r w:rsidRPr="00345019">
              <w:t>Cloud Security Posture Management</w:t>
            </w:r>
          </w:p>
        </w:tc>
      </w:tr>
      <w:tr w:rsidR="0019261E" w14:paraId="6CD58F5E" w14:textId="77777777" w:rsidTr="00B03FAA">
        <w:tc>
          <w:tcPr>
            <w:tcW w:w="4508" w:type="dxa"/>
            <w:vAlign w:val="center"/>
          </w:tcPr>
          <w:p w14:paraId="4E3B4ED0" w14:textId="77777777" w:rsidR="0019261E" w:rsidRPr="00345019" w:rsidRDefault="0019261E" w:rsidP="00B03FAA">
            <w:r w:rsidRPr="00345019">
              <w:t>DORA</w:t>
            </w:r>
          </w:p>
        </w:tc>
        <w:tc>
          <w:tcPr>
            <w:tcW w:w="4508" w:type="dxa"/>
            <w:vAlign w:val="center"/>
          </w:tcPr>
          <w:p w14:paraId="544B6E5C" w14:textId="77777777" w:rsidR="0019261E" w:rsidRPr="00345019" w:rsidRDefault="0019261E" w:rsidP="00B03FAA">
            <w:r w:rsidRPr="00345019">
              <w:t>Digital Operational Resilience Act</w:t>
            </w:r>
          </w:p>
        </w:tc>
      </w:tr>
      <w:tr w:rsidR="0019261E" w14:paraId="18FAF6E3" w14:textId="77777777" w:rsidTr="00B03FAA">
        <w:tc>
          <w:tcPr>
            <w:tcW w:w="4508" w:type="dxa"/>
            <w:vAlign w:val="center"/>
          </w:tcPr>
          <w:p w14:paraId="57EA0215" w14:textId="77777777" w:rsidR="0019261E" w:rsidRPr="00345019" w:rsidRDefault="0019261E" w:rsidP="00B03FAA">
            <w:r w:rsidRPr="00345019">
              <w:t>EDR</w:t>
            </w:r>
          </w:p>
        </w:tc>
        <w:tc>
          <w:tcPr>
            <w:tcW w:w="4508" w:type="dxa"/>
            <w:vAlign w:val="center"/>
          </w:tcPr>
          <w:p w14:paraId="475EC010" w14:textId="77777777" w:rsidR="0019261E" w:rsidRPr="00345019" w:rsidRDefault="0019261E" w:rsidP="00B03FAA">
            <w:r w:rsidRPr="00345019">
              <w:t>Endpoint Detection and Response</w:t>
            </w:r>
          </w:p>
        </w:tc>
      </w:tr>
      <w:tr w:rsidR="0019261E" w14:paraId="73930A23" w14:textId="77777777" w:rsidTr="00B03FAA">
        <w:tc>
          <w:tcPr>
            <w:tcW w:w="4508" w:type="dxa"/>
            <w:vAlign w:val="center"/>
          </w:tcPr>
          <w:p w14:paraId="6EDE2A78" w14:textId="77777777" w:rsidR="0019261E" w:rsidRPr="00345019" w:rsidRDefault="0019261E" w:rsidP="00B03FAA">
            <w:r w:rsidRPr="00345019">
              <w:t>GDPR</w:t>
            </w:r>
          </w:p>
        </w:tc>
        <w:tc>
          <w:tcPr>
            <w:tcW w:w="4508" w:type="dxa"/>
            <w:vAlign w:val="center"/>
          </w:tcPr>
          <w:p w14:paraId="5C102CC9" w14:textId="77777777" w:rsidR="0019261E" w:rsidRPr="00345019" w:rsidRDefault="0019261E" w:rsidP="00B03FAA">
            <w:r w:rsidRPr="00345019">
              <w:t>General Data Protection Regulation</w:t>
            </w:r>
          </w:p>
        </w:tc>
      </w:tr>
      <w:tr w:rsidR="0019261E" w14:paraId="315A9D4D" w14:textId="77777777" w:rsidTr="00B03FAA">
        <w:tc>
          <w:tcPr>
            <w:tcW w:w="4508" w:type="dxa"/>
            <w:vAlign w:val="center"/>
          </w:tcPr>
          <w:p w14:paraId="6AF8C8DD" w14:textId="77777777" w:rsidR="0019261E" w:rsidRPr="00345019" w:rsidRDefault="0019261E" w:rsidP="00B03FAA">
            <w:r w:rsidRPr="00345019">
              <w:t>IAM</w:t>
            </w:r>
          </w:p>
        </w:tc>
        <w:tc>
          <w:tcPr>
            <w:tcW w:w="4508" w:type="dxa"/>
            <w:vAlign w:val="center"/>
          </w:tcPr>
          <w:p w14:paraId="653EB2B4" w14:textId="77777777" w:rsidR="0019261E" w:rsidRPr="00345019" w:rsidRDefault="0019261E" w:rsidP="00B03FAA">
            <w:r w:rsidRPr="00345019">
              <w:t>Identity and Access Management</w:t>
            </w:r>
          </w:p>
        </w:tc>
      </w:tr>
      <w:tr w:rsidR="0019261E" w14:paraId="7DFEDC9C" w14:textId="77777777" w:rsidTr="00B03FAA">
        <w:tc>
          <w:tcPr>
            <w:tcW w:w="4508" w:type="dxa"/>
            <w:vAlign w:val="center"/>
          </w:tcPr>
          <w:p w14:paraId="7C515AC0" w14:textId="77777777" w:rsidR="0019261E" w:rsidRPr="00345019" w:rsidRDefault="0019261E" w:rsidP="00B03FAA">
            <w:r w:rsidRPr="00345019">
              <w:t>MFA</w:t>
            </w:r>
          </w:p>
        </w:tc>
        <w:tc>
          <w:tcPr>
            <w:tcW w:w="4508" w:type="dxa"/>
            <w:vAlign w:val="center"/>
          </w:tcPr>
          <w:p w14:paraId="58137867" w14:textId="77777777" w:rsidR="0019261E" w:rsidRPr="00345019" w:rsidRDefault="0019261E" w:rsidP="00B03FAA">
            <w:r w:rsidRPr="00345019">
              <w:t>Multi-Factor Authentication</w:t>
            </w:r>
          </w:p>
        </w:tc>
      </w:tr>
      <w:tr w:rsidR="0019261E" w14:paraId="610DC551" w14:textId="77777777" w:rsidTr="00B03FAA">
        <w:tc>
          <w:tcPr>
            <w:tcW w:w="4508" w:type="dxa"/>
            <w:vAlign w:val="center"/>
          </w:tcPr>
          <w:p w14:paraId="35623AAB" w14:textId="77777777" w:rsidR="0019261E" w:rsidRPr="00345019" w:rsidRDefault="0019261E" w:rsidP="00B03FAA">
            <w:r w:rsidRPr="00345019">
              <w:t>NIS2</w:t>
            </w:r>
          </w:p>
        </w:tc>
        <w:tc>
          <w:tcPr>
            <w:tcW w:w="4508" w:type="dxa"/>
            <w:vAlign w:val="center"/>
          </w:tcPr>
          <w:p w14:paraId="14717E7A" w14:textId="77777777" w:rsidR="0019261E" w:rsidRPr="00345019" w:rsidRDefault="0019261E" w:rsidP="00B03FAA">
            <w:r w:rsidRPr="00345019">
              <w:t>Network and Information Systems Directive 2</w:t>
            </w:r>
          </w:p>
        </w:tc>
      </w:tr>
      <w:tr w:rsidR="0019261E" w14:paraId="61001E1D" w14:textId="77777777" w:rsidTr="00B03FAA">
        <w:tc>
          <w:tcPr>
            <w:tcW w:w="4508" w:type="dxa"/>
            <w:vAlign w:val="center"/>
          </w:tcPr>
          <w:p w14:paraId="68579AB3" w14:textId="77777777" w:rsidR="0019261E" w:rsidRPr="00345019" w:rsidRDefault="0019261E" w:rsidP="00B03FAA">
            <w:r w:rsidRPr="00345019">
              <w:t>NIST</w:t>
            </w:r>
          </w:p>
        </w:tc>
        <w:tc>
          <w:tcPr>
            <w:tcW w:w="4508" w:type="dxa"/>
            <w:vAlign w:val="center"/>
          </w:tcPr>
          <w:p w14:paraId="03D6C2E9" w14:textId="77777777" w:rsidR="0019261E" w:rsidRPr="00345019" w:rsidRDefault="0019261E" w:rsidP="00B03FAA">
            <w:r w:rsidRPr="00345019">
              <w:t>National Institute of Standards and Technology</w:t>
            </w:r>
          </w:p>
        </w:tc>
      </w:tr>
      <w:tr w:rsidR="0019261E" w14:paraId="2B6BFC6E" w14:textId="77777777" w:rsidTr="00B03FAA">
        <w:tc>
          <w:tcPr>
            <w:tcW w:w="4508" w:type="dxa"/>
            <w:vAlign w:val="center"/>
          </w:tcPr>
          <w:p w14:paraId="5C902496" w14:textId="77777777" w:rsidR="0019261E" w:rsidRPr="00345019" w:rsidRDefault="0019261E" w:rsidP="00B03FAA">
            <w:r w:rsidRPr="00345019">
              <w:t>SaaS</w:t>
            </w:r>
          </w:p>
        </w:tc>
        <w:tc>
          <w:tcPr>
            <w:tcW w:w="4508" w:type="dxa"/>
            <w:vAlign w:val="center"/>
          </w:tcPr>
          <w:p w14:paraId="20D87778" w14:textId="77777777" w:rsidR="0019261E" w:rsidRPr="00345019" w:rsidRDefault="0019261E" w:rsidP="00B03FAA">
            <w:r w:rsidRPr="00345019">
              <w:t>Software as a Service</w:t>
            </w:r>
          </w:p>
        </w:tc>
      </w:tr>
      <w:tr w:rsidR="0019261E" w14:paraId="6B059FA1" w14:textId="77777777" w:rsidTr="00B03FAA">
        <w:tc>
          <w:tcPr>
            <w:tcW w:w="4508" w:type="dxa"/>
            <w:vAlign w:val="center"/>
          </w:tcPr>
          <w:p w14:paraId="68BFC686" w14:textId="77777777" w:rsidR="0019261E" w:rsidRPr="00345019" w:rsidRDefault="0019261E" w:rsidP="00B03FAA">
            <w:r w:rsidRPr="00345019">
              <w:lastRenderedPageBreak/>
              <w:t>SIEM</w:t>
            </w:r>
          </w:p>
        </w:tc>
        <w:tc>
          <w:tcPr>
            <w:tcW w:w="4508" w:type="dxa"/>
            <w:vAlign w:val="center"/>
          </w:tcPr>
          <w:p w14:paraId="202FF639" w14:textId="77777777" w:rsidR="0019261E" w:rsidRPr="00345019" w:rsidRDefault="0019261E" w:rsidP="00B03FAA">
            <w:r w:rsidRPr="00345019">
              <w:t>Security Information and Event Management</w:t>
            </w:r>
          </w:p>
        </w:tc>
      </w:tr>
      <w:tr w:rsidR="0019261E" w14:paraId="55C169D8" w14:textId="77777777" w:rsidTr="00B03FAA">
        <w:tc>
          <w:tcPr>
            <w:tcW w:w="4508" w:type="dxa"/>
            <w:vAlign w:val="center"/>
          </w:tcPr>
          <w:p w14:paraId="51C9C2CC" w14:textId="77777777" w:rsidR="0019261E" w:rsidRPr="00345019" w:rsidRDefault="0019261E" w:rsidP="00B03FAA">
            <w:r w:rsidRPr="00345019">
              <w:t>SOAR</w:t>
            </w:r>
          </w:p>
        </w:tc>
        <w:tc>
          <w:tcPr>
            <w:tcW w:w="4508" w:type="dxa"/>
            <w:vAlign w:val="center"/>
          </w:tcPr>
          <w:p w14:paraId="4442E7BF" w14:textId="77777777" w:rsidR="0019261E" w:rsidRPr="00345019" w:rsidRDefault="0019261E" w:rsidP="00B03FAA">
            <w:r w:rsidRPr="00345019">
              <w:t>Security Orchestration, Automation, and Response</w:t>
            </w:r>
          </w:p>
        </w:tc>
      </w:tr>
      <w:tr w:rsidR="0019261E" w14:paraId="646AFFF0" w14:textId="77777777" w:rsidTr="00B03FAA">
        <w:tc>
          <w:tcPr>
            <w:tcW w:w="4508" w:type="dxa"/>
            <w:vAlign w:val="center"/>
          </w:tcPr>
          <w:p w14:paraId="78066D0A" w14:textId="77777777" w:rsidR="0019261E" w:rsidRPr="00345019" w:rsidRDefault="0019261E" w:rsidP="00B03FAA">
            <w:r w:rsidRPr="00345019">
              <w:t>ZTNA</w:t>
            </w:r>
          </w:p>
        </w:tc>
        <w:tc>
          <w:tcPr>
            <w:tcW w:w="4508" w:type="dxa"/>
            <w:vAlign w:val="center"/>
          </w:tcPr>
          <w:p w14:paraId="29921637" w14:textId="77777777" w:rsidR="0019261E" w:rsidRPr="00345019" w:rsidRDefault="0019261E" w:rsidP="00B03FAA">
            <w:r w:rsidRPr="00345019">
              <w:t>Zero Trust Network Access</w:t>
            </w:r>
          </w:p>
        </w:tc>
      </w:tr>
    </w:tbl>
    <w:p w14:paraId="4A3D6FE8" w14:textId="77E990B9" w:rsidR="00467331" w:rsidRDefault="00467331" w:rsidP="0019261E">
      <w:pPr>
        <w:pStyle w:val="TableofFigures"/>
        <w:tabs>
          <w:tab w:val="right" w:leader="dot" w:pos="9016"/>
        </w:tabs>
        <w:rPr>
          <w:lang w:eastAsia="en-ZA"/>
        </w:rPr>
      </w:pPr>
    </w:p>
    <w:p w14:paraId="29DE4BF1" w14:textId="77777777" w:rsidR="0019261E" w:rsidRDefault="0019261E" w:rsidP="0019261E">
      <w:pPr>
        <w:rPr>
          <w:lang w:eastAsia="en-ZA"/>
        </w:rPr>
      </w:pPr>
    </w:p>
    <w:p w14:paraId="30AB80B2" w14:textId="77777777" w:rsidR="0019261E" w:rsidRDefault="0019261E" w:rsidP="0019261E">
      <w:pPr>
        <w:rPr>
          <w:lang w:eastAsia="en-ZA"/>
        </w:rPr>
      </w:pPr>
    </w:p>
    <w:p w14:paraId="25CA4B1D" w14:textId="77777777" w:rsidR="0019261E" w:rsidRDefault="0019261E" w:rsidP="0019261E">
      <w:pPr>
        <w:rPr>
          <w:lang w:eastAsia="en-ZA"/>
        </w:rPr>
      </w:pPr>
    </w:p>
    <w:p w14:paraId="7411EE8D" w14:textId="77777777" w:rsidR="0019261E" w:rsidRDefault="0019261E" w:rsidP="0019261E">
      <w:pPr>
        <w:rPr>
          <w:lang w:eastAsia="en-ZA"/>
        </w:rPr>
      </w:pPr>
    </w:p>
    <w:p w14:paraId="74956BFC" w14:textId="77777777" w:rsidR="0019261E" w:rsidRDefault="0019261E" w:rsidP="0019261E">
      <w:pPr>
        <w:rPr>
          <w:lang w:eastAsia="en-ZA"/>
        </w:rPr>
      </w:pPr>
    </w:p>
    <w:p w14:paraId="327DC147" w14:textId="77777777" w:rsidR="0019261E" w:rsidRDefault="0019261E" w:rsidP="0019261E">
      <w:pPr>
        <w:rPr>
          <w:lang w:eastAsia="en-ZA"/>
        </w:rPr>
      </w:pPr>
    </w:p>
    <w:p w14:paraId="664A9A80" w14:textId="77777777" w:rsidR="0019261E" w:rsidRDefault="0019261E" w:rsidP="0019261E">
      <w:pPr>
        <w:rPr>
          <w:lang w:eastAsia="en-ZA"/>
        </w:rPr>
      </w:pPr>
    </w:p>
    <w:p w14:paraId="0608958B" w14:textId="77777777" w:rsidR="0019261E" w:rsidRDefault="0019261E" w:rsidP="0019261E">
      <w:pPr>
        <w:rPr>
          <w:lang w:eastAsia="en-ZA"/>
        </w:rPr>
      </w:pPr>
    </w:p>
    <w:p w14:paraId="2C5F1EB1" w14:textId="77777777" w:rsidR="0019261E" w:rsidRDefault="0019261E" w:rsidP="0019261E">
      <w:pPr>
        <w:rPr>
          <w:lang w:eastAsia="en-ZA"/>
        </w:rPr>
      </w:pPr>
    </w:p>
    <w:p w14:paraId="42D94039" w14:textId="77777777" w:rsidR="0019261E" w:rsidRDefault="0019261E" w:rsidP="0019261E">
      <w:pPr>
        <w:rPr>
          <w:lang w:eastAsia="en-ZA"/>
        </w:rPr>
      </w:pPr>
    </w:p>
    <w:p w14:paraId="40E2B166" w14:textId="77777777" w:rsidR="0019261E" w:rsidRDefault="0019261E" w:rsidP="0019261E">
      <w:pPr>
        <w:rPr>
          <w:lang w:eastAsia="en-ZA"/>
        </w:rPr>
      </w:pPr>
    </w:p>
    <w:p w14:paraId="01877A10" w14:textId="77777777" w:rsidR="0019261E" w:rsidRDefault="0019261E" w:rsidP="0019261E">
      <w:pPr>
        <w:rPr>
          <w:lang w:eastAsia="en-ZA"/>
        </w:rPr>
      </w:pPr>
    </w:p>
    <w:p w14:paraId="6B1CAEAB" w14:textId="77777777" w:rsidR="0019261E" w:rsidRDefault="0019261E" w:rsidP="0019261E">
      <w:pPr>
        <w:rPr>
          <w:lang w:eastAsia="en-ZA"/>
        </w:rPr>
      </w:pPr>
    </w:p>
    <w:p w14:paraId="473BB52E" w14:textId="77777777" w:rsidR="0019261E" w:rsidRDefault="0019261E" w:rsidP="0019261E">
      <w:pPr>
        <w:rPr>
          <w:lang w:eastAsia="en-ZA"/>
        </w:rPr>
      </w:pPr>
    </w:p>
    <w:p w14:paraId="6F799992" w14:textId="77777777" w:rsidR="0019261E" w:rsidRDefault="0019261E" w:rsidP="0019261E">
      <w:pPr>
        <w:rPr>
          <w:lang w:eastAsia="en-ZA"/>
        </w:rPr>
      </w:pPr>
    </w:p>
    <w:p w14:paraId="147F7DC3" w14:textId="77777777" w:rsidR="0019261E" w:rsidRDefault="0019261E" w:rsidP="0019261E">
      <w:pPr>
        <w:rPr>
          <w:lang w:eastAsia="en-ZA"/>
        </w:rPr>
      </w:pPr>
    </w:p>
    <w:p w14:paraId="2FC8D30D" w14:textId="77777777" w:rsidR="0019261E" w:rsidRDefault="0019261E" w:rsidP="0019261E">
      <w:pPr>
        <w:rPr>
          <w:lang w:eastAsia="en-ZA"/>
        </w:rPr>
      </w:pPr>
    </w:p>
    <w:p w14:paraId="568CF500" w14:textId="77777777" w:rsidR="0019261E" w:rsidRDefault="0019261E" w:rsidP="0019261E">
      <w:pPr>
        <w:rPr>
          <w:lang w:eastAsia="en-ZA"/>
        </w:rPr>
      </w:pPr>
    </w:p>
    <w:p w14:paraId="2B5590D8" w14:textId="77777777" w:rsidR="0019261E" w:rsidRDefault="0019261E" w:rsidP="0019261E">
      <w:pPr>
        <w:rPr>
          <w:lang w:eastAsia="en-ZA"/>
        </w:rPr>
      </w:pPr>
    </w:p>
    <w:p w14:paraId="4E773CDC" w14:textId="77777777" w:rsidR="0019261E" w:rsidRDefault="0019261E" w:rsidP="0019261E">
      <w:pPr>
        <w:rPr>
          <w:lang w:eastAsia="en-ZA"/>
        </w:rPr>
      </w:pPr>
    </w:p>
    <w:p w14:paraId="2E68D765" w14:textId="77777777" w:rsidR="0019261E" w:rsidRPr="0019261E" w:rsidRDefault="0019261E" w:rsidP="0019261E">
      <w:pPr>
        <w:rPr>
          <w:lang w:eastAsia="en-ZA"/>
        </w:rPr>
      </w:pPr>
    </w:p>
    <w:p w14:paraId="49C72F25" w14:textId="5305BE70" w:rsidR="00DB12B2" w:rsidRDefault="00DB12B2" w:rsidP="00A431F4">
      <w:pPr>
        <w:rPr>
          <w:b/>
          <w:bCs/>
          <w:sz w:val="48"/>
          <w:szCs w:val="48"/>
          <w:u w:val="single"/>
        </w:rPr>
        <w:sectPr w:rsidR="00DB12B2" w:rsidSect="00DB12B2">
          <w:type w:val="continuous"/>
          <w:pgSz w:w="11906" w:h="16838"/>
          <w:pgMar w:top="1440" w:right="1440" w:bottom="1440" w:left="1440" w:header="708" w:footer="708" w:gutter="0"/>
          <w:pgBorders w:offsetFrom="page">
            <w:top w:val="thickThinLargeGap" w:sz="24" w:space="24" w:color="auto"/>
            <w:left w:val="thickThinLargeGap" w:sz="24" w:space="24" w:color="auto"/>
            <w:bottom w:val="thickThinLargeGap" w:sz="24" w:space="24" w:color="auto"/>
            <w:right w:val="thickThinLargeGap" w:sz="24" w:space="24" w:color="auto"/>
          </w:pgBorders>
          <w:cols w:space="708"/>
          <w:docGrid w:linePitch="360"/>
        </w:sectPr>
      </w:pPr>
      <w:r>
        <w:rPr>
          <w:b/>
          <w:bCs/>
          <w:sz w:val="48"/>
          <w:szCs w:val="48"/>
          <w:u w:val="single"/>
        </w:rPr>
        <w:fldChar w:fldCharType="end"/>
      </w:r>
    </w:p>
    <w:p w14:paraId="6ADC64D9" w14:textId="41F12512" w:rsidR="002E2D3C" w:rsidRDefault="00A431F4" w:rsidP="00A431F4">
      <w:pPr>
        <w:pStyle w:val="Heading1"/>
        <w:rPr>
          <w:b/>
          <w:bCs/>
          <w:u w:val="single"/>
        </w:rPr>
      </w:pPr>
      <w:bookmarkStart w:id="2" w:name="_Toc218546887"/>
      <w:r w:rsidRPr="00A431F4">
        <w:rPr>
          <w:b/>
          <w:bCs/>
          <w:u w:val="single"/>
        </w:rPr>
        <w:lastRenderedPageBreak/>
        <w:t>Task 1</w:t>
      </w:r>
      <w:bookmarkEnd w:id="2"/>
    </w:p>
    <w:p w14:paraId="6F7E3422" w14:textId="7E909C2C" w:rsidR="00A872C7" w:rsidRPr="00A872C7" w:rsidRDefault="00A872C7" w:rsidP="00A872C7">
      <w:pPr>
        <w:rPr>
          <w:b/>
          <w:bCs/>
        </w:rPr>
      </w:pPr>
      <w:r w:rsidRPr="00A872C7">
        <w:rPr>
          <w:b/>
          <w:bCs/>
        </w:rPr>
        <w:t>Governance of AI and Machine Learning Systems: Managing risk, ethics, and compliance for AI data and models.</w:t>
      </w:r>
    </w:p>
    <w:p w14:paraId="53197E30" w14:textId="2CB346CF" w:rsidR="00D36E31" w:rsidRPr="00C05235" w:rsidRDefault="00D36E31" w:rsidP="00DA1586">
      <w:pPr>
        <w:pStyle w:val="Heading1"/>
      </w:pPr>
      <w:bookmarkStart w:id="3" w:name="_Toc218546888"/>
      <w:r w:rsidRPr="00C05235">
        <w:t>Introduction</w:t>
      </w:r>
      <w:bookmarkEnd w:id="3"/>
    </w:p>
    <w:p w14:paraId="140ACCA2" w14:textId="0204DF00" w:rsidR="00D36E31" w:rsidRPr="00AD1009" w:rsidRDefault="00D36E31" w:rsidP="00D36E31">
      <w:pPr>
        <w:rPr>
          <w:sz w:val="20"/>
          <w:szCs w:val="20"/>
        </w:rPr>
      </w:pPr>
      <w:r w:rsidRPr="00AD1009">
        <w:rPr>
          <w:sz w:val="20"/>
          <w:szCs w:val="20"/>
        </w:rPr>
        <w:t>Artificial Intelligence (AI) and Machine Learning (ML) are no longer futuristic concepts; they are now important to modern organizations</w:t>
      </w:r>
      <w:sdt>
        <w:sdtPr>
          <w:rPr>
            <w:rFonts w:ascii="Aptos" w:hAnsi="Aptos"/>
            <w:color w:val="000000"/>
            <w:sz w:val="20"/>
            <w:szCs w:val="20"/>
            <w:highlight w:val="white"/>
          </w:rPr>
          <w:alias w:val="Citation"/>
          <w:tag w:val="{&quot;referencesIds&quot;:[&quot;doc:6956b1d6736c595258227344&quot;],&quot;referencesOptions&quot;:{&quot;doc:6956b1d6736c5952582273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1150663,&quot;citationText&quot;:&quot;&lt;span style=\&quot;font-family:Aptos;font-size:16px;color:#000000\&quot;&gt;[1]&lt;/span&gt;&quot;}"/>
          <w:id w:val="1821150663"/>
          <w:placeholder>
            <w:docPart w:val="9CF6E3CC0E8446DBA777A118C16909BB"/>
          </w:placeholder>
        </w:sdtPr>
        <w:sdtContent>
          <w:r>
            <w:rPr>
              <w:rFonts w:ascii="Aptos" w:eastAsia="Times New Roman" w:hAnsi="Aptos"/>
              <w:color w:val="000000"/>
            </w:rPr>
            <w:t>[1]</w:t>
          </w:r>
        </w:sdtContent>
      </w:sdt>
      <w:r w:rsidRPr="00AD1009">
        <w:rPr>
          <w:sz w:val="20"/>
          <w:szCs w:val="20"/>
        </w:rPr>
        <w:t>. Banks use AI to detect fraud, hospitals use ML to accelerate diagnoses, schools analyse data to predict student performance, and transport systems increasingly rely on semi-autonomous technologies. AI shapes how decisions are made, how services are delivered, and how organizations compete.</w:t>
      </w:r>
    </w:p>
    <w:p w14:paraId="7D592A7B" w14:textId="404DD8E6" w:rsidR="00D36E31" w:rsidRPr="00345019" w:rsidRDefault="00D36E31" w:rsidP="00D36E31">
      <w:pPr>
        <w:rPr>
          <w:sz w:val="20"/>
          <w:szCs w:val="20"/>
        </w:rPr>
      </w:pPr>
      <w:r w:rsidRPr="00345019">
        <w:rPr>
          <w:sz w:val="20"/>
          <w:szCs w:val="20"/>
        </w:rPr>
        <w:t>The rapid adoption of AI has delivered significant benefits, including faster decision-making, increased efficiency, personalized services, and insights that would be impossible for humans to uncover alone</w:t>
      </w:r>
      <w:sdt>
        <w:sdtPr>
          <w:rPr>
            <w:rFonts w:ascii="Aptos" w:hAnsi="Aptos"/>
            <w:color w:val="000000"/>
            <w:sz w:val="20"/>
            <w:szCs w:val="20"/>
            <w:highlight w:val="white"/>
          </w:rPr>
          <w:alias w:val="Citation"/>
          <w:tag w:val="{&quot;referencesIds&quot;:[&quot;doc:6956b519ad4d4b6c15ca0e94&quot;],&quot;referencesOptions&quot;:{&quot;doc:6956b519ad4d4b6c15ca0e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4755177,&quot;citationText&quot;:&quot;&lt;span style=\&quot;font-family:Aptos;font-size:16px;color:#000000\&quot;&gt;[2]&lt;/span&gt;&quot;}"/>
          <w:id w:val="-1294755177"/>
          <w:placeholder>
            <w:docPart w:val="8E1F08817CF640F4B940FBCF5AD9E794"/>
          </w:placeholder>
        </w:sdtPr>
        <w:sdtContent>
          <w:r w:rsidRPr="00345019">
            <w:rPr>
              <w:rFonts w:ascii="Aptos" w:eastAsia="Times New Roman" w:hAnsi="Aptos"/>
              <w:color w:val="000000"/>
              <w:sz w:val="20"/>
              <w:szCs w:val="20"/>
            </w:rPr>
            <w:t>[2]</w:t>
          </w:r>
        </w:sdtContent>
      </w:sdt>
      <w:r w:rsidRPr="00345019">
        <w:rPr>
          <w:sz w:val="20"/>
          <w:szCs w:val="20"/>
        </w:rPr>
        <w:t>. However, these advantages are accompanied by serious risks. Unlike traditional software, AI systems do not operate solely on fixed rules; they learn from data, adapt over time, and may behave in unpredictable ways</w:t>
      </w:r>
      <w:sdt>
        <w:sdtPr>
          <w:rPr>
            <w:rFonts w:ascii="Aptos" w:hAnsi="Aptos"/>
            <w:color w:val="000000"/>
            <w:sz w:val="20"/>
            <w:szCs w:val="20"/>
            <w:highlight w:val="white"/>
          </w:rPr>
          <w:alias w:val="Citation"/>
          <w:tag w:val="{&quot;referencesIds&quot;:[&quot;doc:6956b52ae7d01521dcb94884&quot;],&quot;referencesOptions&quot;:{&quot;doc:6956b52ae7d01521dcb948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0229666,&quot;citationText&quot;:&quot;&lt;span style=\&quot;font-family:Aptos;font-size:16px;color:#000000\&quot;&gt;[3]&lt;/span&gt;&quot;}"/>
          <w:id w:val="-1450229666"/>
          <w:placeholder>
            <w:docPart w:val="4C8060F831344735952F09457BE6778C"/>
          </w:placeholder>
        </w:sdtPr>
        <w:sdtContent>
          <w:r w:rsidRPr="00345019">
            <w:rPr>
              <w:rFonts w:ascii="Aptos" w:eastAsia="Times New Roman" w:hAnsi="Aptos"/>
              <w:color w:val="000000"/>
              <w:sz w:val="20"/>
              <w:szCs w:val="20"/>
            </w:rPr>
            <w:t>[3]</w:t>
          </w:r>
        </w:sdtContent>
      </w:sdt>
      <w:r w:rsidRPr="00345019">
        <w:rPr>
          <w:sz w:val="20"/>
          <w:szCs w:val="20"/>
        </w:rPr>
        <w:t>.</w:t>
      </w:r>
    </w:p>
    <w:p w14:paraId="60BFA366" w14:textId="69D92C42" w:rsidR="00D36E31" w:rsidRPr="00345019" w:rsidRDefault="00D36E31" w:rsidP="00D36E31">
      <w:pPr>
        <w:rPr>
          <w:sz w:val="20"/>
          <w:szCs w:val="20"/>
        </w:rPr>
      </w:pPr>
      <w:r w:rsidRPr="00345019">
        <w:rPr>
          <w:sz w:val="20"/>
          <w:szCs w:val="20"/>
        </w:rPr>
        <w:t>As a result, AI systems can reinforce existing biases, compromise privacy, or be manipulated by malicious actors. When failures occur, their impact can scale rapidly, affecting thousands or even millions of individuals. Such incidents can lead to financial loss, legal consequences, physical harm, and long-term reputational damage</w:t>
      </w:r>
      <w:sdt>
        <w:sdtPr>
          <w:rPr>
            <w:rFonts w:ascii="Aptos" w:hAnsi="Aptos"/>
            <w:color w:val="000000"/>
            <w:sz w:val="20"/>
            <w:szCs w:val="20"/>
            <w:highlight w:val="white"/>
          </w:rPr>
          <w:alias w:val="Citation"/>
          <w:tag w:val="{&quot;referencesIds&quot;:[&quot;doc:6956b52ae7d01521dcb94884&quot;],&quot;referencesOptions&quot;:{&quot;doc:6956b52ae7d01521dcb948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7252301,&quot;citationText&quot;:&quot;&lt;span style=\&quot;font-family:Aptos;font-size:16px;color:#000000\&quot;&gt;[3]&lt;/span&gt;&quot;}"/>
          <w:id w:val="-597252301"/>
          <w:placeholder>
            <w:docPart w:val="C3410AD0A77F453D951BB0A7F7CD0FA2"/>
          </w:placeholder>
        </w:sdtPr>
        <w:sdtContent>
          <w:r w:rsidRPr="00345019">
            <w:rPr>
              <w:rFonts w:ascii="Aptos" w:eastAsia="Times New Roman" w:hAnsi="Aptos"/>
              <w:color w:val="000000"/>
              <w:sz w:val="20"/>
              <w:szCs w:val="20"/>
            </w:rPr>
            <w:t>[3]</w:t>
          </w:r>
        </w:sdtContent>
      </w:sdt>
      <w:r w:rsidRPr="00345019">
        <w:rPr>
          <w:sz w:val="20"/>
          <w:szCs w:val="20"/>
        </w:rPr>
        <w:t>.</w:t>
      </w:r>
    </w:p>
    <w:p w14:paraId="32EC5D7E" w14:textId="2C5C0044" w:rsidR="00D36E31" w:rsidRPr="00345019" w:rsidRDefault="00D36E31" w:rsidP="00D36E31">
      <w:pPr>
        <w:rPr>
          <w:sz w:val="20"/>
          <w:szCs w:val="20"/>
        </w:rPr>
      </w:pPr>
      <w:r w:rsidRPr="00345019">
        <w:rPr>
          <w:sz w:val="20"/>
          <w:szCs w:val="20"/>
        </w:rPr>
        <w:t xml:space="preserve">To address these challenges, organizations require robust AI governance. AI governance includes the policies, ethical principles, technical safeguards, and oversight mechanisms that ensure AI systems are trustworthy, secure, and compliant with legal and regulatory requirements. Effective governance enables organizations to use the </w:t>
      </w:r>
      <w:r w:rsidRPr="00345019">
        <w:rPr>
          <w:sz w:val="20"/>
          <w:szCs w:val="20"/>
        </w:rPr>
        <w:t>benefits of AI while maintaining accountability, transparency, and resilience</w:t>
      </w:r>
      <w:sdt>
        <w:sdtPr>
          <w:rPr>
            <w:rFonts w:ascii="Aptos" w:hAnsi="Aptos"/>
            <w:color w:val="000000"/>
            <w:sz w:val="20"/>
            <w:szCs w:val="20"/>
            <w:highlight w:val="white"/>
          </w:rPr>
          <w:alias w:val="Citation"/>
          <w:tag w:val="{&quot;referencesIds&quot;:[&quot;doc:6956b629ad4d4b6c15ca0e9d&quot;],&quot;referencesOptions&quot;:{&quot;doc:6956b629ad4d4b6c15ca0e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026358,&quot;citationText&quot;:&quot;&lt;span style=\&quot;font-family:Aptos;font-size:16px;color:#000000\&quot;&gt;[4]&lt;/span&gt;&quot;}"/>
          <w:id w:val="147026358"/>
          <w:placeholder>
            <w:docPart w:val="73795167A2664AD48E62CC0DEEFE95E5"/>
          </w:placeholder>
        </w:sdtPr>
        <w:sdtContent>
          <w:r w:rsidRPr="00345019">
            <w:rPr>
              <w:rFonts w:ascii="Aptos" w:eastAsia="Times New Roman" w:hAnsi="Aptos"/>
              <w:color w:val="000000"/>
              <w:sz w:val="20"/>
              <w:szCs w:val="20"/>
            </w:rPr>
            <w:t>[4]</w:t>
          </w:r>
        </w:sdtContent>
      </w:sdt>
      <w:r w:rsidRPr="00345019">
        <w:rPr>
          <w:sz w:val="20"/>
          <w:szCs w:val="20"/>
        </w:rPr>
        <w:t>.</w:t>
      </w:r>
    </w:p>
    <w:p w14:paraId="30CB71A8" w14:textId="77777777" w:rsidR="00D36E31" w:rsidRPr="00AD1009" w:rsidRDefault="00D36E31" w:rsidP="00D36E31">
      <w:pPr>
        <w:rPr>
          <w:sz w:val="20"/>
          <w:szCs w:val="20"/>
        </w:rPr>
      </w:pPr>
      <w:r w:rsidRPr="00AD1009">
        <w:rPr>
          <w:sz w:val="20"/>
          <w:szCs w:val="20"/>
        </w:rPr>
        <w:t>This paper examines how organizations can implement AI governance frameworks that anticipate risks, protect AI systems throughout their lifecycle, detect issues in real time, and respond effectively to incidents. Through analysis and real-world examples, it demonstrates how strong governance is essential for managing risk, ensuring ethical use, and maintaining trust in an increasingly AI-driven world.</w:t>
      </w:r>
    </w:p>
    <w:p w14:paraId="07D40D6E" w14:textId="77777777" w:rsidR="00D36E31" w:rsidRPr="00AD1009" w:rsidRDefault="00D36E31" w:rsidP="00DA1586">
      <w:pPr>
        <w:pStyle w:val="Heading1"/>
      </w:pPr>
      <w:bookmarkStart w:id="4" w:name="_Toc218546889"/>
      <w:r w:rsidRPr="00AD1009">
        <w:t>Why AI Governance Is Important</w:t>
      </w:r>
      <w:bookmarkEnd w:id="4"/>
    </w:p>
    <w:p w14:paraId="6D13EECE" w14:textId="77777777" w:rsidR="00D36E31" w:rsidRPr="00AD1009" w:rsidRDefault="00D36E31" w:rsidP="00DA1586">
      <w:pPr>
        <w:pStyle w:val="Heading2"/>
      </w:pPr>
      <w:bookmarkStart w:id="5" w:name="_Toc218546890"/>
      <w:r w:rsidRPr="00AD1009">
        <w:t>AI as a High-Impact but High-Risk Technology</w:t>
      </w:r>
      <w:bookmarkEnd w:id="5"/>
    </w:p>
    <w:p w14:paraId="30BD375E" w14:textId="35D48676" w:rsidR="00D36E31" w:rsidRPr="00345019" w:rsidRDefault="00D36E31" w:rsidP="00D36E31">
      <w:pPr>
        <w:rPr>
          <w:sz w:val="20"/>
          <w:szCs w:val="20"/>
        </w:rPr>
      </w:pPr>
      <w:r w:rsidRPr="00AD1009">
        <w:rPr>
          <w:sz w:val="20"/>
          <w:szCs w:val="20"/>
        </w:rPr>
        <w:t xml:space="preserve">AI systems are being used more often in </w:t>
      </w:r>
      <w:r w:rsidRPr="00345019">
        <w:rPr>
          <w:sz w:val="20"/>
          <w:szCs w:val="20"/>
        </w:rPr>
        <w:t>decision-making processes that directly affect individuals and society</w:t>
      </w:r>
      <w:sdt>
        <w:sdtPr>
          <w:rPr>
            <w:rFonts w:ascii="Aptos" w:hAnsi="Aptos"/>
            <w:color w:val="000000"/>
            <w:sz w:val="20"/>
            <w:szCs w:val="20"/>
            <w:highlight w:val="white"/>
          </w:rPr>
          <w:alias w:val="Citation"/>
          <w:tag w:val="{&quot;referencesIds&quot;:[&quot;doc:6957918201559f087b3f3cb8&quot;],&quot;referencesOptions&quot;:{&quot;doc:6957918201559f087b3f3c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4948473,&quot;citationText&quot;:&quot;&lt;span style=\&quot;font-family:Aptos;font-size:16px;color:#000000\&quot;&gt;[5]&lt;/span&gt;&quot;}"/>
          <w:id w:val="1084948473"/>
          <w:placeholder>
            <w:docPart w:val="B225DB1045204EE9887811B4265E6650"/>
          </w:placeholder>
        </w:sdtPr>
        <w:sdtContent>
          <w:r w:rsidRPr="00345019">
            <w:rPr>
              <w:rFonts w:ascii="Aptos" w:eastAsia="Times New Roman" w:hAnsi="Aptos"/>
              <w:color w:val="000000"/>
              <w:sz w:val="20"/>
              <w:szCs w:val="20"/>
            </w:rPr>
            <w:t>[5]</w:t>
          </w:r>
        </w:sdtContent>
      </w:sdt>
      <w:r w:rsidRPr="00345019">
        <w:rPr>
          <w:sz w:val="20"/>
          <w:szCs w:val="20"/>
        </w:rPr>
        <w:t>. Their ability to process vast datasets, identify complex patterns, and operate at scale allows organizations to reduce costs, increase efficiency, and gain competitive advantage. However, as AI moves from decision support to decision automation, the risks associated with errors, bias, and misuse increase significantly. Without structured governance, these systems are often deployed with insufficient validation, oversight, or ethical review, increasing the likelihood of harmful outcomes</w:t>
      </w:r>
      <w:sdt>
        <w:sdtPr>
          <w:rPr>
            <w:rFonts w:ascii="Aptos" w:hAnsi="Aptos"/>
            <w:color w:val="000000"/>
            <w:sz w:val="20"/>
            <w:szCs w:val="20"/>
            <w:highlight w:val="white"/>
          </w:rPr>
          <w:alias w:val="Citation"/>
          <w:tag w:val="{&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5256009,&quot;citationText&quot;:&quot;&lt;span style=\&quot;font-family:Aptos;font-size:16px;color:#000000\&quot;&gt;[6]&lt;/span&gt;&quot;}"/>
          <w:id w:val="-1925256009"/>
          <w:placeholder>
            <w:docPart w:val="1863F90EC7A84B129641C3025E1F01E0"/>
          </w:placeholder>
        </w:sdtPr>
        <w:sdtContent>
          <w:r w:rsidRPr="00345019">
            <w:rPr>
              <w:rFonts w:ascii="Aptos" w:eastAsia="Times New Roman" w:hAnsi="Aptos"/>
              <w:color w:val="000000"/>
              <w:sz w:val="20"/>
              <w:szCs w:val="20"/>
            </w:rPr>
            <w:t>[6]</w:t>
          </w:r>
        </w:sdtContent>
      </w:sdt>
      <w:r w:rsidRPr="00345019">
        <w:rPr>
          <w:sz w:val="20"/>
          <w:szCs w:val="20"/>
        </w:rPr>
        <w:t>.</w:t>
      </w:r>
    </w:p>
    <w:p w14:paraId="6601E597" w14:textId="2FCDD2E4" w:rsidR="00D36E31" w:rsidRPr="00345019" w:rsidRDefault="00D36E31" w:rsidP="00D36E31">
      <w:pPr>
        <w:rPr>
          <w:sz w:val="20"/>
          <w:szCs w:val="20"/>
        </w:rPr>
      </w:pPr>
      <w:r w:rsidRPr="00345019">
        <w:rPr>
          <w:sz w:val="20"/>
          <w:szCs w:val="20"/>
        </w:rPr>
        <w:t>Unlike traditional software systems, AI models can produce outcomes that are difficult to predict or explain, particularly in the case of complex machine learning and deep learning models. These systems may influence critical outcomes such as credit approval, employment screening, medical diagnosis, or criminal risk assessment. When such systems produce biased, inaccurate, or unclear decisions, the consequences can include discrimination, financial loss, physical harm, and violations of fundamental rights</w:t>
      </w:r>
      <w:sdt>
        <w:sdtPr>
          <w:rPr>
            <w:rFonts w:ascii="Aptos" w:hAnsi="Aptos"/>
            <w:color w:val="000000"/>
            <w:sz w:val="20"/>
            <w:szCs w:val="20"/>
            <w:highlight w:val="white"/>
          </w:rPr>
          <w:alias w:val="Citation"/>
          <w:tag w:val="{&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878132,&quot;citationText&quot;:&quot;&lt;span style=\&quot;font-family:Aptos;font-size:16px;color:#000000\&quot;&gt;[6]&lt;/span&gt;&quot;}"/>
          <w:id w:val="113878132"/>
          <w:placeholder>
            <w:docPart w:val="8EBCB64485E24E8CA9DB4E7E9C9D626C"/>
          </w:placeholder>
        </w:sdtPr>
        <w:sdtContent>
          <w:r w:rsidRPr="00345019">
            <w:rPr>
              <w:rFonts w:ascii="Aptos" w:eastAsia="Times New Roman" w:hAnsi="Aptos"/>
              <w:color w:val="000000"/>
              <w:sz w:val="20"/>
              <w:szCs w:val="20"/>
            </w:rPr>
            <w:t>[6]</w:t>
          </w:r>
        </w:sdtContent>
      </w:sdt>
      <w:r w:rsidRPr="00345019">
        <w:rPr>
          <w:sz w:val="20"/>
          <w:szCs w:val="20"/>
        </w:rPr>
        <w:t xml:space="preserve">. Because AI systems </w:t>
      </w:r>
      <w:r w:rsidRPr="00345019">
        <w:rPr>
          <w:sz w:val="20"/>
          <w:szCs w:val="20"/>
        </w:rPr>
        <w:lastRenderedPageBreak/>
        <w:t>operate at scale, a single flawed model can cause widespread harm in a very short time.</w:t>
      </w:r>
    </w:p>
    <w:p w14:paraId="17C80E65" w14:textId="693A546A" w:rsidR="00D36E31" w:rsidRPr="00AD1009" w:rsidRDefault="00D36E31" w:rsidP="00A431F4">
      <w:pPr>
        <w:rPr>
          <w:sz w:val="20"/>
          <w:szCs w:val="20"/>
        </w:rPr>
      </w:pPr>
      <w:r w:rsidRPr="00AD1009">
        <w:rPr>
          <w:sz w:val="20"/>
          <w:szCs w:val="20"/>
        </w:rPr>
        <w:t>The lack of clarity of many AI models further complicates accountability. When decision logic cannot be clearly explained, it becomes difficult to challenge outcomes, assign responsibility, or demonstrate compliance</w:t>
      </w:r>
      <w:sdt>
        <w:sdtPr>
          <w:rPr>
            <w:rFonts w:ascii="Aptos" w:hAnsi="Aptos"/>
            <w:color w:val="000000"/>
            <w:sz w:val="20"/>
            <w:szCs w:val="20"/>
            <w:highlight w:val="white"/>
          </w:rPr>
          <w:alias w:val="Citation"/>
          <w:tag w:val="{&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873148,&quot;citationText&quot;:&quot;&lt;span style=\&quot;font-family:Aptos;font-size:16px;color:#000000\&quot;&gt;[6]&lt;/span&gt;&quot;}"/>
          <w:id w:val="147873148"/>
          <w:placeholder>
            <w:docPart w:val="54A9FB8B367147E8B23F3EBDCACB25BB"/>
          </w:placeholder>
        </w:sdtPr>
        <w:sdtContent>
          <w:r>
            <w:rPr>
              <w:rFonts w:ascii="Aptos" w:eastAsia="Times New Roman" w:hAnsi="Aptos"/>
              <w:color w:val="000000"/>
            </w:rPr>
            <w:t>[6]</w:t>
          </w:r>
        </w:sdtContent>
      </w:sdt>
      <w:r w:rsidRPr="00AD1009">
        <w:rPr>
          <w:sz w:val="20"/>
          <w:szCs w:val="20"/>
        </w:rPr>
        <w:t xml:space="preserve">. This creates risks not only for affected individuals but also for organizations that deploy these systems without adequate oversight. </w:t>
      </w:r>
    </w:p>
    <w:p w14:paraId="70DCEC04" w14:textId="77777777" w:rsidR="00D36E31" w:rsidRPr="00AD1009" w:rsidRDefault="00D36E31" w:rsidP="00DA1586">
      <w:pPr>
        <w:pStyle w:val="Heading2"/>
      </w:pPr>
      <w:bookmarkStart w:id="6" w:name="_Toc218546891"/>
      <w:r w:rsidRPr="00AD1009">
        <w:t>Legal and Ethical Responsibilities</w:t>
      </w:r>
      <w:bookmarkEnd w:id="6"/>
    </w:p>
    <w:p w14:paraId="66573F8D" w14:textId="29B3F9A3" w:rsidR="00D36E31" w:rsidRPr="00345019" w:rsidRDefault="00D36E31" w:rsidP="00D36E31">
      <w:pPr>
        <w:rPr>
          <w:sz w:val="20"/>
          <w:szCs w:val="20"/>
        </w:rPr>
      </w:pPr>
      <w:r w:rsidRPr="00AD1009">
        <w:rPr>
          <w:sz w:val="20"/>
          <w:szCs w:val="20"/>
        </w:rPr>
        <w:t xml:space="preserve">In response to these risks, regulators are introducing detailed AI-specific laws. The European Union’s AI Act adopts a risk-based framework that imposes strict requirements on high-risk AI systems, including obligations related to data quality, </w:t>
      </w:r>
      <w:r w:rsidRPr="00345019">
        <w:rPr>
          <w:sz w:val="20"/>
          <w:szCs w:val="20"/>
        </w:rPr>
        <w:t>transparency, human oversight, and ongoing risk management</w:t>
      </w:r>
      <w:sdt>
        <w:sdtPr>
          <w:rPr>
            <w:rFonts w:ascii="Aptos" w:hAnsi="Aptos"/>
            <w:color w:val="000000"/>
            <w:sz w:val="20"/>
            <w:szCs w:val="20"/>
            <w:highlight w:val="white"/>
          </w:rPr>
          <w:alias w:val="Citation"/>
          <w:tag w:val="{&quot;referencesIds&quot;:[&quot;doc:6957918201559f087b3f3cb8&quot;],&quot;referencesOptions&quot;:{&quot;doc:6957918201559f087b3f3c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7436133,&quot;citationText&quot;:&quot;&lt;span style=\&quot;font-family:Aptos;font-size:16px;color:#000000\&quot;&gt;[5]&lt;/span&gt;&quot;}"/>
          <w:id w:val="-1757436133"/>
          <w:placeholder>
            <w:docPart w:val="8577F5477985437680CE7390F076202E"/>
          </w:placeholder>
        </w:sdtPr>
        <w:sdtContent>
          <w:r w:rsidRPr="00345019">
            <w:rPr>
              <w:rFonts w:ascii="Aptos" w:eastAsia="Times New Roman" w:hAnsi="Aptos"/>
              <w:color w:val="000000"/>
              <w:sz w:val="20"/>
              <w:szCs w:val="20"/>
            </w:rPr>
            <w:t>[5]</w:t>
          </w:r>
        </w:sdtContent>
      </w:sdt>
      <w:r w:rsidRPr="00345019">
        <w:rPr>
          <w:sz w:val="20"/>
          <w:szCs w:val="20"/>
        </w:rPr>
        <w:t>. Similar regulatory approaches are emerging in the UK, the United States, and other countries, signalling a global shift toward stricter AI accountability. However, regulatory requirements vary widely across countries, making compliance more difficult for multinational organizations and increasing the likelihood of uneven governance practices.</w:t>
      </w:r>
    </w:p>
    <w:p w14:paraId="3C2DE5DB" w14:textId="7EDF2D83" w:rsidR="00D36E31" w:rsidRPr="00345019" w:rsidRDefault="00D36E31" w:rsidP="00D36E31">
      <w:pPr>
        <w:rPr>
          <w:sz w:val="20"/>
          <w:szCs w:val="20"/>
        </w:rPr>
      </w:pPr>
      <w:r w:rsidRPr="00345019">
        <w:rPr>
          <w:sz w:val="20"/>
          <w:szCs w:val="20"/>
        </w:rPr>
        <w:t>Failure to comply with these regulations can result in substantial financial penalties, operational restrictions, and reputational damage</w:t>
      </w:r>
      <w:sdt>
        <w:sdtPr>
          <w:rPr>
            <w:rFonts w:ascii="Aptos" w:hAnsi="Aptos"/>
            <w:color w:val="000000"/>
            <w:sz w:val="20"/>
            <w:szCs w:val="20"/>
            <w:highlight w:val="white"/>
          </w:rPr>
          <w:alias w:val="Citation"/>
          <w:tag w:val="{&quot;referencesIds&quot;:[&quot;doc:6957918201559f087b3f3cb8&quot;],&quot;referencesOptions&quot;:{&quot;doc:6957918201559f087b3f3c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5514971,&quot;citationText&quot;:&quot;&lt;span style=\&quot;font-family:Aptos;font-size:16px;color:#000000\&quot;&gt;[5]&lt;/span&gt;&quot;}"/>
          <w:id w:val="985514971"/>
          <w:placeholder>
            <w:docPart w:val="62D8C6CB1C1F4F9EA91820674AFE7555"/>
          </w:placeholder>
        </w:sdtPr>
        <w:sdtContent>
          <w:r w:rsidRPr="00345019">
            <w:rPr>
              <w:rFonts w:ascii="Aptos" w:eastAsia="Times New Roman" w:hAnsi="Aptos"/>
              <w:color w:val="000000"/>
              <w:sz w:val="20"/>
              <w:szCs w:val="20"/>
            </w:rPr>
            <w:t>[5]</w:t>
          </w:r>
        </w:sdtContent>
      </w:sdt>
      <w:r w:rsidRPr="00345019">
        <w:rPr>
          <w:sz w:val="20"/>
          <w:szCs w:val="20"/>
        </w:rPr>
        <w:t>. However, legal compliance alone is insufficient. Organizations are increasingly expected to demonstrate ethical responsibility by ensuring fairness, transparency, privacy protection, and harm prevention. Public trust in AI systems depends not only on legality but on perceived legitimacy and accountability</w:t>
      </w:r>
      <w:sdt>
        <w:sdtPr>
          <w:rPr>
            <w:rFonts w:ascii="Aptos" w:hAnsi="Aptos"/>
            <w:color w:val="000000"/>
            <w:sz w:val="20"/>
            <w:szCs w:val="20"/>
            <w:highlight w:val="white"/>
          </w:rPr>
          <w:alias w:val="Citation"/>
          <w:tag w:val="{&quot;referencesIds&quot;:[&quot;doc:6957918201559f087b3f3cb8&quot;],&quot;referencesOptions&quot;:{&quot;doc:6957918201559f087b3f3c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5459243,&quot;citationText&quot;:&quot;&lt;span style=\&quot;font-family:Aptos;font-size:16px;color:#000000\&quot;&gt;[5]&lt;/span&gt;&quot;}"/>
          <w:id w:val="2035459243"/>
          <w:placeholder>
            <w:docPart w:val="6DE650BEACA946C481389FB104A4119C"/>
          </w:placeholder>
        </w:sdtPr>
        <w:sdtContent>
          <w:r w:rsidRPr="00345019">
            <w:rPr>
              <w:rFonts w:ascii="Aptos" w:eastAsia="Times New Roman" w:hAnsi="Aptos"/>
              <w:color w:val="000000"/>
              <w:sz w:val="20"/>
              <w:szCs w:val="20"/>
            </w:rPr>
            <w:t>[5]</w:t>
          </w:r>
        </w:sdtContent>
      </w:sdt>
      <w:r w:rsidRPr="00345019">
        <w:rPr>
          <w:sz w:val="20"/>
          <w:szCs w:val="20"/>
        </w:rPr>
        <w:t>.</w:t>
      </w:r>
    </w:p>
    <w:p w14:paraId="47D7D009" w14:textId="3E030DC9" w:rsidR="00D36E31" w:rsidRPr="00AD1009" w:rsidRDefault="00D36E31" w:rsidP="00D36E31">
      <w:pPr>
        <w:rPr>
          <w:sz w:val="20"/>
          <w:szCs w:val="20"/>
        </w:rPr>
      </w:pPr>
      <w:r w:rsidRPr="00AD1009">
        <w:rPr>
          <w:sz w:val="20"/>
          <w:szCs w:val="20"/>
        </w:rPr>
        <w:t xml:space="preserve">AI governance provides the mechanisms through which these legal and ethical requirements can be put into practice. By embedding responsibility into model development, deployment, and monitoring processes, governance frameworks ensure that ethical </w:t>
      </w:r>
      <w:r w:rsidRPr="00345019">
        <w:rPr>
          <w:sz w:val="20"/>
          <w:szCs w:val="20"/>
        </w:rPr>
        <w:t xml:space="preserve">principles are translated into </w:t>
      </w:r>
      <w:r w:rsidRPr="00345019">
        <w:rPr>
          <w:sz w:val="20"/>
          <w:szCs w:val="20"/>
        </w:rPr>
        <w:t>enforceable practices rather than aspirational statements</w:t>
      </w:r>
      <w:sdt>
        <w:sdtPr>
          <w:rPr>
            <w:rFonts w:ascii="Aptos" w:hAnsi="Aptos"/>
            <w:color w:val="000000"/>
            <w:sz w:val="20"/>
            <w:szCs w:val="20"/>
            <w:highlight w:val="white"/>
          </w:rPr>
          <w:alias w:val="Citation"/>
          <w:tag w:val="{&quot;referencesIds&quot;:[&quot;doc:6957918201559f087b3f3cb8&quot;],&quot;referencesOptions&quot;:{&quot;doc:6957918201559f087b3f3c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7479201,&quot;citationText&quot;:&quot;&lt;span style=\&quot;font-family:Aptos;font-size:16px;color:#000000\&quot;&gt;[5]&lt;/span&gt;&quot;}"/>
          <w:id w:val="-737479201"/>
          <w:placeholder>
            <w:docPart w:val="D07BB1F306714C77B3017F47707C6EF7"/>
          </w:placeholder>
        </w:sdtPr>
        <w:sdtContent>
          <w:r w:rsidRPr="00345019">
            <w:rPr>
              <w:rFonts w:ascii="Aptos" w:eastAsia="Times New Roman" w:hAnsi="Aptos"/>
              <w:color w:val="000000"/>
              <w:sz w:val="20"/>
              <w:szCs w:val="20"/>
            </w:rPr>
            <w:t>[5]</w:t>
          </w:r>
        </w:sdtContent>
      </w:sdt>
      <w:r w:rsidRPr="00345019">
        <w:rPr>
          <w:sz w:val="20"/>
          <w:szCs w:val="20"/>
        </w:rPr>
        <w:t>.</w:t>
      </w:r>
    </w:p>
    <w:p w14:paraId="3D54BC11" w14:textId="77777777" w:rsidR="00D36E31" w:rsidRPr="00AD1009" w:rsidRDefault="00D36E31" w:rsidP="00DA1586">
      <w:pPr>
        <w:pStyle w:val="Heading2"/>
      </w:pPr>
      <w:bookmarkStart w:id="7" w:name="_Toc218546892"/>
      <w:r w:rsidRPr="00AD1009">
        <w:t>Governance as Protection and Enablement</w:t>
      </w:r>
      <w:bookmarkEnd w:id="7"/>
    </w:p>
    <w:p w14:paraId="76BFA6FF" w14:textId="11CA55D3" w:rsidR="00D36E31" w:rsidRPr="00345019" w:rsidRDefault="00D36E31" w:rsidP="00D36E31">
      <w:pPr>
        <w:rPr>
          <w:sz w:val="20"/>
          <w:szCs w:val="20"/>
        </w:rPr>
      </w:pPr>
      <w:r w:rsidRPr="00AD1009">
        <w:rPr>
          <w:sz w:val="20"/>
          <w:szCs w:val="20"/>
        </w:rPr>
        <w:t xml:space="preserve">Effective AI governance acts as both a protective and enabling force. It protects individuals by reducing the likelihood of unfair or harmful outcomes, and it protects organizations by mitigating legal, financial, and operational risks. Governance frameworks establish clear roles, decision rights, and escalation paths, enabling </w:t>
      </w:r>
      <w:r w:rsidRPr="00345019">
        <w:rPr>
          <w:sz w:val="20"/>
          <w:szCs w:val="20"/>
        </w:rPr>
        <w:t>faster and more effective responses to incidents when failures occur</w:t>
      </w:r>
      <w:sdt>
        <w:sdtPr>
          <w:rPr>
            <w:rFonts w:ascii="Aptos" w:hAnsi="Aptos"/>
            <w:color w:val="000000"/>
            <w:sz w:val="20"/>
            <w:szCs w:val="20"/>
            <w:highlight w:val="white"/>
          </w:rPr>
          <w:alias w:val="Citation"/>
          <w:tag w:val="{&quot;referencesIds&quot;:[&quot;doc:6956b629ad4d4b6c15ca0e9d&quot;],&quot;referencesOptions&quot;:{&quot;doc:6956b629ad4d4b6c15ca0e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5167545,&quot;citationText&quot;:&quot;&lt;span style=\&quot;font-family:Aptos;font-size:16px;color:#000000\&quot;&gt;[4]&lt;/span&gt;&quot;}"/>
          <w:id w:val="395167545"/>
          <w:placeholder>
            <w:docPart w:val="AAC491237E4C43A2AC936A9C112C07C2"/>
          </w:placeholder>
        </w:sdtPr>
        <w:sdtContent>
          <w:r w:rsidRPr="00345019">
            <w:rPr>
              <w:rFonts w:ascii="Aptos" w:eastAsia="Times New Roman" w:hAnsi="Aptos"/>
              <w:color w:val="000000"/>
              <w:sz w:val="20"/>
              <w:szCs w:val="20"/>
            </w:rPr>
            <w:t>[4]</w:t>
          </w:r>
        </w:sdtContent>
      </w:sdt>
      <w:r w:rsidRPr="00345019">
        <w:rPr>
          <w:sz w:val="20"/>
          <w:szCs w:val="20"/>
        </w:rPr>
        <w:t>.</w:t>
      </w:r>
    </w:p>
    <w:p w14:paraId="31768823" w14:textId="05588581" w:rsidR="00D36E31" w:rsidRPr="00345019" w:rsidRDefault="00D36E31" w:rsidP="00D36E31">
      <w:pPr>
        <w:rPr>
          <w:sz w:val="20"/>
          <w:szCs w:val="20"/>
        </w:rPr>
      </w:pPr>
      <w:r w:rsidRPr="00345019">
        <w:rPr>
          <w:sz w:val="20"/>
          <w:szCs w:val="20"/>
        </w:rPr>
        <w:t>Crucially, strong governance does not inhibit innovation. Instead, it provides the clarity and confidence required to deploy AI systems responsibly at scale. Organizations with mature governance structures are better positioned to innovate safely, adapt to regulatory change, and maintain trust with customers, employees, and regulators</w:t>
      </w:r>
      <w:sdt>
        <w:sdtPr>
          <w:rPr>
            <w:rFonts w:ascii="Aptos" w:hAnsi="Aptos"/>
            <w:color w:val="000000"/>
            <w:sz w:val="20"/>
            <w:szCs w:val="20"/>
            <w:highlight w:val="white"/>
          </w:rPr>
          <w:alias w:val="Citation"/>
          <w:tag w:val="{&quot;referencesIds&quot;:[&quot;doc:6956b629ad4d4b6c15ca0e9d&quot;],&quot;referencesOptions&quot;:{&quot;doc:6956b629ad4d4b6c15ca0e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8778471,&quot;citationText&quot;:&quot;&lt;span style=\&quot;font-family:Aptos;font-size:16px;color:#000000\&quot;&gt;[4]&lt;/span&gt;&quot;}"/>
          <w:id w:val="-1668778471"/>
          <w:placeholder>
            <w:docPart w:val="503B7BB1A3D14750A27F54DE05467653"/>
          </w:placeholder>
        </w:sdtPr>
        <w:sdtContent>
          <w:r w:rsidRPr="00345019">
            <w:rPr>
              <w:rFonts w:ascii="Aptos" w:eastAsia="Times New Roman" w:hAnsi="Aptos"/>
              <w:color w:val="000000"/>
              <w:sz w:val="20"/>
              <w:szCs w:val="20"/>
            </w:rPr>
            <w:t>[4]</w:t>
          </w:r>
        </w:sdtContent>
      </w:sdt>
      <w:r w:rsidRPr="00345019">
        <w:rPr>
          <w:sz w:val="20"/>
          <w:szCs w:val="20"/>
        </w:rPr>
        <w:t>.</w:t>
      </w:r>
    </w:p>
    <w:p w14:paraId="4794CAF9" w14:textId="77777777" w:rsidR="00A77734" w:rsidRDefault="0016333E" w:rsidP="00A77734">
      <w:pPr>
        <w:keepNext/>
      </w:pPr>
      <w:r w:rsidRPr="0016333E">
        <w:rPr>
          <w:noProof/>
          <w:sz w:val="20"/>
          <w:szCs w:val="20"/>
        </w:rPr>
        <w:drawing>
          <wp:inline distT="0" distB="0" distL="0" distR="0" wp14:anchorId="07D83E4B" wp14:editId="2CCA9191">
            <wp:extent cx="2640965" cy="1172210"/>
            <wp:effectExtent l="0" t="0" r="6985" b="8890"/>
            <wp:docPr id="220252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252125" name=""/>
                    <pic:cNvPicPr/>
                  </pic:nvPicPr>
                  <pic:blipFill>
                    <a:blip r:embed="rId10"/>
                    <a:stretch>
                      <a:fillRect/>
                    </a:stretch>
                  </pic:blipFill>
                  <pic:spPr>
                    <a:xfrm>
                      <a:off x="0" y="0"/>
                      <a:ext cx="2640965" cy="1172210"/>
                    </a:xfrm>
                    <a:prstGeom prst="rect">
                      <a:avLst/>
                    </a:prstGeom>
                  </pic:spPr>
                </pic:pic>
              </a:graphicData>
            </a:graphic>
          </wp:inline>
        </w:drawing>
      </w:r>
    </w:p>
    <w:p w14:paraId="7B950FCB" w14:textId="428F1156" w:rsidR="0016333E" w:rsidRDefault="00A77734" w:rsidP="00A77734">
      <w:pPr>
        <w:pStyle w:val="Caption"/>
        <w:rPr>
          <w:sz w:val="20"/>
          <w:szCs w:val="20"/>
        </w:rPr>
      </w:pPr>
      <w:bookmarkStart w:id="8" w:name="_Toc218509217"/>
      <w:r>
        <w:t xml:space="preserve">Figure </w:t>
      </w:r>
      <w:fldSimple w:instr=" SEQ Figure \* ARABIC ">
        <w:r w:rsidR="00A431F4">
          <w:rPr>
            <w:noProof/>
          </w:rPr>
          <w:t>1</w:t>
        </w:r>
      </w:fldSimple>
      <w:r w:rsidR="00F82DC3">
        <w:rPr>
          <w:noProof/>
        </w:rPr>
        <w:t>: AI Governance as a balancing mechanism</w:t>
      </w:r>
      <w:bookmarkEnd w:id="8"/>
    </w:p>
    <w:p w14:paraId="1D4608CC" w14:textId="1BEEE56F" w:rsidR="0016333E" w:rsidRPr="0016333E" w:rsidRDefault="0016333E" w:rsidP="0016333E">
      <w:pPr>
        <w:rPr>
          <w:sz w:val="20"/>
          <w:szCs w:val="20"/>
        </w:rPr>
      </w:pPr>
      <w:r w:rsidRPr="0016333E">
        <w:rPr>
          <w:sz w:val="20"/>
          <w:szCs w:val="20"/>
        </w:rPr>
        <w:t>Figure 1 illustrates how AI governance functions as a balancing mechanism between the benefits of AI adoption and the associated ethical, legal, and operational risks. It shows governance as an enabling control that allows organisations to realise efficiency, innovation, and improved decision-making while mitigating risks such as bias, privacy loss, and security threats.</w:t>
      </w:r>
    </w:p>
    <w:p w14:paraId="2B51782A" w14:textId="02C6BCCF" w:rsidR="00D36E31" w:rsidRPr="00AD1009" w:rsidRDefault="00D36E31" w:rsidP="00DA1586">
      <w:pPr>
        <w:pStyle w:val="Heading1"/>
      </w:pPr>
      <w:bookmarkStart w:id="9" w:name="_Toc218546893"/>
      <w:r w:rsidRPr="00AD1009">
        <w:t>Anticipating Risks in AI Systems</w:t>
      </w:r>
      <w:bookmarkEnd w:id="9"/>
    </w:p>
    <w:p w14:paraId="6F7BA7BD" w14:textId="77777777" w:rsidR="00D36E31" w:rsidRPr="00AD1009" w:rsidRDefault="00D36E31" w:rsidP="00D36E31">
      <w:pPr>
        <w:rPr>
          <w:sz w:val="20"/>
          <w:szCs w:val="20"/>
        </w:rPr>
      </w:pPr>
      <w:r w:rsidRPr="00AD1009">
        <w:rPr>
          <w:sz w:val="20"/>
          <w:szCs w:val="20"/>
        </w:rPr>
        <w:t xml:space="preserve">Anticipating risk is a foundational element of AI governance. It involves identifying, assessing, </w:t>
      </w:r>
      <w:r w:rsidRPr="00AD1009">
        <w:rPr>
          <w:sz w:val="20"/>
          <w:szCs w:val="20"/>
        </w:rPr>
        <w:lastRenderedPageBreak/>
        <w:t xml:space="preserve">and mitigating potential harms </w:t>
      </w:r>
      <w:r w:rsidRPr="00AD1009">
        <w:rPr>
          <w:i/>
          <w:iCs/>
          <w:sz w:val="20"/>
          <w:szCs w:val="20"/>
        </w:rPr>
        <w:t>before</w:t>
      </w:r>
      <w:r w:rsidRPr="00AD1009">
        <w:rPr>
          <w:sz w:val="20"/>
          <w:szCs w:val="20"/>
        </w:rPr>
        <w:t xml:space="preserve"> an AI system is deployed into real-world environments. This stage is critical because many AI-related harms such as discriminatory outcomes, loss of privacy, or erosion of trust are difficult or impossible to reverse once systems are operational and embedded in organisational processes.</w:t>
      </w:r>
    </w:p>
    <w:p w14:paraId="75DEFE9C" w14:textId="77777777" w:rsidR="00D36E31" w:rsidRPr="00AD1009" w:rsidRDefault="00D36E31" w:rsidP="00DA1586">
      <w:pPr>
        <w:pStyle w:val="Heading2"/>
      </w:pPr>
      <w:bookmarkStart w:id="10" w:name="_Toc218546894"/>
      <w:r w:rsidRPr="00AD1009">
        <w:t>Risk Assessment Before Development</w:t>
      </w:r>
      <w:bookmarkEnd w:id="10"/>
    </w:p>
    <w:p w14:paraId="06DA97BE" w14:textId="084F6210" w:rsidR="00D36E31" w:rsidRPr="00A431F4" w:rsidRDefault="00D36E31" w:rsidP="00D36E31">
      <w:pPr>
        <w:rPr>
          <w:sz w:val="20"/>
          <w:szCs w:val="20"/>
        </w:rPr>
      </w:pPr>
      <w:r w:rsidRPr="00A431F4">
        <w:rPr>
          <w:sz w:val="20"/>
          <w:szCs w:val="20"/>
        </w:rPr>
        <w:t>Effective AI governance requires structured risk assessments prior to system development and deployment. These assessments evaluate technical, ethical, legal, and societal risks associated with a proposed AI system</w:t>
      </w:r>
      <w:sdt>
        <w:sdtPr>
          <w:rPr>
            <w:rFonts w:ascii="Aptos" w:hAnsi="Aptos"/>
            <w:color w:val="000000"/>
            <w:sz w:val="20"/>
            <w:szCs w:val="20"/>
            <w:highlight w:val="white"/>
          </w:rPr>
          <w:alias w:val="Citation"/>
          <w:tag w:val="{&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1949803,&quot;citationText&quot;:&quot;&lt;span style=\&quot;font-family:Aptos;font-size:16px;color:#000000\&quot;&gt;[6]&lt;/span&gt;&quot;}"/>
          <w:id w:val="-1211949803"/>
          <w:placeholder>
            <w:docPart w:val="127900DDD6D342198D19DEFDC6634935"/>
          </w:placeholder>
        </w:sdtPr>
        <w:sdtContent>
          <w:r w:rsidRPr="00A431F4">
            <w:rPr>
              <w:rFonts w:ascii="Aptos" w:eastAsia="Times New Roman" w:hAnsi="Aptos"/>
              <w:color w:val="000000"/>
              <w:sz w:val="20"/>
              <w:szCs w:val="20"/>
            </w:rPr>
            <w:t>[6]</w:t>
          </w:r>
        </w:sdtContent>
      </w:sdt>
      <w:r w:rsidRPr="00A431F4">
        <w:rPr>
          <w:sz w:val="20"/>
          <w:szCs w:val="20"/>
        </w:rPr>
        <w:t>. Key considerations include the nature of the decisions being automated, the populations affected, and the potential consequences of errors, bias, or misuse.</w:t>
      </w:r>
    </w:p>
    <w:p w14:paraId="0AFC0B40" w14:textId="0C0CA64E" w:rsidR="00D36E31" w:rsidRPr="00A431F4" w:rsidRDefault="00D36E31" w:rsidP="00D36E31">
      <w:pPr>
        <w:rPr>
          <w:sz w:val="20"/>
          <w:szCs w:val="20"/>
        </w:rPr>
      </w:pPr>
      <w:r w:rsidRPr="00A431F4">
        <w:rPr>
          <w:sz w:val="20"/>
          <w:szCs w:val="20"/>
        </w:rPr>
        <w:t>For example, an AI system used for loan approval operates in a high-impact context, as incorrect or biased decisions can directly affect individuals’ financial stability and access to opportunities. Governance-driven risk assessments help organisations determine whether AI is appropriate for a given task and identify necessary safeguards, such as human oversight, explainability requirements, and accessible appeal mechanisms</w:t>
      </w:r>
      <w:sdt>
        <w:sdtPr>
          <w:rPr>
            <w:rFonts w:ascii="Aptos" w:hAnsi="Aptos"/>
            <w:color w:val="000000"/>
            <w:sz w:val="20"/>
            <w:szCs w:val="20"/>
            <w:highlight w:val="white"/>
          </w:rPr>
          <w:alias w:val="Citation"/>
          <w:tag w:val="{&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0766475,&quot;citationText&quot;:&quot;&lt;span style=\&quot;font-family:Aptos;font-size:16px;color:#000000\&quot;&gt;[6]&lt;/span&gt;&quot;}"/>
          <w:id w:val="-2090766475"/>
          <w:placeholder>
            <w:docPart w:val="30A3D7A7528642C297825FFE2B8097AC"/>
          </w:placeholder>
        </w:sdtPr>
        <w:sdtContent>
          <w:r w:rsidRPr="00A431F4">
            <w:rPr>
              <w:rFonts w:ascii="Aptos" w:eastAsia="Times New Roman" w:hAnsi="Aptos"/>
              <w:color w:val="000000"/>
              <w:sz w:val="20"/>
              <w:szCs w:val="20"/>
            </w:rPr>
            <w:t>[6]</w:t>
          </w:r>
        </w:sdtContent>
      </w:sdt>
      <w:r w:rsidRPr="00A431F4">
        <w:rPr>
          <w:sz w:val="20"/>
          <w:szCs w:val="20"/>
        </w:rPr>
        <w:t>. Without this early-stage scrutiny, risks may be embedded into system design and spread at scale.</w:t>
      </w:r>
    </w:p>
    <w:p w14:paraId="024844B6" w14:textId="77777777" w:rsidR="00D36E31" w:rsidRPr="00AD1009" w:rsidRDefault="00D36E31" w:rsidP="00DA1586">
      <w:pPr>
        <w:pStyle w:val="Heading2"/>
      </w:pPr>
      <w:bookmarkStart w:id="11" w:name="_Toc218546895"/>
      <w:r w:rsidRPr="00AD1009">
        <w:t>Data Quality, Bias, and Fairness</w:t>
      </w:r>
      <w:bookmarkEnd w:id="11"/>
    </w:p>
    <w:p w14:paraId="29809EE9" w14:textId="34DCDA54" w:rsidR="00D36E31" w:rsidRPr="00A431F4" w:rsidRDefault="00D36E31" w:rsidP="00D36E31">
      <w:pPr>
        <w:rPr>
          <w:sz w:val="20"/>
          <w:szCs w:val="20"/>
        </w:rPr>
      </w:pPr>
      <w:r w:rsidRPr="00A431F4">
        <w:rPr>
          <w:sz w:val="20"/>
          <w:szCs w:val="20"/>
        </w:rPr>
        <w:t>Data governance is central to anticipating AI risk. Machine learning models learn patterns from historical data, which may reflect existing social inequalities, institutional biases, or outdated assumptions. If these issues are not addressed during data selection and preparation, AI systems can repeat and increase unfair outcomes</w:t>
      </w:r>
      <w:sdt>
        <w:sdtPr>
          <w:rPr>
            <w:rFonts w:ascii="Aptos" w:hAnsi="Aptos"/>
            <w:color w:val="000000"/>
            <w:sz w:val="20"/>
            <w:szCs w:val="20"/>
            <w:highlight w:val="white"/>
          </w:rPr>
          <w:alias w:val="Citation"/>
          <w:tag w:val="{&quot;referencesIds&quot;:[&quot;doc:6957970d8bfbef24f2d9676a&quot;],&quot;referencesOptions&quot;:{&quot;doc:6957970d8bfbef24f2d967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7378330,&quot;citationText&quot;:&quot;&lt;span style=\&quot;font-family:Aptos;font-size:16px;color:#000000\&quot;&gt;[7]&lt;/span&gt;&quot;}"/>
          <w:id w:val="-1267378330"/>
          <w:placeholder>
            <w:docPart w:val="0C05FE1D363B4153A4DDFB48C0A7DE4D"/>
          </w:placeholder>
        </w:sdtPr>
        <w:sdtContent>
          <w:r w:rsidRPr="00A431F4">
            <w:rPr>
              <w:rFonts w:ascii="Aptos" w:eastAsia="Times New Roman" w:hAnsi="Aptos"/>
              <w:color w:val="000000"/>
              <w:sz w:val="20"/>
              <w:szCs w:val="20"/>
            </w:rPr>
            <w:t>[7]</w:t>
          </w:r>
        </w:sdtContent>
      </w:sdt>
      <w:r w:rsidRPr="00A431F4">
        <w:rPr>
          <w:sz w:val="20"/>
          <w:szCs w:val="20"/>
        </w:rPr>
        <w:t>.</w:t>
      </w:r>
    </w:p>
    <w:p w14:paraId="465D0B3E" w14:textId="37F95F69" w:rsidR="00D36E31" w:rsidRPr="00AD1009" w:rsidRDefault="00D36E31" w:rsidP="00D36E31">
      <w:pPr>
        <w:rPr>
          <w:sz w:val="20"/>
          <w:szCs w:val="20"/>
        </w:rPr>
      </w:pPr>
      <w:r w:rsidRPr="00A431F4">
        <w:rPr>
          <w:sz w:val="20"/>
          <w:szCs w:val="20"/>
        </w:rPr>
        <w:t xml:space="preserve">Governance frameworks require organisations to assess datasets for accuracy, representativeness, and relevance to the intended use case. This includes identifying </w:t>
      </w:r>
      <w:r w:rsidRPr="00A431F4">
        <w:rPr>
          <w:sz w:val="20"/>
          <w:szCs w:val="20"/>
        </w:rPr>
        <w:t>indirect indicators that may indirectly encode sensitive attributes such as gender, ethnicity, or socio-economic status. Techniques such as</w:t>
      </w:r>
      <w:r w:rsidRPr="00AD1009">
        <w:rPr>
          <w:sz w:val="20"/>
          <w:szCs w:val="20"/>
        </w:rPr>
        <w:t xml:space="preserve"> bias audits, fairness testing, and preparing data are essential governance controls that reduce discriminatory risk and improve system reliability</w:t>
      </w:r>
      <w:sdt>
        <w:sdtPr>
          <w:rPr>
            <w:rFonts w:ascii="Aptos" w:hAnsi="Aptos"/>
            <w:color w:val="000000"/>
            <w:sz w:val="20"/>
            <w:szCs w:val="20"/>
            <w:highlight w:val="white"/>
          </w:rPr>
          <w:alias w:val="Citation"/>
          <w:tag w:val="{&quot;referencesIds&quot;:[&quot;doc:6957970d8bfbef24f2d9676a&quot;],&quot;referencesOptions&quot;:{&quot;doc:6957970d8bfbef24f2d967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6881386,&quot;citationText&quot;:&quot;&lt;span style=\&quot;font-family:Aptos;font-size:16px;color:#000000\&quot;&gt;[7]&lt;/span&gt;&quot;}"/>
          <w:id w:val="-2076881386"/>
          <w:placeholder>
            <w:docPart w:val="6F1CD573B0004342811E01202132503E"/>
          </w:placeholder>
        </w:sdtPr>
        <w:sdtContent>
          <w:r>
            <w:rPr>
              <w:rFonts w:ascii="Aptos" w:eastAsia="Times New Roman" w:hAnsi="Aptos"/>
              <w:color w:val="000000"/>
            </w:rPr>
            <w:t>[7]</w:t>
          </w:r>
        </w:sdtContent>
      </w:sdt>
      <w:r w:rsidRPr="00AD1009">
        <w:rPr>
          <w:sz w:val="20"/>
          <w:szCs w:val="20"/>
        </w:rPr>
        <w:t>.</w:t>
      </w:r>
    </w:p>
    <w:p w14:paraId="7A8515A6" w14:textId="77777777" w:rsidR="00D36E31" w:rsidRPr="00AD1009" w:rsidRDefault="00D36E31" w:rsidP="00DA1586">
      <w:pPr>
        <w:pStyle w:val="Heading2"/>
      </w:pPr>
      <w:bookmarkStart w:id="12" w:name="_Toc218546896"/>
      <w:r w:rsidRPr="00AD1009">
        <w:t>Ethical and Social Impact</w:t>
      </w:r>
      <w:bookmarkEnd w:id="12"/>
    </w:p>
    <w:p w14:paraId="5E9C701F" w14:textId="028F7080" w:rsidR="00D36E31" w:rsidRPr="00AD1009" w:rsidRDefault="00D36E31" w:rsidP="00D36E31">
      <w:pPr>
        <w:rPr>
          <w:sz w:val="20"/>
          <w:szCs w:val="20"/>
        </w:rPr>
      </w:pPr>
      <w:r w:rsidRPr="00AD1009">
        <w:rPr>
          <w:sz w:val="20"/>
          <w:szCs w:val="20"/>
        </w:rPr>
        <w:t xml:space="preserve">Anticipating risk also extends beyond technical considerations to the broader ethical and social implications of AI deployment. AI systems can influence behaviour, restrict autonomy, and reinforce existing power </w:t>
      </w:r>
      <w:r w:rsidRPr="00BA755C">
        <w:rPr>
          <w:sz w:val="20"/>
          <w:szCs w:val="20"/>
        </w:rPr>
        <w:t>imbalances</w:t>
      </w:r>
      <w:sdt>
        <w:sdtPr>
          <w:rPr>
            <w:rFonts w:ascii="Aptos" w:hAnsi="Aptos"/>
            <w:color w:val="000000"/>
            <w:sz w:val="20"/>
            <w:szCs w:val="20"/>
            <w:highlight w:val="white"/>
          </w:rPr>
          <w:alias w:val="Citation"/>
          <w:tag w:val="{&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5946111,&quot;citationText&quot;:&quot;&lt;span style=\&quot;font-family:Aptos;font-size:16px;color:#000000\&quot;&gt;[6]&lt;/span&gt;&quot;}"/>
          <w:id w:val="1185946111"/>
          <w:placeholder>
            <w:docPart w:val="9C14804B955B4AA18D9CE81723CC0C9A"/>
          </w:placeholder>
        </w:sdtPr>
        <w:sdtContent>
          <w:r w:rsidRPr="00BA755C">
            <w:rPr>
              <w:rFonts w:ascii="Aptos" w:eastAsia="Times New Roman" w:hAnsi="Aptos"/>
              <w:color w:val="000000"/>
              <w:sz w:val="20"/>
              <w:szCs w:val="20"/>
            </w:rPr>
            <w:t>[6]</w:t>
          </w:r>
        </w:sdtContent>
      </w:sdt>
      <w:r w:rsidRPr="00AD1009">
        <w:rPr>
          <w:sz w:val="20"/>
          <w:szCs w:val="20"/>
        </w:rPr>
        <w:t>. Ethical impact assessments examine how systems affect fundamental values such as fairness, dignity, and equality, as well as their potential impact on public trust.</w:t>
      </w:r>
    </w:p>
    <w:p w14:paraId="328647FA" w14:textId="468DF728" w:rsidR="00D36E31" w:rsidRPr="00A431F4" w:rsidRDefault="00D36E31" w:rsidP="00D36E31">
      <w:pPr>
        <w:rPr>
          <w:sz w:val="20"/>
          <w:szCs w:val="20"/>
        </w:rPr>
      </w:pPr>
      <w:r w:rsidRPr="00A431F4">
        <w:rPr>
          <w:sz w:val="20"/>
          <w:szCs w:val="20"/>
        </w:rPr>
        <w:t>The use of predictive policing technologies illustrates these concerns. Such systems have been widely criticised for unfairly targeting already over-policed communities, thereby reinforcing cycles of surveillance and discrimination</w:t>
      </w:r>
      <w:sdt>
        <w:sdtPr>
          <w:rPr>
            <w:rFonts w:ascii="Aptos" w:hAnsi="Aptos"/>
            <w:color w:val="000000"/>
            <w:sz w:val="20"/>
            <w:szCs w:val="20"/>
            <w:highlight w:val="white"/>
          </w:rPr>
          <w:alias w:val="Citation"/>
          <w:tag w:val="{&quot;referencesIds&quot;:[&quot;doc:695798eea6457b6d86366e90&quot;],&quot;referencesOptions&quot;:{&quot;doc:695798eea6457b6d86366e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6999573,&quot;citationText&quot;:&quot;&lt;span style=\&quot;font-family:Aptos;font-size:16px;color:#000000\&quot;&gt;[8]&lt;/span&gt;&quot;}"/>
          <w:id w:val="816999573"/>
          <w:placeholder>
            <w:docPart w:val="3AB42D34B46A40EDA4A65526DB8875E6"/>
          </w:placeholder>
        </w:sdtPr>
        <w:sdtContent>
          <w:r w:rsidRPr="00A431F4">
            <w:rPr>
              <w:rFonts w:ascii="Aptos" w:eastAsia="Times New Roman" w:hAnsi="Aptos"/>
              <w:color w:val="000000"/>
              <w:sz w:val="20"/>
              <w:szCs w:val="20"/>
            </w:rPr>
            <w:t>[8]</w:t>
          </w:r>
        </w:sdtContent>
      </w:sdt>
      <w:r w:rsidRPr="00A431F4">
        <w:rPr>
          <w:sz w:val="20"/>
          <w:szCs w:val="20"/>
        </w:rPr>
        <w:t>. Anticipating these impacts allows organisations to redesign systems, limit their scope, introduce additional safeguards, or avoid deployment altogether in sensitive contexts.</w:t>
      </w:r>
    </w:p>
    <w:p w14:paraId="64841F2E" w14:textId="77777777" w:rsidR="00D36E31" w:rsidRPr="00AD1009" w:rsidRDefault="00D36E31" w:rsidP="00DA1586">
      <w:pPr>
        <w:pStyle w:val="Heading1"/>
      </w:pPr>
      <w:bookmarkStart w:id="13" w:name="_Toc218546897"/>
      <w:r w:rsidRPr="00AD1009">
        <w:t>Anticipating Security Threats</w:t>
      </w:r>
      <w:bookmarkEnd w:id="13"/>
    </w:p>
    <w:p w14:paraId="3BAD0DFD" w14:textId="72F5435D" w:rsidR="00D36E31" w:rsidRPr="00A431F4" w:rsidRDefault="00D36E31" w:rsidP="00D36E31">
      <w:pPr>
        <w:rPr>
          <w:sz w:val="20"/>
          <w:szCs w:val="20"/>
        </w:rPr>
      </w:pPr>
      <w:r w:rsidRPr="00A431F4">
        <w:rPr>
          <w:sz w:val="20"/>
          <w:szCs w:val="20"/>
        </w:rPr>
        <w:t>AI systems introduce distinct security risks that must be addressed as part of governance planning</w:t>
      </w:r>
      <w:sdt>
        <w:sdtPr>
          <w:rPr>
            <w:rFonts w:ascii="Aptos" w:hAnsi="Aptos"/>
            <w:color w:val="000000"/>
            <w:sz w:val="20"/>
            <w:szCs w:val="20"/>
            <w:highlight w:val="white"/>
          </w:rPr>
          <w:alias w:val="Citation"/>
          <w:tag w:val="{&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17496,&quot;citationText&quot;:&quot;&lt;span style=\&quot;font-family:Aptos;font-size:16px;color:#000000\&quot;&gt;[6]&lt;/span&gt;&quot;}"/>
          <w:id w:val="176317496"/>
          <w:placeholder>
            <w:docPart w:val="FB98D360D7A84AFE9BFC4E262F1B0744"/>
          </w:placeholder>
        </w:sdtPr>
        <w:sdtContent>
          <w:r w:rsidRPr="00A431F4">
            <w:rPr>
              <w:rFonts w:ascii="Aptos" w:eastAsia="Times New Roman" w:hAnsi="Aptos"/>
              <w:color w:val="000000"/>
              <w:sz w:val="20"/>
              <w:szCs w:val="20"/>
            </w:rPr>
            <w:t>[6]</w:t>
          </w:r>
        </w:sdtContent>
      </w:sdt>
      <w:r w:rsidRPr="00A431F4">
        <w:rPr>
          <w:sz w:val="20"/>
          <w:szCs w:val="20"/>
        </w:rPr>
        <w:t>. Threats such as adversarial attacks, data poisoning, and model extraction can compromise system integrity, confidentiality, and reliability. These risks are often overlooked until after deployment, when exploitation can cause widespread harm.</w:t>
      </w:r>
    </w:p>
    <w:p w14:paraId="78FE7A6C" w14:textId="0B54EF00" w:rsidR="00D36E31" w:rsidRPr="00AD1009" w:rsidRDefault="00D36E31" w:rsidP="00D36E31">
      <w:pPr>
        <w:rPr>
          <w:sz w:val="20"/>
          <w:szCs w:val="20"/>
        </w:rPr>
      </w:pPr>
      <w:r w:rsidRPr="00A431F4">
        <w:rPr>
          <w:sz w:val="20"/>
          <w:szCs w:val="20"/>
        </w:rPr>
        <w:t xml:space="preserve">By anticipating security threats early in the lifecycle, organisations can implement preventative controls, including adversarial testing, secure data pipelines, model access restrictions, and continuous vulnerability assessment. Integrating security considerations </w:t>
      </w:r>
      <w:r w:rsidRPr="00A431F4">
        <w:rPr>
          <w:sz w:val="20"/>
          <w:szCs w:val="20"/>
        </w:rPr>
        <w:lastRenderedPageBreak/>
        <w:t>into AI governance reduces the likelihood of</w:t>
      </w:r>
      <w:r w:rsidRPr="00AD1009">
        <w:rPr>
          <w:sz w:val="20"/>
          <w:szCs w:val="20"/>
        </w:rPr>
        <w:t xml:space="preserve"> </w:t>
      </w:r>
      <w:r w:rsidRPr="00A431F4">
        <w:rPr>
          <w:sz w:val="20"/>
          <w:szCs w:val="20"/>
        </w:rPr>
        <w:t>system compromise and strengthens overall resilience</w:t>
      </w:r>
      <w:sdt>
        <w:sdtPr>
          <w:rPr>
            <w:rFonts w:ascii="Aptos" w:hAnsi="Aptos"/>
            <w:color w:val="000000"/>
            <w:sz w:val="20"/>
            <w:szCs w:val="20"/>
            <w:highlight w:val="white"/>
          </w:rPr>
          <w:alias w:val="Citation"/>
          <w:tag w:val="{&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0244105,&quot;citationText&quot;:&quot;&lt;span style=\&quot;font-family:Aptos;font-size:16px;color:#000000\&quot;&gt;[6]&lt;/span&gt;&quot;}"/>
          <w:id w:val="-1670244105"/>
          <w:placeholder>
            <w:docPart w:val="31C37C4E65EB463FB0C15EA3A15A6C31"/>
          </w:placeholder>
        </w:sdtPr>
        <w:sdtContent>
          <w:r w:rsidRPr="00A431F4">
            <w:rPr>
              <w:rFonts w:ascii="Aptos" w:eastAsia="Times New Roman" w:hAnsi="Aptos"/>
              <w:color w:val="000000"/>
              <w:sz w:val="20"/>
              <w:szCs w:val="20"/>
            </w:rPr>
            <w:t>[6]</w:t>
          </w:r>
        </w:sdtContent>
      </w:sdt>
      <w:r w:rsidRPr="00A431F4">
        <w:rPr>
          <w:sz w:val="20"/>
          <w:szCs w:val="20"/>
        </w:rPr>
        <w:t>.</w:t>
      </w:r>
    </w:p>
    <w:p w14:paraId="55AB876E" w14:textId="77777777" w:rsidR="00D36E31" w:rsidRPr="00AD1009" w:rsidRDefault="00D36E31" w:rsidP="00DA1586">
      <w:pPr>
        <w:pStyle w:val="Heading2"/>
      </w:pPr>
      <w:bookmarkStart w:id="14" w:name="_Toc218546898"/>
      <w:r w:rsidRPr="00AD1009">
        <w:t>Building a Preventative Governance Mindset</w:t>
      </w:r>
      <w:bookmarkEnd w:id="14"/>
    </w:p>
    <w:p w14:paraId="30776D17" w14:textId="77777777" w:rsidR="00D36E31" w:rsidRPr="00AD1009" w:rsidRDefault="00D36E31" w:rsidP="00D36E31">
      <w:pPr>
        <w:rPr>
          <w:sz w:val="20"/>
          <w:szCs w:val="20"/>
        </w:rPr>
      </w:pPr>
      <w:r w:rsidRPr="00AD1009">
        <w:rPr>
          <w:sz w:val="20"/>
          <w:szCs w:val="20"/>
        </w:rPr>
        <w:t>A preventative approach to AI governance prioritises foresight over reaction. Rather than responding to incidents after harm has occurred, organisations embed risk anticipation into decision-making, development processes, and organisational culture. This proactive mindset is essential for ensuring that AI systems are safe, fair, and trustworthy from the outset, and it forms the basis for sustainable and responsible AI adoption</w:t>
      </w:r>
    </w:p>
    <w:p w14:paraId="70A0D4EF" w14:textId="77777777" w:rsidR="00D36E31" w:rsidRPr="00AD1009" w:rsidRDefault="00D36E31" w:rsidP="00DA1586">
      <w:pPr>
        <w:pStyle w:val="Heading1"/>
      </w:pPr>
      <w:bookmarkStart w:id="15" w:name="_Toc218546899"/>
      <w:r w:rsidRPr="00AD1009">
        <w:t>Protecting AI Systems Throughout Their Lifecycle</w:t>
      </w:r>
      <w:bookmarkEnd w:id="15"/>
    </w:p>
    <w:p w14:paraId="6515BCE6" w14:textId="003ADF6E" w:rsidR="00D36E31" w:rsidRPr="00A431F4" w:rsidRDefault="00D36E31" w:rsidP="00D36E31">
      <w:pPr>
        <w:rPr>
          <w:sz w:val="20"/>
          <w:szCs w:val="20"/>
        </w:rPr>
      </w:pPr>
      <w:r w:rsidRPr="00A431F4">
        <w:rPr>
          <w:sz w:val="20"/>
          <w:szCs w:val="20"/>
        </w:rPr>
        <w:t>Protecting AI systems requires the implementation of safeguards that extend across the entire system lifecycle, from data collection and model development to deployment, operation, and ongoing maintenance. Unlike traditional software, AI systems continue to learn, interact with new data, and operate in changing environments, meaning that risks can emerge or evolve long after initial deployment. Effective AI governance therefore treats protection as a continuous responsibility rather than a one-time technical exercise</w:t>
      </w:r>
      <w:sdt>
        <w:sdtPr>
          <w:rPr>
            <w:rFonts w:ascii="Aptos" w:hAnsi="Aptos"/>
            <w:color w:val="000000"/>
            <w:sz w:val="20"/>
            <w:szCs w:val="20"/>
            <w:highlight w:val="white"/>
          </w:rPr>
          <w:alias w:val="Citation"/>
          <w:tag w:val="{&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8085478,&quot;citationText&quot;:&quot;&lt;span style=\&quot;font-family:Aptos;font-size:16px;color:#000000\&quot;&gt;[9]&lt;/span&gt;&quot;}"/>
          <w:id w:val="-948085478"/>
          <w:placeholder>
            <w:docPart w:val="1C19C4A1828E421884F3461052CE773E"/>
          </w:placeholder>
        </w:sdtPr>
        <w:sdtContent>
          <w:r w:rsidRPr="00A431F4">
            <w:rPr>
              <w:rFonts w:ascii="Aptos" w:eastAsia="Times New Roman" w:hAnsi="Aptos"/>
              <w:color w:val="000000"/>
              <w:sz w:val="20"/>
              <w:szCs w:val="20"/>
            </w:rPr>
            <w:t>[9]</w:t>
          </w:r>
        </w:sdtContent>
      </w:sdt>
      <w:r w:rsidRPr="00A431F4">
        <w:rPr>
          <w:sz w:val="20"/>
          <w:szCs w:val="20"/>
        </w:rPr>
        <w:t>.</w:t>
      </w:r>
    </w:p>
    <w:p w14:paraId="0DFCA8F0" w14:textId="77777777" w:rsidR="00D36E31" w:rsidRPr="00AD1009" w:rsidRDefault="00D36E31" w:rsidP="00DA1586">
      <w:pPr>
        <w:pStyle w:val="Heading2"/>
      </w:pPr>
      <w:bookmarkStart w:id="16" w:name="_Toc218546900"/>
      <w:r w:rsidRPr="00AD1009">
        <w:t>Robust Data Governance</w:t>
      </w:r>
      <w:bookmarkEnd w:id="16"/>
    </w:p>
    <w:p w14:paraId="30E9A973" w14:textId="3A97029D" w:rsidR="00D36E31" w:rsidRPr="00A431F4" w:rsidRDefault="00D36E31" w:rsidP="00D36E31">
      <w:pPr>
        <w:rPr>
          <w:sz w:val="20"/>
          <w:szCs w:val="20"/>
        </w:rPr>
      </w:pPr>
      <w:r w:rsidRPr="00A431F4">
        <w:rPr>
          <w:sz w:val="20"/>
          <w:szCs w:val="20"/>
        </w:rPr>
        <w:t xml:space="preserve">Data governance is a critical component of AI system protection, as data underpins model behaviour, performance, and fairness. Governance frameworks require organisations to manage data responsibly through measures such as strict access controls, encryption of data at rest and in transit, </w:t>
      </w:r>
      <w:r w:rsidR="00845034">
        <w:rPr>
          <w:sz w:val="20"/>
          <w:szCs w:val="20"/>
        </w:rPr>
        <w:t>the masking</w:t>
      </w:r>
      <w:r w:rsidRPr="00A431F4">
        <w:rPr>
          <w:sz w:val="20"/>
          <w:szCs w:val="20"/>
        </w:rPr>
        <w:t xml:space="preserve"> of personal information, and data minimisation practices that limit unnecessary exposure</w:t>
      </w:r>
      <w:sdt>
        <w:sdtPr>
          <w:rPr>
            <w:rFonts w:ascii="Aptos" w:hAnsi="Aptos"/>
            <w:color w:val="000000"/>
            <w:sz w:val="20"/>
            <w:szCs w:val="20"/>
            <w:highlight w:val="white"/>
          </w:rPr>
          <w:alias w:val="Citation"/>
          <w:tag w:val="{&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8091036,&quot;citationText&quot;:&quot;&lt;span style=\&quot;font-family:Aptos;font-size:16px;color:#000000\&quot;&gt;[9]&lt;/span&gt;&quot;}"/>
          <w:id w:val="608091036"/>
          <w:placeholder>
            <w:docPart w:val="0C82F8D057D849D7B34FC70029455CF8"/>
          </w:placeholder>
        </w:sdtPr>
        <w:sdtContent>
          <w:r w:rsidRPr="00A431F4">
            <w:rPr>
              <w:rFonts w:ascii="Aptos" w:eastAsia="Times New Roman" w:hAnsi="Aptos"/>
              <w:color w:val="000000"/>
              <w:sz w:val="20"/>
              <w:szCs w:val="20"/>
            </w:rPr>
            <w:t>[9]</w:t>
          </w:r>
        </w:sdtContent>
      </w:sdt>
      <w:r w:rsidRPr="00A431F4">
        <w:rPr>
          <w:sz w:val="20"/>
          <w:szCs w:val="20"/>
        </w:rPr>
        <w:t>.</w:t>
      </w:r>
    </w:p>
    <w:p w14:paraId="0F166557" w14:textId="7DD16068" w:rsidR="00D36E31" w:rsidRPr="00A431F4" w:rsidRDefault="00D36E31" w:rsidP="00D36E31">
      <w:pPr>
        <w:rPr>
          <w:sz w:val="20"/>
          <w:szCs w:val="20"/>
        </w:rPr>
      </w:pPr>
      <w:r w:rsidRPr="00A431F4">
        <w:rPr>
          <w:sz w:val="20"/>
          <w:szCs w:val="20"/>
        </w:rPr>
        <w:t>These controls reduce the risk of data breaches, support compliance with privacy regulations such as the GDPR, and protect individuals from misuse of their personal information</w:t>
      </w:r>
      <w:sdt>
        <w:sdtPr>
          <w:rPr>
            <w:rFonts w:ascii="Aptos" w:hAnsi="Aptos"/>
            <w:color w:val="000000"/>
            <w:sz w:val="20"/>
            <w:szCs w:val="20"/>
            <w:highlight w:val="white"/>
          </w:rPr>
          <w:alias w:val="Citation"/>
          <w:tag w:val="{&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535574,&quot;citationText&quot;:&quot;&lt;span style=\&quot;font-family:Aptos;font-size:16px;color:#000000\&quot;&gt;[9]&lt;/span&gt;&quot;}"/>
          <w:id w:val="1279535574"/>
          <w:placeholder>
            <w:docPart w:val="E4657357904549829E2402CFE2258926"/>
          </w:placeholder>
        </w:sdtPr>
        <w:sdtContent>
          <w:r w:rsidRPr="00A431F4">
            <w:rPr>
              <w:rFonts w:ascii="Aptos" w:eastAsia="Times New Roman" w:hAnsi="Aptos"/>
              <w:color w:val="000000"/>
              <w:sz w:val="20"/>
              <w:szCs w:val="20"/>
            </w:rPr>
            <w:t>[9]</w:t>
          </w:r>
        </w:sdtContent>
      </w:sdt>
      <w:r w:rsidRPr="00A431F4">
        <w:rPr>
          <w:sz w:val="20"/>
          <w:szCs w:val="20"/>
        </w:rPr>
        <w:t>. In high-risk domains such as healthcare or finance, failures in data governance can lead to serious harm and rapid loss of public trust, reinforcing the need for strong, enforceable controls throughout the data lifecycle.</w:t>
      </w:r>
    </w:p>
    <w:p w14:paraId="693A75CC" w14:textId="77777777" w:rsidR="00D36E31" w:rsidRPr="00AD1009" w:rsidRDefault="00D36E31" w:rsidP="00DA1586">
      <w:pPr>
        <w:pStyle w:val="Heading2"/>
      </w:pPr>
      <w:bookmarkStart w:id="17" w:name="_Toc218546901"/>
      <w:r w:rsidRPr="00AD1009">
        <w:t>Secure Model Development Practices</w:t>
      </w:r>
      <w:bookmarkEnd w:id="17"/>
    </w:p>
    <w:p w14:paraId="02C5FFFC" w14:textId="0CF53B2C" w:rsidR="00D36E31" w:rsidRPr="00A431F4" w:rsidRDefault="00D36E31" w:rsidP="00D36E31">
      <w:pPr>
        <w:rPr>
          <w:sz w:val="20"/>
          <w:szCs w:val="20"/>
        </w:rPr>
      </w:pPr>
      <w:r w:rsidRPr="00A431F4">
        <w:rPr>
          <w:sz w:val="20"/>
          <w:szCs w:val="20"/>
        </w:rPr>
        <w:t>AI governance also extends to how models are developed, tested, and maintained. Secure development practices include the use of version control systems to track changes, regular testing and validation to identify errors or unintended behaviour, and peer review processes to improve model quality and robustness</w:t>
      </w:r>
      <w:sdt>
        <w:sdtPr>
          <w:rPr>
            <w:rFonts w:ascii="Aptos" w:hAnsi="Aptos"/>
            <w:color w:val="000000"/>
            <w:sz w:val="20"/>
            <w:szCs w:val="20"/>
            <w:highlight w:val="white"/>
          </w:rPr>
          <w:alias w:val="Citation"/>
          <w:tag w:val="{&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3126730,&quot;citationText&quot;:&quot;&lt;span style=\&quot;font-family:Aptos;font-size:16px;color:#000000\&quot;&gt;[9]&lt;/span&gt;&quot;}"/>
          <w:id w:val="-893126730"/>
          <w:placeholder>
            <w:docPart w:val="9CCD03073F43479FADF3C14C0F2B5D67"/>
          </w:placeholder>
        </w:sdtPr>
        <w:sdtContent>
          <w:r w:rsidRPr="00A431F4">
            <w:rPr>
              <w:rFonts w:ascii="Aptos" w:eastAsia="Times New Roman" w:hAnsi="Aptos"/>
              <w:color w:val="000000"/>
              <w:sz w:val="20"/>
              <w:szCs w:val="20"/>
            </w:rPr>
            <w:t>[9]</w:t>
          </w:r>
        </w:sdtContent>
      </w:sdt>
      <w:r w:rsidRPr="00A431F4">
        <w:rPr>
          <w:sz w:val="20"/>
          <w:szCs w:val="20"/>
        </w:rPr>
        <w:t>. Comprehensive documentation of design decisions, assumptions, training data, and known limitations further supports transparency and accountability</w:t>
      </w:r>
      <w:sdt>
        <w:sdtPr>
          <w:rPr>
            <w:rFonts w:ascii="Aptos" w:hAnsi="Aptos"/>
            <w:color w:val="000000"/>
            <w:sz w:val="20"/>
            <w:szCs w:val="20"/>
            <w:highlight w:val="white"/>
          </w:rPr>
          <w:alias w:val="Citation"/>
          <w:tag w:val="{&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8269257,&quot;citationText&quot;:&quot;&lt;span style=\&quot;font-family:Aptos;font-size:16px;color:#000000\&quot;&gt;[9]&lt;/span&gt;&quot;}"/>
          <w:id w:val="-1718269257"/>
          <w:placeholder>
            <w:docPart w:val="4359592A204943B391FF37F9F0FE0EBE"/>
          </w:placeholder>
        </w:sdtPr>
        <w:sdtContent>
          <w:r w:rsidRPr="00A431F4">
            <w:rPr>
              <w:rFonts w:ascii="Aptos" w:eastAsia="Times New Roman" w:hAnsi="Aptos"/>
              <w:color w:val="000000"/>
              <w:sz w:val="20"/>
              <w:szCs w:val="20"/>
            </w:rPr>
            <w:t>[9]</w:t>
          </w:r>
        </w:sdtContent>
      </w:sdt>
      <w:r w:rsidRPr="00A431F4">
        <w:rPr>
          <w:sz w:val="20"/>
          <w:szCs w:val="20"/>
        </w:rPr>
        <w:t>.</w:t>
      </w:r>
    </w:p>
    <w:p w14:paraId="00FA171B" w14:textId="77777777" w:rsidR="00D36E31" w:rsidRPr="00A431F4" w:rsidRDefault="00D36E31" w:rsidP="00D36E31">
      <w:pPr>
        <w:rPr>
          <w:sz w:val="20"/>
          <w:szCs w:val="20"/>
        </w:rPr>
      </w:pPr>
      <w:r w:rsidRPr="00A431F4">
        <w:rPr>
          <w:sz w:val="20"/>
          <w:szCs w:val="20"/>
        </w:rPr>
        <w:t>These practices not only reduce the likelihood of vulnerabilities and failures but also enable organisations to explain and justify system behaviour when decisions are challenged by regulators, auditors, or affected individuals.</w:t>
      </w:r>
    </w:p>
    <w:p w14:paraId="15550EE7" w14:textId="77777777" w:rsidR="00D36E31" w:rsidRPr="00AD1009" w:rsidRDefault="00D36E31" w:rsidP="00DA1586">
      <w:pPr>
        <w:pStyle w:val="Heading2"/>
      </w:pPr>
      <w:bookmarkStart w:id="18" w:name="_Toc218546902"/>
      <w:r w:rsidRPr="00AD1009">
        <w:t>Ethical Frameworks and Embedded Principles</w:t>
      </w:r>
      <w:bookmarkEnd w:id="18"/>
    </w:p>
    <w:p w14:paraId="7B295ED8" w14:textId="106D5A91" w:rsidR="00D36E31" w:rsidRPr="00A431F4" w:rsidRDefault="00D36E31" w:rsidP="00D36E31">
      <w:pPr>
        <w:rPr>
          <w:sz w:val="20"/>
          <w:szCs w:val="20"/>
        </w:rPr>
      </w:pPr>
      <w:r w:rsidRPr="00A431F4">
        <w:rPr>
          <w:sz w:val="20"/>
          <w:szCs w:val="20"/>
        </w:rPr>
        <w:t>Protecting AI systems involves embedding ethical principles such as fairness, transparency, accountability, privacy, and safety directly into organisational workflows. Ethical frameworks guide decision-making when trade-offs arise between performance, efficiency, and risk, ensuring that ethical considerations are addressed alongside technical and business objectives</w:t>
      </w:r>
      <w:sdt>
        <w:sdtPr>
          <w:rPr>
            <w:rFonts w:ascii="Aptos" w:hAnsi="Aptos"/>
            <w:color w:val="000000"/>
            <w:sz w:val="20"/>
            <w:szCs w:val="20"/>
            <w:highlight w:val="white"/>
          </w:rPr>
          <w:alias w:val="Citation"/>
          <w:tag w:val="{&quot;referencesIds&quot;:[&quot;doc:6957c56990689d25615c3e8c&quot;],&quot;referencesOptions&quot;:{&quot;doc:6957c56990689d25615c3e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79994,&quot;citationText&quot;:&quot;&lt;span style=\&quot;font-family:Aptos;font-size:16px;color:#000000\&quot;&gt;[10]&lt;/span&gt;&quot;}"/>
          <w:id w:val="19679994"/>
          <w:placeholder>
            <w:docPart w:val="3965AF9BDBDB413E9BE5C03F33F0ED9D"/>
          </w:placeholder>
        </w:sdtPr>
        <w:sdtContent>
          <w:r w:rsidRPr="00A431F4">
            <w:rPr>
              <w:rFonts w:ascii="Aptos" w:eastAsia="Times New Roman" w:hAnsi="Aptos"/>
              <w:color w:val="000000"/>
              <w:sz w:val="20"/>
              <w:szCs w:val="20"/>
            </w:rPr>
            <w:t>[10]</w:t>
          </w:r>
        </w:sdtContent>
      </w:sdt>
      <w:r w:rsidRPr="00A431F4">
        <w:rPr>
          <w:sz w:val="20"/>
          <w:szCs w:val="20"/>
        </w:rPr>
        <w:t>.</w:t>
      </w:r>
    </w:p>
    <w:p w14:paraId="7D28749D" w14:textId="00D7CD43" w:rsidR="00D36E31" w:rsidRPr="00AD1009" w:rsidRDefault="00D36E31" w:rsidP="00D36E31">
      <w:pPr>
        <w:rPr>
          <w:sz w:val="20"/>
          <w:szCs w:val="20"/>
        </w:rPr>
      </w:pPr>
      <w:r w:rsidRPr="00A431F4">
        <w:rPr>
          <w:sz w:val="20"/>
          <w:szCs w:val="20"/>
        </w:rPr>
        <w:t>By integrating ethical principles into development standards, review processes, and approval gates, organisations move beyond abstract values and establish consistent, enforceable expectations across teams and projects</w:t>
      </w:r>
      <w:sdt>
        <w:sdtPr>
          <w:rPr>
            <w:rFonts w:ascii="Aptos" w:hAnsi="Aptos"/>
            <w:color w:val="000000"/>
            <w:sz w:val="20"/>
            <w:szCs w:val="20"/>
            <w:highlight w:val="white"/>
          </w:rPr>
          <w:alias w:val="Citation"/>
          <w:tag w:val="{&quot;referencesIds&quot;:[&quot;doc:6957c56990689d25615c3e8c&quot;],&quot;referencesOptions&quot;:{&quot;doc:6957c56990689d25615c3e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5324738,&quot;citationText&quot;:&quot;&lt;span style=\&quot;font-family:Aptos;font-size:16px;color:#000000\&quot;&gt;[10]&lt;/span&gt;&quot;}"/>
          <w:id w:val="935324738"/>
          <w:placeholder>
            <w:docPart w:val="A178F1530FDC4C85907A0D0B10CBACC4"/>
          </w:placeholder>
        </w:sdtPr>
        <w:sdtContent>
          <w:r w:rsidRPr="00A431F4">
            <w:rPr>
              <w:rFonts w:ascii="Aptos" w:eastAsia="Times New Roman" w:hAnsi="Aptos"/>
              <w:color w:val="000000"/>
              <w:sz w:val="20"/>
              <w:szCs w:val="20"/>
            </w:rPr>
            <w:t>[10]</w:t>
          </w:r>
        </w:sdtContent>
      </w:sdt>
      <w:r w:rsidRPr="00A431F4">
        <w:rPr>
          <w:sz w:val="20"/>
          <w:szCs w:val="20"/>
        </w:rPr>
        <w:t>. This consistency is essential for</w:t>
      </w:r>
      <w:r w:rsidRPr="00AD1009">
        <w:rPr>
          <w:sz w:val="20"/>
          <w:szCs w:val="20"/>
        </w:rPr>
        <w:t xml:space="preserve"> </w:t>
      </w:r>
      <w:r w:rsidRPr="00AD1009">
        <w:rPr>
          <w:sz w:val="20"/>
          <w:szCs w:val="20"/>
        </w:rPr>
        <w:lastRenderedPageBreak/>
        <w:t>maintaining trust and avoiding fragmented or ad-hoc ethical decision-making.</w:t>
      </w:r>
    </w:p>
    <w:p w14:paraId="140EAFE3" w14:textId="77777777" w:rsidR="00D36E31" w:rsidRPr="00AD1009" w:rsidRDefault="00D36E31" w:rsidP="00DA1586">
      <w:pPr>
        <w:pStyle w:val="Heading2"/>
      </w:pPr>
      <w:bookmarkStart w:id="19" w:name="_Toc218546903"/>
      <w:r w:rsidRPr="00AD1009">
        <w:t>Legal and Regulatory Compliance</w:t>
      </w:r>
      <w:bookmarkEnd w:id="19"/>
    </w:p>
    <w:p w14:paraId="127E4CE4" w14:textId="33543F2D" w:rsidR="00D36E31" w:rsidRPr="00A431F4" w:rsidRDefault="00D36E31" w:rsidP="00D36E31">
      <w:pPr>
        <w:rPr>
          <w:sz w:val="20"/>
          <w:szCs w:val="20"/>
        </w:rPr>
      </w:pPr>
      <w:r w:rsidRPr="00AD1009">
        <w:rPr>
          <w:sz w:val="20"/>
          <w:szCs w:val="20"/>
        </w:rPr>
        <w:t xml:space="preserve">Lifecycle protection is also necessary to demonstrate ongoing compliance with AI-related laws, standards, and regulatory frameworks. Instruments such as the EU AI Act, the NIST AI Risk Management Framework, and relevant ISO standards provide structured </w:t>
      </w:r>
      <w:r w:rsidRPr="00A431F4">
        <w:rPr>
          <w:sz w:val="20"/>
          <w:szCs w:val="20"/>
        </w:rPr>
        <w:t>guidance for managing AI risks across development and deployment stages. Governance mechanisms that track compliance over time help organisations respond to regulatory scrutiny and adapt to evolving legal requirements</w:t>
      </w:r>
      <w:sdt>
        <w:sdtPr>
          <w:rPr>
            <w:rFonts w:ascii="Aptos" w:hAnsi="Aptos"/>
            <w:color w:val="000000"/>
            <w:sz w:val="20"/>
            <w:szCs w:val="20"/>
            <w:highlight w:val="white"/>
          </w:rPr>
          <w:alias w:val="Citation"/>
          <w:tag w:val="{&quot;referencesIds&quot;:[&quot;doc:6957c56990689d25615c3e8c&quot;],&quot;referencesOptions&quot;:{&quot;doc:6957c56990689d25615c3e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7346153,&quot;citationText&quot;:&quot;&lt;span style=\&quot;font-family:Aptos;font-size:16px;color:#000000\&quot;&gt;[10]&lt;/span&gt;&quot;}"/>
          <w:id w:val="297346153"/>
          <w:placeholder>
            <w:docPart w:val="7C3E34FC8DE94C83A5DE8C8C3CB97192"/>
          </w:placeholder>
        </w:sdtPr>
        <w:sdtContent>
          <w:r w:rsidRPr="00A431F4">
            <w:rPr>
              <w:rFonts w:ascii="Aptos" w:eastAsia="Times New Roman" w:hAnsi="Aptos"/>
              <w:color w:val="000000"/>
              <w:sz w:val="20"/>
              <w:szCs w:val="20"/>
            </w:rPr>
            <w:t>[10]</w:t>
          </w:r>
        </w:sdtContent>
      </w:sdt>
      <w:r w:rsidRPr="00A431F4">
        <w:rPr>
          <w:sz w:val="20"/>
          <w:szCs w:val="20"/>
        </w:rPr>
        <w:t>.</w:t>
      </w:r>
    </w:p>
    <w:p w14:paraId="12588DDD" w14:textId="77777777" w:rsidR="00D36E31" w:rsidRPr="00A431F4" w:rsidRDefault="00D36E31" w:rsidP="00D36E31">
      <w:pPr>
        <w:rPr>
          <w:sz w:val="20"/>
          <w:szCs w:val="20"/>
        </w:rPr>
      </w:pPr>
      <w:r w:rsidRPr="00A431F4">
        <w:rPr>
          <w:sz w:val="20"/>
          <w:szCs w:val="20"/>
        </w:rPr>
        <w:t>Effective protection across the lifecycle enhances system resilience, enabling AI systems to operate safely, reliably, and responsibly in real-world environments.</w:t>
      </w:r>
    </w:p>
    <w:p w14:paraId="6A471240" w14:textId="77777777" w:rsidR="00D36E31" w:rsidRPr="00AD1009" w:rsidRDefault="00D36E31" w:rsidP="00DA1586">
      <w:pPr>
        <w:pStyle w:val="Heading1"/>
      </w:pPr>
      <w:bookmarkStart w:id="20" w:name="_Toc218546904"/>
      <w:r w:rsidRPr="00AD1009">
        <w:t>Detecting Problems in AI Systems</w:t>
      </w:r>
      <w:bookmarkEnd w:id="20"/>
    </w:p>
    <w:p w14:paraId="43941F94" w14:textId="77777777" w:rsidR="00D36E31" w:rsidRPr="00AD1009" w:rsidRDefault="00D36E31" w:rsidP="00D36E31">
      <w:pPr>
        <w:rPr>
          <w:sz w:val="20"/>
          <w:szCs w:val="20"/>
        </w:rPr>
      </w:pPr>
      <w:r w:rsidRPr="00AD1009">
        <w:rPr>
          <w:sz w:val="20"/>
          <w:szCs w:val="20"/>
        </w:rPr>
        <w:t>Even with robust preventative controls and lifecycle protections in place, AI systems remain vulnerable to degradation, failure, and unintended behaviour once deployed. Changes in data distributions, evolving user behaviour, and emerging security threats can all undermine model performance over time. Effective AI governance therefore requires continuous detection mechanisms that identify problems early and enable timely intervention before harm escalates.</w:t>
      </w:r>
    </w:p>
    <w:p w14:paraId="248C540C" w14:textId="0FB2CD7E" w:rsidR="00D36E31" w:rsidRPr="00AD1009" w:rsidRDefault="00D36E31" w:rsidP="00D36E31">
      <w:pPr>
        <w:rPr>
          <w:sz w:val="20"/>
          <w:szCs w:val="20"/>
        </w:rPr>
      </w:pPr>
      <w:r w:rsidRPr="00AD1009">
        <w:rPr>
          <w:sz w:val="20"/>
          <w:szCs w:val="20"/>
        </w:rPr>
        <w:t xml:space="preserve">Continuous monitoring is a core governance control for deployed AI systems. Organisations must track not only technical performance metrics such as accuracy and latency, but also indicators related to fairness, stability, and </w:t>
      </w:r>
      <w:r w:rsidRPr="00A431F4">
        <w:rPr>
          <w:sz w:val="20"/>
          <w:szCs w:val="20"/>
        </w:rPr>
        <w:t>reliability</w:t>
      </w:r>
      <w:sdt>
        <w:sdtPr>
          <w:rPr>
            <w:rFonts w:ascii="Aptos" w:hAnsi="Aptos"/>
            <w:color w:val="000000"/>
            <w:sz w:val="20"/>
            <w:szCs w:val="20"/>
            <w:highlight w:val="white"/>
          </w:rPr>
          <w:alias w:val="Citation"/>
          <w:tag w:val="{&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7219100,&quot;citationText&quot;:&quot;&lt;span style=\&quot;font-family:Aptos;font-size:16px;color:#000000\&quot;&gt;[9]&lt;/span&gt;&quot;}"/>
          <w:id w:val="-547219100"/>
          <w:placeholder>
            <w:docPart w:val="7C9C2BDF1CA1484AA3233D8BE8C87A47"/>
          </w:placeholder>
        </w:sdtPr>
        <w:sdtContent>
          <w:r w:rsidRPr="00A431F4">
            <w:rPr>
              <w:rFonts w:ascii="Aptos" w:eastAsia="Times New Roman" w:hAnsi="Aptos"/>
              <w:color w:val="000000"/>
              <w:sz w:val="20"/>
              <w:szCs w:val="20"/>
            </w:rPr>
            <w:t>[9]</w:t>
          </w:r>
        </w:sdtContent>
      </w:sdt>
      <w:r w:rsidRPr="00A431F4">
        <w:rPr>
          <w:sz w:val="20"/>
          <w:szCs w:val="20"/>
        </w:rPr>
        <w:t xml:space="preserve">. Model drift can occur when real-world data no longer reflects training conditions, leading to biased or inaccurate outcomes. Early detection of such drift allows organisations to </w:t>
      </w:r>
      <w:r w:rsidRPr="00A431F4">
        <w:rPr>
          <w:sz w:val="20"/>
          <w:szCs w:val="20"/>
        </w:rPr>
        <w:t>initiate corrective actions, including retraining,</w:t>
      </w:r>
      <w:r w:rsidRPr="00AD1009">
        <w:rPr>
          <w:sz w:val="20"/>
          <w:szCs w:val="20"/>
        </w:rPr>
        <w:t xml:space="preserve"> recalibration, or temporary suspension of system use, thereby limiting the spread of harm.</w:t>
      </w:r>
    </w:p>
    <w:p w14:paraId="36811DB0" w14:textId="691C4706" w:rsidR="00D36E31" w:rsidRPr="00AD1009" w:rsidRDefault="00D36E31" w:rsidP="00D36E31">
      <w:pPr>
        <w:rPr>
          <w:sz w:val="20"/>
          <w:szCs w:val="20"/>
        </w:rPr>
      </w:pPr>
      <w:r w:rsidRPr="00AD1009">
        <w:rPr>
          <w:sz w:val="20"/>
          <w:szCs w:val="20"/>
        </w:rPr>
        <w:t xml:space="preserve">Detection also plays a critical role in protecting AI systems from malicious activity. Monitoring tools can identify unusual input patterns, repeated probing attempts, or sudden behavioural changes that may signal adversarial </w:t>
      </w:r>
      <w:r w:rsidRPr="00A431F4">
        <w:rPr>
          <w:sz w:val="20"/>
          <w:szCs w:val="20"/>
        </w:rPr>
        <w:t>attacks, data poisoning, or unauthorised access</w:t>
      </w:r>
      <w:sdt>
        <w:sdtPr>
          <w:rPr>
            <w:rFonts w:ascii="Aptos" w:hAnsi="Aptos"/>
            <w:color w:val="000000"/>
            <w:sz w:val="20"/>
            <w:szCs w:val="20"/>
            <w:highlight w:val="white"/>
          </w:rPr>
          <w:alias w:val="Citation"/>
          <w:tag w:val="{&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0313012,&quot;citationText&quot;:&quot;&lt;span style=\&quot;font-family:Aptos;font-size:16px;color:#000000\&quot;&gt;[9]&lt;/span&gt;&quot;}"/>
          <w:id w:val="1610313012"/>
          <w:placeholder>
            <w:docPart w:val="B4C10DDD591441E29BC52ED609B00E25"/>
          </w:placeholder>
        </w:sdtPr>
        <w:sdtContent>
          <w:r w:rsidRPr="00A431F4">
            <w:rPr>
              <w:rFonts w:ascii="Aptos" w:eastAsia="Times New Roman" w:hAnsi="Aptos"/>
              <w:color w:val="000000"/>
              <w:sz w:val="20"/>
              <w:szCs w:val="20"/>
            </w:rPr>
            <w:t>[9]</w:t>
          </w:r>
        </w:sdtContent>
      </w:sdt>
      <w:r w:rsidRPr="00A431F4">
        <w:rPr>
          <w:sz w:val="20"/>
          <w:szCs w:val="20"/>
        </w:rPr>
        <w:t>. Rapid identification of security threats helps preserve system integrity and reinforces trust among users, regulators, and stakeholders.</w:t>
      </w:r>
    </w:p>
    <w:p w14:paraId="125CADCD" w14:textId="77777777" w:rsidR="00D36E31" w:rsidRPr="00AD1009" w:rsidRDefault="00D36E31" w:rsidP="00D36E31">
      <w:pPr>
        <w:rPr>
          <w:sz w:val="20"/>
          <w:szCs w:val="20"/>
        </w:rPr>
      </w:pPr>
      <w:r w:rsidRPr="00AD1009">
        <w:rPr>
          <w:sz w:val="20"/>
          <w:szCs w:val="20"/>
        </w:rPr>
        <w:t>Auditability and traceability further strengthen detection capabilities. Comprehensive logging of model decisions, data usage, and system access enables organisations to investigate incidents, demonstrate accountability, and support regulatory audits. In high-risk contexts, such transparency is essential for understanding how and why failures occur, as well as for proving compliance with legal and ethical requirements.</w:t>
      </w:r>
    </w:p>
    <w:p w14:paraId="0884422E" w14:textId="77777777" w:rsidR="00D36E31" w:rsidRPr="00AD1009" w:rsidRDefault="00D36E31" w:rsidP="00D36E31">
      <w:pPr>
        <w:rPr>
          <w:sz w:val="20"/>
          <w:szCs w:val="20"/>
        </w:rPr>
      </w:pPr>
      <w:r w:rsidRPr="00AD1009">
        <w:rPr>
          <w:sz w:val="20"/>
          <w:szCs w:val="20"/>
        </w:rPr>
        <w:t>Finally, detection mechanisms must extend beyond technical monitoring to include ongoing ethical and legal review. As regulations, societal expectations, and organisational values evolve, AI systems that were once compliant may no longer meet required standards. Regular reviews ensure that systems remain aligned with current legal obligations and ethical norms, allowing governance frameworks to adapt proactively rather than reactively.</w:t>
      </w:r>
    </w:p>
    <w:p w14:paraId="54EB94BC" w14:textId="77777777" w:rsidR="00D36E31" w:rsidRPr="00AD1009" w:rsidRDefault="00D36E31" w:rsidP="00DA1586">
      <w:pPr>
        <w:pStyle w:val="Heading1"/>
      </w:pPr>
      <w:bookmarkStart w:id="21" w:name="_Toc218546905"/>
      <w:r w:rsidRPr="00AD1009">
        <w:t>Responding to AI Incidents in Real Time</w:t>
      </w:r>
      <w:bookmarkEnd w:id="21"/>
    </w:p>
    <w:p w14:paraId="6CB5C8B6" w14:textId="77777777" w:rsidR="00D36E31" w:rsidRPr="00AD1009" w:rsidRDefault="00D36E31" w:rsidP="00D36E31">
      <w:pPr>
        <w:rPr>
          <w:sz w:val="20"/>
          <w:szCs w:val="20"/>
        </w:rPr>
      </w:pPr>
      <w:r w:rsidRPr="00AD1009">
        <w:rPr>
          <w:sz w:val="20"/>
          <w:szCs w:val="20"/>
        </w:rPr>
        <w:t>Detecting issues in AI systems is only effective if organisations can respond quickly and decisively. Given the speed and scale at which AI systems operate, delayed responses can allow errors, bias, or security breaches to spread rapidly. Effective AI governance therefore requires response mechanisms that combine automated controls with clearly defined human oversight.</w:t>
      </w:r>
    </w:p>
    <w:p w14:paraId="14E1D4D9" w14:textId="7F46BF7E" w:rsidR="00D36E31" w:rsidRPr="00A431F4" w:rsidRDefault="00D36E31" w:rsidP="00D36E31">
      <w:pPr>
        <w:rPr>
          <w:sz w:val="20"/>
          <w:szCs w:val="20"/>
        </w:rPr>
      </w:pPr>
      <w:r w:rsidRPr="00AD1009">
        <w:rPr>
          <w:sz w:val="20"/>
          <w:szCs w:val="20"/>
        </w:rPr>
        <w:lastRenderedPageBreak/>
        <w:t xml:space="preserve">Automated response capabilities play a critical role in containing harm. Features such as model rollback allow organisations to revert to </w:t>
      </w:r>
      <w:r w:rsidRPr="00A431F4">
        <w:rPr>
          <w:sz w:val="20"/>
          <w:szCs w:val="20"/>
        </w:rPr>
        <w:t>previously approved and validated model versions when performance degrades or unintended behaviour is detected</w:t>
      </w:r>
      <w:sdt>
        <w:sdtPr>
          <w:rPr>
            <w:rFonts w:ascii="Aptos" w:hAnsi="Aptos"/>
            <w:color w:val="000000"/>
            <w:sz w:val="20"/>
            <w:szCs w:val="20"/>
            <w:highlight w:val="white"/>
          </w:rPr>
          <w:alias w:val="Citation"/>
          <w:tag w:val="{&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195780,&quot;citationText&quot;:&quot;&lt;span style=\&quot;font-family:Aptos;font-size:16px;color:#000000\&quot;&gt;[9]&lt;/span&gt;&quot;}"/>
          <w:id w:val="-174195780"/>
          <w:placeholder>
            <w:docPart w:val="34B596EEC39E4EE99764665F134DE150"/>
          </w:placeholder>
        </w:sdtPr>
        <w:sdtContent>
          <w:r w:rsidRPr="00A431F4">
            <w:rPr>
              <w:rFonts w:ascii="Aptos" w:eastAsia="Times New Roman" w:hAnsi="Aptos"/>
              <w:color w:val="000000"/>
              <w:sz w:val="20"/>
              <w:szCs w:val="20"/>
            </w:rPr>
            <w:t>[9]</w:t>
          </w:r>
        </w:sdtContent>
      </w:sdt>
      <w:r w:rsidRPr="00A431F4">
        <w:rPr>
          <w:sz w:val="20"/>
          <w:szCs w:val="20"/>
        </w:rPr>
        <w:t>. This limits the operational impact of failures and prevents flawed models from continuing to influence decisions. Similarly, real-time alerting systems enable rapid escalation to engineers, security teams, compliance officers, and management when predefined thresholds are breached, ensuring accountability and informed intervention.</w:t>
      </w:r>
    </w:p>
    <w:p w14:paraId="36AF3D82" w14:textId="1A6ABBC9" w:rsidR="00D36E31" w:rsidRPr="00A431F4" w:rsidRDefault="00D36E31" w:rsidP="00D36E31">
      <w:pPr>
        <w:rPr>
          <w:sz w:val="20"/>
          <w:szCs w:val="20"/>
        </w:rPr>
      </w:pPr>
      <w:r w:rsidRPr="00A431F4">
        <w:rPr>
          <w:sz w:val="20"/>
          <w:szCs w:val="20"/>
        </w:rPr>
        <w:t>MLOps frameworks further support effective response by automating retraining, deployment, validation, and monitoring processes. Automation improves consistency, reduces human error, and allows systems to adapt to changing data or environments while remaining aligned with governance controls. In cases of suspected compromise or severe malfunction, isolation and containment mechanisms can automatically restrict system access or suspend operation, limiting the spread of harm while investigations and remediation take place</w:t>
      </w:r>
      <w:sdt>
        <w:sdtPr>
          <w:rPr>
            <w:rFonts w:ascii="Aptos" w:hAnsi="Aptos"/>
            <w:color w:val="000000"/>
            <w:sz w:val="20"/>
            <w:szCs w:val="20"/>
            <w:highlight w:val="white"/>
          </w:rPr>
          <w:alias w:val="Citation"/>
          <w:tag w:val="{&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984049,&quot;citationText&quot;:&quot;&lt;span style=\&quot;font-family:Aptos;font-size:16px;color:#000000\&quot;&gt;[9]&lt;/span&gt;&quot;}"/>
          <w:id w:val="992984049"/>
          <w:placeholder>
            <w:docPart w:val="D5A0601BDCEC4A338391A43A6D871A94"/>
          </w:placeholder>
        </w:sdtPr>
        <w:sdtContent>
          <w:r w:rsidRPr="00A431F4">
            <w:rPr>
              <w:rFonts w:ascii="Aptos" w:eastAsia="Times New Roman" w:hAnsi="Aptos"/>
              <w:color w:val="000000"/>
              <w:sz w:val="20"/>
              <w:szCs w:val="20"/>
            </w:rPr>
            <w:t>[9]</w:t>
          </w:r>
        </w:sdtContent>
      </w:sdt>
      <w:r w:rsidRPr="00A431F4">
        <w:rPr>
          <w:sz w:val="20"/>
          <w:szCs w:val="20"/>
        </w:rPr>
        <w:t>.</w:t>
      </w:r>
    </w:p>
    <w:p w14:paraId="7BD7724C" w14:textId="77777777" w:rsidR="00D36E31" w:rsidRPr="00AD1009" w:rsidRDefault="00D36E31" w:rsidP="00DA1586">
      <w:pPr>
        <w:pStyle w:val="Heading2"/>
      </w:pPr>
      <w:bookmarkStart w:id="22" w:name="_Toc218546906"/>
      <w:r w:rsidRPr="00AD1009">
        <w:t>Embedding Response Within a Comprehensive AI Governance Framework</w:t>
      </w:r>
      <w:bookmarkEnd w:id="22"/>
    </w:p>
    <w:p w14:paraId="1348D828" w14:textId="426E61D6" w:rsidR="00D36E31" w:rsidRPr="00AD1009" w:rsidRDefault="00D36E31" w:rsidP="00D36E31">
      <w:pPr>
        <w:rPr>
          <w:sz w:val="20"/>
          <w:szCs w:val="20"/>
        </w:rPr>
      </w:pPr>
      <w:r w:rsidRPr="00AD1009">
        <w:rPr>
          <w:sz w:val="20"/>
          <w:szCs w:val="20"/>
        </w:rPr>
        <w:t xml:space="preserve">While automation is essential, it is not sufficient on its own. A comprehensive AI governance framework ensures that response mechanisms </w:t>
      </w:r>
      <w:r w:rsidRPr="00A431F4">
        <w:rPr>
          <w:sz w:val="20"/>
          <w:szCs w:val="20"/>
        </w:rPr>
        <w:t>operate within clearly defined organisational structures, policies, and accountability arrangements</w:t>
      </w:r>
      <w:sdt>
        <w:sdtPr>
          <w:rPr>
            <w:rFonts w:ascii="Aptos" w:hAnsi="Aptos"/>
            <w:color w:val="000000"/>
            <w:sz w:val="20"/>
            <w:szCs w:val="20"/>
            <w:highlight w:val="white"/>
          </w:rPr>
          <w:alias w:val="Citation"/>
          <w:tag w:val="{&quot;referencesIds&quot;:[&quot;doc:6957c56990689d25615c3e8c&quot;],&quot;referencesOptions&quot;:{&quot;doc:6957c56990689d25615c3e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2208868,&quot;citationText&quot;:&quot;&lt;span style=\&quot;font-family:Aptos;font-size:16px;color:#000000\&quot;&gt;[10]&lt;/span&gt;&quot;}"/>
          <w:id w:val="-652208868"/>
          <w:placeholder>
            <w:docPart w:val="EDE273CCA71E41C59F9B201C1AB21ACB"/>
          </w:placeholder>
        </w:sdtPr>
        <w:sdtContent>
          <w:r w:rsidRPr="00A431F4">
            <w:rPr>
              <w:rFonts w:ascii="Aptos" w:eastAsia="Times New Roman" w:hAnsi="Aptos"/>
              <w:color w:val="000000"/>
              <w:sz w:val="20"/>
              <w:szCs w:val="20"/>
            </w:rPr>
            <w:t>[10]</w:t>
          </w:r>
        </w:sdtContent>
      </w:sdt>
      <w:r w:rsidRPr="00A431F4">
        <w:rPr>
          <w:sz w:val="20"/>
          <w:szCs w:val="20"/>
        </w:rPr>
        <w:t>. Governance provides the context that determines when</w:t>
      </w:r>
      <w:r w:rsidRPr="00AD1009">
        <w:rPr>
          <w:sz w:val="20"/>
          <w:szCs w:val="20"/>
        </w:rPr>
        <w:t xml:space="preserve"> systems may act autonomously, when human intervention is required, and who is ultimately responsible for decisions and outcomes.</w:t>
      </w:r>
    </w:p>
    <w:p w14:paraId="6C992476" w14:textId="5B4F185F" w:rsidR="00D36E31" w:rsidRPr="00A431F4" w:rsidRDefault="00D36E31" w:rsidP="00D36E31">
      <w:pPr>
        <w:rPr>
          <w:sz w:val="20"/>
          <w:szCs w:val="20"/>
        </w:rPr>
      </w:pPr>
      <w:r w:rsidRPr="00AD1009">
        <w:rPr>
          <w:sz w:val="20"/>
          <w:szCs w:val="20"/>
        </w:rPr>
        <w:t xml:space="preserve">Clear policies and standards define acceptable AI use, risk tolerance, escalation procedures, and compliance requirements. These policies ensure consistent governance across large or complex organisations and prevent fragmented or ad-hoc responses to incidents. Defined </w:t>
      </w:r>
      <w:r w:rsidRPr="00AD1009">
        <w:rPr>
          <w:sz w:val="20"/>
          <w:szCs w:val="20"/>
        </w:rPr>
        <w:t>oversight roles such as AI ethics committees, governance boards, and data protection officers maintain accountability and ensure that high-</w:t>
      </w:r>
      <w:r w:rsidRPr="00A431F4">
        <w:rPr>
          <w:sz w:val="20"/>
          <w:szCs w:val="20"/>
        </w:rPr>
        <w:t>impact decisions remain subject to human judgement</w:t>
      </w:r>
      <w:sdt>
        <w:sdtPr>
          <w:rPr>
            <w:rFonts w:ascii="Aptos" w:hAnsi="Aptos"/>
            <w:color w:val="000000"/>
            <w:sz w:val="20"/>
            <w:szCs w:val="20"/>
            <w:highlight w:val="white"/>
          </w:rPr>
          <w:alias w:val="Citation"/>
          <w:tag w:val="{&quot;referencesIds&quot;:[&quot;doc:6957c56990689d25615c3e8c&quot;],&quot;referencesOptions&quot;:{&quot;doc:6957c56990689d25615c3e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2870638,&quot;citationText&quot;:&quot;&lt;span style=\&quot;font-family:Aptos;font-size:16px;color:#000000\&quot;&gt;[10]&lt;/span&gt;&quot;}"/>
          <w:id w:val="2082870638"/>
          <w:placeholder>
            <w:docPart w:val="DF526B0D0F7B4661ACB22BA2F7543AF3"/>
          </w:placeholder>
        </w:sdtPr>
        <w:sdtContent>
          <w:r w:rsidRPr="00A431F4">
            <w:rPr>
              <w:rFonts w:ascii="Aptos" w:eastAsia="Times New Roman" w:hAnsi="Aptos"/>
              <w:color w:val="000000"/>
              <w:sz w:val="20"/>
              <w:szCs w:val="20"/>
            </w:rPr>
            <w:t>[10]</w:t>
          </w:r>
        </w:sdtContent>
      </w:sdt>
      <w:r w:rsidRPr="00A431F4">
        <w:rPr>
          <w:sz w:val="20"/>
          <w:szCs w:val="20"/>
        </w:rPr>
        <w:t>.</w:t>
      </w:r>
    </w:p>
    <w:p w14:paraId="4A18A9F8" w14:textId="77777777" w:rsidR="00D36E31" w:rsidRPr="00AD1009" w:rsidRDefault="00D36E31" w:rsidP="00D36E31">
      <w:pPr>
        <w:rPr>
          <w:sz w:val="20"/>
          <w:szCs w:val="20"/>
        </w:rPr>
      </w:pPr>
      <w:r w:rsidRPr="00A431F4">
        <w:rPr>
          <w:sz w:val="20"/>
          <w:szCs w:val="20"/>
        </w:rPr>
        <w:t>Training and organisational awareness are also critical. Employees involved</w:t>
      </w:r>
      <w:r w:rsidRPr="00AD1009">
        <w:rPr>
          <w:sz w:val="20"/>
          <w:szCs w:val="20"/>
        </w:rPr>
        <w:t xml:space="preserve"> in the development, deployment, and oversight of AI systems must understand governance requirements, ethical responsibilities, and response procedures. A culture that values transparency, responsibility, and continuous improvement enable organisations to prioritise safety and trust over short-term performance gains, strengthening long-term resilience</w:t>
      </w:r>
      <w:r>
        <w:rPr>
          <w:sz w:val="20"/>
          <w:szCs w:val="20"/>
        </w:rPr>
        <w:t>.</w:t>
      </w:r>
    </w:p>
    <w:p w14:paraId="2F3D6689" w14:textId="77777777" w:rsidR="00D36E31" w:rsidRPr="00AD1009" w:rsidRDefault="00D36E31" w:rsidP="00DA1586">
      <w:pPr>
        <w:pStyle w:val="Heading1"/>
      </w:pPr>
      <w:bookmarkStart w:id="23" w:name="_Toc218546907"/>
      <w:r w:rsidRPr="00AD1009">
        <w:t>Case Examples</w:t>
      </w:r>
      <w:bookmarkEnd w:id="23"/>
    </w:p>
    <w:p w14:paraId="61936EA2" w14:textId="6A475CC9" w:rsidR="00D36E31" w:rsidRPr="00AD1009" w:rsidRDefault="00D36E31" w:rsidP="00D36E31">
      <w:pPr>
        <w:rPr>
          <w:sz w:val="20"/>
          <w:szCs w:val="20"/>
        </w:rPr>
      </w:pPr>
      <w:r w:rsidRPr="00AD1009">
        <w:rPr>
          <w:sz w:val="20"/>
          <w:szCs w:val="20"/>
        </w:rPr>
        <w:t>Real</w:t>
      </w:r>
      <w:r w:rsidRPr="00AD1009">
        <w:rPr>
          <w:sz w:val="20"/>
          <w:szCs w:val="20"/>
        </w:rPr>
        <w:noBreakHyphen/>
        <w:t>world applications of AI decision</w:t>
      </w:r>
      <w:r w:rsidRPr="00AD1009">
        <w:rPr>
          <w:sz w:val="20"/>
          <w:szCs w:val="20"/>
        </w:rPr>
        <w:noBreakHyphen/>
        <w:t xml:space="preserve">support systems show that ethical outcomes depend strongly on how these systems are designed, implemented, and governed. As summarised in the </w:t>
      </w:r>
      <w:r w:rsidR="002E4275">
        <w:rPr>
          <w:b/>
          <w:bCs/>
          <w:sz w:val="20"/>
          <w:szCs w:val="20"/>
        </w:rPr>
        <w:t>figure 2</w:t>
      </w:r>
      <w:r w:rsidRPr="00AD1009">
        <w:rPr>
          <w:sz w:val="20"/>
          <w:szCs w:val="20"/>
        </w:rPr>
        <w:t>, well</w:t>
      </w:r>
      <w:r w:rsidRPr="00AD1009">
        <w:rPr>
          <w:sz w:val="20"/>
          <w:szCs w:val="20"/>
        </w:rPr>
        <w:noBreakHyphen/>
        <w:t xml:space="preserve">governed AI deployments can deliver significant benefits, whereas poorly governed systems have led to serious ethical </w:t>
      </w:r>
      <w:r w:rsidRPr="00A431F4">
        <w:rPr>
          <w:sz w:val="20"/>
          <w:szCs w:val="20"/>
        </w:rPr>
        <w:t>failures, including discrimination and breaches of privacy</w:t>
      </w:r>
      <w:sdt>
        <w:sdtPr>
          <w:rPr>
            <w:rFonts w:ascii="Aptos" w:hAnsi="Aptos"/>
            <w:color w:val="000000"/>
            <w:sz w:val="20"/>
            <w:szCs w:val="20"/>
            <w:highlight w:val="white"/>
          </w:rPr>
          <w:alias w:val="Citation"/>
          <w:tag w:val="{&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878627,&quot;citationText&quot;:&quot;&lt;span style=\&quot;font-family:Aptos;font-size:16px;color:#000000\&quot;&gt;[6]&lt;/span&gt;&quot;}"/>
          <w:id w:val="-61878627"/>
          <w:placeholder>
            <w:docPart w:val="422EBFC7440D4770B082832363ECAC8B"/>
          </w:placeholder>
        </w:sdtPr>
        <w:sdtContent>
          <w:r w:rsidRPr="00A431F4">
            <w:rPr>
              <w:rFonts w:ascii="Aptos" w:eastAsia="Times New Roman" w:hAnsi="Aptos"/>
              <w:color w:val="000000"/>
              <w:sz w:val="20"/>
              <w:szCs w:val="20"/>
            </w:rPr>
            <w:t>[6]</w:t>
          </w:r>
        </w:sdtContent>
      </w:sdt>
      <w:r w:rsidRPr="00A431F4">
        <w:rPr>
          <w:sz w:val="20"/>
          <w:szCs w:val="20"/>
        </w:rPr>
        <w:t>.</w:t>
      </w:r>
    </w:p>
    <w:p w14:paraId="70082706" w14:textId="148C0FCF" w:rsidR="00D36E31" w:rsidRPr="00A431F4" w:rsidRDefault="00D36E31" w:rsidP="00D36E31">
      <w:pPr>
        <w:rPr>
          <w:sz w:val="20"/>
          <w:szCs w:val="20"/>
        </w:rPr>
      </w:pPr>
      <w:r w:rsidRPr="00AD1009">
        <w:rPr>
          <w:sz w:val="20"/>
          <w:szCs w:val="20"/>
        </w:rPr>
        <w:t xml:space="preserve">The first case study, </w:t>
      </w:r>
      <w:r w:rsidRPr="00AD1009">
        <w:rPr>
          <w:b/>
          <w:bCs/>
          <w:sz w:val="20"/>
          <w:szCs w:val="20"/>
        </w:rPr>
        <w:t>Ethical AI in Healthcare</w:t>
      </w:r>
      <w:r w:rsidRPr="00AD1009">
        <w:rPr>
          <w:sz w:val="20"/>
          <w:szCs w:val="20"/>
        </w:rPr>
        <w:t>, demonstrates how AI can be deployed responsibly to support clinical decision</w:t>
      </w:r>
      <w:r w:rsidRPr="00AD1009">
        <w:rPr>
          <w:sz w:val="20"/>
          <w:szCs w:val="20"/>
        </w:rPr>
        <w:noBreakHyphen/>
        <w:t xml:space="preserve">making. Diagnostic tools used for detecting conditions such as cancer and cardiovascular disease have improved accuracy and efficiency while </w:t>
      </w:r>
      <w:r w:rsidRPr="00A431F4">
        <w:rPr>
          <w:sz w:val="20"/>
          <w:szCs w:val="20"/>
        </w:rPr>
        <w:t>maintaining essential human oversight. By positioning AI as an assistive technology and ensuring that medical professionals retain final decision</w:t>
      </w:r>
      <w:r w:rsidRPr="00A431F4">
        <w:rPr>
          <w:sz w:val="20"/>
          <w:szCs w:val="20"/>
        </w:rPr>
        <w:noBreakHyphen/>
        <w:t>making authority, these systems reduce the risks associated with full automation and uphold key ethical principles such as accountability and patient safety</w:t>
      </w:r>
      <w:sdt>
        <w:sdtPr>
          <w:rPr>
            <w:rFonts w:ascii="Aptos" w:hAnsi="Aptos"/>
            <w:color w:val="000000"/>
            <w:sz w:val="20"/>
            <w:szCs w:val="20"/>
            <w:highlight w:val="white"/>
          </w:rPr>
          <w:alias w:val="Citation"/>
          <w:tag w:val="{&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5078743,&quot;citationText&quot;:&quot;&lt;span style=\&quot;font-family:Aptos;font-size:16px;color:#000000\&quot;&gt;[6]&lt;/span&gt;&quot;}"/>
          <w:id w:val="1285078743"/>
          <w:placeholder>
            <w:docPart w:val="E02A498D44CF47E8A4526B7ADD9F64F6"/>
          </w:placeholder>
        </w:sdtPr>
        <w:sdtContent>
          <w:r w:rsidRPr="00A431F4">
            <w:rPr>
              <w:rFonts w:ascii="Aptos" w:eastAsia="Times New Roman" w:hAnsi="Aptos"/>
              <w:color w:val="000000"/>
              <w:sz w:val="20"/>
              <w:szCs w:val="20"/>
            </w:rPr>
            <w:t>[6]</w:t>
          </w:r>
        </w:sdtContent>
      </w:sdt>
      <w:r w:rsidRPr="00A431F4">
        <w:rPr>
          <w:sz w:val="20"/>
          <w:szCs w:val="20"/>
        </w:rPr>
        <w:t>.</w:t>
      </w:r>
    </w:p>
    <w:p w14:paraId="03CDF9C9" w14:textId="1F806FBA" w:rsidR="00D36E31" w:rsidRPr="00AD1009" w:rsidRDefault="00D36E31" w:rsidP="00D36E31">
      <w:pPr>
        <w:rPr>
          <w:sz w:val="20"/>
          <w:szCs w:val="20"/>
        </w:rPr>
      </w:pPr>
      <w:r w:rsidRPr="00A431F4">
        <w:rPr>
          <w:sz w:val="20"/>
          <w:szCs w:val="20"/>
        </w:rPr>
        <w:t xml:space="preserve">In contrast, </w:t>
      </w:r>
      <w:r w:rsidR="002E4275">
        <w:rPr>
          <w:sz w:val="20"/>
          <w:szCs w:val="20"/>
        </w:rPr>
        <w:t xml:space="preserve">figure 2 </w:t>
      </w:r>
      <w:r w:rsidRPr="00A431F4">
        <w:rPr>
          <w:sz w:val="20"/>
          <w:szCs w:val="20"/>
        </w:rPr>
        <w:t xml:space="preserve">also highlights examples of unethical AI use within organizations. The </w:t>
      </w:r>
      <w:r w:rsidRPr="00A431F4">
        <w:rPr>
          <w:b/>
          <w:bCs/>
          <w:sz w:val="20"/>
          <w:szCs w:val="20"/>
        </w:rPr>
        <w:t>AI Bias in Hiring</w:t>
      </w:r>
      <w:r w:rsidRPr="00A431F4">
        <w:rPr>
          <w:sz w:val="20"/>
          <w:szCs w:val="20"/>
        </w:rPr>
        <w:t xml:space="preserve"> case shows how recruitment algorithms have reproduced gender and racial biases when trained on historically biased hiring data, resulting in discriminatory outcomes</w:t>
      </w:r>
      <w:r w:rsidRPr="00AD1009">
        <w:rPr>
          <w:sz w:val="20"/>
          <w:szCs w:val="20"/>
        </w:rPr>
        <w:t xml:space="preserve"> rather than promoting fairness. Similarly, the </w:t>
      </w:r>
      <w:r w:rsidRPr="00AD1009">
        <w:rPr>
          <w:b/>
          <w:bCs/>
          <w:sz w:val="20"/>
          <w:szCs w:val="20"/>
        </w:rPr>
        <w:lastRenderedPageBreak/>
        <w:t>Discriminatory Learning Algorithms</w:t>
      </w:r>
      <w:r w:rsidRPr="00AD1009">
        <w:rPr>
          <w:sz w:val="20"/>
          <w:szCs w:val="20"/>
        </w:rPr>
        <w:t xml:space="preserve"> case illustrates how lending systems in financial services have disproportionately disadvantaged low</w:t>
      </w:r>
      <w:r w:rsidRPr="00AD1009">
        <w:rPr>
          <w:sz w:val="20"/>
          <w:szCs w:val="20"/>
        </w:rPr>
        <w:noBreakHyphen/>
        <w:t xml:space="preserve">income and minority applicants by relying on biased historical decision data. These cases highlight the role of governance mechanisms such as bias audits, human oversight requirements, and accountability structures in </w:t>
      </w:r>
      <w:r w:rsidRPr="00A431F4">
        <w:rPr>
          <w:sz w:val="20"/>
          <w:szCs w:val="20"/>
        </w:rPr>
        <w:t>determining whether AI systems produce ethical or harmful outcomes</w:t>
      </w:r>
      <w:sdt>
        <w:sdtPr>
          <w:rPr>
            <w:rFonts w:ascii="Aptos" w:hAnsi="Aptos"/>
            <w:color w:val="000000"/>
            <w:sz w:val="20"/>
            <w:szCs w:val="20"/>
            <w:highlight w:val="white"/>
          </w:rPr>
          <w:alias w:val="Citation"/>
          <w:tag w:val="{&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0484317,&quot;citationText&quot;:&quot;&lt;span style=\&quot;font-family:Aptos;font-size:16px;color:#000000\&quot;&gt;[6]&lt;/span&gt;&quot;}"/>
          <w:id w:val="540484317"/>
          <w:placeholder>
            <w:docPart w:val="4A4EB8A57679440BA8144A4F784781BB"/>
          </w:placeholder>
        </w:sdtPr>
        <w:sdtContent>
          <w:r w:rsidRPr="00A431F4">
            <w:rPr>
              <w:rFonts w:ascii="Aptos" w:eastAsia="Times New Roman" w:hAnsi="Aptos"/>
              <w:color w:val="000000"/>
              <w:sz w:val="20"/>
              <w:szCs w:val="20"/>
            </w:rPr>
            <w:t>[6]</w:t>
          </w:r>
        </w:sdtContent>
      </w:sdt>
      <w:r w:rsidRPr="00A431F4">
        <w:rPr>
          <w:sz w:val="20"/>
          <w:szCs w:val="20"/>
        </w:rPr>
        <w:t>.</w:t>
      </w:r>
    </w:p>
    <w:tbl>
      <w:tblPr>
        <w:tblStyle w:val="TableGrid"/>
        <w:tblW w:w="4481" w:type="dxa"/>
        <w:tblLook w:val="04A0" w:firstRow="1" w:lastRow="0" w:firstColumn="1" w:lastColumn="0" w:noHBand="0" w:noVBand="1"/>
      </w:tblPr>
      <w:tblGrid>
        <w:gridCol w:w="2205"/>
        <w:gridCol w:w="2276"/>
      </w:tblGrid>
      <w:tr w:rsidR="00D36E31" w:rsidRPr="00AD1009" w14:paraId="09E5EC7A" w14:textId="77777777" w:rsidTr="00DA1586">
        <w:trPr>
          <w:trHeight w:val="236"/>
        </w:trPr>
        <w:tc>
          <w:tcPr>
            <w:tcW w:w="2205" w:type="dxa"/>
          </w:tcPr>
          <w:p w14:paraId="0FF43704" w14:textId="77777777" w:rsidR="00D36E31" w:rsidRPr="00AD1009" w:rsidRDefault="00D36E31" w:rsidP="00B03FAA">
            <w:pPr>
              <w:rPr>
                <w:sz w:val="16"/>
                <w:szCs w:val="16"/>
              </w:rPr>
            </w:pPr>
            <w:r w:rsidRPr="00AD1009">
              <w:rPr>
                <w:sz w:val="16"/>
                <w:szCs w:val="16"/>
              </w:rPr>
              <w:t>Case Study</w:t>
            </w:r>
          </w:p>
          <w:p w14:paraId="26EF4143" w14:textId="77777777" w:rsidR="00D36E31" w:rsidRPr="00AD1009" w:rsidRDefault="00D36E31" w:rsidP="00B03FAA">
            <w:pPr>
              <w:rPr>
                <w:sz w:val="16"/>
                <w:szCs w:val="16"/>
              </w:rPr>
            </w:pPr>
          </w:p>
        </w:tc>
        <w:tc>
          <w:tcPr>
            <w:tcW w:w="2276" w:type="dxa"/>
          </w:tcPr>
          <w:p w14:paraId="43A772A5" w14:textId="77777777" w:rsidR="00D36E31" w:rsidRPr="00AD1009" w:rsidRDefault="00D36E31" w:rsidP="00B03FAA">
            <w:pPr>
              <w:rPr>
                <w:sz w:val="16"/>
                <w:szCs w:val="16"/>
              </w:rPr>
            </w:pPr>
            <w:r w:rsidRPr="00AD1009">
              <w:rPr>
                <w:sz w:val="16"/>
                <w:szCs w:val="16"/>
              </w:rPr>
              <w:t>Description</w:t>
            </w:r>
          </w:p>
        </w:tc>
      </w:tr>
      <w:tr w:rsidR="00D36E31" w:rsidRPr="00AD1009" w14:paraId="47EB11AB" w14:textId="77777777" w:rsidTr="00DA1586">
        <w:trPr>
          <w:trHeight w:val="359"/>
        </w:trPr>
        <w:tc>
          <w:tcPr>
            <w:tcW w:w="2205" w:type="dxa"/>
          </w:tcPr>
          <w:p w14:paraId="54ADB134" w14:textId="77777777" w:rsidR="00D36E31" w:rsidRPr="00AD1009" w:rsidRDefault="00D36E31" w:rsidP="00B03FAA">
            <w:pPr>
              <w:rPr>
                <w:sz w:val="16"/>
                <w:szCs w:val="16"/>
              </w:rPr>
            </w:pPr>
            <w:r w:rsidRPr="00AD1009">
              <w:rPr>
                <w:sz w:val="16"/>
                <w:szCs w:val="16"/>
              </w:rPr>
              <w:t>Ethical AI in Healthcare</w:t>
            </w:r>
          </w:p>
        </w:tc>
        <w:tc>
          <w:tcPr>
            <w:tcW w:w="2276" w:type="dxa"/>
          </w:tcPr>
          <w:p w14:paraId="2673EA2A" w14:textId="77777777" w:rsidR="00D36E31" w:rsidRPr="00AD1009" w:rsidRDefault="00D36E31" w:rsidP="00B03FAA">
            <w:pPr>
              <w:rPr>
                <w:sz w:val="16"/>
                <w:szCs w:val="16"/>
              </w:rPr>
            </w:pPr>
            <w:r w:rsidRPr="00AD1009">
              <w:rPr>
                <w:sz w:val="16"/>
                <w:szCs w:val="16"/>
              </w:rPr>
              <w:t>AI systems are used to support medical professionals by improving diagnostic accuracy while retaining human oversight and adhering to ethical standards.</w:t>
            </w:r>
          </w:p>
        </w:tc>
      </w:tr>
      <w:tr w:rsidR="00D36E31" w:rsidRPr="00AD1009" w14:paraId="2AA9ED19" w14:textId="77777777" w:rsidTr="00DA1586">
        <w:trPr>
          <w:trHeight w:val="359"/>
        </w:trPr>
        <w:tc>
          <w:tcPr>
            <w:tcW w:w="2205" w:type="dxa"/>
          </w:tcPr>
          <w:p w14:paraId="2011A0BE" w14:textId="77777777" w:rsidR="00D36E31" w:rsidRPr="00AD1009" w:rsidRDefault="00D36E31" w:rsidP="00B03FAA">
            <w:pPr>
              <w:rPr>
                <w:sz w:val="16"/>
                <w:szCs w:val="16"/>
              </w:rPr>
            </w:pPr>
            <w:r w:rsidRPr="00AD1009">
              <w:rPr>
                <w:sz w:val="16"/>
                <w:szCs w:val="16"/>
              </w:rPr>
              <w:t>AI Bias in Hiring</w:t>
            </w:r>
          </w:p>
        </w:tc>
        <w:tc>
          <w:tcPr>
            <w:tcW w:w="2276" w:type="dxa"/>
          </w:tcPr>
          <w:p w14:paraId="5F5067C6" w14:textId="77777777" w:rsidR="00D36E31" w:rsidRPr="00AD1009" w:rsidRDefault="00D36E31" w:rsidP="00B03FAA">
            <w:pPr>
              <w:rPr>
                <w:sz w:val="16"/>
                <w:szCs w:val="16"/>
              </w:rPr>
            </w:pPr>
            <w:r w:rsidRPr="00AD1009">
              <w:rPr>
                <w:sz w:val="16"/>
                <w:szCs w:val="16"/>
              </w:rPr>
              <w:t>Recruitment AI has reinforced gender and racial bias due to training on historically biased data, leading to discriminatory hiring outcomes.</w:t>
            </w:r>
          </w:p>
        </w:tc>
      </w:tr>
      <w:tr w:rsidR="00D36E31" w:rsidRPr="00AD1009" w14:paraId="7C5C7D82" w14:textId="77777777" w:rsidTr="00DA1586">
        <w:trPr>
          <w:trHeight w:val="853"/>
        </w:trPr>
        <w:tc>
          <w:tcPr>
            <w:tcW w:w="2205" w:type="dxa"/>
          </w:tcPr>
          <w:p w14:paraId="53F9AD93" w14:textId="77777777" w:rsidR="00D36E31" w:rsidRPr="00AD1009" w:rsidRDefault="00D36E31" w:rsidP="00B03FAA">
            <w:pPr>
              <w:rPr>
                <w:sz w:val="16"/>
                <w:szCs w:val="16"/>
              </w:rPr>
            </w:pPr>
            <w:r w:rsidRPr="00AD1009">
              <w:rPr>
                <w:sz w:val="16"/>
                <w:szCs w:val="16"/>
              </w:rPr>
              <w:t>Discriminatory Learning Algorithms</w:t>
            </w:r>
          </w:p>
        </w:tc>
        <w:tc>
          <w:tcPr>
            <w:tcW w:w="2276" w:type="dxa"/>
          </w:tcPr>
          <w:p w14:paraId="2C84C3E9" w14:textId="77777777" w:rsidR="00D36E31" w:rsidRPr="00AD1009" w:rsidRDefault="00D36E31" w:rsidP="00B03FAA">
            <w:pPr>
              <w:rPr>
                <w:sz w:val="16"/>
                <w:szCs w:val="16"/>
              </w:rPr>
            </w:pPr>
            <w:r w:rsidRPr="00AD1009">
              <w:rPr>
                <w:sz w:val="16"/>
                <w:szCs w:val="16"/>
              </w:rPr>
              <w:t>Lending AI systems have perpetuated socioeconomic and racial discrimination by relying on biased historical decision data.</w:t>
            </w:r>
          </w:p>
        </w:tc>
      </w:tr>
    </w:tbl>
    <w:p w14:paraId="0347E974" w14:textId="5281CACE" w:rsidR="00D36E31" w:rsidRDefault="00A431F4" w:rsidP="00A431F4">
      <w:pPr>
        <w:pStyle w:val="Caption"/>
      </w:pPr>
      <w:bookmarkStart w:id="24" w:name="_Toc218509218"/>
      <w:r>
        <w:t xml:space="preserve">Figure </w:t>
      </w:r>
      <w:fldSimple w:instr=" SEQ Figure \* ARABIC ">
        <w:r>
          <w:rPr>
            <w:noProof/>
          </w:rPr>
          <w:t>2</w:t>
        </w:r>
      </w:fldSimple>
      <w:r>
        <w:t>: Summary of Case Studies</w:t>
      </w:r>
      <w:bookmarkEnd w:id="24"/>
    </w:p>
    <w:p w14:paraId="4642BD74" w14:textId="77777777" w:rsidR="00A431F4" w:rsidRDefault="00A431F4" w:rsidP="00A431F4"/>
    <w:p w14:paraId="78D3B91D" w14:textId="77777777" w:rsidR="00D36E31" w:rsidRPr="00AD1009" w:rsidRDefault="00D36E31" w:rsidP="00DA1586">
      <w:pPr>
        <w:pStyle w:val="Heading1"/>
      </w:pPr>
      <w:bookmarkStart w:id="25" w:name="_Toc218546908"/>
      <w:r w:rsidRPr="00AD1009">
        <w:t>Conclusion</w:t>
      </w:r>
      <w:bookmarkEnd w:id="25"/>
    </w:p>
    <w:p w14:paraId="6D7193A8" w14:textId="77777777" w:rsidR="00D36E31" w:rsidRPr="00AD1009" w:rsidRDefault="00D36E31" w:rsidP="00D36E31">
      <w:pPr>
        <w:rPr>
          <w:sz w:val="20"/>
          <w:szCs w:val="20"/>
        </w:rPr>
      </w:pPr>
      <w:r w:rsidRPr="00AD1009">
        <w:rPr>
          <w:sz w:val="20"/>
          <w:szCs w:val="20"/>
        </w:rPr>
        <w:t>AI governance is no longer optional; it is essential for modern organizations operating in data-driven and automated environments. Effective governance ensures AI systems remain safe, ethical, compliant, and reliable throughout their lifecycle. By anticipating risks, protecting systems, detecting issues early, and responding quickly, organizations can minimize harm while maximizing AI value.</w:t>
      </w:r>
    </w:p>
    <w:p w14:paraId="393A8A32" w14:textId="77777777" w:rsidR="00D36E31" w:rsidRPr="00AD1009" w:rsidRDefault="00D36E31" w:rsidP="00D36E31">
      <w:pPr>
        <w:rPr>
          <w:sz w:val="20"/>
          <w:szCs w:val="20"/>
        </w:rPr>
      </w:pPr>
      <w:r w:rsidRPr="00AD1009">
        <w:rPr>
          <w:sz w:val="20"/>
          <w:szCs w:val="20"/>
        </w:rPr>
        <w:t>Strong governance turns AI from a potential risk into a trusted strategic tool. It enables accountability, regulatory compliance, and public confidence. Rather than limiting innovation, governance provides the structure and assurance needed to use AI responsibly at scale.</w:t>
      </w:r>
    </w:p>
    <w:p w14:paraId="15D464E0" w14:textId="77777777" w:rsidR="00D36E31" w:rsidRPr="00AD1009" w:rsidRDefault="00D36E31" w:rsidP="00D36E31">
      <w:pPr>
        <w:rPr>
          <w:sz w:val="20"/>
          <w:szCs w:val="20"/>
        </w:rPr>
      </w:pPr>
      <w:r w:rsidRPr="00AD1009">
        <w:rPr>
          <w:sz w:val="20"/>
          <w:szCs w:val="20"/>
        </w:rPr>
        <w:t>Ultimately, the long-term success of AI depends not only on technical capability but also on strong oversight, ethical commitment, and organizational responsibility. Organizations that make governance a core part of their AI strategy will be best positioned to sustain trust, adapt to changing regulations, and succeed in an increasingly complex digital world.</w:t>
      </w:r>
    </w:p>
    <w:p w14:paraId="68E09EC8" w14:textId="77777777" w:rsidR="00D36E31" w:rsidRDefault="00D36E31" w:rsidP="0051163E">
      <w:pPr>
        <w:rPr>
          <w:b/>
          <w:bCs/>
        </w:rPr>
        <w:sectPr w:rsidR="00D36E31" w:rsidSect="002E2D3C">
          <w:type w:val="continuous"/>
          <w:pgSz w:w="11906" w:h="16838"/>
          <w:pgMar w:top="1440" w:right="1440" w:bottom="1440" w:left="1440" w:header="708" w:footer="708" w:gutter="0"/>
          <w:pgBorders w:offsetFrom="page">
            <w:top w:val="thickThinLargeGap" w:sz="24" w:space="24" w:color="auto"/>
            <w:left w:val="thickThinLargeGap" w:sz="24" w:space="24" w:color="auto"/>
            <w:bottom w:val="thickThinLargeGap" w:sz="24" w:space="24" w:color="auto"/>
            <w:right w:val="thickThinLargeGap" w:sz="24" w:space="24" w:color="auto"/>
          </w:pgBorders>
          <w:cols w:num="2" w:space="708"/>
          <w:docGrid w:linePitch="360"/>
        </w:sectPr>
      </w:pPr>
    </w:p>
    <w:p w14:paraId="3E16BF39" w14:textId="77777777" w:rsidR="00D36E31" w:rsidRDefault="00D36E31" w:rsidP="0051163E">
      <w:pPr>
        <w:rPr>
          <w:b/>
          <w:bCs/>
        </w:rPr>
      </w:pPr>
    </w:p>
    <w:p w14:paraId="2CA38041" w14:textId="77777777" w:rsidR="00D36E31" w:rsidRDefault="00D36E31" w:rsidP="0051163E">
      <w:pPr>
        <w:rPr>
          <w:b/>
          <w:bCs/>
        </w:rPr>
      </w:pPr>
    </w:p>
    <w:p w14:paraId="0C9CE5D6" w14:textId="77777777" w:rsidR="00D36E31" w:rsidRDefault="00D36E31" w:rsidP="0051163E">
      <w:pPr>
        <w:rPr>
          <w:b/>
          <w:bCs/>
        </w:rPr>
      </w:pPr>
    </w:p>
    <w:p w14:paraId="37788CC6" w14:textId="77777777" w:rsidR="00D36E31" w:rsidRDefault="00D36E31" w:rsidP="0051163E">
      <w:pPr>
        <w:rPr>
          <w:b/>
          <w:bCs/>
        </w:rPr>
      </w:pPr>
    </w:p>
    <w:p w14:paraId="482CA925" w14:textId="77777777" w:rsidR="00D80BB5" w:rsidRDefault="00D80BB5" w:rsidP="0051163E">
      <w:pPr>
        <w:rPr>
          <w:b/>
          <w:bCs/>
        </w:rPr>
      </w:pPr>
    </w:p>
    <w:p w14:paraId="685789C8" w14:textId="77777777" w:rsidR="00D80BB5" w:rsidRDefault="00D80BB5" w:rsidP="0051163E">
      <w:pPr>
        <w:rPr>
          <w:b/>
          <w:bCs/>
        </w:rPr>
      </w:pPr>
    </w:p>
    <w:p w14:paraId="1AADDE4F" w14:textId="77777777" w:rsidR="00D80BB5" w:rsidRDefault="00D80BB5" w:rsidP="0051163E">
      <w:pPr>
        <w:rPr>
          <w:b/>
          <w:bCs/>
        </w:rPr>
      </w:pPr>
    </w:p>
    <w:p w14:paraId="0A97F7DE" w14:textId="77777777" w:rsidR="00D80BB5" w:rsidRDefault="00D80BB5" w:rsidP="0051163E">
      <w:pPr>
        <w:rPr>
          <w:b/>
          <w:bCs/>
        </w:rPr>
      </w:pPr>
    </w:p>
    <w:p w14:paraId="197E7185" w14:textId="77777777" w:rsidR="00D80BB5" w:rsidRDefault="00D80BB5" w:rsidP="0051163E">
      <w:pPr>
        <w:rPr>
          <w:b/>
          <w:bCs/>
        </w:rPr>
      </w:pPr>
    </w:p>
    <w:p w14:paraId="4A3A15CA" w14:textId="77777777" w:rsidR="00D36E31" w:rsidRDefault="00D36E31" w:rsidP="0051163E">
      <w:pPr>
        <w:rPr>
          <w:b/>
          <w:bCs/>
        </w:rPr>
      </w:pPr>
    </w:p>
    <w:p w14:paraId="7A4E31F9" w14:textId="77777777" w:rsidR="00A77734" w:rsidRDefault="00A77734" w:rsidP="0051163E">
      <w:pPr>
        <w:rPr>
          <w:b/>
          <w:bCs/>
        </w:rPr>
      </w:pPr>
    </w:p>
    <w:p w14:paraId="0201EE92" w14:textId="0C373E23" w:rsidR="00D36E31" w:rsidRDefault="00D80BB5" w:rsidP="00A77734">
      <w:pPr>
        <w:pStyle w:val="Heading1"/>
        <w:jc w:val="center"/>
      </w:pPr>
      <w:bookmarkStart w:id="26" w:name="_Toc218546909"/>
      <w:r w:rsidRPr="00D80BB5">
        <w:lastRenderedPageBreak/>
        <w:t>TASK 2</w:t>
      </w:r>
      <w:bookmarkEnd w:id="26"/>
    </w:p>
    <w:p w14:paraId="673754A4" w14:textId="77777777" w:rsidR="00A77734" w:rsidRPr="00A77734" w:rsidRDefault="00A77734" w:rsidP="00A77734"/>
    <w:p w14:paraId="2F519467" w14:textId="525632C4" w:rsidR="0051163E" w:rsidRPr="00A472BF" w:rsidRDefault="009D3F0E" w:rsidP="0051163E">
      <w:pPr>
        <w:rPr>
          <w:b/>
          <w:bCs/>
        </w:rPr>
      </w:pPr>
      <w:r w:rsidRPr="00A472BF">
        <w:rPr>
          <w:b/>
          <w:bCs/>
        </w:rPr>
        <w:t>Zero Trust–Aligned Security Programme for ResilientIntellect Ltd (EU Expansion)</w:t>
      </w:r>
    </w:p>
    <w:p w14:paraId="67B6F940" w14:textId="4C8E7ECD" w:rsidR="0051163E" w:rsidRPr="0051163E" w:rsidRDefault="0051163E" w:rsidP="00F32692">
      <w:pPr>
        <w:pStyle w:val="Heading1"/>
      </w:pPr>
      <w:bookmarkStart w:id="27" w:name="_Toc218546910"/>
      <w:r w:rsidRPr="0051163E">
        <w:t>1. Introduction</w:t>
      </w:r>
      <w:bookmarkEnd w:id="27"/>
      <w:r w:rsidRPr="0051163E">
        <w:t xml:space="preserve"> </w:t>
      </w:r>
    </w:p>
    <w:p w14:paraId="7184F12D" w14:textId="48A2E14B" w:rsidR="0051163E" w:rsidRPr="00535E1F" w:rsidRDefault="0051163E" w:rsidP="0051163E">
      <w:r w:rsidRPr="00535E1F">
        <w:t>ResilientIntellect Ltd is a rapidly expanding threat intelligence and consultancy organisation specialising in AI</w:t>
      </w:r>
      <w:r w:rsidRPr="00535E1F">
        <w:noBreakHyphen/>
        <w:t>powered threat analysis software and high</w:t>
      </w:r>
      <w:r w:rsidRPr="00535E1F">
        <w:noBreakHyphen/>
        <w:t>impact cyber advisory services. Its fully hybrid operating model enables consultants, analysts, and engineers to work across distributed locations while relying heavily on cloud infrastructure, SaaS platforms, and collaborative DevSecOps pipelines. As the company expands into the European Union, it enters a more demanding regulatory and threat landscape shaped by the Digital Operational Resilience Act (DORA) and the NIS2 Directive</w:t>
      </w:r>
      <w:sdt>
        <w:sdtPr>
          <w:rPr>
            <w:rFonts w:ascii="Aptos" w:hAnsi="Aptos"/>
            <w:color w:val="000000"/>
            <w:highlight w:val="white"/>
          </w:rPr>
          <w:alias w:val="Citation"/>
          <w:tag w:val="{&quot;referencesIds&quot;:[&quot;doc:69591df901559f087b3f5dee&quot;],&quot;referencesOptions&quot;:{&quot;doc:69591df901559f087b3f5d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8957439,&quot;citationText&quot;:&quot;&lt;span style=\&quot;font-family:Aptos;font-size:16px;color:#000000\&quot;&gt;[11]&lt;/span&gt;&quot;}"/>
          <w:id w:val="-1568957439"/>
          <w:placeholder>
            <w:docPart w:val="A05933C5C34E4C55A0090ADFF523365E"/>
          </w:placeholder>
        </w:sdtPr>
        <w:sdtContent>
          <w:r w:rsidR="00D36E31">
            <w:rPr>
              <w:rFonts w:ascii="Aptos" w:eastAsia="Times New Roman" w:hAnsi="Aptos"/>
              <w:color w:val="000000"/>
            </w:rPr>
            <w:t>[11]</w:t>
          </w:r>
        </w:sdtContent>
      </w:sdt>
      <w:r w:rsidRPr="00535E1F">
        <w:t>.</w:t>
      </w:r>
    </w:p>
    <w:p w14:paraId="14253EE4" w14:textId="659972D4" w:rsidR="0051163E" w:rsidRPr="00535E1F" w:rsidRDefault="0051163E" w:rsidP="0051163E">
      <w:r w:rsidRPr="00535E1F">
        <w:t>These regulations significantly elevate expectations around cyber resilience, governance, and incident accountability. DORA requires organisations to demonstrate continuous operational resilience across ICT systems, cloud services, and third</w:t>
      </w:r>
      <w:r w:rsidRPr="00535E1F">
        <w:noBreakHyphen/>
        <w:t>party providers. NIS2 introduces stricter cybersecurity obligations, enhanced risk management requirements, mandatory incident reporting timelines, and direct accountability for senior leadership</w:t>
      </w:r>
      <w:sdt>
        <w:sdtPr>
          <w:rPr>
            <w:rFonts w:ascii="Aptos" w:hAnsi="Aptos"/>
            <w:color w:val="000000"/>
            <w:highlight w:val="white"/>
          </w:rPr>
          <w:alias w:val="Citation"/>
          <w:tag w:val="{&quot;referencesIds&quot;:[&quot;doc:69591df901559f087b3f5dee&quot;],&quot;referencesOptions&quot;:{&quot;doc:69591df901559f087b3f5d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2095363,&quot;citationText&quot;:&quot;&lt;span style=\&quot;font-family:Aptos;font-size:16px;color:#000000\&quot;&gt;[11]&lt;/span&gt;&quot;}"/>
          <w:id w:val="-812095363"/>
          <w:placeholder>
            <w:docPart w:val="7C9F181CDBD84B22AB15E14547ED3F6A"/>
          </w:placeholder>
        </w:sdtPr>
        <w:sdtContent>
          <w:r w:rsidR="00D36E31">
            <w:rPr>
              <w:rFonts w:ascii="Aptos" w:eastAsia="Times New Roman" w:hAnsi="Aptos"/>
              <w:color w:val="000000"/>
            </w:rPr>
            <w:t>[11]</w:t>
          </w:r>
        </w:sdtContent>
      </w:sdt>
      <w:r w:rsidRPr="00535E1F">
        <w:t>. For an AI</w:t>
      </w:r>
      <w:r w:rsidRPr="00535E1F">
        <w:noBreakHyphen/>
        <w:t>driven organisation such as ResilientIntellect, these obligations directly affect the protection of intellectual property, AI training data, and customer trust.</w:t>
      </w:r>
    </w:p>
    <w:p w14:paraId="73EA67E6" w14:textId="7057A299" w:rsidR="0051163E" w:rsidRPr="00535E1F" w:rsidRDefault="0051163E" w:rsidP="0051163E">
      <w:r w:rsidRPr="00535E1F">
        <w:t>To meet these challenges, this report proposes a strategic and forward</w:t>
      </w:r>
      <w:r w:rsidRPr="00535E1F">
        <w:noBreakHyphen/>
        <w:t>looking information security programme grounded in Zero Trust principles. Zero Trust rejects traditional perimeter</w:t>
      </w:r>
      <w:r w:rsidRPr="00535E1F">
        <w:noBreakHyphen/>
        <w:t>based security and instead assumes that no user, dev</w:t>
      </w:r>
      <w:r w:rsidR="00DC66C3">
        <w:t>i</w:t>
      </w:r>
      <w:r w:rsidRPr="00535E1F">
        <w:t>ce, workload, or system is inherently trustworthy. This approach aligns naturally with ResilientIntellect’s hybrid workforce, cloud</w:t>
      </w:r>
      <w:r w:rsidRPr="00535E1F">
        <w:noBreakHyphen/>
        <w:t>native infrastructure, and AI development pipelines. The programme is designed not only to achieve regulatory compliance but also to support business growth, operational agility, and innovation.</w:t>
      </w:r>
    </w:p>
    <w:p w14:paraId="33025196" w14:textId="7385C685" w:rsidR="009F38A8" w:rsidRDefault="0051163E" w:rsidP="00A77734">
      <w:r w:rsidRPr="00535E1F">
        <w:t xml:space="preserve">The proposed security model is structured around three Zero Trust boundaries: People, Pipelines, and Platforms. </w:t>
      </w:r>
      <w:r w:rsidRPr="00535E1F">
        <w:rPr>
          <w:i/>
          <w:iCs/>
        </w:rPr>
        <w:t>People</w:t>
      </w:r>
      <w:r w:rsidRPr="00535E1F">
        <w:t xml:space="preserve"> include employees, consultants, and clients operating in a hybrid environment. </w:t>
      </w:r>
      <w:r w:rsidRPr="00535E1F">
        <w:rPr>
          <w:i/>
          <w:iCs/>
        </w:rPr>
        <w:t>Pipelines</w:t>
      </w:r>
      <w:r w:rsidRPr="00535E1F">
        <w:t xml:space="preserve"> encompass AI models, data flows, and DevSecOps processes. </w:t>
      </w:r>
      <w:r w:rsidRPr="00535E1F">
        <w:rPr>
          <w:i/>
          <w:iCs/>
        </w:rPr>
        <w:t>Platforms</w:t>
      </w:r>
      <w:r w:rsidRPr="00535E1F">
        <w:t xml:space="preserve"> represent cloud infrastructure, SaaS services, and third</w:t>
      </w:r>
      <w:r w:rsidRPr="00535E1F">
        <w:noBreakHyphen/>
        <w:t>party providers. This framing ensures that Zero Trust principles are applied consistently across all operational layers, creating a resilient and scalable security foundation for the organisation’s EU expansion.</w:t>
      </w:r>
    </w:p>
    <w:p w14:paraId="572A0AAF" w14:textId="19F04E8E" w:rsidR="0051163E" w:rsidRPr="0051163E" w:rsidRDefault="0051163E" w:rsidP="00F32692">
      <w:pPr>
        <w:pStyle w:val="Heading1"/>
      </w:pPr>
      <w:bookmarkStart w:id="28" w:name="_Toc218546911"/>
      <w:r w:rsidRPr="0051163E">
        <w:lastRenderedPageBreak/>
        <w:t>2. Organisational Structure: Embedding Zero Trust into People and Processes</w:t>
      </w:r>
      <w:bookmarkEnd w:id="28"/>
      <w:r w:rsidRPr="0051163E">
        <w:t xml:space="preserve"> </w:t>
      </w:r>
    </w:p>
    <w:p w14:paraId="02E8CF1E" w14:textId="14881B77" w:rsidR="0051163E" w:rsidRPr="00535E1F" w:rsidRDefault="0051163E" w:rsidP="0051163E">
      <w:r w:rsidRPr="00535E1F">
        <w:t>A strong organisational structure is essential to ensure that Zero Trust principles are not only designed but also consistently implemented and governed</w:t>
      </w:r>
      <w:sdt>
        <w:sdtPr>
          <w:rPr>
            <w:rFonts w:ascii="Aptos" w:hAnsi="Aptos"/>
            <w:color w:val="000000"/>
            <w:highlight w:val="white"/>
          </w:rPr>
          <w:alias w:val="Citation"/>
          <w:tag w:val="{&quot;referencesIds&quot;:[&quot;doc:69592174a6457b6d86367e87&quot;],&quot;referencesOptions&quot;:{&quot;doc:69592174a6457b6d86367e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6109940,&quot;citationText&quot;:&quot;&lt;span style=\&quot;font-family:Aptos;font-size:16px;color:#000000\&quot;&gt;[12]&lt;/span&gt;&quot;}"/>
          <w:id w:val="2016109940"/>
          <w:placeholder>
            <w:docPart w:val="E0D2B172B35E4457B4A67E17D5630A86"/>
          </w:placeholder>
        </w:sdtPr>
        <w:sdtContent>
          <w:r w:rsidR="00D36E31">
            <w:rPr>
              <w:rFonts w:ascii="Aptos" w:eastAsia="Times New Roman" w:hAnsi="Aptos"/>
              <w:color w:val="000000"/>
            </w:rPr>
            <w:t>[12]</w:t>
          </w:r>
        </w:sdtContent>
      </w:sdt>
      <w:r w:rsidRPr="00535E1F">
        <w:t>. For the new EU unit, ResilientIntellect requires a security structure that is lean, scalable, and tightly integrated with engineering, cloud operations, and compliance functions. Instead of treating security as a standalone technical function, the proposed structure embeds security leadership directly into operational and strategic decision</w:t>
      </w:r>
      <w:r w:rsidRPr="00535E1F">
        <w:noBreakHyphen/>
        <w:t>making, ensuring alignment with business goals and regulatory expectations</w:t>
      </w:r>
      <w:sdt>
        <w:sdtPr>
          <w:rPr>
            <w:rFonts w:ascii="Aptos" w:hAnsi="Aptos"/>
            <w:color w:val="000000"/>
            <w:highlight w:val="white"/>
          </w:rPr>
          <w:alias w:val="Citation"/>
          <w:tag w:val="{&quot;referencesIds&quot;:[&quot;doc:69592174a6457b6d86367e87&quot;],&quot;referencesOptions&quot;:{&quot;doc:69592174a6457b6d86367e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716140,&quot;citationText&quot;:&quot;&lt;span style=\&quot;font-family:Aptos;font-size:16px;color:#000000\&quot;&gt;[12]&lt;/span&gt;&quot;}"/>
          <w:id w:val="-1963716140"/>
          <w:placeholder>
            <w:docPart w:val="BAF80E25C28A44989A2A2FB2249072A6"/>
          </w:placeholder>
        </w:sdtPr>
        <w:sdtContent>
          <w:r w:rsidR="00D36E31">
            <w:rPr>
              <w:rFonts w:ascii="Aptos" w:eastAsia="Times New Roman" w:hAnsi="Aptos"/>
              <w:color w:val="000000"/>
            </w:rPr>
            <w:t>[12]</w:t>
          </w:r>
        </w:sdtContent>
      </w:sdt>
      <w:r w:rsidRPr="00535E1F">
        <w:t>.</w:t>
      </w:r>
    </w:p>
    <w:p w14:paraId="385E68D2" w14:textId="707BA62B" w:rsidR="0051163E" w:rsidRPr="00535E1F" w:rsidRDefault="0051163E" w:rsidP="0051163E">
      <w:r w:rsidRPr="00535E1F">
        <w:t>At the top of the structure is the Security and Risk Steering Committee, reporting to the Board of Directors. This committee provides strategic oversight, ensures compliance with NIS2’s governance and accountability requirements, and links cybersecurity decisions to business risk, operational resilience, and growth objectives</w:t>
      </w:r>
      <w:sdt>
        <w:sdtPr>
          <w:rPr>
            <w:rFonts w:ascii="Aptos" w:hAnsi="Aptos"/>
            <w:color w:val="000000"/>
            <w:highlight w:val="white"/>
          </w:rPr>
          <w:alias w:val="Citation"/>
          <w:tag w:val="{&quot;referencesIds&quot;:[&quot;doc:69592174a6457b6d86367e87&quot;],&quot;referencesOptions&quot;:{&quot;doc:69592174a6457b6d86367e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409071,&quot;citationText&quot;:&quot;&lt;span style=\&quot;font-family:Aptos;font-size:16px;color:#000000\&quot;&gt;[12]&lt;/span&gt;&quot;}"/>
          <w:id w:val="182409071"/>
          <w:placeholder>
            <w:docPart w:val="65E82067ED9F437A82802896A2493787"/>
          </w:placeholder>
        </w:sdtPr>
        <w:sdtContent>
          <w:r w:rsidR="00D36E31">
            <w:rPr>
              <w:rFonts w:ascii="Aptos" w:eastAsia="Times New Roman" w:hAnsi="Aptos"/>
              <w:color w:val="000000"/>
            </w:rPr>
            <w:t>[12]</w:t>
          </w:r>
        </w:sdtContent>
      </w:sdt>
      <w:r w:rsidRPr="00535E1F">
        <w:t xml:space="preserve">. Beneath this committee sits the Head of Information Security (EU), who defines the Zero Trust strategy, oversees regulatory compliance, and </w:t>
      </w:r>
      <w:r w:rsidR="005F0C66">
        <w:t>acts</w:t>
      </w:r>
      <w:r w:rsidRPr="00535E1F">
        <w:t xml:space="preserve"> as the primary point of accountability for EU regulators, partners, and customers.</w:t>
      </w:r>
    </w:p>
    <w:p w14:paraId="265A6511" w14:textId="77777777" w:rsidR="005F0C66" w:rsidRPr="005F0C66" w:rsidRDefault="005F0C66" w:rsidP="005F0C66">
      <w:r w:rsidRPr="005F0C66">
        <w:t xml:space="preserve">The Head of Information Security is supported by four specialist functions. The </w:t>
      </w:r>
      <w:r w:rsidRPr="005F0C66">
        <w:rPr>
          <w:b/>
          <w:bCs/>
        </w:rPr>
        <w:t>Cloud Security Architect</w:t>
      </w:r>
      <w:r w:rsidRPr="005F0C66">
        <w:t xml:space="preserve"> designs and maintains the Zero Trust architecture across multi-cloud environments and SaaS platforms, ensuring consistent enforcement of identity-centric access controls, network segmentation, and continuous verification in line with DORA’s ICT risk management requirements. The </w:t>
      </w:r>
      <w:r w:rsidRPr="005F0C66">
        <w:rPr>
          <w:b/>
          <w:bCs/>
        </w:rPr>
        <w:t>DevSecOps Lead</w:t>
      </w:r>
      <w:r w:rsidRPr="005F0C66">
        <w:t xml:space="preserve"> secures AI development and deployment pipelines by embedding security controls into CI/CD workflows and managing software supply chain risks, including vulnerable dependencies and compromised AI models.</w:t>
      </w:r>
    </w:p>
    <w:p w14:paraId="74E3F512" w14:textId="77777777" w:rsidR="005F0C66" w:rsidRPr="005F0C66" w:rsidRDefault="005F0C66" w:rsidP="005F0C66">
      <w:r w:rsidRPr="005F0C66">
        <w:t xml:space="preserve">The </w:t>
      </w:r>
      <w:r w:rsidRPr="005F0C66">
        <w:rPr>
          <w:b/>
          <w:bCs/>
        </w:rPr>
        <w:t>GRC and Compliance Lead</w:t>
      </w:r>
      <w:r w:rsidRPr="005F0C66">
        <w:t xml:space="preserve"> manages governance, risk, and compliance activities, including resilience testing, third-party risk assessments, and coordination of incident reporting within NIS2’s mandated timelines. The </w:t>
      </w:r>
      <w:r w:rsidRPr="005F0C66">
        <w:rPr>
          <w:b/>
          <w:bCs/>
        </w:rPr>
        <w:t>SOC and Incident Response Lead</w:t>
      </w:r>
      <w:r w:rsidRPr="005F0C66">
        <w:t xml:space="preserve"> is responsible for continuous monitoring, threat detection, and coordinated incident response, supporting operational resilience and ensuring incidents are identified, classified, and reported effectively.</w:t>
      </w:r>
    </w:p>
    <w:p w14:paraId="4FBE07D9" w14:textId="77777777" w:rsidR="00A77734" w:rsidRDefault="00F75563" w:rsidP="00A77734">
      <w:pPr>
        <w:keepNext/>
      </w:pPr>
      <w:r w:rsidRPr="00F75563">
        <w:rPr>
          <w:noProof/>
        </w:rPr>
        <w:lastRenderedPageBreak/>
        <w:drawing>
          <wp:inline distT="0" distB="0" distL="0" distR="0" wp14:anchorId="6CC297B1" wp14:editId="07EC134E">
            <wp:extent cx="5731510" cy="3142615"/>
            <wp:effectExtent l="0" t="0" r="2540" b="635"/>
            <wp:docPr id="140941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41619" name=""/>
                    <pic:cNvPicPr/>
                  </pic:nvPicPr>
                  <pic:blipFill>
                    <a:blip r:embed="rId11"/>
                    <a:stretch>
                      <a:fillRect/>
                    </a:stretch>
                  </pic:blipFill>
                  <pic:spPr>
                    <a:xfrm>
                      <a:off x="0" y="0"/>
                      <a:ext cx="5731510" cy="3142615"/>
                    </a:xfrm>
                    <a:prstGeom prst="rect">
                      <a:avLst/>
                    </a:prstGeom>
                  </pic:spPr>
                </pic:pic>
              </a:graphicData>
            </a:graphic>
          </wp:inline>
        </w:drawing>
      </w:r>
    </w:p>
    <w:p w14:paraId="58811819" w14:textId="24FCB265" w:rsidR="0051163E" w:rsidRPr="00535E1F" w:rsidRDefault="00A77734" w:rsidP="00A77734">
      <w:pPr>
        <w:pStyle w:val="Caption"/>
      </w:pPr>
      <w:bookmarkStart w:id="29" w:name="_Toc218509219"/>
      <w:r>
        <w:t xml:space="preserve">Figure </w:t>
      </w:r>
      <w:fldSimple w:instr=" SEQ Figure \* ARABIC ">
        <w:r w:rsidR="00A431F4">
          <w:rPr>
            <w:noProof/>
          </w:rPr>
          <w:t>3</w:t>
        </w:r>
      </w:fldSimple>
      <w:r>
        <w:t>: Organisational Structure</w:t>
      </w:r>
      <w:bookmarkEnd w:id="29"/>
    </w:p>
    <w:p w14:paraId="7914F6EF" w14:textId="4D9AD658" w:rsidR="005F0C66" w:rsidRPr="005F0C66" w:rsidRDefault="005F0C66" w:rsidP="005F0C66">
      <w:r w:rsidRPr="005F0C66">
        <w:rPr>
          <w:b/>
          <w:bCs/>
        </w:rPr>
        <w:t xml:space="preserve">Figure </w:t>
      </w:r>
      <w:r w:rsidR="00A431F4">
        <w:rPr>
          <w:b/>
          <w:bCs/>
        </w:rPr>
        <w:t>3</w:t>
      </w:r>
      <w:r w:rsidRPr="005F0C66">
        <w:t xml:space="preserve"> illustrates this governance-led security structure, showing clear accountability from board-level oversight through the Security and Risk Steering Committee to the Head of Information Security (EU), supported by specialist roles in cloud security, DevSecOps, compliance, and incident response.</w:t>
      </w:r>
    </w:p>
    <w:p w14:paraId="34521840" w14:textId="77777777" w:rsidR="005F0C66" w:rsidRPr="005F0C66" w:rsidRDefault="005F0C66" w:rsidP="005F0C66">
      <w:r w:rsidRPr="005F0C66">
        <w:t>Overall, this structure ensures that security responsibilities are clearly defined, strategically governed, and aligned with ResilientIntellect’s AI-centric, cloud-native operating model. It provides a strong foundation for operationalising Zero Trust principles while supporting regulatory compliance and scalable business growth within the European Union.</w:t>
      </w:r>
    </w:p>
    <w:p w14:paraId="268627A4" w14:textId="7958A3EE" w:rsidR="0051163E" w:rsidRPr="0051163E" w:rsidRDefault="0051163E" w:rsidP="00F32692">
      <w:pPr>
        <w:pStyle w:val="Heading1"/>
      </w:pPr>
      <w:bookmarkStart w:id="30" w:name="_Toc218546912"/>
      <w:r w:rsidRPr="0051163E">
        <w:t>3. Policies and Procedures: Translating Zero Trust into Everyday Practice</w:t>
      </w:r>
      <w:bookmarkEnd w:id="30"/>
      <w:r w:rsidRPr="0051163E">
        <w:t xml:space="preserve"> </w:t>
      </w:r>
    </w:p>
    <w:p w14:paraId="02E78975" w14:textId="77777777" w:rsidR="00B14090" w:rsidRPr="00B14090" w:rsidRDefault="00B14090" w:rsidP="00B14090">
      <w:r w:rsidRPr="00B14090">
        <w:t>Zero Trust can only be effective if it is applied consistently in everyday work. For ResilientIntellect, policies and procedures translate high-level security principles into clear rules that guide how people use systems, develop AI, and access data. These policies are designed to protect sensitive assets while still allowing staff to work flexibly in a fast-moving, hybrid environment.</w:t>
      </w:r>
    </w:p>
    <w:p w14:paraId="39597BF0" w14:textId="4A2B2186" w:rsidR="00221484" w:rsidRPr="00DF6328" w:rsidRDefault="00B14090" w:rsidP="00DF6328">
      <w:r w:rsidRPr="00B14090">
        <w:t>Rather than assuming that internal users, devices, or systems are trustworthy, all policies are built on the Zero Trust assumption that every access request could be a potential risk. Access is therefore continuously checked, limited to what is necessary, and removed when no longer required.</w:t>
      </w:r>
    </w:p>
    <w:p w14:paraId="678BD671" w14:textId="6887B5E2" w:rsidR="00221484" w:rsidRPr="00221484" w:rsidRDefault="00221484" w:rsidP="00F32692">
      <w:pPr>
        <w:pStyle w:val="Heading2"/>
      </w:pPr>
      <w:bookmarkStart w:id="31" w:name="_Toc218546913"/>
      <w:r w:rsidRPr="00221484">
        <w:lastRenderedPageBreak/>
        <w:t>AI Usage Policy</w:t>
      </w:r>
      <w:bookmarkEnd w:id="31"/>
    </w:p>
    <w:p w14:paraId="398986CF" w14:textId="48275EF8" w:rsidR="00B14090" w:rsidRPr="00B14090" w:rsidRDefault="00B14090" w:rsidP="00B14090">
      <w:r w:rsidRPr="00B14090">
        <w:t xml:space="preserve">The AI Usage Policy protects the confidentiality, integrity, and </w:t>
      </w:r>
      <w:r w:rsidR="00221484">
        <w:t>availability</w:t>
      </w:r>
      <w:r w:rsidRPr="00B14090">
        <w:t xml:space="preserve"> of ResilientIntellect’s AI systems. All AI models must be trained using approved datasets with clearly documented sources. This reduces the risk of poisoned or low-quality data affecting threat intelligence outputs.</w:t>
      </w:r>
    </w:p>
    <w:p w14:paraId="652BFEC5" w14:textId="628E8DBA" w:rsidR="0051163E" w:rsidRDefault="00B14090" w:rsidP="00B14090">
      <w:r w:rsidRPr="00B14090">
        <w:t>Training, testing, and production environments are kept separate to prevent unauthorised changes or accidental exposure of sensitive data. Every AI model is tracked throughout its lifecycle, from development to deployment, ensuring full accountability. Importantly, all AI-generated outputs are treated as untrusted until they are reviewed or validated. This reflects a Zero Trust mindset and helps reduce risks linked to manipulation, bias, or incorrect analysis</w:t>
      </w:r>
      <w:sdt>
        <w:sdtPr>
          <w:rPr>
            <w:rFonts w:ascii="Aptos" w:hAnsi="Aptos"/>
            <w:color w:val="000000"/>
            <w:highlight w:val="white"/>
          </w:rPr>
          <w:alias w:val="Citation"/>
          <w:tag w:val="{&quot;referencesIds&quot;:[&quot;doc:6959a4b453ba7555494a7727&quot;],&quot;referencesOptions&quot;:{&quot;doc:6959a4b453ba7555494a77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9065928,&quot;citationText&quot;:&quot;&lt;span style=\&quot;font-family:Aptos;font-size:16px;color:#000000\&quot;&gt;[13]&lt;/span&gt;&quot;}"/>
          <w:id w:val="-1979065928"/>
          <w:placeholder>
            <w:docPart w:val="43F33C0826FC4A51814D3FB44426D974"/>
          </w:placeholder>
        </w:sdtPr>
        <w:sdtContent>
          <w:r w:rsidR="00D36E31">
            <w:rPr>
              <w:rFonts w:ascii="Aptos" w:eastAsia="Times New Roman" w:hAnsi="Aptos"/>
              <w:color w:val="000000"/>
            </w:rPr>
            <w:t>[13]</w:t>
          </w:r>
        </w:sdtContent>
      </w:sdt>
      <w:r w:rsidR="0051163E" w:rsidRPr="00535E1F">
        <w:t>.</w:t>
      </w:r>
    </w:p>
    <w:p w14:paraId="3CA73BDF" w14:textId="77777777" w:rsidR="00B14090" w:rsidRPr="00B14090" w:rsidRDefault="00B14090" w:rsidP="00F32692">
      <w:pPr>
        <w:pStyle w:val="Heading2"/>
      </w:pPr>
      <w:bookmarkStart w:id="32" w:name="_Toc218546914"/>
      <w:r w:rsidRPr="00B14090">
        <w:t>Secure SaaS Configuration Policy</w:t>
      </w:r>
      <w:bookmarkEnd w:id="32"/>
    </w:p>
    <w:p w14:paraId="032EBA52" w14:textId="35D4B818" w:rsidR="00B14090" w:rsidRPr="00B14090" w:rsidRDefault="00B14090" w:rsidP="00B14090">
      <w:r w:rsidRPr="00B14090">
        <w:t>SaaS platforms are essential to ResilientIntellect’s operations, but they also represent a major source of risk if poorly configured. This policy ensures that all SaaS services are configured securely by default and reviewed regularly.</w:t>
      </w:r>
    </w:p>
    <w:p w14:paraId="70197A16" w14:textId="6C521038" w:rsidR="00B14090" w:rsidRDefault="00B14090" w:rsidP="00B14090">
      <w:r w:rsidRPr="00B14090">
        <w:t>Access to SaaS applications follows the principle of least privilege, meaning users only receive the permissions they need to do their job. Strong identity controls, including multi-factor authentication, are mandatory. Configuration changes are continuously monitored, and any insecure or unauthorised change is treated as a security incident. By assuming that SaaS platforms are not inherently secure, this policy aligns closely with Zero Trust principles and significantly reduces the likelihood of data exposure through misconfiguration</w:t>
      </w:r>
      <w:sdt>
        <w:sdtPr>
          <w:rPr>
            <w:rFonts w:ascii="Aptos" w:hAnsi="Aptos"/>
            <w:color w:val="000000"/>
            <w:highlight w:val="white"/>
          </w:rPr>
          <w:alias w:val="Citation"/>
          <w:tag w:val="{&quot;referencesIds&quot;:[&quot;doc:695a721a01559f087b3f7a9f&quot;],&quot;referencesOptions&quot;:{&quot;doc:695a721a01559f087b3f7a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5698942,&quot;citationText&quot;:&quot;&lt;span style=\&quot;font-family:Aptos;font-size:16px;color:#000000\&quot;&gt;[14]&lt;/span&gt;&quot;}"/>
          <w:id w:val="-585698942"/>
          <w:placeholder>
            <w:docPart w:val="9817CAF3FBA34D03A738F3137B227A8D"/>
          </w:placeholder>
        </w:sdtPr>
        <w:sdtContent>
          <w:r w:rsidR="00D36E31">
            <w:rPr>
              <w:rFonts w:ascii="Aptos" w:eastAsia="Times New Roman" w:hAnsi="Aptos"/>
              <w:color w:val="000000"/>
            </w:rPr>
            <w:t>[14]</w:t>
          </w:r>
        </w:sdtContent>
      </w:sdt>
      <w:r w:rsidRPr="00B14090">
        <w:t>.</w:t>
      </w:r>
    </w:p>
    <w:p w14:paraId="5B9B7A0F" w14:textId="66C3177A" w:rsidR="00B14090" w:rsidRPr="00DC66C3" w:rsidRDefault="00B14090" w:rsidP="00F32692">
      <w:pPr>
        <w:pStyle w:val="Heading2"/>
      </w:pPr>
      <w:bookmarkStart w:id="33" w:name="_Toc218546915"/>
      <w:r w:rsidRPr="00DC66C3">
        <w:t>BYOD Policy</w:t>
      </w:r>
      <w:bookmarkEnd w:id="33"/>
    </w:p>
    <w:p w14:paraId="629E30B5" w14:textId="5B66C9D6" w:rsidR="00B14090" w:rsidRPr="00B14090" w:rsidRDefault="00B14090" w:rsidP="00B14090">
      <w:r w:rsidRPr="00B14090">
        <w:t>The BYOD Policy supports ResilientIntellect’s hybrid workforce while maintaining strong security controls. Personal devices are allowed to access corporate systems only if they meet defined security standards, such as up-to-date patches, encrypted storage, and active endpoint protection</w:t>
      </w:r>
      <w:sdt>
        <w:sdtPr>
          <w:rPr>
            <w:rFonts w:ascii="Aptos" w:hAnsi="Aptos"/>
            <w:color w:val="000000"/>
            <w:highlight w:val="white"/>
          </w:rPr>
          <w:alias w:val="Citation"/>
          <w:tag w:val="{&quot;referencesIds&quot;:[&quot;doc:6959a52ee7d01521dcb96f9d&quot;],&quot;referencesOptions&quot;:{&quot;doc:6959a52ee7d01521dcb96f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6340836,&quot;citationText&quot;:&quot;&lt;span style=\&quot;font-family:Aptos;font-size:16px;color:#000000\&quot;&gt;[15]&lt;/span&gt;&quot;}"/>
          <w:id w:val="1876340836"/>
          <w:placeholder>
            <w:docPart w:val="0B1FBA0188BA40CA820260E4679BFB5A"/>
          </w:placeholder>
        </w:sdtPr>
        <w:sdtContent>
          <w:r w:rsidR="00D36E31">
            <w:rPr>
              <w:rFonts w:ascii="Aptos" w:eastAsia="Times New Roman" w:hAnsi="Aptos"/>
              <w:color w:val="000000"/>
            </w:rPr>
            <w:t>[15]</w:t>
          </w:r>
        </w:sdtContent>
      </w:sdt>
      <w:r w:rsidRPr="00B14090">
        <w:t>.</w:t>
      </w:r>
    </w:p>
    <w:p w14:paraId="55B19D97" w14:textId="0CEBE5A3" w:rsidR="00B14090" w:rsidRDefault="00B14090" w:rsidP="00A431F4">
      <w:r w:rsidRPr="00B14090">
        <w:t>Access to internal resources is provided through Zero Trust Network Access (ZTNA) rather than traditional VPNs. This ensures that users are granted access only to specific applications, not the wider network, and only while their device remains compliant. Corporate data is isolated from personal data using secure containers, reducing the risk of data loss or leakage</w:t>
      </w:r>
      <w:sdt>
        <w:sdtPr>
          <w:rPr>
            <w:rFonts w:ascii="Aptos" w:hAnsi="Aptos"/>
            <w:color w:val="000000"/>
            <w:highlight w:val="white"/>
          </w:rPr>
          <w:alias w:val="Citation"/>
          <w:tag w:val="{&quot;referencesIds&quot;:[&quot;doc:6959a52ee7d01521dcb96f9d&quot;],&quot;referencesOptions&quot;:{&quot;doc:6959a52ee7d01521dcb96f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8200367,&quot;citationText&quot;:&quot;&lt;span style=\&quot;font-family:Aptos;font-size:16px;color:#000000\&quot;&gt;[15]&lt;/span&gt;&quot;}"/>
          <w:id w:val="1018200367"/>
          <w:placeholder>
            <w:docPart w:val="5F3F111B0DD849E487FE3A7902F0AB22"/>
          </w:placeholder>
        </w:sdtPr>
        <w:sdtContent>
          <w:r w:rsidR="00D36E31">
            <w:rPr>
              <w:rFonts w:ascii="Aptos" w:eastAsia="Times New Roman" w:hAnsi="Aptos"/>
              <w:color w:val="000000"/>
            </w:rPr>
            <w:t>[15]</w:t>
          </w:r>
        </w:sdtContent>
      </w:sdt>
      <w:r w:rsidR="0051163E" w:rsidRPr="00535E1F">
        <w:t>.</w:t>
      </w:r>
    </w:p>
    <w:p w14:paraId="3234A3AC" w14:textId="77777777" w:rsidR="00785517" w:rsidRDefault="00785517" w:rsidP="00A431F4"/>
    <w:p w14:paraId="187B1D9A" w14:textId="77777777" w:rsidR="00785517" w:rsidRDefault="00785517" w:rsidP="00A431F4"/>
    <w:p w14:paraId="46F45BCD" w14:textId="77777777" w:rsidR="00B14090" w:rsidRDefault="00B14090" w:rsidP="00B14090"/>
    <w:tbl>
      <w:tblPr>
        <w:tblStyle w:val="TableGrid"/>
        <w:tblW w:w="0" w:type="auto"/>
        <w:tblLook w:val="04A0" w:firstRow="1" w:lastRow="0" w:firstColumn="1" w:lastColumn="0" w:noHBand="0" w:noVBand="1"/>
      </w:tblPr>
      <w:tblGrid>
        <w:gridCol w:w="3005"/>
        <w:gridCol w:w="3005"/>
        <w:gridCol w:w="3006"/>
      </w:tblGrid>
      <w:tr w:rsidR="00B14090" w14:paraId="04E6A582" w14:textId="77777777" w:rsidTr="00F15576">
        <w:tc>
          <w:tcPr>
            <w:tcW w:w="3005" w:type="dxa"/>
            <w:vAlign w:val="center"/>
          </w:tcPr>
          <w:p w14:paraId="55CC6BE4" w14:textId="5AFD7EB1" w:rsidR="00B14090" w:rsidRDefault="00B14090" w:rsidP="00B14090">
            <w:r>
              <w:rPr>
                <w:rStyle w:val="Strong"/>
              </w:rPr>
              <w:lastRenderedPageBreak/>
              <w:t>Policy</w:t>
            </w:r>
          </w:p>
        </w:tc>
        <w:tc>
          <w:tcPr>
            <w:tcW w:w="3005" w:type="dxa"/>
            <w:vAlign w:val="center"/>
          </w:tcPr>
          <w:p w14:paraId="1E53F7FA" w14:textId="49F22910" w:rsidR="00B14090" w:rsidRDefault="00B14090" w:rsidP="00B14090">
            <w:r>
              <w:rPr>
                <w:rStyle w:val="Strong"/>
              </w:rPr>
              <w:t>Key Risks Addressed</w:t>
            </w:r>
          </w:p>
        </w:tc>
        <w:tc>
          <w:tcPr>
            <w:tcW w:w="3006" w:type="dxa"/>
            <w:vAlign w:val="center"/>
          </w:tcPr>
          <w:p w14:paraId="165CE5C0" w14:textId="6A1E1FB4" w:rsidR="00B14090" w:rsidRDefault="00B14090" w:rsidP="00B14090">
            <w:r>
              <w:rPr>
                <w:rStyle w:val="Strong"/>
              </w:rPr>
              <w:t>Zero Trust Enforcement</w:t>
            </w:r>
          </w:p>
        </w:tc>
      </w:tr>
      <w:tr w:rsidR="00B14090" w14:paraId="21CD9DE1" w14:textId="77777777" w:rsidTr="00F15576">
        <w:tc>
          <w:tcPr>
            <w:tcW w:w="3005" w:type="dxa"/>
            <w:vAlign w:val="center"/>
          </w:tcPr>
          <w:p w14:paraId="1F682CE4" w14:textId="20B334E1" w:rsidR="00B14090" w:rsidRDefault="00B14090" w:rsidP="00B14090">
            <w:r>
              <w:rPr>
                <w:rStyle w:val="Strong"/>
              </w:rPr>
              <w:t>AI Usage Policy</w:t>
            </w:r>
          </w:p>
        </w:tc>
        <w:tc>
          <w:tcPr>
            <w:tcW w:w="3005" w:type="dxa"/>
            <w:vAlign w:val="center"/>
          </w:tcPr>
          <w:p w14:paraId="7A8EF74C" w14:textId="16005237" w:rsidR="00B14090" w:rsidRDefault="00B14090" w:rsidP="00B14090">
            <w:r>
              <w:t xml:space="preserve">• Poisoned models </w:t>
            </w:r>
            <w:r>
              <w:br/>
              <w:t xml:space="preserve">• Data leakage </w:t>
            </w:r>
            <w:r>
              <w:br/>
              <w:t>• Model manipulation</w:t>
            </w:r>
          </w:p>
        </w:tc>
        <w:tc>
          <w:tcPr>
            <w:tcW w:w="3006" w:type="dxa"/>
            <w:vAlign w:val="center"/>
          </w:tcPr>
          <w:p w14:paraId="59B221F5" w14:textId="255EBD7B" w:rsidR="00B14090" w:rsidRDefault="00B14090" w:rsidP="00B14090">
            <w:r>
              <w:t xml:space="preserve">• Treat AI as untrusted </w:t>
            </w:r>
            <w:r>
              <w:br/>
              <w:t xml:space="preserve">• Dataset validation </w:t>
            </w:r>
            <w:r>
              <w:br/>
              <w:t>• Provenance tracking</w:t>
            </w:r>
          </w:p>
        </w:tc>
      </w:tr>
      <w:tr w:rsidR="00B14090" w14:paraId="5EAB0D01" w14:textId="77777777" w:rsidTr="00F15576">
        <w:tc>
          <w:tcPr>
            <w:tcW w:w="3005" w:type="dxa"/>
            <w:vAlign w:val="center"/>
          </w:tcPr>
          <w:p w14:paraId="682E8D76" w14:textId="3E97E5AF" w:rsidR="00B14090" w:rsidRDefault="00B14090" w:rsidP="00B14090">
            <w:r>
              <w:rPr>
                <w:rStyle w:val="Strong"/>
              </w:rPr>
              <w:t>Secure SaaS Configuration Policy</w:t>
            </w:r>
          </w:p>
        </w:tc>
        <w:tc>
          <w:tcPr>
            <w:tcW w:w="3005" w:type="dxa"/>
            <w:vAlign w:val="center"/>
          </w:tcPr>
          <w:p w14:paraId="5CF5E811" w14:textId="645347C8" w:rsidR="00B14090" w:rsidRDefault="00B14090" w:rsidP="00B14090">
            <w:r>
              <w:t xml:space="preserve">• Misconfigurations </w:t>
            </w:r>
            <w:r>
              <w:br/>
              <w:t xml:space="preserve">• Excess permissions </w:t>
            </w:r>
            <w:r>
              <w:br/>
              <w:t>• Account compromise</w:t>
            </w:r>
          </w:p>
        </w:tc>
        <w:tc>
          <w:tcPr>
            <w:tcW w:w="3006" w:type="dxa"/>
            <w:vAlign w:val="center"/>
          </w:tcPr>
          <w:p w14:paraId="60D4CC36" w14:textId="69F5C25C" w:rsidR="00B14090" w:rsidRDefault="00B14090" w:rsidP="00B14090">
            <w:r>
              <w:t xml:space="preserve">• Least privilege access </w:t>
            </w:r>
            <w:r>
              <w:br/>
              <w:t xml:space="preserve">• Continuous monitoring </w:t>
            </w:r>
            <w:r>
              <w:br/>
              <w:t>• Assume breach</w:t>
            </w:r>
          </w:p>
        </w:tc>
      </w:tr>
      <w:tr w:rsidR="00B14090" w14:paraId="75BF5200" w14:textId="77777777" w:rsidTr="00F15576">
        <w:tc>
          <w:tcPr>
            <w:tcW w:w="3005" w:type="dxa"/>
            <w:vAlign w:val="center"/>
          </w:tcPr>
          <w:p w14:paraId="631ED3F3" w14:textId="142E232F" w:rsidR="00B14090" w:rsidRDefault="00B14090" w:rsidP="00B14090">
            <w:r>
              <w:rPr>
                <w:rStyle w:val="Strong"/>
              </w:rPr>
              <w:t>BYOD Policy</w:t>
            </w:r>
          </w:p>
        </w:tc>
        <w:tc>
          <w:tcPr>
            <w:tcW w:w="3005" w:type="dxa"/>
            <w:vAlign w:val="center"/>
          </w:tcPr>
          <w:p w14:paraId="30B60365" w14:textId="49087ACB" w:rsidR="00B14090" w:rsidRDefault="00B14090" w:rsidP="00B14090">
            <w:r>
              <w:t xml:space="preserve">• Untrusted endpoints </w:t>
            </w:r>
            <w:r>
              <w:br/>
              <w:t xml:space="preserve">• Data exfiltration </w:t>
            </w:r>
            <w:r>
              <w:br/>
              <w:t>• Malware infection</w:t>
            </w:r>
          </w:p>
        </w:tc>
        <w:tc>
          <w:tcPr>
            <w:tcW w:w="3006" w:type="dxa"/>
            <w:vAlign w:val="center"/>
          </w:tcPr>
          <w:p w14:paraId="51AD05AB" w14:textId="655BAAD7" w:rsidR="00B14090" w:rsidRDefault="00B14090" w:rsidP="00B14090">
            <w:r>
              <w:t xml:space="preserve">• Device posture checks </w:t>
            </w:r>
            <w:r>
              <w:br/>
              <w:t xml:space="preserve">• ZTNA (no VPN trust) </w:t>
            </w:r>
            <w:r>
              <w:br/>
              <w:t>• Continuous verification</w:t>
            </w:r>
          </w:p>
        </w:tc>
      </w:tr>
    </w:tbl>
    <w:p w14:paraId="74451CFD" w14:textId="4A3DD550" w:rsidR="002E2D3C" w:rsidRDefault="00A77734" w:rsidP="00A77734">
      <w:pPr>
        <w:pStyle w:val="Caption"/>
        <w:rPr>
          <w:b/>
          <w:bCs/>
        </w:rPr>
      </w:pPr>
      <w:bookmarkStart w:id="34" w:name="_Toc218509220"/>
      <w:r>
        <w:t xml:space="preserve">Figure </w:t>
      </w:r>
      <w:fldSimple w:instr=" SEQ Figure \* ARABIC ">
        <w:r w:rsidR="00A431F4">
          <w:rPr>
            <w:noProof/>
          </w:rPr>
          <w:t>4</w:t>
        </w:r>
      </w:fldSimple>
      <w:r w:rsidR="00DA3A36">
        <w:rPr>
          <w:noProof/>
        </w:rPr>
        <w:t xml:space="preserve"> Policy Table</w:t>
      </w:r>
      <w:bookmarkEnd w:id="34"/>
    </w:p>
    <w:p w14:paraId="3CC2AFE7" w14:textId="20951D08" w:rsidR="009D3F0E" w:rsidRPr="00535E1F" w:rsidRDefault="00B14090" w:rsidP="00B14090">
      <w:r w:rsidRPr="00B14090">
        <w:rPr>
          <w:b/>
          <w:bCs/>
        </w:rPr>
        <w:t xml:space="preserve">Figure </w:t>
      </w:r>
      <w:r w:rsidR="00A431F4">
        <w:rPr>
          <w:b/>
          <w:bCs/>
        </w:rPr>
        <w:t>4</w:t>
      </w:r>
      <w:r w:rsidRPr="00B14090">
        <w:t xml:space="preserve"> illustrates how key organisational policies are mapped to specific risks and enforced through Zero Trust controls across AI systems, cloud services, and hybrid working environments.</w:t>
      </w:r>
    </w:p>
    <w:p w14:paraId="78114E3E" w14:textId="0AEA1CCE" w:rsidR="006820F0" w:rsidRPr="006820F0" w:rsidRDefault="006820F0" w:rsidP="00F32692">
      <w:pPr>
        <w:pStyle w:val="Heading1"/>
      </w:pPr>
      <w:bookmarkStart w:id="35" w:name="_Toc218546916"/>
      <w:r w:rsidRPr="006820F0">
        <w:t>4. Regulatory Compliance: Addressing DORA and NIS2 Requirements</w:t>
      </w:r>
      <w:bookmarkEnd w:id="35"/>
      <w:r w:rsidRPr="006820F0">
        <w:t xml:space="preserve"> </w:t>
      </w:r>
    </w:p>
    <w:p w14:paraId="4AF39FC0" w14:textId="2D5D32C2" w:rsidR="006820F0" w:rsidRPr="00535E1F" w:rsidRDefault="006820F0" w:rsidP="006820F0">
      <w:r w:rsidRPr="00535E1F">
        <w:t>The proposed Zero Trust security programme is designed to support compliance with both DORA and NIS2 as an integrated operational capability rather than a standalone compliance exercise. By embedding regulatory requirements directly into everyday security practices, the organisation strengthens resilience while reducing administrative overhead</w:t>
      </w:r>
      <w:sdt>
        <w:sdtPr>
          <w:rPr>
            <w:rFonts w:ascii="Aptos" w:hAnsi="Aptos"/>
            <w:color w:val="000000"/>
            <w:highlight w:val="white"/>
          </w:rPr>
          <w:alias w:val="Citation"/>
          <w:tag w:val="{&quot;referencesIds&quot;:[&quot;doc:6959333418640b6bad494b2a&quot;],&quot;referencesOptions&quot;:{&quot;doc:6959333418640b6bad494b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467234,&quot;citationText&quot;:&quot;&lt;span style=\&quot;font-family:Aptos;font-size:16px;color:#000000\&quot;&gt;[16]&lt;/span&gt;&quot;}"/>
          <w:id w:val="-155467234"/>
          <w:placeholder>
            <w:docPart w:val="00EC3996BEB04FC4BF1E2A2AAC173960"/>
          </w:placeholder>
        </w:sdtPr>
        <w:sdtContent>
          <w:r w:rsidR="00D36E31">
            <w:rPr>
              <w:rFonts w:ascii="Aptos" w:eastAsia="Times New Roman" w:hAnsi="Aptos"/>
              <w:color w:val="000000"/>
            </w:rPr>
            <w:t>[16]</w:t>
          </w:r>
        </w:sdtContent>
      </w:sdt>
      <w:r w:rsidRPr="00535E1F">
        <w:t>.</w:t>
      </w:r>
    </w:p>
    <w:p w14:paraId="7F447312" w14:textId="481986C7" w:rsidR="006820F0" w:rsidRPr="00535E1F" w:rsidRDefault="006820F0" w:rsidP="006820F0">
      <w:r w:rsidRPr="00535E1F">
        <w:t>Under DORA, organisations must demonstrate digital operational resilience, including the ability to withstand, respond to, and recover from ICT</w:t>
      </w:r>
      <w:r w:rsidRPr="00535E1F">
        <w:noBreakHyphen/>
        <w:t xml:space="preserve">related incidents. Zero Trust directly supports these expectations by limiting lateral movement, reducing the blast radius of attacks, and enabling rapid isolation of compromised systems. Regular resilience </w:t>
      </w:r>
      <w:r w:rsidR="000329C6" w:rsidRPr="00535E1F">
        <w:t>testing,</w:t>
      </w:r>
      <w:r w:rsidR="000329C6">
        <w:t xml:space="preserve"> protected</w:t>
      </w:r>
      <w:r w:rsidRPr="00535E1F">
        <w:t xml:space="preserve"> backups, and structured third</w:t>
      </w:r>
      <w:r w:rsidRPr="00535E1F">
        <w:noBreakHyphen/>
        <w:t>party risk assessments are built into operational workflows to meet DORA’s requirements for ICT risk management, incident classification, and continuity planning</w:t>
      </w:r>
      <w:sdt>
        <w:sdtPr>
          <w:rPr>
            <w:rFonts w:ascii="Aptos" w:hAnsi="Aptos"/>
            <w:color w:val="000000"/>
            <w:highlight w:val="white"/>
          </w:rPr>
          <w:alias w:val="Citation"/>
          <w:tag w:val="{&quot;referencesIds&quot;:[&quot;doc:6959333418640b6bad494b2a&quot;],&quot;referencesOptions&quot;:{&quot;doc:6959333418640b6bad494b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9056289,&quot;citationText&quot;:&quot;&lt;span style=\&quot;font-family:Aptos;font-size:16px;color:#000000\&quot;&gt;[16]&lt;/span&gt;&quot;}"/>
          <w:id w:val="-829056289"/>
          <w:placeholder>
            <w:docPart w:val="02F7D3FDD4CD444795948239CD94214C"/>
          </w:placeholder>
        </w:sdtPr>
        <w:sdtContent>
          <w:r w:rsidR="00D36E31">
            <w:rPr>
              <w:rFonts w:ascii="Aptos" w:eastAsia="Times New Roman" w:hAnsi="Aptos"/>
              <w:color w:val="000000"/>
            </w:rPr>
            <w:t>[16]</w:t>
          </w:r>
        </w:sdtContent>
      </w:sdt>
      <w:r w:rsidRPr="00535E1F">
        <w:t>.</w:t>
      </w:r>
    </w:p>
    <w:p w14:paraId="7FFF7012" w14:textId="23AD3A6F" w:rsidR="006820F0" w:rsidRPr="00535E1F" w:rsidRDefault="006820F0" w:rsidP="006820F0">
      <w:r w:rsidRPr="00535E1F">
        <w:t>NIS2 places strong emphasis on risk management, incident reporting, and executive accountability. The proposed governance structure ensures that cybersecurity risks are overseen at board level, meeting NIS2’s expectations for leadership involvement. Continuous monitoring, threat detection, and coordinated incident response capabilities enable the organisation to identify and report significant incidents within mandated timelines</w:t>
      </w:r>
      <w:sdt>
        <w:sdtPr>
          <w:rPr>
            <w:rFonts w:ascii="Aptos" w:hAnsi="Aptos"/>
            <w:color w:val="000000"/>
            <w:highlight w:val="white"/>
          </w:rPr>
          <w:alias w:val="Citation"/>
          <w:tag w:val="{&quot;referencesIds&quot;:[&quot;doc:6959333418640b6bad494b2a&quot;],&quot;referencesOptions&quot;:{&quot;doc:6959333418640b6bad494b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129118,&quot;citationText&quot;:&quot;&lt;span style=\&quot;font-family:Aptos;font-size:16px;color:#000000\&quot;&gt;[16]&lt;/span&gt;&quot;}"/>
          <w:id w:val="51129118"/>
          <w:placeholder>
            <w:docPart w:val="1637993444B945C38A9274CBEDA1987E"/>
          </w:placeholder>
        </w:sdtPr>
        <w:sdtContent>
          <w:r w:rsidR="00D36E31">
            <w:rPr>
              <w:rFonts w:ascii="Aptos" w:eastAsia="Times New Roman" w:hAnsi="Aptos"/>
              <w:color w:val="000000"/>
            </w:rPr>
            <w:t>[16]</w:t>
          </w:r>
        </w:sdtContent>
      </w:sdt>
      <w:r w:rsidRPr="00535E1F">
        <w:t>. Clearly defined roles and responsibilities ensure that regulatory notifications are accurate, timely, and aligned with legal obligations.</w:t>
      </w:r>
    </w:p>
    <w:p w14:paraId="0E8F8138" w14:textId="55E93FBB" w:rsidR="00DC66C3" w:rsidRDefault="006820F0" w:rsidP="000329C6">
      <w:pPr>
        <w:rPr>
          <w:b/>
          <w:bCs/>
        </w:rPr>
      </w:pPr>
      <w:r w:rsidRPr="00535E1F">
        <w:t>This integrated approach ensures that compliance is achieved naturally through strong security practices, while simultaneously improving the organisation’s overall security maturity and operational resilience</w:t>
      </w:r>
      <w:sdt>
        <w:sdtPr>
          <w:rPr>
            <w:rFonts w:ascii="Aptos" w:hAnsi="Aptos"/>
            <w:color w:val="000000"/>
            <w:highlight w:val="white"/>
          </w:rPr>
          <w:alias w:val="Citation"/>
          <w:tag w:val="{&quot;referencesIds&quot;:[&quot;doc:6959333418640b6bad494b2a&quot;],&quot;referencesOptions&quot;:{&quot;doc:6959333418640b6bad494b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144868,&quot;citationText&quot;:&quot;&lt;span style=\&quot;font-family:Aptos;font-size:16px;color:#000000\&quot;&gt;[16]&lt;/span&gt;&quot;}"/>
          <w:id w:val="493144868"/>
          <w:placeholder>
            <w:docPart w:val="C650FB37BF794E5B878D112DCC987916"/>
          </w:placeholder>
        </w:sdtPr>
        <w:sdtContent>
          <w:r w:rsidR="00D36E31">
            <w:rPr>
              <w:rFonts w:ascii="Aptos" w:eastAsia="Times New Roman" w:hAnsi="Aptos"/>
              <w:color w:val="000000"/>
            </w:rPr>
            <w:t>[16]</w:t>
          </w:r>
        </w:sdtContent>
      </w:sdt>
      <w:r w:rsidRPr="00535E1F">
        <w:t>.</w:t>
      </w:r>
    </w:p>
    <w:p w14:paraId="2C9B5261" w14:textId="592311E8" w:rsidR="006820F0" w:rsidRDefault="006820F0" w:rsidP="00F32692">
      <w:pPr>
        <w:pStyle w:val="Heading1"/>
      </w:pPr>
      <w:bookmarkStart w:id="36" w:name="_Toc218546917"/>
      <w:r w:rsidRPr="006820F0">
        <w:lastRenderedPageBreak/>
        <w:t>5. Governance and Strategy: Aligning Security with Business Goals Using NIST CSF 2.0</w:t>
      </w:r>
      <w:bookmarkEnd w:id="36"/>
      <w:r w:rsidRPr="006820F0">
        <w:t xml:space="preserve"> </w:t>
      </w:r>
    </w:p>
    <w:p w14:paraId="0817BE35" w14:textId="17D57961" w:rsidR="005B5F42" w:rsidRPr="006820F0" w:rsidRDefault="005B5F42" w:rsidP="006820F0">
      <w:pPr>
        <w:rPr>
          <w:b/>
          <w:bCs/>
        </w:rPr>
      </w:pPr>
    </w:p>
    <w:p w14:paraId="3643015C" w14:textId="44AD5CA9" w:rsidR="00450890" w:rsidRPr="00450890" w:rsidRDefault="00450890" w:rsidP="00450890">
      <w:r w:rsidRPr="00450890">
        <w:t>Effective cybersecurity governance is essential for ensuring that Zero Trust becomes a strategic, organisation</w:t>
      </w:r>
      <w:r w:rsidRPr="00450890">
        <w:noBreakHyphen/>
        <w:t>wide approach rather than a purely technical initiative. As ResilientIntellect expands into the European Union, governance must enable rapid business growth while meeting the heightened regulatory expectations introduced by DORA and the NIS2 Directive. To achieve this, the proposed security programme is aligned with the NIST Cybersecurity Framework (CSF) 2.0, which offers a structured, risk</w:t>
      </w:r>
      <w:r w:rsidRPr="00450890">
        <w:noBreakHyphen/>
        <w:t>based model for managing cybersecurity across modern, cloud</w:t>
      </w:r>
      <w:r w:rsidRPr="00450890">
        <w:noBreakHyphen/>
        <w:t>native environments</w:t>
      </w:r>
      <w:sdt>
        <w:sdtPr>
          <w:rPr>
            <w:rFonts w:ascii="Aptos" w:hAnsi="Aptos"/>
            <w:color w:val="000000"/>
            <w:highlight w:val="white"/>
          </w:rPr>
          <w:alias w:val="Citation"/>
          <w:tag w:val="{&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6342113,&quot;citationText&quot;:&quot;&lt;span style=\&quot;font-family:Aptos;font-size:16px;color:#000000\&quot;&gt;[17]&lt;/span&gt;&quot;}"/>
          <w:id w:val="1156342113"/>
          <w:placeholder>
            <w:docPart w:val="5EA1A37D98534F078BDCFF45DE36D6FB"/>
          </w:placeholder>
        </w:sdtPr>
        <w:sdtContent>
          <w:r w:rsidR="00D36E31">
            <w:rPr>
              <w:rFonts w:ascii="Aptos" w:eastAsia="Times New Roman" w:hAnsi="Aptos"/>
              <w:color w:val="000000"/>
            </w:rPr>
            <w:t>[17]</w:t>
          </w:r>
        </w:sdtContent>
      </w:sdt>
      <w:r w:rsidRPr="00450890">
        <w:t>.</w:t>
      </w:r>
    </w:p>
    <w:p w14:paraId="439804FB" w14:textId="266D1B30" w:rsidR="00450890" w:rsidRDefault="00A77734" w:rsidP="00450890">
      <w:r>
        <w:rPr>
          <w:noProof/>
        </w:rPr>
        <mc:AlternateContent>
          <mc:Choice Requires="wps">
            <w:drawing>
              <wp:anchor distT="0" distB="0" distL="114300" distR="114300" simplePos="0" relativeHeight="251662336" behindDoc="0" locked="0" layoutInCell="1" allowOverlap="1" wp14:anchorId="42B8C5D2" wp14:editId="167283DF">
                <wp:simplePos x="0" y="0"/>
                <wp:positionH relativeFrom="margin">
                  <wp:align>center</wp:align>
                </wp:positionH>
                <wp:positionV relativeFrom="paragraph">
                  <wp:posOffset>3336925</wp:posOffset>
                </wp:positionV>
                <wp:extent cx="2625090" cy="635"/>
                <wp:effectExtent l="0" t="0" r="3810" b="0"/>
                <wp:wrapTopAndBottom/>
                <wp:docPr id="1611602311" name="Text Box 1"/>
                <wp:cNvGraphicFramePr/>
                <a:graphic xmlns:a="http://schemas.openxmlformats.org/drawingml/2006/main">
                  <a:graphicData uri="http://schemas.microsoft.com/office/word/2010/wordprocessingShape">
                    <wps:wsp>
                      <wps:cNvSpPr txBox="1"/>
                      <wps:spPr>
                        <a:xfrm>
                          <a:off x="0" y="0"/>
                          <a:ext cx="2625090" cy="635"/>
                        </a:xfrm>
                        <a:prstGeom prst="rect">
                          <a:avLst/>
                        </a:prstGeom>
                        <a:solidFill>
                          <a:prstClr val="white"/>
                        </a:solidFill>
                        <a:ln>
                          <a:noFill/>
                        </a:ln>
                      </wps:spPr>
                      <wps:txbx>
                        <w:txbxContent>
                          <w:p w14:paraId="2189CF50" w14:textId="115B5A67" w:rsidR="00A77734" w:rsidRPr="00433257" w:rsidRDefault="00A77734" w:rsidP="00B7253C">
                            <w:pPr>
                              <w:pStyle w:val="Caption"/>
                              <w:rPr>
                                <w:noProof/>
                              </w:rPr>
                            </w:pPr>
                            <w:bookmarkStart w:id="37" w:name="_Toc218509221"/>
                            <w:r>
                              <w:t xml:space="preserve">Figure </w:t>
                            </w:r>
                            <w:fldSimple w:instr=" SEQ Figure \* ARABIC ">
                              <w:r w:rsidR="00A431F4">
                                <w:rPr>
                                  <w:noProof/>
                                </w:rPr>
                                <w:t>5</w:t>
                              </w:r>
                            </w:fldSimple>
                            <w:r w:rsidR="00DA3A36">
                              <w:rPr>
                                <w:noProof/>
                              </w:rPr>
                              <w:t xml:space="preserve"> </w:t>
                            </w:r>
                            <w:r w:rsidR="00B7253C">
                              <w:rPr>
                                <w:noProof/>
                              </w:rPr>
                              <w:t xml:space="preserve">: </w:t>
                            </w:r>
                            <w:r w:rsidR="00B7253C" w:rsidRPr="00B7253C">
                              <w:rPr>
                                <w:noProof/>
                              </w:rPr>
                              <w:t>NIST Cybersecurity Framework (CSF) 2.0 core functions illustrating a lifecycle approach to governing, identifying, protecting, detecting, responding to, and recovering from cybersecurity risks.</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2B8C5D2" id="_x0000_t202" coordsize="21600,21600" o:spt="202" path="m,l,21600r21600,l21600,xe">
                <v:stroke joinstyle="miter"/>
                <v:path gradientshapeok="t" o:connecttype="rect"/>
              </v:shapetype>
              <v:shape id="Text Box 1" o:spid="_x0000_s1026" type="#_x0000_t202" style="position:absolute;margin-left:0;margin-top:262.75pt;width:206.7pt;height:.05pt;z-index:2516623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" stroked="f">
                <v:textbox style="mso-fit-shape-to-text:t" inset="0,0,0,0">
                  <w:txbxContent>
                    <w:p w14:paraId="2189CF50" w14:textId="115B5A67" w:rsidR="00A77734" w:rsidRPr="00433257" w:rsidRDefault="00A77734" w:rsidP="00B7253C">
                      <w:pPr>
                        <w:pStyle w:val="Caption"/>
                        <w:rPr>
                          <w:noProof/>
                        </w:rPr>
                      </w:pPr>
                      <w:bookmarkStart w:id="38" w:name="_Toc218509221"/>
                      <w:r>
                        <w:t xml:space="preserve">Figure </w:t>
                      </w:r>
                      <w:fldSimple w:instr=" SEQ Figure \* ARABIC ">
                        <w:r w:rsidR="00A431F4">
                          <w:rPr>
                            <w:noProof/>
                          </w:rPr>
                          <w:t>5</w:t>
                        </w:r>
                      </w:fldSimple>
                      <w:r w:rsidR="00DA3A36">
                        <w:rPr>
                          <w:noProof/>
                        </w:rPr>
                        <w:t xml:space="preserve"> </w:t>
                      </w:r>
                      <w:r w:rsidR="00B7253C">
                        <w:rPr>
                          <w:noProof/>
                        </w:rPr>
                        <w:t xml:space="preserve">: </w:t>
                      </w:r>
                      <w:r w:rsidR="00B7253C" w:rsidRPr="00B7253C">
                        <w:rPr>
                          <w:noProof/>
                        </w:rPr>
                        <w:t>NIST Cybersecurity Framework (CSF) 2.0 core functions illustrating a lifecycle approach to governing, identifying, protecting, detecting, responding to, and recovering from cybersecurity risks.</w:t>
                      </w:r>
                      <w:bookmarkEnd w:id="38"/>
                    </w:p>
                  </w:txbxContent>
                </v:textbox>
                <w10:wrap type="topAndBottom" anchorx="margin"/>
              </v:shape>
            </w:pict>
          </mc:Fallback>
        </mc:AlternateContent>
      </w:r>
      <w:r w:rsidR="005B5F42">
        <w:rPr>
          <w:noProof/>
        </w:rPr>
        <w:drawing>
          <wp:anchor distT="0" distB="0" distL="114300" distR="114300" simplePos="0" relativeHeight="251658240" behindDoc="0" locked="0" layoutInCell="1" allowOverlap="1" wp14:anchorId="121AD780" wp14:editId="49AC19DF">
            <wp:simplePos x="0" y="0"/>
            <wp:positionH relativeFrom="column">
              <wp:posOffset>1778117</wp:posOffset>
            </wp:positionH>
            <wp:positionV relativeFrom="paragraph">
              <wp:posOffset>1287885</wp:posOffset>
            </wp:positionV>
            <wp:extent cx="2080895" cy="1991360"/>
            <wp:effectExtent l="0" t="0" r="0" b="8890"/>
            <wp:wrapTopAndBottom/>
            <wp:docPr id="14725139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513962" name="Picture 147251396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80895" cy="1991360"/>
                    </a:xfrm>
                    <a:prstGeom prst="rect">
                      <a:avLst/>
                    </a:prstGeom>
                  </pic:spPr>
                </pic:pic>
              </a:graphicData>
            </a:graphic>
            <wp14:sizeRelH relativeFrom="margin">
              <wp14:pctWidth>0</wp14:pctWidth>
            </wp14:sizeRelH>
            <wp14:sizeRelV relativeFrom="margin">
              <wp14:pctHeight>0</wp14:pctHeight>
            </wp14:sizeRelV>
          </wp:anchor>
        </w:drawing>
      </w:r>
      <w:r w:rsidR="00450890" w:rsidRPr="00450890">
        <w:t>NIST CSF 2.0 is particularly appropriate in this context because it elevates governance to a core function, mirroring NIS2’s focus on senior management accountability</w:t>
      </w:r>
      <w:sdt>
        <w:sdtPr>
          <w:rPr>
            <w:rFonts w:ascii="Aptos" w:hAnsi="Aptos"/>
            <w:color w:val="000000"/>
            <w:highlight w:val="white"/>
          </w:rPr>
          <w:alias w:val="Citation"/>
          <w:tag w:val="{&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6753251,&quot;citationText&quot;:&quot;&lt;span style=\&quot;font-family:Aptos;font-size:16px;color:#000000\&quot;&gt;[17]&lt;/span&gt;&quot;}"/>
          <w:id w:val="-1796753251"/>
          <w:placeholder>
            <w:docPart w:val="B8913AE1065E47E7A1CF62EEB4255709"/>
          </w:placeholder>
        </w:sdtPr>
        <w:sdtContent>
          <w:r w:rsidR="00D36E31">
            <w:rPr>
              <w:rFonts w:ascii="Aptos" w:eastAsia="Times New Roman" w:hAnsi="Aptos"/>
              <w:color w:val="000000"/>
            </w:rPr>
            <w:t>[17]</w:t>
          </w:r>
        </w:sdtContent>
      </w:sdt>
      <w:r w:rsidR="00450890" w:rsidRPr="00450890">
        <w:t>. By framing cybersecurity as a business risk rather than an isolated IT concern, the framework ensures that security considerations are embedded into strategic planning, investment decisions, and operational risk management.</w:t>
      </w:r>
    </w:p>
    <w:p w14:paraId="3C2E28CF" w14:textId="2AA5C3F8" w:rsidR="005B5F42" w:rsidRPr="00450890" w:rsidRDefault="005B5F42" w:rsidP="00450890"/>
    <w:p w14:paraId="3B087B8B" w14:textId="77777777" w:rsidR="00B7253C" w:rsidRDefault="00B7253C" w:rsidP="00450890"/>
    <w:p w14:paraId="3A03F3DD" w14:textId="34F7BA85" w:rsidR="00450890" w:rsidRPr="00450890" w:rsidRDefault="00B7253C" w:rsidP="00450890">
      <w:r>
        <w:t>As illustrated in figure 5, t</w:t>
      </w:r>
      <w:r w:rsidR="00450890" w:rsidRPr="00450890">
        <w:t xml:space="preserve">he </w:t>
      </w:r>
      <w:r w:rsidR="00450890" w:rsidRPr="00450890">
        <w:rPr>
          <w:b/>
          <w:bCs/>
        </w:rPr>
        <w:t>Govern</w:t>
      </w:r>
      <w:r w:rsidR="00450890" w:rsidRPr="00450890">
        <w:t xml:space="preserve"> function establishes clear accountability, oversight, and decision</w:t>
      </w:r>
      <w:r w:rsidR="00450890" w:rsidRPr="00450890">
        <w:noBreakHyphen/>
        <w:t>making structures</w:t>
      </w:r>
      <w:sdt>
        <w:sdtPr>
          <w:rPr>
            <w:rFonts w:ascii="Aptos" w:hAnsi="Aptos"/>
            <w:color w:val="000000"/>
            <w:highlight w:val="white"/>
          </w:rPr>
          <w:alias w:val="Citation"/>
          <w:tag w:val="{&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2108344,&quot;citationText&quot;:&quot;&lt;span style=\&quot;font-family:Aptos;font-size:16px;color:#000000\&quot;&gt;[17]&lt;/span&gt;&quot;}"/>
          <w:id w:val="652108344"/>
          <w:placeholder>
            <w:docPart w:val="99989A6499F04EA2BA975E24E60DF7D4"/>
          </w:placeholder>
        </w:sdtPr>
        <w:sdtContent>
          <w:r w:rsidR="00D36E31">
            <w:rPr>
              <w:rFonts w:ascii="Aptos" w:eastAsia="Times New Roman" w:hAnsi="Aptos"/>
              <w:color w:val="000000"/>
            </w:rPr>
            <w:t>[17]</w:t>
          </w:r>
        </w:sdtContent>
      </w:sdt>
      <w:r w:rsidR="00450890" w:rsidRPr="00450890">
        <w:t>. Within ResilientIntellect’s EU operations, governance is anchored by board</w:t>
      </w:r>
      <w:r w:rsidR="00450890" w:rsidRPr="00450890">
        <w:noBreakHyphen/>
        <w:t xml:space="preserve">level oversight through the Security and Risk Steering Committee. This ensures that cybersecurity strategy remains aligned with business objectives and regulatory obligations. The Head of Information Security (EU) is </w:t>
      </w:r>
      <w:r w:rsidR="00450890" w:rsidRPr="00450890">
        <w:lastRenderedPageBreak/>
        <w:t>given explicit authority to enforce Zero Trust principles across people, pipelines, and platforms, directly supporting NIS2 governance requirements and DORA’s ICT risk management expectations.</w:t>
      </w:r>
    </w:p>
    <w:p w14:paraId="070108CC" w14:textId="038F2866" w:rsidR="00450890" w:rsidRPr="00450890" w:rsidRDefault="00450890" w:rsidP="00614C24">
      <w:r w:rsidRPr="00450890">
        <w:t xml:space="preserve">The </w:t>
      </w:r>
      <w:r w:rsidRPr="00450890">
        <w:rPr>
          <w:b/>
          <w:bCs/>
        </w:rPr>
        <w:t>Identify</w:t>
      </w:r>
      <w:r w:rsidRPr="00450890">
        <w:t xml:space="preserve"> function focuses on understanding and prioritising risks to the organisation’s most critical assets, including AI models, training data, threat intelligence outputs, cloud workloads, and SaaS platforms</w:t>
      </w:r>
      <w:sdt>
        <w:sdtPr>
          <w:rPr>
            <w:rFonts w:ascii="Aptos" w:hAnsi="Aptos"/>
            <w:color w:val="000000"/>
            <w:highlight w:val="white"/>
          </w:rPr>
          <w:alias w:val="Citation"/>
          <w:tag w:val="{&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8834519,&quot;citationText&quot;:&quot;&lt;span style=\&quot;font-family:Aptos;font-size:16px;color:#000000\&quot;&gt;[17]&lt;/span&gt;&quot;}"/>
          <w:id w:val="-1228834519"/>
          <w:placeholder>
            <w:docPart w:val="250A08FD969D416BBB5EFAF2E911E23F"/>
          </w:placeholder>
        </w:sdtPr>
        <w:sdtContent>
          <w:r w:rsidR="00D36E31">
            <w:rPr>
              <w:rFonts w:ascii="Aptos" w:eastAsia="Times New Roman" w:hAnsi="Aptos"/>
              <w:color w:val="000000"/>
            </w:rPr>
            <w:t>[17]</w:t>
          </w:r>
        </w:sdtContent>
      </w:sdt>
      <w:r w:rsidRPr="00450890">
        <w:t xml:space="preserve">. </w:t>
      </w:r>
      <w:r w:rsidR="00614C24" w:rsidRPr="00614C24">
        <w:t xml:space="preserve">This includes </w:t>
      </w:r>
      <w:r w:rsidR="000D5372">
        <w:t xml:space="preserve">identifying and </w:t>
      </w:r>
      <w:r w:rsidR="00614C24" w:rsidRPr="00614C24">
        <w:t>mapping assets and data flows across internal systems, third-party providers, and software supply chains, reflecting DORA’s focus on managing ICT third-party and concentration risk.</w:t>
      </w:r>
      <w:r w:rsidRPr="00450890">
        <w:t xml:space="preserve"> By adopting a risk</w:t>
      </w:r>
      <w:r w:rsidRPr="00450890">
        <w:noBreakHyphen/>
        <w:t>informed perspective, the organisation can prioritise controls that protect high</w:t>
      </w:r>
      <w:r w:rsidRPr="00450890">
        <w:noBreakHyphen/>
        <w:t>value assets and reduce systemic vulnerabilities.</w:t>
      </w:r>
    </w:p>
    <w:p w14:paraId="4DBB2AD0" w14:textId="61DD0EA7" w:rsidR="00450890" w:rsidRPr="00450890" w:rsidRDefault="00450890" w:rsidP="00450890">
      <w:r w:rsidRPr="00450890">
        <w:t xml:space="preserve">The </w:t>
      </w:r>
      <w:r w:rsidRPr="00450890">
        <w:rPr>
          <w:b/>
          <w:bCs/>
        </w:rPr>
        <w:t>Protect</w:t>
      </w:r>
      <w:r w:rsidRPr="00450890">
        <w:t xml:space="preserve"> function translates governance decisions into practical Zero Trust controls</w:t>
      </w:r>
      <w:sdt>
        <w:sdtPr>
          <w:rPr>
            <w:rFonts w:ascii="Aptos" w:hAnsi="Aptos"/>
            <w:color w:val="000000"/>
            <w:highlight w:val="white"/>
          </w:rPr>
          <w:alias w:val="Citation"/>
          <w:tag w:val="{&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0830774,&quot;citationText&quot;:&quot;&lt;span style=\&quot;font-family:Aptos;font-size:16px;color:#000000\&quot;&gt;[17]&lt;/span&gt;&quot;}"/>
          <w:id w:val="1420830774"/>
          <w:placeholder>
            <w:docPart w:val="8ADDBD24F3584D938C5844F0F5DB0325"/>
          </w:placeholder>
        </w:sdtPr>
        <w:sdtContent>
          <w:r w:rsidR="00D36E31">
            <w:rPr>
              <w:rFonts w:ascii="Aptos" w:eastAsia="Times New Roman" w:hAnsi="Aptos"/>
              <w:color w:val="000000"/>
            </w:rPr>
            <w:t>[17]</w:t>
          </w:r>
        </w:sdtContent>
      </w:sdt>
      <w:r w:rsidRPr="00450890">
        <w:t>. Strong identity and access management, phishing</w:t>
      </w:r>
      <w:r w:rsidRPr="00450890">
        <w:noBreakHyphen/>
        <w:t>resistant MFA, device posture validation, and Zero Trust Network Access (ZTNA) safeguard hybrid workers. At the same time, least</w:t>
      </w:r>
      <w:r w:rsidRPr="00450890">
        <w:noBreakHyphen/>
        <w:t>privilege access and embedded security controls protect AI development environments and DevSecOps pipelines. These measures reduce the likelihood of credential compromise, unauthorised access, and lateral movement—without hindering operational agility.</w:t>
      </w:r>
    </w:p>
    <w:p w14:paraId="206649F4" w14:textId="18C4C9D5" w:rsidR="00450890" w:rsidRPr="00450890" w:rsidRDefault="00450890" w:rsidP="00450890">
      <w:r w:rsidRPr="00450890">
        <w:t>Continuous monitoring across cloud infrastructure, SaaS platforms, endpoints, and AI workloads supports early detection of anomalous behaviour and potential security incidents</w:t>
      </w:r>
      <w:sdt>
        <w:sdtPr>
          <w:rPr>
            <w:rFonts w:ascii="Aptos" w:hAnsi="Aptos"/>
            <w:color w:val="000000"/>
            <w:highlight w:val="white"/>
          </w:rPr>
          <w:alias w:val="Citation"/>
          <w:tag w:val="{&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5560324,&quot;citationText&quot;:&quot;&lt;span style=\&quot;font-family:Aptos;font-size:16px;color:#000000\&quot;&gt;[17]&lt;/span&gt;&quot;}"/>
          <w:id w:val="975560324"/>
          <w:placeholder>
            <w:docPart w:val="DDDC4C56B6564D439994CCE2C16FBA1B"/>
          </w:placeholder>
        </w:sdtPr>
        <w:sdtContent>
          <w:r w:rsidR="00D36E31">
            <w:rPr>
              <w:rFonts w:ascii="Aptos" w:eastAsia="Times New Roman" w:hAnsi="Aptos"/>
              <w:color w:val="000000"/>
            </w:rPr>
            <w:t>[17]</w:t>
          </w:r>
        </w:sdtContent>
      </w:sdt>
      <w:r w:rsidRPr="00450890">
        <w:t>. Centralised logging and SIEM</w:t>
      </w:r>
      <w:r w:rsidRPr="00450890">
        <w:noBreakHyphen/>
        <w:t>driven analytics enable rapid incident identification and classification, directly supporting DORA’s operational resilience requirements and NIS2’s incident reporting obligations.</w:t>
      </w:r>
    </w:p>
    <w:p w14:paraId="76FFD0A2" w14:textId="28679AA3" w:rsidR="00450890" w:rsidRPr="00450890" w:rsidRDefault="00450890" w:rsidP="00450890">
      <w:r w:rsidRPr="00450890">
        <w:t xml:space="preserve">The </w:t>
      </w:r>
      <w:r w:rsidRPr="00450890">
        <w:rPr>
          <w:b/>
          <w:bCs/>
        </w:rPr>
        <w:t>Respond</w:t>
      </w:r>
      <w:r w:rsidRPr="00450890">
        <w:t xml:space="preserve"> and </w:t>
      </w:r>
      <w:r w:rsidRPr="00450890">
        <w:rPr>
          <w:b/>
          <w:bCs/>
        </w:rPr>
        <w:t>Recover</w:t>
      </w:r>
      <w:r w:rsidRPr="00450890">
        <w:t xml:space="preserve"> functions ensure that the organisation can manage incidents effectively and restore services quickly</w:t>
      </w:r>
      <w:sdt>
        <w:sdtPr>
          <w:rPr>
            <w:rFonts w:ascii="Aptos" w:hAnsi="Aptos"/>
            <w:color w:val="000000"/>
            <w:highlight w:val="white"/>
          </w:rPr>
          <w:alias w:val="Citation"/>
          <w:tag w:val="{&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6653201,&quot;citationText&quot;:&quot;&lt;span style=\&quot;font-family:Aptos;font-size:16px;color:#000000\&quot;&gt;[17]&lt;/span&gt;&quot;}"/>
          <w:id w:val="-1216653201"/>
          <w:placeholder>
            <w:docPart w:val="E8E8DD1C7673468C9A66F721FBB36291"/>
          </w:placeholder>
        </w:sdtPr>
        <w:sdtContent>
          <w:r w:rsidR="00D36E31">
            <w:rPr>
              <w:rFonts w:ascii="Aptos" w:eastAsia="Times New Roman" w:hAnsi="Aptos"/>
              <w:color w:val="000000"/>
            </w:rPr>
            <w:t>[17]</w:t>
          </w:r>
        </w:sdtContent>
      </w:sdt>
      <w:r w:rsidRPr="00450890">
        <w:t xml:space="preserve">. Clearly defined incident response procedures, supported by automation, enable swift containment and timely regulatory notification where required. Recovery activities prioritise the integrity and availability of AI assets through </w:t>
      </w:r>
      <w:r w:rsidR="00DC635D">
        <w:t>secure</w:t>
      </w:r>
      <w:r w:rsidR="00723CC2">
        <w:t xml:space="preserve"> </w:t>
      </w:r>
      <w:r w:rsidRPr="00450890">
        <w:t>backups, resilience testing, and structured post</w:t>
      </w:r>
      <w:r w:rsidRPr="00450890">
        <w:noBreakHyphen/>
        <w:t>incident reviews. Insights gained from incidents are fed back into governance and risk management processes, strengthening long</w:t>
      </w:r>
      <w:r w:rsidRPr="00450890">
        <w:noBreakHyphen/>
        <w:t>term resilience.</w:t>
      </w:r>
    </w:p>
    <w:p w14:paraId="6DAC2880" w14:textId="30802966" w:rsidR="00450890" w:rsidRPr="00A77734" w:rsidRDefault="00450890" w:rsidP="00A77734">
      <w:r w:rsidRPr="00450890">
        <w:t>By adopting NIST CSF 2.0 as the foundation for its governance model, ResilientIntellect embeds Zero Trust into strategic decision</w:t>
      </w:r>
      <w:r w:rsidRPr="00450890">
        <w:noBreakHyphen/>
        <w:t>making and organisational culture</w:t>
      </w:r>
      <w:sdt>
        <w:sdtPr>
          <w:rPr>
            <w:rFonts w:ascii="Aptos" w:hAnsi="Aptos"/>
            <w:color w:val="000000"/>
            <w:highlight w:val="white"/>
          </w:rPr>
          <w:alias w:val="Citation"/>
          <w:tag w:val="{&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9476806,&quot;citationText&quot;:&quot;&lt;span style=\&quot;font-family:Aptos;font-size:16px;color:#000000\&quot;&gt;[17]&lt;/span&gt;&quot;}"/>
          <w:id w:val="-629476806"/>
          <w:placeholder>
            <w:docPart w:val="AB02207AF8204BB284270FBC10C86D54"/>
          </w:placeholder>
        </w:sdtPr>
        <w:sdtContent>
          <w:r w:rsidR="00D36E31">
            <w:rPr>
              <w:rFonts w:ascii="Aptos" w:eastAsia="Times New Roman" w:hAnsi="Aptos"/>
              <w:color w:val="000000"/>
            </w:rPr>
            <w:t>[17]</w:t>
          </w:r>
        </w:sdtContent>
      </w:sdt>
      <w:r w:rsidRPr="00450890">
        <w:t>. This approach enhances regulatory compliance, protects critical AI assets, and positions cybersecurity as a strategic enabler for secure growth and customer trust across the European Union.</w:t>
      </w:r>
    </w:p>
    <w:p w14:paraId="4A47E48A" w14:textId="4B82A2CB" w:rsidR="00535E1F" w:rsidRPr="00535E1F" w:rsidRDefault="00535E1F" w:rsidP="00F32692">
      <w:pPr>
        <w:pStyle w:val="Heading1"/>
      </w:pPr>
      <w:bookmarkStart w:id="39" w:name="_Toc218546918"/>
      <w:r w:rsidRPr="00535E1F">
        <w:lastRenderedPageBreak/>
        <w:t>6. Risk Management: Focus on AI and Cloud Threats</w:t>
      </w:r>
      <w:bookmarkEnd w:id="39"/>
      <w:r w:rsidRPr="00535E1F">
        <w:t xml:space="preserve"> </w:t>
      </w:r>
    </w:p>
    <w:p w14:paraId="4317529B" w14:textId="6EEA5EEF" w:rsidR="00535E1F" w:rsidRPr="00FA13A1" w:rsidRDefault="00535E1F" w:rsidP="00535E1F">
      <w:r w:rsidRPr="00FA13A1">
        <w:t>A high</w:t>
      </w:r>
      <w:r w:rsidRPr="00FA13A1">
        <w:noBreakHyphen/>
        <w:t>level risk assessment highlights the most significant threats facing ResilientIntellect’s EU operations. Software supply</w:t>
      </w:r>
      <w:r w:rsidRPr="00FA13A1">
        <w:noBreakHyphen/>
        <w:t>chain risks are particularly critical, as compromised open</w:t>
      </w:r>
      <w:r w:rsidRPr="00FA13A1">
        <w:noBreakHyphen/>
        <w:t>source dependencies, malicious packages, or poisoned AI models could directly undermine the accuracy, reliability, and credibility of the organisation’s threat intelligence outputs</w:t>
      </w:r>
      <w:sdt>
        <w:sdtPr>
          <w:rPr>
            <w:rFonts w:ascii="Aptos" w:hAnsi="Aptos"/>
            <w:color w:val="000000"/>
            <w:highlight w:val="white"/>
          </w:rPr>
          <w:alias w:val="Citation"/>
          <w:tag w:val="{&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6905061,&quot;citationText&quot;:&quot;&lt;span style=\&quot;font-family:Aptos;font-size:16px;color:#000000\&quot;&gt;[17]&lt;/span&gt;&quot;}"/>
          <w:id w:val="-936905061"/>
          <w:placeholder>
            <w:docPart w:val="45A2B60B3DA849878E41172F9391CE77"/>
          </w:placeholder>
        </w:sdtPr>
        <w:sdtContent>
          <w:r w:rsidR="00D36E31">
            <w:rPr>
              <w:rFonts w:ascii="Aptos" w:eastAsia="Times New Roman" w:hAnsi="Aptos"/>
              <w:color w:val="000000"/>
            </w:rPr>
            <w:t>[17]</w:t>
          </w:r>
        </w:sdtContent>
      </w:sdt>
      <w:r w:rsidRPr="00FA13A1">
        <w:t>. Cloud misconfigurations represent another major risk, with the potential to expose sensitive data, disrupt services, or create unauthorised access paths across multi</w:t>
      </w:r>
      <w:r w:rsidRPr="00FA13A1">
        <w:noBreakHyphen/>
        <w:t>cloud environments</w:t>
      </w:r>
      <w:sdt>
        <w:sdtPr>
          <w:rPr>
            <w:rFonts w:ascii="Aptos" w:hAnsi="Aptos"/>
            <w:color w:val="000000"/>
            <w:highlight w:val="white"/>
          </w:rPr>
          <w:alias w:val="Citation"/>
          <w:tag w:val="{&quot;referencesIds&quot;:[&quot;doc:69593ef2e7d01521dcb969d8&quot;],&quot;referencesOptions&quot;:{&quot;doc:69593ef2e7d01521dcb969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2800327,&quot;citationText&quot;:&quot;&lt;span style=\&quot;font-family:Aptos;font-size:16px;color:#000000\&quot;&gt;[18]&lt;/span&gt;&quot;}"/>
          <w:id w:val="-2142800327"/>
          <w:placeholder>
            <w:docPart w:val="ADFC81501A69429BA06DFA45BEFD5D3B"/>
          </w:placeholder>
        </w:sdtPr>
        <w:sdtContent>
          <w:r w:rsidR="00D36E31">
            <w:rPr>
              <w:rFonts w:ascii="Aptos" w:eastAsia="Times New Roman" w:hAnsi="Aptos"/>
              <w:color w:val="000000"/>
            </w:rPr>
            <w:t>[18]</w:t>
          </w:r>
        </w:sdtContent>
      </w:sdt>
      <w:r w:rsidRPr="00FA13A1">
        <w:t>.</w:t>
      </w:r>
    </w:p>
    <w:p w14:paraId="030570EB" w14:textId="79FE6C75" w:rsidR="00E76048" w:rsidRDefault="00535E1F" w:rsidP="00D532AB">
      <w:r w:rsidRPr="00FA13A1">
        <w:t>To mitigate these risks, the organisation should implement automated dependency scanning, maintain Software Bills of Materials (SBOMs), and enforce model validation and cryptographic signing to ensure the integrity of AI artefacts. Continuous cloud posture management and configuration monitoring further reduce the likelihood of misconfigurations going undetected</w:t>
      </w:r>
      <w:sdt>
        <w:sdtPr>
          <w:rPr>
            <w:rFonts w:ascii="Aptos" w:hAnsi="Aptos"/>
            <w:color w:val="000000"/>
            <w:highlight w:val="white"/>
          </w:rPr>
          <w:alias w:val="Citation"/>
          <w:tag w:val="{&quot;referencesIds&quot;:[&quot;doc:69593ef2e7d01521dcb969d8&quot;],&quot;referencesOptions&quot;:{&quot;doc:69593ef2e7d01521dcb969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7446515,&quot;citationText&quot;:&quot;&lt;span style=\&quot;font-family:Aptos;font-size:16px;color:#000000\&quot;&gt;[18]&lt;/span&gt;&quot;}"/>
          <w:id w:val="-1657446515"/>
          <w:placeholder>
            <w:docPart w:val="241ADD5DF4434523BDC2DE134994BE33"/>
          </w:placeholder>
        </w:sdtPr>
        <w:sdtContent>
          <w:r w:rsidR="00D36E31">
            <w:rPr>
              <w:rFonts w:ascii="Aptos" w:eastAsia="Times New Roman" w:hAnsi="Aptos"/>
              <w:color w:val="000000"/>
            </w:rPr>
            <w:t>[18]</w:t>
          </w:r>
        </w:sdtContent>
      </w:sdt>
      <w:r w:rsidRPr="00FA13A1">
        <w:t>. Together, these controls reflect a proactive, Zero Trust</w:t>
      </w:r>
      <w:r w:rsidRPr="00FA13A1">
        <w:noBreakHyphen/>
        <w:t>aligned approach to risk management, ensuring that threats are identified and addressed before they can impact operations.</w:t>
      </w:r>
    </w:p>
    <w:p w14:paraId="3B20D803" w14:textId="6099FAEE" w:rsidR="00057199" w:rsidRPr="000D5372" w:rsidRDefault="00DA3A36" w:rsidP="000D5372">
      <w:pPr>
        <w:rPr>
          <w:b/>
          <w:bCs/>
          <w:u w:val="single"/>
        </w:rPr>
      </w:pPr>
      <w:r>
        <w:rPr>
          <w:b/>
          <w:bCs/>
          <w:u w:val="single"/>
        </w:rPr>
        <w:t>Figure 6</w:t>
      </w:r>
      <w:r w:rsidR="000D5372" w:rsidRPr="000D5372">
        <w:rPr>
          <w:b/>
          <w:bCs/>
          <w:u w:val="single"/>
        </w:rPr>
        <w:t>: High-Level Zero Trust–Aligned Risk Assessment for AI, Cloud, and Third-Party Assets</w:t>
      </w:r>
    </w:p>
    <w:tbl>
      <w:tblPr>
        <w:tblStyle w:val="TableGrid"/>
        <w:tblW w:w="9776" w:type="dxa"/>
        <w:tblLook w:val="04A0" w:firstRow="1" w:lastRow="0" w:firstColumn="1" w:lastColumn="0" w:noHBand="0" w:noVBand="1"/>
      </w:tblPr>
      <w:tblGrid>
        <w:gridCol w:w="1694"/>
        <w:gridCol w:w="1619"/>
        <w:gridCol w:w="1525"/>
        <w:gridCol w:w="1445"/>
        <w:gridCol w:w="1457"/>
        <w:gridCol w:w="2036"/>
      </w:tblGrid>
      <w:tr w:rsidR="00E76048" w14:paraId="45942346" w14:textId="331E1E9F" w:rsidTr="009F38A8">
        <w:tc>
          <w:tcPr>
            <w:tcW w:w="1694" w:type="dxa"/>
            <w:vAlign w:val="center"/>
          </w:tcPr>
          <w:p w14:paraId="5B5B5EC6" w14:textId="0EE1CFF8" w:rsidR="00E76048" w:rsidRPr="00E76048" w:rsidRDefault="00E76048" w:rsidP="00E76048">
            <w:pPr>
              <w:rPr>
                <w:b/>
                <w:bCs/>
                <w:sz w:val="16"/>
                <w:szCs w:val="16"/>
              </w:rPr>
            </w:pPr>
            <w:r w:rsidRPr="00E76048">
              <w:rPr>
                <w:rStyle w:val="Strong"/>
                <w:sz w:val="16"/>
                <w:szCs w:val="16"/>
              </w:rPr>
              <w:t>Risk Area</w:t>
            </w:r>
          </w:p>
        </w:tc>
        <w:tc>
          <w:tcPr>
            <w:tcW w:w="1619" w:type="dxa"/>
            <w:vAlign w:val="center"/>
          </w:tcPr>
          <w:p w14:paraId="5B4FB3A3" w14:textId="07F4081B" w:rsidR="00E76048" w:rsidRPr="00E76048" w:rsidRDefault="00E76048" w:rsidP="00E76048">
            <w:pPr>
              <w:rPr>
                <w:b/>
                <w:bCs/>
                <w:sz w:val="16"/>
                <w:szCs w:val="16"/>
              </w:rPr>
            </w:pPr>
            <w:r w:rsidRPr="00E76048">
              <w:rPr>
                <w:rStyle w:val="Strong"/>
                <w:sz w:val="16"/>
                <w:szCs w:val="16"/>
              </w:rPr>
              <w:t>Threat Description</w:t>
            </w:r>
          </w:p>
        </w:tc>
        <w:tc>
          <w:tcPr>
            <w:tcW w:w="1525" w:type="dxa"/>
            <w:vAlign w:val="center"/>
          </w:tcPr>
          <w:p w14:paraId="1BAB48A9" w14:textId="37E7B153" w:rsidR="00E76048" w:rsidRPr="00E76048" w:rsidRDefault="00E76048" w:rsidP="00E76048">
            <w:pPr>
              <w:rPr>
                <w:b/>
                <w:bCs/>
                <w:sz w:val="16"/>
                <w:szCs w:val="16"/>
              </w:rPr>
            </w:pPr>
            <w:r w:rsidRPr="00E76048">
              <w:rPr>
                <w:rStyle w:val="Strong"/>
                <w:sz w:val="16"/>
                <w:szCs w:val="16"/>
              </w:rPr>
              <w:t>Likelihood</w:t>
            </w:r>
          </w:p>
        </w:tc>
        <w:tc>
          <w:tcPr>
            <w:tcW w:w="1445" w:type="dxa"/>
            <w:vAlign w:val="center"/>
          </w:tcPr>
          <w:p w14:paraId="150F4A12" w14:textId="4E8A9BDC" w:rsidR="00E76048" w:rsidRPr="00E76048" w:rsidRDefault="00E76048" w:rsidP="00E76048">
            <w:pPr>
              <w:rPr>
                <w:b/>
                <w:bCs/>
                <w:sz w:val="16"/>
                <w:szCs w:val="16"/>
              </w:rPr>
            </w:pPr>
            <w:r w:rsidRPr="00E76048">
              <w:rPr>
                <w:rStyle w:val="Strong"/>
                <w:sz w:val="16"/>
                <w:szCs w:val="16"/>
              </w:rPr>
              <w:t>Impact</w:t>
            </w:r>
          </w:p>
        </w:tc>
        <w:tc>
          <w:tcPr>
            <w:tcW w:w="1457" w:type="dxa"/>
            <w:vAlign w:val="center"/>
          </w:tcPr>
          <w:p w14:paraId="069963BE" w14:textId="368A378A" w:rsidR="00E76048" w:rsidRPr="00E76048" w:rsidRDefault="00E76048" w:rsidP="00E76048">
            <w:pPr>
              <w:rPr>
                <w:b/>
                <w:bCs/>
                <w:sz w:val="16"/>
                <w:szCs w:val="16"/>
              </w:rPr>
            </w:pPr>
            <w:r w:rsidRPr="00E76048">
              <w:rPr>
                <w:rStyle w:val="Strong"/>
                <w:sz w:val="16"/>
                <w:szCs w:val="16"/>
              </w:rPr>
              <w:t>Risk Level</w:t>
            </w:r>
          </w:p>
        </w:tc>
        <w:tc>
          <w:tcPr>
            <w:tcW w:w="2036" w:type="dxa"/>
          </w:tcPr>
          <w:p w14:paraId="2589788E" w14:textId="05169E7B" w:rsidR="00E76048" w:rsidRPr="00E76048" w:rsidRDefault="00E76048" w:rsidP="00E76048">
            <w:pPr>
              <w:rPr>
                <w:rStyle w:val="Strong"/>
                <w:sz w:val="16"/>
                <w:szCs w:val="16"/>
              </w:rPr>
            </w:pPr>
            <w:r w:rsidRPr="00E76048">
              <w:rPr>
                <w:b/>
                <w:bCs/>
                <w:sz w:val="16"/>
                <w:szCs w:val="16"/>
              </w:rPr>
              <w:t>Key Mitigations (Zero Trust–Aligned)</w:t>
            </w:r>
          </w:p>
        </w:tc>
      </w:tr>
      <w:tr w:rsidR="00E76048" w14:paraId="54643F48" w14:textId="25E29B4E" w:rsidTr="009F38A8">
        <w:tc>
          <w:tcPr>
            <w:tcW w:w="1694" w:type="dxa"/>
            <w:vAlign w:val="center"/>
          </w:tcPr>
          <w:p w14:paraId="5F1A178F" w14:textId="6F818332" w:rsidR="00E76048" w:rsidRPr="00E76048" w:rsidRDefault="00E76048" w:rsidP="00E76048">
            <w:pPr>
              <w:rPr>
                <w:b/>
                <w:bCs/>
                <w:sz w:val="16"/>
                <w:szCs w:val="16"/>
              </w:rPr>
            </w:pPr>
            <w:r w:rsidRPr="00E76048">
              <w:rPr>
                <w:sz w:val="16"/>
                <w:szCs w:val="16"/>
              </w:rPr>
              <w:t>AI Supply Chain</w:t>
            </w:r>
          </w:p>
        </w:tc>
        <w:tc>
          <w:tcPr>
            <w:tcW w:w="1619" w:type="dxa"/>
            <w:vAlign w:val="center"/>
          </w:tcPr>
          <w:p w14:paraId="0706AEB5" w14:textId="5692FBBD" w:rsidR="00E76048" w:rsidRPr="00E76048" w:rsidRDefault="00E76048" w:rsidP="00E76048">
            <w:pPr>
              <w:rPr>
                <w:b/>
                <w:bCs/>
                <w:sz w:val="16"/>
                <w:szCs w:val="16"/>
              </w:rPr>
            </w:pPr>
            <w:r w:rsidRPr="00E76048">
              <w:rPr>
                <w:sz w:val="16"/>
                <w:szCs w:val="16"/>
              </w:rPr>
              <w:t>Poisoned training data or compromised AI models leading to inaccurate threat intelligence</w:t>
            </w:r>
          </w:p>
        </w:tc>
        <w:tc>
          <w:tcPr>
            <w:tcW w:w="1525" w:type="dxa"/>
            <w:vAlign w:val="center"/>
          </w:tcPr>
          <w:p w14:paraId="2668FC7E" w14:textId="5FD0751F" w:rsidR="00E76048" w:rsidRPr="00E76048" w:rsidRDefault="00E76048" w:rsidP="00E76048">
            <w:pPr>
              <w:rPr>
                <w:b/>
                <w:bCs/>
                <w:sz w:val="16"/>
                <w:szCs w:val="16"/>
              </w:rPr>
            </w:pPr>
            <w:r w:rsidRPr="00E76048">
              <w:rPr>
                <w:sz w:val="16"/>
                <w:szCs w:val="16"/>
              </w:rPr>
              <w:t>Medium</w:t>
            </w:r>
          </w:p>
        </w:tc>
        <w:tc>
          <w:tcPr>
            <w:tcW w:w="1445" w:type="dxa"/>
            <w:vAlign w:val="center"/>
          </w:tcPr>
          <w:p w14:paraId="24AB4418" w14:textId="5B2A22F1" w:rsidR="00E76048" w:rsidRPr="00E76048" w:rsidRDefault="00E76048" w:rsidP="00E76048">
            <w:pPr>
              <w:rPr>
                <w:b/>
                <w:bCs/>
                <w:sz w:val="16"/>
                <w:szCs w:val="16"/>
              </w:rPr>
            </w:pPr>
            <w:r w:rsidRPr="00E76048">
              <w:rPr>
                <w:sz w:val="16"/>
                <w:szCs w:val="16"/>
              </w:rPr>
              <w:t>High</w:t>
            </w:r>
          </w:p>
        </w:tc>
        <w:tc>
          <w:tcPr>
            <w:tcW w:w="1457" w:type="dxa"/>
            <w:vAlign w:val="center"/>
          </w:tcPr>
          <w:p w14:paraId="596009C9" w14:textId="7A8B5AFA" w:rsidR="00E76048" w:rsidRPr="00E76048" w:rsidRDefault="00E76048" w:rsidP="00E76048">
            <w:pPr>
              <w:rPr>
                <w:b/>
                <w:bCs/>
                <w:sz w:val="16"/>
                <w:szCs w:val="16"/>
              </w:rPr>
            </w:pPr>
            <w:r w:rsidRPr="00E76048">
              <w:rPr>
                <w:rStyle w:val="Strong"/>
                <w:sz w:val="16"/>
                <w:szCs w:val="16"/>
              </w:rPr>
              <w:t>High</w:t>
            </w:r>
          </w:p>
        </w:tc>
        <w:tc>
          <w:tcPr>
            <w:tcW w:w="2036" w:type="dxa"/>
          </w:tcPr>
          <w:p w14:paraId="016CD043" w14:textId="544D6A34" w:rsidR="00E76048" w:rsidRPr="00E76048" w:rsidRDefault="00E76048" w:rsidP="00E76048">
            <w:pPr>
              <w:rPr>
                <w:rStyle w:val="Strong"/>
                <w:sz w:val="16"/>
                <w:szCs w:val="16"/>
              </w:rPr>
            </w:pPr>
            <w:r w:rsidRPr="00E76048">
              <w:rPr>
                <w:sz w:val="16"/>
                <w:szCs w:val="16"/>
              </w:rPr>
              <w:t>Model validation, dataset provenance tracking, cryptographic signing of AI models</w:t>
            </w:r>
          </w:p>
        </w:tc>
      </w:tr>
      <w:tr w:rsidR="00E76048" w14:paraId="71B615A9" w14:textId="467E5469" w:rsidTr="009F38A8">
        <w:tc>
          <w:tcPr>
            <w:tcW w:w="1694" w:type="dxa"/>
            <w:vAlign w:val="center"/>
          </w:tcPr>
          <w:p w14:paraId="24DC9023" w14:textId="4F2E2A72" w:rsidR="00E76048" w:rsidRPr="00E76048" w:rsidRDefault="00E76048" w:rsidP="00E76048">
            <w:pPr>
              <w:rPr>
                <w:b/>
                <w:bCs/>
                <w:sz w:val="16"/>
                <w:szCs w:val="16"/>
              </w:rPr>
            </w:pPr>
            <w:r w:rsidRPr="00E76048">
              <w:rPr>
                <w:sz w:val="16"/>
                <w:szCs w:val="16"/>
              </w:rPr>
              <w:t>Software Dependencies</w:t>
            </w:r>
          </w:p>
        </w:tc>
        <w:tc>
          <w:tcPr>
            <w:tcW w:w="1619" w:type="dxa"/>
            <w:vAlign w:val="center"/>
          </w:tcPr>
          <w:p w14:paraId="3C926688" w14:textId="391F3A8C" w:rsidR="00E76048" w:rsidRPr="00E76048" w:rsidRDefault="00E76048" w:rsidP="00E76048">
            <w:pPr>
              <w:rPr>
                <w:b/>
                <w:bCs/>
                <w:sz w:val="16"/>
                <w:szCs w:val="16"/>
              </w:rPr>
            </w:pPr>
            <w:r w:rsidRPr="00E76048">
              <w:rPr>
                <w:sz w:val="16"/>
                <w:szCs w:val="16"/>
              </w:rPr>
              <w:t>Vulnerable or malicious open-source libraries introduced via CI/CD pipelines</w:t>
            </w:r>
          </w:p>
        </w:tc>
        <w:tc>
          <w:tcPr>
            <w:tcW w:w="1525" w:type="dxa"/>
            <w:vAlign w:val="center"/>
          </w:tcPr>
          <w:p w14:paraId="577444C0" w14:textId="7E15CC3F" w:rsidR="00E76048" w:rsidRPr="00E76048" w:rsidRDefault="00E76048" w:rsidP="00E76048">
            <w:pPr>
              <w:rPr>
                <w:b/>
                <w:bCs/>
                <w:sz w:val="16"/>
                <w:szCs w:val="16"/>
              </w:rPr>
            </w:pPr>
            <w:r w:rsidRPr="00E76048">
              <w:rPr>
                <w:sz w:val="16"/>
                <w:szCs w:val="16"/>
              </w:rPr>
              <w:t>High</w:t>
            </w:r>
          </w:p>
        </w:tc>
        <w:tc>
          <w:tcPr>
            <w:tcW w:w="1445" w:type="dxa"/>
            <w:vAlign w:val="center"/>
          </w:tcPr>
          <w:p w14:paraId="227E4F52" w14:textId="2549805A" w:rsidR="00E76048" w:rsidRPr="00E76048" w:rsidRDefault="00E76048" w:rsidP="00E76048">
            <w:pPr>
              <w:rPr>
                <w:b/>
                <w:bCs/>
                <w:sz w:val="16"/>
                <w:szCs w:val="16"/>
              </w:rPr>
            </w:pPr>
            <w:r w:rsidRPr="00E76048">
              <w:rPr>
                <w:sz w:val="16"/>
                <w:szCs w:val="16"/>
              </w:rPr>
              <w:t>High</w:t>
            </w:r>
          </w:p>
        </w:tc>
        <w:tc>
          <w:tcPr>
            <w:tcW w:w="1457" w:type="dxa"/>
            <w:vAlign w:val="center"/>
          </w:tcPr>
          <w:p w14:paraId="62B5C0E6" w14:textId="0FCDD317" w:rsidR="00E76048" w:rsidRPr="00E76048" w:rsidRDefault="00E76048" w:rsidP="00E76048">
            <w:pPr>
              <w:rPr>
                <w:b/>
                <w:bCs/>
                <w:sz w:val="16"/>
                <w:szCs w:val="16"/>
              </w:rPr>
            </w:pPr>
            <w:r w:rsidRPr="00E76048">
              <w:rPr>
                <w:rStyle w:val="Strong"/>
                <w:sz w:val="16"/>
                <w:szCs w:val="16"/>
              </w:rPr>
              <w:t>Critical</w:t>
            </w:r>
          </w:p>
        </w:tc>
        <w:tc>
          <w:tcPr>
            <w:tcW w:w="2036" w:type="dxa"/>
          </w:tcPr>
          <w:p w14:paraId="77791137" w14:textId="6B158985" w:rsidR="00E76048" w:rsidRPr="00E76048" w:rsidRDefault="00E76048" w:rsidP="00E76048">
            <w:pPr>
              <w:rPr>
                <w:rStyle w:val="Strong"/>
                <w:sz w:val="16"/>
                <w:szCs w:val="16"/>
              </w:rPr>
            </w:pPr>
            <w:r w:rsidRPr="00E76048">
              <w:rPr>
                <w:sz w:val="16"/>
                <w:szCs w:val="16"/>
              </w:rPr>
              <w:t>Automated dependency scanning, SBOMs, DevSecOps pipeline controls</w:t>
            </w:r>
          </w:p>
        </w:tc>
      </w:tr>
      <w:tr w:rsidR="00E76048" w14:paraId="2BC1BB90" w14:textId="7A9664D0" w:rsidTr="009F38A8">
        <w:tc>
          <w:tcPr>
            <w:tcW w:w="1694" w:type="dxa"/>
            <w:vAlign w:val="center"/>
          </w:tcPr>
          <w:p w14:paraId="7169F9FD" w14:textId="6627DD63" w:rsidR="00E76048" w:rsidRPr="00E76048" w:rsidRDefault="00E76048" w:rsidP="00E76048">
            <w:pPr>
              <w:rPr>
                <w:b/>
                <w:bCs/>
                <w:sz w:val="16"/>
                <w:szCs w:val="16"/>
              </w:rPr>
            </w:pPr>
            <w:r w:rsidRPr="00E76048">
              <w:rPr>
                <w:sz w:val="16"/>
                <w:szCs w:val="16"/>
              </w:rPr>
              <w:t>Cloud Misconfiguration</w:t>
            </w:r>
          </w:p>
        </w:tc>
        <w:tc>
          <w:tcPr>
            <w:tcW w:w="1619" w:type="dxa"/>
            <w:vAlign w:val="center"/>
          </w:tcPr>
          <w:p w14:paraId="09A85A05" w14:textId="22651C79" w:rsidR="00E76048" w:rsidRPr="00E76048" w:rsidRDefault="00E76048" w:rsidP="00E76048">
            <w:pPr>
              <w:rPr>
                <w:b/>
                <w:bCs/>
                <w:sz w:val="16"/>
                <w:szCs w:val="16"/>
              </w:rPr>
            </w:pPr>
            <w:r w:rsidRPr="00E76048">
              <w:rPr>
                <w:sz w:val="16"/>
                <w:szCs w:val="16"/>
              </w:rPr>
              <w:t>Over-permissive IAM roles or exposed storage services</w:t>
            </w:r>
          </w:p>
        </w:tc>
        <w:tc>
          <w:tcPr>
            <w:tcW w:w="1525" w:type="dxa"/>
            <w:vAlign w:val="center"/>
          </w:tcPr>
          <w:p w14:paraId="1A923614" w14:textId="1C020AF4" w:rsidR="00E76048" w:rsidRPr="00E76048" w:rsidRDefault="00E76048" w:rsidP="00E76048">
            <w:pPr>
              <w:rPr>
                <w:b/>
                <w:bCs/>
                <w:sz w:val="16"/>
                <w:szCs w:val="16"/>
              </w:rPr>
            </w:pPr>
            <w:r w:rsidRPr="00E76048">
              <w:rPr>
                <w:sz w:val="16"/>
                <w:szCs w:val="16"/>
              </w:rPr>
              <w:t>High</w:t>
            </w:r>
          </w:p>
        </w:tc>
        <w:tc>
          <w:tcPr>
            <w:tcW w:w="1445" w:type="dxa"/>
            <w:vAlign w:val="center"/>
          </w:tcPr>
          <w:p w14:paraId="763162F2" w14:textId="156AE093" w:rsidR="00E76048" w:rsidRPr="00E76048" w:rsidRDefault="00E76048" w:rsidP="00E76048">
            <w:pPr>
              <w:rPr>
                <w:b/>
                <w:bCs/>
                <w:sz w:val="16"/>
                <w:szCs w:val="16"/>
              </w:rPr>
            </w:pPr>
            <w:r w:rsidRPr="00E76048">
              <w:rPr>
                <w:sz w:val="16"/>
                <w:szCs w:val="16"/>
              </w:rPr>
              <w:t>High</w:t>
            </w:r>
          </w:p>
        </w:tc>
        <w:tc>
          <w:tcPr>
            <w:tcW w:w="1457" w:type="dxa"/>
            <w:vAlign w:val="center"/>
          </w:tcPr>
          <w:p w14:paraId="5FADDB44" w14:textId="40362824" w:rsidR="00E76048" w:rsidRPr="00E76048" w:rsidRDefault="00E76048" w:rsidP="00E76048">
            <w:pPr>
              <w:rPr>
                <w:b/>
                <w:bCs/>
                <w:sz w:val="16"/>
                <w:szCs w:val="16"/>
              </w:rPr>
            </w:pPr>
            <w:r w:rsidRPr="00E76048">
              <w:rPr>
                <w:rStyle w:val="Strong"/>
                <w:sz w:val="16"/>
                <w:szCs w:val="16"/>
              </w:rPr>
              <w:t>Critical</w:t>
            </w:r>
          </w:p>
        </w:tc>
        <w:tc>
          <w:tcPr>
            <w:tcW w:w="2036" w:type="dxa"/>
          </w:tcPr>
          <w:p w14:paraId="76A666E3" w14:textId="69697496" w:rsidR="00E76048" w:rsidRPr="00E76048" w:rsidRDefault="00E76048" w:rsidP="00E76048">
            <w:pPr>
              <w:rPr>
                <w:rStyle w:val="Strong"/>
                <w:sz w:val="16"/>
                <w:szCs w:val="16"/>
              </w:rPr>
            </w:pPr>
            <w:r w:rsidRPr="00E76048">
              <w:rPr>
                <w:sz w:val="16"/>
                <w:szCs w:val="16"/>
              </w:rPr>
              <w:t>CSPM tools, least-privilege IAM, continuous configuration monitoring</w:t>
            </w:r>
          </w:p>
        </w:tc>
      </w:tr>
      <w:tr w:rsidR="00E76048" w14:paraId="6B0C90DF" w14:textId="68C5FEE2" w:rsidTr="009F38A8">
        <w:tc>
          <w:tcPr>
            <w:tcW w:w="1694" w:type="dxa"/>
            <w:vAlign w:val="center"/>
          </w:tcPr>
          <w:p w14:paraId="42454074" w14:textId="78AEC484" w:rsidR="00E76048" w:rsidRPr="00E76048" w:rsidRDefault="00E76048" w:rsidP="00E76048">
            <w:pPr>
              <w:rPr>
                <w:b/>
                <w:bCs/>
                <w:sz w:val="16"/>
                <w:szCs w:val="16"/>
              </w:rPr>
            </w:pPr>
            <w:r w:rsidRPr="00E76048">
              <w:rPr>
                <w:sz w:val="16"/>
                <w:szCs w:val="16"/>
              </w:rPr>
              <w:t>SaaS Platform Risk</w:t>
            </w:r>
          </w:p>
        </w:tc>
        <w:tc>
          <w:tcPr>
            <w:tcW w:w="1619" w:type="dxa"/>
            <w:vAlign w:val="center"/>
          </w:tcPr>
          <w:p w14:paraId="75C6845E" w14:textId="63B5FB2E" w:rsidR="00E76048" w:rsidRPr="00E76048" w:rsidRDefault="00E76048" w:rsidP="00E76048">
            <w:pPr>
              <w:rPr>
                <w:b/>
                <w:bCs/>
                <w:sz w:val="16"/>
                <w:szCs w:val="16"/>
              </w:rPr>
            </w:pPr>
            <w:r w:rsidRPr="00E76048">
              <w:rPr>
                <w:sz w:val="16"/>
                <w:szCs w:val="16"/>
              </w:rPr>
              <w:t>Misconfigured SaaS applications exposing sensitive client data</w:t>
            </w:r>
          </w:p>
        </w:tc>
        <w:tc>
          <w:tcPr>
            <w:tcW w:w="1525" w:type="dxa"/>
            <w:vAlign w:val="center"/>
          </w:tcPr>
          <w:p w14:paraId="5BD10F5F" w14:textId="5771FE08" w:rsidR="00E76048" w:rsidRPr="00E76048" w:rsidRDefault="00E76048" w:rsidP="00E76048">
            <w:pPr>
              <w:rPr>
                <w:b/>
                <w:bCs/>
                <w:sz w:val="16"/>
                <w:szCs w:val="16"/>
              </w:rPr>
            </w:pPr>
            <w:r w:rsidRPr="00E76048">
              <w:rPr>
                <w:sz w:val="16"/>
                <w:szCs w:val="16"/>
              </w:rPr>
              <w:t>Medium</w:t>
            </w:r>
          </w:p>
        </w:tc>
        <w:tc>
          <w:tcPr>
            <w:tcW w:w="1445" w:type="dxa"/>
            <w:vAlign w:val="center"/>
          </w:tcPr>
          <w:p w14:paraId="7E4787D9" w14:textId="4B2B6F71" w:rsidR="00E76048" w:rsidRPr="00E76048" w:rsidRDefault="00E76048" w:rsidP="00E76048">
            <w:pPr>
              <w:rPr>
                <w:b/>
                <w:bCs/>
                <w:sz w:val="16"/>
                <w:szCs w:val="16"/>
              </w:rPr>
            </w:pPr>
            <w:r w:rsidRPr="00E76048">
              <w:rPr>
                <w:sz w:val="16"/>
                <w:szCs w:val="16"/>
              </w:rPr>
              <w:t>High</w:t>
            </w:r>
          </w:p>
        </w:tc>
        <w:tc>
          <w:tcPr>
            <w:tcW w:w="1457" w:type="dxa"/>
            <w:vAlign w:val="center"/>
          </w:tcPr>
          <w:p w14:paraId="193395F5" w14:textId="5C5F2986" w:rsidR="00E76048" w:rsidRPr="00E76048" w:rsidRDefault="00E76048" w:rsidP="00E76048">
            <w:pPr>
              <w:rPr>
                <w:b/>
                <w:bCs/>
                <w:sz w:val="16"/>
                <w:szCs w:val="16"/>
              </w:rPr>
            </w:pPr>
            <w:r w:rsidRPr="00E76048">
              <w:rPr>
                <w:rStyle w:val="Strong"/>
                <w:sz w:val="16"/>
                <w:szCs w:val="16"/>
              </w:rPr>
              <w:t>High</w:t>
            </w:r>
          </w:p>
        </w:tc>
        <w:tc>
          <w:tcPr>
            <w:tcW w:w="2036" w:type="dxa"/>
          </w:tcPr>
          <w:p w14:paraId="0ED01E03" w14:textId="4D592E09" w:rsidR="00E76048" w:rsidRPr="00E76048" w:rsidRDefault="00E76048" w:rsidP="00E76048">
            <w:pPr>
              <w:rPr>
                <w:rStyle w:val="Strong"/>
                <w:sz w:val="16"/>
                <w:szCs w:val="16"/>
              </w:rPr>
            </w:pPr>
            <w:r w:rsidRPr="00E76048">
              <w:rPr>
                <w:sz w:val="16"/>
                <w:szCs w:val="16"/>
              </w:rPr>
              <w:t>Secure SaaS configuration baselines, continuous monitoring, MFA enforcement</w:t>
            </w:r>
          </w:p>
        </w:tc>
      </w:tr>
      <w:tr w:rsidR="00E76048" w14:paraId="775F511D" w14:textId="611C20DF" w:rsidTr="009F38A8">
        <w:trPr>
          <w:trHeight w:val="1431"/>
        </w:trPr>
        <w:tc>
          <w:tcPr>
            <w:tcW w:w="1694" w:type="dxa"/>
            <w:vAlign w:val="center"/>
          </w:tcPr>
          <w:p w14:paraId="5C1EB60B" w14:textId="49C8F3F6" w:rsidR="00E76048" w:rsidRPr="00E76048" w:rsidRDefault="00E76048" w:rsidP="00E76048">
            <w:pPr>
              <w:rPr>
                <w:b/>
                <w:bCs/>
                <w:sz w:val="16"/>
                <w:szCs w:val="16"/>
              </w:rPr>
            </w:pPr>
            <w:r w:rsidRPr="00E76048">
              <w:rPr>
                <w:sz w:val="16"/>
                <w:szCs w:val="16"/>
              </w:rPr>
              <w:t>Third-Party Providers</w:t>
            </w:r>
          </w:p>
        </w:tc>
        <w:tc>
          <w:tcPr>
            <w:tcW w:w="1619" w:type="dxa"/>
            <w:vAlign w:val="center"/>
          </w:tcPr>
          <w:p w14:paraId="213AA7BA" w14:textId="3D440EFE" w:rsidR="00E76048" w:rsidRPr="00E76048" w:rsidRDefault="00E76048" w:rsidP="00E76048">
            <w:pPr>
              <w:rPr>
                <w:b/>
                <w:bCs/>
                <w:sz w:val="16"/>
                <w:szCs w:val="16"/>
              </w:rPr>
            </w:pPr>
            <w:r w:rsidRPr="00E76048">
              <w:rPr>
                <w:sz w:val="16"/>
                <w:szCs w:val="16"/>
              </w:rPr>
              <w:t>Security weaknesses in cloud or SaaS vendors affecting service resilience</w:t>
            </w:r>
          </w:p>
        </w:tc>
        <w:tc>
          <w:tcPr>
            <w:tcW w:w="1525" w:type="dxa"/>
            <w:vAlign w:val="center"/>
          </w:tcPr>
          <w:p w14:paraId="62415B57" w14:textId="76FFEBF4" w:rsidR="00E76048" w:rsidRPr="00E76048" w:rsidRDefault="00E76048" w:rsidP="00E76048">
            <w:pPr>
              <w:rPr>
                <w:b/>
                <w:bCs/>
                <w:sz w:val="16"/>
                <w:szCs w:val="16"/>
              </w:rPr>
            </w:pPr>
            <w:r w:rsidRPr="00E76048">
              <w:rPr>
                <w:sz w:val="16"/>
                <w:szCs w:val="16"/>
              </w:rPr>
              <w:t>Medium</w:t>
            </w:r>
          </w:p>
        </w:tc>
        <w:tc>
          <w:tcPr>
            <w:tcW w:w="1445" w:type="dxa"/>
            <w:vAlign w:val="center"/>
          </w:tcPr>
          <w:p w14:paraId="005A1178" w14:textId="530BECFF" w:rsidR="00E76048" w:rsidRPr="00E76048" w:rsidRDefault="00E76048" w:rsidP="00E76048">
            <w:pPr>
              <w:rPr>
                <w:b/>
                <w:bCs/>
                <w:sz w:val="16"/>
                <w:szCs w:val="16"/>
              </w:rPr>
            </w:pPr>
            <w:r w:rsidRPr="00E76048">
              <w:rPr>
                <w:sz w:val="16"/>
                <w:szCs w:val="16"/>
              </w:rPr>
              <w:t>Medium</w:t>
            </w:r>
          </w:p>
        </w:tc>
        <w:tc>
          <w:tcPr>
            <w:tcW w:w="1457" w:type="dxa"/>
            <w:vAlign w:val="center"/>
          </w:tcPr>
          <w:p w14:paraId="1A5CDB8C" w14:textId="0B8FC822" w:rsidR="00E76048" w:rsidRPr="00E76048" w:rsidRDefault="00E76048" w:rsidP="00E76048">
            <w:pPr>
              <w:rPr>
                <w:b/>
                <w:bCs/>
                <w:sz w:val="16"/>
                <w:szCs w:val="16"/>
              </w:rPr>
            </w:pPr>
            <w:r w:rsidRPr="00E76048">
              <w:rPr>
                <w:rStyle w:val="Strong"/>
                <w:sz w:val="16"/>
                <w:szCs w:val="16"/>
              </w:rPr>
              <w:t>Medium</w:t>
            </w:r>
          </w:p>
        </w:tc>
        <w:tc>
          <w:tcPr>
            <w:tcW w:w="203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76048" w:rsidRPr="00E76048" w14:paraId="33C66F19" w14:textId="77777777">
              <w:trPr>
                <w:tblCellSpacing w:w="15" w:type="dxa"/>
              </w:trPr>
              <w:tc>
                <w:tcPr>
                  <w:tcW w:w="0" w:type="auto"/>
                  <w:vAlign w:val="center"/>
                  <w:hideMark/>
                </w:tcPr>
                <w:p w14:paraId="26FF860D" w14:textId="77777777" w:rsidR="00E76048" w:rsidRPr="00E76048" w:rsidRDefault="00E76048" w:rsidP="00E76048">
                  <w:pPr>
                    <w:spacing w:after="0" w:line="240" w:lineRule="auto"/>
                    <w:rPr>
                      <w:sz w:val="16"/>
                      <w:szCs w:val="16"/>
                    </w:rPr>
                  </w:pPr>
                </w:p>
              </w:tc>
            </w:tr>
          </w:tbl>
          <w:p w14:paraId="5EA0EBC5" w14:textId="77777777" w:rsidR="00E76048" w:rsidRPr="00E76048" w:rsidRDefault="00E76048" w:rsidP="00E76048">
            <w:pPr>
              <w:rPr>
                <w:vanish/>
                <w:sz w:val="16"/>
                <w:szCs w:val="1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0"/>
            </w:tblGrid>
            <w:tr w:rsidR="00E76048" w:rsidRPr="00E76048" w14:paraId="34E23164" w14:textId="77777777">
              <w:trPr>
                <w:tblCellSpacing w:w="15" w:type="dxa"/>
              </w:trPr>
              <w:tc>
                <w:tcPr>
                  <w:tcW w:w="0" w:type="auto"/>
                  <w:vAlign w:val="center"/>
                  <w:hideMark/>
                </w:tcPr>
                <w:p w14:paraId="5E81CEAA" w14:textId="77777777" w:rsidR="00E76048" w:rsidRPr="00E76048" w:rsidRDefault="00E76048" w:rsidP="00E76048">
                  <w:pPr>
                    <w:spacing w:after="0" w:line="240" w:lineRule="auto"/>
                    <w:rPr>
                      <w:sz w:val="16"/>
                      <w:szCs w:val="16"/>
                    </w:rPr>
                  </w:pPr>
                  <w:r w:rsidRPr="00E76048">
                    <w:rPr>
                      <w:sz w:val="16"/>
                      <w:szCs w:val="16"/>
                    </w:rPr>
                    <w:t>Third-party risk assessments, contractual security requirements, resilience testing</w:t>
                  </w:r>
                </w:p>
              </w:tc>
            </w:tr>
          </w:tbl>
          <w:p w14:paraId="0F25E54E" w14:textId="77777777" w:rsidR="00E76048" w:rsidRPr="00E76048" w:rsidRDefault="00E76048" w:rsidP="00E76048">
            <w:pPr>
              <w:rPr>
                <w:rStyle w:val="Strong"/>
                <w:b w:val="0"/>
                <w:bCs w:val="0"/>
                <w:sz w:val="16"/>
                <w:szCs w:val="16"/>
              </w:rPr>
            </w:pPr>
          </w:p>
        </w:tc>
      </w:tr>
    </w:tbl>
    <w:p w14:paraId="3B2CE579" w14:textId="2C8911E5" w:rsidR="00422906" w:rsidRDefault="00A77734" w:rsidP="00A77734">
      <w:pPr>
        <w:pStyle w:val="Caption"/>
      </w:pPr>
      <w:bookmarkStart w:id="40" w:name="_Toc218509222"/>
      <w:r>
        <w:t xml:space="preserve">Figure </w:t>
      </w:r>
      <w:fldSimple w:instr=" SEQ Figure \* ARABIC ">
        <w:r w:rsidR="00A431F4">
          <w:rPr>
            <w:noProof/>
          </w:rPr>
          <w:t>6</w:t>
        </w:r>
        <w:bookmarkEnd w:id="40"/>
      </w:fldSimple>
    </w:p>
    <w:p w14:paraId="7DD51264" w14:textId="37D7F545" w:rsidR="00057199" w:rsidRPr="00057199" w:rsidRDefault="00A77734" w:rsidP="00057199">
      <w:r>
        <w:t xml:space="preserve">Figure </w:t>
      </w:r>
      <w:r w:rsidR="00A431F4">
        <w:t>6</w:t>
      </w:r>
      <w:r>
        <w:t xml:space="preserve"> </w:t>
      </w:r>
      <w:r w:rsidR="00057199" w:rsidRPr="00057199">
        <w:t>summarises the key cybersecurity risks facing ResilientIntellect’s EU operations, with a focus on AI systems, cloud infrastructure, SaaS platforms, and third-party providers. It assesses the likelihood and impact of each risk and highlights the Zero Trust–aligned controls used to reduce exposure and limit operational impact.</w:t>
      </w:r>
    </w:p>
    <w:p w14:paraId="68771728" w14:textId="77777777" w:rsidR="00D538E3" w:rsidRDefault="00D538E3" w:rsidP="00450890">
      <w:pPr>
        <w:rPr>
          <w:b/>
          <w:bCs/>
        </w:rPr>
      </w:pPr>
    </w:p>
    <w:p w14:paraId="13AB4653" w14:textId="3BC044E7" w:rsidR="006820F0" w:rsidRPr="006820F0" w:rsidRDefault="006820F0" w:rsidP="00F32692">
      <w:pPr>
        <w:pStyle w:val="Heading1"/>
      </w:pPr>
      <w:bookmarkStart w:id="41" w:name="_Toc218546919"/>
      <w:r w:rsidRPr="006820F0">
        <w:t>7. Contingency Planning: Ransomware Impacting AI Assets</w:t>
      </w:r>
      <w:bookmarkEnd w:id="41"/>
      <w:r w:rsidRPr="006820F0">
        <w:t xml:space="preserve"> </w:t>
      </w:r>
    </w:p>
    <w:p w14:paraId="2CB59500" w14:textId="542670FE" w:rsidR="006820F0" w:rsidRPr="00FA13A1" w:rsidRDefault="006820F0" w:rsidP="006820F0">
      <w:r w:rsidRPr="00FA13A1">
        <w:t>In the event of a ransomware attack that encrypts AI training data or source code repositories, ResilientIntellect must respond rapidly to minimise operational disruption and reputational impact. Early detection is achieved through endpoint protection, behavioural analytics, and continuous monitoring. Once suspicious activity is identified, automated Zero Trust controls isolate affected devices, user accounts, and workloads to prevent lateral movement</w:t>
      </w:r>
      <w:sdt>
        <w:sdtPr>
          <w:rPr>
            <w:rFonts w:ascii="Aptos" w:hAnsi="Aptos"/>
            <w:color w:val="000000"/>
            <w:highlight w:val="white"/>
          </w:rPr>
          <w:alias w:val="Citation"/>
          <w:tag w:val="{&quot;referencesIds&quot;:[&quot;doc:695941658bfbef24f2d990cf&quot;],&quot;referencesOptions&quot;:{&quot;doc:695941658bfbef24f2d990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7445143,&quot;citationText&quot;:&quot;&lt;span style=\&quot;font-family:Aptos;font-size:16px;color:#000000\&quot;&gt;[19]&lt;/span&gt;&quot;}"/>
          <w:id w:val="-757445143"/>
          <w:placeholder>
            <w:docPart w:val="09836F53EE6541008485A3B679C474DF"/>
          </w:placeholder>
        </w:sdtPr>
        <w:sdtContent>
          <w:r w:rsidR="00D36E31">
            <w:rPr>
              <w:rFonts w:ascii="Aptos" w:eastAsia="Times New Roman" w:hAnsi="Aptos"/>
              <w:color w:val="000000"/>
            </w:rPr>
            <w:t>[19]</w:t>
          </w:r>
        </w:sdtContent>
      </w:sdt>
      <w:r w:rsidRPr="00FA13A1">
        <w:t>.</w:t>
      </w:r>
    </w:p>
    <w:p w14:paraId="4D21F957" w14:textId="0916911F" w:rsidR="006820F0" w:rsidRPr="00FA13A1" w:rsidRDefault="006820F0" w:rsidP="006820F0">
      <w:r w:rsidRPr="00FA13A1">
        <w:t xml:space="preserve">The incident response team then coordinates containment, eradication, and recovery activities. Recovery is supported by </w:t>
      </w:r>
      <w:r w:rsidR="000D5372">
        <w:t>secure</w:t>
      </w:r>
      <w:r w:rsidRPr="00FA13A1">
        <w:t>, off</w:t>
      </w:r>
      <w:r w:rsidRPr="00FA13A1">
        <w:noBreakHyphen/>
        <w:t>network backups of AI datasets, model artefacts, and source code repositories. Before systems are restored, AI models and datasets undergo integrity validation to ensure they have not been tampered with or corrupted</w:t>
      </w:r>
      <w:sdt>
        <w:sdtPr>
          <w:rPr>
            <w:rFonts w:ascii="Aptos" w:hAnsi="Aptos"/>
            <w:color w:val="000000"/>
            <w:highlight w:val="white"/>
          </w:rPr>
          <w:alias w:val="Citation"/>
          <w:tag w:val="{&quot;referencesIds&quot;:[&quot;doc:695941658bfbef24f2d990cf&quot;],&quot;referencesOptions&quot;:{&quot;doc:695941658bfbef24f2d990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4858943,&quot;citationText&quot;:&quot;&lt;span style=\&quot;font-family:Aptos;font-size:16px;color:#000000\&quot;&gt;[19]&lt;/span&gt;&quot;}"/>
          <w:id w:val="1004858943"/>
          <w:placeholder>
            <w:docPart w:val="BD94A79CD43F49C984C2F19591F0B4BC"/>
          </w:placeholder>
        </w:sdtPr>
        <w:sdtContent>
          <w:r w:rsidR="00D36E31">
            <w:rPr>
              <w:rFonts w:ascii="Aptos" w:eastAsia="Times New Roman" w:hAnsi="Aptos"/>
              <w:color w:val="000000"/>
            </w:rPr>
            <w:t>[19]</w:t>
          </w:r>
        </w:sdtContent>
      </w:sdt>
      <w:r w:rsidRPr="00FA13A1">
        <w:t>. This step is essential for maintaining trust in the organisation’s AI outputs.</w:t>
      </w:r>
    </w:p>
    <w:p w14:paraId="2B675E5E" w14:textId="77777777" w:rsidR="006820F0" w:rsidRPr="00FA13A1" w:rsidRDefault="006820F0" w:rsidP="006820F0">
      <w:r w:rsidRPr="00FA13A1">
        <w:t>Where required, regulatory notification under NIS2 is initiated, ensuring that significant incidents are reported within mandated timelines. After recovery, a structured post</w:t>
      </w:r>
      <w:r w:rsidRPr="00FA13A1">
        <w:noBreakHyphen/>
        <w:t>incident review is conducted to identify root causes, evaluate the effectiveness of controls, and implement improvements across people, processes, and technology.</w:t>
      </w:r>
    </w:p>
    <w:p w14:paraId="379BF4DF" w14:textId="77777777" w:rsidR="006820F0" w:rsidRPr="00FA13A1" w:rsidRDefault="006820F0" w:rsidP="006820F0">
      <w:r w:rsidRPr="00FA13A1">
        <w:t>This contingency approach strengthens operational resilience, supports regulatory compliance, and ensures transparent and accountable incident handling.</w:t>
      </w:r>
    </w:p>
    <w:p w14:paraId="15DA00AD" w14:textId="77777777" w:rsidR="004A35DF" w:rsidRDefault="004A35DF" w:rsidP="00F32692">
      <w:pPr>
        <w:pStyle w:val="Heading1"/>
      </w:pPr>
    </w:p>
    <w:p w14:paraId="6B11C655" w14:textId="65C3712F" w:rsidR="006820F0" w:rsidRPr="006820F0" w:rsidRDefault="006820F0" w:rsidP="00F32692">
      <w:pPr>
        <w:pStyle w:val="Heading1"/>
      </w:pPr>
      <w:bookmarkStart w:id="42" w:name="_Toc218546920"/>
      <w:r w:rsidRPr="006820F0">
        <w:t>8. Protection Mechanisms: Enforcing Zero Trust Through Modern Controls</w:t>
      </w:r>
      <w:bookmarkEnd w:id="42"/>
      <w:r w:rsidRPr="006820F0">
        <w:t xml:space="preserve"> </w:t>
      </w:r>
    </w:p>
    <w:p w14:paraId="73E8A2A3" w14:textId="3F2CF0EA" w:rsidR="00471BC4" w:rsidRPr="00471BC4" w:rsidRDefault="00471BC4" w:rsidP="00471BC4">
      <w:r w:rsidRPr="00471BC4">
        <w:t>To operationalise Zero Trust, ResilientIntellect must adopt a focused set of cloud-native security controls that enforce continuous verification and limit implicit trust. All access requests</w:t>
      </w:r>
      <w:r w:rsidR="0001088B">
        <w:t xml:space="preserve"> </w:t>
      </w:r>
      <w:r w:rsidRPr="00471BC4">
        <w:t>whether from users, devices, or workloads—are evaluated based on identity, device posture, and risk context before access is granted.</w:t>
      </w:r>
    </w:p>
    <w:p w14:paraId="3EB42CE5" w14:textId="77777777" w:rsidR="00471BC4" w:rsidRPr="00471BC4" w:rsidRDefault="00471BC4" w:rsidP="00471BC4">
      <w:r w:rsidRPr="00471BC4">
        <w:t>Cloud Security Posture Management (CSPM) provides continuous visibility across cloud environments, identifying misconfigurations, excessive permissions, and policy violations. This supports the Zero Trust principle of assuming breach by reducing attack surface and preventing configuration-based exposure.</w:t>
      </w:r>
    </w:p>
    <w:p w14:paraId="212B1367" w14:textId="28809CD9" w:rsidR="00471BC4" w:rsidRPr="00471BC4" w:rsidRDefault="00471BC4" w:rsidP="00471BC4">
      <w:r w:rsidRPr="00471BC4">
        <w:lastRenderedPageBreak/>
        <w:t>Centralised monitoring is achieved through SIEM integrated with SOAR, enabling rapid detection, automated response, and containment of security incidents. This significantly reduces the time required to identify and respond to threats before they can spread across hybrid environments</w:t>
      </w:r>
      <w:sdt>
        <w:sdtPr>
          <w:rPr>
            <w:rFonts w:ascii="Aptos" w:hAnsi="Aptos"/>
            <w:color w:val="000000"/>
            <w:highlight w:val="white"/>
          </w:rPr>
          <w:alias w:val="Citation"/>
          <w:tag w:val="{&quot;referencesIds&quot;:[&quot;doc:695a3750e7d01521dcb97242&quot;],&quot;referencesOptions&quot;:{&quot;doc:695a3750e7d01521dcb972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6640691,&quot;citationText&quot;:&quot;&lt;span style=\&quot;font-family:Aptos;font-size:16px;color:#000000\&quot;&gt;[20]&lt;/span&gt;&quot;}"/>
          <w:id w:val="-746640691"/>
          <w:placeholder>
            <w:docPart w:val="2AFB97597D7240F7B69FFB342F495709"/>
          </w:placeholder>
        </w:sdtPr>
        <w:sdtContent>
          <w:r w:rsidR="00D36E31">
            <w:rPr>
              <w:rFonts w:ascii="Aptos" w:eastAsia="Times New Roman" w:hAnsi="Aptos"/>
              <w:color w:val="000000"/>
            </w:rPr>
            <w:t>[20]</w:t>
          </w:r>
        </w:sdtContent>
      </w:sdt>
      <w:r w:rsidRPr="00471BC4">
        <w:t>.</w:t>
      </w:r>
    </w:p>
    <w:p w14:paraId="0C941177" w14:textId="1ED0ECC6" w:rsidR="00471BC4" w:rsidRPr="00471BC4" w:rsidRDefault="00471BC4" w:rsidP="00471BC4">
      <w:r w:rsidRPr="00471BC4">
        <w:t>Endpoint Detection and Response (EDR) strengthen Zero Trust by continuously monitoring device behaviour and isolating compromised endpoints in real time. This is particularly important for preventing ransomware and lateral movement within the organisation</w:t>
      </w:r>
      <w:sdt>
        <w:sdtPr>
          <w:rPr>
            <w:rFonts w:ascii="Aptos" w:hAnsi="Aptos"/>
            <w:color w:val="000000"/>
            <w:highlight w:val="white"/>
          </w:rPr>
          <w:alias w:val="Citation"/>
          <w:tag w:val="{&quot;referencesIds&quot;:[&quot;doc:695a37c6ad4d4b6c15ca432d&quot;],&quot;referencesOptions&quot;:{&quot;doc:695a37c6ad4d4b6c15ca43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17943,&quot;citationText&quot;:&quot;&lt;span style=\&quot;font-family:Aptos;font-size:16px;color:#000000\&quot;&gt;[21]&lt;/span&gt;&quot;}"/>
          <w:id w:val="10117943"/>
          <w:placeholder>
            <w:docPart w:val="9400DDF88DBA4BFEB22B0386894D6F33"/>
          </w:placeholder>
        </w:sdtPr>
        <w:sdtContent>
          <w:r w:rsidR="00D36E31">
            <w:rPr>
              <w:rFonts w:ascii="Aptos" w:eastAsia="Times New Roman" w:hAnsi="Aptos"/>
              <w:color w:val="000000"/>
            </w:rPr>
            <w:t>[21]</w:t>
          </w:r>
        </w:sdtContent>
      </w:sdt>
      <w:r w:rsidRPr="00471BC4">
        <w:t>.</w:t>
      </w:r>
    </w:p>
    <w:p w14:paraId="276EBACE" w14:textId="4A3D3C5D" w:rsidR="00471BC4" w:rsidRPr="00471BC4" w:rsidRDefault="00471BC4" w:rsidP="00471BC4">
      <w:r w:rsidRPr="00471BC4">
        <w:t>Identity remains the core control point. Phishing-resistant multi-factor authentication (MFA) and Zero Trust Network Access (ZTNA) replace traditional VPN-based access, ensuring users are granted application-level access only when continuously verified</w:t>
      </w:r>
      <w:sdt>
        <w:sdtPr>
          <w:rPr>
            <w:rFonts w:ascii="Aptos" w:hAnsi="Aptos"/>
            <w:color w:val="000000"/>
            <w:highlight w:val="white"/>
          </w:rPr>
          <w:alias w:val="Citation"/>
          <w:tag w:val="{&quot;referencesIds&quot;:[&quot;doc:695a37c6ad4d4b6c15ca432d&quot;],&quot;referencesOptions&quot;:{&quot;doc:695a37c6ad4d4b6c15ca43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6586662,&quot;citationText&quot;:&quot;&lt;span style=\&quot;font-family:Aptos;font-size:16px;color:#000000\&quot;&gt;[21]&lt;/span&gt;&quot;}"/>
          <w:id w:val="-2046586662"/>
          <w:placeholder>
            <w:docPart w:val="5A493E210BFF441582FB7FDB3FF734BA"/>
          </w:placeholder>
        </w:sdtPr>
        <w:sdtContent>
          <w:r w:rsidR="00D36E31">
            <w:rPr>
              <w:rFonts w:ascii="Aptos" w:eastAsia="Times New Roman" w:hAnsi="Aptos"/>
              <w:color w:val="000000"/>
            </w:rPr>
            <w:t>[21]</w:t>
          </w:r>
        </w:sdtContent>
      </w:sdt>
      <w:r w:rsidRPr="00471BC4">
        <w:t>.</w:t>
      </w:r>
    </w:p>
    <w:p w14:paraId="5E0129A1" w14:textId="77777777" w:rsidR="00471BC4" w:rsidRPr="00471BC4" w:rsidRDefault="00471BC4" w:rsidP="00471BC4">
      <w:r w:rsidRPr="00471BC4">
        <w:t>Together, these controls provide a scalable and resilient Zero Trust security posture that supports business growth while meeting regulatory expectations under DORA and NIS2.</w:t>
      </w:r>
    </w:p>
    <w:p w14:paraId="3FD82E41" w14:textId="77777777" w:rsidR="00CC4A9D" w:rsidRDefault="00CC4A9D" w:rsidP="009D3F0E">
      <w:pPr>
        <w:rPr>
          <w:b/>
          <w:bCs/>
        </w:rPr>
      </w:pPr>
    </w:p>
    <w:p w14:paraId="4CCD144B" w14:textId="3040C527" w:rsidR="009D3F0E" w:rsidRPr="009D3F0E" w:rsidRDefault="009D3F0E" w:rsidP="00F32692">
      <w:pPr>
        <w:pStyle w:val="Heading1"/>
      </w:pPr>
      <w:bookmarkStart w:id="43" w:name="_Toc218546921"/>
      <w:r w:rsidRPr="009D3F0E">
        <w:t>9. Conclusion</w:t>
      </w:r>
      <w:bookmarkEnd w:id="43"/>
    </w:p>
    <w:p w14:paraId="50C90B84" w14:textId="77777777" w:rsidR="003515AD" w:rsidRPr="003515AD" w:rsidRDefault="003515AD" w:rsidP="003515AD">
      <w:r w:rsidRPr="003515AD">
        <w:t>This report has outlined a Zero Trust–aligned security programme designed to support ResilientIntellect’s expansion into the European Union. By embedding Zero Trust across people, pipelines, and platforms, the organisation adopts a security model that reflects the realities of hybrid working, cloud-native infrastructure, and AI-driven operations.</w:t>
      </w:r>
    </w:p>
    <w:p w14:paraId="4BCBB82B" w14:textId="77777777" w:rsidR="003515AD" w:rsidRPr="003515AD" w:rsidRDefault="003515AD" w:rsidP="003515AD">
      <w:r w:rsidRPr="003515AD">
        <w:t>The proposed approach directly supports compliance with DORA and the NIS2 Directive by strengthening governance, improving operational resilience, and enabling rapid detection and response to cyber incidents. Board-level oversight and clearly defined accountability ensure that cybersecurity risk is treated as a strategic business concern rather than a purely technical issue.</w:t>
      </w:r>
    </w:p>
    <w:p w14:paraId="037E5C0B" w14:textId="601E153B" w:rsidR="004F4738" w:rsidRDefault="003515AD" w:rsidP="003515AD">
      <w:r w:rsidRPr="003515AD">
        <w:t>In adopting this Zero Trust–aligned approach, ResilientIntellect is not simply responding to regulatory pressure</w:t>
      </w:r>
      <w:r w:rsidR="00BF35A9">
        <w:t>,</w:t>
      </w:r>
      <w:r>
        <w:t xml:space="preserve"> </w:t>
      </w:r>
      <w:r w:rsidRPr="003515AD">
        <w:t>it is establishing cybersecurity as a core capability that underpins long-term growth, operational resilience, and competitive advantage in the European market.</w:t>
      </w:r>
    </w:p>
    <w:p w14:paraId="2708E740" w14:textId="77777777" w:rsidR="00A431F4" w:rsidRDefault="00A431F4" w:rsidP="003515AD"/>
    <w:p w14:paraId="551057DC" w14:textId="77777777" w:rsidR="00A431F4" w:rsidRDefault="00A431F4" w:rsidP="003515AD"/>
    <w:p w14:paraId="11613100" w14:textId="1EB6285C" w:rsidR="00D36E31" w:rsidRDefault="00D36E31" w:rsidP="00F32692">
      <w:pPr>
        <w:pStyle w:val="NormalWeb"/>
        <w:jc w:val="center"/>
      </w:pPr>
      <w:r>
        <w:br/>
      </w:r>
    </w:p>
    <w:sdt>
      <w:sdtPr>
        <w:rPr>
          <w:rFonts w:asciiTheme="minorHAnsi" w:eastAsiaTheme="minorHAnsi" w:hAnsiTheme="minorHAnsi" w:cstheme="minorBidi"/>
          <w:kern w:val="2"/>
          <w:lang w:eastAsia="en-US"/>
          <w14:ligatures w14:val="standardContextual"/>
        </w:rPr>
        <w:tag w:val="rw.bWnCOutputStyleIdiblio"/>
        <w:id w:val="1186176107"/>
        <w:placeholder>
          <w:docPart w:val="5A205F3B6B16411788225963C07444F1"/>
        </w:placeholder>
      </w:sdtPr>
      <w:sdtContent>
        <w:p w14:paraId="204204C1" w14:textId="7C959424" w:rsidR="00D36E31" w:rsidRPr="005F3A34" w:rsidRDefault="00D36E31">
          <w:pPr>
            <w:pStyle w:val="NormalWeb"/>
            <w:jc w:val="center"/>
            <w:rPr>
              <w:rStyle w:val="Heading1Char"/>
            </w:rPr>
          </w:pPr>
          <w:r w:rsidRPr="005F3A34">
            <w:rPr>
              <w:rStyle w:val="Heading1Char"/>
            </w:rPr>
            <w:t>References</w:t>
          </w:r>
        </w:p>
        <w:p w14:paraId="1FBD2666" w14:textId="77777777" w:rsidR="00D36E31" w:rsidRDefault="00D36E31">
          <w:pPr>
            <w:pStyle w:val="NormalWeb"/>
            <w:ind w:left="450" w:hanging="450"/>
            <w:rPr>
              <w:rFonts w:ascii="Aptos" w:hAnsi="Aptos"/>
              <w:color w:val="000000"/>
            </w:rPr>
          </w:pPr>
          <w:r>
            <w:rPr>
              <w:rFonts w:ascii="Aptos" w:hAnsi="Aptos"/>
              <w:color w:val="000000"/>
            </w:rPr>
            <w:t xml:space="preserve">[1] D. Shannon. "The Acceleration Of AI: Keep Up Or Be Left Behind." Accessed: Dec 22 2025. [Online]. Available: </w:t>
          </w:r>
          <w:hyperlink r:id="rId13" w:tgtFrame="_blank" w:history="1">
            <w:r>
              <w:rPr>
                <w:rStyle w:val="Hyperlink"/>
                <w:rFonts w:ascii="Aptos" w:hAnsi="Aptos"/>
              </w:rPr>
              <w:t>https://www.forbes.com/councils/forbestechcouncil/2025/04/03/the-acceleration-of-ai-keep-up-or-be-left-behind/</w:t>
            </w:r>
          </w:hyperlink>
        </w:p>
        <w:p w14:paraId="3676D911" w14:textId="77777777" w:rsidR="00D36E31" w:rsidRDefault="00D36E31">
          <w:pPr>
            <w:pStyle w:val="NormalWeb"/>
            <w:ind w:left="450" w:hanging="450"/>
            <w:rPr>
              <w:rFonts w:ascii="Aptos" w:hAnsi="Aptos"/>
              <w:color w:val="000000"/>
            </w:rPr>
          </w:pPr>
          <w:r>
            <w:rPr>
              <w:rFonts w:ascii="Aptos" w:hAnsi="Aptos"/>
              <w:color w:val="000000"/>
            </w:rPr>
            <w:t>[2] P. Ashok and C. Das, "Artificial Intelligence Powered Product Management: Leveraging Data-Driven Insights for Growth, Retention, and Monetization", pp. 1322–1327. [Online].</w:t>
          </w:r>
          <w:proofErr w:type="spellStart"/>
          <w:r>
            <w:rPr>
              <w:rFonts w:ascii="Aptos" w:hAnsi="Aptos"/>
              <w:color w:val="000000"/>
            </w:rPr>
            <w:t>doi</w:t>
          </w:r>
          <w:proofErr w:type="spellEnd"/>
          <w:r>
            <w:rPr>
              <w:rFonts w:ascii="Aptos" w:hAnsi="Aptos"/>
              <w:color w:val="000000"/>
            </w:rPr>
            <w:t>: 10.1109/ICoEIT63558.2025.11211726.</w:t>
          </w:r>
        </w:p>
        <w:p w14:paraId="08723BFE" w14:textId="77777777" w:rsidR="00D36E31" w:rsidRDefault="00D36E31">
          <w:pPr>
            <w:pStyle w:val="NormalWeb"/>
            <w:ind w:left="450" w:hanging="450"/>
            <w:rPr>
              <w:rFonts w:ascii="Aptos" w:hAnsi="Aptos"/>
              <w:color w:val="000000"/>
            </w:rPr>
          </w:pPr>
          <w:r>
            <w:rPr>
              <w:rFonts w:ascii="Aptos" w:hAnsi="Aptos"/>
              <w:color w:val="000000"/>
            </w:rPr>
            <w:t xml:space="preserve">[3] D. Fernández Llorca, V. </w:t>
          </w:r>
          <w:proofErr w:type="spellStart"/>
          <w:r>
            <w:rPr>
              <w:rFonts w:ascii="Aptos" w:hAnsi="Aptos"/>
              <w:color w:val="000000"/>
            </w:rPr>
            <w:t>Charisi</w:t>
          </w:r>
          <w:proofErr w:type="spellEnd"/>
          <w:r>
            <w:rPr>
              <w:rFonts w:ascii="Aptos" w:hAnsi="Aptos"/>
              <w:color w:val="000000"/>
            </w:rPr>
            <w:t xml:space="preserve">, R. Hamon, I. Sánchez and E. Gómez, "Liability Regimes in the Age of AI: a Use-Case Driven Analysis of the Burden of Proof," vol. 76, pp.613–644, 2023, </w:t>
          </w:r>
          <w:proofErr w:type="spellStart"/>
          <w:r>
            <w:rPr>
              <w:rFonts w:ascii="Aptos" w:hAnsi="Aptos"/>
              <w:color w:val="000000"/>
            </w:rPr>
            <w:t>doi</w:t>
          </w:r>
          <w:proofErr w:type="spellEnd"/>
          <w:r>
            <w:rPr>
              <w:rFonts w:ascii="Aptos" w:hAnsi="Aptos"/>
              <w:color w:val="000000"/>
            </w:rPr>
            <w:t xml:space="preserve">: 10.1613/jair.1.14565. </w:t>
          </w:r>
        </w:p>
        <w:p w14:paraId="21743872" w14:textId="77777777" w:rsidR="00D36E31" w:rsidRDefault="00D36E31">
          <w:pPr>
            <w:pStyle w:val="NormalWeb"/>
            <w:ind w:left="450" w:hanging="450"/>
            <w:rPr>
              <w:rFonts w:ascii="Aptos" w:hAnsi="Aptos"/>
              <w:color w:val="000000"/>
            </w:rPr>
          </w:pPr>
          <w:r>
            <w:rPr>
              <w:rFonts w:ascii="Aptos" w:hAnsi="Aptos"/>
              <w:color w:val="000000"/>
            </w:rPr>
            <w:t xml:space="preserve">[4] Unknown, "What is AI Governance? | IBM," -10-10 2024, Accessed: Dec 22, 2025. Available at: </w:t>
          </w:r>
          <w:hyperlink r:id="rId14" w:tgtFrame="_blank" w:history="1">
            <w:r>
              <w:rPr>
                <w:rStyle w:val="Hyperlink"/>
                <w:rFonts w:ascii="Aptos" w:hAnsi="Aptos"/>
              </w:rPr>
              <w:t>https://www.ibm.com/think/topics/ai-governance</w:t>
            </w:r>
          </w:hyperlink>
          <w:r>
            <w:rPr>
              <w:rFonts w:ascii="Aptos" w:hAnsi="Aptos"/>
              <w:color w:val="000000"/>
            </w:rPr>
            <w:t xml:space="preserve">. </w:t>
          </w:r>
        </w:p>
        <w:p w14:paraId="02A63799" w14:textId="77777777" w:rsidR="00D36E31" w:rsidRDefault="00D36E31">
          <w:pPr>
            <w:pStyle w:val="NormalWeb"/>
            <w:ind w:left="450" w:hanging="450"/>
            <w:rPr>
              <w:rFonts w:ascii="Aptos" w:hAnsi="Aptos"/>
              <w:color w:val="000000"/>
            </w:rPr>
          </w:pPr>
          <w:r>
            <w:rPr>
              <w:rFonts w:ascii="Aptos" w:hAnsi="Aptos"/>
              <w:color w:val="000000"/>
            </w:rPr>
            <w:t xml:space="preserve">[5] B. C. Cheong, "Transparency and accountability in AI systems: safeguarding wellbeing in the age of algorithmic decision-making," </w:t>
          </w:r>
          <w:r>
            <w:rPr>
              <w:rFonts w:ascii="Aptos" w:hAnsi="Aptos"/>
              <w:i/>
              <w:iCs/>
              <w:color w:val="000000"/>
            </w:rPr>
            <w:t xml:space="preserve">Front. Hum. Dyn. </w:t>
          </w:r>
          <w:r>
            <w:rPr>
              <w:rFonts w:ascii="Aptos" w:hAnsi="Aptos"/>
              <w:color w:val="000000"/>
            </w:rPr>
            <w:t xml:space="preserve">vol. 6, July 3 2024, </w:t>
          </w:r>
          <w:proofErr w:type="spellStart"/>
          <w:r>
            <w:rPr>
              <w:rFonts w:ascii="Aptos" w:hAnsi="Aptos"/>
              <w:color w:val="000000"/>
            </w:rPr>
            <w:t>doi</w:t>
          </w:r>
          <w:proofErr w:type="spellEnd"/>
          <w:r>
            <w:rPr>
              <w:rFonts w:ascii="Aptos" w:hAnsi="Aptos"/>
              <w:color w:val="000000"/>
            </w:rPr>
            <w:t xml:space="preserve">: 10.3389/fhumd.2024.1421273. Accessed: Dec 27, 2025. Available at: </w:t>
          </w:r>
          <w:hyperlink r:id="rId15" w:tgtFrame="_blank" w:history="1">
            <w:r>
              <w:rPr>
                <w:rStyle w:val="Hyperlink"/>
                <w:rFonts w:ascii="Aptos" w:hAnsi="Aptos"/>
              </w:rPr>
              <w:t>https://www.frontiersin.org/journals/human-dynamics/articles/10.3389/fhumd.2024.1421273/full</w:t>
            </w:r>
          </w:hyperlink>
          <w:r>
            <w:rPr>
              <w:rFonts w:ascii="Aptos" w:hAnsi="Aptos"/>
              <w:color w:val="000000"/>
            </w:rPr>
            <w:t xml:space="preserve">. </w:t>
          </w:r>
        </w:p>
        <w:p w14:paraId="3DAF9551" w14:textId="77777777" w:rsidR="00D36E31" w:rsidRDefault="00D36E31">
          <w:pPr>
            <w:pStyle w:val="NormalWeb"/>
            <w:ind w:left="450" w:hanging="450"/>
            <w:rPr>
              <w:rFonts w:ascii="Aptos" w:hAnsi="Aptos"/>
              <w:color w:val="000000"/>
            </w:rPr>
          </w:pPr>
          <w:r>
            <w:rPr>
              <w:rFonts w:ascii="Aptos" w:hAnsi="Aptos"/>
              <w:color w:val="000000"/>
            </w:rPr>
            <w:t xml:space="preserve">[6] S. </w:t>
          </w:r>
          <w:proofErr w:type="spellStart"/>
          <w:r>
            <w:rPr>
              <w:rFonts w:ascii="Aptos" w:hAnsi="Aptos"/>
              <w:color w:val="000000"/>
            </w:rPr>
            <w:t>Vengathattil</w:t>
          </w:r>
          <w:proofErr w:type="spellEnd"/>
          <w:r>
            <w:rPr>
              <w:rFonts w:ascii="Aptos" w:hAnsi="Aptos"/>
              <w:color w:val="000000"/>
            </w:rPr>
            <w:t xml:space="preserve"> and S. M. Shaffi, "Ethical Implications of AI-Powered Decision Support Systems in Organizations", pp. 105–112. [Online].</w:t>
          </w:r>
          <w:proofErr w:type="spellStart"/>
          <w:r>
            <w:rPr>
              <w:rFonts w:ascii="Aptos" w:hAnsi="Aptos"/>
              <w:color w:val="000000"/>
            </w:rPr>
            <w:t>doi</w:t>
          </w:r>
          <w:proofErr w:type="spellEnd"/>
          <w:r>
            <w:rPr>
              <w:rFonts w:ascii="Aptos" w:hAnsi="Aptos"/>
              <w:color w:val="000000"/>
            </w:rPr>
            <w:t>: 10.1109/ICAIDE65466.2025.11189693.</w:t>
          </w:r>
        </w:p>
        <w:p w14:paraId="140008C4" w14:textId="77777777" w:rsidR="00D36E31" w:rsidRDefault="00D36E31">
          <w:pPr>
            <w:pStyle w:val="NormalWeb"/>
            <w:ind w:left="450" w:hanging="450"/>
            <w:rPr>
              <w:rFonts w:ascii="Aptos" w:hAnsi="Aptos"/>
              <w:color w:val="000000"/>
            </w:rPr>
          </w:pPr>
          <w:r>
            <w:rPr>
              <w:rFonts w:ascii="Aptos" w:hAnsi="Aptos"/>
              <w:color w:val="000000"/>
            </w:rPr>
            <w:t xml:space="preserve">[7] I. </w:t>
          </w:r>
          <w:proofErr w:type="spellStart"/>
          <w:r>
            <w:rPr>
              <w:rFonts w:ascii="Aptos" w:hAnsi="Aptos"/>
              <w:color w:val="000000"/>
            </w:rPr>
            <w:t>Atoum</w:t>
          </w:r>
          <w:proofErr w:type="spellEnd"/>
          <w:r>
            <w:rPr>
              <w:rFonts w:ascii="Aptos" w:hAnsi="Aptos"/>
              <w:color w:val="000000"/>
            </w:rPr>
            <w:t xml:space="preserve">, "Revolutionizing AI Governance: Addressing Bias and Ensuring Accountability Through the Holistic AI Governance Framework," vol. 16, no. 2, 2025, </w:t>
          </w:r>
          <w:proofErr w:type="spellStart"/>
          <w:r>
            <w:rPr>
              <w:rFonts w:ascii="Aptos" w:hAnsi="Aptos"/>
              <w:color w:val="000000"/>
            </w:rPr>
            <w:t>doi</w:t>
          </w:r>
          <w:proofErr w:type="spellEnd"/>
          <w:r>
            <w:rPr>
              <w:rFonts w:ascii="Aptos" w:hAnsi="Aptos"/>
              <w:color w:val="000000"/>
            </w:rPr>
            <w:t xml:space="preserve">: 10.14569/IJACSA.2025.0160283. </w:t>
          </w:r>
        </w:p>
        <w:p w14:paraId="605D047E" w14:textId="77777777" w:rsidR="00D36E31" w:rsidRDefault="00D36E31">
          <w:pPr>
            <w:pStyle w:val="NormalWeb"/>
            <w:ind w:left="450" w:hanging="450"/>
            <w:rPr>
              <w:rFonts w:ascii="Aptos" w:hAnsi="Aptos"/>
              <w:color w:val="000000"/>
            </w:rPr>
          </w:pPr>
          <w:r>
            <w:rPr>
              <w:rFonts w:ascii="Aptos" w:hAnsi="Aptos"/>
              <w:color w:val="000000"/>
            </w:rPr>
            <w:t xml:space="preserve">[8] </w:t>
          </w:r>
          <w:proofErr w:type="spellStart"/>
          <w:r>
            <w:rPr>
              <w:rFonts w:ascii="Aptos" w:hAnsi="Aptos"/>
              <w:color w:val="000000"/>
            </w:rPr>
            <w:t>Boskir</w:t>
          </w:r>
          <w:proofErr w:type="spellEnd"/>
          <w:r>
            <w:rPr>
              <w:rFonts w:ascii="Aptos" w:hAnsi="Aptos"/>
              <w:color w:val="000000"/>
            </w:rPr>
            <w:t xml:space="preserve"> E , Chen Y, Ghulam S , Ma Q, Razmi R, Swaminathan R, Thiru I, "Predictive Policing or Predictive Prejudice? A Study of the Legal, Historical and Ethical Implications of AI in Policing | </w:t>
          </w:r>
          <w:proofErr w:type="spellStart"/>
          <w:r>
            <w:rPr>
              <w:rFonts w:ascii="Aptos" w:hAnsi="Aptos"/>
              <w:color w:val="000000"/>
            </w:rPr>
            <w:t>OxJournal</w:t>
          </w:r>
          <w:proofErr w:type="spellEnd"/>
          <w:r>
            <w:rPr>
              <w:rFonts w:ascii="Aptos" w:hAnsi="Aptos"/>
              <w:color w:val="000000"/>
            </w:rPr>
            <w:t xml:space="preserve">," 18 Aug 2025, Accessed: Dec 27, 2025. Available at: </w:t>
          </w:r>
          <w:hyperlink r:id="rId16" w:tgtFrame="_blank" w:history="1">
            <w:r>
              <w:rPr>
                <w:rStyle w:val="Hyperlink"/>
                <w:rFonts w:ascii="Aptos" w:hAnsi="Aptos"/>
              </w:rPr>
              <w:t>https://www.oxjournal.org/predictive-policing-or-predictive-prejudice/</w:t>
            </w:r>
          </w:hyperlink>
          <w:r>
            <w:rPr>
              <w:rFonts w:ascii="Aptos" w:hAnsi="Aptos"/>
              <w:color w:val="000000"/>
            </w:rPr>
            <w:t xml:space="preserve">. </w:t>
          </w:r>
        </w:p>
        <w:p w14:paraId="6B8245F0" w14:textId="77777777" w:rsidR="00D36E31" w:rsidRDefault="00D36E31">
          <w:pPr>
            <w:pStyle w:val="NormalWeb"/>
            <w:ind w:left="450" w:hanging="450"/>
            <w:rPr>
              <w:rFonts w:ascii="Aptos" w:hAnsi="Aptos"/>
              <w:color w:val="000000"/>
            </w:rPr>
          </w:pPr>
          <w:r>
            <w:rPr>
              <w:rFonts w:ascii="Aptos" w:hAnsi="Aptos"/>
              <w:color w:val="000000"/>
            </w:rPr>
            <w:t xml:space="preserve">[9] A. Omran </w:t>
          </w:r>
          <w:proofErr w:type="spellStart"/>
          <w:r>
            <w:rPr>
              <w:rFonts w:ascii="Aptos" w:hAnsi="Aptos"/>
              <w:color w:val="000000"/>
            </w:rPr>
            <w:t>Almagrabi</w:t>
          </w:r>
          <w:proofErr w:type="spellEnd"/>
          <w:r>
            <w:rPr>
              <w:rFonts w:ascii="Aptos" w:hAnsi="Aptos"/>
              <w:color w:val="000000"/>
            </w:rPr>
            <w:t xml:space="preserve"> and R. A. Khan, "Optimizing Secure AI Lifecycle Model Management With Innovative Generative AI Strategies," </w:t>
          </w:r>
          <w:r>
            <w:rPr>
              <w:rFonts w:ascii="Aptos" w:hAnsi="Aptos"/>
              <w:i/>
              <w:iCs/>
              <w:color w:val="000000"/>
            </w:rPr>
            <w:t xml:space="preserve">Access. </w:t>
          </w:r>
          <w:r>
            <w:rPr>
              <w:rFonts w:ascii="Aptos" w:hAnsi="Aptos"/>
              <w:color w:val="000000"/>
            </w:rPr>
            <w:t xml:space="preserve">vol. 13, pp.12889–12920, 2025, </w:t>
          </w:r>
          <w:proofErr w:type="spellStart"/>
          <w:r>
            <w:rPr>
              <w:rFonts w:ascii="Aptos" w:hAnsi="Aptos"/>
              <w:color w:val="000000"/>
            </w:rPr>
            <w:t>doi</w:t>
          </w:r>
          <w:proofErr w:type="spellEnd"/>
          <w:r>
            <w:rPr>
              <w:rFonts w:ascii="Aptos" w:hAnsi="Aptos"/>
              <w:color w:val="000000"/>
            </w:rPr>
            <w:t xml:space="preserve">: 10.1109/ACCESS.2024.3491373. </w:t>
          </w:r>
        </w:p>
        <w:p w14:paraId="7FC2052A" w14:textId="77777777" w:rsidR="00D36E31" w:rsidRDefault="00D36E31">
          <w:pPr>
            <w:pStyle w:val="NormalWeb"/>
            <w:ind w:left="450" w:hanging="450"/>
            <w:rPr>
              <w:rFonts w:ascii="Aptos" w:hAnsi="Aptos"/>
              <w:color w:val="000000"/>
            </w:rPr>
          </w:pPr>
          <w:r>
            <w:rPr>
              <w:rFonts w:ascii="Aptos" w:hAnsi="Aptos"/>
              <w:color w:val="000000"/>
            </w:rPr>
            <w:t xml:space="preserve">[10] W. Villegas-Ch and J. García-Ortiz, "Toward a Comprehensive Framework for Ensuring Security and Privacy in Artificial Intelligence," vol. 12, no. 18, pp.3786, 2023, </w:t>
          </w:r>
          <w:proofErr w:type="spellStart"/>
          <w:r>
            <w:rPr>
              <w:rFonts w:ascii="Aptos" w:hAnsi="Aptos"/>
              <w:color w:val="000000"/>
            </w:rPr>
            <w:t>doi</w:t>
          </w:r>
          <w:proofErr w:type="spellEnd"/>
          <w:r>
            <w:rPr>
              <w:rFonts w:ascii="Aptos" w:hAnsi="Aptos"/>
              <w:color w:val="000000"/>
            </w:rPr>
            <w:t xml:space="preserve">: 10.3390/electronics12183786. </w:t>
          </w:r>
        </w:p>
        <w:p w14:paraId="514D1B8F" w14:textId="77777777" w:rsidR="00D36E31" w:rsidRDefault="00D36E31">
          <w:pPr>
            <w:pStyle w:val="NormalWeb"/>
            <w:ind w:left="450" w:hanging="450"/>
            <w:rPr>
              <w:rFonts w:ascii="Aptos" w:hAnsi="Aptos"/>
              <w:color w:val="000000"/>
            </w:rPr>
          </w:pPr>
          <w:r>
            <w:rPr>
              <w:rFonts w:ascii="Aptos" w:hAnsi="Aptos"/>
              <w:color w:val="000000"/>
            </w:rPr>
            <w:lastRenderedPageBreak/>
            <w:t xml:space="preserve">[11] F. Teichmann, "Cybersecurity of critical infrastructure in </w:t>
          </w:r>
          <w:proofErr w:type="spellStart"/>
          <w:r>
            <w:rPr>
              <w:rFonts w:ascii="Aptos" w:hAnsi="Aptos"/>
              <w:color w:val="000000"/>
            </w:rPr>
            <w:t>europe</w:t>
          </w:r>
          <w:proofErr w:type="spellEnd"/>
          <w:r>
            <w:rPr>
              <w:rFonts w:ascii="Aptos" w:hAnsi="Aptos"/>
              <w:color w:val="000000"/>
            </w:rPr>
            <w:t xml:space="preserve">: the NIS2 directive in focus," </w:t>
          </w:r>
          <w:proofErr w:type="spellStart"/>
          <w:r>
            <w:rPr>
              <w:rFonts w:ascii="Aptos" w:hAnsi="Aptos"/>
              <w:i/>
              <w:iCs/>
              <w:color w:val="000000"/>
            </w:rPr>
            <w:t>Int.Cybersecur.Law</w:t>
          </w:r>
          <w:proofErr w:type="spellEnd"/>
          <w:r>
            <w:rPr>
              <w:rFonts w:ascii="Aptos" w:hAnsi="Aptos"/>
              <w:i/>
              <w:iCs/>
              <w:color w:val="000000"/>
            </w:rPr>
            <w:t xml:space="preserve"> Rev. </w:t>
          </w:r>
          <w:r>
            <w:rPr>
              <w:rFonts w:ascii="Aptos" w:hAnsi="Aptos"/>
              <w:color w:val="000000"/>
            </w:rPr>
            <w:t xml:space="preserve">vol. 6, no. 3, pp.207–220, 2025, </w:t>
          </w:r>
          <w:proofErr w:type="spellStart"/>
          <w:r>
            <w:rPr>
              <w:rFonts w:ascii="Aptos" w:hAnsi="Aptos"/>
              <w:color w:val="000000"/>
            </w:rPr>
            <w:t>doi</w:t>
          </w:r>
          <w:proofErr w:type="spellEnd"/>
          <w:r>
            <w:rPr>
              <w:rFonts w:ascii="Aptos" w:hAnsi="Aptos"/>
              <w:color w:val="000000"/>
            </w:rPr>
            <w:t xml:space="preserve">: 10.1365/s43439-025-00154-4. </w:t>
          </w:r>
        </w:p>
        <w:p w14:paraId="16272E2B" w14:textId="77777777" w:rsidR="00D36E31" w:rsidRDefault="00D36E31">
          <w:pPr>
            <w:pStyle w:val="NormalWeb"/>
            <w:ind w:left="450" w:hanging="450"/>
            <w:rPr>
              <w:rFonts w:ascii="Aptos" w:hAnsi="Aptos"/>
              <w:color w:val="000000"/>
            </w:rPr>
          </w:pPr>
          <w:r>
            <w:rPr>
              <w:rFonts w:ascii="Aptos" w:hAnsi="Aptos"/>
              <w:color w:val="000000"/>
            </w:rPr>
            <w:t xml:space="preserve">[12] Y. Bobbert and J. </w:t>
          </w:r>
          <w:proofErr w:type="spellStart"/>
          <w:r>
            <w:rPr>
              <w:rFonts w:ascii="Aptos" w:hAnsi="Aptos"/>
              <w:color w:val="000000"/>
            </w:rPr>
            <w:t>Scheerder</w:t>
          </w:r>
          <w:proofErr w:type="spellEnd"/>
          <w:r>
            <w:rPr>
              <w:rFonts w:ascii="Aptos" w:hAnsi="Aptos"/>
              <w:color w:val="000000"/>
            </w:rPr>
            <w:t>, "Zero Trust Validation: from Practice to Theory : An empirical research project to improve Zero Trust implementations", pp. 93–104. [Online].</w:t>
          </w:r>
          <w:proofErr w:type="spellStart"/>
          <w:r>
            <w:rPr>
              <w:rFonts w:ascii="Aptos" w:hAnsi="Aptos"/>
              <w:color w:val="000000"/>
            </w:rPr>
            <w:t>doi</w:t>
          </w:r>
          <w:proofErr w:type="spellEnd"/>
          <w:r>
            <w:rPr>
              <w:rFonts w:ascii="Aptos" w:hAnsi="Aptos"/>
              <w:color w:val="000000"/>
            </w:rPr>
            <w:t>: 10.1109/STC55697.2022.00021.</w:t>
          </w:r>
        </w:p>
        <w:p w14:paraId="7822ECB4" w14:textId="77777777" w:rsidR="00D36E31" w:rsidRDefault="00D36E31">
          <w:pPr>
            <w:pStyle w:val="NormalWeb"/>
            <w:ind w:left="450" w:hanging="450"/>
            <w:rPr>
              <w:rFonts w:ascii="Aptos" w:hAnsi="Aptos"/>
              <w:color w:val="000000"/>
            </w:rPr>
          </w:pPr>
          <w:r>
            <w:rPr>
              <w:rFonts w:ascii="Aptos" w:hAnsi="Aptos"/>
              <w:color w:val="000000"/>
            </w:rPr>
            <w:t xml:space="preserve">[13] unknown, "Artificial Intelligence Usage Policy," Accessed: Jan 2, 2026. Available at: </w:t>
          </w:r>
          <w:hyperlink r:id="rId17" w:tgtFrame="_blank" w:history="1">
            <w:r>
              <w:rPr>
                <w:rStyle w:val="Hyperlink"/>
                <w:rFonts w:ascii="Aptos" w:hAnsi="Aptos"/>
              </w:rPr>
              <w:t>https://www.freemanclarke.com/en-gb/wp-content/uploads/sites/1/2023/10/Artificial-Intelligence-Usage-Policy.pdf</w:t>
            </w:r>
          </w:hyperlink>
          <w:r>
            <w:rPr>
              <w:rFonts w:ascii="Aptos" w:hAnsi="Aptos"/>
              <w:color w:val="000000"/>
            </w:rPr>
            <w:t xml:space="preserve">. </w:t>
          </w:r>
        </w:p>
        <w:p w14:paraId="6EDFA15C" w14:textId="77777777" w:rsidR="00D36E31" w:rsidRDefault="00D36E31">
          <w:pPr>
            <w:pStyle w:val="NormalWeb"/>
            <w:ind w:left="450" w:hanging="450"/>
            <w:rPr>
              <w:rFonts w:ascii="Aptos" w:hAnsi="Aptos"/>
              <w:color w:val="000000"/>
            </w:rPr>
          </w:pPr>
          <w:r>
            <w:rPr>
              <w:rFonts w:ascii="Aptos" w:hAnsi="Aptos"/>
              <w:color w:val="000000"/>
            </w:rPr>
            <w:t xml:space="preserve">[14] unknown, "Create SaaS Policy Rule Recommendations," Accessed: Jan 4, 2026. Available at: </w:t>
          </w:r>
          <w:hyperlink r:id="rId18" w:tgtFrame="_blank" w:history="1">
            <w:r>
              <w:rPr>
                <w:rStyle w:val="Hyperlink"/>
                <w:rFonts w:ascii="Aptos" w:hAnsi="Aptos"/>
              </w:rPr>
              <w:t>https://docs.paloaltonetworks.com/saas-security/saas-security-inline/manage-saas-security-inline-policy/create-saas-policy-rule-recommendations</w:t>
            </w:r>
          </w:hyperlink>
          <w:r>
            <w:rPr>
              <w:rFonts w:ascii="Aptos" w:hAnsi="Aptos"/>
              <w:color w:val="000000"/>
            </w:rPr>
            <w:t xml:space="preserve">. </w:t>
          </w:r>
        </w:p>
        <w:p w14:paraId="143E3CE3" w14:textId="77777777" w:rsidR="00D36E31" w:rsidRDefault="00D36E31">
          <w:pPr>
            <w:pStyle w:val="NormalWeb"/>
            <w:ind w:left="450" w:hanging="450"/>
            <w:rPr>
              <w:rFonts w:ascii="Aptos" w:hAnsi="Aptos"/>
              <w:color w:val="000000"/>
            </w:rPr>
          </w:pPr>
          <w:r>
            <w:rPr>
              <w:rFonts w:ascii="Aptos" w:hAnsi="Aptos"/>
              <w:color w:val="000000"/>
            </w:rPr>
            <w:t xml:space="preserve">[15] unknown, "Bring Your Own Device (BYOD) Policy Best Practices | Okta," Accessed: Jan 3, 2026. Available at: </w:t>
          </w:r>
          <w:hyperlink r:id="rId19" w:tgtFrame="_blank" w:history="1">
            <w:r>
              <w:rPr>
                <w:rStyle w:val="Hyperlink"/>
                <w:rFonts w:ascii="Aptos" w:hAnsi="Aptos"/>
              </w:rPr>
              <w:t>https://www.okta.com/identity-101/byod-policy/</w:t>
            </w:r>
          </w:hyperlink>
          <w:r>
            <w:rPr>
              <w:rFonts w:ascii="Aptos" w:hAnsi="Aptos"/>
              <w:color w:val="000000"/>
            </w:rPr>
            <w:t xml:space="preserve">. </w:t>
          </w:r>
        </w:p>
        <w:p w14:paraId="32B28AAF" w14:textId="77777777" w:rsidR="00D36E31" w:rsidRDefault="00D36E31">
          <w:pPr>
            <w:pStyle w:val="NormalWeb"/>
            <w:ind w:left="450" w:hanging="450"/>
            <w:rPr>
              <w:rFonts w:ascii="Aptos" w:hAnsi="Aptos"/>
              <w:color w:val="000000"/>
            </w:rPr>
          </w:pPr>
          <w:r>
            <w:rPr>
              <w:rFonts w:ascii="Aptos" w:hAnsi="Aptos"/>
              <w:color w:val="000000"/>
            </w:rPr>
            <w:t xml:space="preserve">[16] K. Mentzelou, P. T. </w:t>
          </w:r>
          <w:proofErr w:type="spellStart"/>
          <w:r>
            <w:rPr>
              <w:rFonts w:ascii="Aptos" w:hAnsi="Aptos"/>
              <w:color w:val="000000"/>
            </w:rPr>
            <w:t>Chountalas</w:t>
          </w:r>
          <w:proofErr w:type="spellEnd"/>
          <w:r>
            <w:rPr>
              <w:rFonts w:ascii="Aptos" w:hAnsi="Aptos"/>
              <w:color w:val="000000"/>
            </w:rPr>
            <w:t xml:space="preserve">, F. C. Kitsios, A. I. </w:t>
          </w:r>
          <w:proofErr w:type="spellStart"/>
          <w:r>
            <w:rPr>
              <w:rFonts w:ascii="Aptos" w:hAnsi="Aptos"/>
              <w:color w:val="000000"/>
            </w:rPr>
            <w:t>Magoutas</w:t>
          </w:r>
          <w:proofErr w:type="spellEnd"/>
          <w:r>
            <w:rPr>
              <w:rFonts w:ascii="Aptos" w:hAnsi="Aptos"/>
              <w:color w:val="000000"/>
            </w:rPr>
            <w:t xml:space="preserve"> and T. K. </w:t>
          </w:r>
          <w:proofErr w:type="spellStart"/>
          <w:r>
            <w:rPr>
              <w:rFonts w:ascii="Aptos" w:hAnsi="Aptos"/>
              <w:color w:val="000000"/>
            </w:rPr>
            <w:t>Dasaklis</w:t>
          </w:r>
          <w:proofErr w:type="spellEnd"/>
          <w:r>
            <w:rPr>
              <w:rFonts w:ascii="Aptos" w:hAnsi="Aptos"/>
              <w:color w:val="000000"/>
            </w:rPr>
            <w:t xml:space="preserve">, "Identifying and </w:t>
          </w:r>
          <w:proofErr w:type="spellStart"/>
          <w:r>
            <w:rPr>
              <w:rFonts w:ascii="Aptos" w:hAnsi="Aptos"/>
              <w:color w:val="000000"/>
            </w:rPr>
            <w:t>Modeling</w:t>
          </w:r>
          <w:proofErr w:type="spellEnd"/>
          <w:r>
            <w:rPr>
              <w:rFonts w:ascii="Aptos" w:hAnsi="Aptos"/>
              <w:color w:val="000000"/>
            </w:rPr>
            <w:t xml:space="preserve"> Barriers to Compliance with the NIS2 Directive: A DEMATEL Approach," vol. 5, no. 4, pp.97, 2025, </w:t>
          </w:r>
          <w:proofErr w:type="spellStart"/>
          <w:r>
            <w:rPr>
              <w:rFonts w:ascii="Aptos" w:hAnsi="Aptos"/>
              <w:color w:val="000000"/>
            </w:rPr>
            <w:t>doi</w:t>
          </w:r>
          <w:proofErr w:type="spellEnd"/>
          <w:r>
            <w:rPr>
              <w:rFonts w:ascii="Aptos" w:hAnsi="Aptos"/>
              <w:color w:val="000000"/>
            </w:rPr>
            <w:t xml:space="preserve">: 10.3390/jcp5040097. </w:t>
          </w:r>
        </w:p>
        <w:p w14:paraId="067F3A96" w14:textId="77777777" w:rsidR="00D36E31" w:rsidRDefault="00D36E31">
          <w:pPr>
            <w:pStyle w:val="NormalWeb"/>
            <w:ind w:left="450" w:hanging="450"/>
            <w:rPr>
              <w:rFonts w:ascii="Aptos" w:hAnsi="Aptos"/>
              <w:color w:val="000000"/>
            </w:rPr>
          </w:pPr>
          <w:r>
            <w:rPr>
              <w:rFonts w:ascii="Aptos" w:hAnsi="Aptos"/>
              <w:color w:val="000000"/>
            </w:rPr>
            <w:t xml:space="preserve">[17] unknown, "The NIST Cybersecurity </w:t>
          </w:r>
          <w:r>
            <w:rPr>
              <w:rFonts w:ascii="Aptos" w:hAnsi="Aptos"/>
              <w:color w:val="000000"/>
            </w:rPr>
            <w:br/>
            <w:t xml:space="preserve">Framework (CSF) 2.0," 26 February 2024, Accessed: Jan 2, 2026. Available at: </w:t>
          </w:r>
          <w:hyperlink r:id="rId20" w:tgtFrame="_blank" w:history="1">
            <w:r>
              <w:rPr>
                <w:rStyle w:val="Hyperlink"/>
                <w:rFonts w:ascii="Aptos" w:hAnsi="Aptos"/>
              </w:rPr>
              <w:t>https://nvlpubs.nist.gov/nistpubs/CSWP/NIST.CSWP.29.pdf</w:t>
            </w:r>
          </w:hyperlink>
          <w:r>
            <w:rPr>
              <w:rFonts w:ascii="Aptos" w:hAnsi="Aptos"/>
              <w:color w:val="000000"/>
            </w:rPr>
            <w:t xml:space="preserve">. </w:t>
          </w:r>
        </w:p>
        <w:p w14:paraId="59F74C41" w14:textId="77777777" w:rsidR="00D36E31" w:rsidRDefault="00D36E31">
          <w:pPr>
            <w:pStyle w:val="NormalWeb"/>
            <w:ind w:left="450" w:hanging="450"/>
            <w:rPr>
              <w:rFonts w:ascii="Aptos" w:hAnsi="Aptos"/>
              <w:color w:val="000000"/>
            </w:rPr>
          </w:pPr>
          <w:r>
            <w:rPr>
              <w:rFonts w:ascii="Aptos" w:hAnsi="Aptos"/>
              <w:color w:val="000000"/>
            </w:rPr>
            <w:t xml:space="preserve">[18] R. </w:t>
          </w:r>
          <w:proofErr w:type="spellStart"/>
          <w:r>
            <w:rPr>
              <w:rFonts w:ascii="Aptos" w:hAnsi="Aptos"/>
              <w:color w:val="000000"/>
            </w:rPr>
            <w:t>Kummara</w:t>
          </w:r>
          <w:proofErr w:type="spellEnd"/>
          <w:r>
            <w:rPr>
              <w:rFonts w:ascii="Aptos" w:hAnsi="Aptos"/>
              <w:color w:val="000000"/>
            </w:rPr>
            <w:t xml:space="preserve">, "Cloud Security Using AI: Transforming Digital Protection In The Modern Era," vol. 8, pp.27–38, 2025, </w:t>
          </w:r>
          <w:proofErr w:type="spellStart"/>
          <w:r>
            <w:rPr>
              <w:rFonts w:ascii="Aptos" w:hAnsi="Aptos"/>
              <w:color w:val="000000"/>
            </w:rPr>
            <w:t>doi</w:t>
          </w:r>
          <w:proofErr w:type="spellEnd"/>
          <w:r>
            <w:rPr>
              <w:rFonts w:ascii="Aptos" w:hAnsi="Aptos"/>
              <w:color w:val="000000"/>
            </w:rPr>
            <w:t xml:space="preserve">: 10.63278/jicrcr.vi.3215. </w:t>
          </w:r>
        </w:p>
        <w:p w14:paraId="7F35498D" w14:textId="77777777" w:rsidR="00D36E31" w:rsidRDefault="00D36E31">
          <w:pPr>
            <w:pStyle w:val="NormalWeb"/>
            <w:ind w:left="450" w:hanging="450"/>
            <w:rPr>
              <w:rFonts w:ascii="Aptos" w:hAnsi="Aptos"/>
              <w:color w:val="000000"/>
            </w:rPr>
          </w:pPr>
          <w:r>
            <w:rPr>
              <w:rFonts w:ascii="Aptos" w:hAnsi="Aptos"/>
              <w:color w:val="000000"/>
            </w:rPr>
            <w:t xml:space="preserve">[19] G. Baran. "AI-Powered Ransomware Is the Emerging Threat That Could Bring Down Your Organization." Accessed: Jan 2 2026. [Online]. Available: </w:t>
          </w:r>
          <w:hyperlink r:id="rId21" w:tgtFrame="_blank" w:history="1">
            <w:r>
              <w:rPr>
                <w:rStyle w:val="Hyperlink"/>
                <w:rFonts w:ascii="Aptos" w:hAnsi="Aptos"/>
              </w:rPr>
              <w:t>https://cybersecuritynews.com/ai-powered-ransomware/</w:t>
            </w:r>
          </w:hyperlink>
        </w:p>
        <w:p w14:paraId="3A53B4A9" w14:textId="77777777" w:rsidR="00D36E31" w:rsidRDefault="00D36E31">
          <w:pPr>
            <w:pStyle w:val="NormalWeb"/>
            <w:ind w:left="450" w:hanging="450"/>
            <w:rPr>
              <w:rFonts w:ascii="Aptos" w:hAnsi="Aptos"/>
              <w:color w:val="000000"/>
            </w:rPr>
          </w:pPr>
          <w:r>
            <w:rPr>
              <w:rFonts w:ascii="Aptos" w:hAnsi="Aptos"/>
              <w:color w:val="000000"/>
            </w:rPr>
            <w:t>[20] A. Hassan, A. Rauf, N. Shafqat, R. Latif and H. Khan, "</w:t>
          </w:r>
          <w:proofErr w:type="spellStart"/>
          <w:r>
            <w:rPr>
              <w:rFonts w:ascii="Aptos" w:hAnsi="Aptos"/>
              <w:color w:val="000000"/>
            </w:rPr>
            <w:t>ZenGuard</w:t>
          </w:r>
          <w:proofErr w:type="spellEnd"/>
          <w:r>
            <w:rPr>
              <w:rFonts w:ascii="Aptos" w:hAnsi="Aptos"/>
              <w:color w:val="000000"/>
            </w:rPr>
            <w:t xml:space="preserve"> a machine learning based zero trust framework for context aware threat mitigation using SIEM SOAR and UEBA," </w:t>
          </w:r>
          <w:r>
            <w:rPr>
              <w:rFonts w:ascii="Aptos" w:hAnsi="Aptos"/>
              <w:i/>
              <w:iCs/>
              <w:color w:val="000000"/>
            </w:rPr>
            <w:t xml:space="preserve">Sci Rep. </w:t>
          </w:r>
          <w:r>
            <w:rPr>
              <w:rFonts w:ascii="Aptos" w:hAnsi="Aptos"/>
              <w:color w:val="000000"/>
            </w:rPr>
            <w:t xml:space="preserve">vol. 15, no. 1, pp.35871, October 14 2025, </w:t>
          </w:r>
          <w:proofErr w:type="spellStart"/>
          <w:r>
            <w:rPr>
              <w:rFonts w:ascii="Aptos" w:hAnsi="Aptos"/>
              <w:color w:val="000000"/>
            </w:rPr>
            <w:t>doi</w:t>
          </w:r>
          <w:proofErr w:type="spellEnd"/>
          <w:r>
            <w:rPr>
              <w:rFonts w:ascii="Aptos" w:hAnsi="Aptos"/>
              <w:color w:val="000000"/>
            </w:rPr>
            <w:t xml:space="preserve">: 10.1038/s41598-025-20998-4. Accessed: Jan 2, 2026. Available at: </w:t>
          </w:r>
          <w:hyperlink r:id="rId22" w:tgtFrame="_blank" w:history="1">
            <w:r>
              <w:rPr>
                <w:rStyle w:val="Hyperlink"/>
                <w:rFonts w:ascii="Aptos" w:hAnsi="Aptos"/>
              </w:rPr>
              <w:t>https://www.nature.com/articles/s41598-025-20998-4</w:t>
            </w:r>
          </w:hyperlink>
          <w:r>
            <w:rPr>
              <w:rFonts w:ascii="Aptos" w:hAnsi="Aptos"/>
              <w:color w:val="000000"/>
            </w:rPr>
            <w:t xml:space="preserve">. </w:t>
          </w:r>
        </w:p>
        <w:p w14:paraId="38469CC6" w14:textId="77777777" w:rsidR="00D36E31" w:rsidRDefault="00D36E31">
          <w:pPr>
            <w:pStyle w:val="NormalWeb"/>
            <w:ind w:left="450" w:hanging="450"/>
            <w:rPr>
              <w:rFonts w:ascii="Aptos" w:hAnsi="Aptos"/>
              <w:color w:val="000000"/>
            </w:rPr>
          </w:pPr>
          <w:r>
            <w:rPr>
              <w:rFonts w:ascii="Aptos" w:hAnsi="Aptos"/>
              <w:color w:val="000000"/>
            </w:rPr>
            <w:t xml:space="preserve">[21] O. S. "Zero Trust Security: Implementation Guide for Modern Businesses (2025)." Accessed: Jan 4 2026. [Online]. Available: </w:t>
          </w:r>
          <w:hyperlink r:id="rId23" w:tgtFrame="_blank" w:history="1">
            <w:r>
              <w:rPr>
                <w:rStyle w:val="Hyperlink"/>
                <w:rFonts w:ascii="Aptos" w:hAnsi="Aptos"/>
              </w:rPr>
              <w:t>https://gettrusted.io/blog/zero-trust-security-implementation-guide-for-modern-businesses-2025/</w:t>
            </w:r>
          </w:hyperlink>
        </w:p>
        <w:p w14:paraId="521ADE1E" w14:textId="07F9288E" w:rsidR="00D36E31" w:rsidRDefault="00000000" w:rsidP="003515AD"/>
      </w:sdtContent>
    </w:sdt>
    <w:p w14:paraId="12AA86AA" w14:textId="344EE7AE" w:rsidR="005C5AA8" w:rsidRDefault="005C5AA8" w:rsidP="003515AD"/>
    <w:sectPr w:rsidR="005C5AA8" w:rsidSect="002E2D3C">
      <w:type w:val="continuous"/>
      <w:pgSz w:w="11906" w:h="16838"/>
      <w:pgMar w:top="1440" w:right="1440" w:bottom="1440" w:left="1440" w:header="708" w:footer="708" w:gutter="0"/>
      <w:pgBorders w:offsetFrom="page">
        <w:top w:val="thickThinLargeGap" w:sz="24" w:space="24" w:color="auto"/>
        <w:left w:val="thickThinLargeGap" w:sz="24" w:space="24" w:color="auto"/>
        <w:bottom w:val="thickThinLargeGap" w:sz="24" w:space="24" w:color="auto"/>
        <w:right w:val="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C55E9" w14:textId="77777777" w:rsidR="00DE3F0A" w:rsidRDefault="00DE3F0A" w:rsidP="00DA1586">
      <w:pPr>
        <w:spacing w:after="0" w:line="240" w:lineRule="auto"/>
      </w:pPr>
      <w:r>
        <w:separator/>
      </w:r>
    </w:p>
  </w:endnote>
  <w:endnote w:type="continuationSeparator" w:id="0">
    <w:p w14:paraId="6156CAD7" w14:textId="77777777" w:rsidR="00DE3F0A" w:rsidRDefault="00DE3F0A" w:rsidP="00DA1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9828425"/>
      <w:docPartObj>
        <w:docPartGallery w:val="Page Numbers (Bottom of Page)"/>
        <w:docPartUnique/>
      </w:docPartObj>
    </w:sdtPr>
    <w:sdtEndPr>
      <w:rPr>
        <w:color w:val="7F7F7F" w:themeColor="background1" w:themeShade="7F"/>
        <w:spacing w:val="60"/>
      </w:rPr>
    </w:sdtEndPr>
    <w:sdtContent>
      <w:p w14:paraId="62D55DF7" w14:textId="69E30B2B" w:rsidR="00DA1586" w:rsidRDefault="00DA158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3FE049D" w14:textId="77777777" w:rsidR="00DA1586" w:rsidRDefault="00DA15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0E9B3" w14:textId="77777777" w:rsidR="00DE3F0A" w:rsidRDefault="00DE3F0A" w:rsidP="00DA1586">
      <w:pPr>
        <w:spacing w:after="0" w:line="240" w:lineRule="auto"/>
      </w:pPr>
      <w:r>
        <w:separator/>
      </w:r>
    </w:p>
  </w:footnote>
  <w:footnote w:type="continuationSeparator" w:id="0">
    <w:p w14:paraId="6F43B71B" w14:textId="77777777" w:rsidR="00DE3F0A" w:rsidRDefault="00DE3F0A" w:rsidP="00DA15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21CCC"/>
    <w:multiLevelType w:val="hybridMultilevel"/>
    <w:tmpl w:val="20D60C2E"/>
    <w:lvl w:ilvl="0" w:tplc="3FC26102">
      <w:numFmt w:val="bullet"/>
      <w:lvlText w:val="•"/>
      <w:lvlJc w:val="left"/>
      <w:pPr>
        <w:ind w:left="720" w:hanging="360"/>
      </w:pPr>
      <w:rPr>
        <w:rFonts w:ascii="Cambria" w:eastAsia="Times New Roman" w:hAnsi="Cambria"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78217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738"/>
    <w:rsid w:val="0001088B"/>
    <w:rsid w:val="0001616C"/>
    <w:rsid w:val="000329C6"/>
    <w:rsid w:val="000360F1"/>
    <w:rsid w:val="00055587"/>
    <w:rsid w:val="00057199"/>
    <w:rsid w:val="00094D38"/>
    <w:rsid w:val="000C01C3"/>
    <w:rsid w:val="000D5372"/>
    <w:rsid w:val="0016333E"/>
    <w:rsid w:val="00171BD4"/>
    <w:rsid w:val="0019261E"/>
    <w:rsid w:val="00216876"/>
    <w:rsid w:val="00221484"/>
    <w:rsid w:val="002E0815"/>
    <w:rsid w:val="002E2D3C"/>
    <w:rsid w:val="002E4275"/>
    <w:rsid w:val="00333ED2"/>
    <w:rsid w:val="00345019"/>
    <w:rsid w:val="003515AD"/>
    <w:rsid w:val="00365305"/>
    <w:rsid w:val="0037579C"/>
    <w:rsid w:val="003C111B"/>
    <w:rsid w:val="003E5D03"/>
    <w:rsid w:val="00422906"/>
    <w:rsid w:val="00431317"/>
    <w:rsid w:val="00450890"/>
    <w:rsid w:val="00467331"/>
    <w:rsid w:val="00471BC4"/>
    <w:rsid w:val="004A35DF"/>
    <w:rsid w:val="004C4813"/>
    <w:rsid w:val="004F4738"/>
    <w:rsid w:val="0051163E"/>
    <w:rsid w:val="0053267A"/>
    <w:rsid w:val="00535E1F"/>
    <w:rsid w:val="005B5F42"/>
    <w:rsid w:val="005C5AA8"/>
    <w:rsid w:val="005F0C66"/>
    <w:rsid w:val="005F3A34"/>
    <w:rsid w:val="00614C24"/>
    <w:rsid w:val="006820F0"/>
    <w:rsid w:val="006A0A54"/>
    <w:rsid w:val="006D236B"/>
    <w:rsid w:val="00723CC2"/>
    <w:rsid w:val="00780F2E"/>
    <w:rsid w:val="00785517"/>
    <w:rsid w:val="00845034"/>
    <w:rsid w:val="008C06CC"/>
    <w:rsid w:val="0094063C"/>
    <w:rsid w:val="009D3F0E"/>
    <w:rsid w:val="009F38A8"/>
    <w:rsid w:val="00A431F4"/>
    <w:rsid w:val="00A472BF"/>
    <w:rsid w:val="00A77734"/>
    <w:rsid w:val="00A872C7"/>
    <w:rsid w:val="00AA2CD2"/>
    <w:rsid w:val="00AD1C34"/>
    <w:rsid w:val="00AD3DF1"/>
    <w:rsid w:val="00AF47A7"/>
    <w:rsid w:val="00B14090"/>
    <w:rsid w:val="00B7253C"/>
    <w:rsid w:val="00BA755C"/>
    <w:rsid w:val="00BF2C74"/>
    <w:rsid w:val="00BF35A9"/>
    <w:rsid w:val="00C557A0"/>
    <w:rsid w:val="00C65468"/>
    <w:rsid w:val="00CC4A9D"/>
    <w:rsid w:val="00D36E31"/>
    <w:rsid w:val="00D532AB"/>
    <w:rsid w:val="00D538E3"/>
    <w:rsid w:val="00D80BB5"/>
    <w:rsid w:val="00D90612"/>
    <w:rsid w:val="00DA1586"/>
    <w:rsid w:val="00DA3A36"/>
    <w:rsid w:val="00DB12B2"/>
    <w:rsid w:val="00DC635D"/>
    <w:rsid w:val="00DC66C3"/>
    <w:rsid w:val="00DD37BA"/>
    <w:rsid w:val="00DE3F0A"/>
    <w:rsid w:val="00DF6328"/>
    <w:rsid w:val="00E1150F"/>
    <w:rsid w:val="00E55D0D"/>
    <w:rsid w:val="00E76048"/>
    <w:rsid w:val="00E928C2"/>
    <w:rsid w:val="00EC78DE"/>
    <w:rsid w:val="00EF4CA9"/>
    <w:rsid w:val="00F12EAC"/>
    <w:rsid w:val="00F245F5"/>
    <w:rsid w:val="00F32692"/>
    <w:rsid w:val="00F34D6C"/>
    <w:rsid w:val="00F56442"/>
    <w:rsid w:val="00F75563"/>
    <w:rsid w:val="00F81ED3"/>
    <w:rsid w:val="00F82DC3"/>
    <w:rsid w:val="00FA13A1"/>
    <w:rsid w:val="00FF4913"/>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020C7"/>
  <w15:chartTrackingRefBased/>
  <w15:docId w15:val="{E5227DDF-19D1-4144-9A23-638F622D8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7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F47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47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47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47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47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47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47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47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7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F47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47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47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47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47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47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47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4738"/>
    <w:rPr>
      <w:rFonts w:eastAsiaTheme="majorEastAsia" w:cstheme="majorBidi"/>
      <w:color w:val="272727" w:themeColor="text1" w:themeTint="D8"/>
    </w:rPr>
  </w:style>
  <w:style w:type="paragraph" w:styleId="Title">
    <w:name w:val="Title"/>
    <w:basedOn w:val="Normal"/>
    <w:next w:val="Normal"/>
    <w:link w:val="TitleChar"/>
    <w:uiPriority w:val="10"/>
    <w:qFormat/>
    <w:rsid w:val="004F47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47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47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47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4738"/>
    <w:pPr>
      <w:spacing w:before="160"/>
      <w:jc w:val="center"/>
    </w:pPr>
    <w:rPr>
      <w:i/>
      <w:iCs/>
      <w:color w:val="404040" w:themeColor="text1" w:themeTint="BF"/>
    </w:rPr>
  </w:style>
  <w:style w:type="character" w:customStyle="1" w:styleId="QuoteChar">
    <w:name w:val="Quote Char"/>
    <w:basedOn w:val="DefaultParagraphFont"/>
    <w:link w:val="Quote"/>
    <w:uiPriority w:val="29"/>
    <w:rsid w:val="004F4738"/>
    <w:rPr>
      <w:i/>
      <w:iCs/>
      <w:color w:val="404040" w:themeColor="text1" w:themeTint="BF"/>
    </w:rPr>
  </w:style>
  <w:style w:type="paragraph" w:styleId="ListParagraph">
    <w:name w:val="List Paragraph"/>
    <w:basedOn w:val="Normal"/>
    <w:uiPriority w:val="34"/>
    <w:qFormat/>
    <w:rsid w:val="004F4738"/>
    <w:pPr>
      <w:ind w:left="720"/>
      <w:contextualSpacing/>
    </w:pPr>
  </w:style>
  <w:style w:type="character" w:styleId="IntenseEmphasis">
    <w:name w:val="Intense Emphasis"/>
    <w:basedOn w:val="DefaultParagraphFont"/>
    <w:uiPriority w:val="21"/>
    <w:qFormat/>
    <w:rsid w:val="004F4738"/>
    <w:rPr>
      <w:i/>
      <w:iCs/>
      <w:color w:val="0F4761" w:themeColor="accent1" w:themeShade="BF"/>
    </w:rPr>
  </w:style>
  <w:style w:type="paragraph" w:styleId="IntenseQuote">
    <w:name w:val="Intense Quote"/>
    <w:basedOn w:val="Normal"/>
    <w:next w:val="Normal"/>
    <w:link w:val="IntenseQuoteChar"/>
    <w:uiPriority w:val="30"/>
    <w:qFormat/>
    <w:rsid w:val="004F47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4738"/>
    <w:rPr>
      <w:i/>
      <w:iCs/>
      <w:color w:val="0F4761" w:themeColor="accent1" w:themeShade="BF"/>
    </w:rPr>
  </w:style>
  <w:style w:type="character" w:styleId="IntenseReference">
    <w:name w:val="Intense Reference"/>
    <w:basedOn w:val="DefaultParagraphFont"/>
    <w:uiPriority w:val="32"/>
    <w:qFormat/>
    <w:rsid w:val="004F4738"/>
    <w:rPr>
      <w:b/>
      <w:bCs/>
      <w:smallCaps/>
      <w:color w:val="0F4761" w:themeColor="accent1" w:themeShade="BF"/>
      <w:spacing w:val="5"/>
    </w:rPr>
  </w:style>
  <w:style w:type="table" w:styleId="TableGrid">
    <w:name w:val="Table Grid"/>
    <w:basedOn w:val="TableNormal"/>
    <w:uiPriority w:val="39"/>
    <w:rsid w:val="00E76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76048"/>
    <w:rPr>
      <w:b/>
      <w:bCs/>
    </w:rPr>
  </w:style>
  <w:style w:type="character" w:styleId="PlaceholderText">
    <w:name w:val="Placeholder Text"/>
    <w:basedOn w:val="DefaultParagraphFont"/>
    <w:uiPriority w:val="99"/>
    <w:semiHidden/>
    <w:rsid w:val="00450890"/>
    <w:rPr>
      <w:color w:val="666666"/>
    </w:rPr>
  </w:style>
  <w:style w:type="paragraph" w:styleId="NormalWeb">
    <w:name w:val="Normal (Web)"/>
    <w:basedOn w:val="Normal"/>
    <w:uiPriority w:val="99"/>
    <w:unhideWhenUsed/>
    <w:rsid w:val="005C5AA8"/>
    <w:pPr>
      <w:spacing w:before="100" w:beforeAutospacing="1" w:after="100" w:afterAutospacing="1" w:line="240" w:lineRule="auto"/>
    </w:pPr>
    <w:rPr>
      <w:rFonts w:ascii="Times New Roman" w:eastAsiaTheme="minorEastAsia" w:hAnsi="Times New Roman" w:cs="Times New Roman"/>
      <w:kern w:val="0"/>
      <w:lang w:eastAsia="en-ZA"/>
      <w14:ligatures w14:val="none"/>
    </w:rPr>
  </w:style>
  <w:style w:type="character" w:styleId="Hyperlink">
    <w:name w:val="Hyperlink"/>
    <w:basedOn w:val="DefaultParagraphFont"/>
    <w:uiPriority w:val="99"/>
    <w:unhideWhenUsed/>
    <w:rsid w:val="005C5AA8"/>
    <w:rPr>
      <w:color w:val="0000FF"/>
      <w:u w:val="single"/>
    </w:rPr>
  </w:style>
  <w:style w:type="character" w:styleId="FollowedHyperlink">
    <w:name w:val="FollowedHyperlink"/>
    <w:basedOn w:val="DefaultParagraphFont"/>
    <w:uiPriority w:val="99"/>
    <w:semiHidden/>
    <w:unhideWhenUsed/>
    <w:rsid w:val="005B5F42"/>
    <w:rPr>
      <w:color w:val="96607D" w:themeColor="followedHyperlink"/>
      <w:u w:val="single"/>
    </w:rPr>
  </w:style>
  <w:style w:type="paragraph" w:styleId="TOCHeading">
    <w:name w:val="TOC Heading"/>
    <w:basedOn w:val="Heading1"/>
    <w:next w:val="Normal"/>
    <w:uiPriority w:val="39"/>
    <w:unhideWhenUsed/>
    <w:qFormat/>
    <w:rsid w:val="00F81ED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A1586"/>
    <w:pPr>
      <w:spacing w:after="100"/>
    </w:pPr>
  </w:style>
  <w:style w:type="paragraph" w:styleId="TOC2">
    <w:name w:val="toc 2"/>
    <w:basedOn w:val="Normal"/>
    <w:next w:val="Normal"/>
    <w:autoRedefine/>
    <w:uiPriority w:val="39"/>
    <w:unhideWhenUsed/>
    <w:rsid w:val="00DA1586"/>
    <w:pPr>
      <w:spacing w:after="100"/>
      <w:ind w:left="240"/>
    </w:pPr>
  </w:style>
  <w:style w:type="paragraph" w:styleId="Header">
    <w:name w:val="header"/>
    <w:basedOn w:val="Normal"/>
    <w:link w:val="HeaderChar"/>
    <w:uiPriority w:val="99"/>
    <w:unhideWhenUsed/>
    <w:rsid w:val="00DA15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586"/>
  </w:style>
  <w:style w:type="paragraph" w:styleId="Footer">
    <w:name w:val="footer"/>
    <w:basedOn w:val="Normal"/>
    <w:link w:val="FooterChar"/>
    <w:uiPriority w:val="99"/>
    <w:unhideWhenUsed/>
    <w:rsid w:val="00DA15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586"/>
  </w:style>
  <w:style w:type="paragraph" w:styleId="Caption">
    <w:name w:val="caption"/>
    <w:basedOn w:val="Normal"/>
    <w:next w:val="Normal"/>
    <w:uiPriority w:val="35"/>
    <w:unhideWhenUsed/>
    <w:qFormat/>
    <w:rsid w:val="00A77734"/>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B12B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forbes.com/councils/forbestechcouncil/2025/04/03/the-acceleration-of-ai-keep-up-or-be-left-behind/" TargetMode="External"/><Relationship Id="rId18" Type="http://schemas.openxmlformats.org/officeDocument/2006/relationships/hyperlink" Target="https://docs.paloaltonetworks.com/saas-security/saas-security-inline/manage-saas-security-inline-policy/create-saas-policy-rule-recommendation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cybersecuritynews.com/ai-powered-ransomware/"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freemanclarke.com/en-gb/wp-content/uploads/sites/1/2023/10/Artificial-Intelligence-Usage-Policy.pdf"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oxjournal.org/predictive-policing-or-predictive-prejudice/" TargetMode="External"/><Relationship Id="rId20" Type="http://schemas.openxmlformats.org/officeDocument/2006/relationships/hyperlink" Target="https://nvlpubs.nist.gov/nistpubs/CSWP/NIST.CSWP.2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rontiersin.org/journals/human-dynamics/articles/10.3389/fhumd.2024.1421273/full" TargetMode="External"/><Relationship Id="rId23" Type="http://schemas.openxmlformats.org/officeDocument/2006/relationships/hyperlink" Target="https://gettrusted.io/blog/zero-trust-security-implementation-guide-for-modern-businesses-2025/" TargetMode="External"/><Relationship Id="rId10" Type="http://schemas.openxmlformats.org/officeDocument/2006/relationships/image" Target="media/image2.png"/><Relationship Id="rId19" Type="http://schemas.openxmlformats.org/officeDocument/2006/relationships/hyperlink" Target="https://www.okta.com/identity-101/byod-policy/"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ibm.com/think/topics/ai-governance" TargetMode="External"/><Relationship Id="rId22" Type="http://schemas.openxmlformats.org/officeDocument/2006/relationships/hyperlink" Target="https://www.nature.com/articles/s41598-025-20998-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05933C5C34E4C55A0090ADFF523365E"/>
        <w:category>
          <w:name w:val="General"/>
          <w:gallery w:val="placeholder"/>
        </w:category>
        <w:types>
          <w:type w:val="bbPlcHdr"/>
        </w:types>
        <w:behaviors>
          <w:behavior w:val="content"/>
        </w:behaviors>
        <w:guid w:val="{E6BDD90B-AADC-4E4D-A76D-6C43DF63CE18}"/>
      </w:docPartPr>
      <w:docPartBody>
        <w:p w:rsidR="001A40D6" w:rsidRDefault="00207BBF">
          <w:r w:rsidRPr="00A05F1A">
            <w:rPr>
              <w:rStyle w:val="PlaceholderText"/>
            </w:rPr>
            <w:t>Formatting...</w:t>
          </w:r>
        </w:p>
      </w:docPartBody>
    </w:docPart>
    <w:docPart>
      <w:docPartPr>
        <w:name w:val="7C9F181CDBD84B22AB15E14547ED3F6A"/>
        <w:category>
          <w:name w:val="General"/>
          <w:gallery w:val="placeholder"/>
        </w:category>
        <w:types>
          <w:type w:val="bbPlcHdr"/>
        </w:types>
        <w:behaviors>
          <w:behavior w:val="content"/>
        </w:behaviors>
        <w:guid w:val="{FA67B68D-9883-4677-9E0C-90A036750467}"/>
      </w:docPartPr>
      <w:docPartBody>
        <w:p w:rsidR="001A40D6" w:rsidRDefault="00207BBF">
          <w:r w:rsidRPr="00A05F1A">
            <w:rPr>
              <w:rStyle w:val="PlaceholderText"/>
            </w:rPr>
            <w:t>Formatting...</w:t>
          </w:r>
        </w:p>
      </w:docPartBody>
    </w:docPart>
    <w:docPart>
      <w:docPartPr>
        <w:name w:val="E0D2B172B35E4457B4A67E17D5630A86"/>
        <w:category>
          <w:name w:val="General"/>
          <w:gallery w:val="placeholder"/>
        </w:category>
        <w:types>
          <w:type w:val="bbPlcHdr"/>
        </w:types>
        <w:behaviors>
          <w:behavior w:val="content"/>
        </w:behaviors>
        <w:guid w:val="{1D6C52A9-5398-47E1-912D-92615DB5196D}"/>
      </w:docPartPr>
      <w:docPartBody>
        <w:p w:rsidR="001A40D6" w:rsidRDefault="00207BBF">
          <w:r w:rsidRPr="00A05F1A">
            <w:rPr>
              <w:rStyle w:val="PlaceholderText"/>
            </w:rPr>
            <w:t>Formatting...</w:t>
          </w:r>
        </w:p>
      </w:docPartBody>
    </w:docPart>
    <w:docPart>
      <w:docPartPr>
        <w:name w:val="65E82067ED9F437A82802896A2493787"/>
        <w:category>
          <w:name w:val="General"/>
          <w:gallery w:val="placeholder"/>
        </w:category>
        <w:types>
          <w:type w:val="bbPlcHdr"/>
        </w:types>
        <w:behaviors>
          <w:behavior w:val="content"/>
        </w:behaviors>
        <w:guid w:val="{4B6077FB-90F5-49BF-B014-AC8E1349E914}"/>
      </w:docPartPr>
      <w:docPartBody>
        <w:p w:rsidR="001A40D6" w:rsidRDefault="00207BBF">
          <w:r w:rsidRPr="00A05F1A">
            <w:rPr>
              <w:rStyle w:val="PlaceholderText"/>
            </w:rPr>
            <w:t>Formatting...</w:t>
          </w:r>
        </w:p>
      </w:docPartBody>
    </w:docPart>
    <w:docPart>
      <w:docPartPr>
        <w:name w:val="BAF80E25C28A44989A2A2FB2249072A6"/>
        <w:category>
          <w:name w:val="General"/>
          <w:gallery w:val="placeholder"/>
        </w:category>
        <w:types>
          <w:type w:val="bbPlcHdr"/>
        </w:types>
        <w:behaviors>
          <w:behavior w:val="content"/>
        </w:behaviors>
        <w:guid w:val="{E8AE30EF-DD1E-4339-BFD5-F1637F6C700B}"/>
      </w:docPartPr>
      <w:docPartBody>
        <w:p w:rsidR="001A40D6" w:rsidRDefault="00207BBF">
          <w:r w:rsidRPr="00A05F1A">
            <w:rPr>
              <w:rStyle w:val="PlaceholderText"/>
            </w:rPr>
            <w:t>Formatting...</w:t>
          </w:r>
        </w:p>
      </w:docPartBody>
    </w:docPart>
    <w:docPart>
      <w:docPartPr>
        <w:name w:val="00EC3996BEB04FC4BF1E2A2AAC173960"/>
        <w:category>
          <w:name w:val="General"/>
          <w:gallery w:val="placeholder"/>
        </w:category>
        <w:types>
          <w:type w:val="bbPlcHdr"/>
        </w:types>
        <w:behaviors>
          <w:behavior w:val="content"/>
        </w:behaviors>
        <w:guid w:val="{A281B81D-1111-4D73-94B7-84E3481C598B}"/>
      </w:docPartPr>
      <w:docPartBody>
        <w:p w:rsidR="001A40D6" w:rsidRDefault="00207BBF">
          <w:r w:rsidRPr="00A05F1A">
            <w:rPr>
              <w:rStyle w:val="PlaceholderText"/>
            </w:rPr>
            <w:t>Formatting...</w:t>
          </w:r>
        </w:p>
      </w:docPartBody>
    </w:docPart>
    <w:docPart>
      <w:docPartPr>
        <w:name w:val="02F7D3FDD4CD444795948239CD94214C"/>
        <w:category>
          <w:name w:val="General"/>
          <w:gallery w:val="placeholder"/>
        </w:category>
        <w:types>
          <w:type w:val="bbPlcHdr"/>
        </w:types>
        <w:behaviors>
          <w:behavior w:val="content"/>
        </w:behaviors>
        <w:guid w:val="{39663B5F-D066-4152-A99D-953347206313}"/>
      </w:docPartPr>
      <w:docPartBody>
        <w:p w:rsidR="001A40D6" w:rsidRDefault="00207BBF">
          <w:r w:rsidRPr="00A05F1A">
            <w:rPr>
              <w:rStyle w:val="PlaceholderText"/>
            </w:rPr>
            <w:t>Formatting...</w:t>
          </w:r>
        </w:p>
      </w:docPartBody>
    </w:docPart>
    <w:docPart>
      <w:docPartPr>
        <w:name w:val="1637993444B945C38A9274CBEDA1987E"/>
        <w:category>
          <w:name w:val="General"/>
          <w:gallery w:val="placeholder"/>
        </w:category>
        <w:types>
          <w:type w:val="bbPlcHdr"/>
        </w:types>
        <w:behaviors>
          <w:behavior w:val="content"/>
        </w:behaviors>
        <w:guid w:val="{4C529A36-B7A5-4C37-9FDC-977D07FE065E}"/>
      </w:docPartPr>
      <w:docPartBody>
        <w:p w:rsidR="001A40D6" w:rsidRDefault="00207BBF">
          <w:r w:rsidRPr="00A05F1A">
            <w:rPr>
              <w:rStyle w:val="PlaceholderText"/>
            </w:rPr>
            <w:t>Formatting...</w:t>
          </w:r>
        </w:p>
      </w:docPartBody>
    </w:docPart>
    <w:docPart>
      <w:docPartPr>
        <w:name w:val="C650FB37BF794E5B878D112DCC987916"/>
        <w:category>
          <w:name w:val="General"/>
          <w:gallery w:val="placeholder"/>
        </w:category>
        <w:types>
          <w:type w:val="bbPlcHdr"/>
        </w:types>
        <w:behaviors>
          <w:behavior w:val="content"/>
        </w:behaviors>
        <w:guid w:val="{419FF08D-8E02-4724-B832-ECF6C1F7E65D}"/>
      </w:docPartPr>
      <w:docPartBody>
        <w:p w:rsidR="001A40D6" w:rsidRDefault="00207BBF">
          <w:r w:rsidRPr="00A05F1A">
            <w:rPr>
              <w:rStyle w:val="PlaceholderText"/>
            </w:rPr>
            <w:t>Formatting...</w:t>
          </w:r>
        </w:p>
      </w:docPartBody>
    </w:docPart>
    <w:docPart>
      <w:docPartPr>
        <w:name w:val="5EA1A37D98534F078BDCFF45DE36D6FB"/>
        <w:category>
          <w:name w:val="General"/>
          <w:gallery w:val="placeholder"/>
        </w:category>
        <w:types>
          <w:type w:val="bbPlcHdr"/>
        </w:types>
        <w:behaviors>
          <w:behavior w:val="content"/>
        </w:behaviors>
        <w:guid w:val="{0921D446-CD9F-4061-A6BB-D2772D785C40}"/>
      </w:docPartPr>
      <w:docPartBody>
        <w:p w:rsidR="001A40D6" w:rsidRDefault="00207BBF">
          <w:r w:rsidRPr="00A05F1A">
            <w:rPr>
              <w:rStyle w:val="PlaceholderText"/>
            </w:rPr>
            <w:t>Formatting...</w:t>
          </w:r>
        </w:p>
      </w:docPartBody>
    </w:docPart>
    <w:docPart>
      <w:docPartPr>
        <w:name w:val="B8913AE1065E47E7A1CF62EEB4255709"/>
        <w:category>
          <w:name w:val="General"/>
          <w:gallery w:val="placeholder"/>
        </w:category>
        <w:types>
          <w:type w:val="bbPlcHdr"/>
        </w:types>
        <w:behaviors>
          <w:behavior w:val="content"/>
        </w:behaviors>
        <w:guid w:val="{67A40212-B917-4CDA-9451-12BA10D0DB42}"/>
      </w:docPartPr>
      <w:docPartBody>
        <w:p w:rsidR="001A40D6" w:rsidRDefault="00207BBF">
          <w:r w:rsidRPr="00A05F1A">
            <w:rPr>
              <w:rStyle w:val="PlaceholderText"/>
            </w:rPr>
            <w:t>Formatting...</w:t>
          </w:r>
        </w:p>
      </w:docPartBody>
    </w:docPart>
    <w:docPart>
      <w:docPartPr>
        <w:name w:val="99989A6499F04EA2BA975E24E60DF7D4"/>
        <w:category>
          <w:name w:val="General"/>
          <w:gallery w:val="placeholder"/>
        </w:category>
        <w:types>
          <w:type w:val="bbPlcHdr"/>
        </w:types>
        <w:behaviors>
          <w:behavior w:val="content"/>
        </w:behaviors>
        <w:guid w:val="{973BC1DB-05B1-4916-8302-7E4F8B3BAF01}"/>
      </w:docPartPr>
      <w:docPartBody>
        <w:p w:rsidR="001A40D6" w:rsidRDefault="00207BBF">
          <w:r w:rsidRPr="00A05F1A">
            <w:rPr>
              <w:rStyle w:val="PlaceholderText"/>
            </w:rPr>
            <w:t>Formatting...</w:t>
          </w:r>
        </w:p>
      </w:docPartBody>
    </w:docPart>
    <w:docPart>
      <w:docPartPr>
        <w:name w:val="250A08FD969D416BBB5EFAF2E911E23F"/>
        <w:category>
          <w:name w:val="General"/>
          <w:gallery w:val="placeholder"/>
        </w:category>
        <w:types>
          <w:type w:val="bbPlcHdr"/>
        </w:types>
        <w:behaviors>
          <w:behavior w:val="content"/>
        </w:behaviors>
        <w:guid w:val="{1CD43B3A-50D8-406D-8A2C-0C8C2138C19D}"/>
      </w:docPartPr>
      <w:docPartBody>
        <w:p w:rsidR="001A40D6" w:rsidRDefault="00207BBF">
          <w:r w:rsidRPr="00A05F1A">
            <w:rPr>
              <w:rStyle w:val="PlaceholderText"/>
            </w:rPr>
            <w:t>Formatting...</w:t>
          </w:r>
        </w:p>
      </w:docPartBody>
    </w:docPart>
    <w:docPart>
      <w:docPartPr>
        <w:name w:val="8ADDBD24F3584D938C5844F0F5DB0325"/>
        <w:category>
          <w:name w:val="General"/>
          <w:gallery w:val="placeholder"/>
        </w:category>
        <w:types>
          <w:type w:val="bbPlcHdr"/>
        </w:types>
        <w:behaviors>
          <w:behavior w:val="content"/>
        </w:behaviors>
        <w:guid w:val="{1480C1CE-2854-486B-9F31-2DFABE473E53}"/>
      </w:docPartPr>
      <w:docPartBody>
        <w:p w:rsidR="001A40D6" w:rsidRDefault="00207BBF">
          <w:r w:rsidRPr="00A05F1A">
            <w:rPr>
              <w:rStyle w:val="PlaceholderText"/>
            </w:rPr>
            <w:t>Formatting...</w:t>
          </w:r>
        </w:p>
      </w:docPartBody>
    </w:docPart>
    <w:docPart>
      <w:docPartPr>
        <w:name w:val="DDDC4C56B6564D439994CCE2C16FBA1B"/>
        <w:category>
          <w:name w:val="General"/>
          <w:gallery w:val="placeholder"/>
        </w:category>
        <w:types>
          <w:type w:val="bbPlcHdr"/>
        </w:types>
        <w:behaviors>
          <w:behavior w:val="content"/>
        </w:behaviors>
        <w:guid w:val="{7227B7FC-1DC0-4E0B-99E8-625EBB2E021B}"/>
      </w:docPartPr>
      <w:docPartBody>
        <w:p w:rsidR="001A40D6" w:rsidRDefault="00207BBF">
          <w:r w:rsidRPr="00A05F1A">
            <w:rPr>
              <w:rStyle w:val="PlaceholderText"/>
            </w:rPr>
            <w:t>Formatting...</w:t>
          </w:r>
        </w:p>
      </w:docPartBody>
    </w:docPart>
    <w:docPart>
      <w:docPartPr>
        <w:name w:val="E8E8DD1C7673468C9A66F721FBB36291"/>
        <w:category>
          <w:name w:val="General"/>
          <w:gallery w:val="placeholder"/>
        </w:category>
        <w:types>
          <w:type w:val="bbPlcHdr"/>
        </w:types>
        <w:behaviors>
          <w:behavior w:val="content"/>
        </w:behaviors>
        <w:guid w:val="{0E1F5669-A864-4CA4-830D-25376ED588B6}"/>
      </w:docPartPr>
      <w:docPartBody>
        <w:p w:rsidR="001A40D6" w:rsidRDefault="00207BBF">
          <w:r w:rsidRPr="00A05F1A">
            <w:rPr>
              <w:rStyle w:val="PlaceholderText"/>
            </w:rPr>
            <w:t>Formatting...</w:t>
          </w:r>
        </w:p>
      </w:docPartBody>
    </w:docPart>
    <w:docPart>
      <w:docPartPr>
        <w:name w:val="AB02207AF8204BB284270FBC10C86D54"/>
        <w:category>
          <w:name w:val="General"/>
          <w:gallery w:val="placeholder"/>
        </w:category>
        <w:types>
          <w:type w:val="bbPlcHdr"/>
        </w:types>
        <w:behaviors>
          <w:behavior w:val="content"/>
        </w:behaviors>
        <w:guid w:val="{4B99FA34-8E31-4CDA-9D2D-EA7149E75329}"/>
      </w:docPartPr>
      <w:docPartBody>
        <w:p w:rsidR="001A40D6" w:rsidRDefault="00207BBF">
          <w:r w:rsidRPr="00A05F1A">
            <w:rPr>
              <w:rStyle w:val="PlaceholderText"/>
            </w:rPr>
            <w:t>Formatting...</w:t>
          </w:r>
        </w:p>
      </w:docPartBody>
    </w:docPart>
    <w:docPart>
      <w:docPartPr>
        <w:name w:val="45A2B60B3DA849878E41172F9391CE77"/>
        <w:category>
          <w:name w:val="General"/>
          <w:gallery w:val="placeholder"/>
        </w:category>
        <w:types>
          <w:type w:val="bbPlcHdr"/>
        </w:types>
        <w:behaviors>
          <w:behavior w:val="content"/>
        </w:behaviors>
        <w:guid w:val="{EF9B6307-B8C1-42C6-B602-059EECA00086}"/>
      </w:docPartPr>
      <w:docPartBody>
        <w:p w:rsidR="001A40D6" w:rsidRDefault="00207BBF">
          <w:r w:rsidRPr="00A05F1A">
            <w:rPr>
              <w:rStyle w:val="PlaceholderText"/>
            </w:rPr>
            <w:t>Formatting...</w:t>
          </w:r>
        </w:p>
      </w:docPartBody>
    </w:docPart>
    <w:docPart>
      <w:docPartPr>
        <w:name w:val="ADFC81501A69429BA06DFA45BEFD5D3B"/>
        <w:category>
          <w:name w:val="General"/>
          <w:gallery w:val="placeholder"/>
        </w:category>
        <w:types>
          <w:type w:val="bbPlcHdr"/>
        </w:types>
        <w:behaviors>
          <w:behavior w:val="content"/>
        </w:behaviors>
        <w:guid w:val="{FD753AF4-6E31-4474-925C-DB6011FF3670}"/>
      </w:docPartPr>
      <w:docPartBody>
        <w:p w:rsidR="001A40D6" w:rsidRDefault="00207BBF">
          <w:r w:rsidRPr="00A05F1A">
            <w:rPr>
              <w:rStyle w:val="PlaceholderText"/>
            </w:rPr>
            <w:t>Formatting...</w:t>
          </w:r>
        </w:p>
      </w:docPartBody>
    </w:docPart>
    <w:docPart>
      <w:docPartPr>
        <w:name w:val="241ADD5DF4434523BDC2DE134994BE33"/>
        <w:category>
          <w:name w:val="General"/>
          <w:gallery w:val="placeholder"/>
        </w:category>
        <w:types>
          <w:type w:val="bbPlcHdr"/>
        </w:types>
        <w:behaviors>
          <w:behavior w:val="content"/>
        </w:behaviors>
        <w:guid w:val="{2E0A5CB2-3BAD-4DF9-8939-FA81885E9C59}"/>
      </w:docPartPr>
      <w:docPartBody>
        <w:p w:rsidR="001A40D6" w:rsidRDefault="00207BBF">
          <w:r w:rsidRPr="00A05F1A">
            <w:rPr>
              <w:rStyle w:val="PlaceholderText"/>
            </w:rPr>
            <w:t>Formatting...</w:t>
          </w:r>
        </w:p>
      </w:docPartBody>
    </w:docPart>
    <w:docPart>
      <w:docPartPr>
        <w:name w:val="09836F53EE6541008485A3B679C474DF"/>
        <w:category>
          <w:name w:val="General"/>
          <w:gallery w:val="placeholder"/>
        </w:category>
        <w:types>
          <w:type w:val="bbPlcHdr"/>
        </w:types>
        <w:behaviors>
          <w:behavior w:val="content"/>
        </w:behaviors>
        <w:guid w:val="{F42A0DCD-9827-42B6-9968-2250B5CE1B36}"/>
      </w:docPartPr>
      <w:docPartBody>
        <w:p w:rsidR="001A40D6" w:rsidRDefault="00207BBF">
          <w:r w:rsidRPr="00A05F1A">
            <w:rPr>
              <w:rStyle w:val="PlaceholderText"/>
            </w:rPr>
            <w:t>Formatting...</w:t>
          </w:r>
        </w:p>
      </w:docPartBody>
    </w:docPart>
    <w:docPart>
      <w:docPartPr>
        <w:name w:val="BD94A79CD43F49C984C2F19591F0B4BC"/>
        <w:category>
          <w:name w:val="General"/>
          <w:gallery w:val="placeholder"/>
        </w:category>
        <w:types>
          <w:type w:val="bbPlcHdr"/>
        </w:types>
        <w:behaviors>
          <w:behavior w:val="content"/>
        </w:behaviors>
        <w:guid w:val="{788E780C-160D-49D6-9F5D-BB6127EBF66E}"/>
      </w:docPartPr>
      <w:docPartBody>
        <w:p w:rsidR="001A40D6" w:rsidRDefault="00207BBF">
          <w:r w:rsidRPr="00A05F1A">
            <w:rPr>
              <w:rStyle w:val="PlaceholderText"/>
            </w:rPr>
            <w:t>Formatting...</w:t>
          </w:r>
        </w:p>
      </w:docPartBody>
    </w:docPart>
    <w:docPart>
      <w:docPartPr>
        <w:name w:val="43F33C0826FC4A51814D3FB44426D974"/>
        <w:category>
          <w:name w:val="General"/>
          <w:gallery w:val="placeholder"/>
        </w:category>
        <w:types>
          <w:type w:val="bbPlcHdr"/>
        </w:types>
        <w:behaviors>
          <w:behavior w:val="content"/>
        </w:behaviors>
        <w:guid w:val="{6E18C851-8997-4DE7-9214-86A8113A2A0F}"/>
      </w:docPartPr>
      <w:docPartBody>
        <w:p w:rsidR="001A40D6" w:rsidRDefault="00207BBF">
          <w:r w:rsidRPr="00A05F1A">
            <w:rPr>
              <w:rStyle w:val="PlaceholderText"/>
            </w:rPr>
            <w:t>Formatting...</w:t>
          </w:r>
        </w:p>
      </w:docPartBody>
    </w:docPart>
    <w:docPart>
      <w:docPartPr>
        <w:name w:val="5F3F111B0DD849E487FE3A7902F0AB22"/>
        <w:category>
          <w:name w:val="General"/>
          <w:gallery w:val="placeholder"/>
        </w:category>
        <w:types>
          <w:type w:val="bbPlcHdr"/>
        </w:types>
        <w:behaviors>
          <w:behavior w:val="content"/>
        </w:behaviors>
        <w:guid w:val="{5FADC358-7EA5-48B8-A0DB-6C0B00CB7BF0}"/>
      </w:docPartPr>
      <w:docPartBody>
        <w:p w:rsidR="001A40D6" w:rsidRDefault="00207BBF">
          <w:r w:rsidRPr="00A05F1A">
            <w:rPr>
              <w:rStyle w:val="PlaceholderText"/>
            </w:rPr>
            <w:t>Formatting...</w:t>
          </w:r>
        </w:p>
      </w:docPartBody>
    </w:docPart>
    <w:docPart>
      <w:docPartPr>
        <w:name w:val="0B1FBA0188BA40CA820260E4679BFB5A"/>
        <w:category>
          <w:name w:val="General"/>
          <w:gallery w:val="placeholder"/>
        </w:category>
        <w:types>
          <w:type w:val="bbPlcHdr"/>
        </w:types>
        <w:behaviors>
          <w:behavior w:val="content"/>
        </w:behaviors>
        <w:guid w:val="{7DC42A22-4C91-4D08-8D2D-AE75D45619C9}"/>
      </w:docPartPr>
      <w:docPartBody>
        <w:p w:rsidR="001A40D6" w:rsidRDefault="00207BBF">
          <w:r w:rsidRPr="00A05F1A">
            <w:rPr>
              <w:rStyle w:val="PlaceholderText"/>
            </w:rPr>
            <w:t>Formatting...</w:t>
          </w:r>
        </w:p>
      </w:docPartBody>
    </w:docPart>
    <w:docPart>
      <w:docPartPr>
        <w:name w:val="2AFB97597D7240F7B69FFB342F495709"/>
        <w:category>
          <w:name w:val="General"/>
          <w:gallery w:val="placeholder"/>
        </w:category>
        <w:types>
          <w:type w:val="bbPlcHdr"/>
        </w:types>
        <w:behaviors>
          <w:behavior w:val="content"/>
        </w:behaviors>
        <w:guid w:val="{2A72FAC6-C803-4BB6-B8BE-F77FDE7806A2}"/>
      </w:docPartPr>
      <w:docPartBody>
        <w:p w:rsidR="001A40D6" w:rsidRDefault="00207BBF">
          <w:r w:rsidRPr="00A05F1A">
            <w:rPr>
              <w:rStyle w:val="PlaceholderText"/>
            </w:rPr>
            <w:t>Formatting...</w:t>
          </w:r>
        </w:p>
      </w:docPartBody>
    </w:docPart>
    <w:docPart>
      <w:docPartPr>
        <w:name w:val="5A493E210BFF441582FB7FDB3FF734BA"/>
        <w:category>
          <w:name w:val="General"/>
          <w:gallery w:val="placeholder"/>
        </w:category>
        <w:types>
          <w:type w:val="bbPlcHdr"/>
        </w:types>
        <w:behaviors>
          <w:behavior w:val="content"/>
        </w:behaviors>
        <w:guid w:val="{5D33E9F0-D017-4C17-85B6-7281160B0065}"/>
      </w:docPartPr>
      <w:docPartBody>
        <w:p w:rsidR="001A40D6" w:rsidRDefault="00207BBF">
          <w:r w:rsidRPr="00A05F1A">
            <w:rPr>
              <w:rStyle w:val="PlaceholderText"/>
            </w:rPr>
            <w:t>Formatting...</w:t>
          </w:r>
        </w:p>
      </w:docPartBody>
    </w:docPart>
    <w:docPart>
      <w:docPartPr>
        <w:name w:val="9400DDF88DBA4BFEB22B0386894D6F33"/>
        <w:category>
          <w:name w:val="General"/>
          <w:gallery w:val="placeholder"/>
        </w:category>
        <w:types>
          <w:type w:val="bbPlcHdr"/>
        </w:types>
        <w:behaviors>
          <w:behavior w:val="content"/>
        </w:behaviors>
        <w:guid w:val="{443FC8CC-BD45-4D14-B918-53D5F348C18C}"/>
      </w:docPartPr>
      <w:docPartBody>
        <w:p w:rsidR="001A40D6" w:rsidRDefault="00207BBF">
          <w:r w:rsidRPr="00A05F1A">
            <w:rPr>
              <w:rStyle w:val="PlaceholderText"/>
            </w:rPr>
            <w:t>Formatting...</w:t>
          </w:r>
        </w:p>
      </w:docPartBody>
    </w:docPart>
    <w:docPart>
      <w:docPartPr>
        <w:name w:val="9817CAF3FBA34D03A738F3137B227A8D"/>
        <w:category>
          <w:name w:val="General"/>
          <w:gallery w:val="placeholder"/>
        </w:category>
        <w:types>
          <w:type w:val="bbPlcHdr"/>
        </w:types>
        <w:behaviors>
          <w:behavior w:val="content"/>
        </w:behaviors>
        <w:guid w:val="{A854F830-6B8B-4BA5-BD16-CCC824A7CB44}"/>
      </w:docPartPr>
      <w:docPartBody>
        <w:p w:rsidR="001A40D6" w:rsidRDefault="00207BBF">
          <w:r w:rsidRPr="00A05F1A">
            <w:rPr>
              <w:rStyle w:val="PlaceholderText"/>
            </w:rPr>
            <w:t>Formatting...</w:t>
          </w:r>
        </w:p>
      </w:docPartBody>
    </w:docPart>
    <w:docPart>
      <w:docPartPr>
        <w:name w:val="9CF6E3CC0E8446DBA777A118C16909BB"/>
        <w:category>
          <w:name w:val="General"/>
          <w:gallery w:val="placeholder"/>
        </w:category>
        <w:types>
          <w:type w:val="bbPlcHdr"/>
        </w:types>
        <w:behaviors>
          <w:behavior w:val="content"/>
        </w:behaviors>
        <w:guid w:val="{A028F30D-DBF4-41E8-8B2B-7CE90A4A6D19}"/>
      </w:docPartPr>
      <w:docPartBody>
        <w:p w:rsidR="001A40D6" w:rsidRDefault="00207BBF" w:rsidP="00207BBF">
          <w:pPr>
            <w:pStyle w:val="9CF6E3CC0E8446DBA777A118C16909BB"/>
          </w:pPr>
          <w:r w:rsidRPr="00A05F1A">
            <w:rPr>
              <w:rStyle w:val="PlaceholderText"/>
            </w:rPr>
            <w:t>Formatting...</w:t>
          </w:r>
        </w:p>
      </w:docPartBody>
    </w:docPart>
    <w:docPart>
      <w:docPartPr>
        <w:name w:val="8E1F08817CF640F4B940FBCF5AD9E794"/>
        <w:category>
          <w:name w:val="General"/>
          <w:gallery w:val="placeholder"/>
        </w:category>
        <w:types>
          <w:type w:val="bbPlcHdr"/>
        </w:types>
        <w:behaviors>
          <w:behavior w:val="content"/>
        </w:behaviors>
        <w:guid w:val="{8E363639-76B8-4157-A3A5-22E49CDCFB41}"/>
      </w:docPartPr>
      <w:docPartBody>
        <w:p w:rsidR="001A40D6" w:rsidRDefault="00207BBF" w:rsidP="00207BBF">
          <w:pPr>
            <w:pStyle w:val="8E1F08817CF640F4B940FBCF5AD9E794"/>
          </w:pPr>
          <w:r w:rsidRPr="00A05F1A">
            <w:rPr>
              <w:rStyle w:val="PlaceholderText"/>
            </w:rPr>
            <w:t>Formatting...</w:t>
          </w:r>
        </w:p>
      </w:docPartBody>
    </w:docPart>
    <w:docPart>
      <w:docPartPr>
        <w:name w:val="4C8060F831344735952F09457BE6778C"/>
        <w:category>
          <w:name w:val="General"/>
          <w:gallery w:val="placeholder"/>
        </w:category>
        <w:types>
          <w:type w:val="bbPlcHdr"/>
        </w:types>
        <w:behaviors>
          <w:behavior w:val="content"/>
        </w:behaviors>
        <w:guid w:val="{C5D367EF-2237-4BE5-B2B5-981864CFF863}"/>
      </w:docPartPr>
      <w:docPartBody>
        <w:p w:rsidR="001A40D6" w:rsidRDefault="00207BBF" w:rsidP="00207BBF">
          <w:pPr>
            <w:pStyle w:val="4C8060F831344735952F09457BE6778C"/>
          </w:pPr>
          <w:r w:rsidRPr="00A05F1A">
            <w:rPr>
              <w:rStyle w:val="PlaceholderText"/>
            </w:rPr>
            <w:t>Formatting...</w:t>
          </w:r>
        </w:p>
      </w:docPartBody>
    </w:docPart>
    <w:docPart>
      <w:docPartPr>
        <w:name w:val="C3410AD0A77F453D951BB0A7F7CD0FA2"/>
        <w:category>
          <w:name w:val="General"/>
          <w:gallery w:val="placeholder"/>
        </w:category>
        <w:types>
          <w:type w:val="bbPlcHdr"/>
        </w:types>
        <w:behaviors>
          <w:behavior w:val="content"/>
        </w:behaviors>
        <w:guid w:val="{89059C72-2B12-489D-9F70-4C9E607BBB3E}"/>
      </w:docPartPr>
      <w:docPartBody>
        <w:p w:rsidR="001A40D6" w:rsidRDefault="00207BBF" w:rsidP="00207BBF">
          <w:pPr>
            <w:pStyle w:val="C3410AD0A77F453D951BB0A7F7CD0FA2"/>
          </w:pPr>
          <w:r w:rsidRPr="00A05F1A">
            <w:rPr>
              <w:rStyle w:val="PlaceholderText"/>
            </w:rPr>
            <w:t>Formatting...</w:t>
          </w:r>
        </w:p>
      </w:docPartBody>
    </w:docPart>
    <w:docPart>
      <w:docPartPr>
        <w:name w:val="73795167A2664AD48E62CC0DEEFE95E5"/>
        <w:category>
          <w:name w:val="General"/>
          <w:gallery w:val="placeholder"/>
        </w:category>
        <w:types>
          <w:type w:val="bbPlcHdr"/>
        </w:types>
        <w:behaviors>
          <w:behavior w:val="content"/>
        </w:behaviors>
        <w:guid w:val="{0D89BA2C-8D9C-4BCD-A7F2-221B8E1423F7}"/>
      </w:docPartPr>
      <w:docPartBody>
        <w:p w:rsidR="001A40D6" w:rsidRDefault="00207BBF" w:rsidP="00207BBF">
          <w:pPr>
            <w:pStyle w:val="73795167A2664AD48E62CC0DEEFE95E5"/>
          </w:pPr>
          <w:r w:rsidRPr="00A05F1A">
            <w:rPr>
              <w:rStyle w:val="PlaceholderText"/>
            </w:rPr>
            <w:t>Formatting...</w:t>
          </w:r>
        </w:p>
      </w:docPartBody>
    </w:docPart>
    <w:docPart>
      <w:docPartPr>
        <w:name w:val="B225DB1045204EE9887811B4265E6650"/>
        <w:category>
          <w:name w:val="General"/>
          <w:gallery w:val="placeholder"/>
        </w:category>
        <w:types>
          <w:type w:val="bbPlcHdr"/>
        </w:types>
        <w:behaviors>
          <w:behavior w:val="content"/>
        </w:behaviors>
        <w:guid w:val="{3284B782-BAE2-4A48-9558-D75D3C031508}"/>
      </w:docPartPr>
      <w:docPartBody>
        <w:p w:rsidR="001A40D6" w:rsidRDefault="00207BBF" w:rsidP="00207BBF">
          <w:pPr>
            <w:pStyle w:val="B225DB1045204EE9887811B4265E6650"/>
          </w:pPr>
          <w:r w:rsidRPr="00A05F1A">
            <w:rPr>
              <w:rStyle w:val="PlaceholderText"/>
            </w:rPr>
            <w:t>Formatting...</w:t>
          </w:r>
        </w:p>
      </w:docPartBody>
    </w:docPart>
    <w:docPart>
      <w:docPartPr>
        <w:name w:val="1863F90EC7A84B129641C3025E1F01E0"/>
        <w:category>
          <w:name w:val="General"/>
          <w:gallery w:val="placeholder"/>
        </w:category>
        <w:types>
          <w:type w:val="bbPlcHdr"/>
        </w:types>
        <w:behaviors>
          <w:behavior w:val="content"/>
        </w:behaviors>
        <w:guid w:val="{D200C662-2E36-46CB-B866-7C02986CA292}"/>
      </w:docPartPr>
      <w:docPartBody>
        <w:p w:rsidR="001A40D6" w:rsidRDefault="00207BBF" w:rsidP="00207BBF">
          <w:pPr>
            <w:pStyle w:val="1863F90EC7A84B129641C3025E1F01E0"/>
          </w:pPr>
          <w:r w:rsidRPr="00A05F1A">
            <w:rPr>
              <w:rStyle w:val="PlaceholderText"/>
            </w:rPr>
            <w:t>Formatting...</w:t>
          </w:r>
        </w:p>
      </w:docPartBody>
    </w:docPart>
    <w:docPart>
      <w:docPartPr>
        <w:name w:val="8EBCB64485E24E8CA9DB4E7E9C9D626C"/>
        <w:category>
          <w:name w:val="General"/>
          <w:gallery w:val="placeholder"/>
        </w:category>
        <w:types>
          <w:type w:val="bbPlcHdr"/>
        </w:types>
        <w:behaviors>
          <w:behavior w:val="content"/>
        </w:behaviors>
        <w:guid w:val="{1A9C344D-04AA-4F6C-9355-3B4D5D27F1B3}"/>
      </w:docPartPr>
      <w:docPartBody>
        <w:p w:rsidR="001A40D6" w:rsidRDefault="00207BBF" w:rsidP="00207BBF">
          <w:pPr>
            <w:pStyle w:val="8EBCB64485E24E8CA9DB4E7E9C9D626C"/>
          </w:pPr>
          <w:r w:rsidRPr="00A05F1A">
            <w:rPr>
              <w:rStyle w:val="PlaceholderText"/>
            </w:rPr>
            <w:t>Formatting...</w:t>
          </w:r>
        </w:p>
      </w:docPartBody>
    </w:docPart>
    <w:docPart>
      <w:docPartPr>
        <w:name w:val="54A9FB8B367147E8B23F3EBDCACB25BB"/>
        <w:category>
          <w:name w:val="General"/>
          <w:gallery w:val="placeholder"/>
        </w:category>
        <w:types>
          <w:type w:val="bbPlcHdr"/>
        </w:types>
        <w:behaviors>
          <w:behavior w:val="content"/>
        </w:behaviors>
        <w:guid w:val="{8B016E7A-927A-4A7D-B7C4-2883DCB67607}"/>
      </w:docPartPr>
      <w:docPartBody>
        <w:p w:rsidR="001A40D6" w:rsidRDefault="00207BBF" w:rsidP="00207BBF">
          <w:pPr>
            <w:pStyle w:val="54A9FB8B367147E8B23F3EBDCACB25BB"/>
          </w:pPr>
          <w:r w:rsidRPr="00A05F1A">
            <w:rPr>
              <w:rStyle w:val="PlaceholderText"/>
            </w:rPr>
            <w:t>Formatting...</w:t>
          </w:r>
        </w:p>
      </w:docPartBody>
    </w:docPart>
    <w:docPart>
      <w:docPartPr>
        <w:name w:val="8577F5477985437680CE7390F076202E"/>
        <w:category>
          <w:name w:val="General"/>
          <w:gallery w:val="placeholder"/>
        </w:category>
        <w:types>
          <w:type w:val="bbPlcHdr"/>
        </w:types>
        <w:behaviors>
          <w:behavior w:val="content"/>
        </w:behaviors>
        <w:guid w:val="{63548B7E-1562-49BB-9BF3-416B367976ED}"/>
      </w:docPartPr>
      <w:docPartBody>
        <w:p w:rsidR="001A40D6" w:rsidRDefault="00207BBF" w:rsidP="00207BBF">
          <w:pPr>
            <w:pStyle w:val="8577F5477985437680CE7390F076202E"/>
          </w:pPr>
          <w:r w:rsidRPr="00A05F1A">
            <w:rPr>
              <w:rStyle w:val="PlaceholderText"/>
            </w:rPr>
            <w:t>Formatting...</w:t>
          </w:r>
        </w:p>
      </w:docPartBody>
    </w:docPart>
    <w:docPart>
      <w:docPartPr>
        <w:name w:val="62D8C6CB1C1F4F9EA91820674AFE7555"/>
        <w:category>
          <w:name w:val="General"/>
          <w:gallery w:val="placeholder"/>
        </w:category>
        <w:types>
          <w:type w:val="bbPlcHdr"/>
        </w:types>
        <w:behaviors>
          <w:behavior w:val="content"/>
        </w:behaviors>
        <w:guid w:val="{67F6E046-C5CD-435C-B56E-B2AB7B60301C}"/>
      </w:docPartPr>
      <w:docPartBody>
        <w:p w:rsidR="001A40D6" w:rsidRDefault="00207BBF" w:rsidP="00207BBF">
          <w:pPr>
            <w:pStyle w:val="62D8C6CB1C1F4F9EA91820674AFE7555"/>
          </w:pPr>
          <w:r w:rsidRPr="00A05F1A">
            <w:rPr>
              <w:rStyle w:val="PlaceholderText"/>
            </w:rPr>
            <w:t>Formatting...</w:t>
          </w:r>
        </w:p>
      </w:docPartBody>
    </w:docPart>
    <w:docPart>
      <w:docPartPr>
        <w:name w:val="6DE650BEACA946C481389FB104A4119C"/>
        <w:category>
          <w:name w:val="General"/>
          <w:gallery w:val="placeholder"/>
        </w:category>
        <w:types>
          <w:type w:val="bbPlcHdr"/>
        </w:types>
        <w:behaviors>
          <w:behavior w:val="content"/>
        </w:behaviors>
        <w:guid w:val="{E45BC2D0-3780-4901-B0E9-722420D60CF2}"/>
      </w:docPartPr>
      <w:docPartBody>
        <w:p w:rsidR="001A40D6" w:rsidRDefault="00207BBF" w:rsidP="00207BBF">
          <w:pPr>
            <w:pStyle w:val="6DE650BEACA946C481389FB104A4119C"/>
          </w:pPr>
          <w:r w:rsidRPr="00A05F1A">
            <w:rPr>
              <w:rStyle w:val="PlaceholderText"/>
            </w:rPr>
            <w:t>Formatting...</w:t>
          </w:r>
        </w:p>
      </w:docPartBody>
    </w:docPart>
    <w:docPart>
      <w:docPartPr>
        <w:name w:val="D07BB1F306714C77B3017F47707C6EF7"/>
        <w:category>
          <w:name w:val="General"/>
          <w:gallery w:val="placeholder"/>
        </w:category>
        <w:types>
          <w:type w:val="bbPlcHdr"/>
        </w:types>
        <w:behaviors>
          <w:behavior w:val="content"/>
        </w:behaviors>
        <w:guid w:val="{4DF3FD19-8645-444A-B956-61858CE7512B}"/>
      </w:docPartPr>
      <w:docPartBody>
        <w:p w:rsidR="001A40D6" w:rsidRDefault="00207BBF" w:rsidP="00207BBF">
          <w:pPr>
            <w:pStyle w:val="D07BB1F306714C77B3017F47707C6EF7"/>
          </w:pPr>
          <w:r w:rsidRPr="00A05F1A">
            <w:rPr>
              <w:rStyle w:val="PlaceholderText"/>
            </w:rPr>
            <w:t>Formatting...</w:t>
          </w:r>
        </w:p>
      </w:docPartBody>
    </w:docPart>
    <w:docPart>
      <w:docPartPr>
        <w:name w:val="AAC491237E4C43A2AC936A9C112C07C2"/>
        <w:category>
          <w:name w:val="General"/>
          <w:gallery w:val="placeholder"/>
        </w:category>
        <w:types>
          <w:type w:val="bbPlcHdr"/>
        </w:types>
        <w:behaviors>
          <w:behavior w:val="content"/>
        </w:behaviors>
        <w:guid w:val="{F9450EAE-051A-42D0-9D68-E1F9F723FE0C}"/>
      </w:docPartPr>
      <w:docPartBody>
        <w:p w:rsidR="001A40D6" w:rsidRDefault="00207BBF" w:rsidP="00207BBF">
          <w:pPr>
            <w:pStyle w:val="AAC491237E4C43A2AC936A9C112C07C2"/>
          </w:pPr>
          <w:r w:rsidRPr="00A05F1A">
            <w:rPr>
              <w:rStyle w:val="PlaceholderText"/>
            </w:rPr>
            <w:t>Formatting...</w:t>
          </w:r>
        </w:p>
      </w:docPartBody>
    </w:docPart>
    <w:docPart>
      <w:docPartPr>
        <w:name w:val="503B7BB1A3D14750A27F54DE05467653"/>
        <w:category>
          <w:name w:val="General"/>
          <w:gallery w:val="placeholder"/>
        </w:category>
        <w:types>
          <w:type w:val="bbPlcHdr"/>
        </w:types>
        <w:behaviors>
          <w:behavior w:val="content"/>
        </w:behaviors>
        <w:guid w:val="{69EE4CCB-C4C6-43C1-95B9-ACEEA4F00DCD}"/>
      </w:docPartPr>
      <w:docPartBody>
        <w:p w:rsidR="001A40D6" w:rsidRDefault="00207BBF" w:rsidP="00207BBF">
          <w:pPr>
            <w:pStyle w:val="503B7BB1A3D14750A27F54DE05467653"/>
          </w:pPr>
          <w:r w:rsidRPr="00A05F1A">
            <w:rPr>
              <w:rStyle w:val="PlaceholderText"/>
            </w:rPr>
            <w:t>Formatting...</w:t>
          </w:r>
        </w:p>
      </w:docPartBody>
    </w:docPart>
    <w:docPart>
      <w:docPartPr>
        <w:name w:val="127900DDD6D342198D19DEFDC6634935"/>
        <w:category>
          <w:name w:val="General"/>
          <w:gallery w:val="placeholder"/>
        </w:category>
        <w:types>
          <w:type w:val="bbPlcHdr"/>
        </w:types>
        <w:behaviors>
          <w:behavior w:val="content"/>
        </w:behaviors>
        <w:guid w:val="{3A13041E-DACD-4AAE-BDBF-546B67AB6312}"/>
      </w:docPartPr>
      <w:docPartBody>
        <w:p w:rsidR="001A40D6" w:rsidRDefault="00207BBF" w:rsidP="00207BBF">
          <w:pPr>
            <w:pStyle w:val="127900DDD6D342198D19DEFDC6634935"/>
          </w:pPr>
          <w:r w:rsidRPr="00A05F1A">
            <w:rPr>
              <w:rStyle w:val="PlaceholderText"/>
            </w:rPr>
            <w:t>Formatting...</w:t>
          </w:r>
        </w:p>
      </w:docPartBody>
    </w:docPart>
    <w:docPart>
      <w:docPartPr>
        <w:name w:val="30A3D7A7528642C297825FFE2B8097AC"/>
        <w:category>
          <w:name w:val="General"/>
          <w:gallery w:val="placeholder"/>
        </w:category>
        <w:types>
          <w:type w:val="bbPlcHdr"/>
        </w:types>
        <w:behaviors>
          <w:behavior w:val="content"/>
        </w:behaviors>
        <w:guid w:val="{5A80E24E-B88F-48CA-91FE-29DDBBBECCB8}"/>
      </w:docPartPr>
      <w:docPartBody>
        <w:p w:rsidR="001A40D6" w:rsidRDefault="00207BBF" w:rsidP="00207BBF">
          <w:pPr>
            <w:pStyle w:val="30A3D7A7528642C297825FFE2B8097AC"/>
          </w:pPr>
          <w:r w:rsidRPr="00A05F1A">
            <w:rPr>
              <w:rStyle w:val="PlaceholderText"/>
            </w:rPr>
            <w:t>Formatting...</w:t>
          </w:r>
        </w:p>
      </w:docPartBody>
    </w:docPart>
    <w:docPart>
      <w:docPartPr>
        <w:name w:val="0C05FE1D363B4153A4DDFB48C0A7DE4D"/>
        <w:category>
          <w:name w:val="General"/>
          <w:gallery w:val="placeholder"/>
        </w:category>
        <w:types>
          <w:type w:val="bbPlcHdr"/>
        </w:types>
        <w:behaviors>
          <w:behavior w:val="content"/>
        </w:behaviors>
        <w:guid w:val="{0695AA1C-D4E9-4F00-A6F5-47C221C0F031}"/>
      </w:docPartPr>
      <w:docPartBody>
        <w:p w:rsidR="001A40D6" w:rsidRDefault="00207BBF" w:rsidP="00207BBF">
          <w:pPr>
            <w:pStyle w:val="0C05FE1D363B4153A4DDFB48C0A7DE4D"/>
          </w:pPr>
          <w:r w:rsidRPr="00A05F1A">
            <w:rPr>
              <w:rStyle w:val="PlaceholderText"/>
            </w:rPr>
            <w:t>Formatting...</w:t>
          </w:r>
        </w:p>
      </w:docPartBody>
    </w:docPart>
    <w:docPart>
      <w:docPartPr>
        <w:name w:val="6F1CD573B0004342811E01202132503E"/>
        <w:category>
          <w:name w:val="General"/>
          <w:gallery w:val="placeholder"/>
        </w:category>
        <w:types>
          <w:type w:val="bbPlcHdr"/>
        </w:types>
        <w:behaviors>
          <w:behavior w:val="content"/>
        </w:behaviors>
        <w:guid w:val="{FC07F964-C1C1-4006-A458-A4F4B85A787D}"/>
      </w:docPartPr>
      <w:docPartBody>
        <w:p w:rsidR="001A40D6" w:rsidRDefault="00207BBF" w:rsidP="00207BBF">
          <w:pPr>
            <w:pStyle w:val="6F1CD573B0004342811E01202132503E"/>
          </w:pPr>
          <w:r w:rsidRPr="00A05F1A">
            <w:rPr>
              <w:rStyle w:val="PlaceholderText"/>
            </w:rPr>
            <w:t>Formatting...</w:t>
          </w:r>
        </w:p>
      </w:docPartBody>
    </w:docPart>
    <w:docPart>
      <w:docPartPr>
        <w:name w:val="9C14804B955B4AA18D9CE81723CC0C9A"/>
        <w:category>
          <w:name w:val="General"/>
          <w:gallery w:val="placeholder"/>
        </w:category>
        <w:types>
          <w:type w:val="bbPlcHdr"/>
        </w:types>
        <w:behaviors>
          <w:behavior w:val="content"/>
        </w:behaviors>
        <w:guid w:val="{8D58DEA0-B650-4B13-9511-874B8BC5DB0B}"/>
      </w:docPartPr>
      <w:docPartBody>
        <w:p w:rsidR="001A40D6" w:rsidRDefault="00207BBF" w:rsidP="00207BBF">
          <w:pPr>
            <w:pStyle w:val="9C14804B955B4AA18D9CE81723CC0C9A"/>
          </w:pPr>
          <w:r w:rsidRPr="00A05F1A">
            <w:rPr>
              <w:rStyle w:val="PlaceholderText"/>
            </w:rPr>
            <w:t>Formatting...</w:t>
          </w:r>
        </w:p>
      </w:docPartBody>
    </w:docPart>
    <w:docPart>
      <w:docPartPr>
        <w:name w:val="3AB42D34B46A40EDA4A65526DB8875E6"/>
        <w:category>
          <w:name w:val="General"/>
          <w:gallery w:val="placeholder"/>
        </w:category>
        <w:types>
          <w:type w:val="bbPlcHdr"/>
        </w:types>
        <w:behaviors>
          <w:behavior w:val="content"/>
        </w:behaviors>
        <w:guid w:val="{10FAE362-EA7B-4361-AB66-3282AB40D957}"/>
      </w:docPartPr>
      <w:docPartBody>
        <w:p w:rsidR="001A40D6" w:rsidRDefault="00207BBF" w:rsidP="00207BBF">
          <w:pPr>
            <w:pStyle w:val="3AB42D34B46A40EDA4A65526DB8875E6"/>
          </w:pPr>
          <w:r w:rsidRPr="00A05F1A">
            <w:rPr>
              <w:rStyle w:val="PlaceholderText"/>
            </w:rPr>
            <w:t>Formatting...</w:t>
          </w:r>
        </w:p>
      </w:docPartBody>
    </w:docPart>
    <w:docPart>
      <w:docPartPr>
        <w:name w:val="FB98D360D7A84AFE9BFC4E262F1B0744"/>
        <w:category>
          <w:name w:val="General"/>
          <w:gallery w:val="placeholder"/>
        </w:category>
        <w:types>
          <w:type w:val="bbPlcHdr"/>
        </w:types>
        <w:behaviors>
          <w:behavior w:val="content"/>
        </w:behaviors>
        <w:guid w:val="{0296D486-39E8-455B-A824-18F135D9BAD5}"/>
      </w:docPartPr>
      <w:docPartBody>
        <w:p w:rsidR="001A40D6" w:rsidRDefault="00207BBF" w:rsidP="00207BBF">
          <w:pPr>
            <w:pStyle w:val="FB98D360D7A84AFE9BFC4E262F1B0744"/>
          </w:pPr>
          <w:r w:rsidRPr="00A05F1A">
            <w:rPr>
              <w:rStyle w:val="PlaceholderText"/>
            </w:rPr>
            <w:t>Formatting...</w:t>
          </w:r>
        </w:p>
      </w:docPartBody>
    </w:docPart>
    <w:docPart>
      <w:docPartPr>
        <w:name w:val="31C37C4E65EB463FB0C15EA3A15A6C31"/>
        <w:category>
          <w:name w:val="General"/>
          <w:gallery w:val="placeholder"/>
        </w:category>
        <w:types>
          <w:type w:val="bbPlcHdr"/>
        </w:types>
        <w:behaviors>
          <w:behavior w:val="content"/>
        </w:behaviors>
        <w:guid w:val="{A475212D-2A09-4E85-A0CB-CB519CFF8DDF}"/>
      </w:docPartPr>
      <w:docPartBody>
        <w:p w:rsidR="001A40D6" w:rsidRDefault="00207BBF" w:rsidP="00207BBF">
          <w:pPr>
            <w:pStyle w:val="31C37C4E65EB463FB0C15EA3A15A6C31"/>
          </w:pPr>
          <w:r w:rsidRPr="00A05F1A">
            <w:rPr>
              <w:rStyle w:val="PlaceholderText"/>
            </w:rPr>
            <w:t>Formatting...</w:t>
          </w:r>
        </w:p>
      </w:docPartBody>
    </w:docPart>
    <w:docPart>
      <w:docPartPr>
        <w:name w:val="1C19C4A1828E421884F3461052CE773E"/>
        <w:category>
          <w:name w:val="General"/>
          <w:gallery w:val="placeholder"/>
        </w:category>
        <w:types>
          <w:type w:val="bbPlcHdr"/>
        </w:types>
        <w:behaviors>
          <w:behavior w:val="content"/>
        </w:behaviors>
        <w:guid w:val="{B39B9ACA-D76A-4CA4-94A9-BD98E4D98D56}"/>
      </w:docPartPr>
      <w:docPartBody>
        <w:p w:rsidR="001A40D6" w:rsidRDefault="00207BBF" w:rsidP="00207BBF">
          <w:pPr>
            <w:pStyle w:val="1C19C4A1828E421884F3461052CE773E"/>
          </w:pPr>
          <w:r w:rsidRPr="00A05F1A">
            <w:rPr>
              <w:rStyle w:val="PlaceholderText"/>
            </w:rPr>
            <w:t>Formatting...</w:t>
          </w:r>
        </w:p>
      </w:docPartBody>
    </w:docPart>
    <w:docPart>
      <w:docPartPr>
        <w:name w:val="0C82F8D057D849D7B34FC70029455CF8"/>
        <w:category>
          <w:name w:val="General"/>
          <w:gallery w:val="placeholder"/>
        </w:category>
        <w:types>
          <w:type w:val="bbPlcHdr"/>
        </w:types>
        <w:behaviors>
          <w:behavior w:val="content"/>
        </w:behaviors>
        <w:guid w:val="{730F3515-BBFC-4D9D-A54A-DAE82466791A}"/>
      </w:docPartPr>
      <w:docPartBody>
        <w:p w:rsidR="001A40D6" w:rsidRDefault="00207BBF" w:rsidP="00207BBF">
          <w:pPr>
            <w:pStyle w:val="0C82F8D057D849D7B34FC70029455CF8"/>
          </w:pPr>
          <w:r w:rsidRPr="00A05F1A">
            <w:rPr>
              <w:rStyle w:val="PlaceholderText"/>
            </w:rPr>
            <w:t>Formatting...</w:t>
          </w:r>
        </w:p>
      </w:docPartBody>
    </w:docPart>
    <w:docPart>
      <w:docPartPr>
        <w:name w:val="E4657357904549829E2402CFE2258926"/>
        <w:category>
          <w:name w:val="General"/>
          <w:gallery w:val="placeholder"/>
        </w:category>
        <w:types>
          <w:type w:val="bbPlcHdr"/>
        </w:types>
        <w:behaviors>
          <w:behavior w:val="content"/>
        </w:behaviors>
        <w:guid w:val="{762EA0C0-42BB-46A9-ABA5-CCF50DE78530}"/>
      </w:docPartPr>
      <w:docPartBody>
        <w:p w:rsidR="001A40D6" w:rsidRDefault="00207BBF" w:rsidP="00207BBF">
          <w:pPr>
            <w:pStyle w:val="E4657357904549829E2402CFE2258926"/>
          </w:pPr>
          <w:r w:rsidRPr="00A05F1A">
            <w:rPr>
              <w:rStyle w:val="PlaceholderText"/>
            </w:rPr>
            <w:t>Formatting...</w:t>
          </w:r>
        </w:p>
      </w:docPartBody>
    </w:docPart>
    <w:docPart>
      <w:docPartPr>
        <w:name w:val="9CCD03073F43479FADF3C14C0F2B5D67"/>
        <w:category>
          <w:name w:val="General"/>
          <w:gallery w:val="placeholder"/>
        </w:category>
        <w:types>
          <w:type w:val="bbPlcHdr"/>
        </w:types>
        <w:behaviors>
          <w:behavior w:val="content"/>
        </w:behaviors>
        <w:guid w:val="{77E6977B-5283-4D71-9D0C-6AA855FE47C9}"/>
      </w:docPartPr>
      <w:docPartBody>
        <w:p w:rsidR="001A40D6" w:rsidRDefault="00207BBF" w:rsidP="00207BBF">
          <w:pPr>
            <w:pStyle w:val="9CCD03073F43479FADF3C14C0F2B5D67"/>
          </w:pPr>
          <w:r w:rsidRPr="00A05F1A">
            <w:rPr>
              <w:rStyle w:val="PlaceholderText"/>
            </w:rPr>
            <w:t>Formatting...</w:t>
          </w:r>
        </w:p>
      </w:docPartBody>
    </w:docPart>
    <w:docPart>
      <w:docPartPr>
        <w:name w:val="4359592A204943B391FF37F9F0FE0EBE"/>
        <w:category>
          <w:name w:val="General"/>
          <w:gallery w:val="placeholder"/>
        </w:category>
        <w:types>
          <w:type w:val="bbPlcHdr"/>
        </w:types>
        <w:behaviors>
          <w:behavior w:val="content"/>
        </w:behaviors>
        <w:guid w:val="{DB175DA1-B6E0-4EB6-AF5D-9BBF36269BBD}"/>
      </w:docPartPr>
      <w:docPartBody>
        <w:p w:rsidR="001A40D6" w:rsidRDefault="00207BBF" w:rsidP="00207BBF">
          <w:pPr>
            <w:pStyle w:val="4359592A204943B391FF37F9F0FE0EBE"/>
          </w:pPr>
          <w:r w:rsidRPr="00A05F1A">
            <w:rPr>
              <w:rStyle w:val="PlaceholderText"/>
            </w:rPr>
            <w:t>Formatting...</w:t>
          </w:r>
        </w:p>
      </w:docPartBody>
    </w:docPart>
    <w:docPart>
      <w:docPartPr>
        <w:name w:val="3965AF9BDBDB413E9BE5C03F33F0ED9D"/>
        <w:category>
          <w:name w:val="General"/>
          <w:gallery w:val="placeholder"/>
        </w:category>
        <w:types>
          <w:type w:val="bbPlcHdr"/>
        </w:types>
        <w:behaviors>
          <w:behavior w:val="content"/>
        </w:behaviors>
        <w:guid w:val="{C0F9CD6A-8A6B-4268-BB94-4EAC9E019F7B}"/>
      </w:docPartPr>
      <w:docPartBody>
        <w:p w:rsidR="001A40D6" w:rsidRDefault="00207BBF" w:rsidP="00207BBF">
          <w:pPr>
            <w:pStyle w:val="3965AF9BDBDB413E9BE5C03F33F0ED9D"/>
          </w:pPr>
          <w:r w:rsidRPr="00A05F1A">
            <w:rPr>
              <w:rStyle w:val="PlaceholderText"/>
            </w:rPr>
            <w:t>Formatting...</w:t>
          </w:r>
        </w:p>
      </w:docPartBody>
    </w:docPart>
    <w:docPart>
      <w:docPartPr>
        <w:name w:val="A178F1530FDC4C85907A0D0B10CBACC4"/>
        <w:category>
          <w:name w:val="General"/>
          <w:gallery w:val="placeholder"/>
        </w:category>
        <w:types>
          <w:type w:val="bbPlcHdr"/>
        </w:types>
        <w:behaviors>
          <w:behavior w:val="content"/>
        </w:behaviors>
        <w:guid w:val="{A8938D56-4D24-47C1-BA2D-51CFE6A250DB}"/>
      </w:docPartPr>
      <w:docPartBody>
        <w:p w:rsidR="001A40D6" w:rsidRDefault="00207BBF" w:rsidP="00207BBF">
          <w:pPr>
            <w:pStyle w:val="A178F1530FDC4C85907A0D0B10CBACC4"/>
          </w:pPr>
          <w:r w:rsidRPr="00A05F1A">
            <w:rPr>
              <w:rStyle w:val="PlaceholderText"/>
            </w:rPr>
            <w:t>Formatting...</w:t>
          </w:r>
        </w:p>
      </w:docPartBody>
    </w:docPart>
    <w:docPart>
      <w:docPartPr>
        <w:name w:val="7C3E34FC8DE94C83A5DE8C8C3CB97192"/>
        <w:category>
          <w:name w:val="General"/>
          <w:gallery w:val="placeholder"/>
        </w:category>
        <w:types>
          <w:type w:val="bbPlcHdr"/>
        </w:types>
        <w:behaviors>
          <w:behavior w:val="content"/>
        </w:behaviors>
        <w:guid w:val="{8F013B0D-C1BB-4B0B-8263-98529AE1D387}"/>
      </w:docPartPr>
      <w:docPartBody>
        <w:p w:rsidR="001A40D6" w:rsidRDefault="00207BBF" w:rsidP="00207BBF">
          <w:pPr>
            <w:pStyle w:val="7C3E34FC8DE94C83A5DE8C8C3CB97192"/>
          </w:pPr>
          <w:r w:rsidRPr="00A05F1A">
            <w:rPr>
              <w:rStyle w:val="PlaceholderText"/>
            </w:rPr>
            <w:t>Formatting...</w:t>
          </w:r>
        </w:p>
      </w:docPartBody>
    </w:docPart>
    <w:docPart>
      <w:docPartPr>
        <w:name w:val="7C9C2BDF1CA1484AA3233D8BE8C87A47"/>
        <w:category>
          <w:name w:val="General"/>
          <w:gallery w:val="placeholder"/>
        </w:category>
        <w:types>
          <w:type w:val="bbPlcHdr"/>
        </w:types>
        <w:behaviors>
          <w:behavior w:val="content"/>
        </w:behaviors>
        <w:guid w:val="{A1E03F3F-1D2A-4948-8BCC-817AEE755CEC}"/>
      </w:docPartPr>
      <w:docPartBody>
        <w:p w:rsidR="001A40D6" w:rsidRDefault="00207BBF" w:rsidP="00207BBF">
          <w:pPr>
            <w:pStyle w:val="7C9C2BDF1CA1484AA3233D8BE8C87A47"/>
          </w:pPr>
          <w:r w:rsidRPr="00A05F1A">
            <w:rPr>
              <w:rStyle w:val="PlaceholderText"/>
            </w:rPr>
            <w:t>Formatting...</w:t>
          </w:r>
        </w:p>
      </w:docPartBody>
    </w:docPart>
    <w:docPart>
      <w:docPartPr>
        <w:name w:val="B4C10DDD591441E29BC52ED609B00E25"/>
        <w:category>
          <w:name w:val="General"/>
          <w:gallery w:val="placeholder"/>
        </w:category>
        <w:types>
          <w:type w:val="bbPlcHdr"/>
        </w:types>
        <w:behaviors>
          <w:behavior w:val="content"/>
        </w:behaviors>
        <w:guid w:val="{1BE619EC-02F5-4D13-8C41-04E67B86DBCE}"/>
      </w:docPartPr>
      <w:docPartBody>
        <w:p w:rsidR="001A40D6" w:rsidRDefault="00207BBF" w:rsidP="00207BBF">
          <w:pPr>
            <w:pStyle w:val="B4C10DDD591441E29BC52ED609B00E25"/>
          </w:pPr>
          <w:r w:rsidRPr="00A05F1A">
            <w:rPr>
              <w:rStyle w:val="PlaceholderText"/>
            </w:rPr>
            <w:t>Formatting...</w:t>
          </w:r>
        </w:p>
      </w:docPartBody>
    </w:docPart>
    <w:docPart>
      <w:docPartPr>
        <w:name w:val="34B596EEC39E4EE99764665F134DE150"/>
        <w:category>
          <w:name w:val="General"/>
          <w:gallery w:val="placeholder"/>
        </w:category>
        <w:types>
          <w:type w:val="bbPlcHdr"/>
        </w:types>
        <w:behaviors>
          <w:behavior w:val="content"/>
        </w:behaviors>
        <w:guid w:val="{89297606-687E-4B57-9134-1D816AA25277}"/>
      </w:docPartPr>
      <w:docPartBody>
        <w:p w:rsidR="001A40D6" w:rsidRDefault="00207BBF" w:rsidP="00207BBF">
          <w:pPr>
            <w:pStyle w:val="34B596EEC39E4EE99764665F134DE150"/>
          </w:pPr>
          <w:r w:rsidRPr="00A05F1A">
            <w:rPr>
              <w:rStyle w:val="PlaceholderText"/>
            </w:rPr>
            <w:t>Formatting...</w:t>
          </w:r>
        </w:p>
      </w:docPartBody>
    </w:docPart>
    <w:docPart>
      <w:docPartPr>
        <w:name w:val="D5A0601BDCEC4A338391A43A6D871A94"/>
        <w:category>
          <w:name w:val="General"/>
          <w:gallery w:val="placeholder"/>
        </w:category>
        <w:types>
          <w:type w:val="bbPlcHdr"/>
        </w:types>
        <w:behaviors>
          <w:behavior w:val="content"/>
        </w:behaviors>
        <w:guid w:val="{7DFD8BE4-1DCC-40FB-AA8B-777421DADCEA}"/>
      </w:docPartPr>
      <w:docPartBody>
        <w:p w:rsidR="001A40D6" w:rsidRDefault="00207BBF" w:rsidP="00207BBF">
          <w:pPr>
            <w:pStyle w:val="D5A0601BDCEC4A338391A43A6D871A94"/>
          </w:pPr>
          <w:r w:rsidRPr="00A05F1A">
            <w:rPr>
              <w:rStyle w:val="PlaceholderText"/>
            </w:rPr>
            <w:t>Formatting...</w:t>
          </w:r>
        </w:p>
      </w:docPartBody>
    </w:docPart>
    <w:docPart>
      <w:docPartPr>
        <w:name w:val="EDE273CCA71E41C59F9B201C1AB21ACB"/>
        <w:category>
          <w:name w:val="General"/>
          <w:gallery w:val="placeholder"/>
        </w:category>
        <w:types>
          <w:type w:val="bbPlcHdr"/>
        </w:types>
        <w:behaviors>
          <w:behavior w:val="content"/>
        </w:behaviors>
        <w:guid w:val="{3780AC5E-1020-47EE-A68B-FF3A30F2534A}"/>
      </w:docPartPr>
      <w:docPartBody>
        <w:p w:rsidR="001A40D6" w:rsidRDefault="00207BBF" w:rsidP="00207BBF">
          <w:pPr>
            <w:pStyle w:val="EDE273CCA71E41C59F9B201C1AB21ACB"/>
          </w:pPr>
          <w:r w:rsidRPr="00A05F1A">
            <w:rPr>
              <w:rStyle w:val="PlaceholderText"/>
            </w:rPr>
            <w:t>Formatting...</w:t>
          </w:r>
        </w:p>
      </w:docPartBody>
    </w:docPart>
    <w:docPart>
      <w:docPartPr>
        <w:name w:val="DF526B0D0F7B4661ACB22BA2F7543AF3"/>
        <w:category>
          <w:name w:val="General"/>
          <w:gallery w:val="placeholder"/>
        </w:category>
        <w:types>
          <w:type w:val="bbPlcHdr"/>
        </w:types>
        <w:behaviors>
          <w:behavior w:val="content"/>
        </w:behaviors>
        <w:guid w:val="{FE774D29-8837-4D49-A560-AE292BDCA9C5}"/>
      </w:docPartPr>
      <w:docPartBody>
        <w:p w:rsidR="001A40D6" w:rsidRDefault="00207BBF" w:rsidP="00207BBF">
          <w:pPr>
            <w:pStyle w:val="DF526B0D0F7B4661ACB22BA2F7543AF3"/>
          </w:pPr>
          <w:r w:rsidRPr="00A05F1A">
            <w:rPr>
              <w:rStyle w:val="PlaceholderText"/>
            </w:rPr>
            <w:t>Formatting...</w:t>
          </w:r>
        </w:p>
      </w:docPartBody>
    </w:docPart>
    <w:docPart>
      <w:docPartPr>
        <w:name w:val="422EBFC7440D4770B082832363ECAC8B"/>
        <w:category>
          <w:name w:val="General"/>
          <w:gallery w:val="placeholder"/>
        </w:category>
        <w:types>
          <w:type w:val="bbPlcHdr"/>
        </w:types>
        <w:behaviors>
          <w:behavior w:val="content"/>
        </w:behaviors>
        <w:guid w:val="{202FB8D2-8231-41E3-B65F-1344FF7EE9D3}"/>
      </w:docPartPr>
      <w:docPartBody>
        <w:p w:rsidR="001A40D6" w:rsidRDefault="00207BBF" w:rsidP="00207BBF">
          <w:pPr>
            <w:pStyle w:val="422EBFC7440D4770B082832363ECAC8B"/>
          </w:pPr>
          <w:r w:rsidRPr="00A05F1A">
            <w:rPr>
              <w:rStyle w:val="PlaceholderText"/>
            </w:rPr>
            <w:t>Formatting...</w:t>
          </w:r>
        </w:p>
      </w:docPartBody>
    </w:docPart>
    <w:docPart>
      <w:docPartPr>
        <w:name w:val="E02A498D44CF47E8A4526B7ADD9F64F6"/>
        <w:category>
          <w:name w:val="General"/>
          <w:gallery w:val="placeholder"/>
        </w:category>
        <w:types>
          <w:type w:val="bbPlcHdr"/>
        </w:types>
        <w:behaviors>
          <w:behavior w:val="content"/>
        </w:behaviors>
        <w:guid w:val="{DE602944-AA8B-4A4E-A28E-2FEB1279FDC4}"/>
      </w:docPartPr>
      <w:docPartBody>
        <w:p w:rsidR="001A40D6" w:rsidRDefault="00207BBF" w:rsidP="00207BBF">
          <w:pPr>
            <w:pStyle w:val="E02A498D44CF47E8A4526B7ADD9F64F6"/>
          </w:pPr>
          <w:r w:rsidRPr="00A05F1A">
            <w:rPr>
              <w:rStyle w:val="PlaceholderText"/>
            </w:rPr>
            <w:t>Formatting...</w:t>
          </w:r>
        </w:p>
      </w:docPartBody>
    </w:docPart>
    <w:docPart>
      <w:docPartPr>
        <w:name w:val="4A4EB8A57679440BA8144A4F784781BB"/>
        <w:category>
          <w:name w:val="General"/>
          <w:gallery w:val="placeholder"/>
        </w:category>
        <w:types>
          <w:type w:val="bbPlcHdr"/>
        </w:types>
        <w:behaviors>
          <w:behavior w:val="content"/>
        </w:behaviors>
        <w:guid w:val="{E555D484-BCF7-4DCE-A7CC-B4D6BE27BDD2}"/>
      </w:docPartPr>
      <w:docPartBody>
        <w:p w:rsidR="001A40D6" w:rsidRDefault="00207BBF" w:rsidP="00207BBF">
          <w:pPr>
            <w:pStyle w:val="4A4EB8A57679440BA8144A4F784781BB"/>
          </w:pPr>
          <w:r w:rsidRPr="00A05F1A">
            <w:rPr>
              <w:rStyle w:val="PlaceholderText"/>
            </w:rPr>
            <w:t>Formatting...</w:t>
          </w:r>
        </w:p>
      </w:docPartBody>
    </w:docPart>
    <w:docPart>
      <w:docPartPr>
        <w:name w:val="5A205F3B6B16411788225963C07444F1"/>
        <w:category>
          <w:name w:val="General"/>
          <w:gallery w:val="placeholder"/>
        </w:category>
        <w:types>
          <w:type w:val="bbPlcHdr"/>
        </w:types>
        <w:behaviors>
          <w:behavior w:val="content"/>
        </w:behaviors>
        <w:guid w:val="{9D75479C-2605-416B-955C-6059EB251A20}"/>
      </w:docPartPr>
      <w:docPartBody>
        <w:p w:rsidR="001A40D6" w:rsidRDefault="00207BBF">
          <w:r w:rsidRPr="00A05F1A">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BBF"/>
    <w:rsid w:val="00012D47"/>
    <w:rsid w:val="0002387B"/>
    <w:rsid w:val="001A40D6"/>
    <w:rsid w:val="00207BBF"/>
    <w:rsid w:val="007759F6"/>
    <w:rsid w:val="009B7528"/>
    <w:rsid w:val="00E55D0D"/>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ZA" w:eastAsia="en-Z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07BBF"/>
    <w:rPr>
      <w:color w:val="666666"/>
    </w:rPr>
  </w:style>
  <w:style w:type="paragraph" w:customStyle="1" w:styleId="9CF6E3CC0E8446DBA777A118C16909BB">
    <w:name w:val="9CF6E3CC0E8446DBA777A118C16909BB"/>
    <w:rsid w:val="00207BBF"/>
  </w:style>
  <w:style w:type="paragraph" w:customStyle="1" w:styleId="8E1F08817CF640F4B940FBCF5AD9E794">
    <w:name w:val="8E1F08817CF640F4B940FBCF5AD9E794"/>
    <w:rsid w:val="00207BBF"/>
  </w:style>
  <w:style w:type="paragraph" w:customStyle="1" w:styleId="4C8060F831344735952F09457BE6778C">
    <w:name w:val="4C8060F831344735952F09457BE6778C"/>
    <w:rsid w:val="00207BBF"/>
  </w:style>
  <w:style w:type="paragraph" w:customStyle="1" w:styleId="C3410AD0A77F453D951BB0A7F7CD0FA2">
    <w:name w:val="C3410AD0A77F453D951BB0A7F7CD0FA2"/>
    <w:rsid w:val="00207BBF"/>
  </w:style>
  <w:style w:type="paragraph" w:customStyle="1" w:styleId="73795167A2664AD48E62CC0DEEFE95E5">
    <w:name w:val="73795167A2664AD48E62CC0DEEFE95E5"/>
    <w:rsid w:val="00207BBF"/>
  </w:style>
  <w:style w:type="paragraph" w:customStyle="1" w:styleId="B225DB1045204EE9887811B4265E6650">
    <w:name w:val="B225DB1045204EE9887811B4265E6650"/>
    <w:rsid w:val="00207BBF"/>
  </w:style>
  <w:style w:type="paragraph" w:customStyle="1" w:styleId="1863F90EC7A84B129641C3025E1F01E0">
    <w:name w:val="1863F90EC7A84B129641C3025E1F01E0"/>
    <w:rsid w:val="00207BBF"/>
  </w:style>
  <w:style w:type="paragraph" w:customStyle="1" w:styleId="8EBCB64485E24E8CA9DB4E7E9C9D626C">
    <w:name w:val="8EBCB64485E24E8CA9DB4E7E9C9D626C"/>
    <w:rsid w:val="00207BBF"/>
  </w:style>
  <w:style w:type="paragraph" w:customStyle="1" w:styleId="54A9FB8B367147E8B23F3EBDCACB25BB">
    <w:name w:val="54A9FB8B367147E8B23F3EBDCACB25BB"/>
    <w:rsid w:val="00207BBF"/>
  </w:style>
  <w:style w:type="paragraph" w:customStyle="1" w:styleId="8577F5477985437680CE7390F076202E">
    <w:name w:val="8577F5477985437680CE7390F076202E"/>
    <w:rsid w:val="00207BBF"/>
  </w:style>
  <w:style w:type="paragraph" w:customStyle="1" w:styleId="62D8C6CB1C1F4F9EA91820674AFE7555">
    <w:name w:val="62D8C6CB1C1F4F9EA91820674AFE7555"/>
    <w:rsid w:val="00207BBF"/>
  </w:style>
  <w:style w:type="paragraph" w:customStyle="1" w:styleId="6DE650BEACA946C481389FB104A4119C">
    <w:name w:val="6DE650BEACA946C481389FB104A4119C"/>
    <w:rsid w:val="00207BBF"/>
  </w:style>
  <w:style w:type="paragraph" w:customStyle="1" w:styleId="D07BB1F306714C77B3017F47707C6EF7">
    <w:name w:val="D07BB1F306714C77B3017F47707C6EF7"/>
    <w:rsid w:val="00207BBF"/>
  </w:style>
  <w:style w:type="paragraph" w:customStyle="1" w:styleId="AAC491237E4C43A2AC936A9C112C07C2">
    <w:name w:val="AAC491237E4C43A2AC936A9C112C07C2"/>
    <w:rsid w:val="00207BBF"/>
  </w:style>
  <w:style w:type="paragraph" w:customStyle="1" w:styleId="503B7BB1A3D14750A27F54DE05467653">
    <w:name w:val="503B7BB1A3D14750A27F54DE05467653"/>
    <w:rsid w:val="00207BBF"/>
  </w:style>
  <w:style w:type="paragraph" w:customStyle="1" w:styleId="127900DDD6D342198D19DEFDC6634935">
    <w:name w:val="127900DDD6D342198D19DEFDC6634935"/>
    <w:rsid w:val="00207BBF"/>
  </w:style>
  <w:style w:type="paragraph" w:customStyle="1" w:styleId="30A3D7A7528642C297825FFE2B8097AC">
    <w:name w:val="30A3D7A7528642C297825FFE2B8097AC"/>
    <w:rsid w:val="00207BBF"/>
  </w:style>
  <w:style w:type="paragraph" w:customStyle="1" w:styleId="0C05FE1D363B4153A4DDFB48C0A7DE4D">
    <w:name w:val="0C05FE1D363B4153A4DDFB48C0A7DE4D"/>
    <w:rsid w:val="00207BBF"/>
  </w:style>
  <w:style w:type="paragraph" w:customStyle="1" w:styleId="6F1CD573B0004342811E01202132503E">
    <w:name w:val="6F1CD573B0004342811E01202132503E"/>
    <w:rsid w:val="00207BBF"/>
  </w:style>
  <w:style w:type="paragraph" w:customStyle="1" w:styleId="9C14804B955B4AA18D9CE81723CC0C9A">
    <w:name w:val="9C14804B955B4AA18D9CE81723CC0C9A"/>
    <w:rsid w:val="00207BBF"/>
  </w:style>
  <w:style w:type="paragraph" w:customStyle="1" w:styleId="3AB42D34B46A40EDA4A65526DB8875E6">
    <w:name w:val="3AB42D34B46A40EDA4A65526DB8875E6"/>
    <w:rsid w:val="00207BBF"/>
  </w:style>
  <w:style w:type="paragraph" w:customStyle="1" w:styleId="FB98D360D7A84AFE9BFC4E262F1B0744">
    <w:name w:val="FB98D360D7A84AFE9BFC4E262F1B0744"/>
    <w:rsid w:val="00207BBF"/>
  </w:style>
  <w:style w:type="paragraph" w:customStyle="1" w:styleId="31C37C4E65EB463FB0C15EA3A15A6C31">
    <w:name w:val="31C37C4E65EB463FB0C15EA3A15A6C31"/>
    <w:rsid w:val="00207BBF"/>
  </w:style>
  <w:style w:type="paragraph" w:customStyle="1" w:styleId="1C19C4A1828E421884F3461052CE773E">
    <w:name w:val="1C19C4A1828E421884F3461052CE773E"/>
    <w:rsid w:val="00207BBF"/>
  </w:style>
  <w:style w:type="paragraph" w:customStyle="1" w:styleId="0C82F8D057D849D7B34FC70029455CF8">
    <w:name w:val="0C82F8D057D849D7B34FC70029455CF8"/>
    <w:rsid w:val="00207BBF"/>
  </w:style>
  <w:style w:type="paragraph" w:customStyle="1" w:styleId="E4657357904549829E2402CFE2258926">
    <w:name w:val="E4657357904549829E2402CFE2258926"/>
    <w:rsid w:val="00207BBF"/>
  </w:style>
  <w:style w:type="paragraph" w:customStyle="1" w:styleId="9CCD03073F43479FADF3C14C0F2B5D67">
    <w:name w:val="9CCD03073F43479FADF3C14C0F2B5D67"/>
    <w:rsid w:val="00207BBF"/>
  </w:style>
  <w:style w:type="paragraph" w:customStyle="1" w:styleId="4359592A204943B391FF37F9F0FE0EBE">
    <w:name w:val="4359592A204943B391FF37F9F0FE0EBE"/>
    <w:rsid w:val="00207BBF"/>
  </w:style>
  <w:style w:type="paragraph" w:customStyle="1" w:styleId="3965AF9BDBDB413E9BE5C03F33F0ED9D">
    <w:name w:val="3965AF9BDBDB413E9BE5C03F33F0ED9D"/>
    <w:rsid w:val="00207BBF"/>
  </w:style>
  <w:style w:type="paragraph" w:customStyle="1" w:styleId="A178F1530FDC4C85907A0D0B10CBACC4">
    <w:name w:val="A178F1530FDC4C85907A0D0B10CBACC4"/>
    <w:rsid w:val="00207BBF"/>
  </w:style>
  <w:style w:type="paragraph" w:customStyle="1" w:styleId="7C3E34FC8DE94C83A5DE8C8C3CB97192">
    <w:name w:val="7C3E34FC8DE94C83A5DE8C8C3CB97192"/>
    <w:rsid w:val="00207BBF"/>
  </w:style>
  <w:style w:type="paragraph" w:customStyle="1" w:styleId="7C9C2BDF1CA1484AA3233D8BE8C87A47">
    <w:name w:val="7C9C2BDF1CA1484AA3233D8BE8C87A47"/>
    <w:rsid w:val="00207BBF"/>
  </w:style>
  <w:style w:type="paragraph" w:customStyle="1" w:styleId="B4C10DDD591441E29BC52ED609B00E25">
    <w:name w:val="B4C10DDD591441E29BC52ED609B00E25"/>
    <w:rsid w:val="00207BBF"/>
  </w:style>
  <w:style w:type="paragraph" w:customStyle="1" w:styleId="34B596EEC39E4EE99764665F134DE150">
    <w:name w:val="34B596EEC39E4EE99764665F134DE150"/>
    <w:rsid w:val="00207BBF"/>
  </w:style>
  <w:style w:type="paragraph" w:customStyle="1" w:styleId="D5A0601BDCEC4A338391A43A6D871A94">
    <w:name w:val="D5A0601BDCEC4A338391A43A6D871A94"/>
    <w:rsid w:val="00207BBF"/>
  </w:style>
  <w:style w:type="paragraph" w:customStyle="1" w:styleId="EDE273CCA71E41C59F9B201C1AB21ACB">
    <w:name w:val="EDE273CCA71E41C59F9B201C1AB21ACB"/>
    <w:rsid w:val="00207BBF"/>
  </w:style>
  <w:style w:type="paragraph" w:customStyle="1" w:styleId="DF526B0D0F7B4661ACB22BA2F7543AF3">
    <w:name w:val="DF526B0D0F7B4661ACB22BA2F7543AF3"/>
    <w:rsid w:val="00207BBF"/>
  </w:style>
  <w:style w:type="paragraph" w:customStyle="1" w:styleId="422EBFC7440D4770B082832363ECAC8B">
    <w:name w:val="422EBFC7440D4770B082832363ECAC8B"/>
    <w:rsid w:val="00207BBF"/>
  </w:style>
  <w:style w:type="paragraph" w:customStyle="1" w:styleId="E02A498D44CF47E8A4526B7ADD9F64F6">
    <w:name w:val="E02A498D44CF47E8A4526B7ADD9F64F6"/>
    <w:rsid w:val="00207BBF"/>
  </w:style>
  <w:style w:type="paragraph" w:customStyle="1" w:styleId="4A4EB8A57679440BA8144A4F784781BB">
    <w:name w:val="4A4EB8A57679440BA8144A4F784781BB"/>
    <w:rsid w:val="00207B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553D5C8-42B3-4967-9730-CA34A055189C}">
  <we:reference id="WA200007520" version="3.0.0.0" store="Omex" storeType="OMEX"/>
  <we:alternateReferences>
    <we:reference id="WA200007520" version="3.0.0.0" store="WA200007520" storeType="OMEX"/>
  </we:alternateReferences>
  <we:properties>
    <we:property name="bibliographyEnabled" value="&quot;bibliographyEnabled&quot;"/>
    <we:property name="citations" value="{&quot;10117943&quot;:{&quot;referencesIds&quot;:[&quot;doc:695a37c6ad4d4b6c15ca432d&quot;],&quot;referencesOptions&quot;:{&quot;doc:695a37c6ad4d4b6c15ca43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17943,&quot;citationText&quot;:&quot;&lt;span style=\&quot;font-family:Aptos;font-size:16px;color:#000000\&quot;&gt;[21]&lt;/span&gt;&quot;},&quot;19679994&quot;:{&quot;referencesIds&quot;:[&quot;doc:6957c56990689d25615c3e8c&quot;],&quot;referencesOptions&quot;:{&quot;doc:6957c56990689d25615c3e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79994,&quot;citationText&quot;:&quot;&lt;span style=\&quot;font-family:Aptos;font-size:16px;color:#000000\&quot;&gt;[10]&lt;/span&gt;&quot;},&quot;51129118&quot;:{&quot;referencesIds&quot;:[&quot;doc:6959333418640b6bad494b2a&quot;],&quot;referencesOptions&quot;:{&quot;doc:6959333418640b6bad494b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129118,&quot;citationText&quot;:&quot;&lt;span style=\&quot;font-family:Aptos;font-size:16px;color:#000000\&quot;&gt;[16]&lt;/span&gt;&quot;},&quot;113878132&quot;:{&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878132,&quot;citationText&quot;:&quot;&lt;span style=\&quot;font-family:Aptos;font-size:16px;color:#000000\&quot;&gt;[6]&lt;/span&gt;&quot;},&quot;147026358&quot;:{&quot;referencesIds&quot;:[&quot;doc:6956b629ad4d4b6c15ca0e9d&quot;],&quot;referencesOptions&quot;:{&quot;doc:6956b629ad4d4b6c15ca0e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026358,&quot;citationText&quot;:&quot;&lt;span style=\&quot;font-family:Aptos;font-size:16px;color:#000000\&quot;&gt;[4]&lt;/span&gt;&quot;},&quot;147873148&quot;:{&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873148,&quot;citationText&quot;:&quot;&lt;span style=\&quot;font-family:Aptos;font-size:16px;color:#000000\&quot;&gt;[6]&lt;/span&gt;&quot;},&quot;176317496&quot;:{&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17496,&quot;citationText&quot;:&quot;&lt;span style=\&quot;font-family:Aptos;font-size:16px;color:#000000\&quot;&gt;[6]&lt;/span&gt;&quot;},&quot;182409071&quot;:{&quot;referencesIds&quot;:[&quot;doc:69592174a6457b6d86367e87&quot;],&quot;referencesOptions&quot;:{&quot;doc:69592174a6457b6d86367e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409071,&quot;citationText&quot;:&quot;&lt;span style=\&quot;font-family:Aptos;font-size:16px;color:#000000\&quot;&gt;[12]&lt;/span&gt;&quot;},&quot;297346153&quot;:{&quot;referencesIds&quot;:[&quot;doc:6957c56990689d25615c3e8c&quot;],&quot;referencesOptions&quot;:{&quot;doc:6957c56990689d25615c3e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7346153,&quot;citationText&quot;:&quot;&lt;span style=\&quot;font-family:Aptos;font-size:16px;color:#000000\&quot;&gt;[10]&lt;/span&gt;&quot;},&quot;395167545&quot;:{&quot;referencesIds&quot;:[&quot;doc:6956b629ad4d4b6c15ca0e9d&quot;],&quot;referencesOptions&quot;:{&quot;doc:6956b629ad4d4b6c15ca0e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5167545,&quot;citationText&quot;:&quot;&lt;span style=\&quot;font-family:Aptos;font-size:16px;color:#000000\&quot;&gt;[4]&lt;/span&gt;&quot;},&quot;493144868&quot;:{&quot;referencesIds&quot;:[&quot;doc:6959333418640b6bad494b2a&quot;],&quot;referencesOptions&quot;:{&quot;doc:6959333418640b6bad494b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144868,&quot;citationText&quot;:&quot;&lt;span style=\&quot;font-family:Aptos;font-size:16px;color:#000000\&quot;&gt;[16]&lt;/span&gt;&quot;},&quot;540484317&quot;:{&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0484317,&quot;citationText&quot;:&quot;&lt;span style=\&quot;font-family:Aptos;font-size:16px;color:#000000\&quot;&gt;[6]&lt;/span&gt;&quot;},&quot;608091036&quot;:{&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8091036,&quot;citationText&quot;:&quot;&lt;span style=\&quot;font-family:Aptos;font-size:16px;color:#000000\&quot;&gt;[9]&lt;/span&gt;&quot;},&quot;652108344&quot;:{&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2108344,&quot;citationText&quot;:&quot;&lt;span style=\&quot;font-family:Aptos;font-size:16px;color:#000000\&quot;&gt;[17]&lt;/span&gt;&quot;},&quot;816999573&quot;:{&quot;referencesIds&quot;:[&quot;doc:695798eea6457b6d86366e90&quot;],&quot;referencesOptions&quot;:{&quot;doc:695798eea6457b6d86366e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6999573,&quot;citationText&quot;:&quot;&lt;span style=\&quot;font-family:Aptos;font-size:16px;color:#000000\&quot;&gt;[8]&lt;/span&gt;&quot;},&quot;935324738&quot;:{&quot;referencesIds&quot;:[&quot;doc:6957c56990689d25615c3e8c&quot;],&quot;referencesOptions&quot;:{&quot;doc:6957c56990689d25615c3e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5324738,&quot;citationText&quot;:&quot;&lt;span style=\&quot;font-family:Aptos;font-size:16px;color:#000000\&quot;&gt;[10]&lt;/span&gt;&quot;},&quot;975560324&quot;:{&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5560324,&quot;citationText&quot;:&quot;&lt;span style=\&quot;font-family:Aptos;font-size:16px;color:#000000\&quot;&gt;[17]&lt;/span&gt;&quot;},&quot;985514971&quot;:{&quot;referencesIds&quot;:[&quot;doc:6957918201559f087b3f3cb8&quot;],&quot;referencesOptions&quot;:{&quot;doc:6957918201559f087b3f3c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5514971,&quot;citationText&quot;:&quot;&lt;span style=\&quot;font-family:Aptos;font-size:16px;color:#000000\&quot;&gt;[5]&lt;/span&gt;&quot;},&quot;992984049&quot;:{&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984049,&quot;citationText&quot;:&quot;&lt;span style=\&quot;font-family:Aptos;font-size:16px;color:#000000\&quot;&gt;[9]&lt;/span&gt;&quot;},&quot;1004858943&quot;:{&quot;referencesIds&quot;:[&quot;doc:695941658bfbef24f2d990cf&quot;],&quot;referencesOptions&quot;:{&quot;doc:695941658bfbef24f2d990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4858943,&quot;citationText&quot;:&quot;&lt;span style=\&quot;font-family:Aptos;font-size:16px;color:#000000\&quot;&gt;[19]&lt;/span&gt;&quot;},&quot;1018200367&quot;:{&quot;referencesIds&quot;:[&quot;doc:6959a52ee7d01521dcb96f9d&quot;],&quot;referencesOptions&quot;:{&quot;doc:6959a52ee7d01521dcb96f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8200367,&quot;citationText&quot;:&quot;&lt;span style=\&quot;font-family:Aptos;font-size:16px;color:#000000\&quot;&gt;[15]&lt;/span&gt;&quot;},&quot;1084948473&quot;:{&quot;referencesIds&quot;:[&quot;doc:6957918201559f087b3f3cb8&quot;],&quot;referencesOptions&quot;:{&quot;doc:6957918201559f087b3f3c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4948473,&quot;citationText&quot;:&quot;&lt;span style=\&quot;font-family:Aptos;font-size:16px;color:#000000\&quot;&gt;[5]&lt;/span&gt;&quot;},&quot;1156342113&quot;:{&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6342113,&quot;citationText&quot;:&quot;&lt;span style=\&quot;font-family:Aptos;font-size:16px;color:#000000\&quot;&gt;[17]&lt;/span&gt;&quot;},&quot;1185946111&quot;:{&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5946111,&quot;citationText&quot;:&quot;&lt;span style=\&quot;font-family:Aptos;font-size:16px;color:#000000\&quot;&gt;[6]&lt;/span&gt;&quot;},&quot;1279535574&quot;:{&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535574,&quot;citationText&quot;:&quot;&lt;span style=\&quot;font-family:Aptos;font-size:16px;color:#000000\&quot;&gt;[9]&lt;/span&gt;&quot;},&quot;1285078743&quot;:{&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5078743,&quot;citationText&quot;:&quot;&lt;span style=\&quot;font-family:Aptos;font-size:16px;color:#000000\&quot;&gt;[6]&lt;/span&gt;&quot;},&quot;1420830774&quot;:{&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0830774,&quot;citationText&quot;:&quot;&lt;span style=\&quot;font-family:Aptos;font-size:16px;color:#000000\&quot;&gt;[17]&lt;/span&gt;&quot;},&quot;1610313012&quot;:{&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0313012,&quot;citationText&quot;:&quot;&lt;span style=\&quot;font-family:Aptos;font-size:16px;color:#000000\&quot;&gt;[9]&lt;/span&gt;&quot;},&quot;1821150663&quot;:{&quot;referencesIds&quot;:[&quot;doc:6956b1d6736c595258227344&quot;],&quot;referencesOptions&quot;:{&quot;doc:6956b1d6736c5952582273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1150663,&quot;citationText&quot;:&quot;&lt;span style=\&quot;font-family:Aptos;font-size:16px;color:#000000\&quot;&gt;[1]&lt;/span&gt;&quot;},&quot;1876340836&quot;:{&quot;referencesIds&quot;:[&quot;doc:6959a52ee7d01521dcb96f9d&quot;],&quot;referencesOptions&quot;:{&quot;doc:6959a52ee7d01521dcb96f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6340836,&quot;citationText&quot;:&quot;&lt;span style=\&quot;font-family:Aptos;font-size:16px;color:#000000\&quot;&gt;[15]&lt;/span&gt;&quot;},&quot;2016109940&quot;:{&quot;referencesIds&quot;:[&quot;doc:69592174a6457b6d86367e87&quot;],&quot;referencesOptions&quot;:{&quot;doc:69592174a6457b6d86367e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6109940,&quot;citationText&quot;:&quot;&lt;span style=\&quot;font-family:Aptos;font-size:16px;color:#000000\&quot;&gt;[12]&lt;/span&gt;&quot;},&quot;2035459243&quot;:{&quot;referencesIds&quot;:[&quot;doc:6957918201559f087b3f3cb8&quot;],&quot;referencesOptions&quot;:{&quot;doc:6957918201559f087b3f3c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5459243,&quot;citationText&quot;:&quot;&lt;span style=\&quot;font-family:Aptos;font-size:16px;color:#000000\&quot;&gt;[5]&lt;/span&gt;&quot;},&quot;2082870638&quot;:{&quot;referencesIds&quot;:[&quot;doc:6957c56990689d25615c3e8c&quot;],&quot;referencesOptions&quot;:{&quot;doc:6957c56990689d25615c3e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2870638,&quot;citationText&quot;:&quot;&lt;span style=\&quot;font-family:Aptos;font-size:16px;color:#000000\&quot;&gt;[10]&lt;/span&gt;&quot;},&quot;-1294755177&quot;:{&quot;referencesIds&quot;:[&quot;doc:6956b519ad4d4b6c15ca0e94&quot;],&quot;referencesOptions&quot;:{&quot;doc:6956b519ad4d4b6c15ca0e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4755177,&quot;citationText&quot;:&quot;&lt;span style=\&quot;font-family:Aptos;font-size:16px;color:#000000\&quot;&gt;[2]&lt;/span&gt;&quot;},&quot;-1450229666&quot;:{&quot;referencesIds&quot;:[&quot;doc:6956b52ae7d01521dcb94884&quot;],&quot;referencesOptions&quot;:{&quot;doc:6956b52ae7d01521dcb948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0229666,&quot;citationText&quot;:&quot;&lt;span style=\&quot;font-family:Aptos;font-size:16px;color:#000000\&quot;&gt;[3]&lt;/span&gt;&quot;},&quot;-597252301&quot;:{&quot;referencesIds&quot;:[&quot;doc:6956b52ae7d01521dcb94884&quot;],&quot;referencesOptions&quot;:{&quot;doc:6956b52ae7d01521dcb948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7252301,&quot;citationText&quot;:&quot;&lt;span style=\&quot;font-family:Aptos;font-size:16px;color:#000000\&quot;&gt;[3]&lt;/span&gt;&quot;},&quot;-1925256009&quot;:{&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5256009,&quot;citationText&quot;:&quot;&lt;span style=\&quot;font-family:Aptos;font-size:16px;color:#000000\&quot;&gt;[6]&lt;/span&gt;&quot;},&quot;-1757436133&quot;:{&quot;referencesIds&quot;:[&quot;doc:6957918201559f087b3f3cb8&quot;],&quot;referencesOptions&quot;:{&quot;doc:6957918201559f087b3f3c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7436133,&quot;citationText&quot;:&quot;&lt;span style=\&quot;font-family:Aptos;font-size:16px;color:#000000\&quot;&gt;[5]&lt;/span&gt;&quot;},&quot;-737479201&quot;:{&quot;referencesIds&quot;:[&quot;doc:6957918201559f087b3f3cb8&quot;],&quot;referencesOptions&quot;:{&quot;doc:6957918201559f087b3f3c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7479201,&quot;citationText&quot;:&quot;&lt;span style=\&quot;font-family:Aptos;font-size:16px;color:#000000\&quot;&gt;[5]&lt;/span&gt;&quot;},&quot;-1668778471&quot;:{&quot;referencesIds&quot;:[&quot;doc:6956b629ad4d4b6c15ca0e9d&quot;],&quot;referencesOptions&quot;:{&quot;doc:6956b629ad4d4b6c15ca0e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8778471,&quot;citationText&quot;:&quot;&lt;span style=\&quot;font-family:Aptos;font-size:16px;color:#000000\&quot;&gt;[4]&lt;/span&gt;&quot;},&quot;-1211949803&quot;:{&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1949803,&quot;citationText&quot;:&quot;&lt;span style=\&quot;font-family:Aptos;font-size:16px;color:#000000\&quot;&gt;[6]&lt;/span&gt;&quot;},&quot;-2090766475&quot;:{&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0766475,&quot;citationText&quot;:&quot;&lt;span style=\&quot;font-family:Aptos;font-size:16px;color:#000000\&quot;&gt;[6]&lt;/span&gt;&quot;},&quot;-1267378330&quot;:{&quot;referencesIds&quot;:[&quot;doc:6957970d8bfbef24f2d9676a&quot;],&quot;referencesOptions&quot;:{&quot;doc:6957970d8bfbef24f2d967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7378330,&quot;citationText&quot;:&quot;&lt;span style=\&quot;font-family:Aptos;font-size:16px;color:#000000\&quot;&gt;[7]&lt;/span&gt;&quot;},&quot;-2076881386&quot;:{&quot;referencesIds&quot;:[&quot;doc:6957970d8bfbef24f2d9676a&quot;],&quot;referencesOptions&quot;:{&quot;doc:6957970d8bfbef24f2d967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6881386,&quot;citationText&quot;:&quot;&lt;span style=\&quot;font-family:Aptos;font-size:16px;color:#000000\&quot;&gt;[7]&lt;/span&gt;&quot;},&quot;-1670244105&quot;:{&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0244105,&quot;citationText&quot;:&quot;&lt;span style=\&quot;font-family:Aptos;font-size:16px;color:#000000\&quot;&gt;[6]&lt;/span&gt;&quot;},&quot;-948085478&quot;:{&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8085478,&quot;citationText&quot;:&quot;&lt;span style=\&quot;font-family:Aptos;font-size:16px;color:#000000\&quot;&gt;[9]&lt;/span&gt;&quot;},&quot;-893126730&quot;:{&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3126730,&quot;citationText&quot;:&quot;&lt;span style=\&quot;font-family:Aptos;font-size:16px;color:#000000\&quot;&gt;[9]&lt;/span&gt;&quot;},&quot;-1718269257&quot;:{&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8269257,&quot;citationText&quot;:&quot;&lt;span style=\&quot;font-family:Aptos;font-size:16px;color:#000000\&quot;&gt;[9]&lt;/span&gt;&quot;},&quot;-547219100&quot;:{&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7219100,&quot;citationText&quot;:&quot;&lt;span style=\&quot;font-family:Aptos;font-size:16px;color:#000000\&quot;&gt;[9]&lt;/span&gt;&quot;},&quot;-174195780&quot;:{&quot;referencesIds&quot;:[&quot;doc:6957c76618640b6bad492843&quot;],&quot;referencesOptions&quot;:{&quot;doc:6957c76618640b6bad492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195780,&quot;citationText&quot;:&quot;&lt;span style=\&quot;font-family:Aptos;font-size:16px;color:#000000\&quot;&gt;[9]&lt;/span&gt;&quot;},&quot;-652208868&quot;:{&quot;referencesIds&quot;:[&quot;doc:6957c56990689d25615c3e8c&quot;],&quot;referencesOptions&quot;:{&quot;doc:6957c56990689d25615c3e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2208868,&quot;citationText&quot;:&quot;&lt;span style=\&quot;font-family:Aptos;font-size:16px;color:#000000\&quot;&gt;[10]&lt;/span&gt;&quot;},&quot;-61878627&quot;:{&quot;referencesIds&quot;:[&quot;doc:69578ffd736c595258227770&quot;],&quot;referencesOptions&quot;:{&quot;doc:69578ffd736c5952582277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878627,&quot;citationText&quot;:&quot;&lt;span style=\&quot;font-family:Aptos;font-size:16px;color:#000000\&quot;&gt;[6]&lt;/span&gt;&quot;},&quot;-1568957439&quot;:{&quot;referencesIds&quot;:[&quot;doc:69591df901559f087b3f5dee&quot;],&quot;referencesOptions&quot;:{&quot;doc:69591df901559f087b3f5d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8957439,&quot;citationText&quot;:&quot;&lt;span style=\&quot;font-family:Aptos;font-size:16px;color:#000000\&quot;&gt;[11]&lt;/span&gt;&quot;},&quot;-812095363&quot;:{&quot;referencesIds&quot;:[&quot;doc:69591df901559f087b3f5dee&quot;],&quot;referencesOptions&quot;:{&quot;doc:69591df901559f087b3f5d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2095363,&quot;citationText&quot;:&quot;&lt;span style=\&quot;font-family:Aptos;font-size:16px;color:#000000\&quot;&gt;[11]&lt;/span&gt;&quot;},&quot;-1963716140&quot;:{&quot;referencesIds&quot;:[&quot;doc:69592174a6457b6d86367e87&quot;],&quot;referencesOptions&quot;:{&quot;doc:69592174a6457b6d86367e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716140,&quot;citationText&quot;:&quot;&lt;span style=\&quot;font-family:Aptos;font-size:16px;color:#000000\&quot;&gt;[12]&lt;/span&gt;&quot;},&quot;-1979065928&quot;:{&quot;referencesIds&quot;:[&quot;doc:6959a4b453ba7555494a7727&quot;],&quot;referencesOptions&quot;:{&quot;doc:6959a4b453ba7555494a77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9065928,&quot;citationText&quot;:&quot;&lt;span style=\&quot;font-family:Aptos;font-size:16px;color:#000000\&quot;&gt;[13]&lt;/span&gt;&quot;},&quot;-585698942&quot;:{&quot;referencesIds&quot;:[&quot;doc:695a721a01559f087b3f7a9f&quot;],&quot;referencesOptions&quot;:{&quot;doc:695a721a01559f087b3f7a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5698942,&quot;citationText&quot;:&quot;&lt;span style=\&quot;font-family:Aptos;font-size:16px;color:#000000\&quot;&gt;[14]&lt;/span&gt;&quot;},&quot;-155467234&quot;:{&quot;referencesIds&quot;:[&quot;doc:6959333418640b6bad494b2a&quot;],&quot;referencesOptions&quot;:{&quot;doc:6959333418640b6bad494b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467234,&quot;citationText&quot;:&quot;&lt;span style=\&quot;font-family:Aptos;font-size:16px;color:#000000\&quot;&gt;[16]&lt;/span&gt;&quot;},&quot;-829056289&quot;:{&quot;referencesIds&quot;:[&quot;doc:6959333418640b6bad494b2a&quot;],&quot;referencesOptions&quot;:{&quot;doc:6959333418640b6bad494b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9056289,&quot;citationText&quot;:&quot;&lt;span style=\&quot;font-family:Aptos;font-size:16px;color:#000000\&quot;&gt;[16]&lt;/span&gt;&quot;},&quot;-1796753251&quot;:{&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6753251,&quot;citationText&quot;:&quot;&lt;span style=\&quot;font-family:Aptos;font-size:16px;color:#000000\&quot;&gt;[17]&lt;/span&gt;&quot;},&quot;-1228834519&quot;:{&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8834519,&quot;citationText&quot;:&quot;&lt;span style=\&quot;font-family:Aptos;font-size:16px;color:#000000\&quot;&gt;[17]&lt;/span&gt;&quot;},&quot;-1216653201&quot;:{&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6653201,&quot;citationText&quot;:&quot;&lt;span style=\&quot;font-family:Aptos;font-size:16px;color:#000000\&quot;&gt;[17]&lt;/span&gt;&quot;},&quot;-629476806&quot;:{&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9476806,&quot;citationText&quot;:&quot;&lt;span style=\&quot;font-family:Aptos;font-size:16px;color:#000000\&quot;&gt;[17]&lt;/span&gt;&quot;},&quot;-936905061&quot;:{&quot;referencesIds&quot;:[&quot;doc:69593b0b90689d25615c5a95&quot;],&quot;referencesOptions&quot;:{&quot;doc:69593b0b90689d25615c5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6905061,&quot;citationText&quot;:&quot;&lt;span style=\&quot;font-family:Aptos;font-size:16px;color:#000000\&quot;&gt;[17]&lt;/span&gt;&quot;},&quot;-2142800327&quot;:{&quot;referencesIds&quot;:[&quot;doc:69593ef2e7d01521dcb969d8&quot;],&quot;referencesOptions&quot;:{&quot;doc:69593ef2e7d01521dcb969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2800327,&quot;citationText&quot;:&quot;&lt;span style=\&quot;font-family:Aptos;font-size:16px;color:#000000\&quot;&gt;[18]&lt;/span&gt;&quot;},&quot;-1657446515&quot;:{&quot;referencesIds&quot;:[&quot;doc:69593ef2e7d01521dcb969d8&quot;],&quot;referencesOptions&quot;:{&quot;doc:69593ef2e7d01521dcb969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7446515,&quot;citationText&quot;:&quot;&lt;span style=\&quot;font-family:Aptos;font-size:16px;color:#000000\&quot;&gt;[18]&lt;/span&gt;&quot;},&quot;-757445143&quot;:{&quot;referencesIds&quot;:[&quot;doc:695941658bfbef24f2d990cf&quot;],&quot;referencesOptions&quot;:{&quot;doc:695941658bfbef24f2d990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7445143,&quot;citationText&quot;:&quot;&lt;span style=\&quot;font-family:Aptos;font-size:16px;color:#000000\&quot;&gt;[19]&lt;/span&gt;&quot;},&quot;-746640691&quot;:{&quot;referencesIds&quot;:[&quot;doc:695a3750e7d01521dcb97242&quot;],&quot;referencesOptions&quot;:{&quot;doc:695a3750e7d01521dcb972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6640691,&quot;citationText&quot;:&quot;&lt;span style=\&quot;font-family:Aptos;font-size:16px;color:#000000\&quot;&gt;[20]&lt;/span&gt;&quot;},&quot;-2046586662&quot;:{&quot;referencesIds&quot;:[&quot;doc:695a37c6ad4d4b6c15ca432d&quot;],&quot;referencesOptions&quot;:{&quot;doc:695a37c6ad4d4b6c15ca43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6586662,&quot;citationText&quot;:&quot;&lt;span style=\&quot;font-family:Aptos;font-size:16px;color:#000000\&quot;&gt;[2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tingEnabled" value="&quot;formattingEn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0213B-3241-46AB-8A5A-2D8DCA379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4358</TotalTime>
  <Pages>23</Pages>
  <Words>7237</Words>
  <Characters>48708</Characters>
  <Application>Microsoft Office Word</Application>
  <DocSecurity>0</DocSecurity>
  <Lines>885</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 Joseph (2404834)</dc:creator>
  <cp:keywords/>
  <dc:description/>
  <cp:lastModifiedBy>Rehan Joseph (2404834)</cp:lastModifiedBy>
  <cp:revision>120</cp:revision>
  <dcterms:created xsi:type="dcterms:W3CDTF">2025-12-28T17:07:00Z</dcterms:created>
  <dcterms:modified xsi:type="dcterms:W3CDTF">2026-01-05T23:08:00Z</dcterms:modified>
</cp:coreProperties>
</file>