
<file path=[Content_Types].xml><?xml version="1.0" encoding="utf-8"?>
<Types xmlns="http://schemas.openxmlformats.org/package/2006/content-types">
  <Default Extension="png" ContentType="image/png"/>
  <Default Extension="rels" ContentType="application/vnd.openxmlformats-package.relationships+xml"/>
  <Default Extension="undefined" ContentType="application/octet-stream"/>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ABD23" w14:textId="77777777" w:rsidR="009B2703" w:rsidRDefault="00BC33E3">
      <w:pPr>
        <w:spacing w:before="1200" w:after="600"/>
        <w:jc w:val="center"/>
      </w:pPr>
      <w:r>
        <w:rPr>
          <w:b/>
          <w:bCs/>
          <w:sz w:val="28"/>
          <w:szCs w:val="28"/>
        </w:rPr>
        <w:t>UNIVERSITY OF WALES TRINITY SAINT DAVID</w:t>
      </w:r>
    </w:p>
    <w:p w14:paraId="05F6CB13" w14:textId="77777777" w:rsidR="009B2703" w:rsidRDefault="00BC33E3">
      <w:pPr>
        <w:spacing w:before="1800" w:after="240"/>
        <w:jc w:val="center"/>
      </w:pPr>
      <w:r>
        <w:rPr>
          <w:b/>
          <w:bCs/>
          <w:sz w:val="26"/>
          <w:szCs w:val="26"/>
        </w:rPr>
        <w:t>ACMA5002 – Manufacturing Design &amp; Technology</w:t>
      </w:r>
    </w:p>
    <w:p w14:paraId="67D945D5" w14:textId="77777777" w:rsidR="009B2703" w:rsidRDefault="00BC33E3">
      <w:pPr>
        <w:spacing w:after="600"/>
        <w:jc w:val="center"/>
      </w:pPr>
      <w:r>
        <w:rPr>
          <w:b/>
          <w:bCs/>
          <w:sz w:val="30"/>
          <w:szCs w:val="30"/>
        </w:rPr>
        <w:t>Design for Manufacture and Assembly: Component Optimisation</w:t>
      </w:r>
    </w:p>
    <w:p w14:paraId="1558E37C" w14:textId="77777777" w:rsidR="009B2703" w:rsidRDefault="00BC33E3">
      <w:pPr>
        <w:spacing w:before="240" w:after="240"/>
        <w:jc w:val="center"/>
      </w:pPr>
      <w:r>
        <w:rPr>
          <w:i/>
          <w:iCs/>
          <w:sz w:val="26"/>
          <w:szCs w:val="26"/>
        </w:rPr>
        <w:t>Component selected: Mobile Phone Housing</w:t>
      </w:r>
    </w:p>
    <w:p w14:paraId="0E1BBD21" w14:textId="77777777" w:rsidR="009B2703" w:rsidRPr="00817B27" w:rsidRDefault="00BC33E3">
      <w:pPr>
        <w:spacing w:before="2400" w:after="200"/>
        <w:jc w:val="center"/>
      </w:pPr>
      <w:r>
        <w:rPr>
          <w:b/>
          <w:bCs/>
        </w:rPr>
        <w:t xml:space="preserve">Student Name: </w:t>
      </w:r>
      <w:r>
        <w:rPr>
          <w:i/>
          <w:iCs/>
        </w:rPr>
        <w:t>Kieran Allen</w:t>
      </w:r>
    </w:p>
    <w:p w14:paraId="59334D7D" w14:textId="77777777" w:rsidR="009B2703" w:rsidRDefault="00BC33E3">
      <w:pPr>
        <w:spacing w:after="200"/>
        <w:jc w:val="center"/>
      </w:pPr>
      <w:r>
        <w:rPr>
          <w:b/>
          <w:bCs/>
        </w:rPr>
        <w:t xml:space="preserve">Student ID: </w:t>
      </w:r>
      <w:r>
        <w:t>2417341</w:t>
      </w:r>
    </w:p>
    <w:p w14:paraId="20309E96" w14:textId="77777777" w:rsidR="009B2703" w:rsidRDefault="00BC33E3">
      <w:pPr>
        <w:spacing w:after="200"/>
        <w:jc w:val="center"/>
      </w:pPr>
      <w:r>
        <w:t>Programme: BEng Mechanical Engineering</w:t>
      </w:r>
    </w:p>
    <w:p w14:paraId="0440A2BC" w14:textId="77777777" w:rsidR="009B2703" w:rsidRDefault="00BC33E3">
      <w:pPr>
        <w:spacing w:after="200"/>
        <w:jc w:val="center"/>
      </w:pPr>
      <w:r>
        <w:rPr>
          <w:b/>
          <w:bCs/>
        </w:rPr>
        <w:t xml:space="preserve">Submission Date: </w:t>
      </w:r>
      <w:r>
        <w:t>15 June 2026</w:t>
      </w:r>
    </w:p>
    <w:p w14:paraId="3EAFA94A" w14:textId="77777777" w:rsidR="009B2703" w:rsidRDefault="00BC33E3">
      <w:pPr>
        <w:spacing w:after="200"/>
        <w:jc w:val="center"/>
      </w:pPr>
      <w:r>
        <w:t>Module Lecturers: Dr Richard Morgan, Dr Mohamed Gabr</w:t>
      </w:r>
    </w:p>
    <w:p w14:paraId="73FE4F0D" w14:textId="77777777" w:rsidR="009B2703" w:rsidRDefault="00BC33E3" w:rsidP="00FA22E2">
      <w:pPr>
        <w:pageBreakBefore/>
        <w:spacing w:after="240" w:line="360" w:lineRule="auto"/>
      </w:pPr>
      <w:r>
        <w:rPr>
          <w:b/>
          <w:bCs/>
          <w:sz w:val="32"/>
          <w:szCs w:val="32"/>
        </w:rPr>
        <w:lastRenderedPageBreak/>
        <w:t>Abstract</w:t>
      </w:r>
    </w:p>
    <w:p w14:paraId="7E2B9763" w14:textId="35CAB473" w:rsidR="00FA22E2" w:rsidRDefault="00BC33E3">
      <w:pPr>
        <w:spacing w:after="120" w:line="360" w:lineRule="auto"/>
        <w:jc w:val="both"/>
      </w:pPr>
      <w:r>
        <w:t>This report presents the design and analysis of a mobile phone housing for high volume injection moulding, combining DFM and DFA principles with QFD, FMEA and a simplified DOE. Polycarbonate, a heat resistant copolymer, was selected in Granta EduPack for its impact toughness, dimensional stability, heat resistance and recyclability. A Fusion 360 CAD model built around uniform walls and generous fillets was assessed by Fusion 360 Plastic flow simulation and Static Stress FEA under three load cases (screen press, torsional grip and a camera aperture point load), followed by unit cost and break even analysis. The recommendations cover internal ribs and bosses, a camera aperture stiffening rib, production draft angles and recycled feedstock.</w:t>
      </w:r>
    </w:p>
    <w:p w14:paraId="563E7992" w14:textId="1A77FCDE" w:rsidR="009B2703" w:rsidRDefault="00FA22E2" w:rsidP="00FA22E2">
      <w:r>
        <w:br w:type="page"/>
      </w:r>
    </w:p>
    <w:sdt>
      <w:sdtPr>
        <w:rPr>
          <w:rFonts w:ascii="Arial" w:eastAsia="Arial" w:hAnsi="Arial" w:cs="Arial"/>
          <w:color w:val="auto"/>
          <w:sz w:val="24"/>
          <w:szCs w:val="24"/>
          <w:lang w:val="en-GB" w:eastAsia="en-GB"/>
        </w:rPr>
        <w:id w:val="968089264"/>
        <w:docPartObj>
          <w:docPartGallery w:val="Table of Contents"/>
          <w:docPartUnique/>
        </w:docPartObj>
      </w:sdtPr>
      <w:sdtEndPr>
        <w:rPr>
          <w:b/>
          <w:bCs/>
          <w:noProof/>
        </w:rPr>
      </w:sdtEndPr>
      <w:sdtContent>
        <w:p w14:paraId="07A26C7B" w14:textId="4B63615B" w:rsidR="00FA22E2" w:rsidRDefault="00FA22E2">
          <w:pPr>
            <w:pStyle w:val="TOCHeading"/>
          </w:pPr>
          <w:r>
            <w:t>Contents</w:t>
          </w:r>
        </w:p>
        <w:p w14:paraId="3C28BA3B" w14:textId="368850FF" w:rsidR="00FF3F92" w:rsidRDefault="00FA22E2">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1932184" w:history="1">
            <w:r>
              <w:rPr>
                <w:rStyle w:val="Hyperlink"/>
                <w:noProof/>
              </w:rPr>
              <w:t>1. Introduction</w:t>
            </w:r>
            <w:r>
              <w:rPr>
                <w:noProof/>
                <w:webHidden/>
              </w:rPr>
              <w:tab/>
            </w:r>
            <w:r>
              <w:rPr>
                <w:noProof/>
                <w:webHidden/>
              </w:rPr>
              <w:fldChar w:fldCharType="begin"/>
            </w:r>
            <w:r>
              <w:rPr>
                <w:noProof/>
                <w:webHidden/>
              </w:rPr>
              <w:instrText xml:space="preserve"> PAGEREF _Toc231932184 \h </w:instrText>
            </w:r>
            <w:r>
              <w:rPr>
                <w:noProof/>
                <w:webHidden/>
              </w:rPr>
            </w:r>
            <w:r>
              <w:rPr>
                <w:noProof/>
                <w:webHidden/>
              </w:rPr>
              <w:fldChar w:fldCharType="separate"/>
            </w:r>
            <w:r w:rsidR="0035401F">
              <w:rPr>
                <w:noProof/>
                <w:webHidden/>
              </w:rPr>
              <w:t>7</w:t>
            </w:r>
            <w:r>
              <w:rPr>
                <w:noProof/>
                <w:webHidden/>
              </w:rPr>
              <w:fldChar w:fldCharType="end"/>
            </w:r>
          </w:hyperlink>
        </w:p>
        <w:p w14:paraId="017D2C80" w14:textId="537C1CEE"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85" w:history="1">
            <w:r>
              <w:rPr>
                <w:rStyle w:val="Hyperlink"/>
                <w:noProof/>
              </w:rPr>
              <w:t>1.1 Purpose of the Report</w:t>
            </w:r>
            <w:r>
              <w:rPr>
                <w:noProof/>
                <w:webHidden/>
              </w:rPr>
              <w:tab/>
            </w:r>
            <w:r>
              <w:rPr>
                <w:noProof/>
                <w:webHidden/>
              </w:rPr>
              <w:fldChar w:fldCharType="begin"/>
            </w:r>
            <w:r>
              <w:rPr>
                <w:noProof/>
                <w:webHidden/>
              </w:rPr>
              <w:instrText xml:space="preserve"> PAGEREF _Toc231932185 \h </w:instrText>
            </w:r>
            <w:r>
              <w:rPr>
                <w:noProof/>
                <w:webHidden/>
              </w:rPr>
            </w:r>
            <w:r>
              <w:rPr>
                <w:noProof/>
                <w:webHidden/>
              </w:rPr>
              <w:fldChar w:fldCharType="separate"/>
            </w:r>
            <w:r w:rsidR="0035401F">
              <w:rPr>
                <w:noProof/>
                <w:webHidden/>
              </w:rPr>
              <w:t>7</w:t>
            </w:r>
            <w:r>
              <w:rPr>
                <w:noProof/>
                <w:webHidden/>
              </w:rPr>
              <w:fldChar w:fldCharType="end"/>
            </w:r>
          </w:hyperlink>
        </w:p>
        <w:p w14:paraId="3A20CD6B" w14:textId="727562F2"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86" w:history="1">
            <w:r>
              <w:rPr>
                <w:rStyle w:val="Hyperlink"/>
                <w:noProof/>
              </w:rPr>
              <w:t>1.2 Problem Definition</w:t>
            </w:r>
            <w:r>
              <w:rPr>
                <w:noProof/>
                <w:webHidden/>
              </w:rPr>
              <w:tab/>
            </w:r>
            <w:r>
              <w:rPr>
                <w:noProof/>
                <w:webHidden/>
              </w:rPr>
              <w:fldChar w:fldCharType="begin"/>
            </w:r>
            <w:r>
              <w:rPr>
                <w:noProof/>
                <w:webHidden/>
              </w:rPr>
              <w:instrText xml:space="preserve"> PAGEREF _Toc231932186 \h </w:instrText>
            </w:r>
            <w:r>
              <w:rPr>
                <w:noProof/>
                <w:webHidden/>
              </w:rPr>
            </w:r>
            <w:r>
              <w:rPr>
                <w:noProof/>
                <w:webHidden/>
              </w:rPr>
              <w:fldChar w:fldCharType="separate"/>
            </w:r>
            <w:r w:rsidR="0035401F">
              <w:rPr>
                <w:noProof/>
                <w:webHidden/>
              </w:rPr>
              <w:t>7</w:t>
            </w:r>
            <w:r>
              <w:rPr>
                <w:noProof/>
                <w:webHidden/>
              </w:rPr>
              <w:fldChar w:fldCharType="end"/>
            </w:r>
          </w:hyperlink>
        </w:p>
        <w:p w14:paraId="17754E14" w14:textId="6B996C6B"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87" w:history="1">
            <w:r>
              <w:rPr>
                <w:rStyle w:val="Hyperlink"/>
                <w:noProof/>
              </w:rPr>
              <w:t>1.3 Scope</w:t>
            </w:r>
            <w:r>
              <w:rPr>
                <w:noProof/>
                <w:webHidden/>
              </w:rPr>
              <w:tab/>
            </w:r>
            <w:r>
              <w:rPr>
                <w:noProof/>
                <w:webHidden/>
              </w:rPr>
              <w:fldChar w:fldCharType="begin"/>
            </w:r>
            <w:r>
              <w:rPr>
                <w:noProof/>
                <w:webHidden/>
              </w:rPr>
              <w:instrText xml:space="preserve"> PAGEREF _Toc231932187 \h </w:instrText>
            </w:r>
            <w:r>
              <w:rPr>
                <w:noProof/>
                <w:webHidden/>
              </w:rPr>
            </w:r>
            <w:r>
              <w:rPr>
                <w:noProof/>
                <w:webHidden/>
              </w:rPr>
              <w:fldChar w:fldCharType="separate"/>
            </w:r>
            <w:r w:rsidR="0035401F">
              <w:rPr>
                <w:noProof/>
                <w:webHidden/>
              </w:rPr>
              <w:t>7</w:t>
            </w:r>
            <w:r>
              <w:rPr>
                <w:noProof/>
                <w:webHidden/>
              </w:rPr>
              <w:fldChar w:fldCharType="end"/>
            </w:r>
          </w:hyperlink>
        </w:p>
        <w:p w14:paraId="0A4109CB" w14:textId="53E0B9A3"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188" w:history="1">
            <w:r>
              <w:rPr>
                <w:rStyle w:val="Hyperlink"/>
                <w:noProof/>
              </w:rPr>
              <w:t>2. Literature Review</w:t>
            </w:r>
            <w:r>
              <w:rPr>
                <w:noProof/>
                <w:webHidden/>
              </w:rPr>
              <w:tab/>
            </w:r>
            <w:r>
              <w:rPr>
                <w:noProof/>
                <w:webHidden/>
              </w:rPr>
              <w:fldChar w:fldCharType="begin"/>
            </w:r>
            <w:r>
              <w:rPr>
                <w:noProof/>
                <w:webHidden/>
              </w:rPr>
              <w:instrText xml:space="preserve"> PAGEREF _Toc231932188 \h </w:instrText>
            </w:r>
            <w:r>
              <w:rPr>
                <w:noProof/>
                <w:webHidden/>
              </w:rPr>
            </w:r>
            <w:r>
              <w:rPr>
                <w:noProof/>
                <w:webHidden/>
              </w:rPr>
              <w:fldChar w:fldCharType="separate"/>
            </w:r>
            <w:r w:rsidR="0035401F">
              <w:rPr>
                <w:noProof/>
                <w:webHidden/>
              </w:rPr>
              <w:t>8</w:t>
            </w:r>
            <w:r>
              <w:rPr>
                <w:noProof/>
                <w:webHidden/>
              </w:rPr>
              <w:fldChar w:fldCharType="end"/>
            </w:r>
          </w:hyperlink>
        </w:p>
        <w:p w14:paraId="7C2170E2" w14:textId="3D86B02B"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89" w:history="1">
            <w:r>
              <w:rPr>
                <w:rStyle w:val="Hyperlink"/>
                <w:noProof/>
              </w:rPr>
              <w:t>2.1 Design for Manufacture and Design for Assembly</w:t>
            </w:r>
            <w:r>
              <w:rPr>
                <w:noProof/>
                <w:webHidden/>
              </w:rPr>
              <w:tab/>
            </w:r>
            <w:r>
              <w:rPr>
                <w:noProof/>
                <w:webHidden/>
              </w:rPr>
              <w:fldChar w:fldCharType="begin"/>
            </w:r>
            <w:r>
              <w:rPr>
                <w:noProof/>
                <w:webHidden/>
              </w:rPr>
              <w:instrText xml:space="preserve"> PAGEREF _Toc231932189 \h </w:instrText>
            </w:r>
            <w:r>
              <w:rPr>
                <w:noProof/>
                <w:webHidden/>
              </w:rPr>
            </w:r>
            <w:r>
              <w:rPr>
                <w:noProof/>
                <w:webHidden/>
              </w:rPr>
              <w:fldChar w:fldCharType="separate"/>
            </w:r>
            <w:r w:rsidR="0035401F">
              <w:rPr>
                <w:noProof/>
                <w:webHidden/>
              </w:rPr>
              <w:t>8</w:t>
            </w:r>
            <w:r>
              <w:rPr>
                <w:noProof/>
                <w:webHidden/>
              </w:rPr>
              <w:fldChar w:fldCharType="end"/>
            </w:r>
          </w:hyperlink>
        </w:p>
        <w:p w14:paraId="29F47A86" w14:textId="63050179"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0" w:history="1">
            <w:r>
              <w:rPr>
                <w:rStyle w:val="Hyperlink"/>
                <w:noProof/>
              </w:rPr>
              <w:t>2.2 Injection Moulding of Polymer Housings</w:t>
            </w:r>
            <w:r>
              <w:rPr>
                <w:noProof/>
                <w:webHidden/>
              </w:rPr>
              <w:tab/>
            </w:r>
            <w:r>
              <w:rPr>
                <w:noProof/>
                <w:webHidden/>
              </w:rPr>
              <w:fldChar w:fldCharType="begin"/>
            </w:r>
            <w:r>
              <w:rPr>
                <w:noProof/>
                <w:webHidden/>
              </w:rPr>
              <w:instrText xml:space="preserve"> PAGEREF _Toc231932190 \h </w:instrText>
            </w:r>
            <w:r>
              <w:rPr>
                <w:noProof/>
                <w:webHidden/>
              </w:rPr>
            </w:r>
            <w:r>
              <w:rPr>
                <w:noProof/>
                <w:webHidden/>
              </w:rPr>
              <w:fldChar w:fldCharType="separate"/>
            </w:r>
            <w:r w:rsidR="0035401F">
              <w:rPr>
                <w:noProof/>
                <w:webHidden/>
              </w:rPr>
              <w:t>8</w:t>
            </w:r>
            <w:r>
              <w:rPr>
                <w:noProof/>
                <w:webHidden/>
              </w:rPr>
              <w:fldChar w:fldCharType="end"/>
            </w:r>
          </w:hyperlink>
        </w:p>
        <w:p w14:paraId="230D3A3A" w14:textId="5BCF5951"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1" w:history="1">
            <w:r>
              <w:rPr>
                <w:rStyle w:val="Hyperlink"/>
                <w:noProof/>
              </w:rPr>
              <w:t>2.3 Analytical Tools: QFD, FMEA and DOE</w:t>
            </w:r>
            <w:r>
              <w:rPr>
                <w:noProof/>
                <w:webHidden/>
              </w:rPr>
              <w:tab/>
            </w:r>
            <w:r>
              <w:rPr>
                <w:noProof/>
                <w:webHidden/>
              </w:rPr>
              <w:fldChar w:fldCharType="begin"/>
            </w:r>
            <w:r>
              <w:rPr>
                <w:noProof/>
                <w:webHidden/>
              </w:rPr>
              <w:instrText xml:space="preserve"> PAGEREF _Toc231932191 \h </w:instrText>
            </w:r>
            <w:r>
              <w:rPr>
                <w:noProof/>
                <w:webHidden/>
              </w:rPr>
            </w:r>
            <w:r>
              <w:rPr>
                <w:noProof/>
                <w:webHidden/>
              </w:rPr>
              <w:fldChar w:fldCharType="separate"/>
            </w:r>
            <w:r w:rsidR="0035401F">
              <w:rPr>
                <w:noProof/>
                <w:webHidden/>
              </w:rPr>
              <w:t>8</w:t>
            </w:r>
            <w:r>
              <w:rPr>
                <w:noProof/>
                <w:webHidden/>
              </w:rPr>
              <w:fldChar w:fldCharType="end"/>
            </w:r>
          </w:hyperlink>
        </w:p>
        <w:p w14:paraId="4D7F8ADA" w14:textId="60AFFF13"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2" w:history="1">
            <w:r>
              <w:rPr>
                <w:rStyle w:val="Hyperlink"/>
                <w:noProof/>
              </w:rPr>
              <w:t>2.4 Simulation Tools: Polymer Flow and FEA</w:t>
            </w:r>
            <w:r>
              <w:rPr>
                <w:noProof/>
                <w:webHidden/>
              </w:rPr>
              <w:tab/>
            </w:r>
            <w:r>
              <w:rPr>
                <w:noProof/>
                <w:webHidden/>
              </w:rPr>
              <w:fldChar w:fldCharType="begin"/>
            </w:r>
            <w:r>
              <w:rPr>
                <w:noProof/>
                <w:webHidden/>
              </w:rPr>
              <w:instrText xml:space="preserve"> PAGEREF _Toc231932192 \h </w:instrText>
            </w:r>
            <w:r>
              <w:rPr>
                <w:noProof/>
                <w:webHidden/>
              </w:rPr>
            </w:r>
            <w:r>
              <w:rPr>
                <w:noProof/>
                <w:webHidden/>
              </w:rPr>
              <w:fldChar w:fldCharType="separate"/>
            </w:r>
            <w:r w:rsidR="0035401F">
              <w:rPr>
                <w:noProof/>
                <w:webHidden/>
              </w:rPr>
              <w:t>9</w:t>
            </w:r>
            <w:r>
              <w:rPr>
                <w:noProof/>
                <w:webHidden/>
              </w:rPr>
              <w:fldChar w:fldCharType="end"/>
            </w:r>
          </w:hyperlink>
        </w:p>
        <w:p w14:paraId="30FEA77C" w14:textId="7EC3A7C1"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3" w:history="1">
            <w:r>
              <w:rPr>
                <w:rStyle w:val="Hyperlink"/>
                <w:noProof/>
              </w:rPr>
              <w:t>2.5 Sustainability in Polymer Manufacturing</w:t>
            </w:r>
            <w:r>
              <w:rPr>
                <w:noProof/>
                <w:webHidden/>
              </w:rPr>
              <w:tab/>
            </w:r>
            <w:r>
              <w:rPr>
                <w:noProof/>
                <w:webHidden/>
              </w:rPr>
              <w:fldChar w:fldCharType="begin"/>
            </w:r>
            <w:r>
              <w:rPr>
                <w:noProof/>
                <w:webHidden/>
              </w:rPr>
              <w:instrText xml:space="preserve"> PAGEREF _Toc231932193 \h </w:instrText>
            </w:r>
            <w:r>
              <w:rPr>
                <w:noProof/>
                <w:webHidden/>
              </w:rPr>
            </w:r>
            <w:r>
              <w:rPr>
                <w:noProof/>
                <w:webHidden/>
              </w:rPr>
              <w:fldChar w:fldCharType="separate"/>
            </w:r>
            <w:r w:rsidR="0035401F">
              <w:rPr>
                <w:noProof/>
                <w:webHidden/>
              </w:rPr>
              <w:t>9</w:t>
            </w:r>
            <w:r>
              <w:rPr>
                <w:noProof/>
                <w:webHidden/>
              </w:rPr>
              <w:fldChar w:fldCharType="end"/>
            </w:r>
          </w:hyperlink>
        </w:p>
        <w:p w14:paraId="346C152B" w14:textId="36D451E4"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194" w:history="1">
            <w:r>
              <w:rPr>
                <w:rStyle w:val="Hyperlink"/>
                <w:noProof/>
              </w:rPr>
              <w:t>3. Defining Customer Requirements</w:t>
            </w:r>
            <w:r>
              <w:rPr>
                <w:noProof/>
                <w:webHidden/>
              </w:rPr>
              <w:tab/>
            </w:r>
            <w:r>
              <w:rPr>
                <w:noProof/>
                <w:webHidden/>
              </w:rPr>
              <w:fldChar w:fldCharType="begin"/>
            </w:r>
            <w:r>
              <w:rPr>
                <w:noProof/>
                <w:webHidden/>
              </w:rPr>
              <w:instrText xml:space="preserve"> PAGEREF _Toc231932194 \h </w:instrText>
            </w:r>
            <w:r>
              <w:rPr>
                <w:noProof/>
                <w:webHidden/>
              </w:rPr>
            </w:r>
            <w:r>
              <w:rPr>
                <w:noProof/>
                <w:webHidden/>
              </w:rPr>
              <w:fldChar w:fldCharType="separate"/>
            </w:r>
            <w:r w:rsidR="0035401F">
              <w:rPr>
                <w:noProof/>
                <w:webHidden/>
              </w:rPr>
              <w:t>10</w:t>
            </w:r>
            <w:r>
              <w:rPr>
                <w:noProof/>
                <w:webHidden/>
              </w:rPr>
              <w:fldChar w:fldCharType="end"/>
            </w:r>
          </w:hyperlink>
        </w:p>
        <w:p w14:paraId="3174D349" w14:textId="5C9D0635"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5" w:history="1">
            <w:r>
              <w:rPr>
                <w:rStyle w:val="Hyperlink"/>
                <w:noProof/>
              </w:rPr>
              <w:t>3.1 Performance Attributes</w:t>
            </w:r>
            <w:r>
              <w:rPr>
                <w:noProof/>
                <w:webHidden/>
              </w:rPr>
              <w:tab/>
            </w:r>
            <w:r>
              <w:rPr>
                <w:noProof/>
                <w:webHidden/>
              </w:rPr>
              <w:fldChar w:fldCharType="begin"/>
            </w:r>
            <w:r>
              <w:rPr>
                <w:noProof/>
                <w:webHidden/>
              </w:rPr>
              <w:instrText xml:space="preserve"> PAGEREF _Toc231932195 \h </w:instrText>
            </w:r>
            <w:r>
              <w:rPr>
                <w:noProof/>
                <w:webHidden/>
              </w:rPr>
            </w:r>
            <w:r>
              <w:rPr>
                <w:noProof/>
                <w:webHidden/>
              </w:rPr>
              <w:fldChar w:fldCharType="separate"/>
            </w:r>
            <w:r w:rsidR="0035401F">
              <w:rPr>
                <w:noProof/>
                <w:webHidden/>
              </w:rPr>
              <w:t>10</w:t>
            </w:r>
            <w:r>
              <w:rPr>
                <w:noProof/>
                <w:webHidden/>
              </w:rPr>
              <w:fldChar w:fldCharType="end"/>
            </w:r>
          </w:hyperlink>
        </w:p>
        <w:p w14:paraId="69DA67FE" w14:textId="656144CF"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6" w:history="1">
            <w:r>
              <w:rPr>
                <w:rStyle w:val="Hyperlink"/>
                <w:noProof/>
              </w:rPr>
              <w:t>3.2 Application of Quality Function Deployment</w:t>
            </w:r>
            <w:r>
              <w:rPr>
                <w:noProof/>
                <w:webHidden/>
              </w:rPr>
              <w:tab/>
            </w:r>
            <w:r>
              <w:rPr>
                <w:noProof/>
                <w:webHidden/>
              </w:rPr>
              <w:fldChar w:fldCharType="begin"/>
            </w:r>
            <w:r>
              <w:rPr>
                <w:noProof/>
                <w:webHidden/>
              </w:rPr>
              <w:instrText xml:space="preserve"> PAGEREF _Toc231932196 \h </w:instrText>
            </w:r>
            <w:r>
              <w:rPr>
                <w:noProof/>
                <w:webHidden/>
              </w:rPr>
            </w:r>
            <w:r>
              <w:rPr>
                <w:noProof/>
                <w:webHidden/>
              </w:rPr>
              <w:fldChar w:fldCharType="separate"/>
            </w:r>
            <w:r w:rsidR="0035401F">
              <w:rPr>
                <w:noProof/>
                <w:webHidden/>
              </w:rPr>
              <w:t>10</w:t>
            </w:r>
            <w:r>
              <w:rPr>
                <w:noProof/>
                <w:webHidden/>
              </w:rPr>
              <w:fldChar w:fldCharType="end"/>
            </w:r>
          </w:hyperlink>
        </w:p>
        <w:p w14:paraId="7AD45842" w14:textId="0AD8D4FE"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7" w:history="1">
            <w:r>
              <w:rPr>
                <w:rStyle w:val="Hyperlink"/>
                <w:noProof/>
              </w:rPr>
              <w:t>3.3 Failure Modes and Effects Analysis</w:t>
            </w:r>
            <w:r>
              <w:rPr>
                <w:noProof/>
                <w:webHidden/>
              </w:rPr>
              <w:tab/>
            </w:r>
            <w:r>
              <w:rPr>
                <w:noProof/>
                <w:webHidden/>
              </w:rPr>
              <w:fldChar w:fldCharType="begin"/>
            </w:r>
            <w:r>
              <w:rPr>
                <w:noProof/>
                <w:webHidden/>
              </w:rPr>
              <w:instrText xml:space="preserve"> PAGEREF _Toc231932197 \h </w:instrText>
            </w:r>
            <w:r>
              <w:rPr>
                <w:noProof/>
                <w:webHidden/>
              </w:rPr>
            </w:r>
            <w:r>
              <w:rPr>
                <w:noProof/>
                <w:webHidden/>
              </w:rPr>
              <w:fldChar w:fldCharType="separate"/>
            </w:r>
            <w:r w:rsidR="0035401F">
              <w:rPr>
                <w:noProof/>
                <w:webHidden/>
              </w:rPr>
              <w:t>12</w:t>
            </w:r>
            <w:r>
              <w:rPr>
                <w:noProof/>
                <w:webHidden/>
              </w:rPr>
              <w:fldChar w:fldCharType="end"/>
            </w:r>
          </w:hyperlink>
        </w:p>
        <w:p w14:paraId="3F4AC5C7" w14:textId="5B7C3028"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198" w:history="1">
            <w:r>
              <w:rPr>
                <w:rStyle w:val="Hyperlink"/>
                <w:noProof/>
              </w:rPr>
              <w:t>3.4 Design of Experiments</w:t>
            </w:r>
            <w:r>
              <w:rPr>
                <w:noProof/>
                <w:webHidden/>
              </w:rPr>
              <w:tab/>
            </w:r>
            <w:r>
              <w:rPr>
                <w:noProof/>
                <w:webHidden/>
              </w:rPr>
              <w:fldChar w:fldCharType="begin"/>
            </w:r>
            <w:r>
              <w:rPr>
                <w:noProof/>
                <w:webHidden/>
              </w:rPr>
              <w:instrText xml:space="preserve"> PAGEREF _Toc231932198 \h </w:instrText>
            </w:r>
            <w:r>
              <w:rPr>
                <w:noProof/>
                <w:webHidden/>
              </w:rPr>
            </w:r>
            <w:r>
              <w:rPr>
                <w:noProof/>
                <w:webHidden/>
              </w:rPr>
              <w:fldChar w:fldCharType="separate"/>
            </w:r>
            <w:r w:rsidR="0035401F">
              <w:rPr>
                <w:noProof/>
                <w:webHidden/>
              </w:rPr>
              <w:t>14</w:t>
            </w:r>
            <w:r>
              <w:rPr>
                <w:noProof/>
                <w:webHidden/>
              </w:rPr>
              <w:fldChar w:fldCharType="end"/>
            </w:r>
          </w:hyperlink>
        </w:p>
        <w:p w14:paraId="3292290D" w14:textId="72C01BD9"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199" w:history="1">
            <w:r>
              <w:rPr>
                <w:rStyle w:val="Hyperlink"/>
                <w:noProof/>
              </w:rPr>
              <w:t>4. Material Selection</w:t>
            </w:r>
            <w:r>
              <w:rPr>
                <w:noProof/>
                <w:webHidden/>
              </w:rPr>
              <w:tab/>
            </w:r>
            <w:r>
              <w:rPr>
                <w:noProof/>
                <w:webHidden/>
              </w:rPr>
              <w:fldChar w:fldCharType="begin"/>
            </w:r>
            <w:r>
              <w:rPr>
                <w:noProof/>
                <w:webHidden/>
              </w:rPr>
              <w:instrText xml:space="preserve"> PAGEREF _Toc231932199 \h </w:instrText>
            </w:r>
            <w:r>
              <w:rPr>
                <w:noProof/>
                <w:webHidden/>
              </w:rPr>
            </w:r>
            <w:r>
              <w:rPr>
                <w:noProof/>
                <w:webHidden/>
              </w:rPr>
              <w:fldChar w:fldCharType="separate"/>
            </w:r>
            <w:r w:rsidR="0035401F">
              <w:rPr>
                <w:noProof/>
                <w:webHidden/>
              </w:rPr>
              <w:t>15</w:t>
            </w:r>
            <w:r>
              <w:rPr>
                <w:noProof/>
                <w:webHidden/>
              </w:rPr>
              <w:fldChar w:fldCharType="end"/>
            </w:r>
          </w:hyperlink>
        </w:p>
        <w:p w14:paraId="2C3DB5AF" w14:textId="79413784"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0" w:history="1">
            <w:r>
              <w:rPr>
                <w:rStyle w:val="Hyperlink"/>
                <w:noProof/>
              </w:rPr>
              <w:t>4.1 Selection Methodology</w:t>
            </w:r>
            <w:r>
              <w:rPr>
                <w:noProof/>
                <w:webHidden/>
              </w:rPr>
              <w:tab/>
            </w:r>
            <w:r>
              <w:rPr>
                <w:noProof/>
                <w:webHidden/>
              </w:rPr>
              <w:fldChar w:fldCharType="begin"/>
            </w:r>
            <w:r>
              <w:rPr>
                <w:noProof/>
                <w:webHidden/>
              </w:rPr>
              <w:instrText xml:space="preserve"> PAGEREF _Toc231932200 \h </w:instrText>
            </w:r>
            <w:r>
              <w:rPr>
                <w:noProof/>
                <w:webHidden/>
              </w:rPr>
            </w:r>
            <w:r>
              <w:rPr>
                <w:noProof/>
                <w:webHidden/>
              </w:rPr>
              <w:fldChar w:fldCharType="separate"/>
            </w:r>
            <w:r w:rsidR="0035401F">
              <w:rPr>
                <w:noProof/>
                <w:webHidden/>
              </w:rPr>
              <w:t>15</w:t>
            </w:r>
            <w:r>
              <w:rPr>
                <w:noProof/>
                <w:webHidden/>
              </w:rPr>
              <w:fldChar w:fldCharType="end"/>
            </w:r>
          </w:hyperlink>
        </w:p>
        <w:p w14:paraId="566FCBDF" w14:textId="7D9933EA"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1" w:history="1">
            <w:r>
              <w:rPr>
                <w:rStyle w:val="Hyperlink"/>
                <w:noProof/>
              </w:rPr>
              <w:t>4.2 Selection Criteria and Constraints</w:t>
            </w:r>
            <w:r>
              <w:rPr>
                <w:noProof/>
                <w:webHidden/>
              </w:rPr>
              <w:tab/>
            </w:r>
            <w:r>
              <w:rPr>
                <w:noProof/>
                <w:webHidden/>
              </w:rPr>
              <w:fldChar w:fldCharType="begin"/>
            </w:r>
            <w:r>
              <w:rPr>
                <w:noProof/>
                <w:webHidden/>
              </w:rPr>
              <w:instrText xml:space="preserve"> PAGEREF _Toc231932201 \h </w:instrText>
            </w:r>
            <w:r>
              <w:rPr>
                <w:noProof/>
                <w:webHidden/>
              </w:rPr>
            </w:r>
            <w:r>
              <w:rPr>
                <w:noProof/>
                <w:webHidden/>
              </w:rPr>
              <w:fldChar w:fldCharType="separate"/>
            </w:r>
            <w:r w:rsidR="0035401F">
              <w:rPr>
                <w:noProof/>
                <w:webHidden/>
              </w:rPr>
              <w:t>15</w:t>
            </w:r>
            <w:r>
              <w:rPr>
                <w:noProof/>
                <w:webHidden/>
              </w:rPr>
              <w:fldChar w:fldCharType="end"/>
            </w:r>
          </w:hyperlink>
        </w:p>
        <w:p w14:paraId="19ED06ED" w14:textId="0F3C2342"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2" w:history="1">
            <w:r>
              <w:rPr>
                <w:rStyle w:val="Hyperlink"/>
                <w:noProof/>
              </w:rPr>
              <w:t>4.3 Candidate Comparison</w:t>
            </w:r>
            <w:r>
              <w:rPr>
                <w:noProof/>
                <w:webHidden/>
              </w:rPr>
              <w:tab/>
            </w:r>
            <w:r>
              <w:rPr>
                <w:noProof/>
                <w:webHidden/>
              </w:rPr>
              <w:fldChar w:fldCharType="begin"/>
            </w:r>
            <w:r>
              <w:rPr>
                <w:noProof/>
                <w:webHidden/>
              </w:rPr>
              <w:instrText xml:space="preserve"> PAGEREF _Toc231932202 \h </w:instrText>
            </w:r>
            <w:r>
              <w:rPr>
                <w:noProof/>
                <w:webHidden/>
              </w:rPr>
            </w:r>
            <w:r>
              <w:rPr>
                <w:noProof/>
                <w:webHidden/>
              </w:rPr>
              <w:fldChar w:fldCharType="separate"/>
            </w:r>
            <w:r w:rsidR="0035401F">
              <w:rPr>
                <w:noProof/>
                <w:webHidden/>
              </w:rPr>
              <w:t>17</w:t>
            </w:r>
            <w:r>
              <w:rPr>
                <w:noProof/>
                <w:webHidden/>
              </w:rPr>
              <w:fldChar w:fldCharType="end"/>
            </w:r>
          </w:hyperlink>
        </w:p>
        <w:p w14:paraId="352F6E91" w14:textId="2F17726E"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3" w:history="1">
            <w:r>
              <w:rPr>
                <w:rStyle w:val="Hyperlink"/>
                <w:noProof/>
              </w:rPr>
              <w:t>4.4 Selection and Rationale</w:t>
            </w:r>
            <w:r>
              <w:rPr>
                <w:noProof/>
                <w:webHidden/>
              </w:rPr>
              <w:tab/>
            </w:r>
            <w:r>
              <w:rPr>
                <w:noProof/>
                <w:webHidden/>
              </w:rPr>
              <w:fldChar w:fldCharType="begin"/>
            </w:r>
            <w:r>
              <w:rPr>
                <w:noProof/>
                <w:webHidden/>
              </w:rPr>
              <w:instrText xml:space="preserve"> PAGEREF _Toc231932203 \h </w:instrText>
            </w:r>
            <w:r>
              <w:rPr>
                <w:noProof/>
                <w:webHidden/>
              </w:rPr>
            </w:r>
            <w:r>
              <w:rPr>
                <w:noProof/>
                <w:webHidden/>
              </w:rPr>
              <w:fldChar w:fldCharType="separate"/>
            </w:r>
            <w:r w:rsidR="0035401F">
              <w:rPr>
                <w:noProof/>
                <w:webHidden/>
              </w:rPr>
              <w:t>17</w:t>
            </w:r>
            <w:r>
              <w:rPr>
                <w:noProof/>
                <w:webHidden/>
              </w:rPr>
              <w:fldChar w:fldCharType="end"/>
            </w:r>
          </w:hyperlink>
        </w:p>
        <w:p w14:paraId="77B17A8D" w14:textId="1F9D5189"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04" w:history="1">
            <w:r>
              <w:rPr>
                <w:rStyle w:val="Hyperlink"/>
                <w:noProof/>
              </w:rPr>
              <w:t>5. Design and Development</w:t>
            </w:r>
            <w:r>
              <w:rPr>
                <w:noProof/>
                <w:webHidden/>
              </w:rPr>
              <w:tab/>
            </w:r>
            <w:r>
              <w:rPr>
                <w:noProof/>
                <w:webHidden/>
              </w:rPr>
              <w:fldChar w:fldCharType="begin"/>
            </w:r>
            <w:r>
              <w:rPr>
                <w:noProof/>
                <w:webHidden/>
              </w:rPr>
              <w:instrText xml:space="preserve"> PAGEREF _Toc231932204 \h </w:instrText>
            </w:r>
            <w:r>
              <w:rPr>
                <w:noProof/>
                <w:webHidden/>
              </w:rPr>
            </w:r>
            <w:r>
              <w:rPr>
                <w:noProof/>
                <w:webHidden/>
              </w:rPr>
              <w:fldChar w:fldCharType="separate"/>
            </w:r>
            <w:r w:rsidR="0035401F">
              <w:rPr>
                <w:noProof/>
                <w:webHidden/>
              </w:rPr>
              <w:t>19</w:t>
            </w:r>
            <w:r>
              <w:rPr>
                <w:noProof/>
                <w:webHidden/>
              </w:rPr>
              <w:fldChar w:fldCharType="end"/>
            </w:r>
          </w:hyperlink>
        </w:p>
        <w:p w14:paraId="6EB7772B" w14:textId="6F6FB4D4"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5" w:history="1">
            <w:r>
              <w:rPr>
                <w:rStyle w:val="Hyperlink"/>
                <w:noProof/>
              </w:rPr>
              <w:t>5.1 Design Concept and Geometry</w:t>
            </w:r>
            <w:r>
              <w:rPr>
                <w:noProof/>
                <w:webHidden/>
              </w:rPr>
              <w:tab/>
            </w:r>
            <w:r>
              <w:rPr>
                <w:noProof/>
                <w:webHidden/>
              </w:rPr>
              <w:fldChar w:fldCharType="begin"/>
            </w:r>
            <w:r>
              <w:rPr>
                <w:noProof/>
                <w:webHidden/>
              </w:rPr>
              <w:instrText xml:space="preserve"> PAGEREF _Toc231932205 \h </w:instrText>
            </w:r>
            <w:r>
              <w:rPr>
                <w:noProof/>
                <w:webHidden/>
              </w:rPr>
            </w:r>
            <w:r>
              <w:rPr>
                <w:noProof/>
                <w:webHidden/>
              </w:rPr>
              <w:fldChar w:fldCharType="separate"/>
            </w:r>
            <w:r w:rsidR="0035401F">
              <w:rPr>
                <w:noProof/>
                <w:webHidden/>
              </w:rPr>
              <w:t>19</w:t>
            </w:r>
            <w:r>
              <w:rPr>
                <w:noProof/>
                <w:webHidden/>
              </w:rPr>
              <w:fldChar w:fldCharType="end"/>
            </w:r>
          </w:hyperlink>
        </w:p>
        <w:p w14:paraId="0F63A7E2" w14:textId="0193FE18"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6" w:history="1">
            <w:r>
              <w:rPr>
                <w:rStyle w:val="Hyperlink"/>
                <w:noProof/>
              </w:rPr>
              <w:t>5.2 DFM and DFA Considerations</w:t>
            </w:r>
            <w:r>
              <w:rPr>
                <w:noProof/>
                <w:webHidden/>
              </w:rPr>
              <w:tab/>
            </w:r>
            <w:r>
              <w:rPr>
                <w:noProof/>
                <w:webHidden/>
              </w:rPr>
              <w:fldChar w:fldCharType="begin"/>
            </w:r>
            <w:r>
              <w:rPr>
                <w:noProof/>
                <w:webHidden/>
              </w:rPr>
              <w:instrText xml:space="preserve"> PAGEREF _Toc231932206 \h </w:instrText>
            </w:r>
            <w:r>
              <w:rPr>
                <w:noProof/>
                <w:webHidden/>
              </w:rPr>
            </w:r>
            <w:r>
              <w:rPr>
                <w:noProof/>
                <w:webHidden/>
              </w:rPr>
              <w:fldChar w:fldCharType="separate"/>
            </w:r>
            <w:r w:rsidR="0035401F">
              <w:rPr>
                <w:noProof/>
                <w:webHidden/>
              </w:rPr>
              <w:t>21</w:t>
            </w:r>
            <w:r>
              <w:rPr>
                <w:noProof/>
                <w:webHidden/>
              </w:rPr>
              <w:fldChar w:fldCharType="end"/>
            </w:r>
          </w:hyperlink>
        </w:p>
        <w:p w14:paraId="7D2C34EE" w14:textId="4AE9396A"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07" w:history="1">
            <w:r>
              <w:rPr>
                <w:rStyle w:val="Hyperlink"/>
                <w:noProof/>
              </w:rPr>
              <w:t>6. Manufacturing Process Planning</w:t>
            </w:r>
            <w:r>
              <w:rPr>
                <w:noProof/>
                <w:webHidden/>
              </w:rPr>
              <w:tab/>
            </w:r>
            <w:r>
              <w:rPr>
                <w:noProof/>
                <w:webHidden/>
              </w:rPr>
              <w:fldChar w:fldCharType="begin"/>
            </w:r>
            <w:r>
              <w:rPr>
                <w:noProof/>
                <w:webHidden/>
              </w:rPr>
              <w:instrText xml:space="preserve"> PAGEREF _Toc231932207 \h </w:instrText>
            </w:r>
            <w:r>
              <w:rPr>
                <w:noProof/>
                <w:webHidden/>
              </w:rPr>
            </w:r>
            <w:r>
              <w:rPr>
                <w:noProof/>
                <w:webHidden/>
              </w:rPr>
              <w:fldChar w:fldCharType="separate"/>
            </w:r>
            <w:r w:rsidR="0035401F">
              <w:rPr>
                <w:noProof/>
                <w:webHidden/>
              </w:rPr>
              <w:t>23</w:t>
            </w:r>
            <w:r>
              <w:rPr>
                <w:noProof/>
                <w:webHidden/>
              </w:rPr>
              <w:fldChar w:fldCharType="end"/>
            </w:r>
          </w:hyperlink>
        </w:p>
        <w:p w14:paraId="23F798A1" w14:textId="45DF5046"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08" w:history="1">
            <w:r>
              <w:rPr>
                <w:rStyle w:val="Hyperlink"/>
                <w:noProof/>
              </w:rPr>
              <w:t>7. Simulation and Validation</w:t>
            </w:r>
            <w:r>
              <w:rPr>
                <w:noProof/>
                <w:webHidden/>
              </w:rPr>
              <w:tab/>
            </w:r>
            <w:r>
              <w:rPr>
                <w:noProof/>
                <w:webHidden/>
              </w:rPr>
              <w:fldChar w:fldCharType="begin"/>
            </w:r>
            <w:r>
              <w:rPr>
                <w:noProof/>
                <w:webHidden/>
              </w:rPr>
              <w:instrText xml:space="preserve"> PAGEREF _Toc231932208 \h </w:instrText>
            </w:r>
            <w:r>
              <w:rPr>
                <w:noProof/>
                <w:webHidden/>
              </w:rPr>
            </w:r>
            <w:r>
              <w:rPr>
                <w:noProof/>
                <w:webHidden/>
              </w:rPr>
              <w:fldChar w:fldCharType="separate"/>
            </w:r>
            <w:r w:rsidR="0035401F">
              <w:rPr>
                <w:noProof/>
                <w:webHidden/>
              </w:rPr>
              <w:t>25</w:t>
            </w:r>
            <w:r>
              <w:rPr>
                <w:noProof/>
                <w:webHidden/>
              </w:rPr>
              <w:fldChar w:fldCharType="end"/>
            </w:r>
          </w:hyperlink>
        </w:p>
        <w:p w14:paraId="6CA7303A" w14:textId="12F99E41"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09" w:history="1">
            <w:r>
              <w:rPr>
                <w:rStyle w:val="Hyperlink"/>
                <w:noProof/>
              </w:rPr>
              <w:t>7.1 Fusion 360 Plastic Simulation: Polymer Flow</w:t>
            </w:r>
            <w:r>
              <w:rPr>
                <w:noProof/>
                <w:webHidden/>
              </w:rPr>
              <w:tab/>
            </w:r>
            <w:r>
              <w:rPr>
                <w:noProof/>
                <w:webHidden/>
              </w:rPr>
              <w:fldChar w:fldCharType="begin"/>
            </w:r>
            <w:r>
              <w:rPr>
                <w:noProof/>
                <w:webHidden/>
              </w:rPr>
              <w:instrText xml:space="preserve"> PAGEREF _Toc231932209 \h </w:instrText>
            </w:r>
            <w:r>
              <w:rPr>
                <w:noProof/>
                <w:webHidden/>
              </w:rPr>
            </w:r>
            <w:r>
              <w:rPr>
                <w:noProof/>
                <w:webHidden/>
              </w:rPr>
              <w:fldChar w:fldCharType="separate"/>
            </w:r>
            <w:r w:rsidR="0035401F">
              <w:rPr>
                <w:noProof/>
                <w:webHidden/>
              </w:rPr>
              <w:t>25</w:t>
            </w:r>
            <w:r>
              <w:rPr>
                <w:noProof/>
                <w:webHidden/>
              </w:rPr>
              <w:fldChar w:fldCharType="end"/>
            </w:r>
          </w:hyperlink>
        </w:p>
        <w:p w14:paraId="64F215CF" w14:textId="6A8EDF03"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0" w:history="1">
            <w:r>
              <w:rPr>
                <w:rStyle w:val="Hyperlink"/>
                <w:noProof/>
              </w:rPr>
              <w:t>7.1.1 Setup and Assumptions</w:t>
            </w:r>
            <w:r>
              <w:rPr>
                <w:noProof/>
                <w:webHidden/>
              </w:rPr>
              <w:tab/>
            </w:r>
            <w:r>
              <w:rPr>
                <w:noProof/>
                <w:webHidden/>
              </w:rPr>
              <w:fldChar w:fldCharType="begin"/>
            </w:r>
            <w:r>
              <w:rPr>
                <w:noProof/>
                <w:webHidden/>
              </w:rPr>
              <w:instrText xml:space="preserve"> PAGEREF _Toc231932210 \h </w:instrText>
            </w:r>
            <w:r>
              <w:rPr>
                <w:noProof/>
                <w:webHidden/>
              </w:rPr>
            </w:r>
            <w:r>
              <w:rPr>
                <w:noProof/>
                <w:webHidden/>
              </w:rPr>
              <w:fldChar w:fldCharType="separate"/>
            </w:r>
            <w:r w:rsidR="0035401F">
              <w:rPr>
                <w:noProof/>
                <w:webHidden/>
              </w:rPr>
              <w:t>25</w:t>
            </w:r>
            <w:r>
              <w:rPr>
                <w:noProof/>
                <w:webHidden/>
              </w:rPr>
              <w:fldChar w:fldCharType="end"/>
            </w:r>
          </w:hyperlink>
        </w:p>
        <w:p w14:paraId="363B800A" w14:textId="21605A25"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1" w:history="1">
            <w:r>
              <w:rPr>
                <w:rStyle w:val="Hyperlink"/>
                <w:noProof/>
              </w:rPr>
              <w:t>7.1.2 Iterative Flow Optimisation</w:t>
            </w:r>
            <w:r>
              <w:rPr>
                <w:noProof/>
                <w:webHidden/>
              </w:rPr>
              <w:tab/>
            </w:r>
            <w:r>
              <w:rPr>
                <w:noProof/>
                <w:webHidden/>
              </w:rPr>
              <w:fldChar w:fldCharType="begin"/>
            </w:r>
            <w:r>
              <w:rPr>
                <w:noProof/>
                <w:webHidden/>
              </w:rPr>
              <w:instrText xml:space="preserve"> PAGEREF _Toc231932211 \h </w:instrText>
            </w:r>
            <w:r>
              <w:rPr>
                <w:noProof/>
                <w:webHidden/>
              </w:rPr>
            </w:r>
            <w:r>
              <w:rPr>
                <w:noProof/>
                <w:webHidden/>
              </w:rPr>
              <w:fldChar w:fldCharType="separate"/>
            </w:r>
            <w:r w:rsidR="0035401F">
              <w:rPr>
                <w:noProof/>
                <w:webHidden/>
              </w:rPr>
              <w:t>25</w:t>
            </w:r>
            <w:r>
              <w:rPr>
                <w:noProof/>
                <w:webHidden/>
              </w:rPr>
              <w:fldChar w:fldCharType="end"/>
            </w:r>
          </w:hyperlink>
        </w:p>
        <w:p w14:paraId="23ABD14F" w14:textId="70B6B19B"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2" w:history="1">
            <w:r>
              <w:rPr>
                <w:rStyle w:val="Hyperlink"/>
                <w:noProof/>
              </w:rPr>
              <w:t>7.1.3 Final Design Result (Iteration 5)</w:t>
            </w:r>
            <w:r>
              <w:rPr>
                <w:noProof/>
                <w:webHidden/>
              </w:rPr>
              <w:tab/>
            </w:r>
            <w:r>
              <w:rPr>
                <w:noProof/>
                <w:webHidden/>
              </w:rPr>
              <w:fldChar w:fldCharType="begin"/>
            </w:r>
            <w:r>
              <w:rPr>
                <w:noProof/>
                <w:webHidden/>
              </w:rPr>
              <w:instrText xml:space="preserve"> PAGEREF _Toc231932212 \h </w:instrText>
            </w:r>
            <w:r>
              <w:rPr>
                <w:noProof/>
                <w:webHidden/>
              </w:rPr>
            </w:r>
            <w:r>
              <w:rPr>
                <w:noProof/>
                <w:webHidden/>
              </w:rPr>
              <w:fldChar w:fldCharType="separate"/>
            </w:r>
            <w:r w:rsidR="0035401F">
              <w:rPr>
                <w:noProof/>
                <w:webHidden/>
              </w:rPr>
              <w:t>26</w:t>
            </w:r>
            <w:r>
              <w:rPr>
                <w:noProof/>
                <w:webHidden/>
              </w:rPr>
              <w:fldChar w:fldCharType="end"/>
            </w:r>
          </w:hyperlink>
        </w:p>
        <w:p w14:paraId="118976BB" w14:textId="2DE358C6"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3" w:history="1">
            <w:r>
              <w:rPr>
                <w:rStyle w:val="Hyperlink"/>
                <w:noProof/>
              </w:rPr>
              <w:t>7.1.4 Wall-Thickness Hypothesis Test</w:t>
            </w:r>
            <w:r>
              <w:rPr>
                <w:noProof/>
                <w:webHidden/>
              </w:rPr>
              <w:tab/>
            </w:r>
            <w:r>
              <w:rPr>
                <w:noProof/>
                <w:webHidden/>
              </w:rPr>
              <w:fldChar w:fldCharType="begin"/>
            </w:r>
            <w:r>
              <w:rPr>
                <w:noProof/>
                <w:webHidden/>
              </w:rPr>
              <w:instrText xml:space="preserve"> PAGEREF _Toc231932213 \h </w:instrText>
            </w:r>
            <w:r>
              <w:rPr>
                <w:noProof/>
                <w:webHidden/>
              </w:rPr>
            </w:r>
            <w:r>
              <w:rPr>
                <w:noProof/>
                <w:webHidden/>
              </w:rPr>
              <w:fldChar w:fldCharType="separate"/>
            </w:r>
            <w:r w:rsidR="0035401F">
              <w:rPr>
                <w:noProof/>
                <w:webHidden/>
              </w:rPr>
              <w:t>28</w:t>
            </w:r>
            <w:r>
              <w:rPr>
                <w:noProof/>
                <w:webHidden/>
              </w:rPr>
              <w:fldChar w:fldCharType="end"/>
            </w:r>
          </w:hyperlink>
        </w:p>
        <w:p w14:paraId="619C8BCB" w14:textId="236BBB3C"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14" w:history="1">
            <w:r>
              <w:rPr>
                <w:rStyle w:val="Hyperlink"/>
                <w:noProof/>
              </w:rPr>
              <w:t>7.2 Fusion 360 Static Stress Simulation: Structural Validation</w:t>
            </w:r>
            <w:r>
              <w:rPr>
                <w:noProof/>
                <w:webHidden/>
              </w:rPr>
              <w:tab/>
            </w:r>
            <w:r>
              <w:rPr>
                <w:noProof/>
                <w:webHidden/>
              </w:rPr>
              <w:fldChar w:fldCharType="begin"/>
            </w:r>
            <w:r>
              <w:rPr>
                <w:noProof/>
                <w:webHidden/>
              </w:rPr>
              <w:instrText xml:space="preserve"> PAGEREF _Toc231932214 \h </w:instrText>
            </w:r>
            <w:r>
              <w:rPr>
                <w:noProof/>
                <w:webHidden/>
              </w:rPr>
            </w:r>
            <w:r>
              <w:rPr>
                <w:noProof/>
                <w:webHidden/>
              </w:rPr>
              <w:fldChar w:fldCharType="separate"/>
            </w:r>
            <w:r w:rsidR="0035401F">
              <w:rPr>
                <w:noProof/>
                <w:webHidden/>
              </w:rPr>
              <w:t>28</w:t>
            </w:r>
            <w:r>
              <w:rPr>
                <w:noProof/>
                <w:webHidden/>
              </w:rPr>
              <w:fldChar w:fldCharType="end"/>
            </w:r>
          </w:hyperlink>
        </w:p>
        <w:p w14:paraId="4DABDCDD" w14:textId="06CA8797"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5" w:history="1">
            <w:r>
              <w:rPr>
                <w:rStyle w:val="Hyperlink"/>
                <w:noProof/>
              </w:rPr>
              <w:t>7.2.1 General Setup and Assumptions</w:t>
            </w:r>
            <w:r>
              <w:rPr>
                <w:noProof/>
                <w:webHidden/>
              </w:rPr>
              <w:tab/>
            </w:r>
            <w:r>
              <w:rPr>
                <w:noProof/>
                <w:webHidden/>
              </w:rPr>
              <w:fldChar w:fldCharType="begin"/>
            </w:r>
            <w:r>
              <w:rPr>
                <w:noProof/>
                <w:webHidden/>
              </w:rPr>
              <w:instrText xml:space="preserve"> PAGEREF _Toc231932215 \h </w:instrText>
            </w:r>
            <w:r>
              <w:rPr>
                <w:noProof/>
                <w:webHidden/>
              </w:rPr>
            </w:r>
            <w:r>
              <w:rPr>
                <w:noProof/>
                <w:webHidden/>
              </w:rPr>
              <w:fldChar w:fldCharType="separate"/>
            </w:r>
            <w:r w:rsidR="0035401F">
              <w:rPr>
                <w:noProof/>
                <w:webHidden/>
              </w:rPr>
              <w:t>29</w:t>
            </w:r>
            <w:r>
              <w:rPr>
                <w:noProof/>
                <w:webHidden/>
              </w:rPr>
              <w:fldChar w:fldCharType="end"/>
            </w:r>
          </w:hyperlink>
        </w:p>
        <w:p w14:paraId="5544D643" w14:textId="1F99FCFB"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6" w:history="1">
            <w:r>
              <w:rPr>
                <w:rStyle w:val="Hyperlink"/>
                <w:noProof/>
              </w:rPr>
              <w:t>7.2.2 Load Case 1: Localised Press on Screen Face</w:t>
            </w:r>
            <w:r>
              <w:rPr>
                <w:noProof/>
                <w:webHidden/>
              </w:rPr>
              <w:tab/>
            </w:r>
            <w:r>
              <w:rPr>
                <w:noProof/>
                <w:webHidden/>
              </w:rPr>
              <w:fldChar w:fldCharType="begin"/>
            </w:r>
            <w:r>
              <w:rPr>
                <w:noProof/>
                <w:webHidden/>
              </w:rPr>
              <w:instrText xml:space="preserve"> PAGEREF _Toc231932216 \h </w:instrText>
            </w:r>
            <w:r>
              <w:rPr>
                <w:noProof/>
                <w:webHidden/>
              </w:rPr>
            </w:r>
            <w:r>
              <w:rPr>
                <w:noProof/>
                <w:webHidden/>
              </w:rPr>
              <w:fldChar w:fldCharType="separate"/>
            </w:r>
            <w:r w:rsidR="0035401F">
              <w:rPr>
                <w:noProof/>
                <w:webHidden/>
              </w:rPr>
              <w:t>29</w:t>
            </w:r>
            <w:r>
              <w:rPr>
                <w:noProof/>
                <w:webHidden/>
              </w:rPr>
              <w:fldChar w:fldCharType="end"/>
            </w:r>
          </w:hyperlink>
        </w:p>
        <w:p w14:paraId="4CDCA939" w14:textId="5A9A11FB"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7" w:history="1">
            <w:r>
              <w:rPr>
                <w:rStyle w:val="Hyperlink"/>
                <w:noProof/>
              </w:rPr>
              <w:t>7.2.3 Load Case 2: Torsional Grip Load</w:t>
            </w:r>
            <w:r>
              <w:rPr>
                <w:noProof/>
                <w:webHidden/>
              </w:rPr>
              <w:tab/>
            </w:r>
            <w:r>
              <w:rPr>
                <w:noProof/>
                <w:webHidden/>
              </w:rPr>
              <w:fldChar w:fldCharType="begin"/>
            </w:r>
            <w:r>
              <w:rPr>
                <w:noProof/>
                <w:webHidden/>
              </w:rPr>
              <w:instrText xml:space="preserve"> PAGEREF _Toc231932217 \h </w:instrText>
            </w:r>
            <w:r>
              <w:rPr>
                <w:noProof/>
                <w:webHidden/>
              </w:rPr>
            </w:r>
            <w:r>
              <w:rPr>
                <w:noProof/>
                <w:webHidden/>
              </w:rPr>
              <w:fldChar w:fldCharType="separate"/>
            </w:r>
            <w:r w:rsidR="0035401F">
              <w:rPr>
                <w:noProof/>
                <w:webHidden/>
              </w:rPr>
              <w:t>31</w:t>
            </w:r>
            <w:r>
              <w:rPr>
                <w:noProof/>
                <w:webHidden/>
              </w:rPr>
              <w:fldChar w:fldCharType="end"/>
            </w:r>
          </w:hyperlink>
        </w:p>
        <w:p w14:paraId="4854C43A" w14:textId="7C748B75"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8" w:history="1">
            <w:r>
              <w:rPr>
                <w:rStyle w:val="Hyperlink"/>
                <w:noProof/>
              </w:rPr>
              <w:t>7.2.4 Load Case 3: Point Load Adjacent to Camera Cut-out</w:t>
            </w:r>
            <w:r>
              <w:rPr>
                <w:noProof/>
                <w:webHidden/>
              </w:rPr>
              <w:tab/>
            </w:r>
            <w:r>
              <w:rPr>
                <w:noProof/>
                <w:webHidden/>
              </w:rPr>
              <w:fldChar w:fldCharType="begin"/>
            </w:r>
            <w:r>
              <w:rPr>
                <w:noProof/>
                <w:webHidden/>
              </w:rPr>
              <w:instrText xml:space="preserve"> PAGEREF _Toc231932218 \h </w:instrText>
            </w:r>
            <w:r>
              <w:rPr>
                <w:noProof/>
                <w:webHidden/>
              </w:rPr>
            </w:r>
            <w:r>
              <w:rPr>
                <w:noProof/>
                <w:webHidden/>
              </w:rPr>
              <w:fldChar w:fldCharType="separate"/>
            </w:r>
            <w:r w:rsidR="0035401F">
              <w:rPr>
                <w:noProof/>
                <w:webHidden/>
              </w:rPr>
              <w:t>33</w:t>
            </w:r>
            <w:r>
              <w:rPr>
                <w:noProof/>
                <w:webHidden/>
              </w:rPr>
              <w:fldChar w:fldCharType="end"/>
            </w:r>
          </w:hyperlink>
        </w:p>
        <w:p w14:paraId="76F8BAB6" w14:textId="4C5506C1" w:rsidR="00FF3F92" w:rsidRDefault="00FF3F92">
          <w:pPr>
            <w:pStyle w:val="TOC3"/>
            <w:tabs>
              <w:tab w:val="right" w:leader="dot" w:pos="9016"/>
            </w:tabs>
            <w:rPr>
              <w:rFonts w:asciiTheme="minorHAnsi" w:eastAsiaTheme="minorEastAsia" w:hAnsiTheme="minorHAnsi" w:cstheme="minorBidi"/>
              <w:noProof/>
              <w:kern w:val="2"/>
              <w14:ligatures w14:val="standardContextual"/>
            </w:rPr>
          </w:pPr>
          <w:hyperlink w:anchor="_Toc231932219" w:history="1">
            <w:r>
              <w:rPr>
                <w:rStyle w:val="Hyperlink"/>
                <w:noProof/>
              </w:rPr>
              <w:t>7.2.5 Summary and Validation Check</w:t>
            </w:r>
            <w:r>
              <w:rPr>
                <w:noProof/>
                <w:webHidden/>
              </w:rPr>
              <w:tab/>
            </w:r>
            <w:r>
              <w:rPr>
                <w:noProof/>
                <w:webHidden/>
              </w:rPr>
              <w:fldChar w:fldCharType="begin"/>
            </w:r>
            <w:r>
              <w:rPr>
                <w:noProof/>
                <w:webHidden/>
              </w:rPr>
              <w:instrText xml:space="preserve"> PAGEREF _Toc231932219 \h </w:instrText>
            </w:r>
            <w:r>
              <w:rPr>
                <w:noProof/>
                <w:webHidden/>
              </w:rPr>
            </w:r>
            <w:r>
              <w:rPr>
                <w:noProof/>
                <w:webHidden/>
              </w:rPr>
              <w:fldChar w:fldCharType="separate"/>
            </w:r>
            <w:r w:rsidR="0035401F">
              <w:rPr>
                <w:noProof/>
                <w:webHidden/>
              </w:rPr>
              <w:t>35</w:t>
            </w:r>
            <w:r>
              <w:rPr>
                <w:noProof/>
                <w:webHidden/>
              </w:rPr>
              <w:fldChar w:fldCharType="end"/>
            </w:r>
          </w:hyperlink>
        </w:p>
        <w:p w14:paraId="3F1FC98F" w14:textId="1F56AA3E"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0" w:history="1">
            <w:r>
              <w:rPr>
                <w:rStyle w:val="Hyperlink"/>
                <w:noProof/>
              </w:rPr>
              <w:t>7.3 Dimensional Accuracy and Tolerance Discussion</w:t>
            </w:r>
            <w:r>
              <w:rPr>
                <w:noProof/>
                <w:webHidden/>
              </w:rPr>
              <w:tab/>
            </w:r>
            <w:r>
              <w:rPr>
                <w:noProof/>
                <w:webHidden/>
              </w:rPr>
              <w:fldChar w:fldCharType="begin"/>
            </w:r>
            <w:r>
              <w:rPr>
                <w:noProof/>
                <w:webHidden/>
              </w:rPr>
              <w:instrText xml:space="preserve"> PAGEREF _Toc231932220 \h </w:instrText>
            </w:r>
            <w:r>
              <w:rPr>
                <w:noProof/>
                <w:webHidden/>
              </w:rPr>
            </w:r>
            <w:r>
              <w:rPr>
                <w:noProof/>
                <w:webHidden/>
              </w:rPr>
              <w:fldChar w:fldCharType="separate"/>
            </w:r>
            <w:r w:rsidR="0035401F">
              <w:rPr>
                <w:noProof/>
                <w:webHidden/>
              </w:rPr>
              <w:t>36</w:t>
            </w:r>
            <w:r>
              <w:rPr>
                <w:noProof/>
                <w:webHidden/>
              </w:rPr>
              <w:fldChar w:fldCharType="end"/>
            </w:r>
          </w:hyperlink>
        </w:p>
        <w:p w14:paraId="41844D17" w14:textId="76344FF3"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21" w:history="1">
            <w:r>
              <w:rPr>
                <w:rStyle w:val="Hyperlink"/>
                <w:noProof/>
              </w:rPr>
              <w:t>8. Cost Calculation and Break-Even Analysis</w:t>
            </w:r>
            <w:r>
              <w:rPr>
                <w:noProof/>
                <w:webHidden/>
              </w:rPr>
              <w:tab/>
            </w:r>
            <w:r>
              <w:rPr>
                <w:noProof/>
                <w:webHidden/>
              </w:rPr>
              <w:fldChar w:fldCharType="begin"/>
            </w:r>
            <w:r>
              <w:rPr>
                <w:noProof/>
                <w:webHidden/>
              </w:rPr>
              <w:instrText xml:space="preserve"> PAGEREF _Toc231932221 \h </w:instrText>
            </w:r>
            <w:r>
              <w:rPr>
                <w:noProof/>
                <w:webHidden/>
              </w:rPr>
            </w:r>
            <w:r>
              <w:rPr>
                <w:noProof/>
                <w:webHidden/>
              </w:rPr>
              <w:fldChar w:fldCharType="separate"/>
            </w:r>
            <w:r w:rsidR="0035401F">
              <w:rPr>
                <w:noProof/>
                <w:webHidden/>
              </w:rPr>
              <w:t>37</w:t>
            </w:r>
            <w:r>
              <w:rPr>
                <w:noProof/>
                <w:webHidden/>
              </w:rPr>
              <w:fldChar w:fldCharType="end"/>
            </w:r>
          </w:hyperlink>
        </w:p>
        <w:p w14:paraId="0B8E328A" w14:textId="32D0574F"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2" w:history="1">
            <w:r>
              <w:rPr>
                <w:rStyle w:val="Hyperlink"/>
                <w:noProof/>
              </w:rPr>
              <w:t>8.1 Cost Model</w:t>
            </w:r>
            <w:r>
              <w:rPr>
                <w:noProof/>
                <w:webHidden/>
              </w:rPr>
              <w:tab/>
            </w:r>
            <w:r>
              <w:rPr>
                <w:noProof/>
                <w:webHidden/>
              </w:rPr>
              <w:fldChar w:fldCharType="begin"/>
            </w:r>
            <w:r>
              <w:rPr>
                <w:noProof/>
                <w:webHidden/>
              </w:rPr>
              <w:instrText xml:space="preserve"> PAGEREF _Toc231932222 \h </w:instrText>
            </w:r>
            <w:r>
              <w:rPr>
                <w:noProof/>
                <w:webHidden/>
              </w:rPr>
            </w:r>
            <w:r>
              <w:rPr>
                <w:noProof/>
                <w:webHidden/>
              </w:rPr>
              <w:fldChar w:fldCharType="separate"/>
            </w:r>
            <w:r w:rsidR="0035401F">
              <w:rPr>
                <w:noProof/>
                <w:webHidden/>
              </w:rPr>
              <w:t>37</w:t>
            </w:r>
            <w:r>
              <w:rPr>
                <w:noProof/>
                <w:webHidden/>
              </w:rPr>
              <w:fldChar w:fldCharType="end"/>
            </w:r>
          </w:hyperlink>
        </w:p>
        <w:p w14:paraId="6935A109" w14:textId="6EE4C7B0"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3" w:history="1">
            <w:r>
              <w:rPr>
                <w:rStyle w:val="Hyperlink"/>
                <w:noProof/>
              </w:rPr>
              <w:t>8.2 Input Parameters</w:t>
            </w:r>
            <w:r>
              <w:rPr>
                <w:noProof/>
                <w:webHidden/>
              </w:rPr>
              <w:tab/>
            </w:r>
            <w:r>
              <w:rPr>
                <w:noProof/>
                <w:webHidden/>
              </w:rPr>
              <w:fldChar w:fldCharType="begin"/>
            </w:r>
            <w:r>
              <w:rPr>
                <w:noProof/>
                <w:webHidden/>
              </w:rPr>
              <w:instrText xml:space="preserve"> PAGEREF _Toc231932223 \h </w:instrText>
            </w:r>
            <w:r>
              <w:rPr>
                <w:noProof/>
                <w:webHidden/>
              </w:rPr>
            </w:r>
            <w:r>
              <w:rPr>
                <w:noProof/>
                <w:webHidden/>
              </w:rPr>
              <w:fldChar w:fldCharType="separate"/>
            </w:r>
            <w:r w:rsidR="0035401F">
              <w:rPr>
                <w:noProof/>
                <w:webHidden/>
              </w:rPr>
              <w:t>37</w:t>
            </w:r>
            <w:r>
              <w:rPr>
                <w:noProof/>
                <w:webHidden/>
              </w:rPr>
              <w:fldChar w:fldCharType="end"/>
            </w:r>
          </w:hyperlink>
        </w:p>
        <w:p w14:paraId="496FCC5B" w14:textId="2D35C0D8"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4" w:history="1">
            <w:r>
              <w:rPr>
                <w:rStyle w:val="Hyperlink"/>
                <w:noProof/>
              </w:rPr>
              <w:t>8.3 Worked Calculation</w:t>
            </w:r>
            <w:r>
              <w:rPr>
                <w:noProof/>
                <w:webHidden/>
              </w:rPr>
              <w:tab/>
            </w:r>
            <w:r>
              <w:rPr>
                <w:noProof/>
                <w:webHidden/>
              </w:rPr>
              <w:fldChar w:fldCharType="begin"/>
            </w:r>
            <w:r>
              <w:rPr>
                <w:noProof/>
                <w:webHidden/>
              </w:rPr>
              <w:instrText xml:space="preserve"> PAGEREF _Toc231932224 \h </w:instrText>
            </w:r>
            <w:r>
              <w:rPr>
                <w:noProof/>
                <w:webHidden/>
              </w:rPr>
            </w:r>
            <w:r>
              <w:rPr>
                <w:noProof/>
                <w:webHidden/>
              </w:rPr>
              <w:fldChar w:fldCharType="separate"/>
            </w:r>
            <w:r w:rsidR="0035401F">
              <w:rPr>
                <w:noProof/>
                <w:webHidden/>
              </w:rPr>
              <w:t>38</w:t>
            </w:r>
            <w:r>
              <w:rPr>
                <w:noProof/>
                <w:webHidden/>
              </w:rPr>
              <w:fldChar w:fldCharType="end"/>
            </w:r>
          </w:hyperlink>
        </w:p>
        <w:p w14:paraId="60FFA316" w14:textId="47CE5322"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5" w:history="1">
            <w:r>
              <w:rPr>
                <w:rStyle w:val="Hyperlink"/>
                <w:noProof/>
              </w:rPr>
              <w:t>8.4 Break-Even Analysis</w:t>
            </w:r>
            <w:r>
              <w:rPr>
                <w:noProof/>
                <w:webHidden/>
              </w:rPr>
              <w:tab/>
            </w:r>
            <w:r>
              <w:rPr>
                <w:noProof/>
                <w:webHidden/>
              </w:rPr>
              <w:fldChar w:fldCharType="begin"/>
            </w:r>
            <w:r>
              <w:rPr>
                <w:noProof/>
                <w:webHidden/>
              </w:rPr>
              <w:instrText xml:space="preserve"> PAGEREF _Toc231932225 \h </w:instrText>
            </w:r>
            <w:r>
              <w:rPr>
                <w:noProof/>
                <w:webHidden/>
              </w:rPr>
            </w:r>
            <w:r>
              <w:rPr>
                <w:noProof/>
                <w:webHidden/>
              </w:rPr>
              <w:fldChar w:fldCharType="separate"/>
            </w:r>
            <w:r w:rsidR="0035401F">
              <w:rPr>
                <w:noProof/>
                <w:webHidden/>
              </w:rPr>
              <w:t>39</w:t>
            </w:r>
            <w:r>
              <w:rPr>
                <w:noProof/>
                <w:webHidden/>
              </w:rPr>
              <w:fldChar w:fldCharType="end"/>
            </w:r>
          </w:hyperlink>
        </w:p>
        <w:p w14:paraId="4A206FA3" w14:textId="5BE7D28D"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6" w:history="1">
            <w:r>
              <w:rPr>
                <w:rStyle w:val="Hyperlink"/>
                <w:noProof/>
              </w:rPr>
              <w:t>8.5 Comparison with Alternative Manufacturing Routes</w:t>
            </w:r>
            <w:r>
              <w:rPr>
                <w:noProof/>
                <w:webHidden/>
              </w:rPr>
              <w:tab/>
            </w:r>
            <w:r>
              <w:rPr>
                <w:noProof/>
                <w:webHidden/>
              </w:rPr>
              <w:fldChar w:fldCharType="begin"/>
            </w:r>
            <w:r>
              <w:rPr>
                <w:noProof/>
                <w:webHidden/>
              </w:rPr>
              <w:instrText xml:space="preserve"> PAGEREF _Toc231932226 \h </w:instrText>
            </w:r>
            <w:r>
              <w:rPr>
                <w:noProof/>
                <w:webHidden/>
              </w:rPr>
            </w:r>
            <w:r>
              <w:rPr>
                <w:noProof/>
                <w:webHidden/>
              </w:rPr>
              <w:fldChar w:fldCharType="separate"/>
            </w:r>
            <w:r w:rsidR="0035401F">
              <w:rPr>
                <w:noProof/>
                <w:webHidden/>
              </w:rPr>
              <w:t>40</w:t>
            </w:r>
            <w:r>
              <w:rPr>
                <w:noProof/>
                <w:webHidden/>
              </w:rPr>
              <w:fldChar w:fldCharType="end"/>
            </w:r>
          </w:hyperlink>
        </w:p>
        <w:p w14:paraId="5967A897" w14:textId="74E8611D"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27" w:history="1">
            <w:r>
              <w:rPr>
                <w:rStyle w:val="Hyperlink"/>
                <w:noProof/>
              </w:rPr>
              <w:t>9. Sustainability Considerations</w:t>
            </w:r>
            <w:r>
              <w:rPr>
                <w:noProof/>
                <w:webHidden/>
              </w:rPr>
              <w:tab/>
            </w:r>
            <w:r>
              <w:rPr>
                <w:noProof/>
                <w:webHidden/>
              </w:rPr>
              <w:fldChar w:fldCharType="begin"/>
            </w:r>
            <w:r>
              <w:rPr>
                <w:noProof/>
                <w:webHidden/>
              </w:rPr>
              <w:instrText xml:space="preserve"> PAGEREF _Toc231932227 \h </w:instrText>
            </w:r>
            <w:r>
              <w:rPr>
                <w:noProof/>
                <w:webHidden/>
              </w:rPr>
            </w:r>
            <w:r>
              <w:rPr>
                <w:noProof/>
                <w:webHidden/>
              </w:rPr>
              <w:fldChar w:fldCharType="separate"/>
            </w:r>
            <w:r w:rsidR="0035401F">
              <w:rPr>
                <w:noProof/>
                <w:webHidden/>
              </w:rPr>
              <w:t>41</w:t>
            </w:r>
            <w:r>
              <w:rPr>
                <w:noProof/>
                <w:webHidden/>
              </w:rPr>
              <w:fldChar w:fldCharType="end"/>
            </w:r>
          </w:hyperlink>
        </w:p>
        <w:p w14:paraId="78BB83AA" w14:textId="50B0CBC2"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8" w:history="1">
            <w:r>
              <w:rPr>
                <w:rStyle w:val="Hyperlink"/>
                <w:noProof/>
              </w:rPr>
              <w:t>9.1 Material Recyclability</w:t>
            </w:r>
            <w:r>
              <w:rPr>
                <w:noProof/>
                <w:webHidden/>
              </w:rPr>
              <w:tab/>
            </w:r>
            <w:r>
              <w:rPr>
                <w:noProof/>
                <w:webHidden/>
              </w:rPr>
              <w:fldChar w:fldCharType="begin"/>
            </w:r>
            <w:r>
              <w:rPr>
                <w:noProof/>
                <w:webHidden/>
              </w:rPr>
              <w:instrText xml:space="preserve"> PAGEREF _Toc231932228 \h </w:instrText>
            </w:r>
            <w:r>
              <w:rPr>
                <w:noProof/>
                <w:webHidden/>
              </w:rPr>
            </w:r>
            <w:r>
              <w:rPr>
                <w:noProof/>
                <w:webHidden/>
              </w:rPr>
              <w:fldChar w:fldCharType="separate"/>
            </w:r>
            <w:r w:rsidR="0035401F">
              <w:rPr>
                <w:noProof/>
                <w:webHidden/>
              </w:rPr>
              <w:t>41</w:t>
            </w:r>
            <w:r>
              <w:rPr>
                <w:noProof/>
                <w:webHidden/>
              </w:rPr>
              <w:fldChar w:fldCharType="end"/>
            </w:r>
          </w:hyperlink>
        </w:p>
        <w:p w14:paraId="4CB716A7" w14:textId="51E2975F"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29" w:history="1">
            <w:r>
              <w:rPr>
                <w:rStyle w:val="Hyperlink"/>
                <w:noProof/>
              </w:rPr>
              <w:t>9.2 Energy and Process Efficiency</w:t>
            </w:r>
            <w:r>
              <w:rPr>
                <w:noProof/>
                <w:webHidden/>
              </w:rPr>
              <w:tab/>
            </w:r>
            <w:r>
              <w:rPr>
                <w:noProof/>
                <w:webHidden/>
              </w:rPr>
              <w:fldChar w:fldCharType="begin"/>
            </w:r>
            <w:r>
              <w:rPr>
                <w:noProof/>
                <w:webHidden/>
              </w:rPr>
              <w:instrText xml:space="preserve"> PAGEREF _Toc231932229 \h </w:instrText>
            </w:r>
            <w:r>
              <w:rPr>
                <w:noProof/>
                <w:webHidden/>
              </w:rPr>
            </w:r>
            <w:r>
              <w:rPr>
                <w:noProof/>
                <w:webHidden/>
              </w:rPr>
              <w:fldChar w:fldCharType="separate"/>
            </w:r>
            <w:r w:rsidR="0035401F">
              <w:rPr>
                <w:noProof/>
                <w:webHidden/>
              </w:rPr>
              <w:t>41</w:t>
            </w:r>
            <w:r>
              <w:rPr>
                <w:noProof/>
                <w:webHidden/>
              </w:rPr>
              <w:fldChar w:fldCharType="end"/>
            </w:r>
          </w:hyperlink>
        </w:p>
        <w:p w14:paraId="26ECF549" w14:textId="1752FA8B"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30" w:history="1">
            <w:r>
              <w:rPr>
                <w:rStyle w:val="Hyperlink"/>
                <w:noProof/>
              </w:rPr>
              <w:t>9.3 Waste Reduction</w:t>
            </w:r>
            <w:r>
              <w:rPr>
                <w:noProof/>
                <w:webHidden/>
              </w:rPr>
              <w:tab/>
            </w:r>
            <w:r>
              <w:rPr>
                <w:noProof/>
                <w:webHidden/>
              </w:rPr>
              <w:fldChar w:fldCharType="begin"/>
            </w:r>
            <w:r>
              <w:rPr>
                <w:noProof/>
                <w:webHidden/>
              </w:rPr>
              <w:instrText xml:space="preserve"> PAGEREF _Toc231932230 \h </w:instrText>
            </w:r>
            <w:r>
              <w:rPr>
                <w:noProof/>
                <w:webHidden/>
              </w:rPr>
            </w:r>
            <w:r>
              <w:rPr>
                <w:noProof/>
                <w:webHidden/>
              </w:rPr>
              <w:fldChar w:fldCharType="separate"/>
            </w:r>
            <w:r w:rsidR="0035401F">
              <w:rPr>
                <w:noProof/>
                <w:webHidden/>
              </w:rPr>
              <w:t>41</w:t>
            </w:r>
            <w:r>
              <w:rPr>
                <w:noProof/>
                <w:webHidden/>
              </w:rPr>
              <w:fldChar w:fldCharType="end"/>
            </w:r>
          </w:hyperlink>
        </w:p>
        <w:p w14:paraId="6B8ACB95" w14:textId="01E0B48C"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31" w:history="1">
            <w:r>
              <w:rPr>
                <w:rStyle w:val="Hyperlink"/>
                <w:noProof/>
              </w:rPr>
              <w:t>9.4 End-of-Life Considerations</w:t>
            </w:r>
            <w:r>
              <w:rPr>
                <w:noProof/>
                <w:webHidden/>
              </w:rPr>
              <w:tab/>
            </w:r>
            <w:r>
              <w:rPr>
                <w:noProof/>
                <w:webHidden/>
              </w:rPr>
              <w:fldChar w:fldCharType="begin"/>
            </w:r>
            <w:r>
              <w:rPr>
                <w:noProof/>
                <w:webHidden/>
              </w:rPr>
              <w:instrText xml:space="preserve"> PAGEREF _Toc231932231 \h </w:instrText>
            </w:r>
            <w:r>
              <w:rPr>
                <w:noProof/>
                <w:webHidden/>
              </w:rPr>
            </w:r>
            <w:r>
              <w:rPr>
                <w:noProof/>
                <w:webHidden/>
              </w:rPr>
              <w:fldChar w:fldCharType="separate"/>
            </w:r>
            <w:r w:rsidR="0035401F">
              <w:rPr>
                <w:noProof/>
                <w:webHidden/>
              </w:rPr>
              <w:t>42</w:t>
            </w:r>
            <w:r>
              <w:rPr>
                <w:noProof/>
                <w:webHidden/>
              </w:rPr>
              <w:fldChar w:fldCharType="end"/>
            </w:r>
          </w:hyperlink>
        </w:p>
        <w:p w14:paraId="46B0F9B5" w14:textId="3F994E24"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32" w:history="1">
            <w:r>
              <w:rPr>
                <w:rStyle w:val="Hyperlink"/>
                <w:noProof/>
              </w:rPr>
              <w:t>10. Discussion and Recommendations</w:t>
            </w:r>
            <w:r>
              <w:rPr>
                <w:noProof/>
                <w:webHidden/>
              </w:rPr>
              <w:tab/>
            </w:r>
            <w:r>
              <w:rPr>
                <w:noProof/>
                <w:webHidden/>
              </w:rPr>
              <w:fldChar w:fldCharType="begin"/>
            </w:r>
            <w:r>
              <w:rPr>
                <w:noProof/>
                <w:webHidden/>
              </w:rPr>
              <w:instrText xml:space="preserve"> PAGEREF _Toc231932232 \h </w:instrText>
            </w:r>
            <w:r>
              <w:rPr>
                <w:noProof/>
                <w:webHidden/>
              </w:rPr>
            </w:r>
            <w:r>
              <w:rPr>
                <w:noProof/>
                <w:webHidden/>
              </w:rPr>
              <w:fldChar w:fldCharType="separate"/>
            </w:r>
            <w:r w:rsidR="0035401F">
              <w:rPr>
                <w:noProof/>
                <w:webHidden/>
              </w:rPr>
              <w:t>43</w:t>
            </w:r>
            <w:r>
              <w:rPr>
                <w:noProof/>
                <w:webHidden/>
              </w:rPr>
              <w:fldChar w:fldCharType="end"/>
            </w:r>
          </w:hyperlink>
        </w:p>
        <w:p w14:paraId="0E6861DC" w14:textId="5F123D4C"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33" w:history="1">
            <w:r>
              <w:rPr>
                <w:rStyle w:val="Hyperlink"/>
                <w:noProof/>
              </w:rPr>
              <w:t>10.1 Performance Against Customer Requirements</w:t>
            </w:r>
            <w:r>
              <w:rPr>
                <w:noProof/>
                <w:webHidden/>
              </w:rPr>
              <w:tab/>
            </w:r>
            <w:r>
              <w:rPr>
                <w:noProof/>
                <w:webHidden/>
              </w:rPr>
              <w:fldChar w:fldCharType="begin"/>
            </w:r>
            <w:r>
              <w:rPr>
                <w:noProof/>
                <w:webHidden/>
              </w:rPr>
              <w:instrText xml:space="preserve"> PAGEREF _Toc231932233 \h </w:instrText>
            </w:r>
            <w:r>
              <w:rPr>
                <w:noProof/>
                <w:webHidden/>
              </w:rPr>
            </w:r>
            <w:r>
              <w:rPr>
                <w:noProof/>
                <w:webHidden/>
              </w:rPr>
              <w:fldChar w:fldCharType="separate"/>
            </w:r>
            <w:r w:rsidR="0035401F">
              <w:rPr>
                <w:noProof/>
                <w:webHidden/>
              </w:rPr>
              <w:t>43</w:t>
            </w:r>
            <w:r>
              <w:rPr>
                <w:noProof/>
                <w:webHidden/>
              </w:rPr>
              <w:fldChar w:fldCharType="end"/>
            </w:r>
          </w:hyperlink>
        </w:p>
        <w:p w14:paraId="557EE4E0" w14:textId="5775FAB8"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34" w:history="1">
            <w:r>
              <w:rPr>
                <w:rStyle w:val="Hyperlink"/>
                <w:noProof/>
              </w:rPr>
              <w:t>10.2 Design Trade-offs</w:t>
            </w:r>
            <w:r>
              <w:rPr>
                <w:noProof/>
                <w:webHidden/>
              </w:rPr>
              <w:tab/>
            </w:r>
            <w:r>
              <w:rPr>
                <w:noProof/>
                <w:webHidden/>
              </w:rPr>
              <w:fldChar w:fldCharType="begin"/>
            </w:r>
            <w:r>
              <w:rPr>
                <w:noProof/>
                <w:webHidden/>
              </w:rPr>
              <w:instrText xml:space="preserve"> PAGEREF _Toc231932234 \h </w:instrText>
            </w:r>
            <w:r>
              <w:rPr>
                <w:noProof/>
                <w:webHidden/>
              </w:rPr>
            </w:r>
            <w:r>
              <w:rPr>
                <w:noProof/>
                <w:webHidden/>
              </w:rPr>
              <w:fldChar w:fldCharType="separate"/>
            </w:r>
            <w:r w:rsidR="0035401F">
              <w:rPr>
                <w:noProof/>
                <w:webHidden/>
              </w:rPr>
              <w:t>43</w:t>
            </w:r>
            <w:r>
              <w:rPr>
                <w:noProof/>
                <w:webHidden/>
              </w:rPr>
              <w:fldChar w:fldCharType="end"/>
            </w:r>
          </w:hyperlink>
        </w:p>
        <w:p w14:paraId="001F48CF" w14:textId="6392AC4C"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35" w:history="1">
            <w:r>
              <w:rPr>
                <w:rStyle w:val="Hyperlink"/>
                <w:noProof/>
              </w:rPr>
              <w:t>10.3 Recommendations for Further Work</w:t>
            </w:r>
            <w:r>
              <w:rPr>
                <w:noProof/>
                <w:webHidden/>
              </w:rPr>
              <w:tab/>
            </w:r>
            <w:r>
              <w:rPr>
                <w:noProof/>
                <w:webHidden/>
              </w:rPr>
              <w:fldChar w:fldCharType="begin"/>
            </w:r>
            <w:r>
              <w:rPr>
                <w:noProof/>
                <w:webHidden/>
              </w:rPr>
              <w:instrText xml:space="preserve"> PAGEREF _Toc231932235 \h </w:instrText>
            </w:r>
            <w:r>
              <w:rPr>
                <w:noProof/>
                <w:webHidden/>
              </w:rPr>
            </w:r>
            <w:r>
              <w:rPr>
                <w:noProof/>
                <w:webHidden/>
              </w:rPr>
              <w:fldChar w:fldCharType="separate"/>
            </w:r>
            <w:r w:rsidR="0035401F">
              <w:rPr>
                <w:noProof/>
                <w:webHidden/>
              </w:rPr>
              <w:t>43</w:t>
            </w:r>
            <w:r>
              <w:rPr>
                <w:noProof/>
                <w:webHidden/>
              </w:rPr>
              <w:fldChar w:fldCharType="end"/>
            </w:r>
          </w:hyperlink>
        </w:p>
        <w:p w14:paraId="4B38E219" w14:textId="075E6FB3"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36" w:history="1">
            <w:r>
              <w:rPr>
                <w:rStyle w:val="Hyperlink"/>
                <w:noProof/>
              </w:rPr>
              <w:t>11. Conclusion</w:t>
            </w:r>
            <w:r>
              <w:rPr>
                <w:noProof/>
                <w:webHidden/>
              </w:rPr>
              <w:tab/>
            </w:r>
            <w:r>
              <w:rPr>
                <w:noProof/>
                <w:webHidden/>
              </w:rPr>
              <w:fldChar w:fldCharType="begin"/>
            </w:r>
            <w:r>
              <w:rPr>
                <w:noProof/>
                <w:webHidden/>
              </w:rPr>
              <w:instrText xml:space="preserve"> PAGEREF _Toc231932236 \h </w:instrText>
            </w:r>
            <w:r>
              <w:rPr>
                <w:noProof/>
                <w:webHidden/>
              </w:rPr>
            </w:r>
            <w:r>
              <w:rPr>
                <w:noProof/>
                <w:webHidden/>
              </w:rPr>
              <w:fldChar w:fldCharType="separate"/>
            </w:r>
            <w:r w:rsidR="0035401F">
              <w:rPr>
                <w:noProof/>
                <w:webHidden/>
              </w:rPr>
              <w:t>45</w:t>
            </w:r>
            <w:r>
              <w:rPr>
                <w:noProof/>
                <w:webHidden/>
              </w:rPr>
              <w:fldChar w:fldCharType="end"/>
            </w:r>
          </w:hyperlink>
        </w:p>
        <w:p w14:paraId="6046BC10" w14:textId="7EF6E2B1"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37" w:history="1">
            <w:r>
              <w:rPr>
                <w:rStyle w:val="Hyperlink"/>
                <w:noProof/>
              </w:rPr>
              <w:t>References</w:t>
            </w:r>
            <w:r>
              <w:rPr>
                <w:noProof/>
                <w:webHidden/>
              </w:rPr>
              <w:tab/>
            </w:r>
            <w:r>
              <w:rPr>
                <w:noProof/>
                <w:webHidden/>
              </w:rPr>
              <w:fldChar w:fldCharType="begin"/>
            </w:r>
            <w:r>
              <w:rPr>
                <w:noProof/>
                <w:webHidden/>
              </w:rPr>
              <w:instrText xml:space="preserve"> PAGEREF _Toc231932237 \h </w:instrText>
            </w:r>
            <w:r>
              <w:rPr>
                <w:noProof/>
                <w:webHidden/>
              </w:rPr>
            </w:r>
            <w:r>
              <w:rPr>
                <w:noProof/>
                <w:webHidden/>
              </w:rPr>
              <w:fldChar w:fldCharType="separate"/>
            </w:r>
            <w:r w:rsidR="0035401F">
              <w:rPr>
                <w:noProof/>
                <w:webHidden/>
              </w:rPr>
              <w:t>46</w:t>
            </w:r>
            <w:r>
              <w:rPr>
                <w:noProof/>
                <w:webHidden/>
              </w:rPr>
              <w:fldChar w:fldCharType="end"/>
            </w:r>
          </w:hyperlink>
        </w:p>
        <w:p w14:paraId="14A99805" w14:textId="33D2F100" w:rsidR="00FF3F92" w:rsidRDefault="00FF3F92">
          <w:pPr>
            <w:pStyle w:val="TOC1"/>
            <w:tabs>
              <w:tab w:val="right" w:leader="dot" w:pos="9016"/>
            </w:tabs>
            <w:rPr>
              <w:rFonts w:asciiTheme="minorHAnsi" w:eastAsiaTheme="minorEastAsia" w:hAnsiTheme="minorHAnsi" w:cstheme="minorBidi"/>
              <w:noProof/>
              <w:kern w:val="2"/>
              <w14:ligatures w14:val="standardContextual"/>
            </w:rPr>
          </w:pPr>
          <w:hyperlink w:anchor="_Toc231932238" w:history="1">
            <w:r>
              <w:rPr>
                <w:rStyle w:val="Hyperlink"/>
                <w:noProof/>
              </w:rPr>
              <w:t>Appendices</w:t>
            </w:r>
            <w:r>
              <w:rPr>
                <w:noProof/>
                <w:webHidden/>
              </w:rPr>
              <w:tab/>
            </w:r>
            <w:r>
              <w:rPr>
                <w:noProof/>
                <w:webHidden/>
              </w:rPr>
              <w:fldChar w:fldCharType="begin"/>
            </w:r>
            <w:r>
              <w:rPr>
                <w:noProof/>
                <w:webHidden/>
              </w:rPr>
              <w:instrText xml:space="preserve"> PAGEREF _Toc231932238 \h </w:instrText>
            </w:r>
            <w:r>
              <w:rPr>
                <w:noProof/>
                <w:webHidden/>
              </w:rPr>
            </w:r>
            <w:r>
              <w:rPr>
                <w:noProof/>
                <w:webHidden/>
              </w:rPr>
              <w:fldChar w:fldCharType="separate"/>
            </w:r>
            <w:r w:rsidR="0035401F">
              <w:rPr>
                <w:noProof/>
                <w:webHidden/>
              </w:rPr>
              <w:t>49</w:t>
            </w:r>
            <w:r>
              <w:rPr>
                <w:noProof/>
                <w:webHidden/>
              </w:rPr>
              <w:fldChar w:fldCharType="end"/>
            </w:r>
          </w:hyperlink>
        </w:p>
        <w:p w14:paraId="4939A200" w14:textId="23724B9C"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39" w:history="1">
            <w:r>
              <w:rPr>
                <w:rStyle w:val="Hyperlink"/>
                <w:noProof/>
              </w:rPr>
              <w:t>Appendix A: CAD Views and Key Dimensions</w:t>
            </w:r>
            <w:r>
              <w:rPr>
                <w:noProof/>
                <w:webHidden/>
              </w:rPr>
              <w:tab/>
            </w:r>
            <w:r>
              <w:rPr>
                <w:noProof/>
                <w:webHidden/>
              </w:rPr>
              <w:fldChar w:fldCharType="begin"/>
            </w:r>
            <w:r>
              <w:rPr>
                <w:noProof/>
                <w:webHidden/>
              </w:rPr>
              <w:instrText xml:space="preserve"> PAGEREF _Toc231932239 \h </w:instrText>
            </w:r>
            <w:r>
              <w:rPr>
                <w:noProof/>
                <w:webHidden/>
              </w:rPr>
            </w:r>
            <w:r>
              <w:rPr>
                <w:noProof/>
                <w:webHidden/>
              </w:rPr>
              <w:fldChar w:fldCharType="separate"/>
            </w:r>
            <w:r w:rsidR="0035401F">
              <w:rPr>
                <w:noProof/>
                <w:webHidden/>
              </w:rPr>
              <w:t>49</w:t>
            </w:r>
            <w:r>
              <w:rPr>
                <w:noProof/>
                <w:webHidden/>
              </w:rPr>
              <w:fldChar w:fldCharType="end"/>
            </w:r>
          </w:hyperlink>
        </w:p>
        <w:p w14:paraId="4308BDF4" w14:textId="1928F90F"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40" w:history="1">
            <w:r>
              <w:rPr>
                <w:rStyle w:val="Hyperlink"/>
                <w:noProof/>
              </w:rPr>
              <w:t>Appendix B: Fusion 360 Plastic Simulation Full Results Report</w:t>
            </w:r>
            <w:r>
              <w:rPr>
                <w:noProof/>
                <w:webHidden/>
              </w:rPr>
              <w:tab/>
            </w:r>
            <w:r>
              <w:rPr>
                <w:noProof/>
                <w:webHidden/>
              </w:rPr>
              <w:fldChar w:fldCharType="begin"/>
            </w:r>
            <w:r>
              <w:rPr>
                <w:noProof/>
                <w:webHidden/>
              </w:rPr>
              <w:instrText xml:space="preserve"> PAGEREF _Toc231932240 \h </w:instrText>
            </w:r>
            <w:r>
              <w:rPr>
                <w:noProof/>
                <w:webHidden/>
              </w:rPr>
            </w:r>
            <w:r>
              <w:rPr>
                <w:noProof/>
                <w:webHidden/>
              </w:rPr>
              <w:fldChar w:fldCharType="separate"/>
            </w:r>
            <w:r w:rsidR="0035401F">
              <w:rPr>
                <w:noProof/>
                <w:webHidden/>
              </w:rPr>
              <w:t>49</w:t>
            </w:r>
            <w:r>
              <w:rPr>
                <w:noProof/>
                <w:webHidden/>
              </w:rPr>
              <w:fldChar w:fldCharType="end"/>
            </w:r>
          </w:hyperlink>
        </w:p>
        <w:p w14:paraId="416C1F52" w14:textId="41A165A5"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41" w:history="1">
            <w:r>
              <w:rPr>
                <w:rStyle w:val="Hyperlink"/>
                <w:noProof/>
              </w:rPr>
              <w:t>Appendix C: Fusion 360 Static Stress Simulation Full Results Report</w:t>
            </w:r>
            <w:r>
              <w:rPr>
                <w:noProof/>
                <w:webHidden/>
              </w:rPr>
              <w:tab/>
            </w:r>
            <w:r>
              <w:rPr>
                <w:noProof/>
                <w:webHidden/>
              </w:rPr>
              <w:fldChar w:fldCharType="begin"/>
            </w:r>
            <w:r>
              <w:rPr>
                <w:noProof/>
                <w:webHidden/>
              </w:rPr>
              <w:instrText xml:space="preserve"> PAGEREF _Toc231932241 \h </w:instrText>
            </w:r>
            <w:r>
              <w:rPr>
                <w:noProof/>
                <w:webHidden/>
              </w:rPr>
            </w:r>
            <w:r>
              <w:rPr>
                <w:noProof/>
                <w:webHidden/>
              </w:rPr>
              <w:fldChar w:fldCharType="separate"/>
            </w:r>
            <w:r w:rsidR="0035401F">
              <w:rPr>
                <w:noProof/>
                <w:webHidden/>
              </w:rPr>
              <w:t>51</w:t>
            </w:r>
            <w:r>
              <w:rPr>
                <w:noProof/>
                <w:webHidden/>
              </w:rPr>
              <w:fldChar w:fldCharType="end"/>
            </w:r>
          </w:hyperlink>
        </w:p>
        <w:p w14:paraId="6BFA52EB" w14:textId="2BF6BDA1"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42" w:history="1">
            <w:r>
              <w:rPr>
                <w:rStyle w:val="Hyperlink"/>
                <w:noProof/>
              </w:rPr>
              <w:t>Appendix D: Granta EduPack Material Selection Datasheet</w:t>
            </w:r>
            <w:r>
              <w:rPr>
                <w:noProof/>
                <w:webHidden/>
              </w:rPr>
              <w:tab/>
            </w:r>
            <w:r>
              <w:rPr>
                <w:noProof/>
                <w:webHidden/>
              </w:rPr>
              <w:fldChar w:fldCharType="begin"/>
            </w:r>
            <w:r>
              <w:rPr>
                <w:noProof/>
                <w:webHidden/>
              </w:rPr>
              <w:instrText xml:space="preserve"> PAGEREF _Toc231932242 \h </w:instrText>
            </w:r>
            <w:r>
              <w:rPr>
                <w:noProof/>
                <w:webHidden/>
              </w:rPr>
            </w:r>
            <w:r>
              <w:rPr>
                <w:noProof/>
                <w:webHidden/>
              </w:rPr>
              <w:fldChar w:fldCharType="separate"/>
            </w:r>
            <w:r w:rsidR="0035401F">
              <w:rPr>
                <w:noProof/>
                <w:webHidden/>
              </w:rPr>
              <w:t>51</w:t>
            </w:r>
            <w:r>
              <w:rPr>
                <w:noProof/>
                <w:webHidden/>
              </w:rPr>
              <w:fldChar w:fldCharType="end"/>
            </w:r>
          </w:hyperlink>
        </w:p>
        <w:p w14:paraId="7D4C022B" w14:textId="2891F30B"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43" w:history="1">
            <w:r>
              <w:rPr>
                <w:rStyle w:val="Hyperlink"/>
                <w:noProof/>
              </w:rPr>
              <w:t>Appendix E: QFD Spreadsheet Output</w:t>
            </w:r>
            <w:r>
              <w:rPr>
                <w:noProof/>
                <w:webHidden/>
              </w:rPr>
              <w:tab/>
            </w:r>
            <w:r>
              <w:rPr>
                <w:noProof/>
                <w:webHidden/>
              </w:rPr>
              <w:fldChar w:fldCharType="begin"/>
            </w:r>
            <w:r>
              <w:rPr>
                <w:noProof/>
                <w:webHidden/>
              </w:rPr>
              <w:instrText xml:space="preserve"> PAGEREF _Toc231932243 \h </w:instrText>
            </w:r>
            <w:r>
              <w:rPr>
                <w:noProof/>
                <w:webHidden/>
              </w:rPr>
            </w:r>
            <w:r>
              <w:rPr>
                <w:noProof/>
                <w:webHidden/>
              </w:rPr>
              <w:fldChar w:fldCharType="separate"/>
            </w:r>
            <w:r w:rsidR="0035401F">
              <w:rPr>
                <w:noProof/>
                <w:webHidden/>
              </w:rPr>
              <w:t>54</w:t>
            </w:r>
            <w:r>
              <w:rPr>
                <w:noProof/>
                <w:webHidden/>
              </w:rPr>
              <w:fldChar w:fldCharType="end"/>
            </w:r>
          </w:hyperlink>
        </w:p>
        <w:p w14:paraId="67FC351D" w14:textId="4CC2BD22" w:rsidR="00FF3F92" w:rsidRDefault="00FF3F92">
          <w:pPr>
            <w:pStyle w:val="TOC2"/>
            <w:tabs>
              <w:tab w:val="right" w:leader="dot" w:pos="9016"/>
            </w:tabs>
            <w:rPr>
              <w:rFonts w:asciiTheme="minorHAnsi" w:eastAsiaTheme="minorEastAsia" w:hAnsiTheme="minorHAnsi" w:cstheme="minorBidi"/>
              <w:noProof/>
              <w:kern w:val="2"/>
              <w14:ligatures w14:val="standardContextual"/>
            </w:rPr>
          </w:pPr>
          <w:hyperlink w:anchor="_Toc231932244" w:history="1">
            <w:r>
              <w:rPr>
                <w:rStyle w:val="Hyperlink"/>
                <w:noProof/>
              </w:rPr>
              <w:t>Appendix F: FMEA Full Worksheet</w:t>
            </w:r>
            <w:r>
              <w:rPr>
                <w:noProof/>
                <w:webHidden/>
              </w:rPr>
              <w:tab/>
            </w:r>
            <w:r>
              <w:rPr>
                <w:noProof/>
                <w:webHidden/>
              </w:rPr>
              <w:fldChar w:fldCharType="begin"/>
            </w:r>
            <w:r>
              <w:rPr>
                <w:noProof/>
                <w:webHidden/>
              </w:rPr>
              <w:instrText xml:space="preserve"> PAGEREF _Toc231932244 \h </w:instrText>
            </w:r>
            <w:r>
              <w:rPr>
                <w:noProof/>
                <w:webHidden/>
              </w:rPr>
            </w:r>
            <w:r>
              <w:rPr>
                <w:noProof/>
                <w:webHidden/>
              </w:rPr>
              <w:fldChar w:fldCharType="separate"/>
            </w:r>
            <w:r w:rsidR="0035401F">
              <w:rPr>
                <w:noProof/>
                <w:webHidden/>
              </w:rPr>
              <w:t>55</w:t>
            </w:r>
            <w:r>
              <w:rPr>
                <w:noProof/>
                <w:webHidden/>
              </w:rPr>
              <w:fldChar w:fldCharType="end"/>
            </w:r>
          </w:hyperlink>
        </w:p>
        <w:p w14:paraId="7D28699F" w14:textId="412CC123" w:rsidR="00FA22E2" w:rsidRDefault="00FA22E2">
          <w:r>
            <w:rPr>
              <w:b/>
              <w:bCs/>
              <w:noProof/>
            </w:rPr>
            <w:fldChar w:fldCharType="end"/>
          </w:r>
        </w:p>
      </w:sdtContent>
    </w:sdt>
    <w:p w14:paraId="7E4DC54C" w14:textId="412BF3F0" w:rsidR="009B2703" w:rsidRDefault="009B2703">
      <w:pPr>
        <w:spacing w:after="120" w:line="360" w:lineRule="auto"/>
      </w:pPr>
    </w:p>
    <w:p w14:paraId="0896E0E2" w14:textId="77777777" w:rsidR="009B2703" w:rsidRDefault="00BC33E3">
      <w:pPr>
        <w:pageBreakBefore/>
        <w:spacing w:after="240" w:line="360" w:lineRule="auto"/>
      </w:pPr>
      <w:r>
        <w:rPr>
          <w:b/>
          <w:bCs/>
          <w:sz w:val="32"/>
          <w:szCs w:val="32"/>
        </w:rPr>
        <w:lastRenderedPageBreak/>
        <w:t>List of Figures</w:t>
      </w:r>
    </w:p>
    <w:p w14:paraId="6C10F91E" w14:textId="77777777" w:rsidR="009B2703" w:rsidRDefault="00BC33E3">
      <w:pPr>
        <w:tabs>
          <w:tab w:val="right" w:leader="dot" w:pos="9016"/>
        </w:tabs>
        <w:spacing w:after="60"/>
      </w:pPr>
      <w:r>
        <w:t>Figure 1: Completed House of Quality (QFD) for the phone housing</w:t>
      </w:r>
      <w:r>
        <w:tab/>
        <w:t>12</w:t>
      </w:r>
    </w:p>
    <w:p w14:paraId="1E2980F8" w14:textId="77777777" w:rsidR="009B2703" w:rsidRDefault="00BC33E3">
      <w:pPr>
        <w:tabs>
          <w:tab w:val="right" w:leader="dot" w:pos="9016"/>
        </w:tabs>
        <w:spacing w:after="60"/>
      </w:pPr>
      <w:r>
        <w:t>Figure 2: Granta EduPack Stage 2 chart – toughness versus price</w:t>
      </w:r>
      <w:r>
        <w:tab/>
        <w:t>16</w:t>
      </w:r>
    </w:p>
    <w:p w14:paraId="4C5B620D" w14:textId="77777777" w:rsidR="009B2703" w:rsidRDefault="00BC33E3">
      <w:pPr>
        <w:tabs>
          <w:tab w:val="right" w:leader="dot" w:pos="9016"/>
        </w:tabs>
        <w:spacing w:after="60"/>
      </w:pPr>
      <w:r>
        <w:t>Figure 3: Granta EduPack Stage 3 chart – Young’s modulus versus density</w:t>
      </w:r>
      <w:r>
        <w:tab/>
        <w:t>16</w:t>
      </w:r>
    </w:p>
    <w:p w14:paraId="305549F4" w14:textId="77777777" w:rsidR="009B2703" w:rsidRDefault="00BC33E3">
      <w:pPr>
        <w:tabs>
          <w:tab w:val="right" w:leader="dot" w:pos="9016"/>
        </w:tabs>
        <w:spacing w:after="60"/>
      </w:pPr>
      <w:r>
        <w:t>Figure 4: Isometric view of the housing</w:t>
      </w:r>
      <w:r>
        <w:tab/>
        <w:t>19</w:t>
      </w:r>
    </w:p>
    <w:p w14:paraId="67A458DA" w14:textId="77777777" w:rsidR="009B2703" w:rsidRDefault="00BC33E3">
      <w:pPr>
        <w:tabs>
          <w:tab w:val="right" w:leader="dot" w:pos="9016"/>
        </w:tabs>
        <w:spacing w:after="60"/>
      </w:pPr>
      <w:r>
        <w:t>Figure 5: Section view showing the near-uniform wall</w:t>
      </w:r>
      <w:r>
        <w:tab/>
        <w:t>20</w:t>
      </w:r>
    </w:p>
    <w:p w14:paraId="15772DB9" w14:textId="77777777" w:rsidR="009B2703" w:rsidRDefault="00BC33E3">
      <w:pPr>
        <w:tabs>
          <w:tab w:val="right" w:leader="dot" w:pos="9016"/>
        </w:tabs>
        <w:spacing w:after="60"/>
      </w:pPr>
      <w:r>
        <w:t>Figure 6: Internal view showing the cavity and port cutouts</w:t>
      </w:r>
      <w:r>
        <w:tab/>
        <w:t>20</w:t>
      </w:r>
    </w:p>
    <w:p w14:paraId="1251450D" w14:textId="77777777" w:rsidR="009B2703" w:rsidRDefault="00BC33E3">
      <w:pPr>
        <w:tabs>
          <w:tab w:val="right" w:leader="dot" w:pos="9016"/>
        </w:tabs>
        <w:spacing w:after="60"/>
      </w:pPr>
      <w:r>
        <w:t>Figure 7: Plan (top) view of the housing</w:t>
      </w:r>
      <w:r>
        <w:tab/>
        <w:t>21</w:t>
      </w:r>
    </w:p>
    <w:p w14:paraId="52700156" w14:textId="77777777" w:rsidR="009B2703" w:rsidRDefault="00BC33E3">
      <w:pPr>
        <w:tabs>
          <w:tab w:val="right" w:leader="dot" w:pos="9016"/>
        </w:tabs>
        <w:spacing w:after="60"/>
      </w:pPr>
      <w:r>
        <w:t>Figure 8a: Baseline (iteration 1) fill confidence</w:t>
      </w:r>
      <w:r>
        <w:tab/>
        <w:t>26</w:t>
      </w:r>
    </w:p>
    <w:p w14:paraId="73591473" w14:textId="77777777" w:rsidR="009B2703" w:rsidRDefault="00BC33E3">
      <w:pPr>
        <w:tabs>
          <w:tab w:val="right" w:leader="dot" w:pos="9016"/>
        </w:tabs>
        <w:spacing w:after="60"/>
      </w:pPr>
      <w:r>
        <w:t>Figure 8b: Final design (iteration 5) fill confidence</w:t>
      </w:r>
      <w:r>
        <w:tab/>
        <w:t>27</w:t>
      </w:r>
    </w:p>
    <w:p w14:paraId="2B75364A" w14:textId="77777777" w:rsidR="009B2703" w:rsidRDefault="00BC33E3">
      <w:pPr>
        <w:tabs>
          <w:tab w:val="right" w:leader="dot" w:pos="9016"/>
        </w:tabs>
        <w:spacing w:after="60"/>
      </w:pPr>
      <w:r>
        <w:t>Figure 9: Final design warpage</w:t>
      </w:r>
      <w:r>
        <w:tab/>
        <w:t>27</w:t>
      </w:r>
    </w:p>
    <w:p w14:paraId="125BA903" w14:textId="77777777" w:rsidR="009B2703" w:rsidRDefault="00BC33E3">
      <w:pPr>
        <w:tabs>
          <w:tab w:val="right" w:leader="dot" w:pos="9016"/>
        </w:tabs>
        <w:spacing w:after="60"/>
      </w:pPr>
      <w:r>
        <w:t>Figure 10: Hypothesis test – 2.0 mm back wall increases warpage</w:t>
      </w:r>
      <w:r>
        <w:tab/>
        <w:t>28</w:t>
      </w:r>
    </w:p>
    <w:p w14:paraId="42E78522" w14:textId="77777777" w:rsidR="009B2703" w:rsidRDefault="00BC33E3">
      <w:pPr>
        <w:tabs>
          <w:tab w:val="right" w:leader="dot" w:pos="9016"/>
        </w:tabs>
        <w:spacing w:after="60"/>
      </w:pPr>
      <w:r>
        <w:t>Figure 11: Load Case 1 setup (screen press)</w:t>
      </w:r>
      <w:r>
        <w:tab/>
        <w:t>30</w:t>
      </w:r>
    </w:p>
    <w:p w14:paraId="5DFFDCDB" w14:textId="77777777" w:rsidR="009B2703" w:rsidRDefault="00BC33E3">
      <w:pPr>
        <w:tabs>
          <w:tab w:val="right" w:leader="dot" w:pos="9016"/>
        </w:tabs>
        <w:spacing w:after="60"/>
      </w:pPr>
      <w:r>
        <w:t>Figure 12: Load Case 1 – Von Mises stress contour</w:t>
      </w:r>
      <w:r>
        <w:tab/>
        <w:t>30</w:t>
      </w:r>
    </w:p>
    <w:p w14:paraId="67A95133" w14:textId="77777777" w:rsidR="009B2703" w:rsidRDefault="00BC33E3">
      <w:pPr>
        <w:tabs>
          <w:tab w:val="right" w:leader="dot" w:pos="9016"/>
        </w:tabs>
        <w:spacing w:after="60"/>
      </w:pPr>
      <w:r>
        <w:t>Figure 13: Load Case 1 – displacement contour</w:t>
      </w:r>
      <w:r>
        <w:tab/>
        <w:t>31</w:t>
      </w:r>
    </w:p>
    <w:p w14:paraId="1A01C3CE" w14:textId="77777777" w:rsidR="009B2703" w:rsidRDefault="00BC33E3">
      <w:pPr>
        <w:tabs>
          <w:tab w:val="right" w:leader="dot" w:pos="9016"/>
        </w:tabs>
        <w:spacing w:after="60"/>
      </w:pPr>
      <w:r>
        <w:t>Figure 14: Load Case 2 setup (torsional grip)</w:t>
      </w:r>
      <w:r>
        <w:tab/>
        <w:t>32</w:t>
      </w:r>
    </w:p>
    <w:p w14:paraId="5D599E1A" w14:textId="77777777" w:rsidR="009B2703" w:rsidRDefault="00BC33E3">
      <w:pPr>
        <w:tabs>
          <w:tab w:val="right" w:leader="dot" w:pos="9016"/>
        </w:tabs>
        <w:spacing w:after="60"/>
      </w:pPr>
      <w:r>
        <w:t>Figure 15: Load Case 2 – Von Mises stress contour</w:t>
      </w:r>
      <w:r>
        <w:tab/>
        <w:t>32</w:t>
      </w:r>
    </w:p>
    <w:p w14:paraId="6CE93701" w14:textId="77777777" w:rsidR="009B2703" w:rsidRDefault="00BC33E3">
      <w:pPr>
        <w:tabs>
          <w:tab w:val="right" w:leader="dot" w:pos="9016"/>
        </w:tabs>
        <w:spacing w:after="60"/>
      </w:pPr>
      <w:r>
        <w:t>Figure 16: Load Case 2 – displacement plot</w:t>
      </w:r>
      <w:r>
        <w:tab/>
        <w:t>33</w:t>
      </w:r>
    </w:p>
    <w:p w14:paraId="50AB493F" w14:textId="77777777" w:rsidR="009B2703" w:rsidRDefault="00BC33E3">
      <w:pPr>
        <w:tabs>
          <w:tab w:val="right" w:leader="dot" w:pos="9016"/>
        </w:tabs>
        <w:spacing w:after="60"/>
      </w:pPr>
      <w:r>
        <w:t>Figure 17: Load Case 3 setup (camera-corner load)</w:t>
      </w:r>
      <w:r>
        <w:tab/>
        <w:t>34</w:t>
      </w:r>
    </w:p>
    <w:p w14:paraId="6E37A3FE" w14:textId="77777777" w:rsidR="009B2703" w:rsidRDefault="00BC33E3">
      <w:pPr>
        <w:tabs>
          <w:tab w:val="right" w:leader="dot" w:pos="9016"/>
        </w:tabs>
        <w:spacing w:after="60"/>
      </w:pPr>
      <w:r>
        <w:t>Figure 18: Load Case 3 – Von Mises stress contour</w:t>
      </w:r>
      <w:r>
        <w:tab/>
        <w:t>34</w:t>
      </w:r>
    </w:p>
    <w:p w14:paraId="65BEAB97" w14:textId="77777777" w:rsidR="009B2703" w:rsidRDefault="00BC33E3">
      <w:pPr>
        <w:tabs>
          <w:tab w:val="right" w:leader="dot" w:pos="9016"/>
        </w:tabs>
        <w:spacing w:after="60"/>
      </w:pPr>
      <w:r>
        <w:t>Figure 19: Load Case 3 – displacement plot</w:t>
      </w:r>
      <w:r>
        <w:tab/>
        <w:t>35</w:t>
      </w:r>
    </w:p>
    <w:p w14:paraId="20306DF8" w14:textId="77777777" w:rsidR="009B2703" w:rsidRDefault="00BC33E3">
      <w:pPr>
        <w:tabs>
          <w:tab w:val="right" w:leader="dot" w:pos="9016"/>
        </w:tabs>
        <w:spacing w:after="60"/>
      </w:pPr>
      <w:r>
        <w:t>Figure 20: Break-even chart</w:t>
      </w:r>
      <w:r>
        <w:tab/>
        <w:t>40</w:t>
      </w:r>
    </w:p>
    <w:p w14:paraId="4409D41C" w14:textId="77777777" w:rsidR="009B2703" w:rsidRDefault="00BC33E3">
      <w:pPr>
        <w:tabs>
          <w:tab w:val="right" w:leader="dot" w:pos="9016"/>
        </w:tabs>
        <w:spacing w:after="60"/>
      </w:pPr>
      <w:r>
        <w:t>Figure 21: Granta datasheet – general and physical properties</w:t>
      </w:r>
      <w:r>
        <w:tab/>
        <w:t>52</w:t>
      </w:r>
    </w:p>
    <w:p w14:paraId="78D34EAD" w14:textId="77777777" w:rsidR="009B2703" w:rsidRDefault="00BC33E3">
      <w:pPr>
        <w:tabs>
          <w:tab w:val="right" w:leader="dot" w:pos="9016"/>
        </w:tabs>
        <w:spacing w:after="60"/>
      </w:pPr>
      <w:r>
        <w:t>Figure 22: Granta datasheet – mechanical properties</w:t>
      </w:r>
      <w:r>
        <w:tab/>
        <w:t>52</w:t>
      </w:r>
    </w:p>
    <w:p w14:paraId="11D0D6A7" w14:textId="77777777" w:rsidR="009B2703" w:rsidRDefault="00BC33E3">
      <w:pPr>
        <w:tabs>
          <w:tab w:val="right" w:leader="dot" w:pos="9016"/>
        </w:tabs>
        <w:spacing w:after="60"/>
      </w:pPr>
      <w:r>
        <w:t>Figure 23: Granta datasheet – impact and fracture properties</w:t>
      </w:r>
      <w:r>
        <w:tab/>
        <w:t>53</w:t>
      </w:r>
    </w:p>
    <w:p w14:paraId="3D231473" w14:textId="77777777" w:rsidR="009B2703" w:rsidRDefault="00BC33E3">
      <w:pPr>
        <w:tabs>
          <w:tab w:val="right" w:leader="dot" w:pos="9016"/>
        </w:tabs>
        <w:spacing w:after="60"/>
      </w:pPr>
      <w:r>
        <w:t>Figure 24: Granta datasheet – processing properties</w:t>
      </w:r>
      <w:r>
        <w:tab/>
        <w:t>53</w:t>
      </w:r>
    </w:p>
    <w:p w14:paraId="4BFDF6C6" w14:textId="77777777" w:rsidR="009B2703" w:rsidRDefault="00BC33E3">
      <w:pPr>
        <w:tabs>
          <w:tab w:val="right" w:leader="dot" w:pos="9016"/>
        </w:tabs>
        <w:spacing w:after="60"/>
      </w:pPr>
      <w:r>
        <w:t>Figure 25: Granta datasheet – environmental indicators</w:t>
      </w:r>
      <w:r>
        <w:tab/>
        <w:t>54</w:t>
      </w:r>
    </w:p>
    <w:p w14:paraId="29212D24" w14:textId="300B40FC" w:rsidR="009B2703" w:rsidRDefault="00BC33E3">
      <w:pPr>
        <w:pageBreakBefore/>
        <w:spacing w:after="240" w:line="360" w:lineRule="auto"/>
      </w:pPr>
      <w:r>
        <w:rPr>
          <w:b/>
          <w:bCs/>
          <w:sz w:val="32"/>
          <w:szCs w:val="32"/>
        </w:rPr>
        <w:lastRenderedPageBreak/>
        <w:t>List of Tables</w:t>
      </w:r>
    </w:p>
    <w:p w14:paraId="6B41C85F" w14:textId="73A6B038" w:rsidR="009B2703" w:rsidRDefault="00BC33E3">
      <w:pPr>
        <w:tabs>
          <w:tab w:val="right" w:leader="dot" w:pos="9016"/>
        </w:tabs>
        <w:spacing w:after="60"/>
      </w:pPr>
      <w:r>
        <w:t>Table 1: Customer requirements and importance ratings</w:t>
      </w:r>
      <w:r>
        <w:tab/>
        <w:t>10</w:t>
      </w:r>
    </w:p>
    <w:p w14:paraId="6A4C5E6C" w14:textId="35195F32" w:rsidR="009B2703" w:rsidRDefault="00BC33E3">
      <w:pPr>
        <w:tabs>
          <w:tab w:val="right" w:leader="dot" w:pos="9016"/>
        </w:tabs>
        <w:spacing w:after="60"/>
      </w:pPr>
      <w:r>
        <w:t>Table 2: Relationship matrix linking requirements to design parameters</w:t>
      </w:r>
      <w:r>
        <w:tab/>
        <w:t>11</w:t>
      </w:r>
    </w:p>
    <w:p w14:paraId="5E338B65" w14:textId="77777777" w:rsidR="009B2703" w:rsidRDefault="00BC33E3">
      <w:pPr>
        <w:tabs>
          <w:tab w:val="right" w:leader="dot" w:pos="9016"/>
        </w:tabs>
        <w:spacing w:after="60"/>
      </w:pPr>
      <w:r>
        <w:t>Table 3: Design FMEA for the phone housing</w:t>
      </w:r>
      <w:r>
        <w:tab/>
        <w:t>13</w:t>
      </w:r>
    </w:p>
    <w:p w14:paraId="3DEB1DD3" w14:textId="4DA845BE" w:rsidR="009B2703" w:rsidRDefault="00BC33E3">
      <w:pPr>
        <w:tabs>
          <w:tab w:val="right" w:leader="dot" w:pos="9016"/>
        </w:tabs>
        <w:spacing w:after="60"/>
      </w:pPr>
      <w:r>
        <w:t>Table 4: Sensitivity study on wall thickness</w:t>
      </w:r>
      <w:r>
        <w:tab/>
        <w:t>14</w:t>
      </w:r>
    </w:p>
    <w:p w14:paraId="5C9DAF89" w14:textId="418AAC2F" w:rsidR="009B2703" w:rsidRDefault="00BC33E3">
      <w:pPr>
        <w:tabs>
          <w:tab w:val="right" w:leader="dot" w:pos="9016"/>
        </w:tabs>
        <w:spacing w:after="60"/>
      </w:pPr>
      <w:r>
        <w:t>Table 5: Comparison of the 8 surviving polymer grades</w:t>
      </w:r>
      <w:r>
        <w:tab/>
        <w:t>17</w:t>
      </w:r>
    </w:p>
    <w:p w14:paraId="1D24ADBB" w14:textId="26B312D2" w:rsidR="009B2703" w:rsidRDefault="00BC33E3">
      <w:pPr>
        <w:tabs>
          <w:tab w:val="right" w:leader="dot" w:pos="9016"/>
        </w:tabs>
        <w:spacing w:after="60"/>
      </w:pPr>
      <w:r>
        <w:t>Table 6: DFM and DFA principles applied to the design</w:t>
      </w:r>
      <w:r>
        <w:tab/>
        <w:t>21</w:t>
      </w:r>
    </w:p>
    <w:p w14:paraId="21037184" w14:textId="4FE48808" w:rsidR="009B2703" w:rsidRDefault="00BC33E3">
      <w:pPr>
        <w:tabs>
          <w:tab w:val="right" w:leader="dot" w:pos="9016"/>
        </w:tabs>
        <w:spacing w:after="60"/>
      </w:pPr>
      <w:r>
        <w:t>Table 7: Step-by-step manufacturing process plan</w:t>
      </w:r>
      <w:r>
        <w:tab/>
        <w:t>23</w:t>
      </w:r>
    </w:p>
    <w:p w14:paraId="24BF19AA" w14:textId="77777777" w:rsidR="009B2703" w:rsidRDefault="00BC33E3">
      <w:pPr>
        <w:tabs>
          <w:tab w:val="right" w:leader="dot" w:pos="9016"/>
        </w:tabs>
        <w:spacing w:after="60"/>
      </w:pPr>
      <w:r>
        <w:t>Table 7a: Iterative flow simulation results</w:t>
      </w:r>
      <w:r>
        <w:tab/>
        <w:t>25</w:t>
      </w:r>
    </w:p>
    <w:p w14:paraId="35B1F4B0" w14:textId="534EC982" w:rsidR="009B2703" w:rsidRDefault="00BC33E3">
      <w:pPr>
        <w:tabs>
          <w:tab w:val="right" w:leader="dot" w:pos="9016"/>
        </w:tabs>
        <w:spacing w:after="60"/>
      </w:pPr>
      <w:r>
        <w:t>Table 8: Summary of FEA results for the three load cases</w:t>
      </w:r>
      <w:r>
        <w:tab/>
        <w:t>36</w:t>
      </w:r>
    </w:p>
    <w:p w14:paraId="63183A2C" w14:textId="3E7E9ADF" w:rsidR="009B2703" w:rsidRDefault="00BC33E3">
      <w:pPr>
        <w:tabs>
          <w:tab w:val="right" w:leader="dot" w:pos="9016"/>
        </w:tabs>
        <w:spacing w:after="60"/>
      </w:pPr>
      <w:r>
        <w:t>Table 9: Cost calculation input parameters</w:t>
      </w:r>
      <w:r>
        <w:tab/>
        <w:t>37</w:t>
      </w:r>
    </w:p>
    <w:p w14:paraId="5204BA07" w14:textId="1A0E6AF3" w:rsidR="009B2703" w:rsidRDefault="00BC33E3">
      <w:pPr>
        <w:tabs>
          <w:tab w:val="right" w:leader="dot" w:pos="9016"/>
        </w:tabs>
        <w:spacing w:after="60"/>
      </w:pPr>
      <w:r>
        <w:t>Table 10: Indicative cost comparison between manufacturing routes</w:t>
      </w:r>
      <w:r>
        <w:tab/>
        <w:t>40</w:t>
      </w:r>
    </w:p>
    <w:p w14:paraId="05C05C0F" w14:textId="77777777" w:rsidR="009B2703" w:rsidRDefault="00BC33E3">
      <w:pPr>
        <w:pStyle w:val="Heading1"/>
        <w:pageBreakBefore/>
      </w:pPr>
      <w:bookmarkStart w:id="0" w:name="_Toc231846498"/>
      <w:bookmarkStart w:id="1" w:name="_Toc231932184"/>
      <w:r>
        <w:lastRenderedPageBreak/>
        <w:t>1. Introduction</w:t>
      </w:r>
      <w:bookmarkEnd w:id="0"/>
      <w:bookmarkEnd w:id="1"/>
    </w:p>
    <w:p w14:paraId="3F985F4D" w14:textId="77777777" w:rsidR="009B2703" w:rsidRDefault="00BC33E3">
      <w:pPr>
        <w:pStyle w:val="Heading2"/>
      </w:pPr>
      <w:bookmarkStart w:id="2" w:name="_Toc231846499"/>
      <w:bookmarkStart w:id="3" w:name="_Toc231932185"/>
      <w:r>
        <w:t>1.1 Purpose of the Report</w:t>
      </w:r>
      <w:bookmarkEnd w:id="2"/>
      <w:bookmarkEnd w:id="3"/>
    </w:p>
    <w:p w14:paraId="538CDB1F" w14:textId="77777777" w:rsidR="009B2703" w:rsidRDefault="00BC33E3">
      <w:pPr>
        <w:spacing w:after="120" w:line="360" w:lineRule="auto"/>
        <w:jc w:val="both"/>
      </w:pPr>
      <w:r>
        <w:t>This report presents the design and analytical justification of a mobile phone housing optimised for high volume injection moulding, written in response to a brief from a manufacturer seeking to improve production of a high demand consumer product. The chosen component is a smartphone housing made from a lightweight polymer. Its mix of mechanical, aesthetic and manufacturing constraints makes it a strong vehicle for an integrated DFM and DFA approach.</w:t>
      </w:r>
    </w:p>
    <w:p w14:paraId="5DBF1F68" w14:textId="77777777" w:rsidR="009B2703" w:rsidRDefault="00BC33E3">
      <w:pPr>
        <w:pStyle w:val="Heading2"/>
      </w:pPr>
      <w:bookmarkStart w:id="4" w:name="_Toc231846500"/>
      <w:bookmarkStart w:id="5" w:name="_Toc231932186"/>
      <w:r>
        <w:t>1.2 Problem Definition</w:t>
      </w:r>
      <w:bookmarkEnd w:id="4"/>
      <w:bookmarkEnd w:id="5"/>
    </w:p>
    <w:p w14:paraId="0824CF3F" w14:textId="77777777" w:rsidR="009B2703" w:rsidRDefault="00BC33E3">
      <w:pPr>
        <w:spacing w:after="120" w:line="360" w:lineRule="auto"/>
        <w:jc w:val="both"/>
      </w:pPr>
      <w:r>
        <w:t>Modern smartphone housings face repeated handling loads, occasional impacts, and concentrated stresses around screen, camera and charging port cutouts, and are produced in large quantities, so small design inefficiencies scale into significant cost, waste and environmental impact. The design must deliver a housing that:</w:t>
      </w:r>
    </w:p>
    <w:p w14:paraId="072F5E09" w14:textId="77777777" w:rsidR="009B2703" w:rsidRDefault="00BC33E3">
      <w:pPr>
        <w:pStyle w:val="ListParagraph"/>
        <w:numPr>
          <w:ilvl w:val="0"/>
          <w:numId w:val="2"/>
        </w:numPr>
        <w:spacing w:after="60" w:line="360" w:lineRule="auto"/>
        <w:jc w:val="both"/>
      </w:pPr>
      <w:r>
        <w:t>Meets customer expectations for stiffness, drop resilience and surface finish.</w:t>
      </w:r>
    </w:p>
    <w:p w14:paraId="3F3730F3" w14:textId="77777777" w:rsidR="009B2703" w:rsidRDefault="00BC33E3">
      <w:pPr>
        <w:pStyle w:val="ListParagraph"/>
        <w:numPr>
          <w:ilvl w:val="0"/>
          <w:numId w:val="2"/>
        </w:numPr>
        <w:spacing w:after="60" w:line="360" w:lineRule="auto"/>
        <w:jc w:val="both"/>
      </w:pPr>
      <w:r>
        <w:t>Is moulded reliably at short cycle times with minimal scrap.</w:t>
      </w:r>
    </w:p>
    <w:p w14:paraId="435D9E2A" w14:textId="77777777" w:rsidR="009B2703" w:rsidRDefault="00BC33E3">
      <w:pPr>
        <w:pStyle w:val="ListParagraph"/>
        <w:numPr>
          <w:ilvl w:val="0"/>
          <w:numId w:val="2"/>
        </w:numPr>
        <w:spacing w:after="60" w:line="360" w:lineRule="auto"/>
        <w:jc w:val="both"/>
      </w:pPr>
      <w:r>
        <w:t>Uses material efficiently and supports end of life recovery.</w:t>
      </w:r>
    </w:p>
    <w:p w14:paraId="79897A76" w14:textId="77777777" w:rsidR="009B2703" w:rsidRDefault="00BC33E3">
      <w:pPr>
        <w:spacing w:after="120" w:line="360" w:lineRule="auto"/>
        <w:jc w:val="both"/>
      </w:pPr>
      <w:r>
        <w:t>This report presents a structured response to those constraints, drawing on the methodologies introduced in the ACMA5002 module.</w:t>
      </w:r>
    </w:p>
    <w:p w14:paraId="2A2BEC77" w14:textId="77777777" w:rsidR="009B2703" w:rsidRDefault="00BC33E3">
      <w:pPr>
        <w:pStyle w:val="Heading2"/>
      </w:pPr>
      <w:bookmarkStart w:id="6" w:name="_Toc231846501"/>
      <w:bookmarkStart w:id="7" w:name="_Toc231932187"/>
      <w:r>
        <w:t>1.3 Scope</w:t>
      </w:r>
      <w:bookmarkEnd w:id="6"/>
      <w:bookmarkEnd w:id="7"/>
    </w:p>
    <w:p w14:paraId="721B64C6" w14:textId="77777777" w:rsidR="009B2703" w:rsidRDefault="00BC33E3">
      <w:pPr>
        <w:spacing w:after="120" w:line="360" w:lineRule="auto"/>
        <w:jc w:val="both"/>
      </w:pPr>
      <w:r>
        <w:t>The scope is the housing component itself. Production tooling is not designed in detail, but its implications, including gate location, parting line, ejection direction, draft angles and cooling routing, are discussed throughout. The methods used are QFD for customer requirements, FMEA for failure risks, a simplified DOE on wall thickness, CES Granta EduPack for material selection, and Fusion 360 Plastic and Static Stress simulation for flow and structural validation.</w:t>
      </w:r>
    </w:p>
    <w:p w14:paraId="1FF5EE14" w14:textId="77777777" w:rsidR="009B2703" w:rsidRDefault="00BC33E3">
      <w:pPr>
        <w:pStyle w:val="Heading1"/>
        <w:pageBreakBefore/>
      </w:pPr>
      <w:bookmarkStart w:id="8" w:name="_Toc231846502"/>
      <w:bookmarkStart w:id="9" w:name="_Toc231932188"/>
      <w:r>
        <w:lastRenderedPageBreak/>
        <w:t>2. Literature Review</w:t>
      </w:r>
      <w:bookmarkEnd w:id="8"/>
      <w:bookmarkEnd w:id="9"/>
    </w:p>
    <w:p w14:paraId="38BB2957" w14:textId="77777777" w:rsidR="009B2703" w:rsidRDefault="00BC33E3">
      <w:pPr>
        <w:pStyle w:val="Heading2"/>
      </w:pPr>
      <w:bookmarkStart w:id="10" w:name="_Toc231846503"/>
      <w:bookmarkStart w:id="11" w:name="_Toc231932189"/>
      <w:r>
        <w:t>2.1 Design for Manufacture and Design for Assembly</w:t>
      </w:r>
      <w:bookmarkEnd w:id="10"/>
      <w:bookmarkEnd w:id="11"/>
    </w:p>
    <w:p w14:paraId="7F2DD1A8" w14:textId="77777777" w:rsidR="009B2703" w:rsidRDefault="00BC33E3">
      <w:pPr>
        <w:spacing w:after="120" w:line="360" w:lineRule="auto"/>
        <w:jc w:val="both"/>
      </w:pPr>
      <w:r>
        <w:t>Design for Manufacture (DFM) is the activity of designing products to be easy and cost effective to manufacture within specification (Boothroyd, Dewhurst and Knight, 2010). Design for Assembly (DFA) is the subset minimising assembly cost and time. Decisions made early in design lock in roughly 70–80% of eventual product cost (Ulrich and Eppinger, 2016).</w:t>
      </w:r>
    </w:p>
    <w:p w14:paraId="1BD11F2E" w14:textId="77777777" w:rsidR="009B2703" w:rsidRDefault="00BC33E3">
      <w:pPr>
        <w:spacing w:after="120" w:line="360" w:lineRule="auto"/>
        <w:jc w:val="both"/>
      </w:pPr>
      <w:r>
        <w:t>The principal DFM guidelines (Bralla, 1999; Boothroyd, Dewhurst and Knight, 2010) include simplifying the design and reducing part count, using standard components, designing multifunctional parts, matching material to process, and avoiding tighter tolerances than function requires. DFA prioritises single direction insertion, self locating features, fastener elimination and clear assembly feedback. The Lucas DFA method (Lucas Engineering &amp; Systems, 1989) scores handling, fitting and orientation difficulty.</w:t>
      </w:r>
    </w:p>
    <w:p w14:paraId="40A5F902" w14:textId="77777777" w:rsidR="009B2703" w:rsidRDefault="00BC33E3">
      <w:pPr>
        <w:pStyle w:val="Heading2"/>
      </w:pPr>
      <w:bookmarkStart w:id="12" w:name="_Toc231846504"/>
      <w:bookmarkStart w:id="13" w:name="_Toc231932190"/>
      <w:r>
        <w:t>2.2 Injection Moulding of Polymer Housings</w:t>
      </w:r>
      <w:bookmarkEnd w:id="12"/>
      <w:bookmarkEnd w:id="13"/>
    </w:p>
    <w:p w14:paraId="3A4E9EA3" w14:textId="77777777" w:rsidR="009B2703" w:rsidRDefault="00BC33E3">
      <w:pPr>
        <w:spacing w:after="120" w:line="360" w:lineRule="auto"/>
        <w:jc w:val="both"/>
      </w:pPr>
      <w:r>
        <w:t>Injection moulding dominates high volume polymer housing production. Molten polymer is injected under pressure into a closed cavity, where it cools, solidifies and is ejected (Bryce, 1996). Cycle times for handheld products are typically 25–60 s, dominated by cooling. Common defects include warpage from uneven cooling, weld lines, air traps, sink marks, short shots and residual stress (Rosato, Rosato and Rosato, 2000); recent simulation and experiment studies confirm that these are strongly governed by melt temperature, mould temperature and gate design (Vanek et al., 2024).</w:t>
      </w:r>
    </w:p>
    <w:p w14:paraId="7528B60B" w14:textId="014939CB" w:rsidR="009B2703" w:rsidRDefault="00BC33E3">
      <w:pPr>
        <w:spacing w:after="120" w:line="360" w:lineRule="auto"/>
        <w:jc w:val="both"/>
      </w:pPr>
      <w:r>
        <w:t>Mitigating these defects calls for uniform wall thickness with controlled transitions, generous internal radius’, draft angles of 0.5–2° on faces parallel to mould opening, and rib thicknesses of about 50–60% of the adjacent wall to avoid sink marks (Malloy, 1994; Bayer Material Science, 2000). Gates are placed to fill thick to thin and to locate weld lines in low-stress, non-visible regions.</w:t>
      </w:r>
    </w:p>
    <w:p w14:paraId="35DCB43D" w14:textId="77777777" w:rsidR="009B2703" w:rsidRDefault="00BC33E3">
      <w:pPr>
        <w:pStyle w:val="Heading2"/>
      </w:pPr>
      <w:bookmarkStart w:id="14" w:name="_Toc231846505"/>
      <w:bookmarkStart w:id="15" w:name="_Toc231932191"/>
      <w:r>
        <w:t>2.3 Analytical Tools: QFD, FMEA and DOE</w:t>
      </w:r>
      <w:bookmarkEnd w:id="14"/>
      <w:bookmarkEnd w:id="15"/>
    </w:p>
    <w:p w14:paraId="6EFB65E5" w14:textId="77777777" w:rsidR="009B2703" w:rsidRDefault="00BC33E3">
      <w:pPr>
        <w:spacing w:after="120" w:line="360" w:lineRule="auto"/>
        <w:jc w:val="both"/>
      </w:pPr>
      <w:r>
        <w:lastRenderedPageBreak/>
        <w:t>Quality Function Deployment (QFD), developed by Mizuno and Akao in 1960s Japan (Akao, 1990), translates customer requirements into measurable technical specifications. It is usually visualised as the House of Quality (HoQ): a matrix linking the voice of the customer to engineering characteristics, weighting customer importance, and flagging conflicts between parameters in the correlation ‘roof’.</w:t>
      </w:r>
    </w:p>
    <w:p w14:paraId="3D80E4F3" w14:textId="77777777" w:rsidR="009B2703" w:rsidRDefault="00BC33E3">
      <w:pPr>
        <w:spacing w:after="120" w:line="360" w:lineRule="auto"/>
        <w:jc w:val="both"/>
      </w:pPr>
      <w:r>
        <w:t>FMEA systematically identifies, evaluates and prioritises potential failure modes (Stamatis, 2003). Each is scored 1–10 on Severity, Occurrence and Detection, whose product is the Risk Priority Number (RPN). A Design FMEA (DFMEA) addresses functional failures from design decisions, as distinct from a Process FMEA.</w:t>
      </w:r>
    </w:p>
    <w:p w14:paraId="14DC0157" w14:textId="77777777" w:rsidR="009B2703" w:rsidRDefault="00BC33E3">
      <w:pPr>
        <w:spacing w:after="120" w:line="360" w:lineRule="auto"/>
        <w:jc w:val="both"/>
      </w:pPr>
      <w:r>
        <w:t>Design of Experiments (DOE) investigates how multiple input variables jointly affect a measured output. Even a one factor at a time sensitivity study gives useful insight into the relative influence of variables such as wall thickness or gate location on deflection or cycle time (Antony, 2014).</w:t>
      </w:r>
    </w:p>
    <w:p w14:paraId="572C2FE2" w14:textId="77777777" w:rsidR="009B2703" w:rsidRDefault="00BC33E3">
      <w:pPr>
        <w:pStyle w:val="Heading2"/>
      </w:pPr>
      <w:bookmarkStart w:id="16" w:name="_Toc231846506"/>
      <w:bookmarkStart w:id="17" w:name="_Toc231932192"/>
      <w:r>
        <w:t>2.4 Simulation Tools: Polymer Flow and FEA</w:t>
      </w:r>
      <w:bookmarkEnd w:id="16"/>
      <w:bookmarkEnd w:id="17"/>
    </w:p>
    <w:p w14:paraId="5535E3AA" w14:textId="659E7241" w:rsidR="009B2703" w:rsidRDefault="00BC33E3">
      <w:pPr>
        <w:spacing w:after="120" w:line="360" w:lineRule="auto"/>
        <w:jc w:val="both"/>
      </w:pPr>
      <w:r>
        <w:t>Polymer flow simulation uses finite volume or finite element schemes to predict fill pattern, weld line and air trap locations, pressure drop and cooling time in a defined cavity (Autodesk, 2024), enabling gate and runner refinement before tooling is committed.</w:t>
      </w:r>
    </w:p>
    <w:p w14:paraId="0F6BE68C" w14:textId="77777777" w:rsidR="009B2703" w:rsidRDefault="00BC33E3">
      <w:pPr>
        <w:spacing w:after="120" w:line="360" w:lineRule="auto"/>
        <w:jc w:val="both"/>
      </w:pPr>
      <w:r>
        <w:t>Finite Element Analysis (FEA) divides a part into a mesh and solves the equations of linear elasticity for stress, strain and displacement under given loads and restraints (Cook et al., 2002). A linear static study is sufficient for polymer parts at room temperature provided peak stress stays well below yield. As Adams and Askenazi (1999) note, an FEA result is only as valid as its assumptions about material, restraints and loads.</w:t>
      </w:r>
    </w:p>
    <w:p w14:paraId="39785104" w14:textId="77777777" w:rsidR="009B2703" w:rsidRDefault="00BC33E3">
      <w:pPr>
        <w:pStyle w:val="Heading2"/>
      </w:pPr>
      <w:bookmarkStart w:id="18" w:name="_Toc231846507"/>
      <w:bookmarkStart w:id="19" w:name="_Toc231932193"/>
      <w:r>
        <w:t>2.5 Sustainability in Polymer Manufacturing</w:t>
      </w:r>
      <w:bookmarkEnd w:id="18"/>
      <w:bookmarkEnd w:id="19"/>
    </w:p>
    <w:p w14:paraId="57C8DD38" w14:textId="77777777" w:rsidR="009B2703" w:rsidRDefault="00BC33E3">
      <w:pPr>
        <w:spacing w:after="120" w:line="360" w:lineRule="auto"/>
        <w:jc w:val="both"/>
      </w:pPr>
      <w:r>
        <w:t>Sustainability in plastics manufacture rests on three strategies: switching to recyclable or bio based polymers, designing for disassembly to aid end of life recovery, and process measures such as hot runner moulding, optimised cooling and controlled regrind (Hopewell, Dvorak and Kosior, 2009). Polycarbonate recycles through single polymer streams, and moulded-in resin codes assist end of life sorting.</w:t>
      </w:r>
    </w:p>
    <w:p w14:paraId="4FDB9438" w14:textId="77777777" w:rsidR="009B2703" w:rsidRDefault="00BC33E3">
      <w:pPr>
        <w:pStyle w:val="Heading1"/>
        <w:pageBreakBefore/>
      </w:pPr>
      <w:bookmarkStart w:id="20" w:name="_Toc231846508"/>
      <w:bookmarkStart w:id="21" w:name="_Toc231932194"/>
      <w:r>
        <w:lastRenderedPageBreak/>
        <w:t>3. Defining Customer Requirements</w:t>
      </w:r>
      <w:bookmarkEnd w:id="20"/>
      <w:bookmarkEnd w:id="21"/>
    </w:p>
    <w:p w14:paraId="35D2113F" w14:textId="77777777" w:rsidR="009B2703" w:rsidRDefault="00BC33E3">
      <w:pPr>
        <w:pStyle w:val="Heading2"/>
      </w:pPr>
      <w:bookmarkStart w:id="22" w:name="_Toc231846509"/>
      <w:bookmarkStart w:id="23" w:name="_Toc231932195"/>
      <w:r>
        <w:t>3.1 Performance Attributes</w:t>
      </w:r>
      <w:bookmarkEnd w:id="22"/>
      <w:bookmarkEnd w:id="23"/>
    </w:p>
    <w:p w14:paraId="56EC5CC0" w14:textId="77777777" w:rsidR="009B2703" w:rsidRDefault="00BC33E3">
      <w:pPr>
        <w:spacing w:after="120" w:line="360" w:lineRule="auto"/>
        <w:jc w:val="both"/>
      </w:pPr>
      <w:r>
        <w:t>The customer must be known before specification (Stamatis, 2003). For a mid range smartphone housing the customer base spans the end user (weight, feel, drop survival), the OEM assembly line (insertion ease and cycle time) and the OEM accounts function (unit cost and yield). These groups generate the seven requirements in Table 1, each weighted 1–10 from published teardowns, returns data and market positioning.</w:t>
      </w:r>
    </w:p>
    <w:p w14:paraId="44AF1ACD" w14:textId="77777777" w:rsidR="009B2703" w:rsidRDefault="00BC33E3">
      <w:pPr>
        <w:spacing w:before="200" w:after="60" w:line="360" w:lineRule="auto"/>
        <w:jc w:val="center"/>
        <w:rPr>
          <w:i/>
          <w:iCs/>
          <w:sz w:val="22"/>
          <w:szCs w:val="22"/>
        </w:rPr>
      </w:pPr>
      <w:r>
        <w:rPr>
          <w:i/>
          <w:iCs/>
          <w:sz w:val="22"/>
          <w:szCs w:val="22"/>
        </w:rPr>
        <w:t>Table 1: Customer requirements and importance ratings.</w:t>
      </w:r>
    </w:p>
    <w:p w14:paraId="2F6EF7E2" w14:textId="62D350E3" w:rsidR="00FA22E2" w:rsidRDefault="00FA22E2">
      <w:pPr>
        <w:spacing w:before="200" w:after="60" w:line="360" w:lineRule="auto"/>
        <w:jc w:val="center"/>
      </w:pPr>
      <w:r>
        <w:rPr>
          <w:noProof/>
        </w:rPr>
        <w:drawing>
          <wp:inline distT="0" distB="0" distL="0" distR="0" wp14:anchorId="5FD2FF03" wp14:editId="3C8DFB2B">
            <wp:extent cx="5506218" cy="4096322"/>
            <wp:effectExtent l="0" t="0" r="0" b="0"/>
            <wp:docPr id="54144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44975" name=""/>
                    <pic:cNvPicPr/>
                  </pic:nvPicPr>
                  <pic:blipFill>
                    <a:blip r:embed="rId8"/>
                    <a:stretch>
                      <a:fillRect/>
                    </a:stretch>
                  </pic:blipFill>
                  <pic:spPr>
                    <a:xfrm>
                      <a:off x="0" y="0"/>
                      <a:ext cx="5506218" cy="4096322"/>
                    </a:xfrm>
                    <a:prstGeom prst="rect">
                      <a:avLst/>
                    </a:prstGeom>
                  </pic:spPr>
                </pic:pic>
              </a:graphicData>
            </a:graphic>
          </wp:inline>
        </w:drawing>
      </w:r>
    </w:p>
    <w:p w14:paraId="297FFDD7" w14:textId="77777777" w:rsidR="009B2703" w:rsidRDefault="00BC33E3">
      <w:pPr>
        <w:pStyle w:val="Heading2"/>
      </w:pPr>
      <w:bookmarkStart w:id="24" w:name="_Toc231846510"/>
      <w:bookmarkStart w:id="25" w:name="_Toc231932196"/>
      <w:r>
        <w:t>3.2 Application of Quality Function Deployment</w:t>
      </w:r>
      <w:bookmarkEnd w:id="24"/>
      <w:bookmarkEnd w:id="25"/>
    </w:p>
    <w:p w14:paraId="2E39F1CE" w14:textId="77777777" w:rsidR="009B2703" w:rsidRDefault="00BC33E3">
      <w:pPr>
        <w:spacing w:after="120" w:line="360" w:lineRule="auto"/>
        <w:jc w:val="both"/>
      </w:pPr>
      <w:r>
        <w:t xml:space="preserve">QFD was applied to translate the customer requirements into measurable engineering characteristics. Following the House of Quality approach (Hauser and Clausing, 1988; Akao, 1990), a HoQ matrix was built with the weighted requirements as rows and, as </w:t>
      </w:r>
      <w:r>
        <w:lastRenderedPageBreak/>
        <w:t>columns, the parameters the team controls: wall thickness, material yield strength, material density, draft angles, screen retention (lip) geometry and surface finish (Ra).</w:t>
      </w:r>
    </w:p>
    <w:p w14:paraId="7FFE375C" w14:textId="77777777" w:rsidR="009B2703" w:rsidRDefault="00BC33E3">
      <w:pPr>
        <w:spacing w:after="120" w:line="360" w:lineRule="auto"/>
        <w:jc w:val="both"/>
      </w:pPr>
      <w:r>
        <w:t>Each relationship-matrix cell records the link between a customer requirement and a design parameter using the standard symbols ● (strong, 9), ○ (moderate, 3) and △ (weak, 1), summarised in Table 2.</w:t>
      </w:r>
    </w:p>
    <w:p w14:paraId="3CCCD49C" w14:textId="77777777" w:rsidR="00FA22E2" w:rsidRDefault="00FA22E2">
      <w:pPr>
        <w:spacing w:after="120" w:line="360" w:lineRule="auto"/>
        <w:jc w:val="both"/>
      </w:pPr>
    </w:p>
    <w:p w14:paraId="569EC838" w14:textId="77777777" w:rsidR="009B2703" w:rsidRDefault="00BC33E3">
      <w:pPr>
        <w:spacing w:before="200" w:after="60" w:line="360" w:lineRule="auto"/>
        <w:jc w:val="center"/>
        <w:rPr>
          <w:i/>
          <w:iCs/>
          <w:sz w:val="22"/>
          <w:szCs w:val="22"/>
        </w:rPr>
      </w:pPr>
      <w:r>
        <w:rPr>
          <w:i/>
          <w:iCs/>
          <w:sz w:val="22"/>
          <w:szCs w:val="22"/>
        </w:rPr>
        <w:t>Table 2: Relationship matrix linking customer requirements to design parameters (House of Quality central body).</w:t>
      </w:r>
    </w:p>
    <w:p w14:paraId="713CB056" w14:textId="113CCA30" w:rsidR="00FA22E2" w:rsidRDefault="00FA22E2">
      <w:pPr>
        <w:spacing w:before="200" w:after="60" w:line="360" w:lineRule="auto"/>
        <w:jc w:val="center"/>
      </w:pPr>
      <w:r>
        <w:rPr>
          <w:noProof/>
        </w:rPr>
        <w:drawing>
          <wp:inline distT="0" distB="0" distL="0" distR="0" wp14:anchorId="64255A65" wp14:editId="18DA6751">
            <wp:extent cx="5731510" cy="3369310"/>
            <wp:effectExtent l="0" t="0" r="2540" b="2540"/>
            <wp:docPr id="1046998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98118" name=""/>
                    <pic:cNvPicPr/>
                  </pic:nvPicPr>
                  <pic:blipFill>
                    <a:blip r:embed="rId9"/>
                    <a:stretch>
                      <a:fillRect/>
                    </a:stretch>
                  </pic:blipFill>
                  <pic:spPr>
                    <a:xfrm>
                      <a:off x="0" y="0"/>
                      <a:ext cx="5731510" cy="3369310"/>
                    </a:xfrm>
                    <a:prstGeom prst="rect">
                      <a:avLst/>
                    </a:prstGeom>
                  </pic:spPr>
                </pic:pic>
              </a:graphicData>
            </a:graphic>
          </wp:inline>
        </w:drawing>
      </w:r>
    </w:p>
    <w:p w14:paraId="30082092" w14:textId="77777777" w:rsidR="009B2703" w:rsidRDefault="00BC33E3">
      <w:pPr>
        <w:spacing w:after="120" w:line="360" w:lineRule="auto"/>
        <w:jc w:val="both"/>
      </w:pPr>
      <w:r>
        <w:t>The Importance Rating for each design parameter was then calculated as the sum across all customer requirements of (customer importance) × (relationship weight), following the Stage 4 prioritisation procedure described by Hauser and Clausing (1988). This yielded:</w:t>
      </w:r>
    </w:p>
    <w:p w14:paraId="42D65CD4" w14:textId="77777777" w:rsidR="009B2703" w:rsidRDefault="00BC33E3">
      <w:pPr>
        <w:pStyle w:val="ListParagraph"/>
        <w:numPr>
          <w:ilvl w:val="0"/>
          <w:numId w:val="2"/>
        </w:numPr>
        <w:spacing w:after="60" w:line="360" w:lineRule="auto"/>
        <w:jc w:val="both"/>
      </w:pPr>
      <w:r>
        <w:t>Wall thickness: (9×9) + (8×9) + (7×3) + (8×3) + (7×9) = 261, the highest priority.</w:t>
      </w:r>
    </w:p>
    <w:p w14:paraId="34B3F80C" w14:textId="77777777" w:rsidR="009B2703" w:rsidRDefault="00BC33E3">
      <w:pPr>
        <w:pStyle w:val="ListParagraph"/>
        <w:numPr>
          <w:ilvl w:val="0"/>
          <w:numId w:val="2"/>
        </w:numPr>
        <w:spacing w:after="60" w:line="360" w:lineRule="auto"/>
        <w:jc w:val="both"/>
      </w:pPr>
      <w:r>
        <w:t>Screen retention (lip) geometry: (8×9) + (5×9) + (7×3) + (8×3) + (6×1) = 168.</w:t>
      </w:r>
    </w:p>
    <w:p w14:paraId="773FC5B0" w14:textId="77777777" w:rsidR="009B2703" w:rsidRDefault="00BC33E3">
      <w:pPr>
        <w:pStyle w:val="ListParagraph"/>
        <w:numPr>
          <w:ilvl w:val="0"/>
          <w:numId w:val="2"/>
        </w:numPr>
        <w:spacing w:after="60" w:line="360" w:lineRule="auto"/>
        <w:jc w:val="both"/>
      </w:pPr>
      <w:r>
        <w:t>Material yield strength: (9×9) + (8×3) + (7×1) = 112.</w:t>
      </w:r>
    </w:p>
    <w:p w14:paraId="648FEF44" w14:textId="77777777" w:rsidR="009B2703" w:rsidRDefault="00BC33E3">
      <w:pPr>
        <w:pStyle w:val="ListParagraph"/>
        <w:numPr>
          <w:ilvl w:val="0"/>
          <w:numId w:val="2"/>
        </w:numPr>
        <w:spacing w:after="60" w:line="360" w:lineRule="auto"/>
        <w:jc w:val="both"/>
      </w:pPr>
      <w:r>
        <w:t>Material density: (9×3) + (8×9) + (7×3) = 120.</w:t>
      </w:r>
    </w:p>
    <w:p w14:paraId="00DAE723" w14:textId="77777777" w:rsidR="009B2703" w:rsidRDefault="00BC33E3">
      <w:pPr>
        <w:pStyle w:val="ListParagraph"/>
        <w:numPr>
          <w:ilvl w:val="0"/>
          <w:numId w:val="2"/>
        </w:numPr>
        <w:spacing w:after="60" w:line="360" w:lineRule="auto"/>
        <w:jc w:val="both"/>
      </w:pPr>
      <w:r>
        <w:t>Surface finish: (7×9) + (8×1) + (7×3) = 92.</w:t>
      </w:r>
    </w:p>
    <w:p w14:paraId="68E1DE9D" w14:textId="77777777" w:rsidR="009B2703" w:rsidRDefault="00BC33E3">
      <w:pPr>
        <w:pStyle w:val="ListParagraph"/>
        <w:numPr>
          <w:ilvl w:val="0"/>
          <w:numId w:val="2"/>
        </w:numPr>
        <w:spacing w:after="60" w:line="360" w:lineRule="auto"/>
        <w:jc w:val="both"/>
      </w:pPr>
      <w:r>
        <w:t>Draft angles: (8×3) + (8×3) + (7×1) = 55, the lowest priority.</w:t>
      </w:r>
    </w:p>
    <w:p w14:paraId="3C261004" w14:textId="77777777" w:rsidR="009B2703" w:rsidRDefault="00BC33E3">
      <w:pPr>
        <w:spacing w:after="120" w:line="360" w:lineRule="auto"/>
        <w:jc w:val="both"/>
      </w:pPr>
      <w:r>
        <w:lastRenderedPageBreak/>
        <w:t>Wall thickness emerges as the highest leverage parameter, consistent with the literature: it simultaneously governs stiffness, mass, fill behaviour, cooling time and unit cost (Malloy, 1994). It was therefore treated as the primary independent variable in the simplified DOE study. The correlation roof identifies the principal conflict as wall thickness (improving stiffness and drop resilience) versus material density (increasing mass), resolved by selecting a material with high specific stiffness.</w:t>
      </w:r>
    </w:p>
    <w:p w14:paraId="1B414CBC" w14:textId="77777777" w:rsidR="009B2703" w:rsidRDefault="00BC33E3">
      <w:pPr>
        <w:spacing w:before="200" w:after="60" w:line="360" w:lineRule="auto"/>
        <w:jc w:val="center"/>
      </w:pPr>
      <w:r>
        <w:rPr>
          <w:noProof/>
        </w:rPr>
        <w:drawing>
          <wp:inline distT="0" distB="0" distL="0" distR="0" wp14:anchorId="5685DA75" wp14:editId="681A9311">
            <wp:extent cx="5667375" cy="3110542"/>
            <wp:effectExtent l="0" t="0" r="0" b="0"/>
            <wp:docPr id="2090772979" name="Figure 1 QFD House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72980" name="Figure 1 QFD House of Quality"/>
                    <pic:cNvPicPr>
                      <a:picLocks noChangeAspect="1" noChangeArrowheads="1"/>
                    </pic:cNvPicPr>
                  </pic:nvPicPr>
                  <pic:blipFill>
                    <a:blip r:embed="rId10"/>
                    <a:srcRect/>
                    <a:stretch>
                      <a:fillRect/>
                    </a:stretch>
                  </pic:blipFill>
                  <pic:spPr bwMode="auto">
                    <a:xfrm>
                      <a:off x="0" y="0"/>
                      <a:ext cx="5667375" cy="3110542"/>
                    </a:xfrm>
                    <a:prstGeom prst="rect">
                      <a:avLst/>
                    </a:prstGeom>
                  </pic:spPr>
                </pic:pic>
              </a:graphicData>
            </a:graphic>
          </wp:inline>
        </w:drawing>
      </w:r>
    </w:p>
    <w:p w14:paraId="5D5DDFFC" w14:textId="19053107" w:rsidR="009B2703" w:rsidRDefault="00BC33E3" w:rsidP="00FA22E2">
      <w:pPr>
        <w:spacing w:after="200" w:line="360" w:lineRule="auto"/>
        <w:jc w:val="center"/>
      </w:pPr>
      <w:r>
        <w:rPr>
          <w:i/>
          <w:iCs/>
          <w:sz w:val="22"/>
          <w:szCs w:val="22"/>
        </w:rPr>
        <w:t>Figure 1: Completed House of Quality (QFD) for the phone housing</w:t>
      </w:r>
    </w:p>
    <w:p w14:paraId="75669D9C" w14:textId="77777777" w:rsidR="009B2703" w:rsidRDefault="00BC33E3">
      <w:pPr>
        <w:pStyle w:val="Heading2"/>
      </w:pPr>
      <w:bookmarkStart w:id="26" w:name="_Toc231846511"/>
      <w:bookmarkStart w:id="27" w:name="_Toc231932197"/>
      <w:r>
        <w:t>3.3 Failure Modes and Effects Analysis</w:t>
      </w:r>
      <w:bookmarkEnd w:id="26"/>
      <w:bookmarkEnd w:id="27"/>
    </w:p>
    <w:p w14:paraId="7CB96C6B" w14:textId="77777777" w:rsidR="009B2703" w:rsidRDefault="00BC33E3">
      <w:pPr>
        <w:spacing w:after="120" w:line="360" w:lineRule="auto"/>
        <w:jc w:val="both"/>
      </w:pPr>
      <w:r>
        <w:t>A Design FMEA (DFMEA) was conducted to identify, score and prioritise potential housing failure modes. Following the methodology of Stamatis (2003), codified in SAE J1739 (SAE, 2009), each mode was assessed on three 1–10 scales:</w:t>
      </w:r>
    </w:p>
    <w:p w14:paraId="708143B9" w14:textId="77777777" w:rsidR="009B2703" w:rsidRDefault="00BC33E3">
      <w:pPr>
        <w:pStyle w:val="ListParagraph"/>
        <w:numPr>
          <w:ilvl w:val="0"/>
          <w:numId w:val="2"/>
        </w:numPr>
        <w:spacing w:after="60" w:line="360" w:lineRule="auto"/>
        <w:jc w:val="both"/>
      </w:pPr>
      <w:r>
        <w:t>Severity (S): the seriousness of the effect on the customer (1 = no perceived effect, 10 = safety-critical).</w:t>
      </w:r>
    </w:p>
    <w:p w14:paraId="2A0FFDFB" w14:textId="77777777" w:rsidR="009B2703" w:rsidRDefault="00BC33E3">
      <w:pPr>
        <w:pStyle w:val="ListParagraph"/>
        <w:numPr>
          <w:ilvl w:val="0"/>
          <w:numId w:val="2"/>
        </w:numPr>
        <w:spacing w:after="60" w:line="360" w:lineRule="auto"/>
        <w:jc w:val="both"/>
      </w:pPr>
      <w:r>
        <w:t>Occurrence (O): the likelihood the underlying cause will lead to the failure during product life (1 = virtually impossible, 10 = near-certain).</w:t>
      </w:r>
    </w:p>
    <w:p w14:paraId="428F3DB5" w14:textId="77777777" w:rsidR="009B2703" w:rsidRDefault="00BC33E3">
      <w:pPr>
        <w:pStyle w:val="ListParagraph"/>
        <w:numPr>
          <w:ilvl w:val="0"/>
          <w:numId w:val="2"/>
        </w:numPr>
        <w:spacing w:after="60" w:line="360" w:lineRule="auto"/>
        <w:jc w:val="both"/>
      </w:pPr>
      <w:r>
        <w:t>Detection (D): the likelihood that design verification or process controls will catch the failure before it reaches the customer (1 = near-certain detection, 10 = almost certain non-detection).</w:t>
      </w:r>
    </w:p>
    <w:p w14:paraId="0C3F1316" w14:textId="77777777" w:rsidR="009B2703" w:rsidRDefault="00BC33E3">
      <w:pPr>
        <w:spacing w:after="120" w:line="360" w:lineRule="auto"/>
        <w:jc w:val="both"/>
      </w:pPr>
      <w:r>
        <w:lastRenderedPageBreak/>
        <w:t>The Risk Priority Number (RPN) is the product of the three scores. The DFMEA is presented in Table 3; RPN-column cells highlighted in pale orange (RPN ≥ 200) denote modes requiring active mitigation through design changes.</w:t>
      </w:r>
    </w:p>
    <w:p w14:paraId="6ACBEDA9" w14:textId="77777777" w:rsidR="009B2703" w:rsidRDefault="00BC33E3">
      <w:pPr>
        <w:spacing w:before="200" w:after="60" w:line="360" w:lineRule="auto"/>
        <w:jc w:val="center"/>
        <w:rPr>
          <w:i/>
          <w:iCs/>
          <w:sz w:val="22"/>
          <w:szCs w:val="22"/>
        </w:rPr>
      </w:pPr>
      <w:r>
        <w:rPr>
          <w:i/>
          <w:iCs/>
          <w:sz w:val="22"/>
          <w:szCs w:val="22"/>
        </w:rPr>
        <w:t>Table 3: Design FMEA for the phone housing (S = Severity, O = Occurrence, D = Detection, RPN = Risk Priority Number).</w:t>
      </w:r>
    </w:p>
    <w:p w14:paraId="714E6B8C" w14:textId="41F79B26" w:rsidR="00FA22E2" w:rsidRDefault="00FA22E2">
      <w:pPr>
        <w:spacing w:before="200" w:after="60" w:line="360" w:lineRule="auto"/>
        <w:jc w:val="center"/>
      </w:pPr>
      <w:r>
        <w:rPr>
          <w:noProof/>
        </w:rPr>
        <w:drawing>
          <wp:inline distT="0" distB="0" distL="0" distR="0" wp14:anchorId="5307DC4B" wp14:editId="2868B598">
            <wp:extent cx="5731510" cy="5981700"/>
            <wp:effectExtent l="0" t="0" r="2540" b="0"/>
            <wp:docPr id="1081906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906469" name=""/>
                    <pic:cNvPicPr/>
                  </pic:nvPicPr>
                  <pic:blipFill>
                    <a:blip r:embed="rId11"/>
                    <a:stretch>
                      <a:fillRect/>
                    </a:stretch>
                  </pic:blipFill>
                  <pic:spPr>
                    <a:xfrm>
                      <a:off x="0" y="0"/>
                      <a:ext cx="5731510" cy="5981700"/>
                    </a:xfrm>
                    <a:prstGeom prst="rect">
                      <a:avLst/>
                    </a:prstGeom>
                  </pic:spPr>
                </pic:pic>
              </a:graphicData>
            </a:graphic>
          </wp:inline>
        </w:drawing>
      </w:r>
    </w:p>
    <w:p w14:paraId="1E4DF2F5" w14:textId="77777777" w:rsidR="009B2703" w:rsidRDefault="00BC33E3">
      <w:pPr>
        <w:spacing w:after="120" w:line="360" w:lineRule="auto"/>
        <w:jc w:val="both"/>
      </w:pPr>
      <w:r>
        <w:t xml:space="preserve">Two failure modes scored RPN ≥ 200 and drove specific decisions: camera aperture cracking on drop (RPN 270) prompted a larger local corner radius and a fillet around the aperture (a stiffening rib recommended as a further measure), and cooling warpage (RPN 210) reinforced the uniform 1.5 mm wall with chamfered transitions. </w:t>
      </w:r>
      <w:r>
        <w:lastRenderedPageBreak/>
        <w:t>The third highest, regrind degradation (RPN 192), sets the 15% recycled content ceiling discussed in Section 8.</w:t>
      </w:r>
    </w:p>
    <w:p w14:paraId="2F6E53CE" w14:textId="77777777" w:rsidR="009B2703" w:rsidRDefault="00BC33E3">
      <w:pPr>
        <w:pStyle w:val="Heading2"/>
      </w:pPr>
      <w:bookmarkStart w:id="28" w:name="_Toc231846512"/>
      <w:bookmarkStart w:id="29" w:name="_Toc231932198"/>
      <w:r>
        <w:t>3.4 Design of Experiments</w:t>
      </w:r>
      <w:bookmarkEnd w:id="28"/>
      <w:bookmarkEnd w:id="29"/>
    </w:p>
    <w:p w14:paraId="3691E585" w14:textId="77777777" w:rsidR="009B2703" w:rsidRDefault="00BC33E3">
      <w:pPr>
        <w:spacing w:after="120" w:line="360" w:lineRule="auto"/>
        <w:jc w:val="both"/>
      </w:pPr>
      <w:r>
        <w:t>A full factorial DOE was outside the project time budget, so a one factor at a time sensitivity study was run on the parameter with the most leverage, nominal wall thickness. Within the flow simulation campaign (Section 7.1), the baseline uniform 1.5 mm wall was compared against a 2.0 mm thickened back wall with all other parameters held constant, measuring fill confidence, fill time and maximum warpage. This isolates wall thickness and tests the intuition that a thicker, stiffer wall reduces warpage (Table 4).</w:t>
      </w:r>
    </w:p>
    <w:p w14:paraId="161EF76F" w14:textId="77777777" w:rsidR="009B2703" w:rsidRDefault="00BC33E3">
      <w:pPr>
        <w:spacing w:before="200" w:after="60" w:line="360" w:lineRule="auto"/>
        <w:jc w:val="center"/>
        <w:rPr>
          <w:i/>
          <w:iCs/>
          <w:sz w:val="22"/>
          <w:szCs w:val="22"/>
        </w:rPr>
      </w:pPr>
      <w:r>
        <w:rPr>
          <w:i/>
          <w:iCs/>
          <w:sz w:val="22"/>
          <w:szCs w:val="22"/>
        </w:rPr>
        <w:t>Table 4: One factor at a time sensitivity study on wall thickness, comparing the baseline 1.5 mm uniform wall against a 2.0 mm thickened back wall (all other parameters held constant). Data from the Fusion 360 flow-simulation campaign, Section 7.1.</w:t>
      </w:r>
    </w:p>
    <w:p w14:paraId="7310E11B" w14:textId="1AB77CBC" w:rsidR="00FA22E2" w:rsidRDefault="00FA22E2">
      <w:pPr>
        <w:spacing w:before="200" w:after="60" w:line="360" w:lineRule="auto"/>
        <w:jc w:val="center"/>
      </w:pPr>
      <w:r>
        <w:rPr>
          <w:noProof/>
        </w:rPr>
        <w:drawing>
          <wp:inline distT="0" distB="0" distL="0" distR="0" wp14:anchorId="0C38F9B6" wp14:editId="00D0848D">
            <wp:extent cx="5382376" cy="1743318"/>
            <wp:effectExtent l="0" t="0" r="8890" b="9525"/>
            <wp:docPr id="1202550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50956" name=""/>
                    <pic:cNvPicPr/>
                  </pic:nvPicPr>
                  <pic:blipFill>
                    <a:blip r:embed="rId12"/>
                    <a:stretch>
                      <a:fillRect/>
                    </a:stretch>
                  </pic:blipFill>
                  <pic:spPr>
                    <a:xfrm>
                      <a:off x="0" y="0"/>
                      <a:ext cx="5382376" cy="1743318"/>
                    </a:xfrm>
                    <a:prstGeom prst="rect">
                      <a:avLst/>
                    </a:prstGeom>
                  </pic:spPr>
                </pic:pic>
              </a:graphicData>
            </a:graphic>
          </wp:inline>
        </w:drawing>
      </w:r>
    </w:p>
    <w:p w14:paraId="2CD2AA75" w14:textId="77777777" w:rsidR="009B2703" w:rsidRDefault="00BC33E3">
      <w:pPr>
        <w:spacing w:before="120" w:after="120" w:line="360" w:lineRule="auto"/>
        <w:jc w:val="both"/>
      </w:pPr>
      <w:r>
        <w:t>The result is instructive. Thickening the back wall to 2.0 mm barely changed the fill time (0.85 to 0.84 s) but raised maximum warpage by 28%, from 0.567 mm to 0.728 mm. Warpage here is governed by differential cooling rather than stiffness: a non-uniform wall, at a 1.33:1 ratio, creates uneven shrinkage between the thicker back and the thinner sides. This confirms wall uniformity as the controlling factor, supports keeping the uniform 1.5 mm wall, and explains why the QFD ranked wall thickness highest.</w:t>
      </w:r>
    </w:p>
    <w:p w14:paraId="28E205A0" w14:textId="77777777" w:rsidR="009B2703" w:rsidRDefault="00BC33E3">
      <w:pPr>
        <w:pStyle w:val="Heading1"/>
        <w:pageBreakBefore/>
      </w:pPr>
      <w:bookmarkStart w:id="30" w:name="_Toc231846513"/>
      <w:bookmarkStart w:id="31" w:name="_Toc231932199"/>
      <w:r>
        <w:lastRenderedPageBreak/>
        <w:t>4. Material Selection</w:t>
      </w:r>
      <w:bookmarkEnd w:id="30"/>
      <w:bookmarkEnd w:id="31"/>
    </w:p>
    <w:p w14:paraId="01FE8AAB" w14:textId="77777777" w:rsidR="009B2703" w:rsidRDefault="00BC33E3">
      <w:pPr>
        <w:pStyle w:val="Heading2"/>
      </w:pPr>
      <w:bookmarkStart w:id="32" w:name="_Toc231846514"/>
      <w:bookmarkStart w:id="33" w:name="_Toc231932200"/>
      <w:r>
        <w:t>4.1 Selection Methodology</w:t>
      </w:r>
      <w:bookmarkEnd w:id="32"/>
      <w:bookmarkEnd w:id="33"/>
    </w:p>
    <w:p w14:paraId="1D1A76CC" w14:textId="77777777" w:rsidR="009B2703" w:rsidRDefault="00BC33E3">
      <w:pPr>
        <w:spacing w:after="120" w:line="360" w:lineRule="auto"/>
        <w:jc w:val="both"/>
      </w:pPr>
      <w:r>
        <w:t>Material selection followed Ashby (2017) in CES/Granta EduPack 2024 R2: translating requirements into selection criteria; screening the Level 3 polymer universe (1921 grades) against absolute constraints; ranking survivors on performance indices; selecting after considering cost, processability and sustainability; and documenting evidence for downstream design.</w:t>
      </w:r>
    </w:p>
    <w:p w14:paraId="1B4C3E31" w14:textId="77777777" w:rsidR="009B2703" w:rsidRDefault="00BC33E3">
      <w:pPr>
        <w:pStyle w:val="Heading2"/>
      </w:pPr>
      <w:bookmarkStart w:id="34" w:name="_Toc231846515"/>
      <w:bookmarkStart w:id="35" w:name="_Toc231932201"/>
      <w:r>
        <w:t>4.2 Selection Criteria and Constraints</w:t>
      </w:r>
      <w:bookmarkEnd w:id="34"/>
      <w:bookmarkEnd w:id="35"/>
    </w:p>
    <w:p w14:paraId="56FA8C41" w14:textId="77777777" w:rsidR="009B2703" w:rsidRDefault="00BC33E3">
      <w:pPr>
        <w:spacing w:after="120" w:line="360" w:lineRule="auto"/>
        <w:jc w:val="both"/>
      </w:pPr>
      <w:r>
        <w:t>The QFD identified material yield strength, density and impact toughness as the dominant parameters, with toughness critical to drop survival. A multi-criterion limit stage was applied in Granta EduPack 2024 R2 (Level 3 MaterialUniverse) with the following thresholds:</w:t>
      </w:r>
    </w:p>
    <w:p w14:paraId="64E38B21" w14:textId="77777777" w:rsidR="009B2703" w:rsidRDefault="00BC33E3">
      <w:pPr>
        <w:pStyle w:val="ListParagraph"/>
        <w:numPr>
          <w:ilvl w:val="0"/>
          <w:numId w:val="2"/>
        </w:numPr>
        <w:spacing w:after="60" w:line="360" w:lineRule="auto"/>
        <w:jc w:val="both"/>
      </w:pPr>
      <w:r>
        <w:t>Price ≤ £3/kg; Density 750–1500 kg/m³; Young's modulus 2–3 GPa.</w:t>
      </w:r>
    </w:p>
    <w:p w14:paraId="085D51F3" w14:textId="77777777" w:rsidR="009B2703" w:rsidRDefault="00BC33E3">
      <w:pPr>
        <w:pStyle w:val="ListParagraph"/>
        <w:numPr>
          <w:ilvl w:val="0"/>
          <w:numId w:val="2"/>
        </w:numPr>
        <w:spacing w:after="60" w:line="360" w:lineRule="auto"/>
        <w:jc w:val="both"/>
      </w:pPr>
      <w:r>
        <w:t>Tensile strength ≥ 50 MPa; Maximum service temperature ≥ 80 °C.</w:t>
      </w:r>
    </w:p>
    <w:p w14:paraId="7F1D8C66" w14:textId="77777777" w:rsidR="009B2703" w:rsidRDefault="00BC33E3">
      <w:pPr>
        <w:pStyle w:val="ListParagraph"/>
        <w:numPr>
          <w:ilvl w:val="0"/>
          <w:numId w:val="2"/>
        </w:numPr>
        <w:spacing w:after="60" w:line="360" w:lineRule="auto"/>
        <w:jc w:val="both"/>
      </w:pPr>
      <w:r>
        <w:t>Polymer injection moulding: Excellent; Flammability: Slow-burning or Self-extinguishing; Recyclable: Yes.</w:t>
      </w:r>
    </w:p>
    <w:p w14:paraId="2BA01CF1" w14:textId="77AFFB72" w:rsidR="009B2703" w:rsidRDefault="00BC33E3">
      <w:pPr>
        <w:spacing w:after="120" w:line="360" w:lineRule="auto"/>
        <w:jc w:val="both"/>
      </w:pPr>
      <w:r>
        <w:t>This returned 8 candidate grades from an initial pool of 825. A toughness-versus-price chart (Figure 2) and an Ashby modulus</w:t>
      </w:r>
      <w:r w:rsidR="0035401F">
        <w:t xml:space="preserve"> </w:t>
      </w:r>
      <w:r>
        <w:t>versus</w:t>
      </w:r>
      <w:r w:rsidR="0035401F">
        <w:t xml:space="preserve"> </w:t>
      </w:r>
      <w:r>
        <w:t>density chart (Figure 3) discriminated between them; ranked by toughness (Table 5), PC (copolymer, heat resistant) was the highest toughness candidate.</w:t>
      </w:r>
    </w:p>
    <w:p w14:paraId="38831501" w14:textId="77777777" w:rsidR="009B2703" w:rsidRDefault="00BC33E3">
      <w:pPr>
        <w:spacing w:before="200" w:after="60" w:line="360" w:lineRule="auto"/>
        <w:jc w:val="center"/>
      </w:pPr>
      <w:r>
        <w:rPr>
          <w:noProof/>
        </w:rPr>
        <w:lastRenderedPageBreak/>
        <w:drawing>
          <wp:inline distT="0" distB="0" distL="0" distR="0" wp14:anchorId="71B591D4" wp14:editId="5DA86ED8">
            <wp:extent cx="5667375" cy="31105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667375" cy="3110542"/>
                    </a:xfrm>
                    <a:prstGeom prst="rect">
                      <a:avLst/>
                    </a:prstGeom>
                  </pic:spPr>
                </pic:pic>
              </a:graphicData>
            </a:graphic>
          </wp:inline>
        </w:drawing>
      </w:r>
    </w:p>
    <w:p w14:paraId="17C99DD5" w14:textId="77777777" w:rsidR="009B2703" w:rsidRDefault="00BC33E3">
      <w:pPr>
        <w:spacing w:after="200" w:line="360" w:lineRule="auto"/>
        <w:jc w:val="center"/>
      </w:pPr>
      <w:r>
        <w:rPr>
          <w:i/>
          <w:iCs/>
          <w:sz w:val="22"/>
          <w:szCs w:val="22"/>
        </w:rPr>
        <w:t>Figure 2: Granta EduPack Stage 2 chart: toughness (G) versus price for the 8 polymers passing the Stage 1 limit chain. PC (copolymer, heat resistant) sits at the highest toughness (6.41–9.16 kJ/m²) at a competitive price (£2.63–2.85/kg). Other labelled candidates are PA6 (40% mineral), three SMMA grades, PP (copolymer, 20% glass fibre), PBT (general purpose), and PC (high viscosity, moulding and extrusion).</w:t>
      </w:r>
    </w:p>
    <w:p w14:paraId="2CB8BF62" w14:textId="77777777" w:rsidR="009B2703" w:rsidRDefault="00BC33E3">
      <w:pPr>
        <w:spacing w:before="200" w:after="60" w:line="360" w:lineRule="auto"/>
        <w:jc w:val="center"/>
      </w:pPr>
      <w:r>
        <w:rPr>
          <w:noProof/>
        </w:rPr>
        <w:drawing>
          <wp:inline distT="0" distB="0" distL="0" distR="0" wp14:anchorId="21B145FD" wp14:editId="28D6B581">
            <wp:extent cx="5667375" cy="3110542"/>
            <wp:effectExtent l="0" t="0" r="0" b="0"/>
            <wp:docPr id="1283765875" name="Picture 1283765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667375" cy="3110542"/>
                    </a:xfrm>
                    <a:prstGeom prst="rect">
                      <a:avLst/>
                    </a:prstGeom>
                  </pic:spPr>
                </pic:pic>
              </a:graphicData>
            </a:graphic>
          </wp:inline>
        </w:drawing>
      </w:r>
    </w:p>
    <w:p w14:paraId="4692E59F" w14:textId="77777777" w:rsidR="009B2703" w:rsidRDefault="00BC33E3">
      <w:pPr>
        <w:spacing w:after="200" w:line="360" w:lineRule="auto"/>
        <w:jc w:val="center"/>
      </w:pPr>
      <w:r>
        <w:rPr>
          <w:i/>
          <w:iCs/>
          <w:sz w:val="22"/>
          <w:szCs w:val="22"/>
        </w:rPr>
        <w:t>Figure 3: Granta EduPack Stage 3 chart: Ashby plot of Young's modulus versus density for the 8 surviving polymers. PC (copolymer, heat resistant) provides 2.2–2.4 GPa modulus at a moderate density of 1140–1180 kg/m³, offering favourable specific stiffness against the heavier mineral-filled and glass-reinforced alternatives.</w:t>
      </w:r>
    </w:p>
    <w:p w14:paraId="0C7FE87F" w14:textId="77777777" w:rsidR="009B2703" w:rsidRDefault="00BC33E3">
      <w:pPr>
        <w:pStyle w:val="Heading2"/>
      </w:pPr>
      <w:bookmarkStart w:id="36" w:name="_Toc231846516"/>
      <w:bookmarkStart w:id="37" w:name="_Toc231932202"/>
      <w:r>
        <w:lastRenderedPageBreak/>
        <w:t>4.3 Candidate Comparison</w:t>
      </w:r>
      <w:bookmarkEnd w:id="36"/>
      <w:bookmarkEnd w:id="37"/>
    </w:p>
    <w:p w14:paraId="2206FA8C" w14:textId="77777777" w:rsidR="009B2703" w:rsidRDefault="00BC33E3">
      <w:pPr>
        <w:spacing w:after="120" w:line="360" w:lineRule="auto"/>
        <w:jc w:val="both"/>
      </w:pPr>
      <w:r>
        <w:t>All 8 polymer grades surviving the Stage 1 limit chain are listed in Table 5, ranked by toughness (G) as reported by the Granta EduPack 2024 R2 record cards. The chosen material is highlighted; the remaining seven candidates form the comparator set that justifies the selection.</w:t>
      </w:r>
    </w:p>
    <w:p w14:paraId="00C69F5C" w14:textId="77777777" w:rsidR="009B2703" w:rsidRDefault="00BC33E3">
      <w:pPr>
        <w:spacing w:before="200" w:after="60" w:line="360" w:lineRule="auto"/>
        <w:jc w:val="center"/>
        <w:rPr>
          <w:i/>
          <w:iCs/>
          <w:sz w:val="22"/>
          <w:szCs w:val="22"/>
        </w:rPr>
      </w:pPr>
      <w:r>
        <w:rPr>
          <w:i/>
          <w:iCs/>
          <w:sz w:val="22"/>
          <w:szCs w:val="22"/>
        </w:rPr>
        <w:t>Table 5: Comparison of the 8 polymer grades surviving the Granta Stage 1 limit chain, ranked by toughness (G). Values are taken directly from the Granta EduPack 2024 R2 Level 3 MaterialUniverse records.</w:t>
      </w:r>
    </w:p>
    <w:p w14:paraId="0D20CC30" w14:textId="252129D0" w:rsidR="00FA22E2" w:rsidRDefault="00FA22E2">
      <w:pPr>
        <w:spacing w:before="200" w:after="60" w:line="360" w:lineRule="auto"/>
        <w:jc w:val="center"/>
      </w:pPr>
      <w:r>
        <w:rPr>
          <w:noProof/>
        </w:rPr>
        <w:drawing>
          <wp:inline distT="0" distB="0" distL="0" distR="0" wp14:anchorId="044DD92C" wp14:editId="399120D6">
            <wp:extent cx="5715798" cy="3791479"/>
            <wp:effectExtent l="0" t="0" r="0" b="0"/>
            <wp:docPr id="1923023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023774" name=""/>
                    <pic:cNvPicPr/>
                  </pic:nvPicPr>
                  <pic:blipFill>
                    <a:blip r:embed="rId15"/>
                    <a:stretch>
                      <a:fillRect/>
                    </a:stretch>
                  </pic:blipFill>
                  <pic:spPr>
                    <a:xfrm>
                      <a:off x="0" y="0"/>
                      <a:ext cx="5715798" cy="3791479"/>
                    </a:xfrm>
                    <a:prstGeom prst="rect">
                      <a:avLst/>
                    </a:prstGeom>
                  </pic:spPr>
                </pic:pic>
              </a:graphicData>
            </a:graphic>
          </wp:inline>
        </w:drawing>
      </w:r>
    </w:p>
    <w:p w14:paraId="5CDB427C" w14:textId="77777777" w:rsidR="009B2703" w:rsidRDefault="00BC33E3">
      <w:pPr>
        <w:pStyle w:val="Heading2"/>
      </w:pPr>
      <w:bookmarkStart w:id="38" w:name="_Toc231846517"/>
      <w:bookmarkStart w:id="39" w:name="_Toc231932203"/>
      <w:r>
        <w:t>4.4 Selection and Rationale</w:t>
      </w:r>
      <w:bookmarkEnd w:id="38"/>
      <w:bookmarkEnd w:id="39"/>
    </w:p>
    <w:p w14:paraId="629273AC" w14:textId="77777777" w:rsidR="009B2703" w:rsidRDefault="00BC33E3">
      <w:pPr>
        <w:spacing w:after="120" w:line="360" w:lineRule="auto"/>
        <w:jc w:val="both"/>
      </w:pPr>
      <w:r>
        <w:t>PC (copolymer, heat resistant) was selected as the highest toughness polymer surviving the limit chain (G = 6.41–9.16 kJ/m²), directly addressing the QFD’s highest weighted requirement (drop survival, weight 9) and the FMEA’s highest RPN mode (camera-corner cracking, RPN 270). It also gives the second-highest service temperature in the surviving set (128–144 °C), important for processor heat soak.</w:t>
      </w:r>
    </w:p>
    <w:p w14:paraId="276C8B84" w14:textId="77777777" w:rsidR="009B2703" w:rsidRDefault="00BC33E3">
      <w:pPr>
        <w:spacing w:after="120" w:line="360" w:lineRule="auto"/>
        <w:jc w:val="both"/>
      </w:pPr>
      <w:r>
        <w:t>Key properties from the Granta record:</w:t>
      </w:r>
    </w:p>
    <w:p w14:paraId="0A310E5D" w14:textId="77777777" w:rsidR="009B2703" w:rsidRDefault="00BC33E3">
      <w:pPr>
        <w:pStyle w:val="ListParagraph"/>
        <w:numPr>
          <w:ilvl w:val="0"/>
          <w:numId w:val="2"/>
        </w:numPr>
        <w:spacing w:after="60" w:line="360" w:lineRule="auto"/>
        <w:jc w:val="both"/>
      </w:pPr>
      <w:r>
        <w:lastRenderedPageBreak/>
        <w:t>Toughness G = 6.41–9.16 kJ/m², the highest of all 8 survivors.</w:t>
      </w:r>
    </w:p>
    <w:p w14:paraId="1700BD3C" w14:textId="77777777" w:rsidR="009B2703" w:rsidRDefault="00BC33E3">
      <w:pPr>
        <w:pStyle w:val="ListParagraph"/>
        <w:numPr>
          <w:ilvl w:val="0"/>
          <w:numId w:val="2"/>
        </w:numPr>
        <w:spacing w:after="60" w:line="360" w:lineRule="auto"/>
        <w:jc w:val="both"/>
      </w:pPr>
      <w:r>
        <w:t>Notched Izod impact 6.55–16 kJ/m² at 23 °C, with no significant drop at −30 °C (6.55–13 kJ/m²), giving impact resilience across field use temperatures.</w:t>
      </w:r>
    </w:p>
    <w:p w14:paraId="12686A29" w14:textId="77777777" w:rsidR="009B2703" w:rsidRDefault="00BC33E3">
      <w:pPr>
        <w:pStyle w:val="ListParagraph"/>
        <w:numPr>
          <w:ilvl w:val="0"/>
          <w:numId w:val="2"/>
        </w:numPr>
        <w:spacing w:after="60" w:line="360" w:lineRule="auto"/>
        <w:jc w:val="both"/>
      </w:pPr>
      <w:r>
        <w:t>Tensile yield strength 59–65 MPa; Young's modulus 2.21–2.4 GPa.</w:t>
      </w:r>
    </w:p>
    <w:p w14:paraId="4ABD65AF" w14:textId="77777777" w:rsidR="009B2703" w:rsidRDefault="00BC33E3">
      <w:pPr>
        <w:pStyle w:val="ListParagraph"/>
        <w:numPr>
          <w:ilvl w:val="0"/>
          <w:numId w:val="2"/>
        </w:numPr>
        <w:spacing w:after="60" w:line="360" w:lineRule="auto"/>
        <w:jc w:val="both"/>
      </w:pPr>
      <w:r>
        <w:t>Maximum service temperature 128–144 °C; price £2.63–2.85/kg.</w:t>
      </w:r>
    </w:p>
    <w:p w14:paraId="5EF2CCA7" w14:textId="77777777" w:rsidR="009B2703" w:rsidRDefault="00BC33E3">
      <w:pPr>
        <w:pStyle w:val="ListParagraph"/>
        <w:numPr>
          <w:ilvl w:val="0"/>
          <w:numId w:val="2"/>
        </w:numPr>
        <w:spacing w:after="60" w:line="360" w:lineRule="auto"/>
        <w:jc w:val="both"/>
      </w:pPr>
      <w:r>
        <w:t>Polymer injection moulding: Excellent; recyclable (resin code 7); slow-burning.</w:t>
      </w:r>
    </w:p>
    <w:p w14:paraId="23A219F5" w14:textId="77777777" w:rsidR="009B2703" w:rsidRDefault="00BC33E3">
      <w:pPr>
        <w:spacing w:after="120" w:line="360" w:lineRule="auto"/>
        <w:jc w:val="both"/>
      </w:pPr>
      <w:r>
        <w:t>The alternatives were rejected as follows. PA6 (40% mineral) has a high density (about 1480 kg/m³) that penalises mass, and its surface filler harms the tactile finish. The three SMMA grades have a marginal service temperature (70–85 °C) for processor heat soak. PP (20% glass fibre) shows surface fibres that conflict with the premium finish; PBT offers about a third of the toughness of PC; and high viscosity PC has much lower toughness at a higher price. The simulation used Granta values: density 1160 kg/m³, E 2.3 GPa, ν 0.40 and tensile yield 65 MPa.</w:t>
      </w:r>
    </w:p>
    <w:p w14:paraId="1CCA8613" w14:textId="17438C38" w:rsidR="009B2703" w:rsidRDefault="00BC33E3">
      <w:pPr>
        <w:spacing w:after="120" w:line="360" w:lineRule="auto"/>
        <w:jc w:val="both"/>
      </w:pPr>
      <w:r>
        <w:t xml:space="preserve">The representative commercial grade specified for the injection moulding study was Tristar PC-10FR-GY703VIHR(18) (AMCO Polymers), a heat and flame resistant polycarbonate. The property values used throughout this report (Table 5) are the generic Granta </w:t>
      </w:r>
      <w:proofErr w:type="spellStart"/>
      <w:r>
        <w:t>EduPack</w:t>
      </w:r>
      <w:proofErr w:type="spellEnd"/>
      <w:r>
        <w:t xml:space="preserve"> PC (copolymer, heat resistant) record values quoted above, taken as representative of this grade class for selection and simulation purposes.</w:t>
      </w:r>
    </w:p>
    <w:p w14:paraId="208657FA" w14:textId="77777777" w:rsidR="009B2703" w:rsidRDefault="00BC33E3">
      <w:pPr>
        <w:pStyle w:val="Heading1"/>
        <w:pageBreakBefore/>
      </w:pPr>
      <w:bookmarkStart w:id="40" w:name="_Toc231846518"/>
      <w:bookmarkStart w:id="41" w:name="_Toc231932204"/>
      <w:r>
        <w:lastRenderedPageBreak/>
        <w:t>5. Design and Development</w:t>
      </w:r>
      <w:bookmarkEnd w:id="40"/>
      <w:bookmarkEnd w:id="41"/>
    </w:p>
    <w:p w14:paraId="5CE9D9D3" w14:textId="77777777" w:rsidR="009B2703" w:rsidRDefault="00BC33E3">
      <w:pPr>
        <w:pStyle w:val="Heading2"/>
      </w:pPr>
      <w:bookmarkStart w:id="42" w:name="_Toc231846519"/>
      <w:bookmarkStart w:id="43" w:name="_Toc231932205"/>
      <w:r>
        <w:t>5.1 Design Concept and Geometry</w:t>
      </w:r>
      <w:bookmarkEnd w:id="42"/>
      <w:bookmarkEnd w:id="43"/>
    </w:p>
    <w:p w14:paraId="125662D9" w14:textId="6FC55D51" w:rsidR="009B2703" w:rsidRDefault="00BC33E3">
      <w:pPr>
        <w:spacing w:after="120" w:line="360" w:lineRule="auto"/>
        <w:jc w:val="both"/>
      </w:pPr>
      <w:r>
        <w:t>The housing is a single</w:t>
      </w:r>
      <w:r w:rsidR="0035401F">
        <w:t xml:space="preserve"> </w:t>
      </w:r>
      <w:r>
        <w:t>piece injection</w:t>
      </w:r>
      <w:r w:rsidR="0035401F">
        <w:t xml:space="preserve"> </w:t>
      </w:r>
      <w:r>
        <w:t>moulded shell forming the back face and four side walls, with the front opening shaped to receive a separately assembled screen module. Envelope dimensions follow the brief outline (approximately 150 mm × 75 mm × 8 mm; exact values per the CAD model). Internal features comprise:</w:t>
      </w:r>
    </w:p>
    <w:p w14:paraId="171AE797" w14:textId="77777777" w:rsidR="009B2703" w:rsidRDefault="00BC33E3">
      <w:pPr>
        <w:pStyle w:val="ListParagraph"/>
        <w:numPr>
          <w:ilvl w:val="0"/>
          <w:numId w:val="2"/>
        </w:numPr>
        <w:spacing w:after="60" w:line="360" w:lineRule="auto"/>
        <w:jc w:val="both"/>
      </w:pPr>
      <w:r>
        <w:t>A continuous retaining lip around the front opening that locates against the screen module bezel and holds it in place (a simple snap/retention feature in its most basic form).</w:t>
      </w:r>
    </w:p>
    <w:p w14:paraId="7E334DA4" w14:textId="77777777" w:rsidR="009B2703" w:rsidRDefault="00BC33E3">
      <w:pPr>
        <w:pStyle w:val="ListParagraph"/>
        <w:numPr>
          <w:ilvl w:val="0"/>
          <w:numId w:val="2"/>
        </w:numPr>
        <w:spacing w:after="60" w:line="360" w:lineRule="auto"/>
        <w:jc w:val="both"/>
      </w:pPr>
      <w:r>
        <w:t>Three port cutouts (USB-C, microphone, speaker grille) and a stadium-shaped camera module aperture on the back face.</w:t>
      </w:r>
    </w:p>
    <w:p w14:paraId="113678DA" w14:textId="77777777" w:rsidR="009B2703" w:rsidRDefault="00BC33E3">
      <w:pPr>
        <w:spacing w:after="120" w:line="360" w:lineRule="auto"/>
        <w:jc w:val="both"/>
      </w:pPr>
      <w:r>
        <w:t>The geometry was modelled in Autodesk Fusion 360 with wall thickness as the principal design variable for the simulation studies of Section 7.</w:t>
      </w:r>
    </w:p>
    <w:p w14:paraId="71C708CD" w14:textId="0199E3DE" w:rsidR="009B2703" w:rsidRDefault="00FA22E2" w:rsidP="0035401F">
      <w:pPr>
        <w:spacing w:before="160" w:after="60" w:line="360" w:lineRule="auto"/>
        <w:jc w:val="center"/>
      </w:pPr>
      <w:r>
        <w:rPr>
          <w:noProof/>
        </w:rPr>
        <w:drawing>
          <wp:inline distT="0" distB="0" distL="0" distR="0" wp14:anchorId="57A15AE7" wp14:editId="351D9A81">
            <wp:extent cx="5731510" cy="2767330"/>
            <wp:effectExtent l="0" t="0" r="2540" b="0"/>
            <wp:docPr id="1470628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767330"/>
                    </a:xfrm>
                    <a:prstGeom prst="rect">
                      <a:avLst/>
                    </a:prstGeom>
                    <a:noFill/>
                    <a:ln>
                      <a:noFill/>
                    </a:ln>
                  </pic:spPr>
                </pic:pic>
              </a:graphicData>
            </a:graphic>
          </wp:inline>
        </w:drawing>
      </w:r>
    </w:p>
    <w:p w14:paraId="7BA996DB" w14:textId="77777777" w:rsidR="009B2703" w:rsidRDefault="00BC33E3">
      <w:pPr>
        <w:spacing w:after="200" w:line="360" w:lineRule="auto"/>
        <w:jc w:val="center"/>
      </w:pPr>
      <w:r>
        <w:rPr>
          <w:i/>
          <w:iCs/>
          <w:sz w:val="22"/>
          <w:szCs w:val="22"/>
        </w:rPr>
        <w:t>Figure 4: Isometric view of the housing showing exterior surfaces, camera cutout, and port openings.</w:t>
      </w:r>
    </w:p>
    <w:p w14:paraId="340D4F76" w14:textId="18D1BE88" w:rsidR="009B2703" w:rsidRDefault="00FA22E2" w:rsidP="00FA22E2">
      <w:pPr>
        <w:spacing w:before="160" w:after="60" w:line="360" w:lineRule="auto"/>
        <w:jc w:val="center"/>
      </w:pPr>
      <w:r>
        <w:rPr>
          <w:noProof/>
        </w:rPr>
        <w:lastRenderedPageBreak/>
        <w:drawing>
          <wp:inline distT="0" distB="0" distL="0" distR="0" wp14:anchorId="05BDC0A5" wp14:editId="79546117">
            <wp:extent cx="5731510" cy="2776855"/>
            <wp:effectExtent l="0" t="0" r="2540" b="4445"/>
            <wp:docPr id="5028963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776855"/>
                    </a:xfrm>
                    <a:prstGeom prst="rect">
                      <a:avLst/>
                    </a:prstGeom>
                    <a:noFill/>
                    <a:ln>
                      <a:noFill/>
                    </a:ln>
                  </pic:spPr>
                </pic:pic>
              </a:graphicData>
            </a:graphic>
          </wp:inline>
        </w:drawing>
      </w:r>
    </w:p>
    <w:p w14:paraId="7DAE3E1A" w14:textId="02107233" w:rsidR="009B2703" w:rsidRDefault="00BC33E3">
      <w:pPr>
        <w:spacing w:after="200" w:line="360" w:lineRule="auto"/>
        <w:jc w:val="center"/>
        <w:rPr>
          <w:i/>
          <w:iCs/>
          <w:sz w:val="22"/>
          <w:szCs w:val="22"/>
        </w:rPr>
      </w:pPr>
      <w:r>
        <w:rPr>
          <w:i/>
          <w:iCs/>
          <w:sz w:val="22"/>
          <w:szCs w:val="22"/>
        </w:rPr>
        <w:t>Figure 5: section view through the housing showing the near-uniform wall (measured 1.55 mm against the 1.5 mm nominal) and the screen-retaining lip; the openings are the speaker and port cutouts.</w:t>
      </w:r>
    </w:p>
    <w:p w14:paraId="0E6BDA4F" w14:textId="77777777" w:rsidR="0035401F" w:rsidRDefault="0035401F">
      <w:pPr>
        <w:spacing w:after="200" w:line="360" w:lineRule="auto"/>
        <w:jc w:val="center"/>
      </w:pPr>
    </w:p>
    <w:p w14:paraId="20915C4A" w14:textId="07C75D72" w:rsidR="009B2703" w:rsidRDefault="00FA22E2" w:rsidP="0035401F">
      <w:pPr>
        <w:spacing w:before="160" w:after="60" w:line="360" w:lineRule="auto"/>
        <w:jc w:val="center"/>
      </w:pPr>
      <w:r>
        <w:rPr>
          <w:noProof/>
        </w:rPr>
        <w:drawing>
          <wp:inline distT="0" distB="0" distL="0" distR="0" wp14:anchorId="6218A73A" wp14:editId="4D2AADA5">
            <wp:extent cx="5731510" cy="2791460"/>
            <wp:effectExtent l="0" t="0" r="2540" b="8890"/>
            <wp:docPr id="175253093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791460"/>
                    </a:xfrm>
                    <a:prstGeom prst="rect">
                      <a:avLst/>
                    </a:prstGeom>
                    <a:noFill/>
                    <a:ln>
                      <a:noFill/>
                    </a:ln>
                  </pic:spPr>
                </pic:pic>
              </a:graphicData>
            </a:graphic>
          </wp:inline>
        </w:drawing>
      </w:r>
    </w:p>
    <w:p w14:paraId="038E4BA4" w14:textId="77777777" w:rsidR="009B2703" w:rsidRDefault="00BC33E3">
      <w:pPr>
        <w:spacing w:after="200" w:line="360" w:lineRule="auto"/>
        <w:jc w:val="center"/>
      </w:pPr>
      <w:r>
        <w:rPr>
          <w:i/>
          <w:iCs/>
          <w:sz w:val="22"/>
          <w:szCs w:val="22"/>
        </w:rPr>
        <w:t>Figure 6: Internal view of the housing showing the internal cavity, port cutouts and the bezel-contact lip.</w:t>
      </w:r>
    </w:p>
    <w:p w14:paraId="04F8945E" w14:textId="2FD85215" w:rsidR="009B2703" w:rsidRDefault="00FA22E2" w:rsidP="00FA22E2">
      <w:pPr>
        <w:spacing w:before="160" w:after="60" w:line="360" w:lineRule="auto"/>
        <w:jc w:val="center"/>
      </w:pPr>
      <w:r>
        <w:rPr>
          <w:noProof/>
        </w:rPr>
        <w:lastRenderedPageBreak/>
        <w:drawing>
          <wp:inline distT="0" distB="0" distL="0" distR="0" wp14:anchorId="386752C9" wp14:editId="33BF4E46">
            <wp:extent cx="5731510" cy="2790190"/>
            <wp:effectExtent l="0" t="0" r="2540" b="0"/>
            <wp:docPr id="92371088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90190"/>
                    </a:xfrm>
                    <a:prstGeom prst="rect">
                      <a:avLst/>
                    </a:prstGeom>
                    <a:noFill/>
                    <a:ln>
                      <a:noFill/>
                    </a:ln>
                  </pic:spPr>
                </pic:pic>
              </a:graphicData>
            </a:graphic>
          </wp:inline>
        </w:drawing>
      </w:r>
    </w:p>
    <w:p w14:paraId="4F60A00E" w14:textId="77777777" w:rsidR="009B2703" w:rsidRDefault="00BC33E3">
      <w:pPr>
        <w:spacing w:after="200" w:line="360" w:lineRule="auto"/>
        <w:jc w:val="center"/>
      </w:pPr>
      <w:r>
        <w:rPr>
          <w:i/>
          <w:iCs/>
          <w:sz w:val="22"/>
          <w:szCs w:val="22"/>
        </w:rPr>
        <w:t>Figure 7: Plan (top) view of the housing showing the overall outline and the rear camera aperture.</w:t>
      </w:r>
    </w:p>
    <w:p w14:paraId="48E924FC" w14:textId="77777777" w:rsidR="009B2703" w:rsidRDefault="00BC33E3">
      <w:pPr>
        <w:pStyle w:val="Heading2"/>
      </w:pPr>
      <w:bookmarkStart w:id="44" w:name="_Toc231846520"/>
      <w:bookmarkStart w:id="45" w:name="_Toc231932206"/>
      <w:r>
        <w:t>5.2 DFM and DFA Considerations</w:t>
      </w:r>
      <w:bookmarkEnd w:id="44"/>
      <w:bookmarkEnd w:id="45"/>
    </w:p>
    <w:p w14:paraId="333CA09A" w14:textId="77777777" w:rsidR="009B2703" w:rsidRDefault="00BC33E3">
      <w:pPr>
        <w:spacing w:after="120" w:line="360" w:lineRule="auto"/>
        <w:jc w:val="both"/>
      </w:pPr>
      <w:r>
        <w:t>The geometry above embodies explicit DFM and DFA decisions, each traceable to a published guideline and to requirements from the QFD or risks from the FMEA. Table 6 summarises the principal decisions, the guideline behind each, and the resulting benefit.</w:t>
      </w:r>
    </w:p>
    <w:p w14:paraId="37EA119B" w14:textId="77777777" w:rsidR="009B2703" w:rsidRDefault="00BC33E3">
      <w:pPr>
        <w:spacing w:before="200" w:after="60" w:line="360" w:lineRule="auto"/>
        <w:jc w:val="center"/>
      </w:pPr>
      <w:r>
        <w:rPr>
          <w:i/>
          <w:iCs/>
          <w:sz w:val="22"/>
          <w:szCs w:val="22"/>
        </w:rPr>
        <w:t>Table 6: DFM and DFA principles applied to the housing design.</w:t>
      </w:r>
    </w:p>
    <w:p w14:paraId="3A9C8CC8" w14:textId="4A0EEE11" w:rsidR="009B2703" w:rsidRDefault="00FA22E2">
      <w:pPr>
        <w:spacing w:after="120" w:line="360" w:lineRule="auto"/>
        <w:jc w:val="both"/>
      </w:pPr>
      <w:r>
        <w:rPr>
          <w:noProof/>
        </w:rPr>
        <w:drawing>
          <wp:inline distT="0" distB="0" distL="0" distR="0" wp14:anchorId="39CFDF03" wp14:editId="555672DB">
            <wp:extent cx="5731510" cy="2987675"/>
            <wp:effectExtent l="0" t="0" r="2540" b="3175"/>
            <wp:docPr id="590724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724987" name=""/>
                    <pic:cNvPicPr/>
                  </pic:nvPicPr>
                  <pic:blipFill>
                    <a:blip r:embed="rId20"/>
                    <a:stretch>
                      <a:fillRect/>
                    </a:stretch>
                  </pic:blipFill>
                  <pic:spPr>
                    <a:xfrm>
                      <a:off x="0" y="0"/>
                      <a:ext cx="5731510" cy="2987675"/>
                    </a:xfrm>
                    <a:prstGeom prst="rect">
                      <a:avLst/>
                    </a:prstGeom>
                  </pic:spPr>
                </pic:pic>
              </a:graphicData>
            </a:graphic>
          </wp:inline>
        </w:drawing>
      </w:r>
      <w:r>
        <w:t xml:space="preserve">Two decisions deserve note. First, the uniform 1.5 mm wall, informed by the QFD, the </w:t>
      </w:r>
      <w:r>
        <w:lastRenderedPageBreak/>
        <w:t>DOE study (Section 3.4) and the thin-wall literature (Malloy, 1994), balances stiffness (which favours thicker walls) against mass, cost and mouldability (which favour thinner walls).</w:t>
      </w:r>
    </w:p>
    <w:p w14:paraId="22D19ACB" w14:textId="77777777" w:rsidR="009B2703" w:rsidRDefault="00BC33E3">
      <w:pPr>
        <w:spacing w:after="120" w:line="360" w:lineRule="auto"/>
        <w:jc w:val="both"/>
      </w:pPr>
      <w:r>
        <w:t>Second, a retaining lip rather than screws was chosen for the screen attachment, removing discrete fasteners from this interface; by the Lucas DFA method (Lucas Engineering &amp; Systems, 1989) this saves roughly 3–6 s of assembly time and one purchased part. The model implements retention in its simplest form, and perimeter cantilever snaps could later raise retention force and assembly feedback, noted as a detailed design refinement. The lip also keeps the screen removable without damage, supporting right to repair.</w:t>
      </w:r>
    </w:p>
    <w:p w14:paraId="5E2C11D2" w14:textId="77777777" w:rsidR="009B2703" w:rsidRDefault="00BC33E3">
      <w:pPr>
        <w:pStyle w:val="Heading1"/>
        <w:pageBreakBefore/>
      </w:pPr>
      <w:bookmarkStart w:id="46" w:name="_Toc231846521"/>
      <w:bookmarkStart w:id="47" w:name="_Toc231932207"/>
      <w:r>
        <w:lastRenderedPageBreak/>
        <w:t>6. Manufacturing Process Planning</w:t>
      </w:r>
      <w:bookmarkEnd w:id="46"/>
      <w:bookmarkEnd w:id="47"/>
    </w:p>
    <w:p w14:paraId="5BB48858" w14:textId="77777777" w:rsidR="009B2703" w:rsidRDefault="00BC33E3">
      <w:pPr>
        <w:spacing w:after="120" w:line="360" w:lineRule="auto"/>
        <w:jc w:val="both"/>
      </w:pPr>
      <w:r>
        <w:t>The housing is injection-moulded on a multi-cavity tool, with two cavities proposed for production following the break even analysis in Section 8. The full process plan, from raw material receipt to packed parts, is summarised in Table 7.</w:t>
      </w:r>
    </w:p>
    <w:p w14:paraId="37DF76C1" w14:textId="77777777" w:rsidR="009B2703" w:rsidRDefault="00BC33E3">
      <w:pPr>
        <w:spacing w:before="200" w:after="60" w:line="360" w:lineRule="auto"/>
        <w:jc w:val="center"/>
      </w:pPr>
      <w:r>
        <w:rPr>
          <w:i/>
          <w:iCs/>
          <w:sz w:val="22"/>
          <w:szCs w:val="22"/>
        </w:rPr>
        <w:t>Table 7: Step-by-step manufacturing process plan for the housing.</w:t>
      </w:r>
    </w:p>
    <w:p w14:paraId="0621941A" w14:textId="77777777" w:rsidR="00DD54C4" w:rsidRDefault="00FA22E2">
      <w:pPr>
        <w:spacing w:after="120" w:line="360" w:lineRule="auto"/>
        <w:jc w:val="both"/>
      </w:pPr>
      <w:r>
        <w:rPr>
          <w:noProof/>
        </w:rPr>
        <w:drawing>
          <wp:inline distT="0" distB="0" distL="0" distR="0" wp14:anchorId="391F54FD" wp14:editId="77B037B5">
            <wp:extent cx="5416550" cy="6895470"/>
            <wp:effectExtent l="0" t="0" r="0" b="635"/>
            <wp:docPr id="2002604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604379" name=""/>
                    <pic:cNvPicPr/>
                  </pic:nvPicPr>
                  <pic:blipFill>
                    <a:blip r:embed="rId21"/>
                    <a:stretch>
                      <a:fillRect/>
                    </a:stretch>
                  </pic:blipFill>
                  <pic:spPr>
                    <a:xfrm>
                      <a:off x="0" y="0"/>
                      <a:ext cx="5428213" cy="6910318"/>
                    </a:xfrm>
                    <a:prstGeom prst="rect">
                      <a:avLst/>
                    </a:prstGeom>
                  </pic:spPr>
                </pic:pic>
              </a:graphicData>
            </a:graphic>
          </wp:inline>
        </w:drawing>
      </w:r>
    </w:p>
    <w:p w14:paraId="12D105BD" w14:textId="3E560C45" w:rsidR="009B2703" w:rsidRDefault="00BC33E3">
      <w:pPr>
        <w:spacing w:after="120" w:line="360" w:lineRule="auto"/>
        <w:jc w:val="both"/>
      </w:pPr>
      <w:r>
        <w:lastRenderedPageBreak/>
        <w:t>Critical quality control points are placed after injection (visual inspection of every part), during the run (CMM check on 1 in 200) and at material intake (moisture and regrind percentage). Cycle time is dominated by cooling (Step 6); for the 1.5 mm wall, standard amorphous-thermoplastic cooling formulae (Rosato, Rosato and Rosato, 2000) give about 32 s total, consistent with handheld-housing benchmarks.</w:t>
      </w:r>
    </w:p>
    <w:p w14:paraId="77D5E73E" w14:textId="77777777" w:rsidR="009B2703" w:rsidRDefault="00BC33E3">
      <w:pPr>
        <w:pStyle w:val="Heading1"/>
        <w:pageBreakBefore/>
      </w:pPr>
      <w:bookmarkStart w:id="48" w:name="_Toc231846522"/>
      <w:bookmarkStart w:id="49" w:name="_Toc231932208"/>
      <w:r>
        <w:lastRenderedPageBreak/>
        <w:t>7. Simulation and Validation</w:t>
      </w:r>
      <w:bookmarkEnd w:id="48"/>
      <w:bookmarkEnd w:id="49"/>
    </w:p>
    <w:p w14:paraId="64152F94" w14:textId="77777777" w:rsidR="009B2703" w:rsidRDefault="00BC33E3">
      <w:pPr>
        <w:pStyle w:val="Heading2"/>
      </w:pPr>
      <w:bookmarkStart w:id="50" w:name="_Toc231846523"/>
      <w:bookmarkStart w:id="51" w:name="_Toc231932209"/>
      <w:r>
        <w:t>7.1 Fusion 360 Plastic Simulation: Polymer Flow</w:t>
      </w:r>
      <w:bookmarkEnd w:id="50"/>
      <w:bookmarkEnd w:id="51"/>
    </w:p>
    <w:p w14:paraId="1BCF3CED" w14:textId="77777777" w:rsidR="009B2703" w:rsidRDefault="00BC33E3">
      <w:pPr>
        <w:spacing w:after="120" w:line="360" w:lineRule="auto"/>
        <w:jc w:val="both"/>
      </w:pPr>
      <w:r>
        <w:t>Polymer flow was simulated with Injection Molding Simulation in Fusion 360 (Manufacturing Extension) on the Section 5 model, to verify cavity fill, locate weld lines and air traps relative to cosmetic surfaces, quantify warpage and inform gate and process settings. Rather than a single run, six simulations were performed, each varying one parameter (gate position, melt temperature or local geometry) to isolate its effect. The material card was a polycarbonate grade from the Fusion 360 library, consistent with the PC selected in Section 4.4.</w:t>
      </w:r>
    </w:p>
    <w:p w14:paraId="786102BF" w14:textId="77777777" w:rsidR="009B2703" w:rsidRDefault="00BC33E3">
      <w:pPr>
        <w:pStyle w:val="Heading3"/>
      </w:pPr>
      <w:bookmarkStart w:id="52" w:name="_Toc231846524"/>
      <w:bookmarkStart w:id="53" w:name="_Toc231932210"/>
      <w:r>
        <w:t>7.1.1 Setup and Assumptions</w:t>
      </w:r>
      <w:bookmarkEnd w:id="52"/>
      <w:bookmarkEnd w:id="53"/>
    </w:p>
    <w:p w14:paraId="3CB3517F" w14:textId="77777777" w:rsidR="009B2703" w:rsidRDefault="00BC33E3">
      <w:pPr>
        <w:pStyle w:val="ListParagraph"/>
        <w:numPr>
          <w:ilvl w:val="0"/>
          <w:numId w:val="2"/>
        </w:numPr>
        <w:spacing w:after="60" w:line="360" w:lineRule="auto"/>
        <w:jc w:val="both"/>
      </w:pPr>
      <w:r>
        <w:t>Mesh: surface mesh based on the cavity walls; global element size approximately 1.0 mm, refined to 0.4 mm at the gate and corners.</w:t>
      </w:r>
    </w:p>
    <w:p w14:paraId="464A5592" w14:textId="77777777" w:rsidR="009B2703" w:rsidRDefault="00BC33E3">
      <w:pPr>
        <w:pStyle w:val="ListParagraph"/>
        <w:numPr>
          <w:ilvl w:val="0"/>
          <w:numId w:val="2"/>
        </w:numPr>
        <w:spacing w:after="60" w:line="360" w:lineRule="auto"/>
        <w:jc w:val="both"/>
      </w:pPr>
      <w:r>
        <w:t>Final process settings (iteration 5): melt temperature 277 °C (550.5 K), mould surface temperature 82 °C (355 K), automatic injection time, with packing and cooling computed by the solver. These sit within the Granta-reported processing window for PC (melt 260–350 °C, mould 70–150 °C).</w:t>
      </w:r>
    </w:p>
    <w:p w14:paraId="2CC1931D" w14:textId="77777777" w:rsidR="009B2703" w:rsidRDefault="00BC33E3">
      <w:pPr>
        <w:pStyle w:val="ListParagraph"/>
        <w:numPr>
          <w:ilvl w:val="0"/>
          <w:numId w:val="2"/>
        </w:numPr>
        <w:spacing w:after="60" w:line="360" w:lineRule="auto"/>
        <w:jc w:val="both"/>
      </w:pPr>
      <w:r>
        <w:t>Final gate configuration (iteration 4 onward): two gates at the centres of the top and bottom edges, on opposite ends. This balanced arrangement halves the maximum flow length and was reached after testing centred and staggered alternatives (Table 7a).</w:t>
      </w:r>
    </w:p>
    <w:p w14:paraId="1935878B" w14:textId="77777777" w:rsidR="009B2703" w:rsidRDefault="00BC33E3">
      <w:pPr>
        <w:pStyle w:val="ListParagraph"/>
        <w:numPr>
          <w:ilvl w:val="0"/>
          <w:numId w:val="2"/>
        </w:numPr>
        <w:spacing w:after="60" w:line="360" w:lineRule="auto"/>
        <w:jc w:val="both"/>
      </w:pPr>
      <w:r>
        <w:t>Assumptions: isothermal mould wall; viscous-only flow (no inertial effects); no air entrapment modelling beyond air-trap location prediction.</w:t>
      </w:r>
    </w:p>
    <w:p w14:paraId="359DA854" w14:textId="77777777" w:rsidR="009B2703" w:rsidRDefault="009B2703">
      <w:pPr>
        <w:spacing w:after="120" w:line="360" w:lineRule="auto"/>
        <w:jc w:val="both"/>
      </w:pPr>
    </w:p>
    <w:p w14:paraId="7C4F6745" w14:textId="77777777" w:rsidR="009B2703" w:rsidRDefault="00BC33E3">
      <w:pPr>
        <w:pStyle w:val="Heading3"/>
      </w:pPr>
      <w:bookmarkStart w:id="54" w:name="_Toc231846525"/>
      <w:bookmarkStart w:id="55" w:name="_Toc231932211"/>
      <w:r>
        <w:t>7.1.2 Iterative Flow Optimisation</w:t>
      </w:r>
      <w:bookmarkEnd w:id="54"/>
      <w:bookmarkEnd w:id="55"/>
    </w:p>
    <w:p w14:paraId="0D39AA38" w14:textId="77777777" w:rsidR="009B2703" w:rsidRDefault="00BC33E3">
      <w:pPr>
        <w:spacing w:after="120" w:line="360" w:lineRule="auto"/>
        <w:jc w:val="both"/>
      </w:pPr>
      <w:r>
        <w:t>Six simulations were run, each isolating one variable. The baseline (iteration 1) used two central gates and a 262 °C melt at the lower limit of the generic-PC window; fill was poor, with 18.1% of the cavity ‘unlikely to fill’ and 17.1% ‘difficult’ and weld lines on four aesthetic faces. Table 7a summarises the six iterations.</w:t>
      </w:r>
    </w:p>
    <w:p w14:paraId="7843EC66" w14:textId="77777777" w:rsidR="009B2703" w:rsidRDefault="00BC33E3">
      <w:pPr>
        <w:spacing w:before="120" w:after="60" w:line="360" w:lineRule="auto"/>
        <w:jc w:val="center"/>
      </w:pPr>
      <w:r>
        <w:rPr>
          <w:b/>
          <w:bCs/>
          <w:i/>
          <w:iCs/>
          <w:sz w:val="22"/>
          <w:szCs w:val="22"/>
        </w:rPr>
        <w:t>Table 7a: Iterative flow simulation results. Iteration 5 was adopted as the final design.</w:t>
      </w:r>
    </w:p>
    <w:p w14:paraId="6C8EFCFA" w14:textId="6D118638" w:rsidR="009B2703" w:rsidRDefault="00FA22E2">
      <w:pPr>
        <w:spacing w:after="120" w:line="360" w:lineRule="auto"/>
      </w:pPr>
      <w:r>
        <w:rPr>
          <w:noProof/>
        </w:rPr>
        <w:lastRenderedPageBreak/>
        <w:drawing>
          <wp:inline distT="0" distB="0" distL="0" distR="0" wp14:anchorId="5456FFE3" wp14:editId="2C898BA7">
            <wp:extent cx="5731510" cy="2168525"/>
            <wp:effectExtent l="0" t="0" r="2540" b="3175"/>
            <wp:docPr id="87989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89294" name=""/>
                    <pic:cNvPicPr/>
                  </pic:nvPicPr>
                  <pic:blipFill>
                    <a:blip r:embed="rId22"/>
                    <a:stretch>
                      <a:fillRect/>
                    </a:stretch>
                  </pic:blipFill>
                  <pic:spPr>
                    <a:xfrm>
                      <a:off x="0" y="0"/>
                      <a:ext cx="5731510" cy="2168525"/>
                    </a:xfrm>
                    <a:prstGeom prst="rect">
                      <a:avLst/>
                    </a:prstGeom>
                  </pic:spPr>
                </pic:pic>
              </a:graphicData>
            </a:graphic>
          </wp:inline>
        </w:drawing>
      </w:r>
    </w:p>
    <w:p w14:paraId="448BE640" w14:textId="77777777" w:rsidR="009B2703" w:rsidRDefault="00BC33E3">
      <w:pPr>
        <w:pStyle w:val="Heading3"/>
      </w:pPr>
      <w:bookmarkStart w:id="56" w:name="_Toc231846526"/>
      <w:bookmarkStart w:id="57" w:name="_Toc231932212"/>
      <w:r>
        <w:t>7.1.3 Final Design Result (Iteration 5)</w:t>
      </w:r>
      <w:bookmarkEnd w:id="56"/>
      <w:bookmarkEnd w:id="57"/>
    </w:p>
    <w:p w14:paraId="460D0096" w14:textId="0320317B" w:rsidR="009B2703" w:rsidRDefault="00BC33E3">
      <w:pPr>
        <w:spacing w:after="120" w:line="360" w:lineRule="auto"/>
        <w:jc w:val="both"/>
      </w:pPr>
      <w:r>
        <w:t>The adopted design uses two opposed gates (top and bottom edge centres), a 277 °C melt, and edge fillets including one around the camera cutout. Figure 8 contrasts baseline and final fill: the problematic central band of the baseline (Figure 8a) is eliminated, with 98% of the cavity easy to fill and no ‘unlikely-to-fill’ regions (Figure 8b).</w:t>
      </w:r>
    </w:p>
    <w:p w14:paraId="7BDC6470" w14:textId="77777777" w:rsidR="009B2703" w:rsidRDefault="00BC33E3">
      <w:pPr>
        <w:spacing w:before="200" w:after="60" w:line="360" w:lineRule="auto"/>
        <w:jc w:val="center"/>
      </w:pPr>
      <w:r>
        <w:rPr>
          <w:noProof/>
        </w:rPr>
        <w:drawing>
          <wp:inline distT="0" distB="0" distL="0" distR="0" wp14:anchorId="4FFDF15A" wp14:editId="5C20DB37">
            <wp:extent cx="5667375" cy="3190875"/>
            <wp:effectExtent l="0" t="0" r="0" b="0"/>
            <wp:docPr id="1538910092" name="Picture 1538910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3"/>
                    <a:srcRect/>
                    <a:stretch>
                      <a:fillRect/>
                    </a:stretch>
                  </pic:blipFill>
                  <pic:spPr bwMode="auto">
                    <a:xfrm>
                      <a:off x="0" y="0"/>
                      <a:ext cx="5667375" cy="3190875"/>
                    </a:xfrm>
                    <a:prstGeom prst="rect">
                      <a:avLst/>
                    </a:prstGeom>
                  </pic:spPr>
                </pic:pic>
              </a:graphicData>
            </a:graphic>
          </wp:inline>
        </w:drawing>
      </w:r>
    </w:p>
    <w:p w14:paraId="510616BF" w14:textId="77777777" w:rsidR="009B2703" w:rsidRDefault="00BC33E3">
      <w:pPr>
        <w:spacing w:after="200" w:line="360" w:lineRule="auto"/>
        <w:jc w:val="center"/>
      </w:pPr>
      <w:r>
        <w:rPr>
          <w:i/>
          <w:iCs/>
          <w:sz w:val="22"/>
          <w:szCs w:val="22"/>
        </w:rPr>
        <w:t>Figure 8a: Baseline (iteration 1) fill confidence. A central band is unlikely (red, 18.1%) or difficult (orange, 17.1%) to fill, caused by the cold melt and central gate convergence.</w:t>
      </w:r>
    </w:p>
    <w:p w14:paraId="71A3732D" w14:textId="77777777" w:rsidR="009B2703" w:rsidRDefault="00BC33E3">
      <w:pPr>
        <w:spacing w:before="200" w:after="60" w:line="360" w:lineRule="auto"/>
        <w:jc w:val="center"/>
      </w:pPr>
      <w:r>
        <w:rPr>
          <w:noProof/>
        </w:rPr>
        <w:lastRenderedPageBreak/>
        <w:drawing>
          <wp:inline distT="0" distB="0" distL="0" distR="0" wp14:anchorId="7386BECB" wp14:editId="13526E94">
            <wp:extent cx="5667375" cy="3190875"/>
            <wp:effectExtent l="0" t="0" r="0" b="0"/>
            <wp:docPr id="1260015910" name="Picture 1260015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5667375" cy="3190875"/>
                    </a:xfrm>
                    <a:prstGeom prst="rect">
                      <a:avLst/>
                    </a:prstGeom>
                  </pic:spPr>
                </pic:pic>
              </a:graphicData>
            </a:graphic>
          </wp:inline>
        </w:drawing>
      </w:r>
    </w:p>
    <w:p w14:paraId="268684BA" w14:textId="77777777" w:rsidR="009B2703" w:rsidRDefault="00BC33E3">
      <w:pPr>
        <w:spacing w:after="200" w:line="360" w:lineRule="auto"/>
        <w:jc w:val="center"/>
      </w:pPr>
      <w:r>
        <w:rPr>
          <w:i/>
          <w:iCs/>
          <w:sz w:val="22"/>
          <w:szCs w:val="22"/>
        </w:rPr>
        <w:t>Figure 8b: Final design (iteration 5) fill confidence: 98.0% easy to fill, no unlikely-to-fill regions, fill time 0.85 s.</w:t>
      </w:r>
    </w:p>
    <w:p w14:paraId="119EA552" w14:textId="77777777" w:rsidR="009B2703" w:rsidRDefault="00BC33E3">
      <w:pPr>
        <w:spacing w:after="120" w:line="360" w:lineRule="auto"/>
        <w:jc w:val="both"/>
      </w:pPr>
      <w:r>
        <w:t>Visual-defect analysis of the final design predicts a single weld line on a cosmetic face, running diagonally across the back, with the remainder on internal surfaces. The maximum sink-mark depth is 0.010 mm, below visual perception and located on internal feature backsides rather than the show surface (Figure 9).</w:t>
      </w:r>
    </w:p>
    <w:p w14:paraId="0E38F4C9" w14:textId="77777777" w:rsidR="009B2703" w:rsidRDefault="00BC33E3">
      <w:pPr>
        <w:spacing w:before="200" w:after="60" w:line="360" w:lineRule="auto"/>
        <w:jc w:val="center"/>
      </w:pPr>
      <w:r>
        <w:rPr>
          <w:noProof/>
        </w:rPr>
        <w:drawing>
          <wp:inline distT="0" distB="0" distL="0" distR="0" wp14:anchorId="5C68EEEB" wp14:editId="40A28E54">
            <wp:extent cx="5667375" cy="3190875"/>
            <wp:effectExtent l="0" t="0" r="0" b="0"/>
            <wp:docPr id="1035567261" name="Picture 1035567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667375" cy="3190875"/>
                    </a:xfrm>
                    <a:prstGeom prst="rect">
                      <a:avLst/>
                    </a:prstGeom>
                  </pic:spPr>
                </pic:pic>
              </a:graphicData>
            </a:graphic>
          </wp:inline>
        </w:drawing>
      </w:r>
    </w:p>
    <w:p w14:paraId="3A138D20" w14:textId="77777777" w:rsidR="009B2703" w:rsidRDefault="00BC33E3">
      <w:pPr>
        <w:spacing w:after="200" w:line="360" w:lineRule="auto"/>
        <w:jc w:val="center"/>
      </w:pPr>
      <w:r>
        <w:rPr>
          <w:i/>
          <w:iCs/>
          <w:sz w:val="22"/>
          <w:szCs w:val="22"/>
        </w:rPr>
        <w:t>Figure 9: Final design warpage. Maximum deflection 0.567 mm against the auto-set tolerance of 0.481 mm, localised to the back edge adjacent to the camera island.</w:t>
      </w:r>
    </w:p>
    <w:p w14:paraId="1B19D0C1" w14:textId="77777777" w:rsidR="009B2703" w:rsidRDefault="00BC33E3">
      <w:pPr>
        <w:spacing w:after="120" w:line="360" w:lineRule="auto"/>
        <w:jc w:val="both"/>
      </w:pPr>
      <w:r>
        <w:lastRenderedPageBreak/>
        <w:t>The one residual issue is warpage: the final design deflects 0.567 mm against Fusion’s auto-set tolerance of 0.481 mm, 18% over. This deflection is localised to the back edge next to the camera island rather than spread across the part, which points to the camera island geometry, not the process settings, as the root cause. On a 150 mm housing, 0.567 mm of corner deflection is functionally acceptable, since the screen still seats, but it exceeds the tolerance and is carried into the recommendations (Section 10.3) as a cooling channel target.</w:t>
      </w:r>
    </w:p>
    <w:p w14:paraId="486A4492" w14:textId="77777777" w:rsidR="009B2703" w:rsidRDefault="00BC33E3">
      <w:pPr>
        <w:pStyle w:val="Heading3"/>
      </w:pPr>
      <w:bookmarkStart w:id="58" w:name="_Toc231846527"/>
      <w:bookmarkStart w:id="59" w:name="_Toc231932213"/>
      <w:r>
        <w:t>7.1.4 Wall-Thickness Hypothesis Test</w:t>
      </w:r>
      <w:bookmarkEnd w:id="58"/>
      <w:bookmarkEnd w:id="59"/>
    </w:p>
    <w:p w14:paraId="2FD56151" w14:textId="77777777" w:rsidR="009B2703" w:rsidRDefault="00BC33E3">
      <w:pPr>
        <w:spacing w:after="120" w:line="360" w:lineRule="auto"/>
        <w:jc w:val="both"/>
      </w:pPr>
      <w:r>
        <w:t>Because warpage was the residual concern, a sixth simulation tested whether thickening the back wall from 1.5 mm to 2.0 mm would reduce it. It did the opposite: maximum warpage rose to 0.728 mm (Figure 10), because a non-uniform 1.33:1 wall worsens differential shrinkage. Iteration 5 was therefore kept as final, consistent with recent simulation based parameter studies that minimise warpage and shrinkage through process optimisation (Li et al., 2023).</w:t>
      </w:r>
    </w:p>
    <w:p w14:paraId="280336D2" w14:textId="77777777" w:rsidR="009B2703" w:rsidRDefault="00BC33E3">
      <w:pPr>
        <w:spacing w:before="200" w:after="60" w:line="360" w:lineRule="auto"/>
        <w:jc w:val="center"/>
      </w:pPr>
      <w:r>
        <w:rPr>
          <w:noProof/>
        </w:rPr>
        <w:drawing>
          <wp:inline distT="0" distB="0" distL="0" distR="0" wp14:anchorId="373B0801" wp14:editId="6EAEDFE2">
            <wp:extent cx="5667375" cy="3190875"/>
            <wp:effectExtent l="0" t="0" r="0" b="0"/>
            <wp:docPr id="429283336" name="Picture 4292833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5667375" cy="3190875"/>
                    </a:xfrm>
                    <a:prstGeom prst="rect">
                      <a:avLst/>
                    </a:prstGeom>
                  </pic:spPr>
                </pic:pic>
              </a:graphicData>
            </a:graphic>
          </wp:inline>
        </w:drawing>
      </w:r>
    </w:p>
    <w:p w14:paraId="1E5ADA54" w14:textId="77777777" w:rsidR="009B2703" w:rsidRDefault="00BC33E3">
      <w:pPr>
        <w:spacing w:after="200" w:line="360" w:lineRule="auto"/>
        <w:jc w:val="center"/>
      </w:pPr>
      <w:r>
        <w:rPr>
          <w:i/>
          <w:iCs/>
          <w:sz w:val="22"/>
          <w:szCs w:val="22"/>
        </w:rPr>
        <w:t>Figure 10: Hypothesis-test result. Thickening the back wall to 2.0 mm increased maximum warpage to 0.728 mm, confirming that wall uniformity, not wall thickness, governs warpage in this part.</w:t>
      </w:r>
    </w:p>
    <w:p w14:paraId="1E76794C" w14:textId="77777777" w:rsidR="009B2703" w:rsidRDefault="00BC33E3">
      <w:pPr>
        <w:pStyle w:val="Heading2"/>
      </w:pPr>
      <w:bookmarkStart w:id="60" w:name="_Toc231846528"/>
      <w:bookmarkStart w:id="61" w:name="_Toc231932214"/>
      <w:r>
        <w:t>7.2 Fusion 360 Static Stress Simulation: Structural Validation</w:t>
      </w:r>
      <w:bookmarkEnd w:id="60"/>
      <w:bookmarkEnd w:id="61"/>
    </w:p>
    <w:p w14:paraId="4218159A" w14:textId="77777777" w:rsidR="009B2703" w:rsidRDefault="00BC33E3">
      <w:pPr>
        <w:spacing w:after="120" w:line="360" w:lineRule="auto"/>
        <w:jc w:val="both"/>
      </w:pPr>
      <w:r>
        <w:lastRenderedPageBreak/>
        <w:t>Structural validation under operational loads used Static Stress simulation in Fusion 360. As Adams and Askenazi (1999) note, the value of an FEA study depends on the validity of its material, restraint and load assumptions; these are stated explicitly below and inform the interpretation of results.</w:t>
      </w:r>
    </w:p>
    <w:p w14:paraId="3101893E" w14:textId="77777777" w:rsidR="009B2703" w:rsidRDefault="00BC33E3">
      <w:pPr>
        <w:pStyle w:val="Heading3"/>
      </w:pPr>
      <w:bookmarkStart w:id="62" w:name="_Toc231846529"/>
      <w:bookmarkStart w:id="63" w:name="_Toc231932215"/>
      <w:r>
        <w:t>7.2.1 General Setup and Assumptions</w:t>
      </w:r>
      <w:bookmarkEnd w:id="62"/>
      <w:bookmarkEnd w:id="63"/>
    </w:p>
    <w:p w14:paraId="22FAD043" w14:textId="77777777" w:rsidR="009B2703" w:rsidRDefault="00BC33E3">
      <w:pPr>
        <w:pStyle w:val="ListParagraph"/>
        <w:numPr>
          <w:ilvl w:val="0"/>
          <w:numId w:val="2"/>
        </w:numPr>
        <w:spacing w:after="60" w:line="360" w:lineRule="auto"/>
        <w:jc w:val="both"/>
      </w:pPr>
      <w:r>
        <w:t>Study type: linear-static stress analysis for all three load cases.</w:t>
      </w:r>
    </w:p>
    <w:p w14:paraId="0B1471C9" w14:textId="77777777" w:rsidR="009B2703" w:rsidRDefault="00BC33E3">
      <w:pPr>
        <w:pStyle w:val="ListParagraph"/>
        <w:numPr>
          <w:ilvl w:val="0"/>
          <w:numId w:val="2"/>
        </w:numPr>
        <w:spacing w:after="60" w:line="360" w:lineRule="auto"/>
        <w:jc w:val="both"/>
      </w:pPr>
      <w:r>
        <w:t>Material: PC (copolymer, heat resistant) as specified in Section 4.4; values from Granta EduPack 2024 R2 datasheet (E = 2.3 GPa, ν = 0.40, σ_y = 65 MPa, ρ = 1160 kg/m³).</w:t>
      </w:r>
    </w:p>
    <w:p w14:paraId="2A5DDE86" w14:textId="77777777" w:rsidR="009B2703" w:rsidRDefault="00BC33E3">
      <w:pPr>
        <w:pStyle w:val="ListParagraph"/>
        <w:numPr>
          <w:ilvl w:val="0"/>
          <w:numId w:val="2"/>
        </w:numPr>
        <w:spacing w:after="60" w:line="360" w:lineRule="auto"/>
        <w:jc w:val="both"/>
      </w:pPr>
      <w:r>
        <w:t>Mesh: solid tetrahedral elements, global size 2.0 mm, refined to 0.6 mm at fillets, the retaining lip, and the camera cutout.</w:t>
      </w:r>
    </w:p>
    <w:p w14:paraId="6E2E7E7D" w14:textId="77777777" w:rsidR="009B2703" w:rsidRDefault="00BC33E3">
      <w:pPr>
        <w:pStyle w:val="ListParagraph"/>
        <w:numPr>
          <w:ilvl w:val="0"/>
          <w:numId w:val="2"/>
        </w:numPr>
        <w:spacing w:after="60" w:line="360" w:lineRule="auto"/>
        <w:jc w:val="both"/>
      </w:pPr>
      <w:r>
        <w:t>Restraints: fixed supports applied at the retaining lip / screen mounting edge to represent the connection to the screen module, consistent with the published approach for handheld polymer housings (Adams and Askenazi, 1999).</w:t>
      </w:r>
    </w:p>
    <w:p w14:paraId="08B76A04" w14:textId="77777777" w:rsidR="009B2703" w:rsidRDefault="00BC33E3">
      <w:pPr>
        <w:pStyle w:val="ListParagraph"/>
        <w:numPr>
          <w:ilvl w:val="0"/>
          <w:numId w:val="2"/>
        </w:numPr>
        <w:spacing w:after="60" w:line="360" w:lineRule="auto"/>
        <w:jc w:val="both"/>
      </w:pPr>
      <w:r>
        <w:t>Loads: as defined per load case below.</w:t>
      </w:r>
    </w:p>
    <w:p w14:paraId="7F6ABE71" w14:textId="77777777" w:rsidR="009B2703" w:rsidRDefault="00BC33E3">
      <w:pPr>
        <w:pStyle w:val="ListParagraph"/>
        <w:numPr>
          <w:ilvl w:val="0"/>
          <w:numId w:val="2"/>
        </w:numPr>
        <w:spacing w:after="60" w:line="360" w:lineRule="auto"/>
        <w:jc w:val="both"/>
      </w:pPr>
      <w:r>
        <w:t>Validation: an order-of-magnitude plate-bending check is discussed as a recommended confirmatory step in Section 7.2.5.</w:t>
      </w:r>
    </w:p>
    <w:p w14:paraId="3D18EE96" w14:textId="77777777" w:rsidR="009B2703" w:rsidRDefault="00BC33E3">
      <w:pPr>
        <w:pStyle w:val="Heading3"/>
      </w:pPr>
      <w:bookmarkStart w:id="64" w:name="_Toc231846530"/>
      <w:bookmarkStart w:id="65" w:name="_Toc231932216"/>
      <w:r>
        <w:t>7.2.2 Load Case 1: Localised Press on Screen Face</w:t>
      </w:r>
      <w:bookmarkEnd w:id="64"/>
      <w:bookmarkEnd w:id="65"/>
    </w:p>
    <w:p w14:paraId="0085BBF3" w14:textId="77777777" w:rsidR="009B2703" w:rsidRDefault="00BC33E3">
      <w:pPr>
        <w:spacing w:after="120" w:line="360" w:lineRule="auto"/>
        <w:jc w:val="both"/>
      </w:pPr>
      <w:r>
        <w:t>The first load case represents a user pressing on the screen during normal use. A distributed normal pressure equivalent to 50 N over a 20 × 20 mm central patch was applied to the corresponding internal feature, with the screen perimeter retaining-lip faces fixed.</w:t>
      </w:r>
    </w:p>
    <w:p w14:paraId="25880962"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lastRenderedPageBreak/>
        <w:drawing>
          <wp:inline distT="0" distB="0" distL="0" distR="0" wp14:anchorId="45CFD2EB" wp14:editId="50DB57EA">
            <wp:extent cx="5667375" cy="3190875"/>
            <wp:effectExtent l="0" t="0" r="0" b="0"/>
            <wp:docPr id="1567812016" name="Picture 156781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7"/>
                    <a:srcRect/>
                    <a:stretch>
                      <a:fillRect/>
                    </a:stretch>
                  </pic:blipFill>
                  <pic:spPr bwMode="auto">
                    <a:xfrm>
                      <a:off x="0" y="0"/>
                      <a:ext cx="5667375" cy="3190875"/>
                    </a:xfrm>
                    <a:prstGeom prst="rect">
                      <a:avLst/>
                    </a:prstGeom>
                  </pic:spPr>
                </pic:pic>
              </a:graphicData>
            </a:graphic>
          </wp:inline>
        </w:drawing>
      </w:r>
    </w:p>
    <w:p w14:paraId="6EDCBF9A" w14:textId="77777777" w:rsidR="009B2703" w:rsidRDefault="00BC33E3">
      <w:pPr>
        <w:spacing w:after="200" w:line="360" w:lineRule="auto"/>
        <w:jc w:val="center"/>
      </w:pPr>
      <w:r>
        <w:rPr>
          <w:i/>
          <w:iCs/>
          <w:sz w:val="22"/>
          <w:szCs w:val="22"/>
        </w:rPr>
        <w:t>Figure 11: Load Case 1 setup: pressure load on screen-facing interior surface; restraints at the retaining lip.</w:t>
      </w:r>
    </w:p>
    <w:p w14:paraId="25AF7BD5"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drawing>
          <wp:inline distT="0" distB="0" distL="0" distR="0" wp14:anchorId="09C87DFC" wp14:editId="6B95D515">
            <wp:extent cx="5667375" cy="3190875"/>
            <wp:effectExtent l="0" t="0" r="0" b="0"/>
            <wp:docPr id="182468008" name="Picture 182468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8"/>
                    <a:srcRect/>
                    <a:stretch>
                      <a:fillRect/>
                    </a:stretch>
                  </pic:blipFill>
                  <pic:spPr bwMode="auto">
                    <a:xfrm>
                      <a:off x="0" y="0"/>
                      <a:ext cx="5667375" cy="3190875"/>
                    </a:xfrm>
                    <a:prstGeom prst="rect">
                      <a:avLst/>
                    </a:prstGeom>
                  </pic:spPr>
                </pic:pic>
              </a:graphicData>
            </a:graphic>
          </wp:inline>
        </w:drawing>
      </w:r>
    </w:p>
    <w:p w14:paraId="582E666E" w14:textId="77777777" w:rsidR="009B2703" w:rsidRDefault="00BC33E3">
      <w:pPr>
        <w:spacing w:after="200" w:line="360" w:lineRule="auto"/>
        <w:jc w:val="center"/>
      </w:pPr>
      <w:r>
        <w:rPr>
          <w:i/>
          <w:iCs/>
          <w:sz w:val="22"/>
          <w:szCs w:val="22"/>
        </w:rPr>
        <w:t>Figure 12: Load Case 1: Von Mises stress contour plot. Peak stress 45.2 MPa at the centre of the inner back face, at the edge of the loaded patch.</w:t>
      </w:r>
    </w:p>
    <w:p w14:paraId="071C71D1"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lastRenderedPageBreak/>
        <w:drawing>
          <wp:inline distT="0" distB="0" distL="0" distR="0" wp14:anchorId="6E1C6ABB" wp14:editId="53377B8C">
            <wp:extent cx="5667375" cy="3190875"/>
            <wp:effectExtent l="0" t="0" r="0" b="0"/>
            <wp:docPr id="2090772929" name="Picture 2090772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9"/>
                    <a:srcRect/>
                    <a:stretch>
                      <a:fillRect/>
                    </a:stretch>
                  </pic:blipFill>
                  <pic:spPr bwMode="auto">
                    <a:xfrm>
                      <a:off x="0" y="0"/>
                      <a:ext cx="5667375" cy="3190875"/>
                    </a:xfrm>
                    <a:prstGeom prst="rect">
                      <a:avLst/>
                    </a:prstGeom>
                  </pic:spPr>
                </pic:pic>
              </a:graphicData>
            </a:graphic>
          </wp:inline>
        </w:drawing>
      </w:r>
    </w:p>
    <w:p w14:paraId="694708F5" w14:textId="77777777" w:rsidR="009B2703" w:rsidRDefault="00BC33E3">
      <w:pPr>
        <w:spacing w:after="200" w:line="360" w:lineRule="auto"/>
        <w:jc w:val="center"/>
      </w:pPr>
      <w:r>
        <w:rPr>
          <w:i/>
          <w:iCs/>
          <w:sz w:val="22"/>
          <w:szCs w:val="22"/>
        </w:rPr>
        <w:t>Figure 13: Load Case 1: Displacement (total) contour plot. Maximum displacement 1.83 mm at the load centre.</w:t>
      </w:r>
    </w:p>
    <w:p w14:paraId="652F9B62" w14:textId="77777777" w:rsidR="009B2703" w:rsidRDefault="00BC33E3">
      <w:pPr>
        <w:spacing w:before="120" w:after="120" w:line="360" w:lineRule="auto"/>
        <w:jc w:val="both"/>
      </w:pPr>
      <w:r>
        <w:t>The peak Von Mises stress is 45.2 MPa at the inner back face, at the edge of the 20 × 20 mm loaded patch, with 1.83 mm maximum displacement; against the 65 MPa PC yield this gives a FoS of 1.44. The 50 N load is a deliberately severe press rather than normal interaction (a typical touch is 1–5 N), so the part nears yield only under abuse. Part of the peak is a contact concentration at the load boundary, where the true wall stress is 18–27 MPa (FoS roughly 2.4–3.6). For a press load it is the 1.83 mm deflection, not the stress, that matters, and it confirms adequate back face stiffness.</w:t>
      </w:r>
    </w:p>
    <w:p w14:paraId="6E68EC85" w14:textId="77777777" w:rsidR="009B2703" w:rsidRDefault="00BC33E3">
      <w:pPr>
        <w:pStyle w:val="Heading3"/>
      </w:pPr>
      <w:bookmarkStart w:id="66" w:name="_Toc231846531"/>
      <w:bookmarkStart w:id="67" w:name="_Toc231932217"/>
      <w:r>
        <w:t>7.2.3 Load Case 2: Torsional Grip Load</w:t>
      </w:r>
      <w:bookmarkEnd w:id="66"/>
      <w:bookmarkEnd w:id="67"/>
    </w:p>
    <w:p w14:paraId="4A469610" w14:textId="77777777" w:rsidR="009B2703" w:rsidRDefault="00BC33E3">
      <w:pPr>
        <w:spacing w:after="120" w:line="360" w:lineRule="auto"/>
        <w:jc w:val="both"/>
      </w:pPr>
      <w:r>
        <w:t>The second load case represents a torsional load when the user grips the phone firmly while it is partially constrained at the opposite end. Equal and opposite 30 N forces were applied at the two short ends, normal to the long axis, generating a torsional moment.</w:t>
      </w:r>
    </w:p>
    <w:p w14:paraId="10F7C572"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lastRenderedPageBreak/>
        <w:drawing>
          <wp:inline distT="0" distB="0" distL="0" distR="0" wp14:anchorId="128B8E31" wp14:editId="0EDAA999">
            <wp:extent cx="5667375" cy="3190875"/>
            <wp:effectExtent l="0" t="0" r="0" b="0"/>
            <wp:docPr id="1921367485" name="Picture 1921367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0"/>
                    <a:srcRect/>
                    <a:stretch>
                      <a:fillRect/>
                    </a:stretch>
                  </pic:blipFill>
                  <pic:spPr bwMode="auto">
                    <a:xfrm>
                      <a:off x="0" y="0"/>
                      <a:ext cx="5667375" cy="3190875"/>
                    </a:xfrm>
                    <a:prstGeom prst="rect">
                      <a:avLst/>
                    </a:prstGeom>
                  </pic:spPr>
                </pic:pic>
              </a:graphicData>
            </a:graphic>
          </wp:inline>
        </w:drawing>
      </w:r>
    </w:p>
    <w:p w14:paraId="0C5E73E5" w14:textId="77777777" w:rsidR="009B2703" w:rsidRDefault="00BC33E3">
      <w:pPr>
        <w:spacing w:after="200" w:line="360" w:lineRule="auto"/>
        <w:jc w:val="center"/>
      </w:pPr>
      <w:r>
        <w:rPr>
          <w:i/>
          <w:iCs/>
          <w:sz w:val="22"/>
          <w:szCs w:val="22"/>
        </w:rPr>
        <w:t>Figure 14: Load Case 2 setup: a 1.8 N·m torque (representing a 30 N grip-twist couple) applied at one short end, with the opposite end fixed at the retaining lip.</w:t>
      </w:r>
    </w:p>
    <w:p w14:paraId="1E90C4A0"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drawing>
          <wp:inline distT="0" distB="0" distL="0" distR="0" wp14:anchorId="75A9041B" wp14:editId="700F827B">
            <wp:extent cx="5667375" cy="3190875"/>
            <wp:effectExtent l="0" t="0" r="0" b="0"/>
            <wp:docPr id="140510249" name="Picture 140510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1"/>
                    <a:srcRect/>
                    <a:stretch>
                      <a:fillRect/>
                    </a:stretch>
                  </pic:blipFill>
                  <pic:spPr bwMode="auto">
                    <a:xfrm>
                      <a:off x="0" y="0"/>
                      <a:ext cx="5667375" cy="3190875"/>
                    </a:xfrm>
                    <a:prstGeom prst="rect">
                      <a:avLst/>
                    </a:prstGeom>
                  </pic:spPr>
                </pic:pic>
              </a:graphicData>
            </a:graphic>
          </wp:inline>
        </w:drawing>
      </w:r>
    </w:p>
    <w:p w14:paraId="32D3FCF3" w14:textId="77777777" w:rsidR="009B2703" w:rsidRDefault="00BC33E3">
      <w:pPr>
        <w:spacing w:after="200" w:line="360" w:lineRule="auto"/>
        <w:jc w:val="center"/>
      </w:pPr>
      <w:r>
        <w:rPr>
          <w:i/>
          <w:iCs/>
          <w:sz w:val="22"/>
          <w:szCs w:val="22"/>
        </w:rPr>
        <w:t>Figure 15: Load Case 2: Von Mises stress contour. Highest stress is expected at the corners of the screen aperture.</w:t>
      </w:r>
    </w:p>
    <w:p w14:paraId="099BD36B"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lastRenderedPageBreak/>
        <w:drawing>
          <wp:inline distT="0" distB="0" distL="0" distR="0" wp14:anchorId="1E0DA07F" wp14:editId="0BD2ECB3">
            <wp:extent cx="5667375" cy="3190875"/>
            <wp:effectExtent l="0" t="0" r="0" b="0"/>
            <wp:docPr id="1798952085" name="Picture 1798952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2"/>
                    <a:srcRect/>
                    <a:stretch>
                      <a:fillRect/>
                    </a:stretch>
                  </pic:blipFill>
                  <pic:spPr bwMode="auto">
                    <a:xfrm>
                      <a:off x="0" y="0"/>
                      <a:ext cx="5667375" cy="3190875"/>
                    </a:xfrm>
                    <a:prstGeom prst="rect">
                      <a:avLst/>
                    </a:prstGeom>
                  </pic:spPr>
                </pic:pic>
              </a:graphicData>
            </a:graphic>
          </wp:inline>
        </w:drawing>
      </w:r>
    </w:p>
    <w:p w14:paraId="3A0A5AE1" w14:textId="77777777" w:rsidR="009B2703" w:rsidRDefault="00BC33E3">
      <w:pPr>
        <w:spacing w:after="200" w:line="360" w:lineRule="auto"/>
        <w:jc w:val="center"/>
      </w:pPr>
      <w:r>
        <w:rPr>
          <w:i/>
          <w:iCs/>
          <w:sz w:val="22"/>
          <w:szCs w:val="22"/>
        </w:rPr>
        <w:t>Figure 16: Load Case 2 displacement plot. Maximum 31.2 mm at the free end, reflecting the low torsional stiffness of the open (unsupported) section.</w:t>
      </w:r>
    </w:p>
    <w:p w14:paraId="3A4D4D9E" w14:textId="77777777" w:rsidR="009B2703" w:rsidRDefault="00BC33E3">
      <w:pPr>
        <w:spacing w:before="120" w:after="120" w:line="360" w:lineRule="auto"/>
        <w:jc w:val="both"/>
      </w:pPr>
      <w:r>
        <w:t>The bare housing yields under this load: peak Von Mises stress 272 MPa at a retaining lip corner with 31.2 mm displacement and a nominal FoS of 0.24, reflecting the low torsional stiffness of a thin walled open section, which is far less rigid than a closed tube. This is not the in service condition. Once the screen module is bonded across the open front, the cross section closes into a torsionally stiff box and stress and twist drop sharply. The part only model is a conservative worst case, kept to show that the screen module is structurally significant and that torsional cases must be analysed at assembly level, a noted limitation of this part scope analysis.</w:t>
      </w:r>
    </w:p>
    <w:p w14:paraId="42A7851C" w14:textId="77777777" w:rsidR="009B2703" w:rsidRDefault="00BC33E3">
      <w:pPr>
        <w:pStyle w:val="Heading3"/>
      </w:pPr>
      <w:bookmarkStart w:id="68" w:name="_Toc231846532"/>
      <w:bookmarkStart w:id="69" w:name="_Toc231932218"/>
      <w:r>
        <w:t>7.2.4 Load Case 3: Point Load Adjacent to Camera Cut-out</w:t>
      </w:r>
      <w:bookmarkEnd w:id="68"/>
      <w:bookmarkEnd w:id="69"/>
    </w:p>
    <w:p w14:paraId="2FAA4D6D" w14:textId="419381F9" w:rsidR="009B2703" w:rsidRDefault="00BC33E3">
      <w:pPr>
        <w:spacing w:after="120" w:line="360" w:lineRule="auto"/>
        <w:jc w:val="both"/>
      </w:pPr>
      <w:r>
        <w:t>The third load case examines the FMEA worst case (Section 3.3): the camera cutout under a concentrated static load, as when a phone is placed lens down on an uneven surface. A 100 N point load was applied normal to the back face at the most exposed camera-aperture corner.</w:t>
      </w:r>
    </w:p>
    <w:p w14:paraId="336928AA"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lastRenderedPageBreak/>
        <w:drawing>
          <wp:inline distT="0" distB="0" distL="0" distR="0" wp14:anchorId="35CF4A39" wp14:editId="6C5F3336">
            <wp:extent cx="5667375" cy="3190875"/>
            <wp:effectExtent l="0" t="0" r="0" b="0"/>
            <wp:docPr id="1428378165" name="Picture 1428378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3"/>
                    <a:srcRect/>
                    <a:stretch>
                      <a:fillRect/>
                    </a:stretch>
                  </pic:blipFill>
                  <pic:spPr bwMode="auto">
                    <a:xfrm>
                      <a:off x="0" y="0"/>
                      <a:ext cx="5667375" cy="3190875"/>
                    </a:xfrm>
                    <a:prstGeom prst="rect">
                      <a:avLst/>
                    </a:prstGeom>
                  </pic:spPr>
                </pic:pic>
              </a:graphicData>
            </a:graphic>
          </wp:inline>
        </w:drawing>
      </w:r>
    </w:p>
    <w:p w14:paraId="6449C1F8" w14:textId="77777777" w:rsidR="009B2703" w:rsidRDefault="00BC33E3">
      <w:pPr>
        <w:spacing w:after="200" w:line="360" w:lineRule="auto"/>
        <w:jc w:val="center"/>
      </w:pPr>
      <w:r>
        <w:rPr>
          <w:i/>
          <w:iCs/>
          <w:sz w:val="22"/>
          <w:szCs w:val="22"/>
        </w:rPr>
        <w:t>Figure 17: Load Case 3 setup: 100 N distributed around the camera-island rim (as a ring of nodal forces to avoid a point singularity), normal to the back face; restraints at the retaining lip.</w:t>
      </w:r>
    </w:p>
    <w:p w14:paraId="7CA33A7B"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drawing>
          <wp:inline distT="0" distB="0" distL="0" distR="0" wp14:anchorId="1B3C9BE6" wp14:editId="7F359500">
            <wp:extent cx="5667375" cy="3190875"/>
            <wp:effectExtent l="0" t="0" r="0" b="0"/>
            <wp:docPr id="1072579213" name="Picture 1072579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4"/>
                    <a:srcRect/>
                    <a:stretch>
                      <a:fillRect/>
                    </a:stretch>
                  </pic:blipFill>
                  <pic:spPr bwMode="auto">
                    <a:xfrm>
                      <a:off x="0" y="0"/>
                      <a:ext cx="5667375" cy="3190875"/>
                    </a:xfrm>
                    <a:prstGeom prst="rect">
                      <a:avLst/>
                    </a:prstGeom>
                  </pic:spPr>
                </pic:pic>
              </a:graphicData>
            </a:graphic>
          </wp:inline>
        </w:drawing>
      </w:r>
    </w:p>
    <w:p w14:paraId="1D077666" w14:textId="77777777" w:rsidR="009B2703" w:rsidRDefault="00BC33E3">
      <w:pPr>
        <w:spacing w:after="200" w:line="360" w:lineRule="auto"/>
        <w:jc w:val="center"/>
      </w:pPr>
      <w:r>
        <w:rPr>
          <w:i/>
          <w:iCs/>
          <w:sz w:val="22"/>
          <w:szCs w:val="22"/>
        </w:rPr>
        <w:t>Figure 18: Load Case 3: Von Mises stress contour. Stress concentrates at the camera aperture edge; the structural wall stress around the aperture is 43 MPa (the 105.7 MPa solver peak is a load application concentration on the loaded rim nodes).</w:t>
      </w:r>
    </w:p>
    <w:p w14:paraId="4255E851"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lastRenderedPageBreak/>
        <w:drawing>
          <wp:inline distT="0" distB="0" distL="0" distR="0" wp14:anchorId="45A22805" wp14:editId="78E62DF1">
            <wp:extent cx="5667375" cy="3190875"/>
            <wp:effectExtent l="0" t="0" r="0" b="0"/>
            <wp:docPr id="1497434054" name="Picture 1497434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5"/>
                    <a:srcRect/>
                    <a:stretch>
                      <a:fillRect/>
                    </a:stretch>
                  </pic:blipFill>
                  <pic:spPr bwMode="auto">
                    <a:xfrm>
                      <a:off x="0" y="0"/>
                      <a:ext cx="5667375" cy="3190875"/>
                    </a:xfrm>
                    <a:prstGeom prst="rect">
                      <a:avLst/>
                    </a:prstGeom>
                  </pic:spPr>
                </pic:pic>
              </a:graphicData>
            </a:graphic>
          </wp:inline>
        </w:drawing>
      </w:r>
    </w:p>
    <w:p w14:paraId="74BE4D47" w14:textId="77777777" w:rsidR="009B2703" w:rsidRDefault="00BC33E3">
      <w:pPr>
        <w:spacing w:after="200" w:line="360" w:lineRule="auto"/>
        <w:jc w:val="center"/>
      </w:pPr>
      <w:r>
        <w:rPr>
          <w:i/>
          <w:iCs/>
          <w:sz w:val="22"/>
          <w:szCs w:val="22"/>
        </w:rPr>
        <w:t>Figure 19: Load Case 3: Displacement plot. Maximum 2.74 mm, localised at the camera aperture and decaying to zero at the retaining-lip restraints.</w:t>
      </w:r>
    </w:p>
    <w:p w14:paraId="43A7A58A" w14:textId="77777777" w:rsidR="009B2703" w:rsidRDefault="00BC33E3">
      <w:pPr>
        <w:spacing w:before="120" w:after="120" w:line="360" w:lineRule="auto"/>
        <w:jc w:val="both"/>
      </w:pPr>
      <w:r>
        <w:t>This case addresses the FMEA’s top mode, camera cracking on drop (RPN 270). The 105.7 MPa solver peak sits on the loaded rim nodes and is a concentration at the load points rather than structural stress; the wall around the aperture carries a true working stress of 43 MPa, a FoS of 1.51 against the 65 MPa yield (above the 1.5 threshold for this abuse case) at 2.74 mm displacement. The camera fillet is doing its job, spreading what would otherwise be a sharp re-entrant stress raiser. PC is also ductile (70–90% elongation), so any momentary skin yield redistributes rather than cracks, and a 100 N static load is only a proxy for a corner drop, better captured by Fusion Event Simulation (further work). A local rib or boss at the camera corner is recommended to raise the margin.</w:t>
      </w:r>
    </w:p>
    <w:p w14:paraId="118665A5" w14:textId="77777777" w:rsidR="009B2703" w:rsidRDefault="00BC33E3">
      <w:pPr>
        <w:pStyle w:val="Heading3"/>
      </w:pPr>
      <w:bookmarkStart w:id="70" w:name="_Toc231846533"/>
      <w:bookmarkStart w:id="71" w:name="_Toc231932219"/>
      <w:r>
        <w:t>7.2.5 Summary and Validation Check</w:t>
      </w:r>
      <w:bookmarkEnd w:id="70"/>
      <w:bookmarkEnd w:id="71"/>
    </w:p>
    <w:p w14:paraId="6BF61B7E" w14:textId="40771120" w:rsidR="009B2703" w:rsidRDefault="00BC33E3">
      <w:pPr>
        <w:spacing w:after="120" w:line="360" w:lineRule="auto"/>
        <w:jc w:val="both"/>
      </w:pPr>
      <w:r>
        <w:t xml:space="preserve">Table 8 summarises the three load cases. As an order of magnitude check, Load Case 1 could be verified by treating the loaded region as a simply supported plate (Timoshenko and Woinowsky-Krieger, 1959), expected to give a central bending stress of the same order as the 45 MPa FEA peak; this is recommended as a confirmatory step. The design carries the everyday press (FoS 1.44) and the severe camera-corner load (working-stress FoS 1.51); the torsional case is governed by the open section limitation, resolved at assembly level by the bonded screen. The camera </w:t>
      </w:r>
      <w:r>
        <w:lastRenderedPageBreak/>
        <w:t>aperture is the critical region, validating the FMEA driven fillet and the recommended local stiffening rib.</w:t>
      </w:r>
    </w:p>
    <w:p w14:paraId="5B89A596" w14:textId="77777777" w:rsidR="009B2703" w:rsidRDefault="00BC33E3">
      <w:pPr>
        <w:spacing w:before="200" w:after="60" w:line="360" w:lineRule="auto"/>
        <w:jc w:val="center"/>
      </w:pPr>
      <w:r>
        <w:rPr>
          <w:i/>
          <w:iCs/>
          <w:sz w:val="22"/>
          <w:szCs w:val="22"/>
        </w:rPr>
        <w:t>Table 8: Summary of FEA results for the three load cases.</w:t>
      </w:r>
    </w:p>
    <w:p w14:paraId="175F82FD" w14:textId="5195ACA9" w:rsidR="009B2703" w:rsidRDefault="00557440">
      <w:pPr>
        <w:spacing w:before="60" w:after="160" w:line="360" w:lineRule="auto"/>
        <w:jc w:val="both"/>
      </w:pPr>
      <w:r>
        <w:rPr>
          <w:noProof/>
        </w:rPr>
        <w:drawing>
          <wp:inline distT="0" distB="0" distL="0" distR="0" wp14:anchorId="51314365" wp14:editId="793A5E81">
            <wp:extent cx="5731510" cy="2558415"/>
            <wp:effectExtent l="0" t="0" r="2540" b="0"/>
            <wp:docPr id="1162261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61501" name=""/>
                    <pic:cNvPicPr/>
                  </pic:nvPicPr>
                  <pic:blipFill>
                    <a:blip r:embed="rId36"/>
                    <a:stretch>
                      <a:fillRect/>
                    </a:stretch>
                  </pic:blipFill>
                  <pic:spPr>
                    <a:xfrm>
                      <a:off x="0" y="0"/>
                      <a:ext cx="5731510" cy="2558415"/>
                    </a:xfrm>
                    <a:prstGeom prst="rect">
                      <a:avLst/>
                    </a:prstGeom>
                  </pic:spPr>
                </pic:pic>
              </a:graphicData>
            </a:graphic>
          </wp:inline>
        </w:drawing>
      </w:r>
      <w:r>
        <w:t>*LC2 applies to the bare housing; in service the bonded screen closes the open section, raising torsional stiffness and lowering stress. For LC3, 43 MPa is the structural wall stress around the aperture (FoS 1.51), while the 105.7 MPa solver peak is a concentration on the loaded rim nodes, not a structural stress.</w:t>
      </w:r>
    </w:p>
    <w:p w14:paraId="4630F090" w14:textId="77777777" w:rsidR="009B2703" w:rsidRDefault="00BC33E3">
      <w:pPr>
        <w:pStyle w:val="Heading2"/>
      </w:pPr>
      <w:bookmarkStart w:id="72" w:name="_Toc231846534"/>
      <w:bookmarkStart w:id="73" w:name="_Toc231932220"/>
      <w:r>
        <w:t>7.3 Dimensional Accuracy and Tolerance Discussion</w:t>
      </w:r>
      <w:bookmarkEnd w:id="72"/>
      <w:bookmarkEnd w:id="73"/>
    </w:p>
    <w:p w14:paraId="5E89972F" w14:textId="1D944AF6" w:rsidR="009B2703" w:rsidRDefault="00BC33E3">
      <w:pPr>
        <w:spacing w:after="120" w:line="360" w:lineRule="auto"/>
        <w:jc w:val="both"/>
      </w:pPr>
      <w:r>
        <w:t>Dimensional accuracy is governed mainly by mould shrinkage (0.7–0.9% for PC, Granta record) and cooling uniformity. The tolerance critical dimensions are overall length (± 0.2 mm), the screen aperture (± 0.1 mm to match the module) and port positions (± 0.15 mm to align with PCBA connectors). The uniform 1.5 mm wall, balanced cooling and flow-informed gating support these tolerances at Cpk ≥ 1.33 once an initial run confirms shrinkage allowance.</w:t>
      </w:r>
    </w:p>
    <w:p w14:paraId="5F79BBDE" w14:textId="77777777" w:rsidR="009B2703" w:rsidRDefault="00BC33E3">
      <w:pPr>
        <w:pStyle w:val="Heading1"/>
        <w:pageBreakBefore/>
      </w:pPr>
      <w:bookmarkStart w:id="74" w:name="_Toc231846535"/>
      <w:bookmarkStart w:id="75" w:name="_Toc231932221"/>
      <w:r>
        <w:lastRenderedPageBreak/>
        <w:t>8. Cost Calculation and Break-Even Analysis</w:t>
      </w:r>
      <w:bookmarkEnd w:id="74"/>
      <w:bookmarkEnd w:id="75"/>
    </w:p>
    <w:p w14:paraId="5C290CA9" w14:textId="77777777" w:rsidR="009B2703" w:rsidRDefault="00BC33E3">
      <w:pPr>
        <w:pStyle w:val="Heading2"/>
      </w:pPr>
      <w:bookmarkStart w:id="76" w:name="_Toc231846536"/>
      <w:bookmarkStart w:id="77" w:name="_Toc231932222"/>
      <w:r>
        <w:t>8.1 Cost Model</w:t>
      </w:r>
      <w:bookmarkEnd w:id="76"/>
      <w:bookmarkEnd w:id="77"/>
    </w:p>
    <w:p w14:paraId="2DD7A782" w14:textId="77777777" w:rsidR="009B2703" w:rsidRDefault="00BC33E3">
      <w:pPr>
        <w:spacing w:after="120" w:line="360" w:lineRule="auto"/>
        <w:jc w:val="both"/>
      </w:pPr>
      <w:r>
        <w:t>The unit-cost calculation follows the standard manufacturing cost model presented by Groover (2020). The cost per piece is defined as:</w:t>
      </w:r>
    </w:p>
    <w:p w14:paraId="4541E039" w14:textId="77777777" w:rsidR="009B2703" w:rsidRDefault="00BC33E3">
      <w:pPr>
        <w:spacing w:before="120" w:after="120" w:line="360" w:lineRule="auto"/>
        <w:jc w:val="center"/>
      </w:pPr>
      <w:r>
        <w:rPr>
          <w:i/>
          <w:iCs/>
        </w:rPr>
        <w:t>C_pc = C_m + C_o · T_p + C_t</w:t>
      </w:r>
    </w:p>
    <w:p w14:paraId="0B43B4D1" w14:textId="77777777" w:rsidR="009B2703" w:rsidRDefault="00BC33E3">
      <w:pPr>
        <w:spacing w:after="120" w:line="360" w:lineRule="auto"/>
        <w:jc w:val="both"/>
      </w:pPr>
      <w:r>
        <w:t>where C_pc is the cost per piece (£/pc), C_m is the starting material cost (£/pc), C_o is the cost rate of operating the work cell (£/min), T_p is the average production time per piece (min/pc), and C_t is the cost of tooling apportioned per piece (£/pc). The work-cell cost rate is itself the sum of labour and equipment cost rates:</w:t>
      </w:r>
    </w:p>
    <w:p w14:paraId="3F7C5BB1" w14:textId="77777777" w:rsidR="009B2703" w:rsidRDefault="00BC33E3">
      <w:pPr>
        <w:spacing w:before="120" w:after="120" w:line="360" w:lineRule="auto"/>
        <w:jc w:val="center"/>
      </w:pPr>
      <w:r>
        <w:rPr>
          <w:i/>
          <w:iCs/>
        </w:rPr>
        <w:t>C_o = C_L + C_eq</w:t>
      </w:r>
    </w:p>
    <w:p w14:paraId="20D65DC2" w14:textId="77777777" w:rsidR="009B2703" w:rsidRDefault="00BC33E3">
      <w:pPr>
        <w:spacing w:before="120" w:after="120" w:line="360" w:lineRule="auto"/>
        <w:jc w:val="center"/>
      </w:pPr>
      <w:r>
        <w:rPr>
          <w:i/>
          <w:iCs/>
        </w:rPr>
        <w:t>C_L = (R_H / 60) · (1 + R_LOH)</w:t>
      </w:r>
    </w:p>
    <w:p w14:paraId="5AD7A7C1" w14:textId="77777777" w:rsidR="009B2703" w:rsidRDefault="00BC33E3">
      <w:pPr>
        <w:spacing w:before="120" w:after="120" w:line="360" w:lineRule="auto"/>
        <w:jc w:val="center"/>
      </w:pPr>
      <w:r>
        <w:rPr>
          <w:i/>
          <w:iCs/>
        </w:rPr>
        <w:t>C_eq = (IC / (60 · N · H)) · (1 + R_QH)</w:t>
      </w:r>
    </w:p>
    <w:p w14:paraId="1E4B6D82" w14:textId="77777777" w:rsidR="009B2703" w:rsidRDefault="00BC33E3">
      <w:pPr>
        <w:spacing w:after="120" w:line="360" w:lineRule="auto"/>
        <w:jc w:val="both"/>
      </w:pPr>
      <w:r>
        <w:t>where R_H is the hourly wage, R_LOH the labour overhead rate, IC the initial equipment cost, N the years of service, H the annual operating hours, and R_QH the equipment overhead rate.</w:t>
      </w:r>
    </w:p>
    <w:p w14:paraId="4EB4D843" w14:textId="77777777" w:rsidR="009B2703" w:rsidRDefault="00BC33E3">
      <w:pPr>
        <w:pStyle w:val="Heading2"/>
      </w:pPr>
      <w:bookmarkStart w:id="78" w:name="_Toc231846537"/>
      <w:bookmarkStart w:id="79" w:name="_Toc231932223"/>
      <w:r>
        <w:t>8.2 Input Parameters</w:t>
      </w:r>
      <w:bookmarkEnd w:id="78"/>
      <w:bookmarkEnd w:id="79"/>
    </w:p>
    <w:p w14:paraId="0AD9597C" w14:textId="42D50C2C" w:rsidR="009B2703" w:rsidRDefault="00BC33E3">
      <w:pPr>
        <w:spacing w:after="120" w:line="360" w:lineRule="auto"/>
        <w:jc w:val="both"/>
      </w:pPr>
      <w:r>
        <w:t>The cost input parameters are summarised in Table 9. Industry typical values are drawn from the injection moulding cost literature (Boothroyd, Dewhurst and Knight, 2010) and current UK market data for engineering thermoplastics.</w:t>
      </w:r>
    </w:p>
    <w:p w14:paraId="4F4AA70A" w14:textId="77777777" w:rsidR="009B2703" w:rsidRDefault="00BC33E3">
      <w:pPr>
        <w:spacing w:before="200" w:after="60" w:line="360" w:lineRule="auto"/>
        <w:jc w:val="center"/>
        <w:rPr>
          <w:i/>
          <w:iCs/>
          <w:sz w:val="22"/>
          <w:szCs w:val="22"/>
        </w:rPr>
      </w:pPr>
      <w:r>
        <w:rPr>
          <w:i/>
          <w:iCs/>
          <w:sz w:val="22"/>
          <w:szCs w:val="22"/>
        </w:rPr>
        <w:t>Table 9: Cost calculation input parameters.</w:t>
      </w:r>
    </w:p>
    <w:p w14:paraId="79EDC8D1" w14:textId="3EEC168D" w:rsidR="00557440" w:rsidRDefault="00557440">
      <w:pPr>
        <w:spacing w:before="200" w:after="60" w:line="360" w:lineRule="auto"/>
        <w:jc w:val="center"/>
        <w:rPr>
          <w:i/>
          <w:iCs/>
          <w:sz w:val="22"/>
          <w:szCs w:val="22"/>
        </w:rPr>
      </w:pPr>
    </w:p>
    <w:p w14:paraId="0FFF06BD" w14:textId="77777777" w:rsidR="00557440" w:rsidRDefault="00557440">
      <w:pPr>
        <w:spacing w:before="200" w:after="60" w:line="360" w:lineRule="auto"/>
        <w:jc w:val="center"/>
        <w:rPr>
          <w:i/>
          <w:iCs/>
          <w:sz w:val="22"/>
          <w:szCs w:val="22"/>
        </w:rPr>
      </w:pPr>
    </w:p>
    <w:p w14:paraId="5EDAA7A8" w14:textId="77777777" w:rsidR="00557440" w:rsidRDefault="00557440">
      <w:pPr>
        <w:spacing w:before="200" w:after="60" w:line="360" w:lineRule="auto"/>
        <w:jc w:val="center"/>
      </w:pPr>
    </w:p>
    <w:p w14:paraId="0BB23962" w14:textId="48E98EEE" w:rsidR="009B2703" w:rsidRDefault="00557440">
      <w:pPr>
        <w:pStyle w:val="Heading2"/>
      </w:pPr>
      <w:bookmarkStart w:id="80" w:name="_Toc231846538"/>
      <w:bookmarkStart w:id="81" w:name="_Toc231932224"/>
      <w:r>
        <w:rPr>
          <w:noProof/>
        </w:rPr>
        <w:lastRenderedPageBreak/>
        <w:drawing>
          <wp:inline distT="0" distB="0" distL="0" distR="0" wp14:anchorId="431D1847" wp14:editId="4E393123">
            <wp:extent cx="5706271" cy="6868484"/>
            <wp:effectExtent l="0" t="0" r="8890" b="8890"/>
            <wp:docPr id="2112988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988885" name=""/>
                    <pic:cNvPicPr/>
                  </pic:nvPicPr>
                  <pic:blipFill>
                    <a:blip r:embed="rId37"/>
                    <a:stretch>
                      <a:fillRect/>
                    </a:stretch>
                  </pic:blipFill>
                  <pic:spPr>
                    <a:xfrm>
                      <a:off x="0" y="0"/>
                      <a:ext cx="5706271" cy="6868484"/>
                    </a:xfrm>
                    <a:prstGeom prst="rect">
                      <a:avLst/>
                    </a:prstGeom>
                  </pic:spPr>
                </pic:pic>
              </a:graphicData>
            </a:graphic>
          </wp:inline>
        </w:drawing>
      </w:r>
      <w:r>
        <w:t>8.3 Worked Calculation</w:t>
      </w:r>
      <w:bookmarkEnd w:id="80"/>
      <w:bookmarkEnd w:id="81"/>
    </w:p>
    <w:p w14:paraId="4F500E43" w14:textId="77777777" w:rsidR="009B2703" w:rsidRDefault="00BC33E3">
      <w:pPr>
        <w:spacing w:after="120" w:line="360" w:lineRule="auto"/>
        <w:jc w:val="both"/>
      </w:pPr>
      <w:r>
        <w:t>Substituting the input parameters into the cost model:</w:t>
      </w:r>
    </w:p>
    <w:p w14:paraId="4D3FF9E1" w14:textId="77777777" w:rsidR="009B2703" w:rsidRDefault="00BC33E3">
      <w:pPr>
        <w:spacing w:before="120" w:after="120" w:line="360" w:lineRule="auto"/>
        <w:jc w:val="center"/>
      </w:pPr>
      <w:r>
        <w:rPr>
          <w:i/>
          <w:iCs/>
        </w:rPr>
        <w:t>C_L = (14 / 60) × (1 + 0.30) = £0.303/min</w:t>
      </w:r>
    </w:p>
    <w:p w14:paraId="2A6208E7" w14:textId="77777777" w:rsidR="009B2703" w:rsidRDefault="00BC33E3">
      <w:pPr>
        <w:spacing w:before="120" w:after="120" w:line="360" w:lineRule="auto"/>
        <w:jc w:val="center"/>
      </w:pPr>
      <w:r>
        <w:rPr>
          <w:i/>
          <w:iCs/>
        </w:rPr>
        <w:t>C_eq = (180,000 / (60 × 8 × 4000)) × (1 + 0.20) = £0.113/min</w:t>
      </w:r>
    </w:p>
    <w:p w14:paraId="0DFC496F" w14:textId="77777777" w:rsidR="009B2703" w:rsidRDefault="00BC33E3">
      <w:pPr>
        <w:spacing w:before="120" w:after="120" w:line="360" w:lineRule="auto"/>
        <w:jc w:val="center"/>
      </w:pPr>
      <w:r>
        <w:rPr>
          <w:i/>
          <w:iCs/>
        </w:rPr>
        <w:t>C_o = 0.303 + 0.113 = £0.416/min</w:t>
      </w:r>
    </w:p>
    <w:p w14:paraId="2299CDB1" w14:textId="77777777" w:rsidR="009B2703" w:rsidRDefault="00BC33E3">
      <w:pPr>
        <w:spacing w:before="120" w:after="120" w:line="360" w:lineRule="auto"/>
        <w:jc w:val="center"/>
      </w:pPr>
      <w:r>
        <w:rPr>
          <w:i/>
          <w:iCs/>
        </w:rPr>
        <w:lastRenderedPageBreak/>
        <w:t>C_t = £75,000 / 1,000,000 parts = £0.075/pc</w:t>
      </w:r>
    </w:p>
    <w:p w14:paraId="0174B2C8" w14:textId="77777777" w:rsidR="009B2703" w:rsidRDefault="00BC33E3">
      <w:pPr>
        <w:spacing w:before="120" w:after="120" w:line="360" w:lineRule="auto"/>
        <w:jc w:val="center"/>
      </w:pPr>
      <w:r>
        <w:rPr>
          <w:i/>
          <w:iCs/>
        </w:rPr>
        <w:t>C_pc = 0.069 + (0.416 × 0.300) + 0.075 = £0.269/pc</w:t>
      </w:r>
    </w:p>
    <w:p w14:paraId="74FB4DF6" w14:textId="77777777" w:rsidR="009B2703" w:rsidRDefault="00BC33E3">
      <w:pPr>
        <w:spacing w:after="120" w:line="360" w:lineRule="auto"/>
        <w:jc w:val="both"/>
      </w:pPr>
      <w:r>
        <w:t>The total unit cost is therefore approximately £0.27 per part (excluding sales, general and administrative overhead, packaging and logistics). Material accounts for 26%, machine and labour for 46%, and amortised tooling for 28% of the unit cost at the assumed lifetime production volume.</w:t>
      </w:r>
    </w:p>
    <w:p w14:paraId="67EAD61E" w14:textId="77777777" w:rsidR="009B2703" w:rsidRDefault="00BC33E3">
      <w:pPr>
        <w:pStyle w:val="Heading2"/>
      </w:pPr>
      <w:bookmarkStart w:id="82" w:name="_Toc231846539"/>
      <w:bookmarkStart w:id="83" w:name="_Toc231932225"/>
      <w:r>
        <w:t>8.4 Break-Even Analysis</w:t>
      </w:r>
      <w:bookmarkEnd w:id="82"/>
      <w:bookmarkEnd w:id="83"/>
    </w:p>
    <w:p w14:paraId="37253D1A" w14:textId="77777777" w:rsidR="009B2703" w:rsidRDefault="00BC33E3">
      <w:pPr>
        <w:spacing w:after="120" w:line="360" w:lineRule="auto"/>
        <w:jc w:val="both"/>
      </w:pPr>
      <w:r>
        <w:t>The break even production volume is the point at which cumulative revenue equals cumulative cost. Treating the £75,000 tooling investment as a fixed cost and the £0.194 sum of material + machine/labour as the variable cost per piece, and assuming a transfer price of £0.40 per piece to the OEM assembler:</w:t>
      </w:r>
    </w:p>
    <w:p w14:paraId="2AA5E01E" w14:textId="77777777" w:rsidR="009B2703" w:rsidRDefault="00BC33E3">
      <w:pPr>
        <w:spacing w:before="120" w:after="120" w:line="360" w:lineRule="auto"/>
        <w:jc w:val="center"/>
      </w:pPr>
      <w:r>
        <w:rPr>
          <w:i/>
          <w:iCs/>
        </w:rPr>
        <w:t>Break-even Q = Fixed cost / (Price − Variable cost) = 75,000 / (0.40 − 0.194) ≈ 364,000 parts</w:t>
      </w:r>
    </w:p>
    <w:p w14:paraId="3893B84A" w14:textId="5C448865" w:rsidR="009B2703" w:rsidRDefault="00BC33E3">
      <w:pPr>
        <w:spacing w:after="120" w:line="360" w:lineRule="auto"/>
        <w:jc w:val="both"/>
      </w:pPr>
      <w:r>
        <w:t>This is reached at approximately 21 weeks of two-shift operation at the assumed cycle time, well within the 1 million part tool life. The decision to invest in a two-cavity steel tool is therefore comfortably justified for any forecast annual production above approximately 500,000 units.</w:t>
      </w:r>
    </w:p>
    <w:p w14:paraId="1611BD1C" w14:textId="77777777" w:rsidR="009B2703" w:rsidRDefault="00BC33E3">
      <w:pPr>
        <w:pBdr>
          <w:top w:val="dashed" w:sz="4" w:space="0" w:color="888888"/>
          <w:left w:val="dashed" w:sz="4" w:space="0" w:color="888888"/>
          <w:bottom w:val="dashed" w:sz="4" w:space="0" w:color="888888"/>
          <w:right w:val="dashed" w:sz="4" w:space="0" w:color="888888"/>
        </w:pBdr>
        <w:shd w:val="clear" w:color="auto" w:fill="F2F2F2"/>
        <w:spacing w:before="200" w:after="60" w:line="360" w:lineRule="auto"/>
        <w:jc w:val="center"/>
      </w:pPr>
      <w:r>
        <w:rPr>
          <w:noProof/>
        </w:rPr>
        <w:drawing>
          <wp:inline distT="0" distB="0" distL="0" distR="0" wp14:anchorId="317D667F" wp14:editId="32D1D800">
            <wp:extent cx="5667375" cy="3241500"/>
            <wp:effectExtent l="0" t="0" r="0" b="0"/>
            <wp:docPr id="658099761" name="Picture 6580997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38"/>
                    <a:srcRect/>
                    <a:stretch>
                      <a:fillRect/>
                    </a:stretch>
                  </pic:blipFill>
                  <pic:spPr bwMode="auto">
                    <a:xfrm>
                      <a:off x="0" y="0"/>
                      <a:ext cx="5667375" cy="3241500"/>
                    </a:xfrm>
                    <a:prstGeom prst="rect">
                      <a:avLst/>
                    </a:prstGeom>
                  </pic:spPr>
                </pic:pic>
              </a:graphicData>
            </a:graphic>
          </wp:inline>
        </w:drawing>
      </w:r>
    </w:p>
    <w:p w14:paraId="4190A6ED" w14:textId="77777777" w:rsidR="009B2703" w:rsidRDefault="00BC33E3">
      <w:pPr>
        <w:spacing w:after="200" w:line="360" w:lineRule="auto"/>
        <w:jc w:val="center"/>
      </w:pPr>
      <w:r>
        <w:rPr>
          <w:i/>
          <w:iCs/>
          <w:sz w:val="22"/>
          <w:szCs w:val="22"/>
        </w:rPr>
        <w:lastRenderedPageBreak/>
        <w:t>Figure 20: Break-even chart showing fixed cost, variable cost line, revenue line and break even point at ≈ 364,000 units.</w:t>
      </w:r>
    </w:p>
    <w:p w14:paraId="65609E13" w14:textId="77777777" w:rsidR="009B2703" w:rsidRDefault="00BC33E3">
      <w:pPr>
        <w:pStyle w:val="Heading2"/>
      </w:pPr>
      <w:bookmarkStart w:id="84" w:name="_Toc231846540"/>
      <w:bookmarkStart w:id="85" w:name="_Toc231932226"/>
      <w:r>
        <w:t>8.5 Comparison with Alternative Manufacturing Routes</w:t>
      </w:r>
      <w:bookmarkEnd w:id="84"/>
      <w:bookmarkEnd w:id="85"/>
    </w:p>
    <w:p w14:paraId="469D1FC9" w14:textId="77777777" w:rsidR="009B2703" w:rsidRDefault="00BC33E3">
      <w:pPr>
        <w:spacing w:after="120" w:line="360" w:lineRule="auto"/>
        <w:jc w:val="both"/>
      </w:pPr>
      <w:r>
        <w:t>A cost comparison with two alternatives, CNC machining from solid PC and thermoforming from sheet (Table 10), shows that although both have lower tooling costs, neither is competitive on unit cost at these volumes. Injection moulding becomes rational above about 50,000 units/yr and dominant above 200,000 (Boothroyd, Dewhurst and Knight, 2010).</w:t>
      </w:r>
    </w:p>
    <w:p w14:paraId="14D9368B" w14:textId="7CFEDCFE" w:rsidR="009B2703" w:rsidRDefault="00557440">
      <w:pPr>
        <w:spacing w:before="200" w:after="60" w:line="360" w:lineRule="auto"/>
        <w:jc w:val="center"/>
      </w:pPr>
      <w:r>
        <w:rPr>
          <w:noProof/>
        </w:rPr>
        <w:drawing>
          <wp:inline distT="0" distB="0" distL="0" distR="0" wp14:anchorId="500CA355" wp14:editId="3D682D53">
            <wp:extent cx="5731510" cy="1217295"/>
            <wp:effectExtent l="0" t="0" r="2540" b="1905"/>
            <wp:docPr id="13891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17017"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1217295"/>
                    </a:xfrm>
                    <a:prstGeom prst="rect">
                      <a:avLst/>
                    </a:prstGeom>
                  </pic:spPr>
                </pic:pic>
              </a:graphicData>
            </a:graphic>
          </wp:inline>
        </w:drawing>
      </w:r>
      <w:r>
        <w:rPr>
          <w:i/>
          <w:iCs/>
          <w:sz w:val="22"/>
          <w:szCs w:val="22"/>
        </w:rPr>
        <w:t>Table 10: Indicative cost comparison between manufacturing routes for the housing (per part cost at 1,000,000 units lifetime production).</w:t>
      </w:r>
    </w:p>
    <w:p w14:paraId="2F1EE401" w14:textId="6FFDF723" w:rsidR="009B2703" w:rsidRDefault="00BC33E3">
      <w:pPr>
        <w:pStyle w:val="Heading1"/>
        <w:pageBreakBefore/>
      </w:pPr>
      <w:bookmarkStart w:id="86" w:name="_Toc231846541"/>
      <w:bookmarkStart w:id="87" w:name="_Toc231932227"/>
      <w:r>
        <w:lastRenderedPageBreak/>
        <w:t>9. Sustainability Considerations</w:t>
      </w:r>
      <w:bookmarkEnd w:id="86"/>
      <w:bookmarkEnd w:id="87"/>
    </w:p>
    <w:p w14:paraId="4F1DD0FB" w14:textId="6110BE71" w:rsidR="009B2703" w:rsidRDefault="00BC33E3">
      <w:pPr>
        <w:pStyle w:val="Heading2"/>
      </w:pPr>
      <w:bookmarkStart w:id="88" w:name="_Toc231846542"/>
      <w:bookmarkStart w:id="89" w:name="_Toc231932228"/>
      <w:r>
        <w:t>9.1 Material Recyclability</w:t>
      </w:r>
      <w:bookmarkEnd w:id="88"/>
      <w:bookmarkEnd w:id="89"/>
    </w:p>
    <w:p w14:paraId="45E70620" w14:textId="3F83BADC" w:rsidR="009B2703" w:rsidRDefault="00BC33E3">
      <w:pPr>
        <w:spacing w:after="120" w:line="360" w:lineRule="auto"/>
        <w:jc w:val="both"/>
      </w:pPr>
      <w:r>
        <w:t>Polycarbonate is recyclable through mechanical regrind: scrap and end of life parts can be ground, dried and re-fed as partial replacement for virgin pellet (Hopewell, Dvorak and Kosior, 2009); solvent based and mechanical routes for recovering PC specifically from electronic waste are an active research focus (Yu, Jan and Chen, 2023). The Granta record gives virgin PC 109–120 MJ/kg and 4.94–5.44 kg CO2-eq/kg, falling by about two thirds to 37.1–40.8 MJ/kg and 1.68–1.85 kg CO2-eq/kg when recycled, yet only about 1% of supply is currently recycled content. The FMEA flagged regrind degradation (RPN 192), so a 15% regrind ceiling is adopted (Ragaert, Delva and Van Geem, 2017), with the resin code ‘&gt;PC&lt;’ moulded internally for ISO 11469 sorting (ISO, 2016).</w:t>
      </w:r>
    </w:p>
    <w:p w14:paraId="4AE2C467" w14:textId="77777777" w:rsidR="009B2703" w:rsidRDefault="00BC33E3">
      <w:pPr>
        <w:pStyle w:val="Heading2"/>
      </w:pPr>
      <w:bookmarkStart w:id="90" w:name="_Toc231846543"/>
      <w:bookmarkStart w:id="91" w:name="_Toc231932229"/>
      <w:r>
        <w:t>9.2 Energy and Process Efficiency</w:t>
      </w:r>
      <w:bookmarkEnd w:id="90"/>
      <w:bookmarkEnd w:id="91"/>
    </w:p>
    <w:p w14:paraId="789587E5" w14:textId="77777777" w:rsidR="009B2703" w:rsidRDefault="00BC33E3">
      <w:pPr>
        <w:spacing w:after="120" w:line="360" w:lineRule="auto"/>
        <w:jc w:val="both"/>
      </w:pPr>
      <w:r>
        <w:t>Several design decisions directly reduce the energy consumed per part:</w:t>
      </w:r>
    </w:p>
    <w:p w14:paraId="1B8B4C49" w14:textId="77777777" w:rsidR="009B2703" w:rsidRDefault="00BC33E3">
      <w:pPr>
        <w:pStyle w:val="ListParagraph"/>
        <w:numPr>
          <w:ilvl w:val="0"/>
          <w:numId w:val="2"/>
        </w:numPr>
        <w:spacing w:after="60" w:line="360" w:lineRule="auto"/>
        <w:jc w:val="both"/>
      </w:pPr>
      <w:r>
        <w:t>Uniform 1.5 mm wall thickness minimises cooling time, which dominates the cycle and the per part press energy.</w:t>
      </w:r>
    </w:p>
    <w:p w14:paraId="49FA5C2B" w14:textId="77777777" w:rsidR="009B2703" w:rsidRDefault="00BC33E3">
      <w:pPr>
        <w:pStyle w:val="ListParagraph"/>
        <w:numPr>
          <w:ilvl w:val="0"/>
          <w:numId w:val="2"/>
        </w:numPr>
        <w:spacing w:after="60" w:line="360" w:lineRule="auto"/>
        <w:jc w:val="both"/>
      </w:pPr>
      <w:r>
        <w:t>A two-cavity tool halves the press energy per part compared with single-cavity.</w:t>
      </w:r>
    </w:p>
    <w:p w14:paraId="24AEBAAF" w14:textId="1DEA9099" w:rsidR="009B2703" w:rsidRDefault="00BC33E3">
      <w:pPr>
        <w:pStyle w:val="ListParagraph"/>
        <w:numPr>
          <w:ilvl w:val="0"/>
          <w:numId w:val="2"/>
        </w:numPr>
        <w:spacing w:after="60" w:line="360" w:lineRule="auto"/>
        <w:jc w:val="both"/>
      </w:pPr>
      <w:r>
        <w:t>Internal cooling channels positioned by flow simulation feedback (Section 7.1) deliver uniform mould-surface temperature, reducing the cycle time needed for ejection rigidity.</w:t>
      </w:r>
    </w:p>
    <w:p w14:paraId="5E3C95FA" w14:textId="77777777" w:rsidR="009B2703" w:rsidRDefault="00BC33E3">
      <w:pPr>
        <w:pStyle w:val="ListParagraph"/>
        <w:numPr>
          <w:ilvl w:val="0"/>
          <w:numId w:val="2"/>
        </w:numPr>
        <w:spacing w:after="60" w:line="360" w:lineRule="auto"/>
        <w:jc w:val="both"/>
      </w:pPr>
      <w:r>
        <w:t>The avoidance of side actions and lifters (Section 5.2) reduces both tool mass and hydraulic actuation energy.</w:t>
      </w:r>
    </w:p>
    <w:p w14:paraId="55527FD2" w14:textId="77777777" w:rsidR="009B2703" w:rsidRDefault="00BC33E3">
      <w:pPr>
        <w:pStyle w:val="Heading2"/>
      </w:pPr>
      <w:bookmarkStart w:id="92" w:name="_Toc231846544"/>
      <w:bookmarkStart w:id="93" w:name="_Toc231932230"/>
      <w:r>
        <w:t>9.3 Waste Reduction</w:t>
      </w:r>
      <w:bookmarkEnd w:id="92"/>
      <w:bookmarkEnd w:id="93"/>
    </w:p>
    <w:p w14:paraId="58FE799F" w14:textId="77777777" w:rsidR="009B2703" w:rsidRDefault="00BC33E3">
      <w:pPr>
        <w:spacing w:after="120" w:line="360" w:lineRule="auto"/>
        <w:jc w:val="both"/>
      </w:pPr>
      <w:r>
        <w:t>Two production-waste streams are addressed: runner material is routed to a granulator downstream of the press and blended back at the agreed regrind percentage, while rejected parts are minimised by the in-line inspection programme of Section 6 (visual on every part, dimensional 1 in 200). The flow simulation further reduces scrap by validating gating, fill pattern and venting before any steel is cut.</w:t>
      </w:r>
    </w:p>
    <w:p w14:paraId="358CBCE7" w14:textId="77777777" w:rsidR="009B2703" w:rsidRDefault="00BC33E3">
      <w:pPr>
        <w:pStyle w:val="Heading2"/>
      </w:pPr>
      <w:bookmarkStart w:id="94" w:name="_Toc231846545"/>
      <w:bookmarkStart w:id="95" w:name="_Toc231932231"/>
      <w:r>
        <w:lastRenderedPageBreak/>
        <w:t>9.4 End-of-Life Considerations</w:t>
      </w:r>
      <w:bookmarkEnd w:id="94"/>
      <w:bookmarkEnd w:id="95"/>
    </w:p>
    <w:p w14:paraId="7337B239" w14:textId="77777777" w:rsidR="009B2703" w:rsidRDefault="00BC33E3">
      <w:pPr>
        <w:spacing w:after="120" w:line="360" w:lineRule="auto"/>
        <w:jc w:val="both"/>
      </w:pPr>
      <w:r>
        <w:t>Design for disassembly was partly considered. The retaining lip screen attachment allows non-destructive removal for repair, and self-tapping screws into PCBA bosses (to be added at the detailed design stage) would let the PCBA, battery and housing separate at end of life. A fully disassemblable design, replacing adhesive joints elsewhere with fasteners, was outside this housing focused scope but is recommended given UK and EU right to repair trends. Empirical WEEE studies confirm that easier disassembly and clear polymer marking improve plastics recovery (Fenwick et al., 2023).</w:t>
      </w:r>
    </w:p>
    <w:p w14:paraId="3ABD1969" w14:textId="77777777" w:rsidR="009B2703" w:rsidRDefault="00BC33E3">
      <w:pPr>
        <w:pStyle w:val="Heading1"/>
        <w:pageBreakBefore/>
      </w:pPr>
      <w:bookmarkStart w:id="96" w:name="_Toc231846546"/>
      <w:bookmarkStart w:id="97" w:name="_Toc231932232"/>
      <w:r>
        <w:lastRenderedPageBreak/>
        <w:t>10. Discussion and Recommendations</w:t>
      </w:r>
      <w:bookmarkEnd w:id="96"/>
      <w:bookmarkEnd w:id="97"/>
    </w:p>
    <w:p w14:paraId="0384AFC8" w14:textId="77777777" w:rsidR="009B2703" w:rsidRDefault="00BC33E3">
      <w:pPr>
        <w:pStyle w:val="Heading2"/>
      </w:pPr>
      <w:bookmarkStart w:id="98" w:name="_Toc231846547"/>
      <w:bookmarkStart w:id="99" w:name="_Toc231932233"/>
      <w:r>
        <w:t>10.1 Performance Against Customer Requirements</w:t>
      </w:r>
      <w:bookmarkEnd w:id="98"/>
      <w:bookmarkEnd w:id="99"/>
    </w:p>
    <w:p w14:paraId="14584EF2" w14:textId="77777777" w:rsidR="009B2703" w:rsidRDefault="00BC33E3">
      <w:pPr>
        <w:spacing w:after="120" w:line="360" w:lineRule="auto"/>
        <w:jc w:val="both"/>
      </w:pPr>
      <w:r>
        <w:t>Drop survival, the highest weighted requirement, is supported by tough PC, the FMEA driven corner radius increase and camera fillet, and the LC3 FEA result for an extreme local load comparable to a drop; a local stiffening rib is recommended as a further measure. Lightness comes from the minimum viable 1.5 mm wall, with exterior finish a tooling stage specification. Tight panel fit follows from the lip locating the bezel and from uniform shrinkage; recyclability from the material and embossed resin code; and low retail price from the £0.27 unit cost.</w:t>
      </w:r>
    </w:p>
    <w:p w14:paraId="1AD951BD" w14:textId="77777777" w:rsidR="009B2703" w:rsidRDefault="00BC33E3">
      <w:pPr>
        <w:pStyle w:val="Heading2"/>
      </w:pPr>
      <w:bookmarkStart w:id="100" w:name="_Toc231846548"/>
      <w:bookmarkStart w:id="101" w:name="_Toc231932234"/>
      <w:r>
        <w:t>10.2 Design Trade-offs</w:t>
      </w:r>
      <w:bookmarkEnd w:id="100"/>
      <w:bookmarkEnd w:id="101"/>
    </w:p>
    <w:p w14:paraId="1E217F80" w14:textId="77777777" w:rsidR="009B2703" w:rsidRDefault="00BC33E3">
      <w:pPr>
        <w:spacing w:after="120" w:line="360" w:lineRule="auto"/>
        <w:jc w:val="both"/>
      </w:pPr>
      <w:r>
        <w:t>Several deliberate trade-offs were made:</w:t>
      </w:r>
    </w:p>
    <w:p w14:paraId="0625220D" w14:textId="77777777" w:rsidR="009B2703" w:rsidRDefault="00BC33E3">
      <w:pPr>
        <w:pStyle w:val="ListParagraph"/>
        <w:numPr>
          <w:ilvl w:val="0"/>
          <w:numId w:val="2"/>
        </w:numPr>
        <w:spacing w:after="60" w:line="360" w:lineRule="auto"/>
        <w:jc w:val="both"/>
      </w:pPr>
      <w:r>
        <w:t>Wall thickness was set at 1.5 mm rather than the thinner 1.0 mm theoretically achievable with high-MFI polycarbonate grades; the marginal mass and cost saving was outweighed by the disproportionate increase in stress and displacement.</w:t>
      </w:r>
    </w:p>
    <w:p w14:paraId="59980A50" w14:textId="77777777" w:rsidR="009B2703" w:rsidRDefault="00BC33E3">
      <w:pPr>
        <w:pStyle w:val="ListParagraph"/>
        <w:numPr>
          <w:ilvl w:val="0"/>
          <w:numId w:val="2"/>
        </w:numPr>
        <w:spacing w:after="60" w:line="360" w:lineRule="auto"/>
        <w:jc w:val="both"/>
      </w:pPr>
      <w:r>
        <w:t>A retaining lip was chosen over screws for the screen attachment, eliminating discrete fasteners on this interface and reducing assembly time, while keeping the screen non-destructively removable for repair; cantilever snap features are identified as a detailed design refinement rather than a built feature.</w:t>
      </w:r>
    </w:p>
    <w:p w14:paraId="21945FF9" w14:textId="77777777" w:rsidR="009B2703" w:rsidRDefault="00BC33E3">
      <w:pPr>
        <w:pStyle w:val="Heading2"/>
      </w:pPr>
      <w:bookmarkStart w:id="102" w:name="_Toc231846549"/>
      <w:bookmarkStart w:id="103" w:name="_Toc231932235"/>
      <w:r>
        <w:t>10.3 Recommendations for Further Work</w:t>
      </w:r>
      <w:bookmarkEnd w:id="102"/>
      <w:bookmarkEnd w:id="103"/>
    </w:p>
    <w:p w14:paraId="54329026" w14:textId="77777777" w:rsidR="009B2703" w:rsidRDefault="00BC33E3">
      <w:pPr>
        <w:pStyle w:val="ListParagraph"/>
        <w:numPr>
          <w:ilvl w:val="0"/>
          <w:numId w:val="3"/>
        </w:numPr>
        <w:spacing w:after="60" w:line="360" w:lineRule="auto"/>
        <w:jc w:val="both"/>
      </w:pPr>
      <w:r>
        <w:t>Run a full factorial DOE (rather than the one factor at a time sensitivity used here) on wall thickness, rib thickness and gate location, using Fusion 360 Plastic and Static Stress simulations jointly, to generate a response surface allowing simultaneous optimisation of mass, fill time, and peak stress.</w:t>
      </w:r>
    </w:p>
    <w:p w14:paraId="32D0E097" w14:textId="77777777" w:rsidR="009B2703" w:rsidRDefault="00BC33E3">
      <w:pPr>
        <w:pStyle w:val="ListParagraph"/>
        <w:numPr>
          <w:ilvl w:val="0"/>
          <w:numId w:val="3"/>
        </w:numPr>
        <w:spacing w:after="60" w:line="360" w:lineRule="auto"/>
        <w:jc w:val="both"/>
      </w:pPr>
      <w:r>
        <w:t xml:space="preserve">Validate the drop test response of the housing using an explicit-dynamics solver (e.g. Fusion 360 Event Simulation, ANSYS LS-DYNA or Abaqus Explicit) to supplement the static load cases and directly address the highest weighted customer requirement of drop survival. The static studies used here are </w:t>
      </w:r>
      <w:r>
        <w:lastRenderedPageBreak/>
        <w:t>consistent with the module's FEA approach but do not capture the high strain-rate behaviour of polycarbonate under impact.</w:t>
      </w:r>
    </w:p>
    <w:p w14:paraId="1244D215" w14:textId="77777777" w:rsidR="009B2703" w:rsidRDefault="00BC33E3">
      <w:pPr>
        <w:pStyle w:val="ListParagraph"/>
        <w:numPr>
          <w:ilvl w:val="0"/>
          <w:numId w:val="3"/>
        </w:numPr>
        <w:spacing w:after="60" w:line="360" w:lineRule="auto"/>
        <w:jc w:val="both"/>
      </w:pPr>
      <w:r>
        <w:t>Develop the mould design in detail, including the parting line, cooling-channel layout, runner balance, ejection and venting. The flow simulation identified localised 0.567 mm warpage at the back edge by the camera island; conformal cooling there, or localised inside-surface coring to equalise the wall section, is recommended to bring this within tolerance. This was outside the present part-level scope but is required for production readiness.</w:t>
      </w:r>
    </w:p>
    <w:p w14:paraId="753C1F35" w14:textId="77777777" w:rsidR="009B2703" w:rsidRDefault="00BC33E3">
      <w:pPr>
        <w:pStyle w:val="ListParagraph"/>
        <w:numPr>
          <w:ilvl w:val="0"/>
          <w:numId w:val="3"/>
        </w:numPr>
        <w:spacing w:after="60" w:line="360" w:lineRule="auto"/>
        <w:jc w:val="both"/>
      </w:pPr>
      <w:r>
        <w:t>Conduct a quantitative environmental life-cycle assessment (LCA), comparing the chosen PC design with bio based polymer or higher-recycled content variants, to replace the qualitative sustainability discussion in Section 9.</w:t>
      </w:r>
    </w:p>
    <w:p w14:paraId="1E861B35" w14:textId="77777777" w:rsidR="009B2703" w:rsidRDefault="00BC33E3">
      <w:pPr>
        <w:pStyle w:val="ListParagraph"/>
        <w:numPr>
          <w:ilvl w:val="0"/>
          <w:numId w:val="3"/>
        </w:numPr>
        <w:spacing w:after="60" w:line="360" w:lineRule="auto"/>
        <w:jc w:val="both"/>
      </w:pPr>
      <w:r>
        <w:t>Prototype using rapid tooling (e.g. soft aluminium or 3D-printed inserts) to validate screen retention (lip) engagement, panel fit and visual quality before committing to hardened steel production tooling.</w:t>
      </w:r>
    </w:p>
    <w:p w14:paraId="19CE89E9" w14:textId="77777777" w:rsidR="009B2703" w:rsidRDefault="00BC33E3">
      <w:pPr>
        <w:pStyle w:val="Heading1"/>
        <w:pageBreakBefore/>
      </w:pPr>
      <w:bookmarkStart w:id="104" w:name="_Toc231846550"/>
      <w:bookmarkStart w:id="105" w:name="_Toc231932236"/>
      <w:r>
        <w:lastRenderedPageBreak/>
        <w:t>11. Conclusion</w:t>
      </w:r>
      <w:bookmarkEnd w:id="104"/>
      <w:bookmarkEnd w:id="105"/>
    </w:p>
    <w:p w14:paraId="238D7854" w14:textId="77777777" w:rsidR="009B2703" w:rsidRDefault="00BC33E3">
      <w:pPr>
        <w:spacing w:after="120" w:line="360" w:lineRule="auto"/>
        <w:jc w:val="both"/>
      </w:pPr>
      <w:r>
        <w:t>This report has presented the design and analysis of a mobile phone housing for high volume injection moulding. QFD identified wall thickness as the parameter with the most leverage, leading to a 1.5 mm nominal wall with uniform transitions and generous radii. Polycarbonate, a heat resistant copolymer, was selected for its toughness, dimensional stability and recyclability, returned by Granta EduPack as the toughest polymer meeting all eleven constraints. A Design FMEA ranked camera cracking and cooling warpage as the top risks, addressed respectively by a larger corner radius and aperture fillet (with a stiffening rib recommended) and by disciplined wall uniformity.</w:t>
      </w:r>
    </w:p>
    <w:p w14:paraId="054DE957" w14:textId="77777777" w:rsidR="009B2703" w:rsidRDefault="00BC33E3">
      <w:pPr>
        <w:spacing w:after="120" w:line="360" w:lineRule="auto"/>
        <w:jc w:val="both"/>
      </w:pPr>
      <w:r>
        <w:t>A six-run flow simulation tuned gate positions and melt temperature to 98% fill confidence, one cosmetic weld line and a 0.85 s fill; the residual 0.567 mm warpage was traced to the camera island, and a wall thickening trial confirmed that uniformity, not thickness, governs warpage. FEA showed the design carries the everyday press (FoS 1.44) and the severe camera corner load (working stress FoS 1.51), while the torsional case reflects the open section, which is closed by the bonded screen in service. Unit cost is about £0.27 per part, with break even near 364,000 units against a 1 million forecast. Sustainability is supported by recyclable PC, a 15% regrind ceiling, an embossed resin code and waste reducing process design. Detailed mould design with camera island cooling, and explicit drop test simulation, are the main further work.</w:t>
      </w:r>
    </w:p>
    <w:p w14:paraId="38D1C96F" w14:textId="609F9ECB" w:rsidR="009B2703" w:rsidRDefault="00BC33E3" w:rsidP="00557440">
      <w:pPr>
        <w:pStyle w:val="Heading1"/>
        <w:pageBreakBefore/>
      </w:pPr>
      <w:bookmarkStart w:id="106" w:name="_Toc231846551"/>
      <w:bookmarkStart w:id="107" w:name="_Toc231932237"/>
      <w:r>
        <w:lastRenderedPageBreak/>
        <w:t>References</w:t>
      </w:r>
      <w:bookmarkEnd w:id="106"/>
      <w:bookmarkEnd w:id="107"/>
    </w:p>
    <w:p w14:paraId="6329733A" w14:textId="77777777" w:rsidR="009B2703" w:rsidRDefault="00BC33E3">
      <w:pPr>
        <w:spacing w:after="120" w:line="360" w:lineRule="auto"/>
        <w:ind w:left="720" w:hanging="720"/>
      </w:pPr>
      <w:r>
        <w:t>Adams, V. and Askenazi, A. (1999) Building Better Products with Finite Element Analysis. Santa Fe, NM: OnWord Press.</w:t>
      </w:r>
    </w:p>
    <w:p w14:paraId="483651FC" w14:textId="77777777" w:rsidR="009B2703" w:rsidRDefault="00BC33E3">
      <w:pPr>
        <w:spacing w:after="120" w:line="360" w:lineRule="auto"/>
        <w:ind w:left="720" w:hanging="720"/>
      </w:pPr>
      <w:r>
        <w:t>Akao, Y. (1990) Quality Function Deployment: Integrating Customer Requirements into Product Design. Cambridge, MA: Productivity Press.</w:t>
      </w:r>
    </w:p>
    <w:p w14:paraId="66F4092F" w14:textId="77777777" w:rsidR="009B2703" w:rsidRDefault="00BC33E3">
      <w:pPr>
        <w:spacing w:after="120" w:line="360" w:lineRule="auto"/>
        <w:ind w:left="720" w:hanging="720"/>
      </w:pPr>
      <w:r>
        <w:t>Antony, J. (2014) Design of Experiments for Engineers and Scientists. 2nd edn. Oxford: Elsevier.</w:t>
      </w:r>
    </w:p>
    <w:p w14:paraId="3B114BB5" w14:textId="77777777" w:rsidR="009B2703" w:rsidRDefault="00BC33E3">
      <w:pPr>
        <w:spacing w:after="120" w:line="360" w:lineRule="auto"/>
        <w:ind w:left="720" w:hanging="720"/>
      </w:pPr>
      <w:r>
        <w:t>Ashby, M.F. (2017) Materials Selection in Mechanical Design. 5th edn. Oxford: Butterworth-Heinemann.</w:t>
      </w:r>
    </w:p>
    <w:p w14:paraId="21922D5B" w14:textId="77777777" w:rsidR="009B2703" w:rsidRDefault="00BC33E3">
      <w:pPr>
        <w:spacing w:after="120" w:line="360" w:lineRule="auto"/>
        <w:ind w:left="720" w:hanging="720"/>
      </w:pPr>
      <w:r>
        <w:t>Autodesk (2024) Autodesk Fusion 360 Help — Simulation Workspace. Available at: https://help.autodesk.com/view/fusion360/ENU/ (Accessed: May 2026).</w:t>
      </w:r>
    </w:p>
    <w:p w14:paraId="7FE2C449" w14:textId="77777777" w:rsidR="009B2703" w:rsidRDefault="00BC33E3">
      <w:pPr>
        <w:spacing w:after="120" w:line="360" w:lineRule="auto"/>
        <w:ind w:left="720" w:hanging="720"/>
      </w:pPr>
      <w:r>
        <w:t>Bayer Material Science (2000) Engineering Polymers: Part and Mold Design — A Design Guide. Pittsburgh, PA: Bayer Corporation.</w:t>
      </w:r>
    </w:p>
    <w:p w14:paraId="3991289E" w14:textId="77777777" w:rsidR="009B2703" w:rsidRDefault="00BC33E3">
      <w:pPr>
        <w:spacing w:after="120" w:line="360" w:lineRule="auto"/>
        <w:ind w:left="720" w:hanging="720"/>
      </w:pPr>
      <w:r>
        <w:t>Boothroyd, G., Dewhurst, P. and Knight, W.A. (2010) Product Design for Manufacture and Assembly. 3rd edn. Boca Raton, FL: CRC Press.</w:t>
      </w:r>
    </w:p>
    <w:p w14:paraId="10D0183B" w14:textId="77777777" w:rsidR="009B2703" w:rsidRDefault="00BC33E3">
      <w:pPr>
        <w:spacing w:after="120" w:line="360" w:lineRule="auto"/>
        <w:ind w:left="720" w:hanging="720"/>
      </w:pPr>
      <w:r>
        <w:t>Bralla, J.G. (1999) Design for Manufacturability Handbook. 2nd edn. New York: McGraw-Hill.</w:t>
      </w:r>
    </w:p>
    <w:p w14:paraId="1A3E5951" w14:textId="77777777" w:rsidR="009B2703" w:rsidRDefault="00BC33E3">
      <w:pPr>
        <w:spacing w:after="120" w:line="360" w:lineRule="auto"/>
        <w:ind w:left="720" w:hanging="720"/>
      </w:pPr>
      <w:r>
        <w:t>Bryce, D.M. (1996) Plastic Injection Molding: Manufacturing Process Fundamentals. Dearborn, MI: Society of Manufacturing Engineers.</w:t>
      </w:r>
    </w:p>
    <w:p w14:paraId="64F52FA5" w14:textId="77777777" w:rsidR="009B2703" w:rsidRDefault="00BC33E3">
      <w:pPr>
        <w:spacing w:after="120" w:line="360" w:lineRule="auto"/>
        <w:ind w:left="720" w:hanging="720"/>
      </w:pPr>
      <w:r>
        <w:t>Cook, R.D., Malkus, D.S., Plesha, M.E. and Witt, R.J. (2002) Concepts and Applications of Finite Element Analysis. 4th edn. New York: Wiley.</w:t>
      </w:r>
    </w:p>
    <w:p w14:paraId="2D31C820" w14:textId="77777777" w:rsidR="009B2703" w:rsidRDefault="00BC33E3">
      <w:pPr>
        <w:spacing w:after="120" w:line="360" w:lineRule="auto"/>
        <w:ind w:left="720" w:hanging="720"/>
      </w:pPr>
      <w:r>
        <w:t>Fenwick, C., Mayers, K., Lee, J. and Murphy, R. (2023) 'Recycling plastics from e-waste: implications for effective eco-design', Journal of Industrial Ecology, 27(5), pp. 1370–1388. doi: 10.1111/jiec.13409.</w:t>
      </w:r>
    </w:p>
    <w:p w14:paraId="69D73EC7" w14:textId="77777777" w:rsidR="009B2703" w:rsidRDefault="00BC33E3">
      <w:pPr>
        <w:spacing w:after="120" w:line="360" w:lineRule="auto"/>
        <w:ind w:left="720" w:hanging="720"/>
      </w:pPr>
      <w:r>
        <w:t>Granta Design (2024) Granta EduPack 2024 R2 — Materials Selection Software. Cambridge: Ansys Granta.</w:t>
      </w:r>
    </w:p>
    <w:p w14:paraId="01903941" w14:textId="77777777" w:rsidR="009B2703" w:rsidRDefault="00BC33E3">
      <w:pPr>
        <w:spacing w:after="120" w:line="360" w:lineRule="auto"/>
        <w:ind w:left="720" w:hanging="720"/>
      </w:pPr>
      <w:r>
        <w:t>Groover, M.P. (2020) Fundamentals of Modern Manufacturing: Materials, Processes, and Systems. 7th edn. Hoboken, NJ: Wiley.</w:t>
      </w:r>
    </w:p>
    <w:p w14:paraId="14F127BE" w14:textId="77777777" w:rsidR="009B2703" w:rsidRDefault="00BC33E3">
      <w:pPr>
        <w:spacing w:after="120" w:line="360" w:lineRule="auto"/>
        <w:ind w:left="720" w:hanging="720"/>
      </w:pPr>
      <w:r>
        <w:lastRenderedPageBreak/>
        <w:t>Hauser, J.R. and Clausing, D. (1988) 'The House of Quality', Harvard Business Review, 66(3), pp. 63–73.</w:t>
      </w:r>
    </w:p>
    <w:p w14:paraId="028E4F30" w14:textId="77777777" w:rsidR="009B2703" w:rsidRDefault="00BC33E3">
      <w:pPr>
        <w:spacing w:after="120" w:line="360" w:lineRule="auto"/>
        <w:ind w:left="720" w:hanging="720"/>
      </w:pPr>
      <w:r>
        <w:t>Hopewell, J., Dvorak, R. and Kosior, E. (2009) 'Plastics recycling: challenges and opportunities', Philosophical Transactions of the Royal Society B, 364(1526), pp. 2115–2126.</w:t>
      </w:r>
    </w:p>
    <w:p w14:paraId="28809508" w14:textId="77777777" w:rsidR="009B2703" w:rsidRDefault="00BC33E3">
      <w:pPr>
        <w:spacing w:after="120" w:line="360" w:lineRule="auto"/>
        <w:ind w:left="720" w:hanging="720"/>
      </w:pPr>
      <w:r>
        <w:t>ISO (2016) ISO 11469:2016 Plastics — Generic identification and marking of plastics products. Geneva: International Organization for Standardization.</w:t>
      </w:r>
    </w:p>
    <w:p w14:paraId="67E212A9" w14:textId="77777777" w:rsidR="009B2703" w:rsidRDefault="00BC33E3">
      <w:pPr>
        <w:spacing w:after="120" w:line="360" w:lineRule="auto"/>
        <w:ind w:left="720" w:hanging="720"/>
      </w:pPr>
      <w:r>
        <w:t>Li, J., Zhao, C., Jia, F., Li, S., Ma, S. and Liang, J. (2023) 'Optimization of injection molding process parameters for the lining of IV hydrogen storage cylinder', Scientific Reports, 13, 665. doi: 10.1038/s41598-023-27848-1.</w:t>
      </w:r>
    </w:p>
    <w:p w14:paraId="66F2BFD0" w14:textId="77777777" w:rsidR="009B2703" w:rsidRDefault="00BC33E3">
      <w:pPr>
        <w:spacing w:after="120" w:line="360" w:lineRule="auto"/>
        <w:ind w:left="720" w:hanging="720"/>
      </w:pPr>
      <w:r>
        <w:t>Lucas Engineering &amp; Systems (1989) Design for Assembly: Practitioner's Manual. Coventry: Lucas Engineering &amp; Systems Ltd.</w:t>
      </w:r>
    </w:p>
    <w:p w14:paraId="09B56BA1" w14:textId="77777777" w:rsidR="009B2703" w:rsidRDefault="00BC33E3">
      <w:pPr>
        <w:spacing w:after="120" w:line="360" w:lineRule="auto"/>
        <w:ind w:left="720" w:hanging="720"/>
      </w:pPr>
      <w:r>
        <w:t>Malloy, R.A. (1994) Plastic Part Design for Injection Molding. Munich: Hanser Publishers.</w:t>
      </w:r>
    </w:p>
    <w:p w14:paraId="0FEEA388" w14:textId="77777777" w:rsidR="009B2703" w:rsidRDefault="00BC33E3">
      <w:pPr>
        <w:spacing w:after="120" w:line="360" w:lineRule="auto"/>
        <w:ind w:left="720" w:hanging="720"/>
      </w:pPr>
      <w:r>
        <w:t>Ragaert, K., Delva, L. and Van Geem, K. (2017) 'Mechanical and chemical recycling of solid plastic waste', Waste Management, 69, pp. 24–58. doi: 10.1016/j.wasman.2017.07.044.</w:t>
      </w:r>
    </w:p>
    <w:p w14:paraId="51045A0B" w14:textId="77777777" w:rsidR="009B2703" w:rsidRDefault="00BC33E3">
      <w:pPr>
        <w:spacing w:after="120" w:line="360" w:lineRule="auto"/>
        <w:ind w:left="720" w:hanging="720"/>
      </w:pPr>
      <w:r>
        <w:t>Rosato, D.V., Rosato, D.V. and Rosato, M.G. (2000) Injection Molding Handbook. 3rd edn. Boston: Kluwer Academic Publishers.</w:t>
      </w:r>
    </w:p>
    <w:p w14:paraId="2EFF3655" w14:textId="77777777" w:rsidR="009B2703" w:rsidRDefault="00BC33E3">
      <w:pPr>
        <w:spacing w:after="120" w:line="360" w:lineRule="auto"/>
        <w:ind w:left="720" w:hanging="720"/>
      </w:pPr>
      <w:r>
        <w:t>SAE (2009) SAE J1739:2009 Potential Failure Mode and Effects Analysis (FMEA) Including Design FMEA, Supplemental FMEA-MSR, and Process FMEA. Warrendale, PA: SAE International.</w:t>
      </w:r>
    </w:p>
    <w:p w14:paraId="0FD428A8" w14:textId="77777777" w:rsidR="009B2703" w:rsidRDefault="00BC33E3">
      <w:pPr>
        <w:spacing w:after="120" w:line="360" w:lineRule="auto"/>
        <w:ind w:left="720" w:hanging="720"/>
      </w:pPr>
      <w:r>
        <w:t>Stamatis, D.H. (2003) Failure Mode and Effect Analysis: FMEA from Theory to Execution. 2nd edn. Milwaukee, WI: ASQ Quality Press.</w:t>
      </w:r>
    </w:p>
    <w:p w14:paraId="59287D56" w14:textId="77777777" w:rsidR="009B2703" w:rsidRDefault="00BC33E3">
      <w:pPr>
        <w:spacing w:after="120" w:line="360" w:lineRule="auto"/>
        <w:ind w:left="720" w:hanging="720"/>
      </w:pPr>
      <w:r>
        <w:t>Timoshenko, S. and Woinowsky-Krieger, S. (1959) Theory of Plates and Shells. 2nd edn. New York: McGraw-Hill.</w:t>
      </w:r>
    </w:p>
    <w:p w14:paraId="015D30F3" w14:textId="77777777" w:rsidR="009B2703" w:rsidRDefault="00BC33E3">
      <w:pPr>
        <w:spacing w:after="120" w:line="360" w:lineRule="auto"/>
        <w:ind w:left="720" w:hanging="720"/>
      </w:pPr>
      <w:r>
        <w:t>Ulrich, K.T. and Eppinger, S.D. (2016) Product Design and Development. 6th edn. New York: McGraw-Hill Education.</w:t>
      </w:r>
    </w:p>
    <w:p w14:paraId="6F2B928C" w14:textId="77777777" w:rsidR="009B2703" w:rsidRDefault="00BC33E3">
      <w:pPr>
        <w:spacing w:after="120" w:line="360" w:lineRule="auto"/>
        <w:ind w:left="720" w:hanging="720"/>
      </w:pPr>
      <w:r>
        <w:lastRenderedPageBreak/>
        <w:t>Vanek, J., Ovsik, M., Hanzlik, J. and Stanek, M. (2024) 'Simulation and experimental study on enhancing dimensional accuracy of polycarbonate light guides', Polymers, 16(22), 3203. doi: 10.3390/polym16223203.</w:t>
      </w:r>
    </w:p>
    <w:p w14:paraId="75A1EE82" w14:textId="77777777" w:rsidR="009B2703" w:rsidRDefault="00BC33E3">
      <w:pPr>
        <w:spacing w:after="120" w:line="360" w:lineRule="auto"/>
        <w:ind w:left="720" w:hanging="720"/>
      </w:pPr>
      <w:r>
        <w:t>Yu, E., Jan, K. and Chen, W.-T. (2023) 'Separation and solvent based material recycling of polycarbonate from electronic waste', ACS Sustainable Chemistry &amp; Engineering, 11(34), pp. 12759–12770. doi: 10.1021/acssuschemeng.3c03152.</w:t>
      </w:r>
    </w:p>
    <w:p w14:paraId="6047DAF3" w14:textId="77777777" w:rsidR="009B2703" w:rsidRDefault="009B2703">
      <w:pPr>
        <w:spacing w:after="60"/>
      </w:pPr>
    </w:p>
    <w:p w14:paraId="3FA78181" w14:textId="77777777" w:rsidR="009B2703" w:rsidRDefault="00BC33E3">
      <w:pPr>
        <w:pStyle w:val="Heading1"/>
        <w:pageBreakBefore/>
      </w:pPr>
      <w:bookmarkStart w:id="108" w:name="_Toc231846552"/>
      <w:bookmarkStart w:id="109" w:name="_Toc231932238"/>
      <w:r>
        <w:lastRenderedPageBreak/>
        <w:t>Appendices</w:t>
      </w:r>
      <w:bookmarkEnd w:id="108"/>
      <w:bookmarkEnd w:id="109"/>
    </w:p>
    <w:p w14:paraId="18201AEA" w14:textId="77777777" w:rsidR="009B2703" w:rsidRDefault="00BC33E3">
      <w:pPr>
        <w:pStyle w:val="Heading2"/>
      </w:pPr>
      <w:bookmarkStart w:id="110" w:name="_Toc231846553"/>
      <w:bookmarkStart w:id="111" w:name="_Toc231932239"/>
      <w:r>
        <w:t>Appendix A: CAD Views and Key Dimensions</w:t>
      </w:r>
      <w:bookmarkEnd w:id="110"/>
      <w:bookmarkEnd w:id="111"/>
    </w:p>
    <w:p w14:paraId="22B54FD0" w14:textId="77777777" w:rsidR="009B2703" w:rsidRDefault="00BC33E3">
      <w:pPr>
        <w:spacing w:before="120" w:after="120" w:line="360" w:lineRule="auto"/>
      </w:pPr>
      <w:r>
        <w:t>A formal dimensioned manufacturing drawing pack (orthographic projections with full geometric dimensioning and tolerancing and a bill of materials) was not produced within the scope of this component-level study. The housing geometry is documented through the CAD views in Section 5: the isometric view (Figure 4), a longitudinal section showing the uniform 1.5 mm wall and the screen-retaining lip (Figure 5), an internal top view of the principal features (Figure 6), and an exploded assembly view (Figure 7). Overall envelope dimensions (approximately 150 × 75 × 8 mm) and the tolerance-critical dimensions are stated in Sections 5 and 7.3.</w:t>
      </w:r>
    </w:p>
    <w:p w14:paraId="20C39902" w14:textId="77777777" w:rsidR="009B2703" w:rsidRDefault="00BC33E3">
      <w:pPr>
        <w:pStyle w:val="Heading2"/>
      </w:pPr>
      <w:bookmarkStart w:id="112" w:name="_Toc231846554"/>
      <w:bookmarkStart w:id="113" w:name="_Toc231932240"/>
      <w:r>
        <w:t>Appendix B: Fusion 360 Plastic Simulation Full Results Report</w:t>
      </w:r>
      <w:bookmarkEnd w:id="112"/>
      <w:bookmarkEnd w:id="113"/>
    </w:p>
    <w:p w14:paraId="0AD1AF48" w14:textId="77777777" w:rsidR="009B2703" w:rsidRDefault="00BC33E3">
      <w:pPr>
        <w:spacing w:after="120" w:line="360" w:lineRule="auto"/>
        <w:jc w:val="both"/>
      </w:pPr>
      <w:r>
        <w:t>The Fusion 360 Plastic (Injection Molding) guided simulation report for the final design (iteration 5) is summarised below, followed by the result plots.</w:t>
      </w:r>
    </w:p>
    <w:p w14:paraId="293E108F" w14:textId="77777777" w:rsidR="009B2703" w:rsidRDefault="00BC33E3">
      <w:pPr>
        <w:spacing w:after="120" w:line="360" w:lineRule="auto"/>
        <w:jc w:val="both"/>
      </w:pPr>
      <w:r>
        <w:rPr>
          <w:b/>
          <w:bCs/>
        </w:rPr>
        <w:t xml:space="preserve">Study setup. </w:t>
      </w:r>
      <w:r>
        <w:t>Body1 of “iPhone 17 step v1” was analysed in Autodesk Fusion (build 2703.1.11). Material: polycarbonate (PC), commercial grade Tristar PC-10FR-GY703VIHR(18) (AMCO Polymers; amorphous). Two injection locations (opposite-edge gates) and one aesthetic face were defined. Process settings were: injection time automatic; melt temperature 550.5 K (277 °C); mould-surface temperature 355.0 K (82 °C).</w:t>
      </w:r>
    </w:p>
    <w:p w14:paraId="4D0E08A7" w14:textId="77777777" w:rsidR="009B2703" w:rsidRDefault="00BC33E3">
      <w:pPr>
        <w:spacing w:after="120" w:line="360" w:lineRule="auto"/>
        <w:jc w:val="both"/>
      </w:pPr>
      <w:r>
        <w:rPr>
          <w:b/>
          <w:bCs/>
        </w:rPr>
        <w:t xml:space="preserve">Guided results. </w:t>
      </w:r>
      <w:r>
        <w:t>Fill: time to fill 0.85 s, with 98.0% of the part easy to fill and 1.99% flagged difficult to fill. Visual defects: the single aesthetic face is predicted to show shallow sink marks (peak depth ≈ 0.008 mm) and weld lines. Warpage: maximum deflection 0.567 mm against the auto-set tolerance of 0.481 mm, localised at one corner. These values are consistent with those reported in Section 7.1.</w:t>
      </w:r>
    </w:p>
    <w:p w14:paraId="2E6ECC2E" w14:textId="77777777" w:rsidR="009B2703" w:rsidRDefault="00BC33E3">
      <w:pPr>
        <w:spacing w:before="120" w:after="40" w:line="360" w:lineRule="auto"/>
        <w:jc w:val="center"/>
      </w:pPr>
      <w:r>
        <w:rPr>
          <w:noProof/>
        </w:rPr>
        <w:lastRenderedPageBreak/>
        <w:drawing>
          <wp:inline distT="0" distB="0" distL="0" distR="0" wp14:anchorId="235F4F6F" wp14:editId="1A772BDE">
            <wp:extent cx="5667375" cy="2572426"/>
            <wp:effectExtent l="0" t="0" r="0" b="0"/>
            <wp:docPr id="2090773062" name="AppB 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73063" name="AppB image28.png"/>
                    <pic:cNvPicPr>
                      <a:picLocks noChangeAspect="1" noChangeArrowheads="1"/>
                    </pic:cNvPicPr>
                  </pic:nvPicPr>
                  <pic:blipFill>
                    <a:blip r:embed="rId40"/>
                    <a:srcRect/>
                    <a:stretch>
                      <a:fillRect/>
                    </a:stretch>
                  </pic:blipFill>
                  <pic:spPr bwMode="auto">
                    <a:xfrm>
                      <a:off x="0" y="0"/>
                      <a:ext cx="5667375" cy="2572426"/>
                    </a:xfrm>
                    <a:prstGeom prst="rect">
                      <a:avLst/>
                    </a:prstGeom>
                  </pic:spPr>
                </pic:pic>
              </a:graphicData>
            </a:graphic>
          </wp:inline>
        </w:drawing>
      </w:r>
    </w:p>
    <w:p w14:paraId="6B9BCE8F" w14:textId="77777777" w:rsidR="009B2703" w:rsidRDefault="00BC33E3">
      <w:pPr>
        <w:spacing w:after="200" w:line="360" w:lineRule="auto"/>
        <w:jc w:val="center"/>
      </w:pPr>
      <w:r>
        <w:rPr>
          <w:i/>
          <w:iCs/>
          <w:sz w:val="22"/>
          <w:szCs w:val="22"/>
        </w:rPr>
        <w:t>Fill confidence: 98.0% of the part easy to fill, 1.99% difficult to fill (edge-on view).</w:t>
      </w:r>
    </w:p>
    <w:p w14:paraId="53503996" w14:textId="77777777" w:rsidR="009B2703" w:rsidRDefault="00BC33E3">
      <w:pPr>
        <w:spacing w:before="120" w:after="40" w:line="360" w:lineRule="auto"/>
        <w:jc w:val="center"/>
      </w:pPr>
      <w:r>
        <w:rPr>
          <w:noProof/>
        </w:rPr>
        <w:drawing>
          <wp:inline distT="0" distB="0" distL="0" distR="0" wp14:anchorId="68DAB59E" wp14:editId="297663AA">
            <wp:extent cx="5667375" cy="2572426"/>
            <wp:effectExtent l="0" t="0" r="0" b="0"/>
            <wp:docPr id="2090773064" name="AppB 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73065" name="AppB image29.png"/>
                    <pic:cNvPicPr>
                      <a:picLocks noChangeAspect="1" noChangeArrowheads="1"/>
                    </pic:cNvPicPr>
                  </pic:nvPicPr>
                  <pic:blipFill>
                    <a:blip r:embed="rId41"/>
                    <a:srcRect/>
                    <a:stretch>
                      <a:fillRect/>
                    </a:stretch>
                  </pic:blipFill>
                  <pic:spPr bwMode="auto">
                    <a:xfrm>
                      <a:off x="0" y="0"/>
                      <a:ext cx="5667375" cy="2572426"/>
                    </a:xfrm>
                    <a:prstGeom prst="rect">
                      <a:avLst/>
                    </a:prstGeom>
                  </pic:spPr>
                </pic:pic>
              </a:graphicData>
            </a:graphic>
          </wp:inline>
        </w:drawing>
      </w:r>
    </w:p>
    <w:p w14:paraId="47BE1039" w14:textId="77777777" w:rsidR="009B2703" w:rsidRDefault="00BC33E3">
      <w:pPr>
        <w:spacing w:after="200" w:line="360" w:lineRule="auto"/>
        <w:jc w:val="center"/>
      </w:pPr>
      <w:r>
        <w:rPr>
          <w:i/>
          <w:iCs/>
          <w:sz w:val="22"/>
          <w:szCs w:val="22"/>
        </w:rPr>
        <w:t>Sink-mark depth (peak ≈ 0.008 mm); the yellow arrows mark the two injection locations (opposite-edge gates).</w:t>
      </w:r>
    </w:p>
    <w:p w14:paraId="618147A7" w14:textId="77777777" w:rsidR="009B2703" w:rsidRDefault="00BC33E3">
      <w:pPr>
        <w:spacing w:before="120" w:after="40" w:line="360" w:lineRule="auto"/>
        <w:jc w:val="center"/>
      </w:pPr>
      <w:r>
        <w:rPr>
          <w:noProof/>
        </w:rPr>
        <w:lastRenderedPageBreak/>
        <w:drawing>
          <wp:inline distT="0" distB="0" distL="0" distR="0" wp14:anchorId="3DDA2E80" wp14:editId="7636B1C0">
            <wp:extent cx="5667375" cy="2572426"/>
            <wp:effectExtent l="0" t="0" r="0" b="0"/>
            <wp:docPr id="2090773066" name="AppB imag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73067" name="AppB image30.png"/>
                    <pic:cNvPicPr>
                      <a:picLocks noChangeAspect="1" noChangeArrowheads="1"/>
                    </pic:cNvPicPr>
                  </pic:nvPicPr>
                  <pic:blipFill>
                    <a:blip r:embed="rId42"/>
                    <a:srcRect/>
                    <a:stretch>
                      <a:fillRect/>
                    </a:stretch>
                  </pic:blipFill>
                  <pic:spPr bwMode="auto">
                    <a:xfrm>
                      <a:off x="0" y="0"/>
                      <a:ext cx="5667375" cy="2572426"/>
                    </a:xfrm>
                    <a:prstGeom prst="rect">
                      <a:avLst/>
                    </a:prstGeom>
                  </pic:spPr>
                </pic:pic>
              </a:graphicData>
            </a:graphic>
          </wp:inline>
        </w:drawing>
      </w:r>
    </w:p>
    <w:p w14:paraId="37A6AF8E" w14:textId="77777777" w:rsidR="009B2703" w:rsidRDefault="00BC33E3">
      <w:pPr>
        <w:spacing w:after="200" w:line="360" w:lineRule="auto"/>
        <w:jc w:val="center"/>
      </w:pPr>
      <w:r>
        <w:rPr>
          <w:i/>
          <w:iCs/>
          <w:sz w:val="22"/>
          <w:szCs w:val="22"/>
        </w:rPr>
        <w:t>Warpage: maximum deflection 0.567 mm against the 0.481 mm tolerance; the red region marks the worst corner.</w:t>
      </w:r>
    </w:p>
    <w:p w14:paraId="10A9A4EB" w14:textId="77777777" w:rsidR="009B2703" w:rsidRDefault="00BC33E3">
      <w:pPr>
        <w:pStyle w:val="Heading2"/>
      </w:pPr>
      <w:bookmarkStart w:id="114" w:name="_Toc231846555"/>
      <w:bookmarkStart w:id="115" w:name="_Toc231932241"/>
      <w:r>
        <w:t>Appendix C: Fusion 360 Static Stress Simulation Full Results Report</w:t>
      </w:r>
      <w:bookmarkEnd w:id="114"/>
      <w:bookmarkEnd w:id="115"/>
    </w:p>
    <w:p w14:paraId="5728860A" w14:textId="77777777" w:rsidR="009B2703" w:rsidRDefault="00BC33E3">
      <w:pPr>
        <w:spacing w:after="120" w:line="360" w:lineRule="auto"/>
        <w:jc w:val="both"/>
      </w:pPr>
      <w:r>
        <w:t>The Static Stress (FEA) results for all three load cases (mesh setup, Von Mises stress and displacement contours) are presented in Section 7.2 (Figures 11–19), and the numerical summary (peak stress, displacement and factor of safety for each case) is given in Table 8. The complete contour set is therefore contained in the main body and is not duplicated here.</w:t>
      </w:r>
    </w:p>
    <w:p w14:paraId="48AB1017" w14:textId="77777777" w:rsidR="009B2703" w:rsidRDefault="00BC33E3">
      <w:pPr>
        <w:pStyle w:val="Heading2"/>
      </w:pPr>
      <w:bookmarkStart w:id="116" w:name="_Toc231846556"/>
      <w:bookmarkStart w:id="117" w:name="_Toc231932242"/>
      <w:r>
        <w:t>Appendix D: Granta EduPack Material Selection Datasheet</w:t>
      </w:r>
      <w:bookmarkEnd w:id="116"/>
      <w:bookmarkEnd w:id="117"/>
    </w:p>
    <w:p w14:paraId="65950FC1" w14:textId="77777777" w:rsidR="009B2703" w:rsidRDefault="00BC33E3">
      <w:pPr>
        <w:spacing w:after="120" w:line="360" w:lineRule="auto"/>
        <w:jc w:val="both"/>
      </w:pPr>
      <w:r>
        <w:t>The screenshots embedded below are the full Granta EduPack 2024 R2 datasheet pages for PC (copolymer, heat resistant), the chosen material. They support the values cited in Table 5 and in the Fusion 360 material card used in Section 7.</w:t>
      </w:r>
    </w:p>
    <w:p w14:paraId="228A514E" w14:textId="77777777" w:rsidR="009B2703" w:rsidRDefault="00BC33E3">
      <w:pPr>
        <w:spacing w:before="200" w:after="60" w:line="360" w:lineRule="auto"/>
        <w:jc w:val="center"/>
      </w:pPr>
      <w:r>
        <w:rPr>
          <w:noProof/>
        </w:rPr>
        <w:lastRenderedPageBreak/>
        <w:drawing>
          <wp:inline distT="0" distB="0" distL="0" distR="0" wp14:anchorId="375844E1" wp14:editId="50572D26">
            <wp:extent cx="5667375" cy="3190875"/>
            <wp:effectExtent l="0" t="0" r="0" b="0"/>
            <wp:docPr id="1576115412" name="Picture 1576115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3"/>
                    <a:srcRect/>
                    <a:stretch>
                      <a:fillRect/>
                    </a:stretch>
                  </pic:blipFill>
                  <pic:spPr bwMode="auto">
                    <a:xfrm>
                      <a:off x="0" y="0"/>
                      <a:ext cx="5667375" cy="3190875"/>
                    </a:xfrm>
                    <a:prstGeom prst="rect">
                      <a:avLst/>
                    </a:prstGeom>
                  </pic:spPr>
                </pic:pic>
              </a:graphicData>
            </a:graphic>
          </wp:inline>
        </w:drawing>
      </w:r>
    </w:p>
    <w:p w14:paraId="2F5DF048" w14:textId="77777777" w:rsidR="009B2703" w:rsidRDefault="00BC33E3">
      <w:pPr>
        <w:spacing w:after="200" w:line="360" w:lineRule="auto"/>
        <w:jc w:val="center"/>
      </w:pPr>
      <w:r>
        <w:rPr>
          <w:i/>
          <w:iCs/>
          <w:sz w:val="22"/>
          <w:szCs w:val="22"/>
        </w:rPr>
        <w:t>Figure 21: Granta EduPack 2024 R2 datasheet for PC (copolymer, heat resistant): Composition overview, Price and Physical properties sections.</w:t>
      </w:r>
    </w:p>
    <w:p w14:paraId="41D7D6EB" w14:textId="77777777" w:rsidR="009B2703" w:rsidRDefault="00BC33E3">
      <w:pPr>
        <w:spacing w:before="200" w:after="60" w:line="360" w:lineRule="auto"/>
        <w:jc w:val="center"/>
      </w:pPr>
      <w:r>
        <w:rPr>
          <w:noProof/>
        </w:rPr>
        <w:drawing>
          <wp:inline distT="0" distB="0" distL="0" distR="0" wp14:anchorId="3B6BFA99" wp14:editId="387999B9">
            <wp:extent cx="5667375" cy="3190875"/>
            <wp:effectExtent l="0" t="0" r="0" b="0"/>
            <wp:docPr id="1641819021" name="Picture 1641819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4"/>
                    <a:srcRect/>
                    <a:stretch>
                      <a:fillRect/>
                    </a:stretch>
                  </pic:blipFill>
                  <pic:spPr bwMode="auto">
                    <a:xfrm>
                      <a:off x="0" y="0"/>
                      <a:ext cx="5667375" cy="3190875"/>
                    </a:xfrm>
                    <a:prstGeom prst="rect">
                      <a:avLst/>
                    </a:prstGeom>
                  </pic:spPr>
                </pic:pic>
              </a:graphicData>
            </a:graphic>
          </wp:inline>
        </w:drawing>
      </w:r>
    </w:p>
    <w:p w14:paraId="105CCA45" w14:textId="77777777" w:rsidR="009B2703" w:rsidRDefault="00BC33E3">
      <w:pPr>
        <w:spacing w:after="200" w:line="360" w:lineRule="auto"/>
        <w:jc w:val="center"/>
      </w:pPr>
      <w:r>
        <w:rPr>
          <w:i/>
          <w:iCs/>
          <w:sz w:val="22"/>
          <w:szCs w:val="22"/>
        </w:rPr>
        <w:t>Figure 22: Granta EduPack datasheet (continued): Mechanical properties: modulus, strength, Poisson's ratio, hardness, fatigue.</w:t>
      </w:r>
    </w:p>
    <w:p w14:paraId="52C864D3" w14:textId="77777777" w:rsidR="009B2703" w:rsidRDefault="00BC33E3">
      <w:pPr>
        <w:spacing w:before="200" w:after="60" w:line="360" w:lineRule="auto"/>
        <w:jc w:val="center"/>
      </w:pPr>
      <w:r>
        <w:rPr>
          <w:noProof/>
        </w:rPr>
        <w:lastRenderedPageBreak/>
        <w:drawing>
          <wp:inline distT="0" distB="0" distL="0" distR="0" wp14:anchorId="2C0B1564" wp14:editId="4040663C">
            <wp:extent cx="5667375" cy="3190875"/>
            <wp:effectExtent l="0" t="0" r="0" b="0"/>
            <wp:docPr id="1241130172" name="Picture 1241130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5"/>
                    <a:srcRect/>
                    <a:stretch>
                      <a:fillRect/>
                    </a:stretch>
                  </pic:blipFill>
                  <pic:spPr bwMode="auto">
                    <a:xfrm>
                      <a:off x="0" y="0"/>
                      <a:ext cx="5667375" cy="3190875"/>
                    </a:xfrm>
                    <a:prstGeom prst="rect">
                      <a:avLst/>
                    </a:prstGeom>
                  </pic:spPr>
                </pic:pic>
              </a:graphicData>
            </a:graphic>
          </wp:inline>
        </w:drawing>
      </w:r>
    </w:p>
    <w:p w14:paraId="6CD0CF7C" w14:textId="77777777" w:rsidR="009B2703" w:rsidRDefault="00BC33E3">
      <w:pPr>
        <w:spacing w:after="200" w:line="360" w:lineRule="auto"/>
        <w:jc w:val="center"/>
      </w:pPr>
      <w:r>
        <w:rPr>
          <w:i/>
          <w:iCs/>
          <w:sz w:val="22"/>
          <w:szCs w:val="22"/>
        </w:rPr>
        <w:t>Figure 23: Granta EduPack datasheet (continued): Impact and fracture properties (including Toughness G = 6.41–9.16 kJ/m²), and Thermal properties (Maximum service temperature 128–144 °C).</w:t>
      </w:r>
    </w:p>
    <w:p w14:paraId="21B4CA46" w14:textId="77777777" w:rsidR="009B2703" w:rsidRDefault="00BC33E3">
      <w:pPr>
        <w:spacing w:before="200" w:after="60" w:line="360" w:lineRule="auto"/>
        <w:jc w:val="center"/>
      </w:pPr>
      <w:r>
        <w:rPr>
          <w:noProof/>
        </w:rPr>
        <w:drawing>
          <wp:inline distT="0" distB="0" distL="0" distR="0" wp14:anchorId="019EDB86" wp14:editId="46586158">
            <wp:extent cx="5667375" cy="3190875"/>
            <wp:effectExtent l="0" t="0" r="0" b="0"/>
            <wp:docPr id="62387900" name="Picture 62387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6"/>
                    <a:srcRect/>
                    <a:stretch>
                      <a:fillRect/>
                    </a:stretch>
                  </pic:blipFill>
                  <pic:spPr bwMode="auto">
                    <a:xfrm>
                      <a:off x="0" y="0"/>
                      <a:ext cx="5667375" cy="3190875"/>
                    </a:xfrm>
                    <a:prstGeom prst="rect">
                      <a:avLst/>
                    </a:prstGeom>
                  </pic:spPr>
                </pic:pic>
              </a:graphicData>
            </a:graphic>
          </wp:inline>
        </w:drawing>
      </w:r>
    </w:p>
    <w:p w14:paraId="2FC0AD95" w14:textId="77777777" w:rsidR="009B2703" w:rsidRDefault="00BC33E3">
      <w:pPr>
        <w:spacing w:after="200" w:line="360" w:lineRule="auto"/>
        <w:jc w:val="center"/>
      </w:pPr>
      <w:r>
        <w:rPr>
          <w:i/>
          <w:iCs/>
          <w:sz w:val="22"/>
          <w:szCs w:val="22"/>
        </w:rPr>
        <w:t>Figure 24: Granta EduPack datasheet (continued): Processing properties (injection moulding: Excellent; mould shrinkage 0.7–0.9%; melt temperature 260–350 °C), Durability ratings, and Environmental indicators (climate change 4.94–5.44 kg CO2-eq/kg; embodied energy 109–120 MJ/kg).</w:t>
      </w:r>
    </w:p>
    <w:p w14:paraId="0DCFF1EB" w14:textId="77777777" w:rsidR="009B2703" w:rsidRDefault="00BC33E3">
      <w:pPr>
        <w:spacing w:before="200" w:after="60" w:line="360" w:lineRule="auto"/>
        <w:jc w:val="center"/>
      </w:pPr>
      <w:r>
        <w:rPr>
          <w:noProof/>
        </w:rPr>
        <w:lastRenderedPageBreak/>
        <w:drawing>
          <wp:inline distT="0" distB="0" distL="0" distR="0" wp14:anchorId="479B599E" wp14:editId="2DC9CFE0">
            <wp:extent cx="5667375" cy="3190875"/>
            <wp:effectExtent l="0" t="0" r="0" b="0"/>
            <wp:docPr id="1092333919" name="Picture 10923339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47"/>
                    <a:srcRect/>
                    <a:stretch>
                      <a:fillRect/>
                    </a:stretch>
                  </pic:blipFill>
                  <pic:spPr bwMode="auto">
                    <a:xfrm>
                      <a:off x="0" y="0"/>
                      <a:ext cx="5667375" cy="3190875"/>
                    </a:xfrm>
                    <a:prstGeom prst="rect">
                      <a:avLst/>
                    </a:prstGeom>
                  </pic:spPr>
                </pic:pic>
              </a:graphicData>
            </a:graphic>
          </wp:inline>
        </w:drawing>
      </w:r>
    </w:p>
    <w:p w14:paraId="7D806E1A" w14:textId="77777777" w:rsidR="009B2703" w:rsidRDefault="00BC33E3">
      <w:pPr>
        <w:spacing w:after="200" w:line="360" w:lineRule="auto"/>
        <w:jc w:val="center"/>
      </w:pPr>
      <w:r>
        <w:rPr>
          <w:i/>
          <w:iCs/>
          <w:sz w:val="22"/>
          <w:szCs w:val="22"/>
        </w:rPr>
        <w:t>Figure 25: Granta EduPack datasheet (continued): Environmental indicators (processing) and Recycling and end of life. Note: recycle fraction in current supply is only 1%, identifying a significant opportunity for sustainability improvement.</w:t>
      </w:r>
    </w:p>
    <w:p w14:paraId="430CE251" w14:textId="77777777" w:rsidR="009B2703" w:rsidRDefault="00BC33E3">
      <w:pPr>
        <w:pStyle w:val="Heading2"/>
      </w:pPr>
      <w:bookmarkStart w:id="118" w:name="_Toc231846557"/>
      <w:bookmarkStart w:id="119" w:name="_Toc231932243"/>
      <w:r>
        <w:t>Appendix E: QFD Spreadsheet Output</w:t>
      </w:r>
      <w:bookmarkEnd w:id="118"/>
      <w:bookmarkEnd w:id="119"/>
    </w:p>
    <w:p w14:paraId="60531577" w14:textId="5C7DDB4F" w:rsidR="009B2703" w:rsidRDefault="00BC33E3">
      <w:pPr>
        <w:spacing w:before="120" w:after="120" w:line="360" w:lineRule="auto"/>
      </w:pPr>
      <w:r>
        <w:t>The completed House of Quality is reproduced below, produced from the taught QFD template. It shows the full relationship matrix, the computed weighted importance and relative weight rows, the correlation roof, the target and difficulty rows, and the competitive-analysis panel benchmarking the proposed design against a budget and a premium handset.</w:t>
      </w:r>
    </w:p>
    <w:p w14:paraId="6E6B607A" w14:textId="77777777" w:rsidR="009B2703" w:rsidRDefault="00BC33E3">
      <w:pPr>
        <w:spacing w:before="60" w:after="200" w:line="360" w:lineRule="auto"/>
        <w:jc w:val="center"/>
      </w:pPr>
      <w:r>
        <w:rPr>
          <w:noProof/>
        </w:rPr>
        <w:lastRenderedPageBreak/>
        <w:drawing>
          <wp:inline distT="0" distB="0" distL="0" distR="0" wp14:anchorId="2B4DF701" wp14:editId="6909BCB3">
            <wp:extent cx="5667375" cy="4643791"/>
            <wp:effectExtent l="0" t="0" r="0" b="0"/>
            <wp:docPr id="2090773030" name="Appendix E QFD House of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73031" name="Appendix E QFD House of Quality"/>
                    <pic:cNvPicPr>
                      <a:picLocks noChangeAspect="1" noChangeArrowheads="1"/>
                    </pic:cNvPicPr>
                  </pic:nvPicPr>
                  <pic:blipFill>
                    <a:blip r:embed="rId10"/>
                    <a:srcRect/>
                    <a:stretch>
                      <a:fillRect/>
                    </a:stretch>
                  </pic:blipFill>
                  <pic:spPr bwMode="auto">
                    <a:xfrm>
                      <a:off x="0" y="0"/>
                      <a:ext cx="5667375" cy="4643791"/>
                    </a:xfrm>
                    <a:prstGeom prst="rect">
                      <a:avLst/>
                    </a:prstGeom>
                  </pic:spPr>
                </pic:pic>
              </a:graphicData>
            </a:graphic>
          </wp:inline>
        </w:drawing>
      </w:r>
    </w:p>
    <w:p w14:paraId="286117E4" w14:textId="77777777" w:rsidR="009B2703" w:rsidRDefault="00BC33E3">
      <w:pPr>
        <w:pStyle w:val="Heading2"/>
      </w:pPr>
      <w:bookmarkStart w:id="120" w:name="_Toc231846558"/>
      <w:bookmarkStart w:id="121" w:name="_Toc231932244"/>
      <w:r>
        <w:t>Appendix F: FMEA Full Worksheet</w:t>
      </w:r>
      <w:bookmarkEnd w:id="120"/>
      <w:bookmarkEnd w:id="121"/>
    </w:p>
    <w:p w14:paraId="2FDE4B23" w14:textId="0C20DE27" w:rsidR="009B2703" w:rsidRDefault="00BC33E3">
      <w:pPr>
        <w:spacing w:after="120" w:line="360" w:lineRule="auto"/>
        <w:jc w:val="both"/>
      </w:pPr>
      <w:r>
        <w:t>The completed Design FMEA worksheet is reproduced below. The Action Results columns (revised severity, occurrence, detection and RPN) represent the expected residual risk once the recommended actions are implemented. Of the geometry related actions, the enlarged camera corner fillet, the uniform 1.5 mm wall and the optimised gate positions were modelled and analysed in this study (Sections 5 and 7); the remaining actions (rib, boss and vent, cantilever and lead-in changes, and cosmetic texturing) are recommendations for the detailed design stage.</w:t>
      </w:r>
    </w:p>
    <w:p w14:paraId="7DF5583A" w14:textId="77777777" w:rsidR="009B2703" w:rsidRDefault="00BC33E3">
      <w:pPr>
        <w:spacing w:before="120" w:after="60" w:line="360" w:lineRule="auto"/>
        <w:jc w:val="center"/>
      </w:pPr>
      <w:r>
        <w:rPr>
          <w:noProof/>
        </w:rPr>
        <w:lastRenderedPageBreak/>
        <w:drawing>
          <wp:inline distT="0" distB="0" distL="0" distR="0" wp14:anchorId="359908FA" wp14:editId="4AFA3284">
            <wp:extent cx="5667375" cy="5070354"/>
            <wp:effectExtent l="0" t="0" r="0" b="0"/>
            <wp:docPr id="2090773077" name="Appendix F FM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73078" name="Appendix F FMEA"/>
                    <pic:cNvPicPr>
                      <a:picLocks noChangeAspect="1" noChangeArrowheads="1"/>
                    </pic:cNvPicPr>
                  </pic:nvPicPr>
                  <pic:blipFill>
                    <a:blip r:embed="rId48"/>
                    <a:srcRect/>
                    <a:stretch>
                      <a:fillRect/>
                    </a:stretch>
                  </pic:blipFill>
                  <pic:spPr bwMode="auto">
                    <a:xfrm>
                      <a:off x="0" y="0"/>
                      <a:ext cx="5667375" cy="5070354"/>
                    </a:xfrm>
                    <a:prstGeom prst="rect">
                      <a:avLst/>
                    </a:prstGeom>
                  </pic:spPr>
                </pic:pic>
              </a:graphicData>
            </a:graphic>
          </wp:inline>
        </w:drawing>
      </w:r>
    </w:p>
    <w:p w14:paraId="48469318" w14:textId="77777777" w:rsidR="009B2703" w:rsidRDefault="00BC33E3">
      <w:pPr>
        <w:spacing w:after="200" w:line="360" w:lineRule="auto"/>
        <w:jc w:val="center"/>
      </w:pPr>
      <w:r>
        <w:rPr>
          <w:i/>
          <w:iCs/>
          <w:sz w:val="22"/>
          <w:szCs w:val="22"/>
        </w:rPr>
        <w:t>Completed Design FMEA worksheet: eight failure modes with initial and post-action RPN.</w:t>
      </w:r>
    </w:p>
    <w:sectPr w:rsidR="009B2703">
      <w:footerReference w:type="default" r:id="rId4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715DA" w14:textId="77777777" w:rsidR="00A63229" w:rsidRDefault="00A63229">
      <w:r>
        <w:separator/>
      </w:r>
    </w:p>
  </w:endnote>
  <w:endnote w:type="continuationSeparator" w:id="0">
    <w:p w14:paraId="181AC614" w14:textId="77777777" w:rsidR="00A63229" w:rsidRDefault="00A63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488777" w14:textId="77777777" w:rsidR="009B2703" w:rsidRDefault="00BC33E3">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817B27">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817B27">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FD6576" w14:textId="77777777" w:rsidR="00A63229" w:rsidRDefault="00A63229">
      <w:r>
        <w:separator/>
      </w:r>
    </w:p>
  </w:footnote>
  <w:footnote w:type="continuationSeparator" w:id="0">
    <w:p w14:paraId="3EBC0290" w14:textId="77777777" w:rsidR="00A63229" w:rsidRDefault="00A632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34734"/>
    <w:multiLevelType w:val="hybridMultilevel"/>
    <w:tmpl w:val="BED6A67E"/>
    <w:lvl w:ilvl="0" w:tplc="9D985BE6">
      <w:start w:val="1"/>
      <w:numFmt w:val="decimal"/>
      <w:lvlText w:val="%1."/>
      <w:lvlJc w:val="left"/>
      <w:pPr>
        <w:ind w:left="720" w:hanging="360"/>
      </w:pPr>
    </w:lvl>
    <w:lvl w:ilvl="1" w:tplc="EDAEC884">
      <w:numFmt w:val="decimal"/>
      <w:lvlText w:val=""/>
      <w:lvlJc w:val="left"/>
    </w:lvl>
    <w:lvl w:ilvl="2" w:tplc="01961D9A">
      <w:numFmt w:val="decimal"/>
      <w:lvlText w:val=""/>
      <w:lvlJc w:val="left"/>
    </w:lvl>
    <w:lvl w:ilvl="3" w:tplc="F8C09FDE">
      <w:numFmt w:val="decimal"/>
      <w:lvlText w:val=""/>
      <w:lvlJc w:val="left"/>
    </w:lvl>
    <w:lvl w:ilvl="4" w:tplc="B8D8CBF2">
      <w:numFmt w:val="decimal"/>
      <w:lvlText w:val=""/>
      <w:lvlJc w:val="left"/>
    </w:lvl>
    <w:lvl w:ilvl="5" w:tplc="BA48FC0C">
      <w:numFmt w:val="decimal"/>
      <w:lvlText w:val=""/>
      <w:lvlJc w:val="left"/>
    </w:lvl>
    <w:lvl w:ilvl="6" w:tplc="0E286A4A">
      <w:numFmt w:val="decimal"/>
      <w:lvlText w:val=""/>
      <w:lvlJc w:val="left"/>
    </w:lvl>
    <w:lvl w:ilvl="7" w:tplc="1C483712">
      <w:numFmt w:val="decimal"/>
      <w:lvlText w:val=""/>
      <w:lvlJc w:val="left"/>
    </w:lvl>
    <w:lvl w:ilvl="8" w:tplc="301E675A">
      <w:numFmt w:val="decimal"/>
      <w:lvlText w:val=""/>
      <w:lvlJc w:val="left"/>
    </w:lvl>
  </w:abstractNum>
  <w:abstractNum w:abstractNumId="1" w15:restartNumberingAfterBreak="0">
    <w:nsid w:val="61DD2114"/>
    <w:multiLevelType w:val="hybridMultilevel"/>
    <w:tmpl w:val="E17E59E6"/>
    <w:lvl w:ilvl="0" w:tplc="2F1C8BDA">
      <w:start w:val="1"/>
      <w:numFmt w:val="bullet"/>
      <w:lvlText w:val="●"/>
      <w:lvlJc w:val="left"/>
      <w:pPr>
        <w:ind w:left="720" w:hanging="360"/>
      </w:pPr>
    </w:lvl>
    <w:lvl w:ilvl="1" w:tplc="C60EA790">
      <w:start w:val="1"/>
      <w:numFmt w:val="bullet"/>
      <w:lvlText w:val="○"/>
      <w:lvlJc w:val="left"/>
      <w:pPr>
        <w:ind w:left="1440" w:hanging="360"/>
      </w:pPr>
    </w:lvl>
    <w:lvl w:ilvl="2" w:tplc="B8FC3692">
      <w:start w:val="1"/>
      <w:numFmt w:val="bullet"/>
      <w:lvlText w:val="■"/>
      <w:lvlJc w:val="left"/>
      <w:pPr>
        <w:ind w:left="2160" w:hanging="360"/>
      </w:pPr>
    </w:lvl>
    <w:lvl w:ilvl="3" w:tplc="EB884B6A">
      <w:start w:val="1"/>
      <w:numFmt w:val="bullet"/>
      <w:lvlText w:val="●"/>
      <w:lvlJc w:val="left"/>
      <w:pPr>
        <w:ind w:left="2880" w:hanging="360"/>
      </w:pPr>
    </w:lvl>
    <w:lvl w:ilvl="4" w:tplc="8398FE46">
      <w:start w:val="1"/>
      <w:numFmt w:val="bullet"/>
      <w:lvlText w:val="○"/>
      <w:lvlJc w:val="left"/>
      <w:pPr>
        <w:ind w:left="3600" w:hanging="360"/>
      </w:pPr>
    </w:lvl>
    <w:lvl w:ilvl="5" w:tplc="896C7B12">
      <w:start w:val="1"/>
      <w:numFmt w:val="bullet"/>
      <w:lvlText w:val="■"/>
      <w:lvlJc w:val="left"/>
      <w:pPr>
        <w:ind w:left="4320" w:hanging="360"/>
      </w:pPr>
    </w:lvl>
    <w:lvl w:ilvl="6" w:tplc="F10615F2">
      <w:start w:val="1"/>
      <w:numFmt w:val="bullet"/>
      <w:lvlText w:val="●"/>
      <w:lvlJc w:val="left"/>
      <w:pPr>
        <w:ind w:left="5040" w:hanging="360"/>
      </w:pPr>
    </w:lvl>
    <w:lvl w:ilvl="7" w:tplc="626EA358">
      <w:start w:val="1"/>
      <w:numFmt w:val="bullet"/>
      <w:lvlText w:val="●"/>
      <w:lvlJc w:val="left"/>
      <w:pPr>
        <w:ind w:left="5760" w:hanging="360"/>
      </w:pPr>
    </w:lvl>
    <w:lvl w:ilvl="8" w:tplc="DC72AA02">
      <w:start w:val="1"/>
      <w:numFmt w:val="bullet"/>
      <w:lvlText w:val="●"/>
      <w:lvlJc w:val="left"/>
      <w:pPr>
        <w:ind w:left="6480" w:hanging="360"/>
      </w:pPr>
    </w:lvl>
  </w:abstractNum>
  <w:abstractNum w:abstractNumId="2" w15:restartNumberingAfterBreak="0">
    <w:nsid w:val="6FBF2FBD"/>
    <w:multiLevelType w:val="hybridMultilevel"/>
    <w:tmpl w:val="5DC836B6"/>
    <w:lvl w:ilvl="0" w:tplc="2BDE41AE">
      <w:start w:val="1"/>
      <w:numFmt w:val="bullet"/>
      <w:lvlText w:val="•"/>
      <w:lvlJc w:val="left"/>
      <w:pPr>
        <w:ind w:left="720" w:hanging="360"/>
      </w:pPr>
    </w:lvl>
    <w:lvl w:ilvl="1" w:tplc="41B088FA">
      <w:numFmt w:val="decimal"/>
      <w:lvlText w:val=""/>
      <w:lvlJc w:val="left"/>
    </w:lvl>
    <w:lvl w:ilvl="2" w:tplc="49BC025A">
      <w:numFmt w:val="decimal"/>
      <w:lvlText w:val=""/>
      <w:lvlJc w:val="left"/>
    </w:lvl>
    <w:lvl w:ilvl="3" w:tplc="8222DAD6">
      <w:numFmt w:val="decimal"/>
      <w:lvlText w:val=""/>
      <w:lvlJc w:val="left"/>
    </w:lvl>
    <w:lvl w:ilvl="4" w:tplc="05304DD2">
      <w:numFmt w:val="decimal"/>
      <w:lvlText w:val=""/>
      <w:lvlJc w:val="left"/>
    </w:lvl>
    <w:lvl w:ilvl="5" w:tplc="D9C28690">
      <w:numFmt w:val="decimal"/>
      <w:lvlText w:val=""/>
      <w:lvlJc w:val="left"/>
    </w:lvl>
    <w:lvl w:ilvl="6" w:tplc="C326028A">
      <w:numFmt w:val="decimal"/>
      <w:lvlText w:val=""/>
      <w:lvlJc w:val="left"/>
    </w:lvl>
    <w:lvl w:ilvl="7" w:tplc="AF20DB06">
      <w:numFmt w:val="decimal"/>
      <w:lvlText w:val=""/>
      <w:lvlJc w:val="left"/>
    </w:lvl>
    <w:lvl w:ilvl="8" w:tplc="05C6D8B4">
      <w:numFmt w:val="decimal"/>
      <w:lvlText w:val=""/>
      <w:lvlJc w:val="left"/>
    </w:lvl>
  </w:abstractNum>
  <w:num w:numId="1" w16cid:durableId="1909458528">
    <w:abstractNumId w:val="1"/>
    <w:lvlOverride w:ilvl="0">
      <w:startOverride w:val="1"/>
    </w:lvlOverride>
  </w:num>
  <w:num w:numId="2" w16cid:durableId="1160273126">
    <w:abstractNumId w:val="2"/>
    <w:lvlOverride w:ilvl="0">
      <w:startOverride w:val="1"/>
    </w:lvlOverride>
  </w:num>
  <w:num w:numId="3" w16cid:durableId="197455743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2703"/>
    <w:rsid w:val="000D7077"/>
    <w:rsid w:val="0035401F"/>
    <w:rsid w:val="00381030"/>
    <w:rsid w:val="00557440"/>
    <w:rsid w:val="00655E92"/>
    <w:rsid w:val="007A35C7"/>
    <w:rsid w:val="007C727C"/>
    <w:rsid w:val="00817B27"/>
    <w:rsid w:val="009B2703"/>
    <w:rsid w:val="00A63229"/>
    <w:rsid w:val="00BA1B2E"/>
    <w:rsid w:val="00BB03C2"/>
    <w:rsid w:val="00BC33E3"/>
    <w:rsid w:val="00D0783C"/>
    <w:rsid w:val="00DD54C4"/>
    <w:rsid w:val="00E208B4"/>
    <w:rsid w:val="00FA22E2"/>
    <w:rsid w:val="00FF3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D8F43"/>
  <w15:docId w15:val="{BF72207C-AA58-4BDA-8F7B-93CAA2912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480" w:after="240" w:line="360" w:lineRule="auto"/>
      <w:outlineLvl w:val="0"/>
    </w:pPr>
    <w:rPr>
      <w:b/>
      <w:bCs/>
      <w:sz w:val="32"/>
      <w:szCs w:val="32"/>
    </w:rPr>
  </w:style>
  <w:style w:type="paragraph" w:styleId="Heading2">
    <w:name w:val="heading 2"/>
    <w:uiPriority w:val="9"/>
    <w:unhideWhenUsed/>
    <w:qFormat/>
    <w:pPr>
      <w:spacing w:before="360" w:after="180" w:line="360" w:lineRule="auto"/>
      <w:outlineLvl w:val="1"/>
    </w:pPr>
    <w:rPr>
      <w:b/>
      <w:bCs/>
      <w:sz w:val="28"/>
      <w:szCs w:val="28"/>
    </w:rPr>
  </w:style>
  <w:style w:type="paragraph" w:styleId="Heading3">
    <w:name w:val="heading 3"/>
    <w:uiPriority w:val="9"/>
    <w:unhideWhenUsed/>
    <w:qFormat/>
    <w:pPr>
      <w:spacing w:before="240" w:after="120" w:line="360" w:lineRule="auto"/>
      <w:outlineLvl w:val="2"/>
    </w:pPr>
    <w:rPr>
      <w:b/>
      <w:bCs/>
      <w:i/>
      <w:iCs/>
      <w:sz w:val="26"/>
      <w:szCs w:val="26"/>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817B27"/>
    <w:pPr>
      <w:spacing w:after="100"/>
    </w:pPr>
  </w:style>
  <w:style w:type="paragraph" w:styleId="TOC2">
    <w:name w:val="toc 2"/>
    <w:basedOn w:val="Normal"/>
    <w:next w:val="Normal"/>
    <w:autoRedefine/>
    <w:uiPriority w:val="39"/>
    <w:unhideWhenUsed/>
    <w:rsid w:val="00817B27"/>
    <w:pPr>
      <w:spacing w:after="100"/>
      <w:ind w:left="240"/>
    </w:pPr>
  </w:style>
  <w:style w:type="paragraph" w:styleId="TOC3">
    <w:name w:val="toc 3"/>
    <w:basedOn w:val="Normal"/>
    <w:next w:val="Normal"/>
    <w:autoRedefine/>
    <w:uiPriority w:val="39"/>
    <w:unhideWhenUsed/>
    <w:rsid w:val="00817B27"/>
    <w:pPr>
      <w:spacing w:after="100"/>
      <w:ind w:left="480"/>
    </w:pPr>
  </w:style>
  <w:style w:type="paragraph" w:styleId="TOCHeading">
    <w:name w:val="TOC Heading"/>
    <w:basedOn w:val="Heading1"/>
    <w:next w:val="Normal"/>
    <w:uiPriority w:val="39"/>
    <w:unhideWhenUsed/>
    <w:qFormat/>
    <w:rsid w:val="00FA22E2"/>
    <w:pPr>
      <w:keepNext/>
      <w:keepLines/>
      <w:spacing w:before="240" w:after="0" w:line="259" w:lineRule="auto"/>
      <w:outlineLvl w:val="9"/>
    </w:pPr>
    <w:rPr>
      <w:rFonts w:asciiTheme="majorHAnsi" w:eastAsiaTheme="majorEastAsia" w:hAnsiTheme="majorHAnsi" w:cstheme="majorBidi"/>
      <w:b w:val="0"/>
      <w:bCs w:val="0"/>
      <w:color w:val="0F4761" w:themeColor="accent1" w:themeShade="BF"/>
      <w:lang w:val="en-US" w:eastAsia="en-US"/>
    </w:rPr>
  </w:style>
  <w:style w:type="character" w:customStyle="1" w:styleId="Heading4Char">
    <w:name w:val="Heading 4 Char"/>
    <w:basedOn w:val="DefaultParagraphFont"/>
    <w:link w:val="Heading4"/>
    <w:uiPriority w:val="9"/>
    <w:semiHidden/>
    <w:rsid w:val="00FF3F92"/>
    <w:rPr>
      <w:i/>
      <w:iCs/>
      <w:color w:val="2E74B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undefined"/><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undefined"/><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undefined"/><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undefined"/><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undefined"/><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undefined"/><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undefined"/><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B6F93-B18B-4831-AEEA-7A57C88EA1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2754</TotalTime>
  <Pages>56</Pages>
  <Words>8661</Words>
  <Characters>49368</Characters>
  <Application>Microsoft Office Word</Application>
  <DocSecurity>0</DocSecurity>
  <Lines>411</Lines>
  <Paragraphs>115</Paragraphs>
  <ScaleCrop>false</ScaleCrop>
  <Company/>
  <LinksUpToDate>false</LinksUpToDate>
  <CharactersWithSpaces>57914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Mobile Phone Housing - Design for Manufacture and Assembly</dc:title>
  <dc:creator>ACMA5002 Coursework</dc:creator>
  <dc:description>ACMA5002 Manufacturing Design and Technology Coursework</dc:description>
  <cp:lastModifiedBy>Kieran Allen</cp:lastModifiedBy>
  <cp:revision>2</cp:revision>
  <dcterms:created xsi:type="dcterms:W3CDTF">2026-06-14T12:28:00Z</dcterms:created>
  <dcterms:modified xsi:type="dcterms:W3CDTF">2026-06-14T12:28:00Z</dcterms:modified>
</cp:coreProperties>
</file>