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B12171" w14:textId="19989971" w:rsidR="00473149" w:rsidRDefault="004534CE">
      <w:pPr>
        <w:rPr>
          <w:rFonts w:ascii="Arial" w:hAnsi="Arial" w:cs="Arial"/>
          <w:sz w:val="24"/>
          <w:szCs w:val="24"/>
        </w:rPr>
      </w:pPr>
      <w:proofErr w:type="spellStart"/>
      <w:r>
        <w:rPr>
          <w:rFonts w:ascii="Arial" w:hAnsi="Arial" w:cs="Arial"/>
          <w:sz w:val="24"/>
          <w:szCs w:val="24"/>
        </w:rPr>
        <w:t>Justiner</w:t>
      </w:r>
      <w:proofErr w:type="spellEnd"/>
      <w:r>
        <w:rPr>
          <w:rFonts w:ascii="Arial" w:hAnsi="Arial" w:cs="Arial"/>
          <w:sz w:val="24"/>
          <w:szCs w:val="24"/>
        </w:rPr>
        <w:t xml:space="preserve"> </w:t>
      </w:r>
      <w:proofErr w:type="spellStart"/>
      <w:r>
        <w:rPr>
          <w:rFonts w:ascii="Arial" w:hAnsi="Arial" w:cs="Arial"/>
          <w:sz w:val="24"/>
          <w:szCs w:val="24"/>
        </w:rPr>
        <w:t>Demming</w:t>
      </w:r>
      <w:proofErr w:type="spellEnd"/>
    </w:p>
    <w:p w14:paraId="0E434637" w14:textId="6B3988B3" w:rsidR="004534CE" w:rsidRDefault="004534CE">
      <w:pPr>
        <w:rPr>
          <w:rFonts w:ascii="Arial" w:hAnsi="Arial" w:cs="Arial"/>
          <w:sz w:val="24"/>
          <w:szCs w:val="24"/>
        </w:rPr>
      </w:pPr>
      <w:r>
        <w:rPr>
          <w:rFonts w:ascii="Arial" w:hAnsi="Arial" w:cs="Arial"/>
          <w:sz w:val="24"/>
          <w:szCs w:val="24"/>
        </w:rPr>
        <w:t>1810908</w:t>
      </w:r>
    </w:p>
    <w:p w14:paraId="193E26C7" w14:textId="6CA99F1D" w:rsidR="004534CE" w:rsidRDefault="004534CE">
      <w:pPr>
        <w:rPr>
          <w:rFonts w:ascii="Arial" w:hAnsi="Arial" w:cs="Arial"/>
          <w:sz w:val="24"/>
          <w:szCs w:val="24"/>
        </w:rPr>
      </w:pPr>
      <w:proofErr w:type="spellStart"/>
      <w:r>
        <w:rPr>
          <w:rFonts w:ascii="Arial" w:hAnsi="Arial" w:cs="Arial"/>
          <w:sz w:val="24"/>
          <w:szCs w:val="24"/>
        </w:rPr>
        <w:t>Bmhp</w:t>
      </w:r>
      <w:proofErr w:type="spellEnd"/>
      <w:r>
        <w:rPr>
          <w:rFonts w:ascii="Arial" w:hAnsi="Arial" w:cs="Arial"/>
          <w:sz w:val="24"/>
          <w:szCs w:val="24"/>
        </w:rPr>
        <w:t xml:space="preserve"> 5005</w:t>
      </w:r>
    </w:p>
    <w:p w14:paraId="4249FDB1" w14:textId="48ECEDB4" w:rsidR="004534CE" w:rsidRDefault="004534CE">
      <w:pPr>
        <w:rPr>
          <w:rFonts w:ascii="Arial" w:hAnsi="Arial" w:cs="Arial"/>
          <w:sz w:val="24"/>
          <w:szCs w:val="24"/>
        </w:rPr>
      </w:pPr>
      <w:r>
        <w:rPr>
          <w:rFonts w:ascii="Arial" w:hAnsi="Arial" w:cs="Arial"/>
          <w:sz w:val="24"/>
          <w:szCs w:val="24"/>
        </w:rPr>
        <w:t>Dr Mark Gallagher Read</w:t>
      </w:r>
    </w:p>
    <w:p w14:paraId="4467F525" w14:textId="633475B7" w:rsidR="001C0A5E" w:rsidRDefault="001C0A5E">
      <w:pPr>
        <w:rPr>
          <w:rFonts w:ascii="Arial" w:hAnsi="Arial" w:cs="Arial"/>
          <w:sz w:val="24"/>
          <w:szCs w:val="24"/>
        </w:rPr>
      </w:pPr>
    </w:p>
    <w:p w14:paraId="6E94CF2F" w14:textId="5DDD38E1" w:rsidR="001C0A5E" w:rsidRDefault="001C0A5E">
      <w:pPr>
        <w:rPr>
          <w:rFonts w:ascii="Arial" w:hAnsi="Arial" w:cs="Arial"/>
          <w:sz w:val="24"/>
          <w:szCs w:val="24"/>
        </w:rPr>
      </w:pPr>
    </w:p>
    <w:p w14:paraId="0ADC04DB" w14:textId="35B2F55D" w:rsidR="001C0A5E" w:rsidRDefault="001C0A5E">
      <w:pPr>
        <w:rPr>
          <w:rFonts w:ascii="Arial" w:hAnsi="Arial" w:cs="Arial"/>
          <w:sz w:val="24"/>
          <w:szCs w:val="24"/>
        </w:rPr>
      </w:pPr>
    </w:p>
    <w:p w14:paraId="50CA5DA1" w14:textId="1E82462D" w:rsidR="001C0A5E" w:rsidRDefault="001C0A5E" w:rsidP="001C0A5E">
      <w:pPr>
        <w:rPr>
          <w:rFonts w:ascii="Arial" w:hAnsi="Arial" w:cs="Arial"/>
          <w:sz w:val="24"/>
          <w:szCs w:val="24"/>
        </w:rPr>
      </w:pPr>
      <w:r>
        <w:rPr>
          <w:rFonts w:ascii="Arial" w:hAnsi="Arial" w:cs="Arial"/>
          <w:sz w:val="24"/>
          <w:szCs w:val="24"/>
        </w:rPr>
        <w:t xml:space="preserve"> Is Complementary and Alternative Medicine regulated?</w:t>
      </w:r>
    </w:p>
    <w:p w14:paraId="06CAE42C" w14:textId="30A02BD3" w:rsidR="00C41A0C" w:rsidRDefault="00C41A0C" w:rsidP="001C0A5E">
      <w:pPr>
        <w:rPr>
          <w:rFonts w:ascii="Arial" w:hAnsi="Arial" w:cs="Arial"/>
          <w:sz w:val="24"/>
          <w:szCs w:val="24"/>
        </w:rPr>
      </w:pPr>
    </w:p>
    <w:p w14:paraId="15339E7C" w14:textId="77777777" w:rsidR="00C41A0C" w:rsidRPr="00C41A0C" w:rsidRDefault="00C41A0C" w:rsidP="00C41A0C">
      <w:pPr>
        <w:rPr>
          <w:rFonts w:ascii="Arial" w:hAnsi="Arial" w:cs="Arial"/>
          <w:b/>
          <w:i/>
          <w:sz w:val="24"/>
          <w:szCs w:val="24"/>
        </w:rPr>
      </w:pPr>
      <w:bookmarkStart w:id="0" w:name="_GoBack"/>
      <w:r w:rsidRPr="00C41A0C">
        <w:rPr>
          <w:rFonts w:ascii="Arial" w:hAnsi="Arial" w:cs="Arial"/>
          <w:b/>
          <w:i/>
          <w:sz w:val="24"/>
          <w:szCs w:val="24"/>
        </w:rPr>
        <w:t>Introduction</w:t>
      </w:r>
    </w:p>
    <w:p w14:paraId="7853BA5C"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Given the ambiguous idea of ​​different alternative therapies and the wide reach of different professionals, alternative medicine was a source of vigorous debate that went far beyond the meaning of "alternative medicine." Nutritional improvements, their repairs, safety and requirements are a constant source of discussion. Policy-related problems, such as standard medicine and alternative medicine, sometimes arise in cases where manufactured drugs are legal, but herbal sources with similar active commitments are limited. Concerns about the treatment substance are routinely due to the maintenance of basic medications such as fluoridation. Alternative medicine and traditional medicine issues will become disputes over rigid options, such as denial of their children's life judgment based on strict beliefs </w:t>
      </w:r>
      <w:r w:rsidRPr="00C41A0C">
        <w:rPr>
          <w:rFonts w:ascii="Arial" w:hAnsi="Arial" w:cs="Arial"/>
          <w:sz w:val="24"/>
          <w:szCs w:val="24"/>
          <w:lang w:val="en-GB"/>
        </w:rPr>
        <w:fldChar w:fldCharType="begin" w:fldLock="1"/>
      </w:r>
      <w:r w:rsidRPr="00C41A0C">
        <w:rPr>
          <w:rFonts w:ascii="Arial" w:hAnsi="Arial" w:cs="Arial"/>
          <w:sz w:val="24"/>
          <w:szCs w:val="24"/>
          <w:lang w:val="en-GB"/>
        </w:rPr>
        <w:instrText>ADDIN CSL_CITATION {"citationItems":[{"id":"ITEM-1","itemData":{"DOI":"10.1016/j.ctim.2015.04.005","ISSN":"18736963","abstract":"Background: Past studies have shown that U.S. Veterans are consumers of CAM. However, more than 75% of Veteran non-users report they would utilize these treatment options if made available. Thus, Veterans may not be fully aware of the CAM options currently available to them in the current U.S. VA health care system. Objectives: The current study tested the hypothesis that Veterans would report an increase in CAM utilization after completing a formal pain education program in a VA medical center. Design: The study used a quasi-experimental, one-group, pre/post-test design. Setting: Midwestern, U.S. VA Medical Center. Participants: The responses from 103 Veterans who elected to participate in the program and the assessment measures were included in the outcome analyses. Intervention: \"Pain Education School\" is a 12-week, educational program that is open to all Veterans and their families. It is a comprehensive program that introduces patients to 23 different disciplines at the VA Medical Center that deal with chronic, non-cancer pain. Main outcome measures: An adaptation of the Complementary and Alternative Medicine Questionnaire©, SECTION A: Use of Alternative Health Care Providers. Results: There was a significant difference found in overall utilization of CAM after completing the pain education program. The most utilized CAM modality was the chiropractor; the least utilized were hypnosis and aromatherapy. Conclusions: Not all health care systems or providers may have access to an education-focused, professionally driven program as an amenity. However, lessons can be learned from this study in terms of what pain providers may be able to accomplish in their practice.","author":[{"dropping-particle":"","family":"Cosio","given":"David","non-dropping-particle":"","parse-names":false,"suffix":""},{"dropping-particle":"","family":"Lin","given":"Erica H.","non-dropping-particle":"","parse-names":false,"suffix":""}],"container-title":"Complementary Therapies in Medicine","id":"ITEM-1","issued":{"date-parts":[["2015"]]},"title":"Effects of a pain education program in Complementary and Alternative Medicine treatment utilization at a VA medical center","type":"article-journal"},"uris":["http://www.mendeley.com/documents/?uuid=9238030f-7855-4a46-a80f-d59f74b64ddc","http://www.mendeley.com/documents/?uuid=75ad2da6-cc49-428d-8223-f81d61436dbc"]}],"mendeley":{"formattedCitation":"(Cosio and Lin, 2015)","plainTextFormattedCitation":"(Cosio and Lin, 2015)","previouslyFormattedCitation":"(Cosio and Lin, 2015)"},"properties":{"noteIndex":0},"schema":"https://github.com/citation-style-language/schema/raw/master/csl-citation.json"}</w:instrText>
      </w:r>
      <w:r w:rsidRPr="00C41A0C">
        <w:rPr>
          <w:rFonts w:ascii="Arial" w:hAnsi="Arial" w:cs="Arial"/>
          <w:sz w:val="24"/>
          <w:szCs w:val="24"/>
          <w:lang w:val="en-GB"/>
        </w:rPr>
        <w:fldChar w:fldCharType="separate"/>
      </w:r>
      <w:r w:rsidRPr="00C41A0C">
        <w:rPr>
          <w:rFonts w:ascii="Arial" w:hAnsi="Arial" w:cs="Arial"/>
          <w:sz w:val="24"/>
          <w:szCs w:val="24"/>
          <w:lang w:val="en-GB"/>
        </w:rPr>
        <w:t>(</w:t>
      </w:r>
      <w:proofErr w:type="spellStart"/>
      <w:r w:rsidRPr="00C41A0C">
        <w:rPr>
          <w:rFonts w:ascii="Arial" w:hAnsi="Arial" w:cs="Arial"/>
          <w:sz w:val="24"/>
          <w:szCs w:val="24"/>
          <w:lang w:val="en-GB"/>
        </w:rPr>
        <w:t>Cosio</w:t>
      </w:r>
      <w:proofErr w:type="spellEnd"/>
      <w:r w:rsidRPr="00C41A0C">
        <w:rPr>
          <w:rFonts w:ascii="Arial" w:hAnsi="Arial" w:cs="Arial"/>
          <w:sz w:val="24"/>
          <w:szCs w:val="24"/>
          <w:lang w:val="en-GB"/>
        </w:rPr>
        <w:t xml:space="preserve"> and Lin, 2015)</w:t>
      </w:r>
      <w:r w:rsidRPr="00C41A0C">
        <w:rPr>
          <w:rFonts w:ascii="Arial" w:hAnsi="Arial" w:cs="Arial"/>
          <w:sz w:val="24"/>
          <w:szCs w:val="24"/>
        </w:rPr>
        <w:fldChar w:fldCharType="end"/>
      </w:r>
      <w:r w:rsidRPr="00C41A0C">
        <w:rPr>
          <w:rFonts w:ascii="Arial" w:hAnsi="Arial" w:cs="Arial"/>
          <w:sz w:val="24"/>
          <w:szCs w:val="24"/>
          <w:lang w:val="en-GB"/>
        </w:rPr>
        <w:t xml:space="preserve">. Over the last two decades, complementary and holistic medicine have been used more commonly but those in the UK have been largely unaccounted for. </w:t>
      </w:r>
    </w:p>
    <w:p w14:paraId="3F2147EB"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The statute has scarcely limited the common law privilege of the United Kingdom to choose the care for disease itself. Therefore, it is legal that professionals are not licensed physicians and do not practice sponsored practices, e.g. B. dentistry, comic and veterinary medicine, or prescription drugs to gracefully present to a variety of health professionals. In many countries of the European Union and the United States, many health practices are not permitted without state approval </w:t>
      </w:r>
      <w:r w:rsidRPr="00C41A0C">
        <w:rPr>
          <w:rFonts w:ascii="Arial" w:hAnsi="Arial" w:cs="Arial"/>
          <w:sz w:val="24"/>
          <w:szCs w:val="24"/>
          <w:lang w:val="en-GB"/>
        </w:rPr>
        <w:fldChar w:fldCharType="begin" w:fldLock="1"/>
      </w:r>
      <w:r w:rsidRPr="00C41A0C">
        <w:rPr>
          <w:rFonts w:ascii="Arial" w:hAnsi="Arial" w:cs="Arial"/>
          <w:sz w:val="24"/>
          <w:szCs w:val="24"/>
          <w:lang w:val="en-GB"/>
        </w:rPr>
        <w:instrText>ADDIN CSL_CITATION {"citationItems":[{"id":"ITEM-1","itemData":{"DOI":"10.1016/j.ctim.2019.06.016","ISSN":"18736963","abstract":"Background: An increasing number of people in the Republic of Georgia use complementary and alternative medicine (CAM). CAM has long been practiced in the country, but is not currently part of the formal medical system. The aim of this study was to explore patients’ CAM use and their perspectives of CAM complementation of existing services in Georgia's health care system. Methodology: We conducted a qualitative study exploring patient needs and wants by performing in-depth, contextual interviews with patients using CAM. We recruited participants at CAM clinics and collected data until we reached saturation. A thematic analysis involving line by line coding explored perspectives and allowed us to formulate recommendations of CAM integration in Georgia. Results: Study participants voiced that they pursued cure beyond symptom relief; their disappointment in that regard with conventional medicine in Georgia directed them towards CAM as a safe and effective care setting. Most sought natural approaches as a sustained approach to their health and perceived CAM as empathetic therapeutic and preventive space. Participants were in favor of integration of CAM with conventional health services through government support and regulation. They saw coverage of payments for CAM visits and treatments as important aspect for an effective and sustainable integration. Conclusion: Patients favor an integration of CAM into Georgia's current healthcare systems to ensure CAM's broad availability as well as effective regulation and financing, including coverage by health insurance.","author":[{"dropping-particle":"","family":"Nadareishvili","given":"Ilia","non-dropping-particle":"","parse-names":false,"suffix":""},{"dropping-particle":"","family":"Pkhakadze","given":"Giorgi","non-dropping-particle":"","parse-names":false,"suffix":""},{"dropping-particle":"","family":"Tskitishvili","given":"Aleksandre","non-dropping-particle":"","parse-names":false,"suffix":""},{"dropping-particle":"","family":"Bakuradze","given":"Nata","non-dropping-particle":"","parse-names":false,"suffix":""},{"dropping-particle":"","family":"Lunze","given":"Karsten","non-dropping-particle":"","parse-names":false,"suffix":""}],"container-title":"Complementary Therapies in Medicine","id":"ITEM-1","issued":{"date-parts":[["2019"]]},"title":"Georgia's healthcare system and integration of complementary medicine","type":"article-journal"},"uris":["http://www.mendeley.com/documents/?uuid=468a6e10-31cd-41b6-9df1-0270c83d03f1","http://www.mendeley.com/documents/?uuid=f84cf1a5-1ff4-45dc-b052-a28e3f782234"]}],"mendeley":{"formattedCitation":"(Nadareishvili et al., 2019)","plainTextFormattedCitation":"(Nadareishvili et al., 2019)","previouslyFormattedCitation":"(Nadareishvili et al., 2019)"},"properties":{"noteIndex":0},"schema":"https://github.com/citation-style-language/schema/raw/master/csl-citation.json"}</w:instrText>
      </w:r>
      <w:r w:rsidRPr="00C41A0C">
        <w:rPr>
          <w:rFonts w:ascii="Arial" w:hAnsi="Arial" w:cs="Arial"/>
          <w:sz w:val="24"/>
          <w:szCs w:val="24"/>
          <w:lang w:val="en-GB"/>
        </w:rPr>
        <w:fldChar w:fldCharType="separate"/>
      </w:r>
      <w:r w:rsidRPr="00C41A0C">
        <w:rPr>
          <w:rFonts w:ascii="Arial" w:hAnsi="Arial" w:cs="Arial"/>
          <w:sz w:val="24"/>
          <w:szCs w:val="24"/>
          <w:lang w:val="en-GB"/>
        </w:rPr>
        <w:t>(</w:t>
      </w:r>
      <w:proofErr w:type="spellStart"/>
      <w:r w:rsidRPr="00C41A0C">
        <w:rPr>
          <w:rFonts w:ascii="Arial" w:hAnsi="Arial" w:cs="Arial"/>
          <w:sz w:val="24"/>
          <w:szCs w:val="24"/>
          <w:lang w:val="en-GB"/>
        </w:rPr>
        <w:t>Nadareishvili</w:t>
      </w:r>
      <w:proofErr w:type="spellEnd"/>
      <w:r w:rsidRPr="00C41A0C">
        <w:rPr>
          <w:rFonts w:ascii="Arial" w:hAnsi="Arial" w:cs="Arial"/>
          <w:sz w:val="24"/>
          <w:szCs w:val="24"/>
          <w:lang w:val="en-GB"/>
        </w:rPr>
        <w:t xml:space="preserve"> et al., 2019)</w:t>
      </w:r>
      <w:r w:rsidRPr="00C41A0C">
        <w:rPr>
          <w:rFonts w:ascii="Arial" w:hAnsi="Arial" w:cs="Arial"/>
          <w:sz w:val="24"/>
          <w:szCs w:val="24"/>
        </w:rPr>
        <w:fldChar w:fldCharType="end"/>
      </w:r>
      <w:r w:rsidRPr="00C41A0C">
        <w:rPr>
          <w:rFonts w:ascii="Arial" w:hAnsi="Arial" w:cs="Arial"/>
          <w:sz w:val="24"/>
          <w:szCs w:val="24"/>
          <w:lang w:val="en-GB"/>
        </w:rPr>
        <w:t>. By practicing without medical training, acupuncturists, herbalists, osteopathic and naturopathic practitioners have been charged and the procedure illegality of much additional practice meant it was practiced informally and discretely and less likely established by qualified organizations. Consequently, practicing in non-legal contexts and without identifiable educational credentials, medical standards or insurance has often met the demand for alternative health care in the developing world. The essay is thus aimed to comprehensively discuss the systems utilized for the regulation of the use of complementary therapies nowadays.</w:t>
      </w:r>
    </w:p>
    <w:p w14:paraId="7AD0DCCE" w14:textId="77777777" w:rsidR="00C41A0C" w:rsidRPr="00C41A0C" w:rsidRDefault="00C41A0C" w:rsidP="00C41A0C">
      <w:pPr>
        <w:rPr>
          <w:rFonts w:ascii="Arial" w:hAnsi="Arial" w:cs="Arial"/>
          <w:sz w:val="24"/>
          <w:szCs w:val="24"/>
          <w:lang w:val="en-GB"/>
        </w:rPr>
      </w:pPr>
    </w:p>
    <w:p w14:paraId="39B3D441" w14:textId="77777777" w:rsidR="00C41A0C" w:rsidRPr="00C41A0C" w:rsidRDefault="00C41A0C" w:rsidP="00C41A0C">
      <w:pPr>
        <w:rPr>
          <w:rFonts w:ascii="Arial" w:hAnsi="Arial" w:cs="Arial"/>
          <w:b/>
          <w:i/>
          <w:sz w:val="24"/>
          <w:szCs w:val="24"/>
        </w:rPr>
      </w:pPr>
      <w:r w:rsidRPr="00C41A0C">
        <w:rPr>
          <w:rFonts w:ascii="Arial" w:hAnsi="Arial" w:cs="Arial"/>
          <w:b/>
          <w:i/>
          <w:sz w:val="24"/>
          <w:szCs w:val="24"/>
        </w:rPr>
        <w:t>Complementary and Alternative Medicine (CAM)</w:t>
      </w:r>
    </w:p>
    <w:p w14:paraId="42E2A08C" w14:textId="77777777" w:rsidR="00C41A0C" w:rsidRPr="00C41A0C" w:rsidRDefault="00C41A0C" w:rsidP="00C41A0C">
      <w:pPr>
        <w:rPr>
          <w:rFonts w:ascii="Arial" w:hAnsi="Arial" w:cs="Arial"/>
          <w:sz w:val="24"/>
          <w:szCs w:val="24"/>
        </w:rPr>
      </w:pPr>
      <w:r w:rsidRPr="00C41A0C">
        <w:rPr>
          <w:rFonts w:ascii="Arial" w:hAnsi="Arial" w:cs="Arial"/>
          <w:sz w:val="24"/>
          <w:szCs w:val="24"/>
        </w:rPr>
        <w:t xml:space="preserve">The terms "complementary" and "alternative medicine" are used in some countries, independently of traditional medicine, to refer to the wide range of existing health practices that are not part of a country's norm and are excluded from the health framework standard. Complementary therapies, such as Complementary and Alternative Medicine (CAM), are gradually being used and have been steadily expanding in the UK for ten to fifteen years. Even more accurate information entering the UK showed that the use of CAM and complementary therapies is growing rapidly with some 15 million clients across the country </w:t>
      </w:r>
      <w:r w:rsidRPr="00C41A0C">
        <w:rPr>
          <w:rFonts w:ascii="Arial" w:hAnsi="Arial" w:cs="Arial"/>
          <w:sz w:val="24"/>
          <w:szCs w:val="24"/>
        </w:rPr>
        <w:fldChar w:fldCharType="begin" w:fldLock="1"/>
      </w:r>
      <w:r w:rsidRPr="00C41A0C">
        <w:rPr>
          <w:rFonts w:ascii="Arial" w:hAnsi="Arial" w:cs="Arial"/>
          <w:sz w:val="24"/>
          <w:szCs w:val="24"/>
        </w:rPr>
        <w:instrText>ADDIN CSL_CITATION {"citationItems":[{"id":"ITEM-1","itemData":{"DOI":"10.1016/j.ctim.2013.01.008","ISSN":"09652299","PMID":"23642957","abstract":"This paper reviews the philosophical origins, current scientific evidence, and clinical promise of yoga and mindfulness as complementary therapies for addiction. Historically, there are eight elements of yoga that, together, comprise ethical principles and practices for living a meaningful, purposeful, moral and self-disciplined life. Traditional yoga practices, including postures and meditation, direct attention toward one's health, while acknowledging the spiritual aspects of one's nature. Mindfulness derives from ancient Buddhist philosophy, and mindfulness meditation practices, such as gentle Hatha yoga and mindful breathing, are increasingly integrated into secular health care settings. Current theoretical models suggest that the skills, insights, and self-awareness learned through yoga and mindfulness practice can target multiple psychological, neural, physiological, and behavioral processes implicated in addiction and relapse. A small but growing number of well-designed clinical trials and experimental laboratory studies on smoking, alcohol dependence, and illicit substance use support the clinical effectiveness and hypothesized mechanisms of action underlying mindfulness-based interventions for treating addiction. Because very few studies have been conducted on the specific role of yoga in treating or preventing addiction, we propose a conceptual model to inform future studies on outcomes and possible mechanisms. Additional research is also needed to better understand what types of yoga and mindfulness-based interventions work best for what types of addiction, what types of patients, and under what conditions. Overall, current findings increasingly support yoga and mindfulness as promising complementary therapies for treating and preventing addictive behaviors. © 2013 Elsevier Ltd.","author":[{"dropping-particle":"","family":"Khanna","given":"Surbhi","non-dropping-particle":"","parse-names":false,"suffix":""},{"dropping-particle":"","family":"Greeson","given":"Jeffrey M.","non-dropping-particle":"","parse-names":false,"suffix":""}],"container-title":"Complementary Therapies in Medicine","id":"ITEM-1","issued":{"date-parts":[["2013"]]},"title":"A narrative review of yoga and mindfulness as complementary therapies for addiction","type":"article"},"uris":["http://www.mendeley.com/documents/?uuid=55ad55ad-da79-40a4-8ab5-5193d0e8cb9c","http://www.mendeley.com/documents/?uuid=3a286e27-2743-4ef5-a5c2-133f40162bad"]}],"mendeley":{"formattedCitation":"(Khanna and Greeson, 2013)","plainTextFormattedCitation":"(Khanna and Greeson, 2013)","previouslyFormattedCitation":"(Khanna and Greeson, 2013)"},"properties":{"noteIndex":0},"schema":"https://github.com/citation-style-language/schema/raw/master/csl-citation.json"}</w:instrText>
      </w:r>
      <w:r w:rsidRPr="00C41A0C">
        <w:rPr>
          <w:rFonts w:ascii="Arial" w:hAnsi="Arial" w:cs="Arial"/>
          <w:sz w:val="24"/>
          <w:szCs w:val="24"/>
        </w:rPr>
        <w:fldChar w:fldCharType="separate"/>
      </w:r>
      <w:r w:rsidRPr="00C41A0C">
        <w:rPr>
          <w:rFonts w:ascii="Arial" w:hAnsi="Arial" w:cs="Arial"/>
          <w:sz w:val="24"/>
          <w:szCs w:val="24"/>
        </w:rPr>
        <w:t>(Khanna and Greeson, 2013)</w:t>
      </w:r>
      <w:r w:rsidRPr="00C41A0C">
        <w:rPr>
          <w:rFonts w:ascii="Arial" w:hAnsi="Arial" w:cs="Arial"/>
          <w:sz w:val="24"/>
          <w:szCs w:val="24"/>
        </w:rPr>
        <w:fldChar w:fldCharType="end"/>
      </w:r>
      <w:r w:rsidRPr="00C41A0C">
        <w:rPr>
          <w:rFonts w:ascii="Arial" w:hAnsi="Arial" w:cs="Arial"/>
          <w:sz w:val="24"/>
          <w:szCs w:val="24"/>
        </w:rPr>
        <w:t xml:space="preserve">. The UK unit is projected to rapidly expand by £ 1.6 billion per industry each year, with approximately 60,000 professionals, more than 170 expert associations and approximately 5 million patients </w:t>
      </w:r>
      <w:r w:rsidRPr="00C41A0C">
        <w:rPr>
          <w:rFonts w:ascii="Arial" w:hAnsi="Arial" w:cs="Arial"/>
          <w:sz w:val="24"/>
          <w:szCs w:val="24"/>
        </w:rPr>
        <w:fldChar w:fldCharType="begin" w:fldLock="1"/>
      </w:r>
      <w:r w:rsidRPr="00C41A0C">
        <w:rPr>
          <w:rFonts w:ascii="Arial" w:hAnsi="Arial" w:cs="Arial"/>
          <w:sz w:val="24"/>
          <w:szCs w:val="24"/>
        </w:rPr>
        <w:instrText>ADDIN CSL_CITATION {"citationItems":[{"id":"ITEM-1","itemData":{"DOI":"10.1097/MIB.0000000000000761","ISSN":"15364844","PMID":"27057686","abstract":"Inflammatory bowel disease is a complex, chronic, multifactorial inflammatory disorder of the digestive tract. Standard therapies include immunosuppressive and biological treatments, but there is increasing interest in the potential benefit of complementary and alternative medicine for the treatment of inflammatory bowel disease. Given the high prevalence of use of complementary and alternative medicine among inflammatory bowel disease patients, gastroenterologists must remain knowledgeable regarding the risks and benefits of these treatment options. This article reviews the updated scientific data on the use of biologically based complementary and alternative therapies for the treatment of inflammatory bowel disease.","author":[{"dropping-particle":"","family":"Quezada","given":"Sandra M.","non-dropping-particle":"","parse-names":false,"suffix":""},{"dropping-particle":"","family":"Briscoe","given":"Jessica","non-dropping-particle":"","parse-names":false,"suffix":""},{"dropping-particle":"","family":"Cross","given":"Raymond K.","non-dropping-particle":"","parse-names":false,"suffix":""}],"container-title":"Inflammatory Bowel Diseases","id":"ITEM-1","issued":{"date-parts":[["2016"]]},"title":"Complementary and alternative medicine","type":"article"},"uris":["http://www.mendeley.com/documents/?uuid=9302498d-9733-4ccd-bedf-128b3023606c","http://www.mendeley.com/documents/?uuid=75dff387-509f-4bd2-a9eb-49316c6d5a73"]}],"mendeley":{"formattedCitation":"(Quezada et al., 2016)","plainTextFormattedCitation":"(Quezada et al., 2016)","previouslyFormattedCitation":"(Quezada et al., 2016)"},"properties":{"noteIndex":0},"schema":"https://github.com/citation-style-language/schema/raw/master/csl-citation.json"}</w:instrText>
      </w:r>
      <w:r w:rsidRPr="00C41A0C">
        <w:rPr>
          <w:rFonts w:ascii="Arial" w:hAnsi="Arial" w:cs="Arial"/>
          <w:sz w:val="24"/>
          <w:szCs w:val="24"/>
        </w:rPr>
        <w:fldChar w:fldCharType="separate"/>
      </w:r>
      <w:r w:rsidRPr="00C41A0C">
        <w:rPr>
          <w:rFonts w:ascii="Arial" w:hAnsi="Arial" w:cs="Arial"/>
          <w:sz w:val="24"/>
          <w:szCs w:val="24"/>
        </w:rPr>
        <w:t>(Quezada et al., 2016)</w:t>
      </w:r>
      <w:r w:rsidRPr="00C41A0C">
        <w:rPr>
          <w:rFonts w:ascii="Arial" w:hAnsi="Arial" w:cs="Arial"/>
          <w:sz w:val="24"/>
          <w:szCs w:val="24"/>
        </w:rPr>
        <w:fldChar w:fldCharType="end"/>
      </w:r>
      <w:r w:rsidRPr="00C41A0C">
        <w:rPr>
          <w:rFonts w:ascii="Arial" w:hAnsi="Arial" w:cs="Arial"/>
          <w:sz w:val="24"/>
          <w:szCs w:val="24"/>
        </w:rPr>
        <w:t>. The use of complementary therapies and CAM is for components of open infections, e.g. undesirable development, cystic fibrosis and asthma, in clinical situations, Obstetric and pediatric oncology, and unlimited in international geographic lakes. The idea of ​​holism, which values ​​the connection between the body, the soul and the soul, as well as the recognition of social and social factors, is of great importance in complementary therapy and medicine. Different experts have proposed different definitions for complementary therapy and medicine. One of these definitions is a broad area of ​​restorative assets, encompassing the framework, methods, and practices of healthcare, as well as its assumptions and beliefs, distinct from the characteristics of the prevailing health regime of a specific culture or culture in a certain authentic period. Research on complementary therapies and clinical foundations to date has been based primarily on two things (Prasad et al., 2013). One is to exercise regularly in obvious parts of the activity, such as obvious herbal remedies, homeopathic medications, and essential oils, to assess your success and well-being. Different approaches focus on clear therapies and medications, for example medicinal herbs, homeopathy and aromatherapy, as stable or unreliable forms of uniform care.</w:t>
      </w:r>
    </w:p>
    <w:p w14:paraId="0B35FA06"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In the past two decades, the use of CAM and complementary therapies has steadily increased through routine exposure. This is predictable for unlimited use of healthcare, including the UK NHS. Be that as it may, in 1998 only 10% of the 22 million visits to additional experts in England were NHS contacts deviating from reasonable and equivalent access to these services (</w:t>
      </w:r>
      <w:proofErr w:type="spellStart"/>
      <w:r w:rsidRPr="00C41A0C">
        <w:rPr>
          <w:rFonts w:ascii="Arial" w:hAnsi="Arial" w:cs="Arial"/>
          <w:sz w:val="24"/>
          <w:szCs w:val="24"/>
          <w:lang w:val="en-GB"/>
        </w:rPr>
        <w:t>Kramlich</w:t>
      </w:r>
      <w:proofErr w:type="spellEnd"/>
      <w:r w:rsidRPr="00C41A0C">
        <w:rPr>
          <w:rFonts w:ascii="Arial" w:hAnsi="Arial" w:cs="Arial"/>
          <w:sz w:val="24"/>
          <w:szCs w:val="24"/>
          <w:lang w:val="en-GB"/>
        </w:rPr>
        <w:t>, 2014). Sick patients are some of the UK's top clients for complementary care, with up to 33% of patients receiving complementary care in any case. Due to the ideal development, the UK government approved a report by the House of Lords Committee for Complementary Therapies. To achieve a clearer and better understanding of complementary therapies, the report was an important prerequisite at a time of massive and incomplete studies of complementary therapies and the use of CAM. Furthermore, the Prince of Wales Integrated Health Foundation (FIH) believes that optimal complementary treatment with routine clinical care is required (</w:t>
      </w:r>
      <w:proofErr w:type="spellStart"/>
      <w:r w:rsidRPr="00C41A0C">
        <w:rPr>
          <w:rFonts w:ascii="Arial" w:hAnsi="Arial" w:cs="Arial"/>
          <w:sz w:val="24"/>
          <w:szCs w:val="24"/>
          <w:lang w:val="en-GB"/>
        </w:rPr>
        <w:t>Deligiannidis</w:t>
      </w:r>
      <w:proofErr w:type="spellEnd"/>
      <w:r w:rsidRPr="00C41A0C">
        <w:rPr>
          <w:rFonts w:ascii="Arial" w:hAnsi="Arial" w:cs="Arial"/>
          <w:sz w:val="24"/>
          <w:szCs w:val="24"/>
          <w:lang w:val="en-GB"/>
        </w:rPr>
        <w:t xml:space="preserve"> and Freeman, 2014). To promote the ideal idea of ​​complementary treatment, the FIH has formulated national standards for its application in the region of protected and fair considerations. Together, the guidelines are used to implement complementary jurisdictional service executives and managers in a </w:t>
      </w:r>
      <w:proofErr w:type="gramStart"/>
      <w:r w:rsidRPr="00C41A0C">
        <w:rPr>
          <w:rFonts w:ascii="Arial" w:hAnsi="Arial" w:cs="Arial"/>
          <w:sz w:val="24"/>
          <w:szCs w:val="24"/>
          <w:lang w:val="en-GB"/>
        </w:rPr>
        <w:t>particular area</w:t>
      </w:r>
      <w:proofErr w:type="gramEnd"/>
      <w:r w:rsidRPr="00C41A0C">
        <w:rPr>
          <w:rFonts w:ascii="Arial" w:hAnsi="Arial" w:cs="Arial"/>
          <w:sz w:val="24"/>
          <w:szCs w:val="24"/>
          <w:lang w:val="en-GB"/>
        </w:rPr>
        <w:t>, to advance service progress, and to improve the practice and practice of the organization. The number of people using complementary treatment and CAM in C continues to develop. It is surprising that countless complementary therapies and CAM practitioners are not regulated in the UK and that the use of the entire application should protect the unique framework of society from talented practitioners. Currently, the primary care physician can essentially prescribe treatment to additional authorities, and the primary care physician is responsible for the given treatment and its symptoms. Two therapies that promote legitimate self-regulation are osteopathy and chiropractors (</w:t>
      </w:r>
      <w:proofErr w:type="spellStart"/>
      <w:r w:rsidRPr="00C41A0C">
        <w:rPr>
          <w:rFonts w:ascii="Arial" w:hAnsi="Arial" w:cs="Arial"/>
          <w:sz w:val="24"/>
          <w:szCs w:val="24"/>
          <w:lang w:val="en-GB"/>
        </w:rPr>
        <w:t>Deligiannidis</w:t>
      </w:r>
      <w:proofErr w:type="spellEnd"/>
      <w:r w:rsidRPr="00C41A0C">
        <w:rPr>
          <w:rFonts w:ascii="Arial" w:hAnsi="Arial" w:cs="Arial"/>
          <w:sz w:val="24"/>
          <w:szCs w:val="24"/>
          <w:lang w:val="en-GB"/>
        </w:rPr>
        <w:t xml:space="preserve"> and Freeman, 2014). </w:t>
      </w:r>
    </w:p>
    <w:p w14:paraId="30C55F85"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Aromatherapy was first unveiled in the UK in the 1960s and is one of the fastest developing complementary therapies. It is used by 2,500 to 6,000 experts around 1991 and 2000 (</w:t>
      </w:r>
      <w:proofErr w:type="spellStart"/>
      <w:r w:rsidRPr="00C41A0C">
        <w:rPr>
          <w:rFonts w:ascii="Arial" w:hAnsi="Arial" w:cs="Arial"/>
          <w:sz w:val="24"/>
          <w:szCs w:val="24"/>
          <w:lang w:val="en-GB"/>
        </w:rPr>
        <w:t>Raditic</w:t>
      </w:r>
      <w:proofErr w:type="spellEnd"/>
      <w:r w:rsidRPr="00C41A0C">
        <w:rPr>
          <w:rFonts w:ascii="Arial" w:hAnsi="Arial" w:cs="Arial"/>
          <w:sz w:val="24"/>
          <w:szCs w:val="24"/>
          <w:lang w:val="en-GB"/>
        </w:rPr>
        <w:t>, 2015)</w:t>
      </w:r>
      <w:proofErr w:type="gramStart"/>
      <w:r w:rsidRPr="00C41A0C">
        <w:rPr>
          <w:rFonts w:ascii="Arial" w:hAnsi="Arial" w:cs="Arial"/>
          <w:sz w:val="24"/>
          <w:szCs w:val="24"/>
          <w:lang w:val="en-GB"/>
        </w:rPr>
        <w:t>. .</w:t>
      </w:r>
      <w:proofErr w:type="gramEnd"/>
      <w:r w:rsidRPr="00C41A0C">
        <w:rPr>
          <w:rFonts w:ascii="Arial" w:hAnsi="Arial" w:cs="Arial"/>
          <w:sz w:val="24"/>
          <w:szCs w:val="24"/>
          <w:lang w:val="en-GB"/>
        </w:rPr>
        <w:t xml:space="preserve"> The Aromatherapy Organization Council (AOC) is a general body made up of representatives from 13 nations and has formed appropriate associations and cases that will be the governing body for the introduction of aromatherapy in the UK. AOC welcomed and confirmed the first report of a selected alert meeting, although no reports of legitimate aromatherapy requirements were identified. However, AOC will continue its strategy under the Public Health Act of 1999 to ensure open self-regulation of security management (Hamlin and Robertson, 2017).</w:t>
      </w:r>
    </w:p>
    <w:p w14:paraId="1EEE32A8"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Osteopathic and chiropractic calls long ago attempted to see this as a sign of standard medicine. In May 2000, the Osteopathy Law was passed and passed because non-individuals represent the General Osteopathic Council as osteopaths. On the other hand, the Chiropractic Law was enacted in June 2001 and its terms are the same as the Osteopathy Law, according to which those who have not joined the General Registry of the Chiropractic Council are considered a criminal offense </w:t>
      </w:r>
      <w:r w:rsidRPr="00C41A0C">
        <w:rPr>
          <w:rFonts w:ascii="Arial" w:hAnsi="Arial" w:cs="Arial"/>
          <w:sz w:val="24"/>
          <w:szCs w:val="24"/>
          <w:lang w:val="en-GB"/>
        </w:rPr>
        <w:fldChar w:fldCharType="begin" w:fldLock="1"/>
      </w:r>
      <w:r w:rsidRPr="00C41A0C">
        <w:rPr>
          <w:rFonts w:ascii="Arial" w:hAnsi="Arial" w:cs="Arial"/>
          <w:sz w:val="24"/>
          <w:szCs w:val="24"/>
          <w:lang w:val="en-GB"/>
        </w:rPr>
        <w:instrText>ADDIN CSL_CITATION {"citationItems":[{"id":"ITEM-1","itemData":{"DOI":"10.1080/13602004.2017.1384666","ISSN":"14699591","abstract":"This review considers the history of regulation of clinical disciplines and recent statutory approaches to complementary therapies such as osteopathy and chiropractic. It considers the role of professional organisations in promoting the need for regulation and the failure of those interested in hijama to achieve a consensus as to how best to regulate the profession and ensure that high standards are achieved and maintained. The issue of practitioner competence had been a significant factor in the regulation of both chiropractors and osteopaths. Hijama and acupuncture share a number of features and the treatment of acupuncture as a trade provides some pointers as to ways in which hijama may come to be regulated in the short term. Local council monitoring, visits by “enforcers” as well as reviews of advertisements by the Advertising Standards Authority are almost inevitable and will be precipitated by negligent practitioners. A failure by hijama practitioners to put their own house in order may lead to adverse legislation, especially if there are any serious untoward incidents. As a united approach is unlikely to materialise, the Australian negative licensing model is probably the best that can be hoped for with practitioners who contravene a general code of conduct based in statute losing the right to continue in practice.","author":[{"dropping-particle":"","family":"Mayberry","given":"John F.","non-dropping-particle":"","parse-names":false,"suffix":""}],"container-title":"Journal of Muslim Minority Affairs","id":"ITEM-1","issued":{"date-parts":[["2017"]]},"title":"Clinically applied Hijama therapy in the United Kingdom: The need for statutory regulations","type":"article"},"uris":["http://www.mendeley.com/documents/?uuid=c0050181-0e87-4c52-9fe4-9357c302f145","http://www.mendeley.com/documents/?uuid=44cb84ad-8a46-4844-b4b5-0e0e260a4bd4"]}],"mendeley":{"formattedCitation":"(Mayberry, 2017)","plainTextFormattedCitation":"(Mayberry, 2017)","previouslyFormattedCitation":"(Mayberry, 2017)"},"properties":{"noteIndex":0},"schema":"https://github.com/citation-style-language/schema/raw/master/csl-citation.json"}</w:instrText>
      </w:r>
      <w:r w:rsidRPr="00C41A0C">
        <w:rPr>
          <w:rFonts w:ascii="Arial" w:hAnsi="Arial" w:cs="Arial"/>
          <w:sz w:val="24"/>
          <w:szCs w:val="24"/>
          <w:lang w:val="en-GB"/>
        </w:rPr>
        <w:fldChar w:fldCharType="separate"/>
      </w:r>
      <w:r w:rsidRPr="00C41A0C">
        <w:rPr>
          <w:rFonts w:ascii="Arial" w:hAnsi="Arial" w:cs="Arial"/>
          <w:sz w:val="24"/>
          <w:szCs w:val="24"/>
          <w:lang w:val="en-GB"/>
        </w:rPr>
        <w:t>(Mayberry, 2017)</w:t>
      </w:r>
      <w:r w:rsidRPr="00C41A0C">
        <w:rPr>
          <w:rFonts w:ascii="Arial" w:hAnsi="Arial" w:cs="Arial"/>
          <w:sz w:val="24"/>
          <w:szCs w:val="24"/>
        </w:rPr>
        <w:fldChar w:fldCharType="end"/>
      </w:r>
      <w:r w:rsidRPr="00C41A0C">
        <w:rPr>
          <w:rFonts w:ascii="Arial" w:hAnsi="Arial" w:cs="Arial"/>
          <w:sz w:val="24"/>
          <w:szCs w:val="24"/>
          <w:lang w:val="en-GB"/>
        </w:rPr>
        <w:t>.</w:t>
      </w:r>
    </w:p>
    <w:p w14:paraId="331A197E"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The European Association of Herbal Practitioners (EHPA) was founded in 1993, and the Medicines Regulatory Agency (MCA) and the Ministry of Health worked with EHPA to conclude an agreement to ensure open health and botanists' interest in </w:t>
      </w:r>
      <w:proofErr w:type="gramStart"/>
      <w:r w:rsidRPr="00C41A0C">
        <w:rPr>
          <w:rFonts w:ascii="Arial" w:hAnsi="Arial" w:cs="Arial"/>
          <w:sz w:val="24"/>
          <w:szCs w:val="24"/>
          <w:lang w:val="en-GB"/>
        </w:rPr>
        <w:t>recommend</w:t>
      </w:r>
      <w:proofErr w:type="gramEnd"/>
      <w:r w:rsidRPr="00C41A0C">
        <w:rPr>
          <w:rFonts w:ascii="Arial" w:hAnsi="Arial" w:cs="Arial"/>
          <w:sz w:val="24"/>
          <w:szCs w:val="24"/>
          <w:lang w:val="en-GB"/>
        </w:rPr>
        <w:t xml:space="preserve"> the spices. Financing (Asher et al., 2017). The British Acupuncture Council, with 2,200 people, is the basic administrative body for acupuncturists in the United Kingdom and was founded in 1995. The British Acupuncture Council (BAAB) was established and approved as a training standard, and a Group of Regulatory Action for the full practice of extension conferences, which includes provincial meetings and discusses alternatives to regulation </w:t>
      </w:r>
      <w:r w:rsidRPr="00C41A0C">
        <w:rPr>
          <w:rFonts w:ascii="Arial" w:hAnsi="Arial" w:cs="Arial"/>
          <w:sz w:val="24"/>
          <w:szCs w:val="24"/>
          <w:lang w:val="en-GB"/>
        </w:rPr>
        <w:fldChar w:fldCharType="begin" w:fldLock="1"/>
      </w:r>
      <w:r w:rsidRPr="00C41A0C">
        <w:rPr>
          <w:rFonts w:ascii="Arial" w:hAnsi="Arial" w:cs="Arial"/>
          <w:sz w:val="24"/>
          <w:szCs w:val="24"/>
          <w:lang w:val="en-GB"/>
        </w:rPr>
        <w:instrText>ADDIN CSL_CITATION {"citationItems":[{"id":"ITEM-1","itemData":{"DOI":"10.1016/j.reuma.2015.10.011","ISSN":"18851398","abstract":"In recent decades the treatment of rheumatoid arthritis (RA) has improved thanks to the use of highly effective drugs. However, patients usually require long term therapy, which is not free of side effects. Therefore RA patients often demand complementary medicine, they seek additional sources of relief and/or less side effects. In fact 30-60% of rheumatic patients use some form of complementary medicine. Therefore, from conventional medicine, if we want to optimally treat our patients facilitating communication with them we must know the most commonly used complementary medicines. The aim of this review is to assess, based on published scientific research, what complementary therapies commonly used by patients with RA are effective and safe.","author":[{"dropping-particle":"","family":"Fernández-Llanio Comella","given":"Nagore","non-dropping-particle":"","parse-names":false,"suffix":""},{"dropping-particle":"","family":"Fernández Matilla","given":"Meritxell","non-dropping-particle":"","parse-names":false,"suffix":""},{"dropping-particle":"","family":"Castellano Cuesta","given":"Juan Antonio","non-dropping-particle":"","parse-names":false,"suffix":""}],"container-title":"Reumatologia Clinica","id":"ITEM-1","issued":{"date-parts":[["2016"]]},"title":"Have complementary therapies demonstrated effectiveness in rheumatoid arthritis?","type":"article"},"uris":["http://www.mendeley.com/documents/?uuid=1e3efbd0-3fa8-4cb6-8b92-266896496a7d","http://www.mendeley.com/documents/?uuid=b5856ba9-a2ba-4f04-a017-4fbc36c86714"]}],"mendeley":{"formattedCitation":"(Fernández-Llanio Comella et al., 2016)","plainTextFormattedCitation":"(Fernández-Llanio Comella et al., 2016)","previouslyFormattedCitation":"(Fernández-Llanio Comella et al., 2016)"},"properties":{"noteIndex":0},"schema":"https://github.com/citation-style-language/schema/raw/master/csl-citation.json"}</w:instrText>
      </w:r>
      <w:r w:rsidRPr="00C41A0C">
        <w:rPr>
          <w:rFonts w:ascii="Arial" w:hAnsi="Arial" w:cs="Arial"/>
          <w:sz w:val="24"/>
          <w:szCs w:val="24"/>
          <w:lang w:val="en-GB"/>
        </w:rPr>
        <w:fldChar w:fldCharType="separate"/>
      </w:r>
      <w:r w:rsidRPr="00C41A0C">
        <w:rPr>
          <w:rFonts w:ascii="Arial" w:hAnsi="Arial" w:cs="Arial"/>
          <w:sz w:val="24"/>
          <w:szCs w:val="24"/>
          <w:lang w:val="en-GB"/>
        </w:rPr>
        <w:t>(Fernández-</w:t>
      </w:r>
      <w:proofErr w:type="spellStart"/>
      <w:r w:rsidRPr="00C41A0C">
        <w:rPr>
          <w:rFonts w:ascii="Arial" w:hAnsi="Arial" w:cs="Arial"/>
          <w:sz w:val="24"/>
          <w:szCs w:val="24"/>
          <w:lang w:val="en-GB"/>
        </w:rPr>
        <w:t>Llanio</w:t>
      </w:r>
      <w:proofErr w:type="spellEnd"/>
      <w:r w:rsidRPr="00C41A0C">
        <w:rPr>
          <w:rFonts w:ascii="Arial" w:hAnsi="Arial" w:cs="Arial"/>
          <w:sz w:val="24"/>
          <w:szCs w:val="24"/>
          <w:lang w:val="en-GB"/>
        </w:rPr>
        <w:t xml:space="preserve"> </w:t>
      </w:r>
      <w:proofErr w:type="spellStart"/>
      <w:r w:rsidRPr="00C41A0C">
        <w:rPr>
          <w:rFonts w:ascii="Arial" w:hAnsi="Arial" w:cs="Arial"/>
          <w:sz w:val="24"/>
          <w:szCs w:val="24"/>
          <w:lang w:val="en-GB"/>
        </w:rPr>
        <w:t>Comella</w:t>
      </w:r>
      <w:proofErr w:type="spellEnd"/>
      <w:r w:rsidRPr="00C41A0C">
        <w:rPr>
          <w:rFonts w:ascii="Arial" w:hAnsi="Arial" w:cs="Arial"/>
          <w:sz w:val="24"/>
          <w:szCs w:val="24"/>
          <w:lang w:val="en-GB"/>
        </w:rPr>
        <w:t xml:space="preserve"> et al., 2016)</w:t>
      </w:r>
      <w:r w:rsidRPr="00C41A0C">
        <w:rPr>
          <w:rFonts w:ascii="Arial" w:hAnsi="Arial" w:cs="Arial"/>
          <w:sz w:val="24"/>
          <w:szCs w:val="24"/>
        </w:rPr>
        <w:fldChar w:fldCharType="end"/>
      </w:r>
      <w:r w:rsidRPr="00C41A0C">
        <w:rPr>
          <w:rFonts w:ascii="Arial" w:hAnsi="Arial" w:cs="Arial"/>
          <w:sz w:val="24"/>
          <w:szCs w:val="24"/>
          <w:lang w:val="en-GB"/>
        </w:rPr>
        <w:t>.</w:t>
      </w:r>
    </w:p>
    <w:p w14:paraId="0B50D509"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According to research by scientists, the rate of general visits to additional doctors in the UK increased from 20% in 1998 to 27% in 2002. Most specialists in the UK have made different discoveries by different specialists </w:t>
      </w:r>
      <w:r w:rsidRPr="00C41A0C">
        <w:rPr>
          <w:rFonts w:ascii="Arial" w:hAnsi="Arial" w:cs="Arial"/>
          <w:sz w:val="24"/>
          <w:szCs w:val="24"/>
          <w:lang w:val="en-GB"/>
        </w:rPr>
        <w:fldChar w:fldCharType="begin" w:fldLock="1"/>
      </w:r>
      <w:r w:rsidRPr="00C41A0C">
        <w:rPr>
          <w:rFonts w:ascii="Arial" w:hAnsi="Arial" w:cs="Arial"/>
          <w:sz w:val="24"/>
          <w:szCs w:val="24"/>
          <w:lang w:val="en-GB"/>
        </w:rPr>
        <w:instrText>ADDIN CSL_CITATION {"citationItems":[{"id":"ITEM-1","itemData":{"DOI":"10.1016/j.midw.2010.08.007","ISSN":"02666138","PMID":"21247674","abstract":"Background: the use of complementary and alternative medicine (CAM) has become increasingly prevalent in industrialised countries, with women being the most prolific users. Some women continue to consume these therapies when they become pregnant. Aim: to review the literature exploring prevalence and motivation for use of complementary and alternative medicine by pregnant women. Method: a search for relevant literature published from 2001 was undertaken using a range of databases and by examining relevant bibliographies. Results: although the estimates vary widely from 1% to 87%, the general trend indicates that a significant number of pregnant women use complementary and alternative medicine. Common modalities used include massage, vitamin and mineral supplements, herbal medicine, relaxation therapies and aromatherapy. Reasons for use are varied and include the belief that these therapies offer safe alternatives to pharmaceuticals, they allow greater choice and control over the childbearing experiences, and they are congruent with their holistic health beliefs. The influence of traditional cultural practices on the use of these therapies is unclear. Most expectant women rely on advice from family and friends, and many do not disclose their use to their pregnancy care providers. Conclusions: many women use complementary and alternative medicine when they are pregnant. Further research is needed to gain a greater understanding of the true prevalence and expectant women's motivation for the use of complementary and alternative medicine. Health-care professionals are encouraged to ask women about their use of these treatments and seek out relevant information. © 2010 Elsevier Ltd.","author":[{"dropping-particle":"","family":"Hall","given":"Helen G.","non-dropping-particle":"","parse-names":false,"suffix":""},{"dropping-particle":"","family":"Griffiths","given":"Debra L.","non-dropping-particle":"","parse-names":false,"suffix":""},{"dropping-particle":"","family":"McKenna","given":"Lisa G.","non-dropping-particle":"","parse-names":false,"suffix":""}],"container-title":"Midwifery","id":"ITEM-1","issued":{"date-parts":[["2011"]]},"title":"The use of complementary and alternative medicine by pregnant women: A literature review","type":"article-journal"},"uris":["http://www.mendeley.com/documents/?uuid=2dbb4a98-757f-4ca3-98f6-e264e9e1f483","http://www.mendeley.com/documents/?uuid=db323d7d-3d26-4d3a-acee-955bf0f72e6e"]}],"mendeley":{"formattedCitation":"(Hall et al., 2011)","plainTextFormattedCitation":"(Hall et al., 2011)","previouslyFormattedCitation":"(Hall et al., 2011)"},"properties":{"noteIndex":0},"schema":"https://github.com/citation-style-language/schema/raw/master/csl-citation.json"}</w:instrText>
      </w:r>
      <w:r w:rsidRPr="00C41A0C">
        <w:rPr>
          <w:rFonts w:ascii="Arial" w:hAnsi="Arial" w:cs="Arial"/>
          <w:sz w:val="24"/>
          <w:szCs w:val="24"/>
          <w:lang w:val="en-GB"/>
        </w:rPr>
        <w:fldChar w:fldCharType="separate"/>
      </w:r>
      <w:r w:rsidRPr="00C41A0C">
        <w:rPr>
          <w:rFonts w:ascii="Arial" w:hAnsi="Arial" w:cs="Arial"/>
          <w:sz w:val="24"/>
          <w:szCs w:val="24"/>
          <w:lang w:val="en-GB"/>
        </w:rPr>
        <w:t>(Hall et al., 2011)</w:t>
      </w:r>
      <w:r w:rsidRPr="00C41A0C">
        <w:rPr>
          <w:rFonts w:ascii="Arial" w:hAnsi="Arial" w:cs="Arial"/>
          <w:sz w:val="24"/>
          <w:szCs w:val="24"/>
        </w:rPr>
        <w:fldChar w:fldCharType="end"/>
      </w:r>
      <w:r w:rsidRPr="00C41A0C">
        <w:rPr>
          <w:rFonts w:ascii="Arial" w:hAnsi="Arial" w:cs="Arial"/>
          <w:sz w:val="24"/>
          <w:szCs w:val="24"/>
          <w:lang w:val="en-GB"/>
        </w:rPr>
        <w:t>. Complementary therapies in the UK and CAM clients will surely be accomplished, rich, moderately old and used, especially those experiencing madness, anxiety and sadness, and the discoveries are like international discoveries. Analysts note that women showed an increasingly positive outlook on complementary therapy and CAMs than did children.</w:t>
      </w:r>
    </w:p>
    <w:p w14:paraId="37098114"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Dissatisfaction with conventional drugs suggests that they opt for complementary therapies and CAM. Again, experts argue that counselling for families, individuals, and couples affects the choice of CAM to use and the choice of additional treatment. One study found that approximately 30% of patients demonstrated that they are currently taking some form of complementary therapy </w:t>
      </w:r>
      <w:r w:rsidRPr="00C41A0C">
        <w:rPr>
          <w:rFonts w:ascii="Arial" w:hAnsi="Arial" w:cs="Arial"/>
          <w:sz w:val="24"/>
          <w:szCs w:val="24"/>
          <w:lang w:val="en-GB"/>
        </w:rPr>
        <w:fldChar w:fldCharType="begin" w:fldLock="1"/>
      </w:r>
      <w:r w:rsidRPr="00C41A0C">
        <w:rPr>
          <w:rFonts w:ascii="Arial" w:hAnsi="Arial" w:cs="Arial"/>
          <w:sz w:val="24"/>
          <w:szCs w:val="24"/>
          <w:lang w:val="en-GB"/>
        </w:rPr>
        <w:instrText>ADDIN CSL_CITATION {"citationItems":[{"id":"ITEM-1","itemData":{"DOI":"10.1016/j.maturitas.2010.05.010","ISSN":"03785122","PMID":"20580501","abstract":"The use of complementary and alternative medicine (CAM) among menopausal women has increased in the last years. This review examines the evidence from systematic reviews, RCTs and epidemiological studies of CAM in the treatment of menopausal symptoms. Some evidence exists in favour of phytosterols and phytostanols for diminishing LDL and total cholesterol in postmenopausal women. Similarly, regular fiber intake is effective in reducing serum total cholesterol in hypercholesterolemic postmenopausal women. Clinical evidence also exists on the effectiveness of vitamin K, a combination of calcium and vitamin D or a combination of walking with other weight-bearing exercise in reducing bone mineral density loss and the incidence of fractures in postmenopausal women. Black cohosh appears to be effective therapy for relieving menopausal symptoms, primarily hot flashes, in early menopause. Phytoestrogen extracts, including isoflavones and lignans, appear to have only minimal effect on hot flashes but have other positive health effects, e.g. on plasma lipid levels and bone loss. For other commonly used CAMs, e.g. probiotics, prebiotics, acupuncture, homeopathy and DHEA-S, randomized, placebo-controlled trials are scarce and the evidence is unconvincing. More and better RCTs testing the effectiveness of these treatments are needed. © 2010 Elsevier Ireland Ltd.","author":[{"dropping-particle":"","family":"Borrelli","given":"Francesca","non-dropping-particle":"","parse-names":false,"suffix":""},{"dropping-particle":"","family":"Ernst","given":"Edzard","non-dropping-particle":"","parse-names":false,"suffix":""}],"container-title":"Maturitas","id":"ITEM-1","issued":{"date-parts":[["2010"]]},"title":"Alternative and complementary therapies for the menopause","type":"article"},"uris":["http://www.mendeley.com/documents/?uuid=f6c35358-8c70-46bf-af17-06fc469f6899","http://www.mendeley.com/documents/?uuid=b5693a6c-dd56-4fec-a2e9-0fb421555b3c"]}],"mendeley":{"formattedCitation":"(Borrelli and Ernst, 2010)","plainTextFormattedCitation":"(Borrelli and Ernst, 2010)","previouslyFormattedCitation":"(Borrelli and Ernst, 2010)"},"properties":{"noteIndex":0},"schema":"https://github.com/citation-style-language/schema/raw/master/csl-citation.json"}</w:instrText>
      </w:r>
      <w:r w:rsidRPr="00C41A0C">
        <w:rPr>
          <w:rFonts w:ascii="Arial" w:hAnsi="Arial" w:cs="Arial"/>
          <w:sz w:val="24"/>
          <w:szCs w:val="24"/>
          <w:lang w:val="en-GB"/>
        </w:rPr>
        <w:fldChar w:fldCharType="separate"/>
      </w:r>
      <w:r w:rsidRPr="00C41A0C">
        <w:rPr>
          <w:rFonts w:ascii="Arial" w:hAnsi="Arial" w:cs="Arial"/>
          <w:sz w:val="24"/>
          <w:szCs w:val="24"/>
          <w:lang w:val="en-GB"/>
        </w:rPr>
        <w:t>(Borrelli and Ernst, 2010)</w:t>
      </w:r>
      <w:r w:rsidRPr="00C41A0C">
        <w:rPr>
          <w:rFonts w:ascii="Arial" w:hAnsi="Arial" w:cs="Arial"/>
          <w:sz w:val="24"/>
          <w:szCs w:val="24"/>
        </w:rPr>
        <w:fldChar w:fldCharType="end"/>
      </w:r>
      <w:r w:rsidRPr="00C41A0C">
        <w:rPr>
          <w:rFonts w:ascii="Arial" w:hAnsi="Arial" w:cs="Arial"/>
          <w:sz w:val="24"/>
          <w:szCs w:val="24"/>
          <w:lang w:val="en-GB"/>
        </w:rPr>
        <w:t>. The recommended model has expanded the use of complementary therapies in recent years. An earlier review found that 70% of National Health Service (NHS) emergency clinics in England and Wales offer complementary treatment for threatening development, with medications and aromatherapy being the best known (</w:t>
      </w:r>
      <w:proofErr w:type="spellStart"/>
      <w:r w:rsidRPr="00C41A0C">
        <w:rPr>
          <w:rFonts w:ascii="Arial" w:hAnsi="Arial" w:cs="Arial"/>
          <w:sz w:val="24"/>
          <w:szCs w:val="24"/>
          <w:lang w:val="en-GB"/>
        </w:rPr>
        <w:t>Shengelia</w:t>
      </w:r>
      <w:proofErr w:type="spellEnd"/>
      <w:r w:rsidRPr="00C41A0C">
        <w:rPr>
          <w:rFonts w:ascii="Arial" w:hAnsi="Arial" w:cs="Arial"/>
          <w:sz w:val="24"/>
          <w:szCs w:val="24"/>
          <w:lang w:val="en-GB"/>
        </w:rPr>
        <w:t xml:space="preserve"> et al., 2013).</w:t>
      </w:r>
    </w:p>
    <w:p w14:paraId="02A9A8B2"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Aromatherapy involves the useful use of essential vegetable oils and has been around for quite some time. It is being expanded and used to treat malignant neoplasms and dermatological diseases (Forrester et al., 2014). Essential oils are applied to the skin in various ways, like being ingested or inhaled, and are not destructive unless misused (Ali et al., 2015). Aromatherapy is the most widely used complementary treatment in nursing practice. As experts point out, aromatherapy helps destroy psychological self-expression during pregnancy and detect physical changes in the mother. Furthermore, the effects of the release initiated in the undeveloped organism spread </w:t>
      </w:r>
      <w:r w:rsidRPr="00C41A0C">
        <w:rPr>
          <w:rFonts w:ascii="Arial" w:hAnsi="Arial" w:cs="Arial"/>
          <w:sz w:val="24"/>
          <w:szCs w:val="24"/>
          <w:lang w:val="en-GB"/>
        </w:rPr>
        <w:fldChar w:fldCharType="begin" w:fldLock="1"/>
      </w:r>
      <w:r w:rsidRPr="00C41A0C">
        <w:rPr>
          <w:rFonts w:ascii="Arial" w:hAnsi="Arial" w:cs="Arial"/>
          <w:sz w:val="24"/>
          <w:szCs w:val="24"/>
          <w:lang w:val="en-GB"/>
        </w:rPr>
        <w:instrText>ADDIN CSL_CITATION {"citationItems":[{"id":"ITEM-1","itemData":{"DOI":"10.1002/14651858.CD009873.pub3","ISSN":"1469493X","PMID":"27258432","abstract":"Background: Massage and aromatherapy massage are used to relieve cancer-related symptoms. A number of claims have been made for these treatments including reduction of pain, anxiety, depression, and stress. Other studies have not shown these benefits. Objectives: To evaluate the effects of massage with or without aromatherapy on pain and other symptoms associated with cancer. Search methods: We searched the following databases and trials registries up to August 2015: the Cochrane Central Register of Controlled Trials (CENTRAL, 2015, Issue 7), MEDLINE (Ovid), EMBASE (Ovid), PsycINFO (Ovid), CINAHL (EBSCO), PubMed Cancer Subset, SADCCT, and the World Health Organization (WHO) ICTRP. We also searched clinical trial registries for ongoing studies. Selection criteria: Randomised controlled studies (RCTs) reporting the effects of aromatherapy or massage therapy, or both, in people with cancer of any age. We applied no language restrictions. Comparators were massage (using carrier oil only) versus no massage, massage with aromatherapy (using carrier oil plus essential oils) versus no massage, and massage with aromatherapy (using carrier oil plus essential oils) versus massage without aromatherapy (using carrier oil only). Data collection and analysis: At least two review authors selected studies, assessed the risk of bias, and extracted data relating to pain and other symptoms associated with cancer, using standardised forms. We assessed the evidence using GRADE (Grading of Recommendations Assessment, Development and Evaluation) and created two 'Summary of findings' tables. Main results: We included 19 studies (21 reports) of very low quality evidence with a total of 1274 participants. We included 14 studies (16 reports) in a qualitative synthesis and five studies in a quantitative synthesis (meta-analysis). Thirteen studies (14 reports, 596 participants) compared massage with no massage. Six studies (seven reports, 561 participants) compared aromatherapy massage with no massage. Two studies (117 participants) compared massage with aromatherapy and massage without aromatherapy. Fourteen studies had a high risk of bias related to sample size and 15 studies had a low risk of bias for blinding the outcome assessment. We judged the studies to be at unclear risk of bias overall. Our primary outcomes were pain and psychological symptoms. Two studies reported physical distress, rash, and general malaise as adverse events. The remaining 17 studies did not report adver…","author":[{"dropping-particle":"","family":"Shin","given":"Ein Soon","non-dropping-particle":"","parse-names":false,"suffix":""},{"dropping-particle":"","family":"Seo","given":"Kyung Hwa","non-dropping-particle":"","parse-names":false,"suffix":""},{"dropping-particle":"","family":"Lee","given":"Sun Hee","non-dropping-particle":"","parse-names":false,"suffix":""},{"dropping-particle":"","family":"Jang","given":"Ji Eun","non-dropping-particle":"","parse-names":false,"suffix":""},{"dropping-particle":"","family":"Jung","given":"Yu Min","non-dropping-particle":"","parse-names":false,"suffix":""},{"dropping-particle":"","family":"Kim","given":"Min Ji","non-dropping-particle":"","parse-names":false,"suffix":""},{"dropping-particle":"","family":"Yeon","given":"Ji Yun","non-dropping-particle":"","parse-names":false,"suffix":""}],"container-title":"Cochrane Database of Systematic Reviews","id":"ITEM-1","issued":{"date-parts":[["2016"]]},"title":"Massage with or without aromatherapy for symptom relief in people with cancer","type":"article"},"uris":["http://www.mendeley.com/documents/?uuid=5e73506c-4627-4d11-8f53-8af700a15b5d","http://www.mendeley.com/documents/?uuid=8ab2f428-b7b1-4f08-abbc-f79ccf213751"]}],"mendeley":{"formattedCitation":"(Shin et al., 2016)","plainTextFormattedCitation":"(Shin et al., 2016)","previouslyFormattedCitation":"(Shin et al., 2016)"},"properties":{"noteIndex":0},"schema":"https://github.com/citation-style-language/schema/raw/master/csl-citation.json"}</w:instrText>
      </w:r>
      <w:r w:rsidRPr="00C41A0C">
        <w:rPr>
          <w:rFonts w:ascii="Arial" w:hAnsi="Arial" w:cs="Arial"/>
          <w:sz w:val="24"/>
          <w:szCs w:val="24"/>
          <w:lang w:val="en-GB"/>
        </w:rPr>
        <w:fldChar w:fldCharType="separate"/>
      </w:r>
      <w:r w:rsidRPr="00C41A0C">
        <w:rPr>
          <w:rFonts w:ascii="Arial" w:hAnsi="Arial" w:cs="Arial"/>
          <w:sz w:val="24"/>
          <w:szCs w:val="24"/>
          <w:lang w:val="en-GB"/>
        </w:rPr>
        <w:t>(Shin et al., 2016)</w:t>
      </w:r>
      <w:r w:rsidRPr="00C41A0C">
        <w:rPr>
          <w:rFonts w:ascii="Arial" w:hAnsi="Arial" w:cs="Arial"/>
          <w:sz w:val="24"/>
          <w:szCs w:val="24"/>
        </w:rPr>
        <w:fldChar w:fldCharType="end"/>
      </w:r>
      <w:r w:rsidRPr="00C41A0C">
        <w:rPr>
          <w:rFonts w:ascii="Arial" w:hAnsi="Arial" w:cs="Arial"/>
          <w:sz w:val="24"/>
          <w:szCs w:val="24"/>
          <w:lang w:val="en-GB"/>
        </w:rPr>
        <w:t xml:space="preserve">. Furthermore, kneading is considered ready to revitalize the production of endorphins and reduce blood circulation through its effects on the parasympathetic sensory system. Rubbing in aromatherapy promotes the absorption of base oils through the skin, and aromatherapy is one of the main treatments for tension. Furthermore, essential oils can improve odour zones in the limbic order and demonstrate that aromas affect the senses and knowledge. Malignant patients taking aromatherapy have been found to significantly improve their satisfaction and personal discomfort </w:t>
      </w:r>
      <w:r w:rsidRPr="00C41A0C">
        <w:rPr>
          <w:rFonts w:ascii="Arial" w:hAnsi="Arial" w:cs="Arial"/>
          <w:sz w:val="24"/>
          <w:szCs w:val="24"/>
          <w:lang w:val="en-GB"/>
        </w:rPr>
        <w:fldChar w:fldCharType="begin" w:fldLock="1"/>
      </w:r>
      <w:r w:rsidRPr="00C41A0C">
        <w:rPr>
          <w:rFonts w:ascii="Arial" w:hAnsi="Arial" w:cs="Arial"/>
          <w:sz w:val="24"/>
          <w:szCs w:val="24"/>
          <w:lang w:val="en-GB"/>
        </w:rPr>
        <w:instrText>ADDIN CSL_CITATION {"citationItems":[{"id":"ITEM-1","itemData":{"DOI":"10.1016/j.ctcp.2012.05.002","ISSN":"17443881","abstract":"Objectives: The aim of this study was to determine if aromatherapy improves anxiety and/or depression in the high risk postpartum woman and to provide a complementary therapy tool for healthcare practitioners. Design: The pilot study was observational with repeated measures. Setting: Private consultation room in a Women's center of a large Indianapolis hospital. Subjects: 28 women, 0-18 months postpartum. Interventions: The treatment groups were randomized to either the inhalation group or the aromatherapy hand m'technique. Treatment consisted of 15 min sessions, twice a week for four consecutive weeks. An essential oil blend of rose otto and lavandula angustifolia @ 2% dilution was used in all treatments. The non-randomized control group, comprised of volunteers, was instructed to avoid aromatherapy use during the 4 week study period. Allopathic medical treatment continued for all participants. Outcome measurements: All subjects completed the Edinburgh Postnatal Depression Scale (EPDS) and Generalized Anxiety Disorder Scale (GAD-7) at the beginning of the study. The scales were then repeated at the midway point (two weeks), and at the end of all treatments (four weeks). Results: Analysis of Variance (ANOVA) was utilized to determine differences in EPDS and/or GAD-7 scores between the aromatherapy and control groups at baseline, midpoint and end of study. No significant differences were found between aromatherapy and control groups at baseline. The midpoint and final scores indicated that aromatherapy had significant improvements greater than the control group on both EPDS and GAD-7 scores. There were no adverse effects reported. Conclusion: The pilot study indicates positive findings with minimal risk for the use of aromatherapy as a complementary therapy in both anxiety and depression scales with the postpartum woman. Future large scale research in aromatherapy with this population is recommended. © 2012 Elsevier Ltd.","author":[{"dropping-particle":"","family":"Conrad","given":"Pam","non-dropping-particle":"","parse-names":false,"suffix":""},{"dropping-particle":"","family":"Adams","given":"Cindy","non-dropping-particle":"","parse-names":false,"suffix":""}],"container-title":"Complementary Therapies in Clinical Practice","id":"ITEM-1","issued":{"date-parts":[["2012"]]},"title":"The effects of clinical aromatherapy for anxiety and depression in the high risk postpartum woman - A pilot study","type":"article-journal"},"uris":["http://www.mendeley.com/documents/?uuid=62b4a74a-fbbb-4941-816c-63a9179ea7be","http://www.mendeley.com/documents/?uuid=7fe57c2e-3d0a-4f9a-b2c8-aafcd3b418c0"]}],"mendeley":{"formattedCitation":"(Conrad and Adams, 2012)","plainTextFormattedCitation":"(Conrad and Adams, 2012)","previouslyFormattedCitation":"(Conrad and Adams, 2012)"},"properties":{"noteIndex":0},"schema":"https://github.com/citation-style-language/schema/raw/master/csl-citation.json"}</w:instrText>
      </w:r>
      <w:r w:rsidRPr="00C41A0C">
        <w:rPr>
          <w:rFonts w:ascii="Arial" w:hAnsi="Arial" w:cs="Arial"/>
          <w:sz w:val="24"/>
          <w:szCs w:val="24"/>
          <w:lang w:val="en-GB"/>
        </w:rPr>
        <w:fldChar w:fldCharType="separate"/>
      </w:r>
      <w:r w:rsidRPr="00C41A0C">
        <w:rPr>
          <w:rFonts w:ascii="Arial" w:hAnsi="Arial" w:cs="Arial"/>
          <w:sz w:val="24"/>
          <w:szCs w:val="24"/>
          <w:lang w:val="en-GB"/>
        </w:rPr>
        <w:t>(Conrad and Adams, 2012)</w:t>
      </w:r>
      <w:r w:rsidRPr="00C41A0C">
        <w:rPr>
          <w:rFonts w:ascii="Arial" w:hAnsi="Arial" w:cs="Arial"/>
          <w:sz w:val="24"/>
          <w:szCs w:val="24"/>
        </w:rPr>
        <w:fldChar w:fldCharType="end"/>
      </w:r>
      <w:r w:rsidRPr="00C41A0C">
        <w:rPr>
          <w:rFonts w:ascii="Arial" w:hAnsi="Arial" w:cs="Arial"/>
          <w:sz w:val="24"/>
          <w:szCs w:val="24"/>
          <w:lang w:val="en-GB"/>
        </w:rPr>
        <w:t>. Aromatherapy is also believed to have useful effects in reducing acuity of the spine and periarticular problems, while aromatherapy, which is prepared to block sodium flow and relieve pain in these areas, has a strong narcotic effect. to have</w:t>
      </w:r>
      <w:proofErr w:type="gramStart"/>
      <w:r w:rsidRPr="00C41A0C">
        <w:rPr>
          <w:rFonts w:ascii="Arial" w:hAnsi="Arial" w:cs="Arial"/>
          <w:sz w:val="24"/>
          <w:szCs w:val="24"/>
          <w:lang w:val="en-GB"/>
        </w:rPr>
        <w:t>. .</w:t>
      </w:r>
      <w:proofErr w:type="gramEnd"/>
      <w:r w:rsidRPr="00C41A0C">
        <w:rPr>
          <w:rFonts w:ascii="Arial" w:hAnsi="Arial" w:cs="Arial"/>
          <w:sz w:val="24"/>
          <w:szCs w:val="24"/>
          <w:lang w:val="en-GB"/>
        </w:rPr>
        <w:t xml:space="preserve"> Essential oils have strong antimicrobial and antifungal properties and have a positive effect on urinary tract disease.</w:t>
      </w:r>
    </w:p>
    <w:p w14:paraId="41B972A1"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The purpose of CAM and ancillary treatment is largely planned to ensure patient satisfaction, including mental, social, alien, and practical. In a clinical study on dangerous development in transient patients, respondents found that complementary therapies contributed to the study of an individual's sense of satisfaction by improving weight resistance and reducing chronic drug use (</w:t>
      </w:r>
      <w:proofErr w:type="spellStart"/>
      <w:r w:rsidRPr="00C41A0C">
        <w:rPr>
          <w:rFonts w:ascii="Arial" w:hAnsi="Arial" w:cs="Arial"/>
          <w:sz w:val="24"/>
          <w:szCs w:val="24"/>
          <w:lang w:val="en-GB"/>
        </w:rPr>
        <w:t>Brondino</w:t>
      </w:r>
      <w:proofErr w:type="spellEnd"/>
      <w:r w:rsidRPr="00C41A0C">
        <w:rPr>
          <w:rFonts w:ascii="Arial" w:hAnsi="Arial" w:cs="Arial"/>
          <w:sz w:val="24"/>
          <w:szCs w:val="24"/>
          <w:lang w:val="en-GB"/>
        </w:rPr>
        <w:t xml:space="preserve"> et al., 2015). Most patients with threatening atria use supplemental medications to support their refractory structures. Some patients have argued that complementary treatment is essential work to improve and correct chaos, including unrestricted problems.</w:t>
      </w:r>
    </w:p>
    <w:p w14:paraId="026F6CA7"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Complementary therapies and CAMs are continually integrated into general health care through its partnership with the UK National Health Service and improvements to free hospices. However, there are strong indications in the UK that these improvements could be intensified, and this speaks to most complementary therapies and updates to CAM services in the past 10 years with modest progress. Regarding this problem, there is a demand to begin an increasingly logical investigation to study a single adjuvant treatment and CAM </w:t>
      </w:r>
      <w:r w:rsidRPr="00C41A0C">
        <w:rPr>
          <w:rFonts w:ascii="Arial" w:hAnsi="Arial" w:cs="Arial"/>
          <w:sz w:val="24"/>
          <w:szCs w:val="24"/>
          <w:lang w:val="en-GB"/>
        </w:rPr>
        <w:fldChar w:fldCharType="begin" w:fldLock="1"/>
      </w:r>
      <w:r w:rsidRPr="00C41A0C">
        <w:rPr>
          <w:rFonts w:ascii="Arial" w:hAnsi="Arial" w:cs="Arial"/>
          <w:sz w:val="24"/>
          <w:szCs w:val="24"/>
          <w:lang w:val="en-GB"/>
        </w:rPr>
        <w:instrText>ADDIN CSL_CITATION {"citationItems":[{"id":"ITEM-1","itemData":{"DOI":"10.1016/j.psc.2010.01.002","ISSN":"0193953X","PMID":"20385346","abstract":"Complementary and alternative medicine (CAM) therapies are commonly practiced in the United States and are used more frequently among women than men. This article reviews several CAM treatments for depressive disorders in women, with a focus on major depressive disorder across the reproductive life cycle. The CAM therapies selected for this review (ie, S-adenosylmethionine, omega-3 fatty acids, St John's wort, bright light therapy, acupuncture, and exercise) were based on their prevalence of use and the availability of randomized, placebo-controlled data. Further study is necessary to delineate the role of specific CAM therapies in premenstrual syndrome, premenstrual dysphoric disorder, antepartum and postpartum depression, lactation, and the menopausal transition. © 2010 Elsevier Inc.","author":[{"dropping-particle":"","family":"Deligiannidis","given":"Kristina M.","non-dropping-particle":"","parse-names":false,"suffix":""},{"dropping-particle":"","family":"Freeman","given":"Marlene P.","non-dropping-particle":"","parse-names":false,"suffix":""}],"container-title":"Psychiatric Clinics of North America","id":"ITEM-1","issued":{"date-parts":[["2010"]]},"title":"Complementary and Alternative Medicine for the Treatment of Depressive Disorders in Women","type":"article"},"uris":["http://www.mendeley.com/documents/?uuid=35347cf0-e48d-436e-9c0f-02653614ae51","http://www.mendeley.com/documents/?uuid=1f0abbc0-7123-47b7-81a6-459ab1a76ed1"]}],"mendeley":{"formattedCitation":"(Deligiannidis and Freeman, 2010)","plainTextFormattedCitation":"(Deligiannidis and Freeman, 2010)","previouslyFormattedCitation":"(Deligiannidis and Freeman, 2010)"},"properties":{"noteIndex":0},"schema":"https://github.com/citation-style-language/schema/raw/master/csl-citation.json"}</w:instrText>
      </w:r>
      <w:r w:rsidRPr="00C41A0C">
        <w:rPr>
          <w:rFonts w:ascii="Arial" w:hAnsi="Arial" w:cs="Arial"/>
          <w:sz w:val="24"/>
          <w:szCs w:val="24"/>
          <w:lang w:val="en-GB"/>
        </w:rPr>
        <w:fldChar w:fldCharType="separate"/>
      </w:r>
      <w:r w:rsidRPr="00C41A0C">
        <w:rPr>
          <w:rFonts w:ascii="Arial" w:hAnsi="Arial" w:cs="Arial"/>
          <w:sz w:val="24"/>
          <w:szCs w:val="24"/>
          <w:lang w:val="en-GB"/>
        </w:rPr>
        <w:t>(</w:t>
      </w:r>
      <w:proofErr w:type="spellStart"/>
      <w:r w:rsidRPr="00C41A0C">
        <w:rPr>
          <w:rFonts w:ascii="Arial" w:hAnsi="Arial" w:cs="Arial"/>
          <w:sz w:val="24"/>
          <w:szCs w:val="24"/>
          <w:lang w:val="en-GB"/>
        </w:rPr>
        <w:t>Deligiannidis</w:t>
      </w:r>
      <w:proofErr w:type="spellEnd"/>
      <w:r w:rsidRPr="00C41A0C">
        <w:rPr>
          <w:rFonts w:ascii="Arial" w:hAnsi="Arial" w:cs="Arial"/>
          <w:sz w:val="24"/>
          <w:szCs w:val="24"/>
          <w:lang w:val="en-GB"/>
        </w:rPr>
        <w:t xml:space="preserve"> and Freeman, 2010)</w:t>
      </w:r>
      <w:r w:rsidRPr="00C41A0C">
        <w:rPr>
          <w:rFonts w:ascii="Arial" w:hAnsi="Arial" w:cs="Arial"/>
          <w:sz w:val="24"/>
          <w:szCs w:val="24"/>
        </w:rPr>
        <w:fldChar w:fldCharType="end"/>
      </w:r>
      <w:r w:rsidRPr="00C41A0C">
        <w:rPr>
          <w:rFonts w:ascii="Arial" w:hAnsi="Arial" w:cs="Arial"/>
          <w:sz w:val="24"/>
          <w:szCs w:val="24"/>
          <w:lang w:val="en-GB"/>
        </w:rPr>
        <w:t xml:space="preserve">. Furthermore, the feasibility of the complementary treatment regimen and CAM as an integrated NHS service needs to be evaluated based on intense and important considerations. Numerous studies have used randomized control parents to investigate the adequacy of individualized adjuvant treatment and predisposition to CAM. Be that as it may, this methodology does not </w:t>
      </w:r>
      <w:proofErr w:type="gramStart"/>
      <w:r w:rsidRPr="00C41A0C">
        <w:rPr>
          <w:rFonts w:ascii="Arial" w:hAnsi="Arial" w:cs="Arial"/>
          <w:sz w:val="24"/>
          <w:szCs w:val="24"/>
          <w:lang w:val="en-GB"/>
        </w:rPr>
        <w:t>take into account</w:t>
      </w:r>
      <w:proofErr w:type="gramEnd"/>
      <w:r w:rsidRPr="00C41A0C">
        <w:rPr>
          <w:rFonts w:ascii="Arial" w:hAnsi="Arial" w:cs="Arial"/>
          <w:sz w:val="24"/>
          <w:szCs w:val="24"/>
          <w:lang w:val="en-GB"/>
        </w:rPr>
        <w:t xml:space="preserve"> the increasingly complex multidimensional tests of the adequacy of services in general. However, the effect of the current against the implementation of complementary therapy and long-term CAM is often difficult to assess.  A small number of legitimate alternative treatments and CAM practitioners are still available. Health practitioners including medical professionals and nurses have often stressed their lack of understanding of CAM and complementary therapy </w:t>
      </w:r>
      <w:r w:rsidRPr="00C41A0C">
        <w:rPr>
          <w:rFonts w:ascii="Arial" w:hAnsi="Arial" w:cs="Arial"/>
          <w:sz w:val="24"/>
          <w:szCs w:val="24"/>
          <w:lang w:val="en-GB"/>
        </w:rPr>
        <w:fldChar w:fldCharType="begin" w:fldLock="1"/>
      </w:r>
      <w:r w:rsidRPr="00C41A0C">
        <w:rPr>
          <w:rFonts w:ascii="Arial" w:hAnsi="Arial" w:cs="Arial"/>
          <w:sz w:val="24"/>
          <w:szCs w:val="24"/>
          <w:lang w:val="en-GB"/>
        </w:rPr>
        <w:instrText>ADDIN CSL_CITATION {"citationItems":[{"id":"ITEM-1","itemData":{"DOI":"10.1155/2015/610615","ISSN":"17414288","abstract":"Objectives. This systematic overview of reviews aimed to summarize evidence and methodological quality from systematic reviews of complementary and alternative medicine (CAM) for the fibromyalgia syndrome (FMS). Methods. The PubMed/MEDLINE, Cochrane Library, and Scopus databases were screened from their inception to Sept 2013 to identify systematic reviews and meta-analyses of CAM interventions for FMS. Methodological quality of reviews was rated using the AMSTAR instrument. Results. Altogether 25 systematic reviews were found; they investigated the evidence of CAM in general, exercised-based CAM therapies, manipulative therapies, Mind/Body therapies, acupuncture, hydrotherapy, phytotherapy, and homeopathy. Methodological quality of reviews ranged from lowest to highest possible quality. Consistently positive results were found for tai chi, yoga, meditation and mindfulness-based interventions, hypnosis or guided imagery, electromyogram (EMG) biofeedback, and balneotherapy/hydrotherapy. Inconsistent results concerned qigong, acupuncture, chiropractic interventions, electroencephalogram (EEG) biofeedback, and nutritional supplements. Inconclusive results were found for homeopathy and phytotherapy. Major methodological flaws included missing details on data extraction process, included or excluded studies, study details, and adaption of conclusions based on quality assessment. Conclusions. Despite a growing body of scientific evidence of CAM therapies for the management of FMS systematic reviews still show methodological flaws limiting definite conclusions about their efficacy and safety.","author":[{"dropping-particle":"","family":"Lauche","given":"Romy","non-dropping-particle":"","parse-names":false,"suffix":""},{"dropping-particle":"","family":"Cramer","given":"Holger","non-dropping-particle":"","parse-names":false,"suffix":""},{"dropping-particle":"","family":"Haüser","given":"Winfried","non-dropping-particle":"","parse-names":false,"suffix":""},{"dropping-particle":"","family":"Dobos","given":"Gustav","non-dropping-particle":"","parse-names":false,"suffix":""},{"dropping-particle":"","family":"Langhorst","given":"Jost","non-dropping-particle":"","parse-names":false,"suffix":""}],"container-title":"Evidence-based Complementary and Alternative Medicine","id":"ITEM-1","issued":{"date-parts":[["2015"]]},"title":"A Systematic Overview of Reviews for Complementary and Alternative Therapies in the Treatment of the Fibromyalgia Syndrome","type":"article"},"uris":["http://www.mendeley.com/documents/?uuid=17635579-16ce-4082-ac5f-3212b19897a9","http://www.mendeley.com/documents/?uuid=af3c6162-a4dc-48a9-9073-eea28ec6ef15"]}],"mendeley":{"formattedCitation":"(Lauche et al., 2015)","plainTextFormattedCitation":"(Lauche et al., 2015)","previouslyFormattedCitation":"(Lauche et al., 2015)"},"properties":{"noteIndex":0},"schema":"https://github.com/citation-style-language/schema/raw/master/csl-citation.json"}</w:instrText>
      </w:r>
      <w:r w:rsidRPr="00C41A0C">
        <w:rPr>
          <w:rFonts w:ascii="Arial" w:hAnsi="Arial" w:cs="Arial"/>
          <w:sz w:val="24"/>
          <w:szCs w:val="24"/>
          <w:lang w:val="en-GB"/>
        </w:rPr>
        <w:fldChar w:fldCharType="separate"/>
      </w:r>
      <w:r w:rsidRPr="00C41A0C">
        <w:rPr>
          <w:rFonts w:ascii="Arial" w:hAnsi="Arial" w:cs="Arial"/>
          <w:sz w:val="24"/>
          <w:szCs w:val="24"/>
          <w:lang w:val="en-GB"/>
        </w:rPr>
        <w:t>(</w:t>
      </w:r>
      <w:proofErr w:type="spellStart"/>
      <w:r w:rsidRPr="00C41A0C">
        <w:rPr>
          <w:rFonts w:ascii="Arial" w:hAnsi="Arial" w:cs="Arial"/>
          <w:sz w:val="24"/>
          <w:szCs w:val="24"/>
          <w:lang w:val="en-GB"/>
        </w:rPr>
        <w:t>Lauche</w:t>
      </w:r>
      <w:proofErr w:type="spellEnd"/>
      <w:r w:rsidRPr="00C41A0C">
        <w:rPr>
          <w:rFonts w:ascii="Arial" w:hAnsi="Arial" w:cs="Arial"/>
          <w:sz w:val="24"/>
          <w:szCs w:val="24"/>
          <w:lang w:val="en-GB"/>
        </w:rPr>
        <w:t xml:space="preserve"> et al., 2015)</w:t>
      </w:r>
      <w:r w:rsidRPr="00C41A0C">
        <w:rPr>
          <w:rFonts w:ascii="Arial" w:hAnsi="Arial" w:cs="Arial"/>
          <w:sz w:val="24"/>
          <w:szCs w:val="24"/>
        </w:rPr>
        <w:fldChar w:fldCharType="end"/>
      </w:r>
      <w:r w:rsidRPr="00C41A0C">
        <w:rPr>
          <w:rFonts w:ascii="Arial" w:hAnsi="Arial" w:cs="Arial"/>
          <w:sz w:val="24"/>
          <w:szCs w:val="24"/>
          <w:lang w:val="en-GB"/>
        </w:rPr>
        <w:t>. Doctors were stated to be indifferent or to be resistant to CAM and medical treatment. This is because physicians do not appreciate the advantages of holistic therapy, lack of adequate preparation and suspicions. The reliance on scientific evidence and the lack of understanding by medical professionals will lead to the lack of successful clarification of patients for complementary therapies.</w:t>
      </w:r>
    </w:p>
    <w:p w14:paraId="07A7E4D7" w14:textId="77777777" w:rsidR="00C41A0C" w:rsidRPr="00C41A0C" w:rsidRDefault="00C41A0C" w:rsidP="00C41A0C">
      <w:pPr>
        <w:rPr>
          <w:rFonts w:ascii="Arial" w:hAnsi="Arial" w:cs="Arial"/>
          <w:sz w:val="24"/>
          <w:szCs w:val="24"/>
          <w:lang w:val="en-GB"/>
        </w:rPr>
      </w:pPr>
    </w:p>
    <w:p w14:paraId="4F02B8FD" w14:textId="77777777" w:rsidR="00C41A0C" w:rsidRPr="00C41A0C" w:rsidRDefault="00C41A0C" w:rsidP="00C41A0C">
      <w:pPr>
        <w:rPr>
          <w:rFonts w:ascii="Arial" w:hAnsi="Arial" w:cs="Arial"/>
          <w:b/>
          <w:i/>
          <w:sz w:val="24"/>
          <w:szCs w:val="24"/>
          <w:lang w:val="en-GB"/>
        </w:rPr>
      </w:pPr>
      <w:r w:rsidRPr="00C41A0C">
        <w:rPr>
          <w:rFonts w:ascii="Arial" w:hAnsi="Arial" w:cs="Arial"/>
          <w:b/>
          <w:i/>
          <w:sz w:val="24"/>
          <w:szCs w:val="24"/>
          <w:lang w:val="en-GB"/>
        </w:rPr>
        <w:t>Conclusion</w:t>
      </w:r>
    </w:p>
    <w:p w14:paraId="367FAB2D"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Some studies have shown that aromatherapy overcomes respect and insanity, back pain, irresistible illnesses, dementia, and anxiety during pregnancy. Therefore, there is likely to be a place for future clinical applications of aromatherapy combinations in clinical medicine, particularly in crisis centres, organizations, and nursing offices. However, more research is required </w:t>
      </w:r>
      <w:proofErr w:type="gramStart"/>
      <w:r w:rsidRPr="00C41A0C">
        <w:rPr>
          <w:rFonts w:ascii="Arial" w:hAnsi="Arial" w:cs="Arial"/>
          <w:sz w:val="24"/>
          <w:szCs w:val="24"/>
          <w:lang w:val="en-GB"/>
        </w:rPr>
        <w:t>at a later date</w:t>
      </w:r>
      <w:proofErr w:type="gramEnd"/>
      <w:r w:rsidRPr="00C41A0C">
        <w:rPr>
          <w:rFonts w:ascii="Arial" w:hAnsi="Arial" w:cs="Arial"/>
          <w:sz w:val="24"/>
          <w:szCs w:val="24"/>
          <w:lang w:val="en-GB"/>
        </w:rPr>
        <w:t xml:space="preserve"> to determine the useful outlook and effects of the various base oils. This is because essential oils have pharmacological, antimicrobial, physiological, and mental properties. It would be a shame to do very little research on the tremendous benefits of essential oils to determine the potential for clinical recovery.</w:t>
      </w:r>
    </w:p>
    <w:p w14:paraId="5AD6AFC4"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The results shown by the specialists showed an inalienable negative attitude towards complementary therapies, and CAMs, like other health professionals, such as health authorities and experts in the United Kingdom, are extremely important. This is because specialists and other health professionals can better prepare and have a better attitude than understanding the meaning and potential of these medications and prescriptions. In fact, it can improve understanding and engagement between healthcare professionals and physicians, with the goal that clinicians can show signs of progress, service, and treatment by healthcare professionals and physicians. Furthermore, quantitative and subjective studies of the effects of therapy and CAM in the present and in the long term should be more emphasized in order to gradually obtain precise and precise information that demonstrates the constant quality, consistency and accuracy of the study. It also enables the broader community to make more comprehensive decisions in choosing the best treatment for their health.</w:t>
      </w:r>
    </w:p>
    <w:bookmarkEnd w:id="0"/>
    <w:p w14:paraId="7921EAE9" w14:textId="77777777" w:rsidR="00C41A0C" w:rsidRPr="00C41A0C" w:rsidRDefault="00C41A0C" w:rsidP="00C41A0C">
      <w:pPr>
        <w:rPr>
          <w:rFonts w:ascii="Arial" w:hAnsi="Arial" w:cs="Arial"/>
          <w:sz w:val="24"/>
          <w:szCs w:val="24"/>
          <w:lang w:val="en-GB"/>
        </w:rPr>
      </w:pPr>
    </w:p>
    <w:p w14:paraId="253DDE63"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br w:type="page"/>
      </w:r>
    </w:p>
    <w:p w14:paraId="51894B9D" w14:textId="77777777" w:rsidR="00C41A0C" w:rsidRPr="00C41A0C" w:rsidRDefault="00C41A0C" w:rsidP="00C41A0C">
      <w:pPr>
        <w:rPr>
          <w:rFonts w:ascii="Arial" w:hAnsi="Arial" w:cs="Arial"/>
          <w:b/>
          <w:i/>
          <w:sz w:val="24"/>
          <w:szCs w:val="24"/>
          <w:lang w:val="en-GB"/>
        </w:rPr>
      </w:pPr>
      <w:r w:rsidRPr="00C41A0C">
        <w:rPr>
          <w:rFonts w:ascii="Arial" w:hAnsi="Arial" w:cs="Arial"/>
          <w:sz w:val="24"/>
          <w:szCs w:val="24"/>
          <w:lang w:val="en-GB"/>
        </w:rPr>
        <w:t>References</w:t>
      </w:r>
    </w:p>
    <w:p w14:paraId="1B26A319"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fldChar w:fldCharType="begin" w:fldLock="1"/>
      </w:r>
      <w:r w:rsidRPr="00C41A0C">
        <w:rPr>
          <w:rFonts w:ascii="Arial" w:hAnsi="Arial" w:cs="Arial"/>
          <w:sz w:val="24"/>
          <w:szCs w:val="24"/>
          <w:lang w:val="en-GB"/>
        </w:rPr>
        <w:instrText xml:space="preserve">ADDIN Mendeley Bibliography CSL_BIBLIOGRAPHY </w:instrText>
      </w:r>
      <w:r w:rsidRPr="00C41A0C">
        <w:rPr>
          <w:rFonts w:ascii="Arial" w:hAnsi="Arial" w:cs="Arial"/>
          <w:sz w:val="24"/>
          <w:szCs w:val="24"/>
          <w:lang w:val="en-GB"/>
        </w:rPr>
        <w:fldChar w:fldCharType="separate"/>
      </w:r>
      <w:r w:rsidRPr="00C41A0C">
        <w:rPr>
          <w:rFonts w:ascii="Arial" w:hAnsi="Arial" w:cs="Arial"/>
          <w:sz w:val="24"/>
          <w:szCs w:val="24"/>
          <w:lang w:val="en-GB"/>
        </w:rPr>
        <w:t>Ali, B., Al-</w:t>
      </w:r>
      <w:proofErr w:type="spellStart"/>
      <w:r w:rsidRPr="00C41A0C">
        <w:rPr>
          <w:rFonts w:ascii="Arial" w:hAnsi="Arial" w:cs="Arial"/>
          <w:sz w:val="24"/>
          <w:szCs w:val="24"/>
          <w:lang w:val="en-GB"/>
        </w:rPr>
        <w:t>Wabel</w:t>
      </w:r>
      <w:proofErr w:type="spellEnd"/>
      <w:r w:rsidRPr="00C41A0C">
        <w:rPr>
          <w:rFonts w:ascii="Arial" w:hAnsi="Arial" w:cs="Arial"/>
          <w:sz w:val="24"/>
          <w:szCs w:val="24"/>
          <w:lang w:val="en-GB"/>
        </w:rPr>
        <w:t xml:space="preserve">, N.A., Shams, S., </w:t>
      </w:r>
      <w:proofErr w:type="spellStart"/>
      <w:r w:rsidRPr="00C41A0C">
        <w:rPr>
          <w:rFonts w:ascii="Arial" w:hAnsi="Arial" w:cs="Arial"/>
          <w:sz w:val="24"/>
          <w:szCs w:val="24"/>
          <w:lang w:val="en-GB"/>
        </w:rPr>
        <w:t>Ahamad</w:t>
      </w:r>
      <w:proofErr w:type="spellEnd"/>
      <w:r w:rsidRPr="00C41A0C">
        <w:rPr>
          <w:rFonts w:ascii="Arial" w:hAnsi="Arial" w:cs="Arial"/>
          <w:sz w:val="24"/>
          <w:szCs w:val="24"/>
          <w:lang w:val="en-GB"/>
        </w:rPr>
        <w:t>, A., Khan, S.A., Anwar, F., 2015. Essential oils used in aromatherapy: A systemic review. Asian Pac. J. Trop. Biomed.</w:t>
      </w:r>
    </w:p>
    <w:p w14:paraId="344BC07D"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Asher, G.N., </w:t>
      </w:r>
      <w:proofErr w:type="spellStart"/>
      <w:r w:rsidRPr="00C41A0C">
        <w:rPr>
          <w:rFonts w:ascii="Arial" w:hAnsi="Arial" w:cs="Arial"/>
          <w:sz w:val="24"/>
          <w:szCs w:val="24"/>
          <w:lang w:val="en-GB"/>
        </w:rPr>
        <w:t>Gerkin</w:t>
      </w:r>
      <w:proofErr w:type="spellEnd"/>
      <w:r w:rsidRPr="00C41A0C">
        <w:rPr>
          <w:rFonts w:ascii="Arial" w:hAnsi="Arial" w:cs="Arial"/>
          <w:sz w:val="24"/>
          <w:szCs w:val="24"/>
          <w:lang w:val="en-GB"/>
        </w:rPr>
        <w:t xml:space="preserve">, J., </w:t>
      </w:r>
      <w:proofErr w:type="spellStart"/>
      <w:r w:rsidRPr="00C41A0C">
        <w:rPr>
          <w:rFonts w:ascii="Arial" w:hAnsi="Arial" w:cs="Arial"/>
          <w:sz w:val="24"/>
          <w:szCs w:val="24"/>
          <w:lang w:val="en-GB"/>
        </w:rPr>
        <w:t>Gaynes</w:t>
      </w:r>
      <w:proofErr w:type="spellEnd"/>
      <w:r w:rsidRPr="00C41A0C">
        <w:rPr>
          <w:rFonts w:ascii="Arial" w:hAnsi="Arial" w:cs="Arial"/>
          <w:sz w:val="24"/>
          <w:szCs w:val="24"/>
          <w:lang w:val="en-GB"/>
        </w:rPr>
        <w:t>, B.N., 2017. Complementary Therapies for Mental Health Disorders. Med. Clin. North Am.</w:t>
      </w:r>
    </w:p>
    <w:p w14:paraId="59243D0C"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Borrelli, F., Ernst, E., 2010. Alternative and complementary therapies for the menopause. </w:t>
      </w:r>
      <w:proofErr w:type="spellStart"/>
      <w:r w:rsidRPr="00C41A0C">
        <w:rPr>
          <w:rFonts w:ascii="Arial" w:hAnsi="Arial" w:cs="Arial"/>
          <w:sz w:val="24"/>
          <w:szCs w:val="24"/>
          <w:lang w:val="en-GB"/>
        </w:rPr>
        <w:t>Maturitas</w:t>
      </w:r>
      <w:proofErr w:type="spellEnd"/>
      <w:r w:rsidRPr="00C41A0C">
        <w:rPr>
          <w:rFonts w:ascii="Arial" w:hAnsi="Arial" w:cs="Arial"/>
          <w:sz w:val="24"/>
          <w:szCs w:val="24"/>
          <w:lang w:val="en-GB"/>
        </w:rPr>
        <w:t>.</w:t>
      </w:r>
    </w:p>
    <w:p w14:paraId="5E46D3B1" w14:textId="77777777" w:rsidR="00C41A0C" w:rsidRPr="00C41A0C" w:rsidRDefault="00C41A0C" w:rsidP="00C41A0C">
      <w:pPr>
        <w:rPr>
          <w:rFonts w:ascii="Arial" w:hAnsi="Arial" w:cs="Arial"/>
          <w:sz w:val="24"/>
          <w:szCs w:val="24"/>
          <w:lang w:val="en-GB"/>
        </w:rPr>
      </w:pPr>
      <w:proofErr w:type="spellStart"/>
      <w:r w:rsidRPr="00C41A0C">
        <w:rPr>
          <w:rFonts w:ascii="Arial" w:hAnsi="Arial" w:cs="Arial"/>
          <w:sz w:val="24"/>
          <w:szCs w:val="24"/>
          <w:lang w:val="en-GB"/>
        </w:rPr>
        <w:t>Brondino</w:t>
      </w:r>
      <w:proofErr w:type="spellEnd"/>
      <w:r w:rsidRPr="00C41A0C">
        <w:rPr>
          <w:rFonts w:ascii="Arial" w:hAnsi="Arial" w:cs="Arial"/>
          <w:sz w:val="24"/>
          <w:szCs w:val="24"/>
          <w:lang w:val="en-GB"/>
        </w:rPr>
        <w:t xml:space="preserve">, N., </w:t>
      </w:r>
      <w:proofErr w:type="spellStart"/>
      <w:r w:rsidRPr="00C41A0C">
        <w:rPr>
          <w:rFonts w:ascii="Arial" w:hAnsi="Arial" w:cs="Arial"/>
          <w:sz w:val="24"/>
          <w:szCs w:val="24"/>
          <w:lang w:val="en-GB"/>
        </w:rPr>
        <w:t>Fusar-Poli</w:t>
      </w:r>
      <w:proofErr w:type="spellEnd"/>
      <w:r w:rsidRPr="00C41A0C">
        <w:rPr>
          <w:rFonts w:ascii="Arial" w:hAnsi="Arial" w:cs="Arial"/>
          <w:sz w:val="24"/>
          <w:szCs w:val="24"/>
          <w:lang w:val="en-GB"/>
        </w:rPr>
        <w:t xml:space="preserve">, L., </w:t>
      </w:r>
      <w:proofErr w:type="spellStart"/>
      <w:r w:rsidRPr="00C41A0C">
        <w:rPr>
          <w:rFonts w:ascii="Arial" w:hAnsi="Arial" w:cs="Arial"/>
          <w:sz w:val="24"/>
          <w:szCs w:val="24"/>
          <w:lang w:val="en-GB"/>
        </w:rPr>
        <w:t>Rocchetti</w:t>
      </w:r>
      <w:proofErr w:type="spellEnd"/>
      <w:r w:rsidRPr="00C41A0C">
        <w:rPr>
          <w:rFonts w:ascii="Arial" w:hAnsi="Arial" w:cs="Arial"/>
          <w:sz w:val="24"/>
          <w:szCs w:val="24"/>
          <w:lang w:val="en-GB"/>
        </w:rPr>
        <w:t xml:space="preserve">, M., </w:t>
      </w:r>
      <w:proofErr w:type="spellStart"/>
      <w:r w:rsidRPr="00C41A0C">
        <w:rPr>
          <w:rFonts w:ascii="Arial" w:hAnsi="Arial" w:cs="Arial"/>
          <w:sz w:val="24"/>
          <w:szCs w:val="24"/>
          <w:lang w:val="en-GB"/>
        </w:rPr>
        <w:t>Provenzani</w:t>
      </w:r>
      <w:proofErr w:type="spellEnd"/>
      <w:r w:rsidRPr="00C41A0C">
        <w:rPr>
          <w:rFonts w:ascii="Arial" w:hAnsi="Arial" w:cs="Arial"/>
          <w:sz w:val="24"/>
          <w:szCs w:val="24"/>
          <w:lang w:val="en-GB"/>
        </w:rPr>
        <w:t xml:space="preserve">, U., </w:t>
      </w:r>
      <w:proofErr w:type="spellStart"/>
      <w:r w:rsidRPr="00C41A0C">
        <w:rPr>
          <w:rFonts w:ascii="Arial" w:hAnsi="Arial" w:cs="Arial"/>
          <w:sz w:val="24"/>
          <w:szCs w:val="24"/>
          <w:lang w:val="en-GB"/>
        </w:rPr>
        <w:t>Barale</w:t>
      </w:r>
      <w:proofErr w:type="spellEnd"/>
      <w:r w:rsidRPr="00C41A0C">
        <w:rPr>
          <w:rFonts w:ascii="Arial" w:hAnsi="Arial" w:cs="Arial"/>
          <w:sz w:val="24"/>
          <w:szCs w:val="24"/>
          <w:lang w:val="en-GB"/>
        </w:rPr>
        <w:t xml:space="preserve">, F., </w:t>
      </w:r>
      <w:proofErr w:type="spellStart"/>
      <w:r w:rsidRPr="00C41A0C">
        <w:rPr>
          <w:rFonts w:ascii="Arial" w:hAnsi="Arial" w:cs="Arial"/>
          <w:sz w:val="24"/>
          <w:szCs w:val="24"/>
          <w:lang w:val="en-GB"/>
        </w:rPr>
        <w:t>Politi</w:t>
      </w:r>
      <w:proofErr w:type="spellEnd"/>
      <w:r w:rsidRPr="00C41A0C">
        <w:rPr>
          <w:rFonts w:ascii="Arial" w:hAnsi="Arial" w:cs="Arial"/>
          <w:sz w:val="24"/>
          <w:szCs w:val="24"/>
          <w:lang w:val="en-GB"/>
        </w:rPr>
        <w:t>, P., 2015. Complementary and Alternative Therapies for Autism Spectrum Disorder. Evidence-based Complement. Altern. Med.</w:t>
      </w:r>
    </w:p>
    <w:p w14:paraId="5E342170"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Conrad, P., Adams, C., 2012. The effects of clinical aromatherapy for anxiety and depression in the </w:t>
      </w:r>
      <w:proofErr w:type="gramStart"/>
      <w:r w:rsidRPr="00C41A0C">
        <w:rPr>
          <w:rFonts w:ascii="Arial" w:hAnsi="Arial" w:cs="Arial"/>
          <w:sz w:val="24"/>
          <w:szCs w:val="24"/>
          <w:lang w:val="en-GB"/>
        </w:rPr>
        <w:t>high risk</w:t>
      </w:r>
      <w:proofErr w:type="gramEnd"/>
      <w:r w:rsidRPr="00C41A0C">
        <w:rPr>
          <w:rFonts w:ascii="Arial" w:hAnsi="Arial" w:cs="Arial"/>
          <w:sz w:val="24"/>
          <w:szCs w:val="24"/>
          <w:lang w:val="en-GB"/>
        </w:rPr>
        <w:t xml:space="preserve"> postpartum woman - A pilot study. Complement. </w:t>
      </w:r>
      <w:proofErr w:type="spellStart"/>
      <w:r w:rsidRPr="00C41A0C">
        <w:rPr>
          <w:rFonts w:ascii="Arial" w:hAnsi="Arial" w:cs="Arial"/>
          <w:sz w:val="24"/>
          <w:szCs w:val="24"/>
          <w:lang w:val="en-GB"/>
        </w:rPr>
        <w:t>Ther</w:t>
      </w:r>
      <w:proofErr w:type="spellEnd"/>
      <w:r w:rsidRPr="00C41A0C">
        <w:rPr>
          <w:rFonts w:ascii="Arial" w:hAnsi="Arial" w:cs="Arial"/>
          <w:sz w:val="24"/>
          <w:szCs w:val="24"/>
          <w:lang w:val="en-GB"/>
        </w:rPr>
        <w:t xml:space="preserve">. Clin. </w:t>
      </w:r>
      <w:proofErr w:type="spellStart"/>
      <w:r w:rsidRPr="00C41A0C">
        <w:rPr>
          <w:rFonts w:ascii="Arial" w:hAnsi="Arial" w:cs="Arial"/>
          <w:sz w:val="24"/>
          <w:szCs w:val="24"/>
          <w:lang w:val="en-GB"/>
        </w:rPr>
        <w:t>Pract</w:t>
      </w:r>
      <w:proofErr w:type="spellEnd"/>
      <w:r w:rsidRPr="00C41A0C">
        <w:rPr>
          <w:rFonts w:ascii="Arial" w:hAnsi="Arial" w:cs="Arial"/>
          <w:sz w:val="24"/>
          <w:szCs w:val="24"/>
          <w:lang w:val="en-GB"/>
        </w:rPr>
        <w:t>.</w:t>
      </w:r>
    </w:p>
    <w:p w14:paraId="10F3B45C" w14:textId="77777777" w:rsidR="00C41A0C" w:rsidRPr="00C41A0C" w:rsidRDefault="00C41A0C" w:rsidP="00C41A0C">
      <w:pPr>
        <w:rPr>
          <w:rFonts w:ascii="Arial" w:hAnsi="Arial" w:cs="Arial"/>
          <w:sz w:val="24"/>
          <w:szCs w:val="24"/>
          <w:lang w:val="en-GB"/>
        </w:rPr>
      </w:pPr>
      <w:proofErr w:type="spellStart"/>
      <w:r w:rsidRPr="00C41A0C">
        <w:rPr>
          <w:rFonts w:ascii="Arial" w:hAnsi="Arial" w:cs="Arial"/>
          <w:sz w:val="24"/>
          <w:szCs w:val="24"/>
          <w:lang w:val="en-GB"/>
        </w:rPr>
        <w:t>Cosio</w:t>
      </w:r>
      <w:proofErr w:type="spellEnd"/>
      <w:r w:rsidRPr="00C41A0C">
        <w:rPr>
          <w:rFonts w:ascii="Arial" w:hAnsi="Arial" w:cs="Arial"/>
          <w:sz w:val="24"/>
          <w:szCs w:val="24"/>
          <w:lang w:val="en-GB"/>
        </w:rPr>
        <w:t xml:space="preserve">, D., Lin, E.H., 2015. Effects of a pain education program in Complementary and Alternative Medicine treatment utilization at a VA medical </w:t>
      </w:r>
      <w:proofErr w:type="spellStart"/>
      <w:r w:rsidRPr="00C41A0C">
        <w:rPr>
          <w:rFonts w:ascii="Arial" w:hAnsi="Arial" w:cs="Arial"/>
          <w:sz w:val="24"/>
          <w:szCs w:val="24"/>
          <w:lang w:val="en-GB"/>
        </w:rPr>
        <w:t>center</w:t>
      </w:r>
      <w:proofErr w:type="spellEnd"/>
      <w:r w:rsidRPr="00C41A0C">
        <w:rPr>
          <w:rFonts w:ascii="Arial" w:hAnsi="Arial" w:cs="Arial"/>
          <w:sz w:val="24"/>
          <w:szCs w:val="24"/>
          <w:lang w:val="en-GB"/>
        </w:rPr>
        <w:t xml:space="preserve">. Complement. </w:t>
      </w:r>
      <w:proofErr w:type="spellStart"/>
      <w:r w:rsidRPr="00C41A0C">
        <w:rPr>
          <w:rFonts w:ascii="Arial" w:hAnsi="Arial" w:cs="Arial"/>
          <w:sz w:val="24"/>
          <w:szCs w:val="24"/>
          <w:lang w:val="en-GB"/>
        </w:rPr>
        <w:t>Ther</w:t>
      </w:r>
      <w:proofErr w:type="spellEnd"/>
      <w:r w:rsidRPr="00C41A0C">
        <w:rPr>
          <w:rFonts w:ascii="Arial" w:hAnsi="Arial" w:cs="Arial"/>
          <w:sz w:val="24"/>
          <w:szCs w:val="24"/>
          <w:lang w:val="en-GB"/>
        </w:rPr>
        <w:t>. Med.</w:t>
      </w:r>
    </w:p>
    <w:p w14:paraId="705AEBC2" w14:textId="77777777" w:rsidR="00C41A0C" w:rsidRPr="00C41A0C" w:rsidRDefault="00C41A0C" w:rsidP="00C41A0C">
      <w:pPr>
        <w:rPr>
          <w:rFonts w:ascii="Arial" w:hAnsi="Arial" w:cs="Arial"/>
          <w:sz w:val="24"/>
          <w:szCs w:val="24"/>
          <w:lang w:val="en-GB"/>
        </w:rPr>
      </w:pPr>
      <w:proofErr w:type="spellStart"/>
      <w:r w:rsidRPr="00C41A0C">
        <w:rPr>
          <w:rFonts w:ascii="Arial" w:hAnsi="Arial" w:cs="Arial"/>
          <w:sz w:val="24"/>
          <w:szCs w:val="24"/>
          <w:lang w:val="en-GB"/>
        </w:rPr>
        <w:t>Deligiannidis</w:t>
      </w:r>
      <w:proofErr w:type="spellEnd"/>
      <w:r w:rsidRPr="00C41A0C">
        <w:rPr>
          <w:rFonts w:ascii="Arial" w:hAnsi="Arial" w:cs="Arial"/>
          <w:sz w:val="24"/>
          <w:szCs w:val="24"/>
          <w:lang w:val="en-GB"/>
        </w:rPr>
        <w:t xml:space="preserve">, K.M., Freeman, M.P., 2010. Complementary and Alternative Medicine for the Treatment of Depressive Disorders in Women. </w:t>
      </w:r>
      <w:proofErr w:type="spellStart"/>
      <w:r w:rsidRPr="00C41A0C">
        <w:rPr>
          <w:rFonts w:ascii="Arial" w:hAnsi="Arial" w:cs="Arial"/>
          <w:sz w:val="24"/>
          <w:szCs w:val="24"/>
          <w:lang w:val="en-GB"/>
        </w:rPr>
        <w:t>Psychiatr</w:t>
      </w:r>
      <w:proofErr w:type="spellEnd"/>
      <w:r w:rsidRPr="00C41A0C">
        <w:rPr>
          <w:rFonts w:ascii="Arial" w:hAnsi="Arial" w:cs="Arial"/>
          <w:sz w:val="24"/>
          <w:szCs w:val="24"/>
          <w:lang w:val="en-GB"/>
        </w:rPr>
        <w:t>. Clin. North Am.</w:t>
      </w:r>
    </w:p>
    <w:p w14:paraId="6B137679" w14:textId="77777777" w:rsidR="00C41A0C" w:rsidRPr="00C41A0C" w:rsidRDefault="00C41A0C" w:rsidP="00C41A0C">
      <w:pPr>
        <w:rPr>
          <w:rFonts w:ascii="Arial" w:hAnsi="Arial" w:cs="Arial"/>
          <w:sz w:val="24"/>
          <w:szCs w:val="24"/>
          <w:lang w:val="en-GB"/>
        </w:rPr>
      </w:pPr>
      <w:proofErr w:type="spellStart"/>
      <w:r w:rsidRPr="00C41A0C">
        <w:rPr>
          <w:rFonts w:ascii="Arial" w:hAnsi="Arial" w:cs="Arial"/>
          <w:sz w:val="24"/>
          <w:szCs w:val="24"/>
          <w:lang w:val="en-GB"/>
        </w:rPr>
        <w:t>Deligiannidis</w:t>
      </w:r>
      <w:proofErr w:type="spellEnd"/>
      <w:r w:rsidRPr="00C41A0C">
        <w:rPr>
          <w:rFonts w:ascii="Arial" w:hAnsi="Arial" w:cs="Arial"/>
          <w:sz w:val="24"/>
          <w:szCs w:val="24"/>
          <w:lang w:val="en-GB"/>
        </w:rPr>
        <w:t xml:space="preserve">, K.M., Freeman, M.P., 2014. Complementary and alternative medicine therapies for perinatal depression. Best </w:t>
      </w:r>
      <w:proofErr w:type="spellStart"/>
      <w:r w:rsidRPr="00C41A0C">
        <w:rPr>
          <w:rFonts w:ascii="Arial" w:hAnsi="Arial" w:cs="Arial"/>
          <w:sz w:val="24"/>
          <w:szCs w:val="24"/>
          <w:lang w:val="en-GB"/>
        </w:rPr>
        <w:t>Pract</w:t>
      </w:r>
      <w:proofErr w:type="spellEnd"/>
      <w:r w:rsidRPr="00C41A0C">
        <w:rPr>
          <w:rFonts w:ascii="Arial" w:hAnsi="Arial" w:cs="Arial"/>
          <w:sz w:val="24"/>
          <w:szCs w:val="24"/>
          <w:lang w:val="en-GB"/>
        </w:rPr>
        <w:t xml:space="preserve">. Res. Clin. Obstet. </w:t>
      </w:r>
      <w:proofErr w:type="spellStart"/>
      <w:r w:rsidRPr="00C41A0C">
        <w:rPr>
          <w:rFonts w:ascii="Arial" w:hAnsi="Arial" w:cs="Arial"/>
          <w:sz w:val="24"/>
          <w:szCs w:val="24"/>
          <w:lang w:val="en-GB"/>
        </w:rPr>
        <w:t>Gynaecol</w:t>
      </w:r>
      <w:proofErr w:type="spellEnd"/>
      <w:r w:rsidRPr="00C41A0C">
        <w:rPr>
          <w:rFonts w:ascii="Arial" w:hAnsi="Arial" w:cs="Arial"/>
          <w:sz w:val="24"/>
          <w:szCs w:val="24"/>
          <w:lang w:val="en-GB"/>
        </w:rPr>
        <w:t>.</w:t>
      </w:r>
    </w:p>
    <w:p w14:paraId="64B4E9AE"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Fernández-</w:t>
      </w:r>
      <w:proofErr w:type="spellStart"/>
      <w:r w:rsidRPr="00C41A0C">
        <w:rPr>
          <w:rFonts w:ascii="Arial" w:hAnsi="Arial" w:cs="Arial"/>
          <w:sz w:val="24"/>
          <w:szCs w:val="24"/>
          <w:lang w:val="en-GB"/>
        </w:rPr>
        <w:t>Llanio</w:t>
      </w:r>
      <w:proofErr w:type="spellEnd"/>
      <w:r w:rsidRPr="00C41A0C">
        <w:rPr>
          <w:rFonts w:ascii="Arial" w:hAnsi="Arial" w:cs="Arial"/>
          <w:sz w:val="24"/>
          <w:szCs w:val="24"/>
          <w:lang w:val="en-GB"/>
        </w:rPr>
        <w:t xml:space="preserve"> </w:t>
      </w:r>
      <w:proofErr w:type="spellStart"/>
      <w:r w:rsidRPr="00C41A0C">
        <w:rPr>
          <w:rFonts w:ascii="Arial" w:hAnsi="Arial" w:cs="Arial"/>
          <w:sz w:val="24"/>
          <w:szCs w:val="24"/>
          <w:lang w:val="en-GB"/>
        </w:rPr>
        <w:t>Comella</w:t>
      </w:r>
      <w:proofErr w:type="spellEnd"/>
      <w:r w:rsidRPr="00C41A0C">
        <w:rPr>
          <w:rFonts w:ascii="Arial" w:hAnsi="Arial" w:cs="Arial"/>
          <w:sz w:val="24"/>
          <w:szCs w:val="24"/>
          <w:lang w:val="en-GB"/>
        </w:rPr>
        <w:t xml:space="preserve">, N., Fernández </w:t>
      </w:r>
      <w:proofErr w:type="spellStart"/>
      <w:r w:rsidRPr="00C41A0C">
        <w:rPr>
          <w:rFonts w:ascii="Arial" w:hAnsi="Arial" w:cs="Arial"/>
          <w:sz w:val="24"/>
          <w:szCs w:val="24"/>
          <w:lang w:val="en-GB"/>
        </w:rPr>
        <w:t>Matilla</w:t>
      </w:r>
      <w:proofErr w:type="spellEnd"/>
      <w:r w:rsidRPr="00C41A0C">
        <w:rPr>
          <w:rFonts w:ascii="Arial" w:hAnsi="Arial" w:cs="Arial"/>
          <w:sz w:val="24"/>
          <w:szCs w:val="24"/>
          <w:lang w:val="en-GB"/>
        </w:rPr>
        <w:t xml:space="preserve">, M., Castellano Cuesta, J.A., 2016. Have complementary therapies demonstrated effectiveness in rheumatoid arthritis? </w:t>
      </w:r>
      <w:proofErr w:type="spellStart"/>
      <w:r w:rsidRPr="00C41A0C">
        <w:rPr>
          <w:rFonts w:ascii="Arial" w:hAnsi="Arial" w:cs="Arial"/>
          <w:sz w:val="24"/>
          <w:szCs w:val="24"/>
          <w:lang w:val="en-GB"/>
        </w:rPr>
        <w:t>Reumatol</w:t>
      </w:r>
      <w:proofErr w:type="spellEnd"/>
      <w:r w:rsidRPr="00C41A0C">
        <w:rPr>
          <w:rFonts w:ascii="Arial" w:hAnsi="Arial" w:cs="Arial"/>
          <w:sz w:val="24"/>
          <w:szCs w:val="24"/>
          <w:lang w:val="en-GB"/>
        </w:rPr>
        <w:t>. Clin.</w:t>
      </w:r>
    </w:p>
    <w:p w14:paraId="0B759D71"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Forrester, L.T., </w:t>
      </w:r>
      <w:proofErr w:type="spellStart"/>
      <w:r w:rsidRPr="00C41A0C">
        <w:rPr>
          <w:rFonts w:ascii="Arial" w:hAnsi="Arial" w:cs="Arial"/>
          <w:sz w:val="24"/>
          <w:szCs w:val="24"/>
          <w:lang w:val="en-GB"/>
        </w:rPr>
        <w:t>Maayan</w:t>
      </w:r>
      <w:proofErr w:type="spellEnd"/>
      <w:r w:rsidRPr="00C41A0C">
        <w:rPr>
          <w:rFonts w:ascii="Arial" w:hAnsi="Arial" w:cs="Arial"/>
          <w:sz w:val="24"/>
          <w:szCs w:val="24"/>
          <w:lang w:val="en-GB"/>
        </w:rPr>
        <w:t xml:space="preserve">, N., </w:t>
      </w:r>
      <w:proofErr w:type="spellStart"/>
      <w:r w:rsidRPr="00C41A0C">
        <w:rPr>
          <w:rFonts w:ascii="Arial" w:hAnsi="Arial" w:cs="Arial"/>
          <w:sz w:val="24"/>
          <w:szCs w:val="24"/>
          <w:lang w:val="en-GB"/>
        </w:rPr>
        <w:t>Orrell</w:t>
      </w:r>
      <w:proofErr w:type="spellEnd"/>
      <w:r w:rsidRPr="00C41A0C">
        <w:rPr>
          <w:rFonts w:ascii="Arial" w:hAnsi="Arial" w:cs="Arial"/>
          <w:sz w:val="24"/>
          <w:szCs w:val="24"/>
          <w:lang w:val="en-GB"/>
        </w:rPr>
        <w:t>, M., Spector, A.E., Buchan, L.D., Soares-Weiser, K., 2014. Aromatherapy for dementia. Cochrane Database Syst. Rev.</w:t>
      </w:r>
    </w:p>
    <w:p w14:paraId="3A25BABD"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Hall, H.G., Griffiths, D.L., McKenna, L.G., 2011. The use of complementary and alternative medicine by pregnant women: A literature review. Midwifery.</w:t>
      </w:r>
    </w:p>
    <w:p w14:paraId="5479B176"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Hamlin, A.S., Robertson, T.M., 2017. Pain and Complementary Therapies. Crit. Care </w:t>
      </w:r>
      <w:proofErr w:type="spellStart"/>
      <w:r w:rsidRPr="00C41A0C">
        <w:rPr>
          <w:rFonts w:ascii="Arial" w:hAnsi="Arial" w:cs="Arial"/>
          <w:sz w:val="24"/>
          <w:szCs w:val="24"/>
          <w:lang w:val="en-GB"/>
        </w:rPr>
        <w:t>Nurs</w:t>
      </w:r>
      <w:proofErr w:type="spellEnd"/>
      <w:r w:rsidRPr="00C41A0C">
        <w:rPr>
          <w:rFonts w:ascii="Arial" w:hAnsi="Arial" w:cs="Arial"/>
          <w:sz w:val="24"/>
          <w:szCs w:val="24"/>
          <w:lang w:val="en-GB"/>
        </w:rPr>
        <w:t>. Clin. North Am.</w:t>
      </w:r>
    </w:p>
    <w:p w14:paraId="5B99DCAC"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Khanna, S., Greeson, J.M., 2013. A narrative review of yoga and mindfulness as complementary therapies for addiction. Complement. </w:t>
      </w:r>
      <w:proofErr w:type="spellStart"/>
      <w:r w:rsidRPr="00C41A0C">
        <w:rPr>
          <w:rFonts w:ascii="Arial" w:hAnsi="Arial" w:cs="Arial"/>
          <w:sz w:val="24"/>
          <w:szCs w:val="24"/>
          <w:lang w:val="en-GB"/>
        </w:rPr>
        <w:t>Ther</w:t>
      </w:r>
      <w:proofErr w:type="spellEnd"/>
      <w:r w:rsidRPr="00C41A0C">
        <w:rPr>
          <w:rFonts w:ascii="Arial" w:hAnsi="Arial" w:cs="Arial"/>
          <w:sz w:val="24"/>
          <w:szCs w:val="24"/>
          <w:lang w:val="en-GB"/>
        </w:rPr>
        <w:t>. Med.</w:t>
      </w:r>
    </w:p>
    <w:p w14:paraId="38B3A666" w14:textId="77777777" w:rsidR="00C41A0C" w:rsidRPr="00C41A0C" w:rsidRDefault="00C41A0C" w:rsidP="00C41A0C">
      <w:pPr>
        <w:rPr>
          <w:rFonts w:ascii="Arial" w:hAnsi="Arial" w:cs="Arial"/>
          <w:sz w:val="24"/>
          <w:szCs w:val="24"/>
          <w:lang w:val="en-GB"/>
        </w:rPr>
      </w:pPr>
      <w:proofErr w:type="spellStart"/>
      <w:r w:rsidRPr="00C41A0C">
        <w:rPr>
          <w:rFonts w:ascii="Arial" w:hAnsi="Arial" w:cs="Arial"/>
          <w:sz w:val="24"/>
          <w:szCs w:val="24"/>
          <w:lang w:val="en-GB"/>
        </w:rPr>
        <w:t>Kramlich</w:t>
      </w:r>
      <w:proofErr w:type="spellEnd"/>
      <w:r w:rsidRPr="00C41A0C">
        <w:rPr>
          <w:rFonts w:ascii="Arial" w:hAnsi="Arial" w:cs="Arial"/>
          <w:sz w:val="24"/>
          <w:szCs w:val="24"/>
          <w:lang w:val="en-GB"/>
        </w:rPr>
        <w:t>, D., 2014. Introduction to complementary, alternative, and traditional therapies. Crit. Care Nurse.</w:t>
      </w:r>
    </w:p>
    <w:p w14:paraId="5F0370D1" w14:textId="77777777" w:rsidR="00C41A0C" w:rsidRPr="00C41A0C" w:rsidRDefault="00C41A0C" w:rsidP="00C41A0C">
      <w:pPr>
        <w:rPr>
          <w:rFonts w:ascii="Arial" w:hAnsi="Arial" w:cs="Arial"/>
          <w:sz w:val="24"/>
          <w:szCs w:val="24"/>
          <w:lang w:val="en-GB"/>
        </w:rPr>
      </w:pPr>
      <w:proofErr w:type="spellStart"/>
      <w:r w:rsidRPr="00C41A0C">
        <w:rPr>
          <w:rFonts w:ascii="Arial" w:hAnsi="Arial" w:cs="Arial"/>
          <w:sz w:val="24"/>
          <w:szCs w:val="24"/>
          <w:lang w:val="en-GB"/>
        </w:rPr>
        <w:t>Lauche</w:t>
      </w:r>
      <w:proofErr w:type="spellEnd"/>
      <w:r w:rsidRPr="00C41A0C">
        <w:rPr>
          <w:rFonts w:ascii="Arial" w:hAnsi="Arial" w:cs="Arial"/>
          <w:sz w:val="24"/>
          <w:szCs w:val="24"/>
          <w:lang w:val="en-GB"/>
        </w:rPr>
        <w:t xml:space="preserve">, R., Cramer, H., </w:t>
      </w:r>
      <w:proofErr w:type="spellStart"/>
      <w:r w:rsidRPr="00C41A0C">
        <w:rPr>
          <w:rFonts w:ascii="Arial" w:hAnsi="Arial" w:cs="Arial"/>
          <w:sz w:val="24"/>
          <w:szCs w:val="24"/>
          <w:lang w:val="en-GB"/>
        </w:rPr>
        <w:t>Haüser</w:t>
      </w:r>
      <w:proofErr w:type="spellEnd"/>
      <w:r w:rsidRPr="00C41A0C">
        <w:rPr>
          <w:rFonts w:ascii="Arial" w:hAnsi="Arial" w:cs="Arial"/>
          <w:sz w:val="24"/>
          <w:szCs w:val="24"/>
          <w:lang w:val="en-GB"/>
        </w:rPr>
        <w:t xml:space="preserve">, W., </w:t>
      </w:r>
      <w:proofErr w:type="spellStart"/>
      <w:r w:rsidRPr="00C41A0C">
        <w:rPr>
          <w:rFonts w:ascii="Arial" w:hAnsi="Arial" w:cs="Arial"/>
          <w:sz w:val="24"/>
          <w:szCs w:val="24"/>
          <w:lang w:val="en-GB"/>
        </w:rPr>
        <w:t>Dobos</w:t>
      </w:r>
      <w:proofErr w:type="spellEnd"/>
      <w:r w:rsidRPr="00C41A0C">
        <w:rPr>
          <w:rFonts w:ascii="Arial" w:hAnsi="Arial" w:cs="Arial"/>
          <w:sz w:val="24"/>
          <w:szCs w:val="24"/>
          <w:lang w:val="en-GB"/>
        </w:rPr>
        <w:t>, G., Langhorst, J., 2015. A Systematic Overview of Reviews for Complementary and Alternative Therapies in the Treatment of the Fibromyalgia Syndrome. Evidence-based Complement. Altern. Med.</w:t>
      </w:r>
    </w:p>
    <w:p w14:paraId="220BF2FF"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Mayberry, J.F., 2017. Clinically applied </w:t>
      </w:r>
      <w:proofErr w:type="spellStart"/>
      <w:r w:rsidRPr="00C41A0C">
        <w:rPr>
          <w:rFonts w:ascii="Arial" w:hAnsi="Arial" w:cs="Arial"/>
          <w:sz w:val="24"/>
          <w:szCs w:val="24"/>
          <w:lang w:val="en-GB"/>
        </w:rPr>
        <w:t>Hijama</w:t>
      </w:r>
      <w:proofErr w:type="spellEnd"/>
      <w:r w:rsidRPr="00C41A0C">
        <w:rPr>
          <w:rFonts w:ascii="Arial" w:hAnsi="Arial" w:cs="Arial"/>
          <w:sz w:val="24"/>
          <w:szCs w:val="24"/>
          <w:lang w:val="en-GB"/>
        </w:rPr>
        <w:t xml:space="preserve"> therapy in the United Kingdom: The need for statutory regulations. J. Muslim Minor. </w:t>
      </w:r>
      <w:proofErr w:type="spellStart"/>
      <w:r w:rsidRPr="00C41A0C">
        <w:rPr>
          <w:rFonts w:ascii="Arial" w:hAnsi="Arial" w:cs="Arial"/>
          <w:sz w:val="24"/>
          <w:szCs w:val="24"/>
          <w:lang w:val="en-GB"/>
        </w:rPr>
        <w:t>Aff</w:t>
      </w:r>
      <w:proofErr w:type="spellEnd"/>
      <w:r w:rsidRPr="00C41A0C">
        <w:rPr>
          <w:rFonts w:ascii="Arial" w:hAnsi="Arial" w:cs="Arial"/>
          <w:sz w:val="24"/>
          <w:szCs w:val="24"/>
          <w:lang w:val="en-GB"/>
        </w:rPr>
        <w:t>.</w:t>
      </w:r>
    </w:p>
    <w:p w14:paraId="3F75D7C9" w14:textId="77777777" w:rsidR="00C41A0C" w:rsidRPr="00C41A0C" w:rsidRDefault="00C41A0C" w:rsidP="00C41A0C">
      <w:pPr>
        <w:rPr>
          <w:rFonts w:ascii="Arial" w:hAnsi="Arial" w:cs="Arial"/>
          <w:sz w:val="24"/>
          <w:szCs w:val="24"/>
          <w:lang w:val="en-GB"/>
        </w:rPr>
      </w:pPr>
      <w:proofErr w:type="spellStart"/>
      <w:r w:rsidRPr="00C41A0C">
        <w:rPr>
          <w:rFonts w:ascii="Arial" w:hAnsi="Arial" w:cs="Arial"/>
          <w:sz w:val="24"/>
          <w:szCs w:val="24"/>
          <w:lang w:val="en-GB"/>
        </w:rPr>
        <w:t>Nadareishvili</w:t>
      </w:r>
      <w:proofErr w:type="spellEnd"/>
      <w:r w:rsidRPr="00C41A0C">
        <w:rPr>
          <w:rFonts w:ascii="Arial" w:hAnsi="Arial" w:cs="Arial"/>
          <w:sz w:val="24"/>
          <w:szCs w:val="24"/>
          <w:lang w:val="en-GB"/>
        </w:rPr>
        <w:t xml:space="preserve">, I., </w:t>
      </w:r>
      <w:proofErr w:type="spellStart"/>
      <w:r w:rsidRPr="00C41A0C">
        <w:rPr>
          <w:rFonts w:ascii="Arial" w:hAnsi="Arial" w:cs="Arial"/>
          <w:sz w:val="24"/>
          <w:szCs w:val="24"/>
          <w:lang w:val="en-GB"/>
        </w:rPr>
        <w:t>Pkhakadze</w:t>
      </w:r>
      <w:proofErr w:type="spellEnd"/>
      <w:r w:rsidRPr="00C41A0C">
        <w:rPr>
          <w:rFonts w:ascii="Arial" w:hAnsi="Arial" w:cs="Arial"/>
          <w:sz w:val="24"/>
          <w:szCs w:val="24"/>
          <w:lang w:val="en-GB"/>
        </w:rPr>
        <w:t xml:space="preserve">, G., </w:t>
      </w:r>
      <w:proofErr w:type="spellStart"/>
      <w:r w:rsidRPr="00C41A0C">
        <w:rPr>
          <w:rFonts w:ascii="Arial" w:hAnsi="Arial" w:cs="Arial"/>
          <w:sz w:val="24"/>
          <w:szCs w:val="24"/>
          <w:lang w:val="en-GB"/>
        </w:rPr>
        <w:t>Tskitishvili</w:t>
      </w:r>
      <w:proofErr w:type="spellEnd"/>
      <w:r w:rsidRPr="00C41A0C">
        <w:rPr>
          <w:rFonts w:ascii="Arial" w:hAnsi="Arial" w:cs="Arial"/>
          <w:sz w:val="24"/>
          <w:szCs w:val="24"/>
          <w:lang w:val="en-GB"/>
        </w:rPr>
        <w:t xml:space="preserve">, A., </w:t>
      </w:r>
      <w:proofErr w:type="spellStart"/>
      <w:r w:rsidRPr="00C41A0C">
        <w:rPr>
          <w:rFonts w:ascii="Arial" w:hAnsi="Arial" w:cs="Arial"/>
          <w:sz w:val="24"/>
          <w:szCs w:val="24"/>
          <w:lang w:val="en-GB"/>
        </w:rPr>
        <w:t>Bakuradze</w:t>
      </w:r>
      <w:proofErr w:type="spellEnd"/>
      <w:r w:rsidRPr="00C41A0C">
        <w:rPr>
          <w:rFonts w:ascii="Arial" w:hAnsi="Arial" w:cs="Arial"/>
          <w:sz w:val="24"/>
          <w:szCs w:val="24"/>
          <w:lang w:val="en-GB"/>
        </w:rPr>
        <w:t xml:space="preserve">, N., </w:t>
      </w:r>
      <w:proofErr w:type="spellStart"/>
      <w:r w:rsidRPr="00C41A0C">
        <w:rPr>
          <w:rFonts w:ascii="Arial" w:hAnsi="Arial" w:cs="Arial"/>
          <w:sz w:val="24"/>
          <w:szCs w:val="24"/>
          <w:lang w:val="en-GB"/>
        </w:rPr>
        <w:t>Lunze</w:t>
      </w:r>
      <w:proofErr w:type="spellEnd"/>
      <w:r w:rsidRPr="00C41A0C">
        <w:rPr>
          <w:rFonts w:ascii="Arial" w:hAnsi="Arial" w:cs="Arial"/>
          <w:sz w:val="24"/>
          <w:szCs w:val="24"/>
          <w:lang w:val="en-GB"/>
        </w:rPr>
        <w:t xml:space="preserve">, K., 2019. Georgia’s healthcare system and integration of complementary medicine. Complement. </w:t>
      </w:r>
      <w:proofErr w:type="spellStart"/>
      <w:r w:rsidRPr="00C41A0C">
        <w:rPr>
          <w:rFonts w:ascii="Arial" w:hAnsi="Arial" w:cs="Arial"/>
          <w:sz w:val="24"/>
          <w:szCs w:val="24"/>
          <w:lang w:val="en-GB"/>
        </w:rPr>
        <w:t>Ther</w:t>
      </w:r>
      <w:proofErr w:type="spellEnd"/>
      <w:r w:rsidRPr="00C41A0C">
        <w:rPr>
          <w:rFonts w:ascii="Arial" w:hAnsi="Arial" w:cs="Arial"/>
          <w:sz w:val="24"/>
          <w:szCs w:val="24"/>
          <w:lang w:val="en-GB"/>
        </w:rPr>
        <w:t>. Med.</w:t>
      </w:r>
    </w:p>
    <w:p w14:paraId="26E407DF"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Prasad, K., Sharma, V., </w:t>
      </w:r>
      <w:proofErr w:type="spellStart"/>
      <w:r w:rsidRPr="00C41A0C">
        <w:rPr>
          <w:rFonts w:ascii="Arial" w:hAnsi="Arial" w:cs="Arial"/>
          <w:sz w:val="24"/>
          <w:szCs w:val="24"/>
          <w:lang w:val="en-GB"/>
        </w:rPr>
        <w:t>Lackore</w:t>
      </w:r>
      <w:proofErr w:type="spellEnd"/>
      <w:r w:rsidRPr="00C41A0C">
        <w:rPr>
          <w:rFonts w:ascii="Arial" w:hAnsi="Arial" w:cs="Arial"/>
          <w:sz w:val="24"/>
          <w:szCs w:val="24"/>
          <w:lang w:val="en-GB"/>
        </w:rPr>
        <w:t xml:space="preserve">, K., Jenkins, S.M., Prasad, A., </w:t>
      </w:r>
      <w:proofErr w:type="spellStart"/>
      <w:r w:rsidRPr="00C41A0C">
        <w:rPr>
          <w:rFonts w:ascii="Arial" w:hAnsi="Arial" w:cs="Arial"/>
          <w:sz w:val="24"/>
          <w:szCs w:val="24"/>
          <w:lang w:val="en-GB"/>
        </w:rPr>
        <w:t>Sood</w:t>
      </w:r>
      <w:proofErr w:type="spellEnd"/>
      <w:r w:rsidRPr="00C41A0C">
        <w:rPr>
          <w:rFonts w:ascii="Arial" w:hAnsi="Arial" w:cs="Arial"/>
          <w:sz w:val="24"/>
          <w:szCs w:val="24"/>
          <w:lang w:val="en-GB"/>
        </w:rPr>
        <w:t xml:space="preserve">, A., 2013. Use of complementary therapies in cardiovascular disease. Am. J. </w:t>
      </w:r>
      <w:proofErr w:type="spellStart"/>
      <w:r w:rsidRPr="00C41A0C">
        <w:rPr>
          <w:rFonts w:ascii="Arial" w:hAnsi="Arial" w:cs="Arial"/>
          <w:sz w:val="24"/>
          <w:szCs w:val="24"/>
          <w:lang w:val="en-GB"/>
        </w:rPr>
        <w:t>Cardiol</w:t>
      </w:r>
      <w:proofErr w:type="spellEnd"/>
      <w:r w:rsidRPr="00C41A0C">
        <w:rPr>
          <w:rFonts w:ascii="Arial" w:hAnsi="Arial" w:cs="Arial"/>
          <w:sz w:val="24"/>
          <w:szCs w:val="24"/>
          <w:lang w:val="en-GB"/>
        </w:rPr>
        <w:t>.</w:t>
      </w:r>
    </w:p>
    <w:p w14:paraId="150EC54A"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Quezada, S.M., Briscoe, J., Cross, R.K., 2016. Complementary and alternative medicine. </w:t>
      </w:r>
      <w:proofErr w:type="spellStart"/>
      <w:r w:rsidRPr="00C41A0C">
        <w:rPr>
          <w:rFonts w:ascii="Arial" w:hAnsi="Arial" w:cs="Arial"/>
          <w:sz w:val="24"/>
          <w:szCs w:val="24"/>
          <w:lang w:val="en-GB"/>
        </w:rPr>
        <w:t>Inflamm</w:t>
      </w:r>
      <w:proofErr w:type="spellEnd"/>
      <w:r w:rsidRPr="00C41A0C">
        <w:rPr>
          <w:rFonts w:ascii="Arial" w:hAnsi="Arial" w:cs="Arial"/>
          <w:sz w:val="24"/>
          <w:szCs w:val="24"/>
          <w:lang w:val="en-GB"/>
        </w:rPr>
        <w:t>. Bowel Dis.</w:t>
      </w:r>
    </w:p>
    <w:p w14:paraId="72B36219" w14:textId="77777777" w:rsidR="00C41A0C" w:rsidRPr="00C41A0C" w:rsidRDefault="00C41A0C" w:rsidP="00C41A0C">
      <w:pPr>
        <w:rPr>
          <w:rFonts w:ascii="Arial" w:hAnsi="Arial" w:cs="Arial"/>
          <w:sz w:val="24"/>
          <w:szCs w:val="24"/>
          <w:lang w:val="en-GB"/>
        </w:rPr>
      </w:pPr>
      <w:proofErr w:type="spellStart"/>
      <w:r w:rsidRPr="00C41A0C">
        <w:rPr>
          <w:rFonts w:ascii="Arial" w:hAnsi="Arial" w:cs="Arial"/>
          <w:sz w:val="24"/>
          <w:szCs w:val="24"/>
          <w:lang w:val="en-GB"/>
        </w:rPr>
        <w:t>Raditic</w:t>
      </w:r>
      <w:proofErr w:type="spellEnd"/>
      <w:r w:rsidRPr="00C41A0C">
        <w:rPr>
          <w:rFonts w:ascii="Arial" w:hAnsi="Arial" w:cs="Arial"/>
          <w:sz w:val="24"/>
          <w:szCs w:val="24"/>
          <w:lang w:val="en-GB"/>
        </w:rPr>
        <w:t xml:space="preserve">, D.M., 2015. Complementary and Integrative Therapies for Lower Urinary Tract Diseases. Vet. Clin. North Am. - Small Anim. </w:t>
      </w:r>
      <w:proofErr w:type="spellStart"/>
      <w:r w:rsidRPr="00C41A0C">
        <w:rPr>
          <w:rFonts w:ascii="Arial" w:hAnsi="Arial" w:cs="Arial"/>
          <w:sz w:val="24"/>
          <w:szCs w:val="24"/>
          <w:lang w:val="en-GB"/>
        </w:rPr>
        <w:t>Pract</w:t>
      </w:r>
      <w:proofErr w:type="spellEnd"/>
      <w:r w:rsidRPr="00C41A0C">
        <w:rPr>
          <w:rFonts w:ascii="Arial" w:hAnsi="Arial" w:cs="Arial"/>
          <w:sz w:val="24"/>
          <w:szCs w:val="24"/>
          <w:lang w:val="en-GB"/>
        </w:rPr>
        <w:t>.</w:t>
      </w:r>
    </w:p>
    <w:p w14:paraId="66C75E74" w14:textId="77777777" w:rsidR="00C41A0C" w:rsidRPr="00C41A0C" w:rsidRDefault="00C41A0C" w:rsidP="00C41A0C">
      <w:pPr>
        <w:rPr>
          <w:rFonts w:ascii="Arial" w:hAnsi="Arial" w:cs="Arial"/>
          <w:sz w:val="24"/>
          <w:szCs w:val="24"/>
          <w:lang w:val="en-GB"/>
        </w:rPr>
      </w:pPr>
      <w:proofErr w:type="spellStart"/>
      <w:r w:rsidRPr="00C41A0C">
        <w:rPr>
          <w:rFonts w:ascii="Arial" w:hAnsi="Arial" w:cs="Arial"/>
          <w:sz w:val="24"/>
          <w:szCs w:val="24"/>
          <w:lang w:val="en-GB"/>
        </w:rPr>
        <w:t>Shengelia</w:t>
      </w:r>
      <w:proofErr w:type="spellEnd"/>
      <w:r w:rsidRPr="00C41A0C">
        <w:rPr>
          <w:rFonts w:ascii="Arial" w:hAnsi="Arial" w:cs="Arial"/>
          <w:sz w:val="24"/>
          <w:szCs w:val="24"/>
          <w:lang w:val="en-GB"/>
        </w:rPr>
        <w:t xml:space="preserve">, R., Parker, S.J., </w:t>
      </w:r>
      <w:proofErr w:type="spellStart"/>
      <w:r w:rsidRPr="00C41A0C">
        <w:rPr>
          <w:rFonts w:ascii="Arial" w:hAnsi="Arial" w:cs="Arial"/>
          <w:sz w:val="24"/>
          <w:szCs w:val="24"/>
          <w:lang w:val="en-GB"/>
        </w:rPr>
        <w:t>Ballin</w:t>
      </w:r>
      <w:proofErr w:type="spellEnd"/>
      <w:r w:rsidRPr="00C41A0C">
        <w:rPr>
          <w:rFonts w:ascii="Arial" w:hAnsi="Arial" w:cs="Arial"/>
          <w:sz w:val="24"/>
          <w:szCs w:val="24"/>
          <w:lang w:val="en-GB"/>
        </w:rPr>
        <w:t xml:space="preserve">, M., George, T., Reid, M.C., 2013. Complementary therapies for osteoarthritis: Are they effective? Pain </w:t>
      </w:r>
      <w:proofErr w:type="spellStart"/>
      <w:r w:rsidRPr="00C41A0C">
        <w:rPr>
          <w:rFonts w:ascii="Arial" w:hAnsi="Arial" w:cs="Arial"/>
          <w:sz w:val="24"/>
          <w:szCs w:val="24"/>
          <w:lang w:val="en-GB"/>
        </w:rPr>
        <w:t>Manag</w:t>
      </w:r>
      <w:proofErr w:type="spellEnd"/>
      <w:r w:rsidRPr="00C41A0C">
        <w:rPr>
          <w:rFonts w:ascii="Arial" w:hAnsi="Arial" w:cs="Arial"/>
          <w:sz w:val="24"/>
          <w:szCs w:val="24"/>
          <w:lang w:val="en-GB"/>
        </w:rPr>
        <w:t xml:space="preserve">. </w:t>
      </w:r>
      <w:proofErr w:type="spellStart"/>
      <w:r w:rsidRPr="00C41A0C">
        <w:rPr>
          <w:rFonts w:ascii="Arial" w:hAnsi="Arial" w:cs="Arial"/>
          <w:sz w:val="24"/>
          <w:szCs w:val="24"/>
          <w:lang w:val="en-GB"/>
        </w:rPr>
        <w:t>Nurs</w:t>
      </w:r>
      <w:proofErr w:type="spellEnd"/>
      <w:r w:rsidRPr="00C41A0C">
        <w:rPr>
          <w:rFonts w:ascii="Arial" w:hAnsi="Arial" w:cs="Arial"/>
          <w:sz w:val="24"/>
          <w:szCs w:val="24"/>
          <w:lang w:val="en-GB"/>
        </w:rPr>
        <w:t>.</w:t>
      </w:r>
    </w:p>
    <w:p w14:paraId="097F6E46" w14:textId="77777777" w:rsidR="00C41A0C" w:rsidRPr="00C41A0C" w:rsidRDefault="00C41A0C" w:rsidP="00C41A0C">
      <w:pPr>
        <w:rPr>
          <w:rFonts w:ascii="Arial" w:hAnsi="Arial" w:cs="Arial"/>
          <w:sz w:val="24"/>
          <w:szCs w:val="24"/>
          <w:lang w:val="en-GB"/>
        </w:rPr>
      </w:pPr>
      <w:r w:rsidRPr="00C41A0C">
        <w:rPr>
          <w:rFonts w:ascii="Arial" w:hAnsi="Arial" w:cs="Arial"/>
          <w:sz w:val="24"/>
          <w:szCs w:val="24"/>
          <w:lang w:val="en-GB"/>
        </w:rPr>
        <w:t xml:space="preserve">Shin, E.S., </w:t>
      </w:r>
      <w:proofErr w:type="spellStart"/>
      <w:r w:rsidRPr="00C41A0C">
        <w:rPr>
          <w:rFonts w:ascii="Arial" w:hAnsi="Arial" w:cs="Arial"/>
          <w:sz w:val="24"/>
          <w:szCs w:val="24"/>
          <w:lang w:val="en-GB"/>
        </w:rPr>
        <w:t>Seo</w:t>
      </w:r>
      <w:proofErr w:type="spellEnd"/>
      <w:r w:rsidRPr="00C41A0C">
        <w:rPr>
          <w:rFonts w:ascii="Arial" w:hAnsi="Arial" w:cs="Arial"/>
          <w:sz w:val="24"/>
          <w:szCs w:val="24"/>
          <w:lang w:val="en-GB"/>
        </w:rPr>
        <w:t>, K.H., Lee, S.H., Jang, J.E., Jung, Y.M., Kim, M.J., Yeon, J.Y., 2016. Massage with or without aromatherapy for symptom relief in people with cancer. Cochrane Database Syst. Rev.</w:t>
      </w:r>
    </w:p>
    <w:p w14:paraId="0BBE0E34" w14:textId="78B616A5" w:rsidR="00C41A0C" w:rsidRPr="001C0A5E" w:rsidRDefault="00C41A0C" w:rsidP="00C41A0C">
      <w:pPr>
        <w:rPr>
          <w:rFonts w:ascii="Arial" w:hAnsi="Arial" w:cs="Arial"/>
          <w:sz w:val="24"/>
          <w:szCs w:val="24"/>
        </w:rPr>
      </w:pPr>
      <w:r w:rsidRPr="00C41A0C">
        <w:rPr>
          <w:rFonts w:ascii="Arial" w:hAnsi="Arial" w:cs="Arial"/>
          <w:sz w:val="24"/>
          <w:szCs w:val="24"/>
        </w:rPr>
        <w:fldChar w:fldCharType="end"/>
      </w:r>
    </w:p>
    <w:p w14:paraId="2D7BC648" w14:textId="77777777" w:rsidR="001C0A5E" w:rsidRPr="004534CE" w:rsidRDefault="001C0A5E">
      <w:pPr>
        <w:rPr>
          <w:rFonts w:ascii="Arial" w:hAnsi="Arial" w:cs="Arial"/>
          <w:sz w:val="24"/>
          <w:szCs w:val="24"/>
        </w:rPr>
      </w:pPr>
    </w:p>
    <w:sectPr w:rsidR="001C0A5E" w:rsidRPr="004534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7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149"/>
    <w:rsid w:val="001C0A5E"/>
    <w:rsid w:val="004534CE"/>
    <w:rsid w:val="00473149"/>
    <w:rsid w:val="00C41A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295B9"/>
  <w15:chartTrackingRefBased/>
  <w15:docId w15:val="{3D8169FB-2860-495B-84A0-AB9A9AD7A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7702</Words>
  <Characters>43903</Characters>
  <Application>Microsoft Office Word</Application>
  <DocSecurity>0</DocSecurity>
  <Lines>365</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Latimer (1808515)</dc:creator>
  <cp:keywords/>
  <dc:description/>
  <cp:lastModifiedBy>Kim Latimer (1808515)</cp:lastModifiedBy>
  <cp:revision>2</cp:revision>
  <dcterms:created xsi:type="dcterms:W3CDTF">2020-07-22T22:14:00Z</dcterms:created>
  <dcterms:modified xsi:type="dcterms:W3CDTF">2020-07-22T23:14:00Z</dcterms:modified>
</cp:coreProperties>
</file>