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84521108"/>
        <w:docPartObj>
          <w:docPartGallery w:val="Cover Pages"/>
          <w:docPartUnique/>
        </w:docPartObj>
      </w:sdtPr>
      <w:sdtContent>
        <w:p w:rsidR="003C256F" w:rsidRDefault="002E2C0B">
          <w:pPr>
            <w:sectPr w:rsidR="003C256F" w:rsidSect="003C256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E95C6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5"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C256F" w:rsidRDefault="00720E79">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rsidR="003C256F" w:rsidRDefault="003C256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20E79">
                                      <w:rPr>
                                        <w:color w:val="595959" w:themeColor="text1" w:themeTint="A6"/>
                                        <w:sz w:val="18"/>
                                        <w:szCs w:val="18"/>
                                      </w:rPr>
                                      <w:t>2112603@studnet.uwtsd.ac.uk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C256F" w:rsidRDefault="00720E79">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rsidR="003C256F" w:rsidRDefault="003C256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20E79">
                                <w:rPr>
                                  <w:color w:val="595959" w:themeColor="text1" w:themeTint="A6"/>
                                  <w:sz w:val="18"/>
                                  <w:szCs w:val="18"/>
                                </w:rPr>
                                <w:t>2112603@studnet.uwtsd.ac.uk</w:t>
                              </w:r>
                            </w:sdtContent>
                          </w:sdt>
                        </w:p>
                      </w:txbxContent>
                    </v:textbox>
                    <w10:wrap type="square" anchorx="page" anchory="page"/>
                  </v:shape>
                </w:pict>
              </mc:Fallback>
            </mc:AlternateContent>
          </w:r>
          <w:r w:rsidR="003C256F">
            <w:rPr>
              <w:noProof/>
              <w:lang w:eastAsia="en-GB"/>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ge">
                      <wp:posOffset>3208328</wp:posOffset>
                    </wp:positionV>
                    <wp:extent cx="8742299"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742299"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C256F" w:rsidRDefault="003C256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Safety &amp; hazard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C256F" w:rsidRDefault="003C256F">
                                    <w:pPr>
                                      <w:jc w:val="right"/>
                                      <w:rPr>
                                        <w:smallCaps/>
                                        <w:color w:val="404040" w:themeColor="text1" w:themeTint="BF"/>
                                        <w:sz w:val="36"/>
                                        <w:szCs w:val="36"/>
                                      </w:rPr>
                                    </w:pPr>
                                    <w:r>
                                      <w:rPr>
                                        <w:color w:val="404040" w:themeColor="text1" w:themeTint="BF"/>
                                        <w:sz w:val="36"/>
                                        <w:szCs w:val="36"/>
                                      </w:rPr>
                                      <w:t>A Risk Assessment &amp; ALARP Justification for an AK-47 LIVE Firing Trial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id="Text Box 154" o:spid="_x0000_s1027" type="#_x0000_t202" style="position:absolute;margin-left:637.15pt;margin-top:252.6pt;width:688.35pt;height:286.5pt;z-index:25165926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" filled="f" stroked="f" strokeweight=".5pt">
                    <v:textbox inset="126pt,0,54pt,0">
                      <w:txbxContent>
                        <w:p w:rsidR="003C256F" w:rsidRDefault="003C256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Safety &amp; hazard 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C256F" w:rsidRDefault="003C256F">
                              <w:pPr>
                                <w:jc w:val="right"/>
                                <w:rPr>
                                  <w:smallCaps/>
                                  <w:color w:val="404040" w:themeColor="text1" w:themeTint="BF"/>
                                  <w:sz w:val="36"/>
                                  <w:szCs w:val="36"/>
                                </w:rPr>
                              </w:pPr>
                              <w:r>
                                <w:rPr>
                                  <w:color w:val="404040" w:themeColor="text1" w:themeTint="BF"/>
                                  <w:sz w:val="36"/>
                                  <w:szCs w:val="36"/>
                                </w:rPr>
                                <w:t>A Risk Assessment &amp; ALARP Justification for an AK-47 LIVE Firing Trial</w:t>
                              </w:r>
                            </w:p>
                          </w:sdtContent>
                        </w:sdt>
                      </w:txbxContent>
                    </v:textbox>
                    <w10:wrap type="square" anchorx="page" anchory="page"/>
                  </v:shape>
                </w:pict>
              </mc:Fallback>
            </mc:AlternateContent>
          </w:r>
        </w:p>
        <w:p w:rsidR="00720E79" w:rsidRDefault="00720E79">
          <w:pPr>
            <w:rPr>
              <w:b/>
              <w:sz w:val="24"/>
              <w:u w:val="single"/>
            </w:rPr>
          </w:pPr>
          <w:r>
            <w:rPr>
              <w:b/>
              <w:sz w:val="24"/>
              <w:u w:val="single"/>
            </w:rPr>
            <w:lastRenderedPageBreak/>
            <w:t>Introduction</w:t>
          </w:r>
        </w:p>
        <w:p w:rsidR="00720E79" w:rsidRDefault="00720E79">
          <w:pPr>
            <w:rPr>
              <w:b/>
              <w:sz w:val="24"/>
              <w:u w:val="single"/>
            </w:rPr>
          </w:pPr>
        </w:p>
        <w:p w:rsidR="00720E79" w:rsidRPr="00720E79" w:rsidRDefault="00720E79" w:rsidP="00720E79">
          <w:pPr>
            <w:jc w:val="both"/>
            <w:sectPr w:rsidR="00720E79" w:rsidRPr="00720E79" w:rsidSect="003C256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pPr>
          <w:r>
            <w:t>This document</w:t>
          </w:r>
          <w:r w:rsidR="00F37BF4">
            <w:t xml:space="preserve"> includes</w:t>
          </w:r>
          <w:r>
            <w:t xml:space="preserve"> a risk assessment and ALARP justification for hazards faced when comp</w:t>
          </w:r>
          <w:r w:rsidR="00F37BF4">
            <w:t>l</w:t>
          </w:r>
          <w:r>
            <w:t>eting a LIVE AK-47 firing trial</w:t>
          </w:r>
          <w:r w:rsidR="00F37BF4">
            <w:t>.  When completing a trial in the munitions industry it is vital that the engineers planning the activities think about the safety of all individuals involved from start to finish. This means they must go through every possible step within the trial and identify all possible risks and hazards that could be faced. For each hazard and risk there must be control measures that limits the effects and makes it ALARP. Each risk is then ranked one to five on severity and probability which can be multiplied together to give the overall risk value. The higher risk value means the bigger the danger and therefore more important control measure must be put in place. After completing a risk assessment a separate ALARP justification can be made to ensure that the trial is as safe as possible for all attendees.</w:t>
          </w:r>
          <w:bookmarkStart w:id="0" w:name="_GoBack"/>
          <w:bookmarkEnd w:id="0"/>
        </w:p>
        <w:tbl>
          <w:tblPr>
            <w:tblpPr w:leftFromText="181" w:rightFromText="181" w:vertAnchor="page" w:horzAnchor="margin" w:tblpX="-318" w:tblpY="1445"/>
            <w:tblW w:w="1555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2680"/>
            <w:gridCol w:w="1467"/>
            <w:gridCol w:w="4932"/>
            <w:gridCol w:w="284"/>
            <w:gridCol w:w="284"/>
            <w:gridCol w:w="425"/>
            <w:gridCol w:w="4494"/>
            <w:gridCol w:w="284"/>
            <w:gridCol w:w="284"/>
            <w:gridCol w:w="425"/>
          </w:tblGrid>
          <w:tr w:rsidR="003C256F" w:rsidRPr="00582D86" w:rsidTr="003C256F">
            <w:trPr>
              <w:cantSplit/>
              <w:trHeight w:val="411"/>
            </w:trPr>
            <w:tc>
              <w:tcPr>
                <w:tcW w:w="15559" w:type="dxa"/>
                <w:gridSpan w:val="10"/>
                <w:tcBorders>
                  <w:top w:val="double" w:sz="4" w:space="0" w:color="auto"/>
                  <w:bottom w:val="single" w:sz="6" w:space="0" w:color="auto"/>
                </w:tcBorders>
                <w:shd w:val="clear" w:color="auto" w:fill="C0C0C0"/>
                <w:vAlign w:val="center"/>
              </w:tcPr>
              <w:p w:rsidR="003C256F" w:rsidRPr="00582D86" w:rsidRDefault="00720E79" w:rsidP="003C256F">
                <w:pPr>
                  <w:ind w:left="113" w:right="113"/>
                  <w:rPr>
                    <w:rFonts w:cs="Arial"/>
                    <w:b/>
                    <w:sz w:val="20"/>
                    <w:lang w:eastAsia="en-GB"/>
                  </w:rPr>
                </w:pPr>
                <w:r>
                  <w:rPr>
                    <w:b/>
                    <w:lang w:eastAsia="en-GB"/>
                  </w:rPr>
                  <w:lastRenderedPageBreak/>
                  <w:t>PART 1</w:t>
                </w:r>
                <w:r w:rsidR="003C256F" w:rsidRPr="00582D86">
                  <w:rPr>
                    <w:b/>
                    <w:lang w:eastAsia="en-GB"/>
                  </w:rPr>
                  <w:t>: Risk Assessment</w:t>
                </w:r>
              </w:p>
            </w:tc>
          </w:tr>
          <w:tr w:rsidR="003C256F" w:rsidRPr="00582D86" w:rsidTr="003C256F">
            <w:trPr>
              <w:cantSplit/>
              <w:trHeight w:val="1304"/>
            </w:trPr>
            <w:tc>
              <w:tcPr>
                <w:tcW w:w="2680" w:type="dxa"/>
                <w:tcBorders>
                  <w:top w:val="single" w:sz="6" w:space="0" w:color="auto"/>
                  <w:bottom w:val="single" w:sz="6" w:space="0" w:color="auto"/>
                </w:tcBorders>
                <w:shd w:val="clear" w:color="auto" w:fill="E6E6E6"/>
                <w:vAlign w:val="center"/>
              </w:tcPr>
              <w:p w:rsidR="003C256F" w:rsidRPr="00582D86" w:rsidRDefault="003C256F" w:rsidP="003C256F">
                <w:pPr>
                  <w:jc w:val="center"/>
                  <w:rPr>
                    <w:rFonts w:cs="Arial"/>
                    <w:sz w:val="20"/>
                    <w:lang w:eastAsia="en-GB"/>
                  </w:rPr>
                </w:pPr>
                <w:r w:rsidRPr="00582D86">
                  <w:rPr>
                    <w:rFonts w:cs="Arial"/>
                    <w:b/>
                    <w:sz w:val="20"/>
                    <w:lang w:eastAsia="en-GB"/>
                  </w:rPr>
                  <w:t>Identified Hazard</w:t>
                </w:r>
              </w:p>
            </w:tc>
            <w:tc>
              <w:tcPr>
                <w:tcW w:w="1467" w:type="dxa"/>
                <w:tcBorders>
                  <w:top w:val="single" w:sz="6" w:space="0" w:color="auto"/>
                  <w:bottom w:val="single" w:sz="6" w:space="0" w:color="auto"/>
                </w:tcBorders>
                <w:shd w:val="clear" w:color="auto" w:fill="E6E6E6"/>
                <w:vAlign w:val="center"/>
              </w:tcPr>
              <w:p w:rsidR="003C256F" w:rsidRPr="00582D86" w:rsidRDefault="003C256F" w:rsidP="003C256F">
                <w:pPr>
                  <w:jc w:val="center"/>
                  <w:rPr>
                    <w:rFonts w:cs="Arial"/>
                    <w:b/>
                    <w:sz w:val="20"/>
                    <w:lang w:eastAsia="en-GB"/>
                  </w:rPr>
                </w:pPr>
                <w:r w:rsidRPr="00582D86">
                  <w:rPr>
                    <w:rFonts w:cs="Arial"/>
                    <w:b/>
                    <w:sz w:val="20"/>
                    <w:lang w:eastAsia="en-GB"/>
                  </w:rPr>
                  <w:t>Persons at Risk</w:t>
                </w:r>
              </w:p>
            </w:tc>
            <w:tc>
              <w:tcPr>
                <w:tcW w:w="4932" w:type="dxa"/>
                <w:tcBorders>
                  <w:top w:val="single" w:sz="6" w:space="0" w:color="auto"/>
                  <w:bottom w:val="single" w:sz="6" w:space="0" w:color="auto"/>
                </w:tcBorders>
                <w:shd w:val="clear" w:color="auto" w:fill="E6E6E6"/>
                <w:vAlign w:val="center"/>
              </w:tcPr>
              <w:p w:rsidR="003C256F" w:rsidRPr="00582D86" w:rsidRDefault="003C256F" w:rsidP="003C256F">
                <w:pPr>
                  <w:jc w:val="center"/>
                  <w:rPr>
                    <w:rFonts w:cs="Arial"/>
                    <w:b/>
                    <w:sz w:val="20"/>
                    <w:lang w:eastAsia="en-GB"/>
                  </w:rPr>
                </w:pPr>
                <w:r w:rsidRPr="00582D86">
                  <w:rPr>
                    <w:rFonts w:cs="Arial"/>
                    <w:b/>
                    <w:sz w:val="20"/>
                    <w:lang w:eastAsia="en-GB"/>
                  </w:rPr>
                  <w:t>Existing Control Measures</w:t>
                </w:r>
              </w:p>
            </w:tc>
            <w:tc>
              <w:tcPr>
                <w:tcW w:w="284"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Severity</w:t>
                </w:r>
              </w:p>
            </w:tc>
            <w:tc>
              <w:tcPr>
                <w:tcW w:w="284"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Probability</w:t>
                </w:r>
              </w:p>
            </w:tc>
            <w:tc>
              <w:tcPr>
                <w:tcW w:w="425"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Existing Risk Level</w:t>
                </w:r>
              </w:p>
            </w:tc>
            <w:tc>
              <w:tcPr>
                <w:tcW w:w="4494" w:type="dxa"/>
                <w:tcBorders>
                  <w:top w:val="single" w:sz="6" w:space="0" w:color="auto"/>
                  <w:bottom w:val="single" w:sz="6" w:space="0" w:color="auto"/>
                </w:tcBorders>
                <w:shd w:val="clear" w:color="auto" w:fill="E6E6E6"/>
                <w:vAlign w:val="center"/>
              </w:tcPr>
              <w:p w:rsidR="003C256F" w:rsidRPr="00582D86" w:rsidRDefault="003C256F" w:rsidP="003C256F">
                <w:pPr>
                  <w:jc w:val="center"/>
                  <w:rPr>
                    <w:rFonts w:cs="Arial"/>
                    <w:b/>
                    <w:sz w:val="20"/>
                    <w:lang w:eastAsia="en-GB"/>
                  </w:rPr>
                </w:pPr>
                <w:r w:rsidRPr="00582D86">
                  <w:rPr>
                    <w:rFonts w:cs="Arial"/>
                    <w:b/>
                    <w:sz w:val="20"/>
                    <w:lang w:eastAsia="en-GB"/>
                  </w:rPr>
                  <w:t>Additional Controls</w:t>
                </w:r>
              </w:p>
            </w:tc>
            <w:tc>
              <w:tcPr>
                <w:tcW w:w="284"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Severity</w:t>
                </w:r>
              </w:p>
            </w:tc>
            <w:tc>
              <w:tcPr>
                <w:tcW w:w="284"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Probability</w:t>
                </w:r>
              </w:p>
            </w:tc>
            <w:tc>
              <w:tcPr>
                <w:tcW w:w="425" w:type="dxa"/>
                <w:tcBorders>
                  <w:top w:val="single" w:sz="6" w:space="0" w:color="auto"/>
                  <w:bottom w:val="single" w:sz="6" w:space="0" w:color="auto"/>
                </w:tcBorders>
                <w:shd w:val="clear" w:color="auto" w:fill="E6E6E6"/>
                <w:textDirection w:val="tbRl"/>
                <w:vAlign w:val="center"/>
              </w:tcPr>
              <w:p w:rsidR="003C256F" w:rsidRPr="00582D86" w:rsidRDefault="003C256F" w:rsidP="003C256F">
                <w:pPr>
                  <w:ind w:left="113" w:right="113"/>
                  <w:jc w:val="center"/>
                  <w:rPr>
                    <w:rFonts w:cs="Arial"/>
                    <w:b/>
                    <w:sz w:val="16"/>
                    <w:szCs w:val="16"/>
                    <w:lang w:eastAsia="en-GB"/>
                  </w:rPr>
                </w:pPr>
                <w:r w:rsidRPr="00582D86">
                  <w:rPr>
                    <w:rFonts w:cs="Arial"/>
                    <w:b/>
                    <w:sz w:val="16"/>
                    <w:szCs w:val="16"/>
                    <w:lang w:eastAsia="en-GB"/>
                  </w:rPr>
                  <w:t>Final Risk Level</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Hearing damage due to noise produced during firing</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Ear defenders will be warn during all firings.</w:t>
                </w:r>
              </w:p>
              <w:p w:rsidR="003C256F" w:rsidRDefault="003C256F" w:rsidP="003C256F">
                <w:pPr>
                  <w:rPr>
                    <w:rFonts w:cs="Arial"/>
                    <w:sz w:val="20"/>
                    <w:lang w:eastAsia="en-GB"/>
                  </w:rPr>
                </w:pPr>
                <w:r>
                  <w:rPr>
                    <w:rFonts w:cs="Arial"/>
                    <w:sz w:val="20"/>
                    <w:lang w:eastAsia="en-GB"/>
                  </w:rPr>
                  <w:t>Double ear protection will be available.</w:t>
                </w:r>
              </w:p>
              <w:p w:rsidR="003C256F" w:rsidRDefault="003C256F" w:rsidP="003C256F">
                <w:pPr>
                  <w:rPr>
                    <w:rFonts w:cs="Arial"/>
                    <w:sz w:val="20"/>
                    <w:lang w:eastAsia="en-GB"/>
                  </w:rPr>
                </w:pPr>
                <w:r>
                  <w:rPr>
                    <w:rFonts w:cs="Arial"/>
                    <w:sz w:val="20"/>
                    <w:lang w:eastAsia="en-GB"/>
                  </w:rPr>
                  <w:t>Camera surveillance of the firing area to ensure all personnel are in their designated areas.</w:t>
                </w:r>
              </w:p>
              <w:p w:rsidR="003C256F" w:rsidRPr="00582D86" w:rsidRDefault="003C256F" w:rsidP="003C256F">
                <w:pPr>
                  <w:rPr>
                    <w:rFonts w:cs="Arial"/>
                    <w:sz w:val="20"/>
                    <w:lang w:eastAsia="en-GB"/>
                  </w:rPr>
                </w:pPr>
                <w:r>
                  <w:rPr>
                    <w:rFonts w:cs="Arial"/>
                    <w:sz w:val="20"/>
                    <w:lang w:eastAsia="en-GB"/>
                  </w:rPr>
                  <w:t>SOP in place for range.</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Injury to personnel during firing (bullet penetration)</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Access to firing area is restricted to authorised personnel only.</w:t>
                </w:r>
              </w:p>
              <w:p w:rsidR="003C256F" w:rsidRDefault="003C256F" w:rsidP="003C256F">
                <w:pPr>
                  <w:rPr>
                    <w:rFonts w:cs="Arial"/>
                    <w:sz w:val="20"/>
                    <w:lang w:eastAsia="en-GB"/>
                  </w:rPr>
                </w:pPr>
                <w:r>
                  <w:rPr>
                    <w:rFonts w:cs="Arial"/>
                    <w:sz w:val="20"/>
                    <w:lang w:eastAsia="en-GB"/>
                  </w:rPr>
                  <w:t>Warning signs will be displayed during trial.</w:t>
                </w:r>
              </w:p>
              <w:p w:rsidR="003C256F" w:rsidRDefault="003C256F" w:rsidP="003C256F">
                <w:pPr>
                  <w:rPr>
                    <w:rFonts w:cs="Arial"/>
                    <w:sz w:val="20"/>
                    <w:lang w:eastAsia="en-GB"/>
                  </w:rPr>
                </w:pPr>
                <w:r>
                  <w:rPr>
                    <w:rFonts w:cs="Arial"/>
                    <w:sz w:val="20"/>
                    <w:lang w:eastAsia="en-GB"/>
                  </w:rPr>
                  <w:t>Flashing lights/alarms/barriers will be used to indicate to everyone nearby that the range is live.</w:t>
                </w:r>
              </w:p>
              <w:p w:rsidR="003C256F" w:rsidRPr="00582D86" w:rsidRDefault="003C256F" w:rsidP="003C256F">
                <w:pPr>
                  <w:rPr>
                    <w:rFonts w:cs="Arial"/>
                    <w:sz w:val="20"/>
                    <w:lang w:eastAsia="en-GB"/>
                  </w:rPr>
                </w:pPr>
                <w:r>
                  <w:rPr>
                    <w:rFonts w:cs="Arial"/>
                    <w:sz w:val="20"/>
                    <w:lang w:eastAsia="en-GB"/>
                  </w:rPr>
                  <w:t>Surveillance cameras used to monitor surrounding areas.</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4</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3</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Injury when opening/closing ammunition containers (entrapment)</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Protective gloves to be worn.</w:t>
                </w:r>
              </w:p>
              <w:p w:rsidR="003C256F" w:rsidRDefault="003C256F" w:rsidP="003C256F">
                <w:pPr>
                  <w:rPr>
                    <w:rFonts w:cs="Arial"/>
                    <w:sz w:val="20"/>
                    <w:lang w:eastAsia="en-GB"/>
                  </w:rPr>
                </w:pPr>
                <w:r>
                  <w:rPr>
                    <w:rFonts w:cs="Arial"/>
                    <w:sz w:val="20"/>
                    <w:lang w:eastAsia="en-GB"/>
                  </w:rPr>
                  <w:t>Care and attention required when opening/closing containers.</w:t>
                </w:r>
              </w:p>
              <w:p w:rsidR="003C256F" w:rsidRPr="00582D86" w:rsidRDefault="003C256F" w:rsidP="003C256F">
                <w:pPr>
                  <w:rPr>
                    <w:rFonts w:cs="Arial"/>
                    <w:sz w:val="20"/>
                    <w:lang w:eastAsia="en-GB"/>
                  </w:rPr>
                </w:pPr>
                <w:r>
                  <w:rPr>
                    <w:rFonts w:cs="Arial"/>
                    <w:sz w:val="20"/>
                    <w:lang w:eastAsia="en-GB"/>
                  </w:rPr>
                  <w:t>Personnel are trained to SOP.</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Risk of illness from absorption of toxic propellant</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Protective gloves must be worn when handling explosives.</w:t>
                </w:r>
              </w:p>
              <w:p w:rsidR="003C256F" w:rsidRDefault="003C256F" w:rsidP="003C256F">
                <w:pPr>
                  <w:rPr>
                    <w:rFonts w:cs="Arial"/>
                    <w:sz w:val="20"/>
                    <w:lang w:eastAsia="en-GB"/>
                  </w:rPr>
                </w:pPr>
                <w:r>
                  <w:rPr>
                    <w:rFonts w:cs="Arial"/>
                    <w:sz w:val="20"/>
                    <w:lang w:eastAsia="en-GB"/>
                  </w:rPr>
                  <w:t>Hazard data sheets available which details any toxic effects and handling instructions.</w:t>
                </w:r>
              </w:p>
              <w:p w:rsidR="003C256F" w:rsidRPr="00582D86" w:rsidRDefault="003C256F" w:rsidP="003C256F">
                <w:pPr>
                  <w:rPr>
                    <w:rFonts w:cs="Arial"/>
                    <w:sz w:val="20"/>
                    <w:lang w:eastAsia="en-GB"/>
                  </w:rPr>
                </w:pPr>
                <w:r>
                  <w:rPr>
                    <w:rFonts w:cs="Arial"/>
                    <w:sz w:val="20"/>
                    <w:lang w:eastAsia="en-GB"/>
                  </w:rPr>
                  <w:lastRenderedPageBreak/>
                  <w:t>Personnel are trained to SOP</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lastRenderedPageBreak/>
                  <w:t>2</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Thermal burns from weapon barrel</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Weapon to be fired at single shot only so barrel will not overheat.</w:t>
                </w:r>
              </w:p>
              <w:p w:rsidR="003C256F" w:rsidRPr="00582D86" w:rsidRDefault="003C256F" w:rsidP="003C256F">
                <w:pPr>
                  <w:rPr>
                    <w:rFonts w:cs="Arial"/>
                    <w:sz w:val="20"/>
                    <w:lang w:eastAsia="en-GB"/>
                  </w:rPr>
                </w:pPr>
                <w:r>
                  <w:rPr>
                    <w:rFonts w:cs="Arial"/>
                    <w:sz w:val="20"/>
                    <w:lang w:eastAsia="en-GB"/>
                  </w:rPr>
                  <w:t>Thermal protecting gloves worn when firing</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Eye injuries caused by dust, fragments, etc</w:t>
                </w:r>
              </w:p>
            </w:tc>
            <w:tc>
              <w:tcPr>
                <w:tcW w:w="1467"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All personnel at firing will wear eye protection</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Pr="00582D86"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Gun failure resulting in injury</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items will be inspected prior to firing.</w:t>
                </w:r>
              </w:p>
              <w:p w:rsidR="003C256F" w:rsidRDefault="003C256F" w:rsidP="003C256F">
                <w:pPr>
                  <w:rPr>
                    <w:rFonts w:cs="Arial"/>
                    <w:sz w:val="20"/>
                    <w:lang w:eastAsia="en-GB"/>
                  </w:rPr>
                </w:pPr>
                <w:r>
                  <w:rPr>
                    <w:rFonts w:cs="Arial"/>
                    <w:sz w:val="20"/>
                    <w:lang w:eastAsia="en-GB"/>
                  </w:rPr>
                  <w:t>Personnel trained to SOP</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3</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Danger to personnel when visibility is poor</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Firing will be suspended during conditions when the range is not fully visible.</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Risk when transporting ammunition</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regulations will be followed to ensure safe transport of ammunition.</w:t>
                </w:r>
              </w:p>
              <w:p w:rsidR="003C256F" w:rsidRDefault="003C256F" w:rsidP="003C256F">
                <w:pPr>
                  <w:rPr>
                    <w:rFonts w:cs="Arial"/>
                    <w:sz w:val="20"/>
                    <w:lang w:eastAsia="en-GB"/>
                  </w:rPr>
                </w:pPr>
                <w:r>
                  <w:rPr>
                    <w:rFonts w:cs="Arial"/>
                    <w:sz w:val="20"/>
                    <w:lang w:eastAsia="en-GB"/>
                  </w:rPr>
                  <w:t>Appropriate containers used to store ammunition.</w:t>
                </w:r>
              </w:p>
              <w:p w:rsidR="003C256F" w:rsidRDefault="003C256F" w:rsidP="003C256F">
                <w:pPr>
                  <w:rPr>
                    <w:rFonts w:cs="Arial"/>
                    <w:sz w:val="20"/>
                    <w:lang w:eastAsia="en-GB"/>
                  </w:rPr>
                </w:pPr>
                <w:r>
                  <w:rPr>
                    <w:rFonts w:cs="Arial"/>
                    <w:sz w:val="20"/>
                    <w:lang w:eastAsia="en-GB"/>
                  </w:rPr>
                  <w:t>All vehicles used to transport explosive material are modified to protect the driver.</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Fatigue leading to various possible accidents</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Regular breaks will be taken</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Roles within the trial could be rotated to ensure a single person is not repeating a strenuous activity for a long period of time</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lastRenderedPageBreak/>
                  <w:t>Accidental Firing of system</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Gun system has safety features to limit the risk of accidental firing.</w:t>
                </w:r>
              </w:p>
              <w:p w:rsidR="003C256F" w:rsidRDefault="003C256F" w:rsidP="003C256F">
                <w:pPr>
                  <w:rPr>
                    <w:rFonts w:cs="Arial"/>
                    <w:sz w:val="20"/>
                    <w:lang w:eastAsia="en-GB"/>
                  </w:rPr>
                </w:pPr>
                <w:r>
                  <w:rPr>
                    <w:rFonts w:cs="Arial"/>
                    <w:sz w:val="20"/>
                    <w:lang w:eastAsia="en-GB"/>
                  </w:rPr>
                  <w:t>The weapon will only be loaded when all personnel are in their designated areas.</w:t>
                </w:r>
              </w:p>
              <w:p w:rsidR="003C256F" w:rsidRDefault="003C256F" w:rsidP="003C256F">
                <w:pPr>
                  <w:rPr>
                    <w:rFonts w:cs="Arial"/>
                    <w:sz w:val="20"/>
                    <w:lang w:eastAsia="en-GB"/>
                  </w:rPr>
                </w:pPr>
                <w:r>
                  <w:rPr>
                    <w:rFonts w:cs="Arial"/>
                    <w:sz w:val="20"/>
                    <w:lang w:eastAsia="en-GB"/>
                  </w:rPr>
                  <w:t>Personnel trained to SOP</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3</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3</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Entrapment while loading ammunition into gun</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Loading of gun will only be completed by trained range personnel.</w:t>
                </w:r>
              </w:p>
              <w:p w:rsidR="003C256F" w:rsidRDefault="003C256F" w:rsidP="003C256F">
                <w:pPr>
                  <w:rPr>
                    <w:rFonts w:cs="Arial"/>
                    <w:sz w:val="20"/>
                    <w:lang w:eastAsia="en-GB"/>
                  </w:rPr>
                </w:pPr>
                <w:r>
                  <w:rPr>
                    <w:rFonts w:cs="Arial"/>
                    <w:sz w:val="20"/>
                    <w:lang w:eastAsia="en-GB"/>
                  </w:rPr>
                  <w:t>Personnel are trained to SOP</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Protective gloves could be worn during loading of gun</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2</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Dropping gun (Impact injury)</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Range Personnel</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The gun system is fitted with a strap for the user to secure around their body.</w:t>
                </w:r>
              </w:p>
              <w:p w:rsidR="003C256F" w:rsidRDefault="003C256F" w:rsidP="003C256F">
                <w:pPr>
                  <w:rPr>
                    <w:rFonts w:cs="Arial"/>
                    <w:sz w:val="20"/>
                    <w:lang w:eastAsia="en-GB"/>
                  </w:rPr>
                </w:pPr>
                <w:r>
                  <w:rPr>
                    <w:rFonts w:cs="Arial"/>
                    <w:sz w:val="20"/>
                    <w:lang w:eastAsia="en-GB"/>
                  </w:rPr>
                  <w:t>Only trained personnel will use the gun</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Personnel suffer injury due to restricted escape routes in the event of an emergency.</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Dedicated paths in place to be used in an emergency.</w:t>
                </w:r>
              </w:p>
              <w:p w:rsidR="003C256F" w:rsidRDefault="003C256F" w:rsidP="003C256F">
                <w:pPr>
                  <w:rPr>
                    <w:rFonts w:cs="Arial"/>
                    <w:sz w:val="20"/>
                    <w:lang w:eastAsia="en-GB"/>
                  </w:rPr>
                </w:pPr>
                <w:r>
                  <w:rPr>
                    <w:rFonts w:cs="Arial"/>
                    <w:sz w:val="20"/>
                    <w:lang w:eastAsia="en-GB"/>
                  </w:rPr>
                  <w:t>Escape routes are made clear and apart of the safety briefing everyone must attend before entering the trial area.</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4</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4</w:t>
                </w:r>
              </w:p>
            </w:tc>
            <w:tc>
              <w:tcPr>
                <w:tcW w:w="4494" w:type="dxa"/>
                <w:tcBorders>
                  <w:top w:val="single" w:sz="6" w:space="0" w:color="auto"/>
                  <w:bottom w:val="single" w:sz="6" w:space="0" w:color="auto"/>
                </w:tcBorders>
              </w:tcPr>
              <w:p w:rsidR="003C256F" w:rsidRPr="00582D86"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Human error throughout the trial which could result in fatality, severe injuries, and minor injuries</w:t>
                </w:r>
              </w:p>
            </w:tc>
            <w:tc>
              <w:tcPr>
                <w:tcW w:w="1467"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Range personnel are trained to SOP</w:t>
                </w:r>
              </w:p>
              <w:p w:rsidR="003C256F" w:rsidRDefault="003C256F" w:rsidP="003C256F">
                <w:pPr>
                  <w:rPr>
                    <w:rFonts w:cs="Arial"/>
                    <w:sz w:val="20"/>
                    <w:lang w:eastAsia="en-GB"/>
                  </w:rPr>
                </w:pPr>
                <w:r>
                  <w:rPr>
                    <w:rFonts w:cs="Arial"/>
                    <w:sz w:val="20"/>
                    <w:lang w:eastAsia="en-GB"/>
                  </w:rPr>
                  <w:t>All trial visitors must complete a site safety induction</w:t>
                </w:r>
              </w:p>
              <w:p w:rsidR="003C256F" w:rsidRDefault="003C256F" w:rsidP="003C256F">
                <w:pPr>
                  <w:rPr>
                    <w:rFonts w:cs="Arial"/>
                    <w:sz w:val="20"/>
                    <w:lang w:eastAsia="en-GB"/>
                  </w:rPr>
                </w:pPr>
                <w:r>
                  <w:rPr>
                    <w:rFonts w:cs="Arial"/>
                    <w:sz w:val="20"/>
                    <w:lang w:eastAsia="en-GB"/>
                  </w:rPr>
                  <w:t>All trial work completed by range personnel only</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4</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4</w:t>
                </w:r>
              </w:p>
            </w:tc>
            <w:tc>
              <w:tcPr>
                <w:tcW w:w="4494" w:type="dxa"/>
                <w:tcBorders>
                  <w:top w:val="single" w:sz="6" w:space="0" w:color="auto"/>
                  <w:bottom w:val="single" w:sz="6" w:space="0" w:color="auto"/>
                </w:tcBorders>
              </w:tcPr>
              <w:p w:rsidR="003C256F"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single" w:sz="6"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r w:rsidR="003C256F" w:rsidRPr="00582D86" w:rsidTr="003C256F">
            <w:trPr>
              <w:trHeight w:val="1134"/>
            </w:trPr>
            <w:tc>
              <w:tcPr>
                <w:tcW w:w="2680" w:type="dxa"/>
                <w:tcBorders>
                  <w:top w:val="single" w:sz="6" w:space="0" w:color="auto"/>
                  <w:bottom w:val="double" w:sz="4" w:space="0" w:color="auto"/>
                </w:tcBorders>
              </w:tcPr>
              <w:p w:rsidR="003C256F" w:rsidRDefault="003C256F" w:rsidP="003C256F">
                <w:pPr>
                  <w:rPr>
                    <w:rFonts w:cs="Arial"/>
                    <w:sz w:val="20"/>
                    <w:lang w:eastAsia="en-GB"/>
                  </w:rPr>
                </w:pPr>
                <w:r>
                  <w:rPr>
                    <w:rFonts w:cs="Arial"/>
                    <w:sz w:val="20"/>
                    <w:lang w:eastAsia="en-GB"/>
                  </w:rPr>
                  <w:t>During extremely humid conditions, there is a risk that personnel may experience illness and heat exhaustion.</w:t>
                </w:r>
              </w:p>
            </w:tc>
            <w:tc>
              <w:tcPr>
                <w:tcW w:w="1467" w:type="dxa"/>
                <w:tcBorders>
                  <w:top w:val="single" w:sz="6" w:space="0" w:color="auto"/>
                  <w:bottom w:val="double" w:sz="4" w:space="0" w:color="auto"/>
                </w:tcBorders>
              </w:tcPr>
              <w:p w:rsidR="003C256F" w:rsidRDefault="003C256F" w:rsidP="003C256F">
                <w:pPr>
                  <w:rPr>
                    <w:rFonts w:cs="Arial"/>
                    <w:sz w:val="20"/>
                    <w:lang w:eastAsia="en-GB"/>
                  </w:rPr>
                </w:pPr>
                <w:r>
                  <w:rPr>
                    <w:rFonts w:cs="Arial"/>
                    <w:sz w:val="20"/>
                    <w:lang w:eastAsia="en-GB"/>
                  </w:rPr>
                  <w:t>All attendees at range</w:t>
                </w:r>
              </w:p>
            </w:tc>
            <w:tc>
              <w:tcPr>
                <w:tcW w:w="4932" w:type="dxa"/>
                <w:tcBorders>
                  <w:top w:val="single" w:sz="6" w:space="0" w:color="auto"/>
                  <w:bottom w:val="double" w:sz="4" w:space="0" w:color="auto"/>
                </w:tcBorders>
              </w:tcPr>
              <w:p w:rsidR="003C256F" w:rsidRDefault="003C256F" w:rsidP="003C256F">
                <w:pPr>
                  <w:rPr>
                    <w:rFonts w:cs="Arial"/>
                    <w:sz w:val="20"/>
                    <w:lang w:eastAsia="en-GB"/>
                  </w:rPr>
                </w:pPr>
                <w:r>
                  <w:rPr>
                    <w:rFonts w:cs="Arial"/>
                    <w:sz w:val="20"/>
                    <w:lang w:eastAsia="en-GB"/>
                  </w:rPr>
                  <w:t>Trial work only takes place in comfortable conditions</w:t>
                </w:r>
              </w:p>
              <w:p w:rsidR="003C256F" w:rsidRDefault="003C256F" w:rsidP="003C256F">
                <w:pPr>
                  <w:rPr>
                    <w:rFonts w:cs="Arial"/>
                    <w:sz w:val="20"/>
                    <w:lang w:eastAsia="en-GB"/>
                  </w:rPr>
                </w:pPr>
                <w:r>
                  <w:rPr>
                    <w:rFonts w:cs="Arial"/>
                    <w:sz w:val="20"/>
                    <w:lang w:eastAsia="en-GB"/>
                  </w:rPr>
                  <w:t>Regular breaks where everyone is encouraged to remain hydrated.</w:t>
                </w:r>
              </w:p>
            </w:tc>
            <w:tc>
              <w:tcPr>
                <w:tcW w:w="284"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3</w:t>
                </w:r>
              </w:p>
            </w:tc>
            <w:tc>
              <w:tcPr>
                <w:tcW w:w="284"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1</w:t>
                </w:r>
              </w:p>
            </w:tc>
            <w:tc>
              <w:tcPr>
                <w:tcW w:w="425"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3</w:t>
                </w:r>
              </w:p>
            </w:tc>
            <w:tc>
              <w:tcPr>
                <w:tcW w:w="4494" w:type="dxa"/>
                <w:tcBorders>
                  <w:top w:val="single" w:sz="6" w:space="0" w:color="auto"/>
                  <w:bottom w:val="double" w:sz="4" w:space="0" w:color="auto"/>
                </w:tcBorders>
              </w:tcPr>
              <w:p w:rsidR="003C256F" w:rsidRDefault="003C256F" w:rsidP="003C256F">
                <w:pPr>
                  <w:rPr>
                    <w:rFonts w:cs="Arial"/>
                    <w:sz w:val="20"/>
                    <w:lang w:eastAsia="en-GB"/>
                  </w:rPr>
                </w:pPr>
                <w:r>
                  <w:rPr>
                    <w:rFonts w:cs="Arial"/>
                    <w:sz w:val="20"/>
                    <w:lang w:eastAsia="en-GB"/>
                  </w:rPr>
                  <w:t>None required</w:t>
                </w:r>
              </w:p>
            </w:tc>
            <w:tc>
              <w:tcPr>
                <w:tcW w:w="284"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284"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c>
              <w:tcPr>
                <w:tcW w:w="425" w:type="dxa"/>
                <w:tcBorders>
                  <w:top w:val="single" w:sz="6" w:space="0" w:color="auto"/>
                  <w:bottom w:val="double" w:sz="4" w:space="0" w:color="auto"/>
                </w:tcBorders>
                <w:vAlign w:val="center"/>
              </w:tcPr>
              <w:p w:rsidR="003C256F" w:rsidRDefault="003C256F" w:rsidP="003C256F">
                <w:pPr>
                  <w:jc w:val="center"/>
                  <w:rPr>
                    <w:rFonts w:cs="Arial"/>
                    <w:b/>
                    <w:sz w:val="24"/>
                    <w:szCs w:val="24"/>
                    <w:lang w:eastAsia="en-GB"/>
                  </w:rPr>
                </w:pPr>
                <w:r>
                  <w:rPr>
                    <w:rFonts w:cs="Arial"/>
                    <w:b/>
                    <w:sz w:val="24"/>
                    <w:szCs w:val="24"/>
                    <w:lang w:eastAsia="en-GB"/>
                  </w:rPr>
                  <w:t>-</w:t>
                </w:r>
              </w:p>
            </w:tc>
          </w:tr>
        </w:tbl>
        <w:p w:rsidR="00720E79" w:rsidRDefault="00720E79" w:rsidP="003C256F"/>
        <w:p w:rsidR="003C256F" w:rsidRDefault="003C256F" w:rsidP="003C256F">
          <w:pPr>
            <w:rPr>
              <w:rFonts w:ascii="Times New Roman" w:hAnsi="Times New Roman"/>
              <w:sz w:val="20"/>
              <w:lang w:eastAsia="en-GB"/>
            </w:rPr>
          </w:pPr>
          <w:r>
            <w:fldChar w:fldCharType="begin"/>
          </w:r>
          <w:r>
            <w:instrText xml:space="preserve"> LINK Excel.Sheet.12 "\\\\BAESTNMDS003v04\\Washington_alana.martin$\\Desktop\\Risk Matrix.xlsx" "Sheet1!R2C2:R10C9" \a \f 4 \h  \* MERGEFORMAT </w:instrText>
          </w:r>
          <w:r>
            <w:fldChar w:fldCharType="separate"/>
          </w:r>
        </w:p>
        <w:tbl>
          <w:tblPr>
            <w:tblW w:w="14300" w:type="dxa"/>
            <w:tblLook w:val="04A0" w:firstRow="1" w:lastRow="0" w:firstColumn="1" w:lastColumn="0" w:noHBand="0" w:noVBand="1"/>
          </w:tblPr>
          <w:tblGrid>
            <w:gridCol w:w="802"/>
            <w:gridCol w:w="7923"/>
            <w:gridCol w:w="338"/>
            <w:gridCol w:w="1001"/>
            <w:gridCol w:w="1028"/>
            <w:gridCol w:w="1299"/>
            <w:gridCol w:w="786"/>
            <w:gridCol w:w="1123"/>
          </w:tblGrid>
          <w:tr w:rsidR="003C256F" w:rsidRPr="00F57F3A" w:rsidTr="003C256F">
            <w:trPr>
              <w:trHeight w:val="320"/>
            </w:trPr>
            <w:tc>
              <w:tcPr>
                <w:tcW w:w="14300"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rsidR="003C256F" w:rsidRPr="00F57F3A" w:rsidRDefault="003C256F" w:rsidP="00720E79">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lastRenderedPageBreak/>
                  <w:t xml:space="preserve">Part </w:t>
                </w:r>
                <w:r w:rsidR="00720E79">
                  <w:rPr>
                    <w:rFonts w:ascii="Calibri" w:hAnsi="Calibri" w:cs="Calibri"/>
                    <w:b/>
                    <w:bCs/>
                    <w:color w:val="000000"/>
                    <w:sz w:val="24"/>
                    <w:szCs w:val="24"/>
                    <w:lang w:eastAsia="en-GB"/>
                  </w:rPr>
                  <w:t>2</w:t>
                </w:r>
                <w:r w:rsidRPr="00F57F3A">
                  <w:rPr>
                    <w:rFonts w:ascii="Calibri" w:hAnsi="Calibri" w:cs="Calibri"/>
                    <w:b/>
                    <w:bCs/>
                    <w:color w:val="000000"/>
                    <w:sz w:val="24"/>
                    <w:szCs w:val="24"/>
                    <w:lang w:eastAsia="en-GB"/>
                  </w:rPr>
                  <w:t xml:space="preserve">: Risk Assessment Matrix </w:t>
                </w:r>
              </w:p>
            </w:tc>
          </w:tr>
          <w:tr w:rsidR="003C256F" w:rsidRPr="00F57F3A" w:rsidTr="003C256F">
            <w:trPr>
              <w:trHeight w:val="320"/>
            </w:trPr>
            <w:tc>
              <w:tcPr>
                <w:tcW w:w="14300"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Risk Matrix </w:t>
                </w:r>
              </w:p>
            </w:tc>
          </w:tr>
          <w:tr w:rsidR="003C256F" w:rsidRPr="00F57F3A" w:rsidTr="003C256F">
            <w:trPr>
              <w:trHeight w:val="490"/>
            </w:trPr>
            <w:tc>
              <w:tcPr>
                <w:tcW w:w="1133" w:type="dxa"/>
                <w:vMerge w:val="restart"/>
                <w:tcBorders>
                  <w:top w:val="nil"/>
                  <w:left w:val="single" w:sz="8" w:space="0" w:color="auto"/>
                  <w:bottom w:val="single" w:sz="8" w:space="0" w:color="000000"/>
                  <w:right w:val="single" w:sz="8" w:space="0" w:color="auto"/>
                </w:tcBorders>
                <w:shd w:val="clear" w:color="auto" w:fill="auto"/>
                <w:textDirection w:val="tbLrV"/>
                <w:vAlign w:val="center"/>
                <w:hideMark/>
              </w:tcPr>
              <w:p w:rsidR="003C256F" w:rsidRPr="00F57F3A" w:rsidRDefault="003C256F" w:rsidP="003C256F">
                <w:pPr>
                  <w:bidi/>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Severity </w:t>
                </w:r>
              </w:p>
            </w:tc>
            <w:tc>
              <w:tcPr>
                <w:tcW w:w="792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rPr>
                    <w:rFonts w:ascii="Calibri" w:hAnsi="Calibri" w:cs="Calibri"/>
                    <w:b/>
                    <w:bCs/>
                    <w:color w:val="000000"/>
                    <w:sz w:val="24"/>
                    <w:szCs w:val="24"/>
                    <w:rtl/>
                    <w:lang w:eastAsia="en-GB"/>
                  </w:rPr>
                </w:pPr>
                <w:r w:rsidRPr="00F57F3A">
                  <w:rPr>
                    <w:rFonts w:ascii="Calibri" w:hAnsi="Calibri" w:cs="Calibri"/>
                    <w:b/>
                    <w:bCs/>
                    <w:color w:val="000000"/>
                    <w:sz w:val="24"/>
                    <w:szCs w:val="24"/>
                    <w:lang w:eastAsia="en-GB"/>
                  </w:rPr>
                  <w:t>Multiple fatalities &gt;5</w:t>
                </w:r>
              </w:p>
            </w:tc>
            <w:tc>
              <w:tcPr>
                <w:tcW w:w="179" w:type="dxa"/>
                <w:tcBorders>
                  <w:top w:val="nil"/>
                  <w:left w:val="nil"/>
                  <w:bottom w:val="single" w:sz="8" w:space="0" w:color="auto"/>
                  <w:right w:val="nil"/>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5</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5</w:t>
                </w:r>
              </w:p>
            </w:tc>
            <w:tc>
              <w:tcPr>
                <w:tcW w:w="993"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10</w:t>
                </w:r>
              </w:p>
            </w:tc>
            <w:tc>
              <w:tcPr>
                <w:tcW w:w="1299"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15</w:t>
                </w:r>
              </w:p>
            </w:tc>
            <w:tc>
              <w:tcPr>
                <w:tcW w:w="707"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20</w:t>
                </w:r>
              </w:p>
            </w:tc>
            <w:tc>
              <w:tcPr>
                <w:tcW w:w="1105"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25</w:t>
                </w:r>
              </w:p>
            </w:tc>
          </w:tr>
          <w:tr w:rsidR="003C256F" w:rsidRPr="00F57F3A" w:rsidTr="003C256F">
            <w:trPr>
              <w:trHeight w:val="500"/>
            </w:trPr>
            <w:tc>
              <w:tcPr>
                <w:tcW w:w="1133" w:type="dxa"/>
                <w:vMerge/>
                <w:tcBorders>
                  <w:top w:val="nil"/>
                  <w:left w:val="single" w:sz="8" w:space="0" w:color="auto"/>
                  <w:bottom w:val="single" w:sz="8" w:space="0" w:color="000000"/>
                  <w:right w:val="single" w:sz="8" w:space="0" w:color="auto"/>
                </w:tcBorders>
                <w:vAlign w:val="center"/>
                <w:hideMark/>
              </w:tcPr>
              <w:p w:rsidR="003C256F" w:rsidRPr="00F57F3A" w:rsidRDefault="003C256F" w:rsidP="003C256F">
                <w:pPr>
                  <w:rPr>
                    <w:rFonts w:ascii="Calibri" w:hAnsi="Calibri" w:cs="Calibri"/>
                    <w:b/>
                    <w:bCs/>
                    <w:color w:val="000000"/>
                    <w:sz w:val="24"/>
                    <w:szCs w:val="2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Fatalities &lt;5</w:t>
                </w:r>
              </w:p>
            </w:tc>
            <w:tc>
              <w:tcPr>
                <w:tcW w:w="179" w:type="dxa"/>
                <w:tcBorders>
                  <w:top w:val="nil"/>
                  <w:left w:val="nil"/>
                  <w:bottom w:val="single" w:sz="8" w:space="0" w:color="auto"/>
                  <w:right w:val="nil"/>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4</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4</w:t>
                </w:r>
              </w:p>
            </w:tc>
            <w:tc>
              <w:tcPr>
                <w:tcW w:w="993"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8</w:t>
                </w:r>
              </w:p>
            </w:tc>
            <w:tc>
              <w:tcPr>
                <w:tcW w:w="1299"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12</w:t>
                </w:r>
              </w:p>
            </w:tc>
            <w:tc>
              <w:tcPr>
                <w:tcW w:w="707"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16</w:t>
                </w:r>
              </w:p>
            </w:tc>
            <w:tc>
              <w:tcPr>
                <w:tcW w:w="1105" w:type="dxa"/>
                <w:tcBorders>
                  <w:top w:val="nil"/>
                  <w:left w:val="nil"/>
                  <w:bottom w:val="single" w:sz="8" w:space="0" w:color="auto"/>
                  <w:right w:val="single" w:sz="8" w:space="0" w:color="auto"/>
                </w:tcBorders>
                <w:shd w:val="clear" w:color="000000"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20</w:t>
                </w:r>
              </w:p>
            </w:tc>
          </w:tr>
          <w:tr w:rsidR="003C256F" w:rsidRPr="00F57F3A" w:rsidTr="003C256F">
            <w:trPr>
              <w:trHeight w:val="490"/>
            </w:trPr>
            <w:tc>
              <w:tcPr>
                <w:tcW w:w="1133" w:type="dxa"/>
                <w:vMerge/>
                <w:tcBorders>
                  <w:top w:val="nil"/>
                  <w:left w:val="single" w:sz="8" w:space="0" w:color="auto"/>
                  <w:bottom w:val="single" w:sz="8" w:space="0" w:color="000000"/>
                  <w:right w:val="single" w:sz="8" w:space="0" w:color="auto"/>
                </w:tcBorders>
                <w:vAlign w:val="center"/>
                <w:hideMark/>
              </w:tcPr>
              <w:p w:rsidR="003C256F" w:rsidRPr="00F57F3A" w:rsidRDefault="003C256F" w:rsidP="003C256F">
                <w:pPr>
                  <w:rPr>
                    <w:rFonts w:ascii="Calibri" w:hAnsi="Calibri" w:cs="Calibri"/>
                    <w:b/>
                    <w:bCs/>
                    <w:color w:val="000000"/>
                    <w:sz w:val="24"/>
                    <w:szCs w:val="2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Severe life threatening injuries requiring immediate hospitalisation </w:t>
                </w:r>
              </w:p>
            </w:tc>
            <w:tc>
              <w:tcPr>
                <w:tcW w:w="179" w:type="dxa"/>
                <w:tcBorders>
                  <w:top w:val="nil"/>
                  <w:left w:val="nil"/>
                  <w:bottom w:val="single" w:sz="8" w:space="0" w:color="auto"/>
                  <w:right w:val="nil"/>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3</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3</w:t>
                </w:r>
              </w:p>
            </w:tc>
            <w:tc>
              <w:tcPr>
                <w:tcW w:w="993"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6</w:t>
                </w:r>
              </w:p>
            </w:tc>
            <w:tc>
              <w:tcPr>
                <w:tcW w:w="1299"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9</w:t>
                </w:r>
              </w:p>
            </w:tc>
            <w:tc>
              <w:tcPr>
                <w:tcW w:w="707" w:type="dxa"/>
                <w:tcBorders>
                  <w:top w:val="nil"/>
                  <w:left w:val="nil"/>
                  <w:bottom w:val="single" w:sz="8" w:space="0" w:color="auto"/>
                  <w:right w:val="single" w:sz="8" w:space="0" w:color="auto"/>
                </w:tcBorders>
                <w:shd w:val="clear" w:color="auto"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12</w:t>
                </w:r>
              </w:p>
            </w:tc>
            <w:tc>
              <w:tcPr>
                <w:tcW w:w="1105" w:type="dxa"/>
                <w:tcBorders>
                  <w:top w:val="nil"/>
                  <w:left w:val="nil"/>
                  <w:bottom w:val="single" w:sz="8" w:space="0" w:color="auto"/>
                  <w:right w:val="single" w:sz="8" w:space="0" w:color="auto"/>
                </w:tcBorders>
                <w:shd w:val="clear" w:color="auto" w:fill="FF00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15</w:t>
                </w:r>
              </w:p>
            </w:tc>
          </w:tr>
          <w:tr w:rsidR="003C256F" w:rsidRPr="00F57F3A" w:rsidTr="003C256F">
            <w:trPr>
              <w:trHeight w:val="550"/>
            </w:trPr>
            <w:tc>
              <w:tcPr>
                <w:tcW w:w="1133" w:type="dxa"/>
                <w:vMerge/>
                <w:tcBorders>
                  <w:top w:val="nil"/>
                  <w:left w:val="single" w:sz="8" w:space="0" w:color="auto"/>
                  <w:bottom w:val="single" w:sz="8" w:space="0" w:color="000000"/>
                  <w:right w:val="single" w:sz="8" w:space="0" w:color="auto"/>
                </w:tcBorders>
                <w:vAlign w:val="center"/>
                <w:hideMark/>
              </w:tcPr>
              <w:p w:rsidR="003C256F" w:rsidRPr="00F57F3A" w:rsidRDefault="003C256F" w:rsidP="003C256F">
                <w:pPr>
                  <w:rPr>
                    <w:rFonts w:ascii="Calibri" w:hAnsi="Calibri" w:cs="Calibri"/>
                    <w:b/>
                    <w:bCs/>
                    <w:color w:val="000000"/>
                    <w:sz w:val="24"/>
                    <w:szCs w:val="2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Serious non-life threatening injuries requiring medical treatment </w:t>
                </w:r>
              </w:p>
            </w:tc>
            <w:tc>
              <w:tcPr>
                <w:tcW w:w="179" w:type="dxa"/>
                <w:tcBorders>
                  <w:top w:val="nil"/>
                  <w:left w:val="nil"/>
                  <w:bottom w:val="single" w:sz="8" w:space="0" w:color="auto"/>
                  <w:right w:val="nil"/>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w:t>
                </w:r>
              </w:p>
            </w:tc>
            <w:tc>
              <w:tcPr>
                <w:tcW w:w="993" w:type="dxa"/>
                <w:tcBorders>
                  <w:top w:val="nil"/>
                  <w:left w:val="nil"/>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4</w:t>
                </w:r>
              </w:p>
            </w:tc>
            <w:tc>
              <w:tcPr>
                <w:tcW w:w="1299"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6</w:t>
                </w:r>
              </w:p>
            </w:tc>
            <w:tc>
              <w:tcPr>
                <w:tcW w:w="707"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8</w:t>
                </w:r>
              </w:p>
            </w:tc>
            <w:tc>
              <w:tcPr>
                <w:tcW w:w="1105" w:type="dxa"/>
                <w:tcBorders>
                  <w:top w:val="nil"/>
                  <w:left w:val="nil"/>
                  <w:bottom w:val="single" w:sz="8" w:space="0" w:color="auto"/>
                  <w:right w:val="single" w:sz="8" w:space="0" w:color="auto"/>
                </w:tcBorders>
                <w:shd w:val="clear" w:color="000000"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10</w:t>
                </w:r>
              </w:p>
            </w:tc>
          </w:tr>
          <w:tr w:rsidR="003C256F" w:rsidRPr="00F57F3A" w:rsidTr="003C256F">
            <w:trPr>
              <w:trHeight w:val="490"/>
            </w:trPr>
            <w:tc>
              <w:tcPr>
                <w:tcW w:w="1133" w:type="dxa"/>
                <w:vMerge/>
                <w:tcBorders>
                  <w:top w:val="nil"/>
                  <w:left w:val="single" w:sz="8" w:space="0" w:color="auto"/>
                  <w:bottom w:val="single" w:sz="8" w:space="0" w:color="000000"/>
                  <w:right w:val="single" w:sz="8" w:space="0" w:color="auto"/>
                </w:tcBorders>
                <w:vAlign w:val="center"/>
                <w:hideMark/>
              </w:tcPr>
              <w:p w:rsidR="003C256F" w:rsidRPr="00F57F3A" w:rsidRDefault="003C256F" w:rsidP="003C256F">
                <w:pPr>
                  <w:rPr>
                    <w:rFonts w:ascii="Calibri" w:hAnsi="Calibri" w:cs="Calibri"/>
                    <w:b/>
                    <w:bCs/>
                    <w:color w:val="000000"/>
                    <w:sz w:val="24"/>
                    <w:szCs w:val="24"/>
                    <w:lang w:eastAsia="en-GB"/>
                  </w:rPr>
                </w:pPr>
              </w:p>
            </w:tc>
            <w:tc>
              <w:tcPr>
                <w:tcW w:w="792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Minor injuries requiring first aid treatment </w:t>
                </w:r>
              </w:p>
            </w:tc>
            <w:tc>
              <w:tcPr>
                <w:tcW w:w="179" w:type="dxa"/>
                <w:tcBorders>
                  <w:top w:val="nil"/>
                  <w:left w:val="nil"/>
                  <w:bottom w:val="single" w:sz="8" w:space="0" w:color="auto"/>
                  <w:right w:val="nil"/>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w:t>
                </w:r>
              </w:p>
            </w:tc>
            <w:tc>
              <w:tcPr>
                <w:tcW w:w="993" w:type="dxa"/>
                <w:tcBorders>
                  <w:top w:val="nil"/>
                  <w:left w:val="nil"/>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Pr>
                    <w:rFonts w:ascii="Calibri" w:hAnsi="Calibri" w:cs="Calibri"/>
                    <w:b/>
                    <w:bCs/>
                    <w:color w:val="000000"/>
                    <w:sz w:val="24"/>
                    <w:szCs w:val="24"/>
                    <w:lang w:eastAsia="en-GB"/>
                  </w:rPr>
                  <w:t>2</w:t>
                </w:r>
              </w:p>
            </w:tc>
            <w:tc>
              <w:tcPr>
                <w:tcW w:w="1299" w:type="dxa"/>
                <w:tcBorders>
                  <w:top w:val="nil"/>
                  <w:left w:val="nil"/>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Pr>
                    <w:rFonts w:ascii="Calibri" w:hAnsi="Calibri" w:cs="Calibri"/>
                    <w:b/>
                    <w:bCs/>
                    <w:color w:val="000000"/>
                    <w:sz w:val="24"/>
                    <w:szCs w:val="24"/>
                    <w:lang w:eastAsia="en-GB"/>
                  </w:rPr>
                  <w:t>3</w:t>
                </w:r>
              </w:p>
            </w:tc>
            <w:tc>
              <w:tcPr>
                <w:tcW w:w="707" w:type="dxa"/>
                <w:tcBorders>
                  <w:top w:val="nil"/>
                  <w:left w:val="nil"/>
                  <w:bottom w:val="single" w:sz="8" w:space="0" w:color="auto"/>
                  <w:right w:val="single" w:sz="8" w:space="0" w:color="auto"/>
                </w:tcBorders>
                <w:shd w:val="clear" w:color="000000" w:fill="48EF31"/>
                <w:noWrap/>
                <w:vAlign w:val="center"/>
                <w:hideMark/>
              </w:tcPr>
              <w:p w:rsidR="003C256F" w:rsidRPr="00F57F3A" w:rsidRDefault="003C256F" w:rsidP="003C256F">
                <w:pPr>
                  <w:jc w:val="center"/>
                  <w:rPr>
                    <w:rFonts w:ascii="Calibri" w:hAnsi="Calibri" w:cs="Calibri"/>
                    <w:b/>
                    <w:bCs/>
                    <w:color w:val="000000"/>
                    <w:sz w:val="24"/>
                    <w:szCs w:val="24"/>
                    <w:lang w:eastAsia="en-GB"/>
                  </w:rPr>
                </w:pPr>
                <w:r>
                  <w:rPr>
                    <w:rFonts w:ascii="Calibri" w:hAnsi="Calibri" w:cs="Calibri"/>
                    <w:b/>
                    <w:bCs/>
                    <w:color w:val="000000"/>
                    <w:sz w:val="24"/>
                    <w:szCs w:val="24"/>
                    <w:lang w:eastAsia="en-GB"/>
                  </w:rPr>
                  <w:t>4</w:t>
                </w:r>
              </w:p>
            </w:tc>
            <w:tc>
              <w:tcPr>
                <w:tcW w:w="1105" w:type="dxa"/>
                <w:tcBorders>
                  <w:top w:val="nil"/>
                  <w:left w:val="nil"/>
                  <w:bottom w:val="single" w:sz="8" w:space="0" w:color="auto"/>
                  <w:right w:val="single" w:sz="8" w:space="0" w:color="auto"/>
                </w:tcBorders>
                <w:shd w:val="clear" w:color="auto" w:fill="FFFF00"/>
                <w:noWrap/>
                <w:vAlign w:val="center"/>
                <w:hideMark/>
              </w:tcPr>
              <w:p w:rsidR="003C256F" w:rsidRPr="00F57F3A" w:rsidRDefault="003C256F" w:rsidP="003C256F">
                <w:pPr>
                  <w:jc w:val="center"/>
                  <w:rPr>
                    <w:rFonts w:ascii="Calibri" w:hAnsi="Calibri" w:cs="Calibri"/>
                    <w:b/>
                    <w:bCs/>
                    <w:color w:val="000000"/>
                    <w:sz w:val="24"/>
                    <w:szCs w:val="24"/>
                    <w:lang w:eastAsia="en-GB"/>
                  </w:rPr>
                </w:pPr>
                <w:r>
                  <w:rPr>
                    <w:rFonts w:ascii="Calibri" w:hAnsi="Calibri" w:cs="Calibri"/>
                    <w:b/>
                    <w:bCs/>
                    <w:color w:val="000000"/>
                    <w:sz w:val="24"/>
                    <w:szCs w:val="24"/>
                    <w:lang w:eastAsia="en-GB"/>
                  </w:rPr>
                  <w:t>5</w:t>
                </w:r>
              </w:p>
            </w:tc>
          </w:tr>
          <w:tr w:rsidR="003C256F" w:rsidRPr="00F57F3A" w:rsidTr="003C256F">
            <w:trPr>
              <w:trHeight w:val="400"/>
            </w:trPr>
            <w:tc>
              <w:tcPr>
                <w:tcW w:w="9235" w:type="dxa"/>
                <w:gridSpan w:val="3"/>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rsidR="003C256F" w:rsidRPr="00F57F3A" w:rsidRDefault="003C256F" w:rsidP="003C256F">
                <w:pPr>
                  <w:rPr>
                    <w:rFonts w:ascii="Calibri" w:hAnsi="Calibri" w:cs="Calibri"/>
                    <w:b/>
                    <w:bCs/>
                    <w:color w:val="000000"/>
                    <w:sz w:val="24"/>
                    <w:szCs w:val="24"/>
                    <w:lang w:eastAsia="en-GB"/>
                  </w:rPr>
                </w:pPr>
                <w:r>
                  <w:rPr>
                    <w:rFonts w:ascii="Calibri" w:hAnsi="Calibri" w:cs="Calibri"/>
                    <w:b/>
                    <w:bCs/>
                    <w:color w:val="000000"/>
                    <w:sz w:val="24"/>
                    <w:szCs w:val="24"/>
                    <w:lang w:eastAsia="en-GB"/>
                  </w:rPr>
                  <w:t>Frequency</w:t>
                </w:r>
                <w:r w:rsidRPr="00F57F3A">
                  <w:rPr>
                    <w:rFonts w:ascii="Calibri" w:hAnsi="Calibri" w:cs="Calibri"/>
                    <w:b/>
                    <w:bCs/>
                    <w:color w:val="000000"/>
                    <w:sz w:val="24"/>
                    <w:szCs w:val="24"/>
                    <w:lang w:eastAsia="en-GB"/>
                  </w:rPr>
                  <w:t xml:space="preserve"> </w:t>
                </w:r>
              </w:p>
            </w:tc>
            <w:tc>
              <w:tcPr>
                <w:tcW w:w="961" w:type="dxa"/>
                <w:tcBorders>
                  <w:top w:val="nil"/>
                  <w:left w:val="nil"/>
                  <w:bottom w:val="single" w:sz="8" w:space="0" w:color="auto"/>
                  <w:right w:val="single" w:sz="8" w:space="0" w:color="auto"/>
                </w:tcBorders>
                <w:shd w:val="clear" w:color="auto" w:fill="FFFFFF" w:themeFill="background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1</w:t>
                </w:r>
              </w:p>
            </w:tc>
            <w:tc>
              <w:tcPr>
                <w:tcW w:w="993" w:type="dxa"/>
                <w:tcBorders>
                  <w:top w:val="nil"/>
                  <w:left w:val="nil"/>
                  <w:bottom w:val="single" w:sz="8" w:space="0" w:color="auto"/>
                  <w:right w:val="single" w:sz="8" w:space="0" w:color="auto"/>
                </w:tcBorders>
                <w:shd w:val="clear" w:color="auto" w:fill="FFFFFF" w:themeFill="background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2</w:t>
                </w:r>
              </w:p>
            </w:tc>
            <w:tc>
              <w:tcPr>
                <w:tcW w:w="1299" w:type="dxa"/>
                <w:tcBorders>
                  <w:top w:val="nil"/>
                  <w:left w:val="nil"/>
                  <w:bottom w:val="single" w:sz="8" w:space="0" w:color="auto"/>
                  <w:right w:val="single" w:sz="8" w:space="0" w:color="auto"/>
                </w:tcBorders>
                <w:shd w:val="clear" w:color="auto" w:fill="FFFFFF" w:themeFill="background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3</w:t>
                </w:r>
              </w:p>
            </w:tc>
            <w:tc>
              <w:tcPr>
                <w:tcW w:w="707" w:type="dxa"/>
                <w:tcBorders>
                  <w:top w:val="nil"/>
                  <w:left w:val="nil"/>
                  <w:bottom w:val="single" w:sz="8" w:space="0" w:color="auto"/>
                  <w:right w:val="single" w:sz="8" w:space="0" w:color="auto"/>
                </w:tcBorders>
                <w:shd w:val="clear" w:color="auto" w:fill="FFFFFF" w:themeFill="background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4</w:t>
                </w:r>
              </w:p>
            </w:tc>
            <w:tc>
              <w:tcPr>
                <w:tcW w:w="1105" w:type="dxa"/>
                <w:tcBorders>
                  <w:top w:val="nil"/>
                  <w:left w:val="nil"/>
                  <w:bottom w:val="single" w:sz="8" w:space="0" w:color="auto"/>
                  <w:right w:val="single" w:sz="8" w:space="0" w:color="auto"/>
                </w:tcBorders>
                <w:shd w:val="clear" w:color="auto" w:fill="FFFFFF" w:themeFill="background1"/>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5</w:t>
                </w:r>
              </w:p>
            </w:tc>
          </w:tr>
          <w:tr w:rsidR="003C256F" w:rsidRPr="00F57F3A" w:rsidTr="003C256F">
            <w:trPr>
              <w:trHeight w:val="320"/>
            </w:trPr>
            <w:tc>
              <w:tcPr>
                <w:tcW w:w="9235" w:type="dxa"/>
                <w:gridSpan w:val="3"/>
                <w:vMerge/>
                <w:tcBorders>
                  <w:top w:val="single" w:sz="8" w:space="0" w:color="auto"/>
                  <w:left w:val="single" w:sz="8" w:space="0" w:color="auto"/>
                  <w:bottom w:val="single" w:sz="8" w:space="0" w:color="000000"/>
                  <w:right w:val="single" w:sz="8" w:space="0" w:color="000000"/>
                </w:tcBorders>
                <w:vAlign w:val="center"/>
                <w:hideMark/>
              </w:tcPr>
              <w:p w:rsidR="003C256F" w:rsidRPr="00F57F3A" w:rsidRDefault="003C256F" w:rsidP="003C256F">
                <w:pPr>
                  <w:rPr>
                    <w:rFonts w:ascii="Calibri" w:hAnsi="Calibri" w:cs="Calibri"/>
                    <w:b/>
                    <w:bCs/>
                    <w:color w:val="000000"/>
                    <w:sz w:val="24"/>
                    <w:szCs w:val="24"/>
                    <w:lang w:eastAsia="en-GB"/>
                  </w:rPr>
                </w:pPr>
              </w:p>
            </w:tc>
            <w:tc>
              <w:tcPr>
                <w:tcW w:w="961"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Remote</w:t>
                </w:r>
              </w:p>
            </w:tc>
            <w:tc>
              <w:tcPr>
                <w:tcW w:w="993"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Unlikely</w:t>
                </w:r>
              </w:p>
            </w:tc>
            <w:tc>
              <w:tcPr>
                <w:tcW w:w="1299"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Occasional</w:t>
                </w:r>
              </w:p>
            </w:tc>
            <w:tc>
              <w:tcPr>
                <w:tcW w:w="707"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Likely </w:t>
                </w:r>
              </w:p>
            </w:tc>
            <w:tc>
              <w:tcPr>
                <w:tcW w:w="1105" w:type="dxa"/>
                <w:tcBorders>
                  <w:top w:val="nil"/>
                  <w:left w:val="nil"/>
                  <w:bottom w:val="single" w:sz="8" w:space="0" w:color="auto"/>
                  <w:right w:val="single" w:sz="8" w:space="0" w:color="auto"/>
                </w:tcBorders>
                <w:shd w:val="clear" w:color="auto" w:fill="auto"/>
                <w:noWrap/>
                <w:vAlign w:val="center"/>
                <w:hideMark/>
              </w:tcPr>
              <w:p w:rsidR="003C256F" w:rsidRPr="00F57F3A" w:rsidRDefault="003C256F" w:rsidP="003C256F">
                <w:pPr>
                  <w:jc w:val="cente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Frequent</w:t>
                </w:r>
              </w:p>
            </w:tc>
          </w:tr>
        </w:tbl>
        <w:p w:rsidR="003C256F" w:rsidRDefault="003C256F" w:rsidP="003C256F">
          <w:pPr>
            <w:rPr>
              <w:rFonts w:ascii="Times New Roman" w:hAnsi="Times New Roman"/>
              <w:sz w:val="20"/>
              <w:lang w:eastAsia="en-GB"/>
            </w:rPr>
          </w:pPr>
          <w:r>
            <w:fldChar w:fldCharType="end"/>
          </w:r>
          <w:r>
            <w:fldChar w:fldCharType="begin"/>
          </w:r>
          <w:r>
            <w:instrText xml:space="preserve"> LINK Excel.Sheet.12 "\\\\BAESTNMDS003v04\\Washington_alana.martin$\\Desktop\\Risk Matrix.xlsx" "Sheet3!R3C3:R7C10" \a \f 4 \h  \* MERGEFORMAT </w:instrText>
          </w:r>
          <w:r>
            <w:fldChar w:fldCharType="separate"/>
          </w:r>
        </w:p>
        <w:tbl>
          <w:tblPr>
            <w:tblW w:w="14317" w:type="dxa"/>
            <w:tblLook w:val="04A0" w:firstRow="1" w:lastRow="0" w:firstColumn="1" w:lastColumn="0" w:noHBand="0" w:noVBand="1"/>
          </w:tblPr>
          <w:tblGrid>
            <w:gridCol w:w="905"/>
            <w:gridCol w:w="3094"/>
            <w:gridCol w:w="10318"/>
          </w:tblGrid>
          <w:tr w:rsidR="003C256F" w:rsidRPr="00F57F3A" w:rsidTr="003C256F">
            <w:trPr>
              <w:trHeight w:val="218"/>
            </w:trPr>
            <w:tc>
              <w:tcPr>
                <w:tcW w:w="14317" w:type="dxa"/>
                <w:gridSpan w:val="3"/>
                <w:tcBorders>
                  <w:top w:val="single" w:sz="8" w:space="0" w:color="auto"/>
                  <w:left w:val="single" w:sz="8" w:space="0" w:color="auto"/>
                  <w:bottom w:val="single" w:sz="8" w:space="0" w:color="auto"/>
                  <w:right w:val="single" w:sz="8" w:space="0" w:color="000000"/>
                </w:tcBorders>
                <w:shd w:val="clear" w:color="auto" w:fill="auto"/>
                <w:vAlign w:val="center"/>
                <w:hideMark/>
              </w:tcPr>
              <w:p w:rsidR="003C256F" w:rsidRPr="00F57F3A" w:rsidRDefault="003C256F" w:rsidP="003C256F">
                <w:pPr>
                  <w:rPr>
                    <w:rFonts w:ascii="Calibri" w:hAnsi="Calibri" w:cs="Calibri"/>
                    <w:b/>
                    <w:bCs/>
                    <w:color w:val="000000"/>
                    <w:sz w:val="24"/>
                    <w:szCs w:val="24"/>
                    <w:lang w:eastAsia="en-GB"/>
                  </w:rPr>
                </w:pPr>
                <w:r w:rsidRPr="00F57F3A">
                  <w:rPr>
                    <w:rFonts w:ascii="Calibri" w:hAnsi="Calibri" w:cs="Calibri"/>
                    <w:b/>
                    <w:bCs/>
                    <w:color w:val="000000"/>
                    <w:sz w:val="24"/>
                    <w:szCs w:val="24"/>
                    <w:lang w:eastAsia="en-GB"/>
                  </w:rPr>
                  <w:t xml:space="preserve">Assessment to evaluate the suitability of control measures. </w:t>
                </w:r>
              </w:p>
            </w:tc>
          </w:tr>
          <w:tr w:rsidR="003C256F" w:rsidRPr="00F57F3A" w:rsidTr="003C256F">
            <w:trPr>
              <w:trHeight w:val="205"/>
            </w:trPr>
            <w:tc>
              <w:tcPr>
                <w:tcW w:w="905" w:type="dxa"/>
                <w:tcBorders>
                  <w:top w:val="nil"/>
                  <w:left w:val="single" w:sz="8" w:space="0" w:color="auto"/>
                  <w:bottom w:val="single" w:sz="8" w:space="0" w:color="auto"/>
                  <w:right w:val="single" w:sz="8" w:space="0" w:color="auto"/>
                </w:tcBorders>
                <w:shd w:val="clear" w:color="auto" w:fill="auto"/>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Key </w:t>
                </w:r>
              </w:p>
            </w:tc>
            <w:tc>
              <w:tcPr>
                <w:tcW w:w="13411" w:type="dxa"/>
                <w:gridSpan w:val="2"/>
                <w:tcBorders>
                  <w:top w:val="single" w:sz="8" w:space="0" w:color="auto"/>
                  <w:left w:val="nil"/>
                  <w:bottom w:val="single" w:sz="8" w:space="0" w:color="auto"/>
                  <w:right w:val="single" w:sz="8" w:space="0" w:color="000000"/>
                </w:tcBorders>
                <w:shd w:val="clear" w:color="auto" w:fill="auto"/>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Risk = Severity x Frequency </w:t>
                </w:r>
              </w:p>
            </w:tc>
          </w:tr>
          <w:tr w:rsidR="003C256F" w:rsidRPr="00F57F3A" w:rsidTr="003C256F">
            <w:trPr>
              <w:trHeight w:val="287"/>
            </w:trPr>
            <w:tc>
              <w:tcPr>
                <w:tcW w:w="905" w:type="dxa"/>
                <w:tcBorders>
                  <w:top w:val="nil"/>
                  <w:left w:val="single" w:sz="8" w:space="0" w:color="auto"/>
                  <w:bottom w:val="single" w:sz="8" w:space="0" w:color="auto"/>
                  <w:right w:val="single" w:sz="8" w:space="0" w:color="auto"/>
                </w:tcBorders>
                <w:shd w:val="clear" w:color="000000" w:fill="FF0000"/>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12 - 25 Intolerable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The risk is too high, the activity should cease until control measures are improved. </w:t>
                </w:r>
              </w:p>
            </w:tc>
          </w:tr>
          <w:tr w:rsidR="003C256F" w:rsidRPr="00F57F3A" w:rsidTr="003C256F">
            <w:trPr>
              <w:trHeight w:val="252"/>
            </w:trPr>
            <w:tc>
              <w:tcPr>
                <w:tcW w:w="905" w:type="dxa"/>
                <w:tcBorders>
                  <w:top w:val="nil"/>
                  <w:left w:val="single" w:sz="8" w:space="0" w:color="auto"/>
                  <w:bottom w:val="single" w:sz="8" w:space="0" w:color="auto"/>
                  <w:right w:val="single" w:sz="8" w:space="0" w:color="auto"/>
                </w:tcBorders>
                <w:shd w:val="clear" w:color="000000" w:fill="FFFF00"/>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4 - 10 Tolerable if ALARP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The level of protection from the activity is only acceptable when the risks are ALARP</w:t>
                </w:r>
              </w:p>
            </w:tc>
          </w:tr>
          <w:tr w:rsidR="003C256F" w:rsidRPr="00F57F3A" w:rsidTr="003C256F">
            <w:trPr>
              <w:trHeight w:val="321"/>
            </w:trPr>
            <w:tc>
              <w:tcPr>
                <w:tcW w:w="905" w:type="dxa"/>
                <w:tcBorders>
                  <w:top w:val="nil"/>
                  <w:left w:val="single" w:sz="8" w:space="0" w:color="auto"/>
                  <w:bottom w:val="single" w:sz="8" w:space="0" w:color="auto"/>
                  <w:right w:val="single" w:sz="8" w:space="0" w:color="auto"/>
                </w:tcBorders>
                <w:shd w:val="clear" w:color="000000" w:fill="48EF31"/>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1 - 4 Broadly Acceptable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rsidR="003C256F" w:rsidRPr="00F57F3A" w:rsidRDefault="003C256F" w:rsidP="003C256F">
                <w:pPr>
                  <w:rPr>
                    <w:rFonts w:ascii="Calibri" w:hAnsi="Calibri" w:cs="Calibri"/>
                    <w:b/>
                    <w:bCs/>
                    <w:color w:val="000000"/>
                    <w:lang w:eastAsia="en-GB"/>
                  </w:rPr>
                </w:pPr>
                <w:r w:rsidRPr="00F57F3A">
                  <w:rPr>
                    <w:rFonts w:ascii="Calibri" w:hAnsi="Calibri" w:cs="Calibri"/>
                    <w:b/>
                    <w:bCs/>
                    <w:color w:val="000000"/>
                    <w:lang w:eastAsia="en-GB"/>
                  </w:rPr>
                  <w:t xml:space="preserve">The level of protection for the activity is considered acceptable </w:t>
                </w:r>
              </w:p>
            </w:tc>
          </w:tr>
        </w:tbl>
        <w:p w:rsidR="003C256F" w:rsidRDefault="003C256F" w:rsidP="003C256F">
          <w:r>
            <w:fldChar w:fldCharType="end"/>
          </w:r>
        </w:p>
        <w:p w:rsidR="003C256F" w:rsidRDefault="003C256F" w:rsidP="003C256F"/>
        <w:p w:rsidR="003C256F" w:rsidRDefault="003C256F" w:rsidP="003C256F"/>
        <w:p w:rsidR="003C256F" w:rsidRDefault="003C256F" w:rsidP="003C256F">
          <w:pPr>
            <w:rPr>
              <w:rFonts w:ascii="Times New Roman" w:hAnsi="Times New Roman"/>
              <w:sz w:val="20"/>
              <w:lang w:eastAsia="en-GB"/>
            </w:rPr>
          </w:pPr>
          <w:r>
            <w:fldChar w:fldCharType="begin"/>
          </w:r>
          <w:r>
            <w:instrText xml:space="preserve"> LINK Excel.Sheet.12 "\\\\BAESTNMDS003v04\\Washington_alana.martin$\\Desktop\\Risk Matrix.xlsx" "Sheet2!R2C2:R8C5" \a \f 4 \h  \* MERGEFORMAT </w:instrText>
          </w:r>
          <w:r>
            <w:fldChar w:fldCharType="separate"/>
          </w:r>
        </w:p>
        <w:tbl>
          <w:tblPr>
            <w:tblW w:w="14307" w:type="dxa"/>
            <w:tblLook w:val="04A0" w:firstRow="1" w:lastRow="0" w:firstColumn="1" w:lastColumn="0" w:noHBand="0" w:noVBand="1"/>
          </w:tblPr>
          <w:tblGrid>
            <w:gridCol w:w="1318"/>
            <w:gridCol w:w="2103"/>
            <w:gridCol w:w="5615"/>
            <w:gridCol w:w="5271"/>
          </w:tblGrid>
          <w:tr w:rsidR="003C256F" w:rsidRPr="00BD0DB8" w:rsidTr="003C256F">
            <w:trPr>
              <w:trHeight w:val="252"/>
            </w:trPr>
            <w:tc>
              <w:tcPr>
                <w:tcW w:w="14307"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lastRenderedPageBreak/>
                  <w:t xml:space="preserve">Frequency Rating For Risk Matrix </w:t>
                </w:r>
              </w:p>
            </w:tc>
          </w:tr>
          <w:tr w:rsidR="003C256F" w:rsidRPr="00BD0DB8" w:rsidTr="003C256F">
            <w:trPr>
              <w:trHeight w:val="252"/>
            </w:trPr>
            <w:tc>
              <w:tcPr>
                <w:tcW w:w="1318" w:type="dxa"/>
                <w:tcBorders>
                  <w:top w:val="nil"/>
                  <w:left w:val="single" w:sz="8" w:space="0" w:color="auto"/>
                  <w:bottom w:val="single" w:sz="8" w:space="0" w:color="auto"/>
                  <w:right w:val="single" w:sz="8" w:space="0" w:color="auto"/>
                </w:tcBorders>
                <w:shd w:val="clear" w:color="000000" w:fill="F2F2F2"/>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Frequency Rating </w:t>
                </w:r>
              </w:p>
            </w:tc>
            <w:tc>
              <w:tcPr>
                <w:tcW w:w="5615" w:type="dxa"/>
                <w:tcBorders>
                  <w:top w:val="nil"/>
                  <w:left w:val="nil"/>
                  <w:bottom w:val="single" w:sz="8" w:space="0" w:color="auto"/>
                  <w:right w:val="single" w:sz="8" w:space="0" w:color="auto"/>
                </w:tcBorders>
                <w:shd w:val="clear" w:color="000000" w:fill="F2F2F2"/>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Occurrence During Operational Life </w:t>
                </w:r>
              </w:p>
            </w:tc>
            <w:tc>
              <w:tcPr>
                <w:tcW w:w="5271" w:type="dxa"/>
                <w:tcBorders>
                  <w:top w:val="nil"/>
                  <w:left w:val="nil"/>
                  <w:bottom w:val="nil"/>
                  <w:right w:val="single" w:sz="4" w:space="0" w:color="auto"/>
                </w:tcBorders>
                <w:shd w:val="clear" w:color="000000" w:fill="F2F2F2"/>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Frequency P/A</w:t>
                </w:r>
              </w:p>
            </w:tc>
          </w:tr>
          <w:tr w:rsidR="003C256F" w:rsidRPr="00BD0DB8" w:rsidTr="003C256F">
            <w:trPr>
              <w:trHeight w:val="252"/>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Frequent</w:t>
                </w:r>
              </w:p>
            </w:tc>
            <w:tc>
              <w:tcPr>
                <w:tcW w:w="2103"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5</w:t>
                </w:r>
              </w:p>
            </w:tc>
            <w:tc>
              <w:tcPr>
                <w:tcW w:w="5615"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Likely to occur a number of times a year </w:t>
                </w:r>
              </w:p>
            </w:tc>
            <w:tc>
              <w:tcPr>
                <w:tcW w:w="5271" w:type="dxa"/>
                <w:tcBorders>
                  <w:top w:val="single" w:sz="8" w:space="0" w:color="auto"/>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F  &gt;  10</w:t>
                </w:r>
              </w:p>
            </w:tc>
          </w:tr>
          <w:tr w:rsidR="003C256F" w:rsidRPr="00BD0DB8" w:rsidTr="003C256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Likely </w:t>
                </w:r>
              </w:p>
            </w:tc>
            <w:tc>
              <w:tcPr>
                <w:tcW w:w="2103"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4</w:t>
                </w:r>
              </w:p>
            </w:tc>
            <w:tc>
              <w:tcPr>
                <w:tcW w:w="5615"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Likely to occur a few times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10 &gt;  F &gt;  10</w:t>
                </w:r>
                <w:r w:rsidRPr="00BD0DB8">
                  <w:rPr>
                    <w:rFonts w:ascii="Calibri" w:hAnsi="Calibri" w:cs="Calibri"/>
                    <w:b/>
                    <w:bCs/>
                    <w:color w:val="000000"/>
                    <w:vertAlign w:val="superscript"/>
                    <w:lang w:eastAsia="en-GB"/>
                  </w:rPr>
                  <w:t>-1</w:t>
                </w:r>
              </w:p>
            </w:tc>
          </w:tr>
          <w:tr w:rsidR="003C256F" w:rsidRPr="00BD0DB8" w:rsidTr="003C256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Occasional</w:t>
                </w:r>
              </w:p>
            </w:tc>
            <w:tc>
              <w:tcPr>
                <w:tcW w:w="2103"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3</w:t>
                </w:r>
              </w:p>
            </w:tc>
            <w:tc>
              <w:tcPr>
                <w:tcW w:w="5615"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Could occur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10</w:t>
                </w:r>
                <w:r w:rsidRPr="00BD0DB8">
                  <w:rPr>
                    <w:rFonts w:ascii="Calibri" w:hAnsi="Calibri" w:cs="Calibri"/>
                    <w:b/>
                    <w:bCs/>
                    <w:color w:val="000000"/>
                    <w:vertAlign w:val="superscript"/>
                    <w:lang w:eastAsia="en-GB"/>
                  </w:rPr>
                  <w:t xml:space="preserve">-1  </w:t>
                </w:r>
                <w:r w:rsidRPr="00BD0DB8">
                  <w:rPr>
                    <w:rFonts w:ascii="Calibri" w:hAnsi="Calibri" w:cs="Calibri"/>
                    <w:b/>
                    <w:bCs/>
                    <w:color w:val="000000"/>
                    <w:lang w:eastAsia="en-GB"/>
                  </w:rPr>
                  <w:t>&gt; F &gt; 10</w:t>
                </w:r>
                <w:r w:rsidRPr="00BD0DB8">
                  <w:rPr>
                    <w:rFonts w:ascii="Calibri" w:hAnsi="Calibri" w:cs="Calibri"/>
                    <w:b/>
                    <w:bCs/>
                    <w:color w:val="000000"/>
                    <w:vertAlign w:val="superscript"/>
                    <w:lang w:eastAsia="en-GB"/>
                  </w:rPr>
                  <w:t>-3</w:t>
                </w:r>
              </w:p>
            </w:tc>
          </w:tr>
          <w:tr w:rsidR="003C256F" w:rsidRPr="00BD0DB8" w:rsidTr="003C256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Unlikely</w:t>
                </w:r>
              </w:p>
            </w:tc>
            <w:tc>
              <w:tcPr>
                <w:tcW w:w="2103"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2</w:t>
                </w:r>
              </w:p>
            </w:tc>
            <w:tc>
              <w:tcPr>
                <w:tcW w:w="5615"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Unlikely to occur</w:t>
                </w:r>
              </w:p>
            </w:tc>
            <w:tc>
              <w:tcPr>
                <w:tcW w:w="5271"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10</w:t>
                </w:r>
                <w:r w:rsidRPr="00BD0DB8">
                  <w:rPr>
                    <w:rFonts w:ascii="Calibri" w:hAnsi="Calibri" w:cs="Calibri"/>
                    <w:b/>
                    <w:bCs/>
                    <w:color w:val="000000"/>
                    <w:vertAlign w:val="superscript"/>
                    <w:lang w:eastAsia="en-GB"/>
                  </w:rPr>
                  <w:t xml:space="preserve">-3 </w:t>
                </w:r>
                <w:r w:rsidRPr="00BD0DB8">
                  <w:rPr>
                    <w:rFonts w:ascii="Calibri" w:hAnsi="Calibri" w:cs="Calibri"/>
                    <w:b/>
                    <w:bCs/>
                    <w:color w:val="000000"/>
                    <w:lang w:eastAsia="en-GB"/>
                  </w:rPr>
                  <w:t xml:space="preserve"> &gt; F &gt; 10</w:t>
                </w:r>
                <w:r w:rsidRPr="00BD0DB8">
                  <w:rPr>
                    <w:rFonts w:ascii="Calibri" w:hAnsi="Calibri" w:cs="Calibri"/>
                    <w:b/>
                    <w:bCs/>
                    <w:color w:val="000000"/>
                    <w:vertAlign w:val="superscript"/>
                    <w:lang w:eastAsia="en-GB"/>
                  </w:rPr>
                  <w:t>-5</w:t>
                </w:r>
                <w:r w:rsidRPr="00BD0DB8">
                  <w:rPr>
                    <w:rFonts w:ascii="Calibri" w:hAnsi="Calibri" w:cs="Calibri"/>
                    <w:b/>
                    <w:bCs/>
                    <w:color w:val="000000"/>
                    <w:lang w:eastAsia="en-GB"/>
                  </w:rPr>
                  <w:t xml:space="preserve"> </w:t>
                </w:r>
              </w:p>
            </w:tc>
          </w:tr>
          <w:tr w:rsidR="003C256F" w:rsidRPr="00BD0DB8" w:rsidTr="003C256F">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Remote</w:t>
                </w:r>
              </w:p>
            </w:tc>
            <w:tc>
              <w:tcPr>
                <w:tcW w:w="2103"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1</w:t>
                </w:r>
              </w:p>
            </w:tc>
            <w:tc>
              <w:tcPr>
                <w:tcW w:w="5615"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 xml:space="preserve">Highly unlikely but may exceptionally occur </w:t>
                </w:r>
              </w:p>
            </w:tc>
            <w:tc>
              <w:tcPr>
                <w:tcW w:w="5271" w:type="dxa"/>
                <w:tcBorders>
                  <w:top w:val="nil"/>
                  <w:left w:val="nil"/>
                  <w:bottom w:val="single" w:sz="8" w:space="0" w:color="auto"/>
                  <w:right w:val="single" w:sz="8" w:space="0" w:color="auto"/>
                </w:tcBorders>
                <w:shd w:val="clear" w:color="auto" w:fill="auto"/>
                <w:noWrap/>
                <w:vAlign w:val="bottom"/>
                <w:hideMark/>
              </w:tcPr>
              <w:p w:rsidR="003C256F" w:rsidRPr="00BD0DB8" w:rsidRDefault="003C256F" w:rsidP="003C256F">
                <w:pPr>
                  <w:jc w:val="center"/>
                  <w:rPr>
                    <w:rFonts w:ascii="Calibri" w:hAnsi="Calibri" w:cs="Calibri"/>
                    <w:b/>
                    <w:bCs/>
                    <w:color w:val="000000"/>
                    <w:lang w:eastAsia="en-GB"/>
                  </w:rPr>
                </w:pPr>
                <w:r w:rsidRPr="00BD0DB8">
                  <w:rPr>
                    <w:rFonts w:ascii="Calibri" w:hAnsi="Calibri" w:cs="Calibri"/>
                    <w:b/>
                    <w:bCs/>
                    <w:color w:val="000000"/>
                    <w:lang w:eastAsia="en-GB"/>
                  </w:rPr>
                  <w:t>10</w:t>
                </w:r>
                <w:r w:rsidRPr="00BD0DB8">
                  <w:rPr>
                    <w:rFonts w:ascii="Calibri" w:hAnsi="Calibri" w:cs="Calibri"/>
                    <w:b/>
                    <w:bCs/>
                    <w:color w:val="000000"/>
                    <w:vertAlign w:val="superscript"/>
                    <w:lang w:eastAsia="en-GB"/>
                  </w:rPr>
                  <w:t>-5</w:t>
                </w:r>
                <w:r w:rsidRPr="00BD0DB8">
                  <w:rPr>
                    <w:rFonts w:ascii="Calibri" w:hAnsi="Calibri" w:cs="Calibri"/>
                    <w:b/>
                    <w:bCs/>
                    <w:color w:val="000000"/>
                    <w:lang w:eastAsia="en-GB"/>
                  </w:rPr>
                  <w:t xml:space="preserve"> &gt; F &gt; 10</w:t>
                </w:r>
                <w:r w:rsidRPr="00BD0DB8">
                  <w:rPr>
                    <w:rFonts w:ascii="Calibri" w:hAnsi="Calibri" w:cs="Calibri"/>
                    <w:b/>
                    <w:bCs/>
                    <w:color w:val="000000"/>
                    <w:vertAlign w:val="superscript"/>
                    <w:lang w:eastAsia="en-GB"/>
                  </w:rPr>
                  <w:t>-7</w:t>
                </w:r>
              </w:p>
            </w:tc>
          </w:tr>
        </w:tbl>
        <w:p w:rsidR="002E2C0B" w:rsidRDefault="003C256F">
          <w:r>
            <w:fldChar w:fldCharType="end"/>
          </w:r>
        </w:p>
      </w:sdtContent>
    </w:sdt>
    <w:p w:rsidR="003C256F" w:rsidRDefault="003C256F">
      <w:pPr>
        <w:rPr>
          <w:b/>
          <w:sz w:val="24"/>
          <w:u w:val="single"/>
        </w:rPr>
      </w:pPr>
    </w:p>
    <w:p w:rsidR="003C256F" w:rsidRDefault="003C256F">
      <w:pPr>
        <w:rPr>
          <w:b/>
          <w:sz w:val="24"/>
          <w:u w:val="single"/>
        </w:rPr>
      </w:pPr>
    </w:p>
    <w:p w:rsidR="003C256F" w:rsidRDefault="003C256F">
      <w:pPr>
        <w:rPr>
          <w:b/>
          <w:sz w:val="24"/>
          <w:u w:val="single"/>
        </w:rPr>
      </w:pPr>
    </w:p>
    <w:p w:rsidR="003C256F" w:rsidRDefault="003C256F">
      <w:pPr>
        <w:rPr>
          <w:b/>
          <w:sz w:val="24"/>
          <w:u w:val="single"/>
        </w:rPr>
      </w:pPr>
    </w:p>
    <w:p w:rsidR="003C256F" w:rsidRDefault="003C256F">
      <w:pPr>
        <w:rPr>
          <w:b/>
          <w:sz w:val="24"/>
          <w:u w:val="single"/>
        </w:rPr>
      </w:pPr>
    </w:p>
    <w:p w:rsidR="003C256F" w:rsidRDefault="003C256F">
      <w:pPr>
        <w:rPr>
          <w:b/>
          <w:sz w:val="24"/>
          <w:u w:val="single"/>
        </w:rPr>
        <w:sectPr w:rsidR="003C256F" w:rsidSect="003C256F">
          <w:headerReference w:type="even" r:id="rId22"/>
          <w:headerReference w:type="default" r:id="rId23"/>
          <w:footerReference w:type="even" r:id="rId24"/>
          <w:footerReference w:type="default" r:id="rId25"/>
          <w:headerReference w:type="first" r:id="rId26"/>
          <w:footerReference w:type="first" r:id="rId27"/>
          <w:pgSz w:w="16838" w:h="11906" w:orient="landscape"/>
          <w:pgMar w:top="1440" w:right="1440" w:bottom="1440" w:left="1440" w:header="708" w:footer="708" w:gutter="0"/>
          <w:pgNumType w:start="0"/>
          <w:cols w:space="708"/>
          <w:titlePg/>
          <w:docGrid w:linePitch="360"/>
        </w:sectPr>
      </w:pPr>
    </w:p>
    <w:p w:rsidR="001F6059" w:rsidRDefault="002B5A3F">
      <w:pPr>
        <w:rPr>
          <w:b/>
          <w:sz w:val="24"/>
          <w:u w:val="single"/>
        </w:rPr>
      </w:pPr>
      <w:r>
        <w:rPr>
          <w:b/>
          <w:sz w:val="24"/>
          <w:u w:val="single"/>
        </w:rPr>
        <w:lastRenderedPageBreak/>
        <w:t>ALARP Justification</w:t>
      </w:r>
    </w:p>
    <w:p w:rsidR="002E2C0B" w:rsidRDefault="002B5A3F" w:rsidP="00C34DF4">
      <w:pPr>
        <w:jc w:val="both"/>
      </w:pPr>
      <w:r>
        <w:t>When designing any sort of process or equipment there are always going to be risks involved. It is important that the individual makes a conscious effort to make all the risks as low as reasonably practicable, otherwise known as ALARP</w:t>
      </w:r>
      <w:r w:rsidR="002E2C0B">
        <w:t xml:space="preserve"> </w:t>
      </w:r>
      <w:sdt>
        <w:sdtPr>
          <w:id w:val="1147858638"/>
          <w:citation/>
        </w:sdtPr>
        <w:sdtContent>
          <w:r w:rsidR="002E2C0B">
            <w:fldChar w:fldCharType="begin"/>
          </w:r>
          <w:r w:rsidR="002E2C0B">
            <w:instrText xml:space="preserve"> CITATION Hea24 \l 2057 </w:instrText>
          </w:r>
          <w:r w:rsidR="002E2C0B">
            <w:fldChar w:fldCharType="separate"/>
          </w:r>
          <w:r w:rsidR="00720E79" w:rsidRPr="00720E79">
            <w:rPr>
              <w:noProof/>
            </w:rPr>
            <w:t>[1]</w:t>
          </w:r>
          <w:r w:rsidR="002E2C0B">
            <w:fldChar w:fldCharType="end"/>
          </w:r>
        </w:sdtContent>
      </w:sdt>
      <w:r>
        <w:t>.</w:t>
      </w:r>
      <w:r w:rsidR="002E2C0B">
        <w:t xml:space="preserve"> ALARP justifications can lead to three different outcomes which are broadly acceptable, tolerable and unacceptable. Broadly acceptable risks are very low hazards that pose little concern to individuals involved. The tolerable region are risks debated within teams to analyse if the benefit of the task outweighs the risk involved in completing it. The unacceptable region are the risks that could lead to fatalities even after control measures are put into place which cannot be justified without extraordinary circumstances.</w:t>
      </w:r>
      <w:sdt>
        <w:sdtPr>
          <w:id w:val="-1254897735"/>
          <w:citation/>
        </w:sdtPr>
        <w:sdtContent>
          <w:r w:rsidR="002E2C0B">
            <w:fldChar w:fldCharType="begin"/>
          </w:r>
          <w:r w:rsidR="002E2C0B">
            <w:instrText xml:space="preserve"> CITATION Pri24 \l 2057 </w:instrText>
          </w:r>
          <w:r w:rsidR="002E2C0B">
            <w:fldChar w:fldCharType="separate"/>
          </w:r>
          <w:r w:rsidR="00720E79">
            <w:rPr>
              <w:noProof/>
            </w:rPr>
            <w:t xml:space="preserve"> </w:t>
          </w:r>
          <w:r w:rsidR="00720E79" w:rsidRPr="00720E79">
            <w:rPr>
              <w:noProof/>
            </w:rPr>
            <w:t>[2]</w:t>
          </w:r>
          <w:r w:rsidR="002E2C0B">
            <w:fldChar w:fldCharType="end"/>
          </w:r>
        </w:sdtContent>
      </w:sdt>
    </w:p>
    <w:p w:rsidR="002E2C0B" w:rsidRDefault="002E2C0B" w:rsidP="002E2C0B">
      <w:pPr>
        <w:keepNext/>
        <w:jc w:val="center"/>
      </w:pPr>
      <w:r>
        <w:rPr>
          <w:noProof/>
          <w:lang w:eastAsia="en-GB"/>
        </w:rPr>
        <w:drawing>
          <wp:inline distT="0" distB="0" distL="0" distR="0">
            <wp:extent cx="3176615" cy="2120161"/>
            <wp:effectExtent l="0" t="0" r="5080" b="0"/>
            <wp:docPr id="1" name="Picture 1" descr="https://www.primatech.com/images/alarp_principle_diagram_8_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rimatech.com/images/alarp_principle_diagram_8_18.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14666" cy="2145557"/>
                    </a:xfrm>
                    <a:prstGeom prst="rect">
                      <a:avLst/>
                    </a:prstGeom>
                    <a:noFill/>
                    <a:ln>
                      <a:noFill/>
                    </a:ln>
                  </pic:spPr>
                </pic:pic>
              </a:graphicData>
            </a:graphic>
          </wp:inline>
        </w:drawing>
      </w:r>
    </w:p>
    <w:p w:rsidR="002E2C0B" w:rsidRDefault="002E2C0B" w:rsidP="002E2C0B">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 The 3 ALARP regions</w:t>
      </w:r>
      <w:sdt>
        <w:sdtPr>
          <w:id w:val="1818846264"/>
          <w:citation/>
        </w:sdtPr>
        <w:sdtContent>
          <w:r>
            <w:fldChar w:fldCharType="begin"/>
          </w:r>
          <w:r>
            <w:instrText xml:space="preserve"> CITATION Pri24 \l 2057 </w:instrText>
          </w:r>
          <w:r>
            <w:fldChar w:fldCharType="separate"/>
          </w:r>
          <w:r w:rsidR="00720E79">
            <w:rPr>
              <w:noProof/>
            </w:rPr>
            <w:t xml:space="preserve"> </w:t>
          </w:r>
          <w:r w:rsidR="00720E79" w:rsidRPr="00720E79">
            <w:rPr>
              <w:noProof/>
            </w:rPr>
            <w:t>[2]</w:t>
          </w:r>
          <w:r>
            <w:fldChar w:fldCharType="end"/>
          </w:r>
        </w:sdtContent>
      </w:sdt>
    </w:p>
    <w:p w:rsidR="002E2C0B" w:rsidRDefault="002E2C0B" w:rsidP="00C34DF4">
      <w:pPr>
        <w:jc w:val="both"/>
      </w:pPr>
    </w:p>
    <w:p w:rsidR="002B5A3F" w:rsidRDefault="00223E75" w:rsidP="00C34DF4">
      <w:pPr>
        <w:jc w:val="both"/>
      </w:pPr>
      <w:r>
        <w:t>This document supports the safety case for an AK-47 LIVE firing trial. The risks in an environment like presented can lead to several fatalities in the case of a catastrophic accident. To ensure that all attendees of the trial remain safe</w:t>
      </w:r>
      <w:r w:rsidR="00C34DF4">
        <w:t>,</w:t>
      </w:r>
      <w:r>
        <w:t xml:space="preserve"> there are many safety precautions put in place prior to the tr</w:t>
      </w:r>
      <w:r w:rsidR="00C34DF4">
        <w:t xml:space="preserve">ial beginning. One of the techniques used by trial and safety engineers to identify risks is a risk assessment. The risk assessment for this Ak-47 firing can be seen above with all potential risks and hazards that individuals at the range may encounter. When working with LIVE gun systems, there are multiple risks that are obvious. A risk assessment makes the safety team go through the whole trial process and analyse each step to ensure every risk is identified. Each risk or hazard identified in the risk assessment must have control measures to make the chance of injury ALARP. The </w:t>
      </w:r>
      <w:r w:rsidR="008926F6">
        <w:t xml:space="preserve">most difficult task that a safety engineer will have is ensuring that the control measures do in fact decrease the risk to ALARP. For a risk to be deemed ALARP, the cost of reducing the risk must grossly disproportionate to the risk. </w:t>
      </w:r>
      <w:sdt>
        <w:sdtPr>
          <w:id w:val="-764528987"/>
          <w:citation/>
        </w:sdtPr>
        <w:sdtContent>
          <w:r w:rsidR="008926F6">
            <w:fldChar w:fldCharType="begin"/>
          </w:r>
          <w:r w:rsidR="008926F6">
            <w:instrText xml:space="preserve"> CITATION Saf24 \l 2057 </w:instrText>
          </w:r>
          <w:r w:rsidR="008926F6">
            <w:fldChar w:fldCharType="separate"/>
          </w:r>
          <w:r w:rsidR="00720E79" w:rsidRPr="00720E79">
            <w:rPr>
              <w:noProof/>
            </w:rPr>
            <w:t>[3]</w:t>
          </w:r>
          <w:r w:rsidR="008926F6">
            <w:fldChar w:fldCharType="end"/>
          </w:r>
        </w:sdtContent>
      </w:sdt>
      <w:r w:rsidR="008926F6">
        <w:t xml:space="preserve"> This is calculated by completing a Cost Benefit Analysis (CBA). A CBA is a method of comparing the control measures with the cost and benefits of implementing them. </w:t>
      </w:r>
      <w:r w:rsidR="00F50601">
        <w:t xml:space="preserve">To calculate the grossly disproportionate cost of a risk, the probability of the accident (P), the value of prevented injury (VPF) and grossly disproportionate factor (GDF) are multiplied together as shown below. </w:t>
      </w:r>
    </w:p>
    <w:p w:rsidR="00F50601" w:rsidRPr="00F50601" w:rsidRDefault="00F50601" w:rsidP="00C34DF4">
      <w:pPr>
        <w:jc w:val="both"/>
        <w:rPr>
          <w:rFonts w:eastAsiaTheme="minorEastAsia"/>
        </w:rPr>
      </w:pPr>
      <m:oMathPara>
        <m:oMath>
          <m:r>
            <w:rPr>
              <w:rFonts w:ascii="Cambria Math" w:hAnsi="Cambria Math"/>
            </w:rPr>
            <m:t>Grossly Disproportiate Cost=P×VPF×GDF</m:t>
          </m:r>
        </m:oMath>
      </m:oMathPara>
    </w:p>
    <w:p w:rsidR="00F50601" w:rsidRDefault="00F50601" w:rsidP="00603454">
      <w:pPr>
        <w:jc w:val="both"/>
        <w:rPr>
          <w:rFonts w:eastAsiaTheme="minorEastAsia"/>
        </w:rPr>
      </w:pPr>
      <w:r>
        <w:rPr>
          <w:rFonts w:eastAsiaTheme="minorEastAsia"/>
        </w:rPr>
        <w:t xml:space="preserve">This figure can then be compared with the cost of implementing the control measures to reach the conclusion if introducing the mitigation is necessary. </w:t>
      </w:r>
      <w:sdt>
        <w:sdtPr>
          <w:rPr>
            <w:rFonts w:eastAsiaTheme="minorEastAsia"/>
          </w:rPr>
          <w:id w:val="962461599"/>
          <w:citation/>
        </w:sdtPr>
        <w:sdtContent>
          <w:r>
            <w:rPr>
              <w:rFonts w:eastAsiaTheme="minorEastAsia"/>
            </w:rPr>
            <w:fldChar w:fldCharType="begin"/>
          </w:r>
          <w:r>
            <w:rPr>
              <w:rFonts w:eastAsiaTheme="minorEastAsia"/>
            </w:rPr>
            <w:instrText xml:space="preserve"> CITATION Saf24 \l 2057 </w:instrText>
          </w:r>
          <w:r>
            <w:rPr>
              <w:rFonts w:eastAsiaTheme="minorEastAsia"/>
            </w:rPr>
            <w:fldChar w:fldCharType="separate"/>
          </w:r>
          <w:r w:rsidR="00720E79" w:rsidRPr="00720E79">
            <w:rPr>
              <w:rFonts w:eastAsiaTheme="minorEastAsia"/>
              <w:noProof/>
            </w:rPr>
            <w:t>[3]</w:t>
          </w:r>
          <w:r>
            <w:rPr>
              <w:rFonts w:eastAsiaTheme="minorEastAsia"/>
            </w:rPr>
            <w:fldChar w:fldCharType="end"/>
          </w:r>
        </w:sdtContent>
      </w:sdt>
      <w:r>
        <w:rPr>
          <w:rFonts w:eastAsiaTheme="minorEastAsia"/>
        </w:rPr>
        <w:t xml:space="preserve"> Within the munitions industry there are trials taking place every day</w:t>
      </w:r>
      <w:r w:rsidR="00603454">
        <w:rPr>
          <w:rFonts w:eastAsiaTheme="minorEastAsia"/>
        </w:rPr>
        <w:t xml:space="preserve"> at trial sites which already have mitigations in place for most types of trials. Small arms firing trials are a very common activity completed by trial companies so a lot of the risks and mitigation can be read across and taken from previously completed trials. However, with the </w:t>
      </w:r>
      <w:r w:rsidR="00603454">
        <w:rPr>
          <w:rFonts w:eastAsiaTheme="minorEastAsia"/>
        </w:rPr>
        <w:lastRenderedPageBreak/>
        <w:t>constant development of new defence technologies and safety methods a check must always be completed.</w:t>
      </w:r>
    </w:p>
    <w:p w:rsidR="00603454" w:rsidRDefault="00603454" w:rsidP="00603454">
      <w:pPr>
        <w:jc w:val="both"/>
        <w:rPr>
          <w:rFonts w:eastAsiaTheme="minorEastAsia"/>
        </w:rPr>
      </w:pPr>
      <w:r>
        <w:rPr>
          <w:rFonts w:eastAsiaTheme="minorEastAsia"/>
        </w:rPr>
        <w:t>One of the most obvious risks when firing a gun is the noise level they produce. A typical rifle or pistol can create a noise up to 140 decibels</w:t>
      </w:r>
      <w:r w:rsidR="008E081E">
        <w:rPr>
          <w:rFonts w:eastAsiaTheme="minorEastAsia"/>
        </w:rPr>
        <w:t xml:space="preserve"> which would cause damage to hearing after just one exposure. Of course, in a munition firing trial, several rounds will be fired to collect the necessary results. This prolonged exposure would cause severe hearing damage to the individual firing the gun which result in serious non-life threatening injury.</w:t>
      </w:r>
      <w:sdt>
        <w:sdtPr>
          <w:rPr>
            <w:rFonts w:eastAsiaTheme="minorEastAsia"/>
          </w:rPr>
          <w:id w:val="-968970646"/>
          <w:citation/>
        </w:sdtPr>
        <w:sdtContent>
          <w:r w:rsidR="00C36A72">
            <w:rPr>
              <w:rFonts w:eastAsiaTheme="minorEastAsia"/>
            </w:rPr>
            <w:fldChar w:fldCharType="begin"/>
          </w:r>
          <w:r w:rsidR="00C36A72">
            <w:rPr>
              <w:rFonts w:eastAsiaTheme="minorEastAsia"/>
            </w:rPr>
            <w:instrText xml:space="preserve"> CITATION Ame24 \l 2057 </w:instrText>
          </w:r>
          <w:r w:rsidR="00C36A72">
            <w:rPr>
              <w:rFonts w:eastAsiaTheme="minorEastAsia"/>
            </w:rPr>
            <w:fldChar w:fldCharType="separate"/>
          </w:r>
          <w:r w:rsidR="00720E79">
            <w:rPr>
              <w:rFonts w:eastAsiaTheme="minorEastAsia"/>
              <w:noProof/>
            </w:rPr>
            <w:t xml:space="preserve"> </w:t>
          </w:r>
          <w:r w:rsidR="00720E79" w:rsidRPr="00720E79">
            <w:rPr>
              <w:rFonts w:eastAsiaTheme="minorEastAsia"/>
              <w:noProof/>
            </w:rPr>
            <w:t>[4]</w:t>
          </w:r>
          <w:r w:rsidR="00C36A72">
            <w:rPr>
              <w:rFonts w:eastAsiaTheme="minorEastAsia"/>
            </w:rPr>
            <w:fldChar w:fldCharType="end"/>
          </w:r>
        </w:sdtContent>
      </w:sdt>
      <w:sdt>
        <w:sdtPr>
          <w:rPr>
            <w:rFonts w:eastAsiaTheme="minorEastAsia"/>
          </w:rPr>
          <w:id w:val="948131736"/>
          <w:citation/>
        </w:sdtPr>
        <w:sdtContent>
          <w:r w:rsidR="00C36A72">
            <w:rPr>
              <w:rFonts w:eastAsiaTheme="minorEastAsia"/>
            </w:rPr>
            <w:fldChar w:fldCharType="begin"/>
          </w:r>
          <w:r w:rsidR="00C36A72">
            <w:rPr>
              <w:rFonts w:eastAsiaTheme="minorEastAsia"/>
            </w:rPr>
            <w:instrText xml:space="preserve"> CITATION Ame241 \l 2057 </w:instrText>
          </w:r>
          <w:r w:rsidR="00C36A72">
            <w:rPr>
              <w:rFonts w:eastAsiaTheme="minorEastAsia"/>
            </w:rPr>
            <w:fldChar w:fldCharType="separate"/>
          </w:r>
          <w:r w:rsidR="00720E79">
            <w:rPr>
              <w:rFonts w:eastAsiaTheme="minorEastAsia"/>
              <w:noProof/>
            </w:rPr>
            <w:t xml:space="preserve"> </w:t>
          </w:r>
          <w:r w:rsidR="00720E79" w:rsidRPr="00720E79">
            <w:rPr>
              <w:rFonts w:eastAsiaTheme="minorEastAsia"/>
              <w:noProof/>
            </w:rPr>
            <w:t>[5]</w:t>
          </w:r>
          <w:r w:rsidR="00C36A72">
            <w:rPr>
              <w:rFonts w:eastAsiaTheme="minorEastAsia"/>
            </w:rPr>
            <w:fldChar w:fldCharType="end"/>
          </w:r>
        </w:sdtContent>
      </w:sdt>
      <w:r w:rsidR="008E081E">
        <w:rPr>
          <w:rFonts w:eastAsiaTheme="minorEastAsia"/>
        </w:rPr>
        <w:t xml:space="preserve"> The control measures that can be put into the trial to prevent this are ear defenders for every individual attending the trial which cost on a maximum twenty five British pounds. When comparing that cost to the potential damage that can be caused, the implementation of this is a must. The ear defenders would be sufficient for everyone at the range as it would bring the decibel level down to a comfortable level however, additional ear plugs can be provided on site for anyone who wishes to have the extra protection. On trial sites there are batteries which are protected buildings where all unnecessary</w:t>
      </w:r>
      <w:r w:rsidR="00C36A72">
        <w:rPr>
          <w:rFonts w:eastAsiaTheme="minorEastAsia"/>
        </w:rPr>
        <w:t xml:space="preserve"> personnel are located during firing. It is suggested in the risk assessment that all individuals outside of the battery where double ear protection as the noise level will be significantly higher. To ensure that the only necessary individuals are outside of the battery there will be camera systems covering the whole trials area. </w:t>
      </w:r>
      <w:r w:rsidR="00280661">
        <w:rPr>
          <w:rFonts w:eastAsiaTheme="minorEastAsia"/>
        </w:rPr>
        <w:t>These measures put in place</w:t>
      </w:r>
      <w:r w:rsidR="00022DBD">
        <w:rPr>
          <w:rFonts w:eastAsiaTheme="minorEastAsia"/>
        </w:rPr>
        <w:t xml:space="preserve"> are agreed and standard across most trial sites so can be read acros</w:t>
      </w:r>
      <w:r w:rsidR="00842A01">
        <w:rPr>
          <w:rFonts w:eastAsiaTheme="minorEastAsia"/>
        </w:rPr>
        <w:t>s directly from previous trials as ALARP.</w:t>
      </w:r>
    </w:p>
    <w:p w:rsidR="00022DBD" w:rsidRDefault="00842A01" w:rsidP="00603454">
      <w:pPr>
        <w:jc w:val="both"/>
        <w:rPr>
          <w:rFonts w:eastAsiaTheme="minorEastAsia"/>
        </w:rPr>
      </w:pPr>
      <w:r>
        <w:rPr>
          <w:rFonts w:eastAsiaTheme="minorEastAsia"/>
        </w:rPr>
        <w:t xml:space="preserve">The most clear and obvious risk when firing a gun in a trial environment is accidental bullet penetration of an individual. If an event such as bullet impact/penetration took place then there is a chance of a fatality and would require immediate medical treatment in a hospital. It is vital in a trial that only necessary people are outside of the battery when a firing is taken place. In the trial environment there is always a section blocked off by cones, signs and flags to indicate the area in which the bullet or debris may fly. There is to be no one permitted within that area during firing and must remain clear for a period of time after firing. </w:t>
      </w:r>
      <w:r w:rsidR="002E2C0B">
        <w:rPr>
          <w:rFonts w:eastAsiaTheme="minorEastAsia"/>
        </w:rPr>
        <w:t>Prior to firing, an alarm is also sounded to warn anyone nearby to stay clear for their own safety. With all of these measure put in place, along with the training that the gun operator would complete, the risk is ALARP as no further action can be completed to decrease the risk any more than already done so.</w:t>
      </w:r>
    </w:p>
    <w:p w:rsidR="00603454" w:rsidRDefault="00603454"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p w:rsidR="003C256F" w:rsidRDefault="003C256F" w:rsidP="00C34DF4">
      <w:pPr>
        <w:jc w:val="both"/>
        <w:rPr>
          <w:rFonts w:eastAsiaTheme="minorEastAsia"/>
        </w:rPr>
      </w:pPr>
    </w:p>
    <w:sdt>
      <w:sdtPr>
        <w:id w:val="3991836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03454" w:rsidRDefault="00603454">
          <w:pPr>
            <w:pStyle w:val="Heading1"/>
          </w:pPr>
          <w:r>
            <w:t>References</w:t>
          </w:r>
        </w:p>
        <w:sdt>
          <w:sdtPr>
            <w:id w:val="-573587230"/>
            <w:bibliography/>
          </w:sdtPr>
          <w:sdtContent>
            <w:p w:rsidR="00720E79" w:rsidRDefault="006034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1"/>
                <w:gridCol w:w="8795"/>
              </w:tblGrid>
              <w:tr w:rsidR="00720E79">
                <w:trPr>
                  <w:divId w:val="688485393"/>
                  <w:tblCellSpacing w:w="15" w:type="dxa"/>
                </w:trPr>
                <w:tc>
                  <w:tcPr>
                    <w:tcW w:w="50" w:type="pct"/>
                    <w:hideMark/>
                  </w:tcPr>
                  <w:p w:rsidR="00720E79" w:rsidRDefault="00720E79">
                    <w:pPr>
                      <w:pStyle w:val="Bibliography"/>
                      <w:rPr>
                        <w:noProof/>
                        <w:sz w:val="24"/>
                        <w:szCs w:val="24"/>
                        <w:lang w:val="en-US"/>
                      </w:rPr>
                    </w:pPr>
                    <w:r>
                      <w:rPr>
                        <w:noProof/>
                        <w:lang w:val="en-US"/>
                      </w:rPr>
                      <w:t xml:space="preserve">[1] </w:t>
                    </w:r>
                  </w:p>
                </w:tc>
                <w:tc>
                  <w:tcPr>
                    <w:tcW w:w="0" w:type="auto"/>
                    <w:hideMark/>
                  </w:tcPr>
                  <w:p w:rsidR="00720E79" w:rsidRDefault="00720E79">
                    <w:pPr>
                      <w:pStyle w:val="Bibliography"/>
                      <w:rPr>
                        <w:noProof/>
                        <w:lang w:val="en-US"/>
                      </w:rPr>
                    </w:pPr>
                    <w:r>
                      <w:rPr>
                        <w:noProof/>
                        <w:lang w:val="en-US"/>
                      </w:rPr>
                      <w:t>H. a. S. Executive, "ALARP "at a glance"," [Online]. Available: https://www.hse.gov.uk/enforce/expert/alarpglance.htm. [Accessed 12 07 2024].</w:t>
                    </w:r>
                  </w:p>
                </w:tc>
              </w:tr>
              <w:tr w:rsidR="00720E79">
                <w:trPr>
                  <w:divId w:val="688485393"/>
                  <w:tblCellSpacing w:w="15" w:type="dxa"/>
                </w:trPr>
                <w:tc>
                  <w:tcPr>
                    <w:tcW w:w="50" w:type="pct"/>
                    <w:hideMark/>
                  </w:tcPr>
                  <w:p w:rsidR="00720E79" w:rsidRDefault="00720E79">
                    <w:pPr>
                      <w:pStyle w:val="Bibliography"/>
                      <w:rPr>
                        <w:noProof/>
                        <w:lang w:val="en-US"/>
                      </w:rPr>
                    </w:pPr>
                    <w:r>
                      <w:rPr>
                        <w:noProof/>
                        <w:lang w:val="en-US"/>
                      </w:rPr>
                      <w:t xml:space="preserve">[2] </w:t>
                    </w:r>
                  </w:p>
                </w:tc>
                <w:tc>
                  <w:tcPr>
                    <w:tcW w:w="0" w:type="auto"/>
                    <w:hideMark/>
                  </w:tcPr>
                  <w:p w:rsidR="00720E79" w:rsidRDefault="00720E79">
                    <w:pPr>
                      <w:pStyle w:val="Bibliography"/>
                      <w:rPr>
                        <w:noProof/>
                        <w:lang w:val="en-US"/>
                      </w:rPr>
                    </w:pPr>
                    <w:r>
                      <w:rPr>
                        <w:noProof/>
                        <w:lang w:val="en-US"/>
                      </w:rPr>
                      <w:t>Primatech, "ALARP Principle," [Online]. Available: https://www.primatech.com/technical/alarp-principle. [Accessed 12 07 2024].</w:t>
                    </w:r>
                  </w:p>
                </w:tc>
              </w:tr>
              <w:tr w:rsidR="00720E79">
                <w:trPr>
                  <w:divId w:val="688485393"/>
                  <w:tblCellSpacing w:w="15" w:type="dxa"/>
                </w:trPr>
                <w:tc>
                  <w:tcPr>
                    <w:tcW w:w="50" w:type="pct"/>
                    <w:hideMark/>
                  </w:tcPr>
                  <w:p w:rsidR="00720E79" w:rsidRDefault="00720E79">
                    <w:pPr>
                      <w:pStyle w:val="Bibliography"/>
                      <w:rPr>
                        <w:noProof/>
                        <w:lang w:val="en-US"/>
                      </w:rPr>
                    </w:pPr>
                    <w:r>
                      <w:rPr>
                        <w:noProof/>
                        <w:lang w:val="en-US"/>
                      </w:rPr>
                      <w:t xml:space="preserve">[3] </w:t>
                    </w:r>
                  </w:p>
                </w:tc>
                <w:tc>
                  <w:tcPr>
                    <w:tcW w:w="0" w:type="auto"/>
                    <w:hideMark/>
                  </w:tcPr>
                  <w:p w:rsidR="00720E79" w:rsidRDefault="00720E79">
                    <w:pPr>
                      <w:pStyle w:val="Bibliography"/>
                      <w:rPr>
                        <w:noProof/>
                        <w:lang w:val="en-US"/>
                      </w:rPr>
                    </w:pPr>
                    <w:r>
                      <w:rPr>
                        <w:noProof/>
                        <w:lang w:val="en-US"/>
                      </w:rPr>
                      <w:t>S. S. Organisation, "Principles of ALARP," Swansea, 2024.</w:t>
                    </w:r>
                  </w:p>
                </w:tc>
              </w:tr>
              <w:tr w:rsidR="00720E79">
                <w:trPr>
                  <w:divId w:val="688485393"/>
                  <w:tblCellSpacing w:w="15" w:type="dxa"/>
                </w:trPr>
                <w:tc>
                  <w:tcPr>
                    <w:tcW w:w="50" w:type="pct"/>
                    <w:hideMark/>
                  </w:tcPr>
                  <w:p w:rsidR="00720E79" w:rsidRDefault="00720E79">
                    <w:pPr>
                      <w:pStyle w:val="Bibliography"/>
                      <w:rPr>
                        <w:noProof/>
                        <w:lang w:val="en-US"/>
                      </w:rPr>
                    </w:pPr>
                    <w:r>
                      <w:rPr>
                        <w:noProof/>
                        <w:lang w:val="en-US"/>
                      </w:rPr>
                      <w:t xml:space="preserve">[4] </w:t>
                    </w:r>
                  </w:p>
                </w:tc>
                <w:tc>
                  <w:tcPr>
                    <w:tcW w:w="0" w:type="auto"/>
                    <w:hideMark/>
                  </w:tcPr>
                  <w:p w:rsidR="00720E79" w:rsidRDefault="00720E79">
                    <w:pPr>
                      <w:pStyle w:val="Bibliography"/>
                      <w:rPr>
                        <w:noProof/>
                        <w:lang w:val="en-US"/>
                      </w:rPr>
                    </w:pPr>
                    <w:r>
                      <w:rPr>
                        <w:noProof/>
                        <w:lang w:val="en-US"/>
                      </w:rPr>
                      <w:t>A. S.-l.-H. Association, "Loud Noise Dangers," [Online]. Available: https://www.asha.org/public/hearing/loud-noise-dangers/#:~:text=We%20measure%20impulse%20noise%20in,hurt%20your%20hearing%20right%20away.. [Accessed 12 07 2024].</w:t>
                    </w:r>
                  </w:p>
                </w:tc>
              </w:tr>
              <w:tr w:rsidR="00720E79">
                <w:trPr>
                  <w:divId w:val="688485393"/>
                  <w:tblCellSpacing w:w="15" w:type="dxa"/>
                </w:trPr>
                <w:tc>
                  <w:tcPr>
                    <w:tcW w:w="50" w:type="pct"/>
                    <w:hideMark/>
                  </w:tcPr>
                  <w:p w:rsidR="00720E79" w:rsidRDefault="00720E79">
                    <w:pPr>
                      <w:pStyle w:val="Bibliography"/>
                      <w:rPr>
                        <w:noProof/>
                        <w:lang w:val="en-US"/>
                      </w:rPr>
                    </w:pPr>
                    <w:r>
                      <w:rPr>
                        <w:noProof/>
                        <w:lang w:val="en-US"/>
                      </w:rPr>
                      <w:t xml:space="preserve">[5] </w:t>
                    </w:r>
                  </w:p>
                </w:tc>
                <w:tc>
                  <w:tcPr>
                    <w:tcW w:w="0" w:type="auto"/>
                    <w:hideMark/>
                  </w:tcPr>
                  <w:p w:rsidR="00720E79" w:rsidRDefault="00720E79">
                    <w:pPr>
                      <w:pStyle w:val="Bibliography"/>
                      <w:rPr>
                        <w:noProof/>
                        <w:lang w:val="en-US"/>
                      </w:rPr>
                    </w:pPr>
                    <w:r>
                      <w:rPr>
                        <w:noProof/>
                        <w:lang w:val="en-US"/>
                      </w:rPr>
                      <w:t>A. S.-L.-H. Association, "Recreational Firearm Noise Exposure," ASHA, [Online]. Available: https://www.asha.org/public/hearing/recreational-firearm-noise-exposure/#:~:text=Noise%20and%20Firearms&amp;text=These%20firearms%20can%20produce%20dangerously,produce%20sounds%20over%20175%20dBP.. [Accessed 12 07 2024].</w:t>
                    </w:r>
                  </w:p>
                </w:tc>
              </w:tr>
            </w:tbl>
            <w:p w:rsidR="00720E79" w:rsidRDefault="00720E79">
              <w:pPr>
                <w:divId w:val="688485393"/>
                <w:rPr>
                  <w:rFonts w:eastAsia="Times New Roman"/>
                  <w:noProof/>
                </w:rPr>
              </w:pPr>
            </w:p>
            <w:p w:rsidR="00603454" w:rsidRDefault="00603454">
              <w:r>
                <w:rPr>
                  <w:b/>
                  <w:bCs/>
                  <w:noProof/>
                </w:rPr>
                <w:fldChar w:fldCharType="end"/>
              </w:r>
            </w:p>
          </w:sdtContent>
        </w:sdt>
      </w:sdtContent>
    </w:sdt>
    <w:p w:rsidR="00603454" w:rsidRPr="00F50601" w:rsidRDefault="00603454" w:rsidP="00C34DF4">
      <w:pPr>
        <w:jc w:val="both"/>
        <w:rPr>
          <w:rFonts w:eastAsiaTheme="minorEastAsia"/>
        </w:rPr>
      </w:pPr>
    </w:p>
    <w:sectPr w:rsidR="00603454" w:rsidRPr="00F50601" w:rsidSect="003C256F">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256F" w:rsidRDefault="003C256F" w:rsidP="003C256F">
      <w:pPr>
        <w:spacing w:after="0" w:line="240" w:lineRule="auto"/>
      </w:pPr>
      <w:r>
        <w:separator/>
      </w:r>
    </w:p>
  </w:endnote>
  <w:endnote w:type="continuationSeparator" w:id="0">
    <w:p w:rsidR="003C256F" w:rsidRDefault="003C256F" w:rsidP="003C2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256F" w:rsidRDefault="003C256F" w:rsidP="00F37BF4">
    <w:pPr>
      <w:pStyle w:val="Footer"/>
      <w:jc w:val="right"/>
    </w:pPr>
  </w:p>
  <w:p w:rsidR="003C256F" w:rsidRDefault="003C25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jc w:val="right"/>
    </w:pPr>
  </w:p>
  <w:p w:rsidR="00F37BF4" w:rsidRDefault="00F37BF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jc w:val="right"/>
    </w:pPr>
  </w:p>
  <w:p w:rsidR="00F37BF4" w:rsidRDefault="00F37BF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Footer"/>
      <w:jc w:val="right"/>
    </w:pPr>
  </w:p>
  <w:p w:rsidR="00F37BF4" w:rsidRDefault="00F37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256F" w:rsidRDefault="003C256F" w:rsidP="003C256F">
      <w:pPr>
        <w:spacing w:after="0" w:line="240" w:lineRule="auto"/>
      </w:pPr>
      <w:r>
        <w:separator/>
      </w:r>
    </w:p>
  </w:footnote>
  <w:footnote w:type="continuationSeparator" w:id="0">
    <w:p w:rsidR="003C256F" w:rsidRDefault="003C256F" w:rsidP="003C25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7BF4" w:rsidRDefault="00F37BF4" w:rsidP="00F37B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A3F"/>
    <w:rsid w:val="00022DBD"/>
    <w:rsid w:val="001F6059"/>
    <w:rsid w:val="00223E75"/>
    <w:rsid w:val="00280661"/>
    <w:rsid w:val="002B5A3F"/>
    <w:rsid w:val="002E2C0B"/>
    <w:rsid w:val="003C256F"/>
    <w:rsid w:val="00463C02"/>
    <w:rsid w:val="00603454"/>
    <w:rsid w:val="00720E79"/>
    <w:rsid w:val="00842A01"/>
    <w:rsid w:val="008926F6"/>
    <w:rsid w:val="008E081E"/>
    <w:rsid w:val="00C34DF4"/>
    <w:rsid w:val="00C36A72"/>
    <w:rsid w:val="00F37BF4"/>
    <w:rsid w:val="00F50601"/>
    <w:rsid w:val="00FF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B4588"/>
  <w15:chartTrackingRefBased/>
  <w15:docId w15:val="{D83AF02A-E763-4CC6-A138-D15FDF8A2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345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0601"/>
    <w:rPr>
      <w:color w:val="808080"/>
    </w:rPr>
  </w:style>
  <w:style w:type="character" w:customStyle="1" w:styleId="Heading1Char">
    <w:name w:val="Heading 1 Char"/>
    <w:basedOn w:val="DefaultParagraphFont"/>
    <w:link w:val="Heading1"/>
    <w:uiPriority w:val="9"/>
    <w:rsid w:val="0060345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03454"/>
  </w:style>
  <w:style w:type="paragraph" w:styleId="Caption">
    <w:name w:val="caption"/>
    <w:basedOn w:val="Normal"/>
    <w:next w:val="Normal"/>
    <w:uiPriority w:val="35"/>
    <w:unhideWhenUsed/>
    <w:qFormat/>
    <w:rsid w:val="002E2C0B"/>
    <w:pPr>
      <w:spacing w:after="200" w:line="240" w:lineRule="auto"/>
    </w:pPr>
    <w:rPr>
      <w:i/>
      <w:iCs/>
      <w:color w:val="44546A" w:themeColor="text2"/>
      <w:sz w:val="18"/>
      <w:szCs w:val="18"/>
    </w:rPr>
  </w:style>
  <w:style w:type="paragraph" w:styleId="NoSpacing">
    <w:name w:val="No Spacing"/>
    <w:link w:val="NoSpacingChar"/>
    <w:uiPriority w:val="1"/>
    <w:qFormat/>
    <w:rsid w:val="002E2C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2C0B"/>
    <w:rPr>
      <w:rFonts w:eastAsiaTheme="minorEastAsia"/>
      <w:lang w:val="en-US"/>
    </w:rPr>
  </w:style>
  <w:style w:type="paragraph" w:styleId="TOCHeading">
    <w:name w:val="TOC Heading"/>
    <w:basedOn w:val="Heading1"/>
    <w:next w:val="Normal"/>
    <w:uiPriority w:val="39"/>
    <w:unhideWhenUsed/>
    <w:qFormat/>
    <w:rsid w:val="003C256F"/>
    <w:pPr>
      <w:outlineLvl w:val="9"/>
    </w:pPr>
  </w:style>
  <w:style w:type="paragraph" w:styleId="TOC2">
    <w:name w:val="toc 2"/>
    <w:basedOn w:val="Normal"/>
    <w:next w:val="Normal"/>
    <w:autoRedefine/>
    <w:uiPriority w:val="39"/>
    <w:unhideWhenUsed/>
    <w:rsid w:val="003C256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C256F"/>
    <w:pPr>
      <w:spacing w:after="100"/>
    </w:pPr>
    <w:rPr>
      <w:rFonts w:eastAsiaTheme="minorEastAsia" w:cs="Times New Roman"/>
      <w:lang w:val="en-US"/>
    </w:rPr>
  </w:style>
  <w:style w:type="paragraph" w:styleId="TOC3">
    <w:name w:val="toc 3"/>
    <w:basedOn w:val="Normal"/>
    <w:next w:val="Normal"/>
    <w:autoRedefine/>
    <w:uiPriority w:val="39"/>
    <w:unhideWhenUsed/>
    <w:rsid w:val="003C256F"/>
    <w:pPr>
      <w:spacing w:after="100"/>
      <w:ind w:left="440"/>
    </w:pPr>
    <w:rPr>
      <w:rFonts w:eastAsiaTheme="minorEastAsia" w:cs="Times New Roman"/>
      <w:lang w:val="en-US"/>
    </w:rPr>
  </w:style>
  <w:style w:type="paragraph" w:styleId="Header">
    <w:name w:val="header"/>
    <w:basedOn w:val="Normal"/>
    <w:link w:val="HeaderChar"/>
    <w:uiPriority w:val="99"/>
    <w:unhideWhenUsed/>
    <w:rsid w:val="003C2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56F"/>
  </w:style>
  <w:style w:type="paragraph" w:styleId="Footer">
    <w:name w:val="footer"/>
    <w:basedOn w:val="Normal"/>
    <w:link w:val="FooterChar"/>
    <w:uiPriority w:val="99"/>
    <w:unhideWhenUsed/>
    <w:rsid w:val="003C2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132583">
      <w:bodyDiv w:val="1"/>
      <w:marLeft w:val="0"/>
      <w:marRight w:val="0"/>
      <w:marTop w:val="0"/>
      <w:marBottom w:val="0"/>
      <w:divBdr>
        <w:top w:val="none" w:sz="0" w:space="0" w:color="auto"/>
        <w:left w:val="none" w:sz="0" w:space="0" w:color="auto"/>
        <w:bottom w:val="none" w:sz="0" w:space="0" w:color="auto"/>
        <w:right w:val="none" w:sz="0" w:space="0" w:color="auto"/>
      </w:divBdr>
    </w:div>
    <w:div w:id="153381469">
      <w:bodyDiv w:val="1"/>
      <w:marLeft w:val="0"/>
      <w:marRight w:val="0"/>
      <w:marTop w:val="0"/>
      <w:marBottom w:val="0"/>
      <w:divBdr>
        <w:top w:val="none" w:sz="0" w:space="0" w:color="auto"/>
        <w:left w:val="none" w:sz="0" w:space="0" w:color="auto"/>
        <w:bottom w:val="none" w:sz="0" w:space="0" w:color="auto"/>
        <w:right w:val="none" w:sz="0" w:space="0" w:color="auto"/>
      </w:divBdr>
    </w:div>
    <w:div w:id="184825596">
      <w:bodyDiv w:val="1"/>
      <w:marLeft w:val="0"/>
      <w:marRight w:val="0"/>
      <w:marTop w:val="0"/>
      <w:marBottom w:val="0"/>
      <w:divBdr>
        <w:top w:val="none" w:sz="0" w:space="0" w:color="auto"/>
        <w:left w:val="none" w:sz="0" w:space="0" w:color="auto"/>
        <w:bottom w:val="none" w:sz="0" w:space="0" w:color="auto"/>
        <w:right w:val="none" w:sz="0" w:space="0" w:color="auto"/>
      </w:divBdr>
    </w:div>
    <w:div w:id="196746807">
      <w:bodyDiv w:val="1"/>
      <w:marLeft w:val="0"/>
      <w:marRight w:val="0"/>
      <w:marTop w:val="0"/>
      <w:marBottom w:val="0"/>
      <w:divBdr>
        <w:top w:val="none" w:sz="0" w:space="0" w:color="auto"/>
        <w:left w:val="none" w:sz="0" w:space="0" w:color="auto"/>
        <w:bottom w:val="none" w:sz="0" w:space="0" w:color="auto"/>
        <w:right w:val="none" w:sz="0" w:space="0" w:color="auto"/>
      </w:divBdr>
    </w:div>
    <w:div w:id="237792306">
      <w:bodyDiv w:val="1"/>
      <w:marLeft w:val="0"/>
      <w:marRight w:val="0"/>
      <w:marTop w:val="0"/>
      <w:marBottom w:val="0"/>
      <w:divBdr>
        <w:top w:val="none" w:sz="0" w:space="0" w:color="auto"/>
        <w:left w:val="none" w:sz="0" w:space="0" w:color="auto"/>
        <w:bottom w:val="none" w:sz="0" w:space="0" w:color="auto"/>
        <w:right w:val="none" w:sz="0" w:space="0" w:color="auto"/>
      </w:divBdr>
    </w:div>
    <w:div w:id="335964483">
      <w:bodyDiv w:val="1"/>
      <w:marLeft w:val="0"/>
      <w:marRight w:val="0"/>
      <w:marTop w:val="0"/>
      <w:marBottom w:val="0"/>
      <w:divBdr>
        <w:top w:val="none" w:sz="0" w:space="0" w:color="auto"/>
        <w:left w:val="none" w:sz="0" w:space="0" w:color="auto"/>
        <w:bottom w:val="none" w:sz="0" w:space="0" w:color="auto"/>
        <w:right w:val="none" w:sz="0" w:space="0" w:color="auto"/>
      </w:divBdr>
    </w:div>
    <w:div w:id="564687788">
      <w:bodyDiv w:val="1"/>
      <w:marLeft w:val="0"/>
      <w:marRight w:val="0"/>
      <w:marTop w:val="0"/>
      <w:marBottom w:val="0"/>
      <w:divBdr>
        <w:top w:val="none" w:sz="0" w:space="0" w:color="auto"/>
        <w:left w:val="none" w:sz="0" w:space="0" w:color="auto"/>
        <w:bottom w:val="none" w:sz="0" w:space="0" w:color="auto"/>
        <w:right w:val="none" w:sz="0" w:space="0" w:color="auto"/>
      </w:divBdr>
    </w:div>
    <w:div w:id="627711812">
      <w:bodyDiv w:val="1"/>
      <w:marLeft w:val="0"/>
      <w:marRight w:val="0"/>
      <w:marTop w:val="0"/>
      <w:marBottom w:val="0"/>
      <w:divBdr>
        <w:top w:val="none" w:sz="0" w:space="0" w:color="auto"/>
        <w:left w:val="none" w:sz="0" w:space="0" w:color="auto"/>
        <w:bottom w:val="none" w:sz="0" w:space="0" w:color="auto"/>
        <w:right w:val="none" w:sz="0" w:space="0" w:color="auto"/>
      </w:divBdr>
    </w:div>
    <w:div w:id="648677312">
      <w:bodyDiv w:val="1"/>
      <w:marLeft w:val="0"/>
      <w:marRight w:val="0"/>
      <w:marTop w:val="0"/>
      <w:marBottom w:val="0"/>
      <w:divBdr>
        <w:top w:val="none" w:sz="0" w:space="0" w:color="auto"/>
        <w:left w:val="none" w:sz="0" w:space="0" w:color="auto"/>
        <w:bottom w:val="none" w:sz="0" w:space="0" w:color="auto"/>
        <w:right w:val="none" w:sz="0" w:space="0" w:color="auto"/>
      </w:divBdr>
    </w:div>
    <w:div w:id="669869715">
      <w:bodyDiv w:val="1"/>
      <w:marLeft w:val="0"/>
      <w:marRight w:val="0"/>
      <w:marTop w:val="0"/>
      <w:marBottom w:val="0"/>
      <w:divBdr>
        <w:top w:val="none" w:sz="0" w:space="0" w:color="auto"/>
        <w:left w:val="none" w:sz="0" w:space="0" w:color="auto"/>
        <w:bottom w:val="none" w:sz="0" w:space="0" w:color="auto"/>
        <w:right w:val="none" w:sz="0" w:space="0" w:color="auto"/>
      </w:divBdr>
    </w:div>
    <w:div w:id="688485393">
      <w:bodyDiv w:val="1"/>
      <w:marLeft w:val="0"/>
      <w:marRight w:val="0"/>
      <w:marTop w:val="0"/>
      <w:marBottom w:val="0"/>
      <w:divBdr>
        <w:top w:val="none" w:sz="0" w:space="0" w:color="auto"/>
        <w:left w:val="none" w:sz="0" w:space="0" w:color="auto"/>
        <w:bottom w:val="none" w:sz="0" w:space="0" w:color="auto"/>
        <w:right w:val="none" w:sz="0" w:space="0" w:color="auto"/>
      </w:divBdr>
    </w:div>
    <w:div w:id="834608805">
      <w:bodyDiv w:val="1"/>
      <w:marLeft w:val="0"/>
      <w:marRight w:val="0"/>
      <w:marTop w:val="0"/>
      <w:marBottom w:val="0"/>
      <w:divBdr>
        <w:top w:val="none" w:sz="0" w:space="0" w:color="auto"/>
        <w:left w:val="none" w:sz="0" w:space="0" w:color="auto"/>
        <w:bottom w:val="none" w:sz="0" w:space="0" w:color="auto"/>
        <w:right w:val="none" w:sz="0" w:space="0" w:color="auto"/>
      </w:divBdr>
    </w:div>
    <w:div w:id="853882398">
      <w:bodyDiv w:val="1"/>
      <w:marLeft w:val="0"/>
      <w:marRight w:val="0"/>
      <w:marTop w:val="0"/>
      <w:marBottom w:val="0"/>
      <w:divBdr>
        <w:top w:val="none" w:sz="0" w:space="0" w:color="auto"/>
        <w:left w:val="none" w:sz="0" w:space="0" w:color="auto"/>
        <w:bottom w:val="none" w:sz="0" w:space="0" w:color="auto"/>
        <w:right w:val="none" w:sz="0" w:space="0" w:color="auto"/>
      </w:divBdr>
    </w:div>
    <w:div w:id="941229044">
      <w:bodyDiv w:val="1"/>
      <w:marLeft w:val="0"/>
      <w:marRight w:val="0"/>
      <w:marTop w:val="0"/>
      <w:marBottom w:val="0"/>
      <w:divBdr>
        <w:top w:val="none" w:sz="0" w:space="0" w:color="auto"/>
        <w:left w:val="none" w:sz="0" w:space="0" w:color="auto"/>
        <w:bottom w:val="none" w:sz="0" w:space="0" w:color="auto"/>
        <w:right w:val="none" w:sz="0" w:space="0" w:color="auto"/>
      </w:divBdr>
    </w:div>
    <w:div w:id="942811148">
      <w:bodyDiv w:val="1"/>
      <w:marLeft w:val="0"/>
      <w:marRight w:val="0"/>
      <w:marTop w:val="0"/>
      <w:marBottom w:val="0"/>
      <w:divBdr>
        <w:top w:val="none" w:sz="0" w:space="0" w:color="auto"/>
        <w:left w:val="none" w:sz="0" w:space="0" w:color="auto"/>
        <w:bottom w:val="none" w:sz="0" w:space="0" w:color="auto"/>
        <w:right w:val="none" w:sz="0" w:space="0" w:color="auto"/>
      </w:divBdr>
    </w:div>
    <w:div w:id="989407768">
      <w:bodyDiv w:val="1"/>
      <w:marLeft w:val="0"/>
      <w:marRight w:val="0"/>
      <w:marTop w:val="0"/>
      <w:marBottom w:val="0"/>
      <w:divBdr>
        <w:top w:val="none" w:sz="0" w:space="0" w:color="auto"/>
        <w:left w:val="none" w:sz="0" w:space="0" w:color="auto"/>
        <w:bottom w:val="none" w:sz="0" w:space="0" w:color="auto"/>
        <w:right w:val="none" w:sz="0" w:space="0" w:color="auto"/>
      </w:divBdr>
    </w:div>
    <w:div w:id="999501594">
      <w:bodyDiv w:val="1"/>
      <w:marLeft w:val="0"/>
      <w:marRight w:val="0"/>
      <w:marTop w:val="0"/>
      <w:marBottom w:val="0"/>
      <w:divBdr>
        <w:top w:val="none" w:sz="0" w:space="0" w:color="auto"/>
        <w:left w:val="none" w:sz="0" w:space="0" w:color="auto"/>
        <w:bottom w:val="none" w:sz="0" w:space="0" w:color="auto"/>
        <w:right w:val="none" w:sz="0" w:space="0" w:color="auto"/>
      </w:divBdr>
    </w:div>
    <w:div w:id="1068846708">
      <w:bodyDiv w:val="1"/>
      <w:marLeft w:val="0"/>
      <w:marRight w:val="0"/>
      <w:marTop w:val="0"/>
      <w:marBottom w:val="0"/>
      <w:divBdr>
        <w:top w:val="none" w:sz="0" w:space="0" w:color="auto"/>
        <w:left w:val="none" w:sz="0" w:space="0" w:color="auto"/>
        <w:bottom w:val="none" w:sz="0" w:space="0" w:color="auto"/>
        <w:right w:val="none" w:sz="0" w:space="0" w:color="auto"/>
      </w:divBdr>
    </w:div>
    <w:div w:id="1097169382">
      <w:bodyDiv w:val="1"/>
      <w:marLeft w:val="0"/>
      <w:marRight w:val="0"/>
      <w:marTop w:val="0"/>
      <w:marBottom w:val="0"/>
      <w:divBdr>
        <w:top w:val="none" w:sz="0" w:space="0" w:color="auto"/>
        <w:left w:val="none" w:sz="0" w:space="0" w:color="auto"/>
        <w:bottom w:val="none" w:sz="0" w:space="0" w:color="auto"/>
        <w:right w:val="none" w:sz="0" w:space="0" w:color="auto"/>
      </w:divBdr>
    </w:div>
    <w:div w:id="1301881270">
      <w:bodyDiv w:val="1"/>
      <w:marLeft w:val="0"/>
      <w:marRight w:val="0"/>
      <w:marTop w:val="0"/>
      <w:marBottom w:val="0"/>
      <w:divBdr>
        <w:top w:val="none" w:sz="0" w:space="0" w:color="auto"/>
        <w:left w:val="none" w:sz="0" w:space="0" w:color="auto"/>
        <w:bottom w:val="none" w:sz="0" w:space="0" w:color="auto"/>
        <w:right w:val="none" w:sz="0" w:space="0" w:color="auto"/>
      </w:divBdr>
    </w:div>
    <w:div w:id="1406805553">
      <w:bodyDiv w:val="1"/>
      <w:marLeft w:val="0"/>
      <w:marRight w:val="0"/>
      <w:marTop w:val="0"/>
      <w:marBottom w:val="0"/>
      <w:divBdr>
        <w:top w:val="none" w:sz="0" w:space="0" w:color="auto"/>
        <w:left w:val="none" w:sz="0" w:space="0" w:color="auto"/>
        <w:bottom w:val="none" w:sz="0" w:space="0" w:color="auto"/>
        <w:right w:val="none" w:sz="0" w:space="0" w:color="auto"/>
      </w:divBdr>
    </w:div>
    <w:div w:id="1409769366">
      <w:bodyDiv w:val="1"/>
      <w:marLeft w:val="0"/>
      <w:marRight w:val="0"/>
      <w:marTop w:val="0"/>
      <w:marBottom w:val="0"/>
      <w:divBdr>
        <w:top w:val="none" w:sz="0" w:space="0" w:color="auto"/>
        <w:left w:val="none" w:sz="0" w:space="0" w:color="auto"/>
        <w:bottom w:val="none" w:sz="0" w:space="0" w:color="auto"/>
        <w:right w:val="none" w:sz="0" w:space="0" w:color="auto"/>
      </w:divBdr>
    </w:div>
    <w:div w:id="1420105121">
      <w:bodyDiv w:val="1"/>
      <w:marLeft w:val="0"/>
      <w:marRight w:val="0"/>
      <w:marTop w:val="0"/>
      <w:marBottom w:val="0"/>
      <w:divBdr>
        <w:top w:val="none" w:sz="0" w:space="0" w:color="auto"/>
        <w:left w:val="none" w:sz="0" w:space="0" w:color="auto"/>
        <w:bottom w:val="none" w:sz="0" w:space="0" w:color="auto"/>
        <w:right w:val="none" w:sz="0" w:space="0" w:color="auto"/>
      </w:divBdr>
    </w:div>
    <w:div w:id="1433041015">
      <w:bodyDiv w:val="1"/>
      <w:marLeft w:val="0"/>
      <w:marRight w:val="0"/>
      <w:marTop w:val="0"/>
      <w:marBottom w:val="0"/>
      <w:divBdr>
        <w:top w:val="none" w:sz="0" w:space="0" w:color="auto"/>
        <w:left w:val="none" w:sz="0" w:space="0" w:color="auto"/>
        <w:bottom w:val="none" w:sz="0" w:space="0" w:color="auto"/>
        <w:right w:val="none" w:sz="0" w:space="0" w:color="auto"/>
      </w:divBdr>
    </w:div>
    <w:div w:id="1435245485">
      <w:bodyDiv w:val="1"/>
      <w:marLeft w:val="0"/>
      <w:marRight w:val="0"/>
      <w:marTop w:val="0"/>
      <w:marBottom w:val="0"/>
      <w:divBdr>
        <w:top w:val="none" w:sz="0" w:space="0" w:color="auto"/>
        <w:left w:val="none" w:sz="0" w:space="0" w:color="auto"/>
        <w:bottom w:val="none" w:sz="0" w:space="0" w:color="auto"/>
        <w:right w:val="none" w:sz="0" w:space="0" w:color="auto"/>
      </w:divBdr>
    </w:div>
    <w:div w:id="1504668008">
      <w:bodyDiv w:val="1"/>
      <w:marLeft w:val="0"/>
      <w:marRight w:val="0"/>
      <w:marTop w:val="0"/>
      <w:marBottom w:val="0"/>
      <w:divBdr>
        <w:top w:val="none" w:sz="0" w:space="0" w:color="auto"/>
        <w:left w:val="none" w:sz="0" w:space="0" w:color="auto"/>
        <w:bottom w:val="none" w:sz="0" w:space="0" w:color="auto"/>
        <w:right w:val="none" w:sz="0" w:space="0" w:color="auto"/>
      </w:divBdr>
    </w:div>
    <w:div w:id="1721322982">
      <w:bodyDiv w:val="1"/>
      <w:marLeft w:val="0"/>
      <w:marRight w:val="0"/>
      <w:marTop w:val="0"/>
      <w:marBottom w:val="0"/>
      <w:divBdr>
        <w:top w:val="none" w:sz="0" w:space="0" w:color="auto"/>
        <w:left w:val="none" w:sz="0" w:space="0" w:color="auto"/>
        <w:bottom w:val="none" w:sz="0" w:space="0" w:color="auto"/>
        <w:right w:val="none" w:sz="0" w:space="0" w:color="auto"/>
      </w:divBdr>
    </w:div>
    <w:div w:id="1723361009">
      <w:bodyDiv w:val="1"/>
      <w:marLeft w:val="0"/>
      <w:marRight w:val="0"/>
      <w:marTop w:val="0"/>
      <w:marBottom w:val="0"/>
      <w:divBdr>
        <w:top w:val="none" w:sz="0" w:space="0" w:color="auto"/>
        <w:left w:val="none" w:sz="0" w:space="0" w:color="auto"/>
        <w:bottom w:val="none" w:sz="0" w:space="0" w:color="auto"/>
        <w:right w:val="none" w:sz="0" w:space="0" w:color="auto"/>
      </w:divBdr>
    </w:div>
    <w:div w:id="1745057167">
      <w:bodyDiv w:val="1"/>
      <w:marLeft w:val="0"/>
      <w:marRight w:val="0"/>
      <w:marTop w:val="0"/>
      <w:marBottom w:val="0"/>
      <w:divBdr>
        <w:top w:val="none" w:sz="0" w:space="0" w:color="auto"/>
        <w:left w:val="none" w:sz="0" w:space="0" w:color="auto"/>
        <w:bottom w:val="none" w:sz="0" w:space="0" w:color="auto"/>
        <w:right w:val="none" w:sz="0" w:space="0" w:color="auto"/>
      </w:divBdr>
    </w:div>
    <w:div w:id="1857957452">
      <w:bodyDiv w:val="1"/>
      <w:marLeft w:val="0"/>
      <w:marRight w:val="0"/>
      <w:marTop w:val="0"/>
      <w:marBottom w:val="0"/>
      <w:divBdr>
        <w:top w:val="none" w:sz="0" w:space="0" w:color="auto"/>
        <w:left w:val="none" w:sz="0" w:space="0" w:color="auto"/>
        <w:bottom w:val="none" w:sz="0" w:space="0" w:color="auto"/>
        <w:right w:val="none" w:sz="0" w:space="0" w:color="auto"/>
      </w:divBdr>
    </w:div>
    <w:div w:id="1977753327">
      <w:bodyDiv w:val="1"/>
      <w:marLeft w:val="0"/>
      <w:marRight w:val="0"/>
      <w:marTop w:val="0"/>
      <w:marBottom w:val="0"/>
      <w:divBdr>
        <w:top w:val="none" w:sz="0" w:space="0" w:color="auto"/>
        <w:left w:val="none" w:sz="0" w:space="0" w:color="auto"/>
        <w:bottom w:val="none" w:sz="0" w:space="0" w:color="auto"/>
        <w:right w:val="none" w:sz="0" w:space="0" w:color="auto"/>
      </w:divBdr>
    </w:div>
    <w:div w:id="2030596115">
      <w:bodyDiv w:val="1"/>
      <w:marLeft w:val="0"/>
      <w:marRight w:val="0"/>
      <w:marTop w:val="0"/>
      <w:marBottom w:val="0"/>
      <w:divBdr>
        <w:top w:val="none" w:sz="0" w:space="0" w:color="auto"/>
        <w:left w:val="none" w:sz="0" w:space="0" w:color="auto"/>
        <w:bottom w:val="none" w:sz="0" w:space="0" w:color="auto"/>
        <w:right w:val="none" w:sz="0" w:space="0" w:color="auto"/>
      </w:divBdr>
    </w:div>
    <w:div w:id="2065447046">
      <w:bodyDiv w:val="1"/>
      <w:marLeft w:val="0"/>
      <w:marRight w:val="0"/>
      <w:marTop w:val="0"/>
      <w:marBottom w:val="0"/>
      <w:divBdr>
        <w:top w:val="none" w:sz="0" w:space="0" w:color="auto"/>
        <w:left w:val="none" w:sz="0" w:space="0" w:color="auto"/>
        <w:bottom w:val="none" w:sz="0" w:space="0" w:color="auto"/>
        <w:right w:val="none" w:sz="0" w:space="0" w:color="auto"/>
      </w:divBdr>
    </w:div>
    <w:div w:id="206571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4.xml"/><Relationship Id="rId26" Type="http://schemas.openxmlformats.org/officeDocument/2006/relationships/header" Target="header9.xml"/><Relationship Id="rId3" Type="http://schemas.openxmlformats.org/officeDocument/2006/relationships/styles" Target="styles.xml"/><Relationship Id="rId21" Type="http://schemas.openxmlformats.org/officeDocument/2006/relationships/footer" Target="footer6.xml"/><Relationship Id="rId34" Type="http://schemas.openxmlformats.org/officeDocument/2006/relationships/footer" Target="footer12.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5.xml"/><Relationship Id="rId25" Type="http://schemas.openxmlformats.org/officeDocument/2006/relationships/footer" Target="footer8.xml"/><Relationship Id="rId33"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header" Target="header6.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7.xml"/><Relationship Id="rId32" Type="http://schemas.openxmlformats.org/officeDocument/2006/relationships/footer" Target="footer1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eader" Target="header8.xml"/><Relationship Id="rId28" Type="http://schemas.openxmlformats.org/officeDocument/2006/relationships/image" Target="media/image3.png"/><Relationship Id="rId36"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footer" Target="footer5.xml"/><Relationship Id="rId31" Type="http://schemas.openxmlformats.org/officeDocument/2006/relationships/footer" Target="footer10.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header" Target="header7.xml"/><Relationship Id="rId27" Type="http://schemas.openxmlformats.org/officeDocument/2006/relationships/footer" Target="footer9.xml"/><Relationship Id="rId30" Type="http://schemas.openxmlformats.org/officeDocument/2006/relationships/header" Target="header11.xm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8C8"/>
    <w:rsid w:val="00262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28C8"/>
    <w:rPr>
      <w:color w:val="808080"/>
    </w:rPr>
  </w:style>
  <w:style w:type="paragraph" w:customStyle="1" w:styleId="8B3A623F185C4F099B9B528E2847FB9E">
    <w:name w:val="8B3A623F185C4F099B9B528E2847FB9E"/>
    <w:rsid w:val="002628C8"/>
  </w:style>
  <w:style w:type="paragraph" w:customStyle="1" w:styleId="ECC1D223B32E40D4BF205DE3443DE5A8">
    <w:name w:val="ECC1D223B32E40D4BF205DE3443DE5A8"/>
    <w:rsid w:val="002628C8"/>
  </w:style>
  <w:style w:type="paragraph" w:customStyle="1" w:styleId="8AD9C6DFD0DE4FECAF4CE3A47C920B8A">
    <w:name w:val="8AD9C6DFD0DE4FECAF4CE3A47C920B8A"/>
    <w:rsid w:val="002628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2112603@studnet.uwtsd.ac.uk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Saf24</b:Tag>
    <b:SourceType>ElectronicSource</b:SourceType>
    <b:Guid>{6005AA2D-CAE6-4D0C-9672-D6F3E5A4041B}</b:Guid>
    <b:Title>Principles of ALARP</b:Title>
    <b:Year>2024</b:Year>
    <b:Author>
      <b:Author>
        <b:NameList>
          <b:Person>
            <b:Last>Organisation</b:Last>
            <b:First>Safety</b:First>
            <b:Middle>Service</b:Middle>
          </b:Person>
        </b:NameList>
      </b:Author>
    </b:Author>
    <b:City>Swansea</b:City>
    <b:RefOrder>3</b:RefOrder>
  </b:Source>
  <b:Source>
    <b:Tag>Hea24</b:Tag>
    <b:SourceType>DocumentFromInternetSite</b:SourceType>
    <b:Guid>{4E6192ED-4FCD-4E60-94F8-64752D0D5F2A}</b:Guid>
    <b:Title>ALARP "at a glance"</b:Title>
    <b:Author>
      <b:Author>
        <b:NameList>
          <b:Person>
            <b:Last>Executive</b:Last>
            <b:First>Health</b:First>
            <b:Middle>and Safety</b:Middle>
          </b:Person>
        </b:NameList>
      </b:Author>
    </b:Author>
    <b:YearAccessed>2024</b:YearAccessed>
    <b:MonthAccessed>07</b:MonthAccessed>
    <b:DayAccessed>12</b:DayAccessed>
    <b:URL>https://www.hse.gov.uk/enforce/expert/alarpglance.htm</b:URL>
    <b:RefOrder>1</b:RefOrder>
  </b:Source>
  <b:Source>
    <b:Tag>Ame24</b:Tag>
    <b:SourceType>InternetSite</b:SourceType>
    <b:Guid>{102C2DAE-586E-434C-83B7-E9A9EA49A605}</b:Guid>
    <b:Title>Loud Noise Dangers</b:Title>
    <b:YearAccessed>2024</b:YearAccessed>
    <b:MonthAccessed>07</b:MonthAccessed>
    <b:DayAccessed>12</b:DayAccessed>
    <b:URL>https://www.asha.org/public/hearing/loud-noise-dangers/#:~:text=We%20measure%20impulse%20noise%20in,hurt%20your%20hearing%20right%20away.</b:URL>
    <b:Author>
      <b:Author>
        <b:NameList>
          <b:Person>
            <b:Last>Association</b:Last>
            <b:First>American</b:First>
            <b:Middle>Speech-lanaguage-Hearing</b:Middle>
          </b:Person>
        </b:NameList>
      </b:Author>
    </b:Author>
    <b:RefOrder>4</b:RefOrder>
  </b:Source>
  <b:Source>
    <b:Tag>Ame241</b:Tag>
    <b:SourceType>InternetSite</b:SourceType>
    <b:Guid>{666FD482-B26C-4FFA-8805-7407E25180F0}</b:Guid>
    <b:Author>
      <b:Author>
        <b:NameList>
          <b:Person>
            <b:Last>Association</b:Last>
            <b:First>American</b:First>
            <b:Middle>Speech-Language-Hearing</b:Middle>
          </b:Person>
        </b:NameList>
      </b:Author>
    </b:Author>
    <b:Title>Recreational Firearm Noise Exposure</b:Title>
    <b:ProductionCompany>ASHA</b:ProductionCompany>
    <b:YearAccessed>2024</b:YearAccessed>
    <b:MonthAccessed>07</b:MonthAccessed>
    <b:DayAccessed>12</b:DayAccessed>
    <b:URL>https://www.asha.org/public/hearing/recreational-firearm-noise-exposure/#:~:text=Noise%20and%20Firearms&amp;text=These%20firearms%20can%20produce%20dangerously,produce%20sounds%20over%20175%20dBP.</b:URL>
    <b:RefOrder>5</b:RefOrder>
  </b:Source>
  <b:Source>
    <b:Tag>Pri24</b:Tag>
    <b:SourceType>InternetSite</b:SourceType>
    <b:Guid>{0AA0E19E-341E-4775-885D-4C713A6AA730}</b:Guid>
    <b:Author>
      <b:Author>
        <b:NameList>
          <b:Person>
            <b:Last>Primatech</b:Last>
          </b:Person>
        </b:NameList>
      </b:Author>
    </b:Author>
    <b:Title>ALARP Principle</b:Title>
    <b:YearAccessed>2024</b:YearAccessed>
    <b:MonthAccessed>07</b:MonthAccessed>
    <b:DayAccessed>12</b:DayAccessed>
    <b:URL>https://www.primatech.com/technical/alarp-principle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4A35E8-E753-461E-9279-50BCCFA74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10</Pages>
  <Words>2283</Words>
  <Characters>11165</Characters>
  <Application>Microsoft Office Word</Application>
  <DocSecurity>0</DocSecurity>
  <Lines>1595</Lines>
  <Paragraphs>896</Paragraphs>
  <ScaleCrop>false</ScaleCrop>
  <HeadingPairs>
    <vt:vector size="2" baseType="variant">
      <vt:variant>
        <vt:lpstr>Title</vt:lpstr>
      </vt:variant>
      <vt:variant>
        <vt:i4>1</vt:i4>
      </vt:variant>
    </vt:vector>
  </HeadingPairs>
  <TitlesOfParts>
    <vt:vector size="1" baseType="lpstr">
      <vt:lpstr>Safety &amp; hazard assessment</vt:lpstr>
    </vt:vector>
  </TitlesOfParts>
  <Company>Any Organization</Company>
  <LinksUpToDate>false</LinksUpToDate>
  <CharactersWithSpaces>12552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A Risk Assessment &amp; ALARP Justification for an AK-47 LIVE Firing Trial</dc:subject>
  <dc:creator>Samuel Miles (BAE Systems OME Degree Apprentice)</dc:creator>
  <cp:keywords/>
  <dc:description/>
  <cp:lastModifiedBy>Miles, Sam (UK)</cp:lastModifiedBy>
  <cp:revision>1</cp:revision>
  <dcterms:created xsi:type="dcterms:W3CDTF">2024-07-12T10:44:00Z</dcterms:created>
  <dcterms:modified xsi:type="dcterms:W3CDTF">2024-07-12T13:45:00Z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bbdc77f2-9f6d-4011-8282-636ee703d285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