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Heading"/>
        <w:bidi w:val="0"/>
      </w:pPr>
    </w:p>
    <w:tbl>
      <w:tblPr>
        <w:tblW w:w="892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dd4e9"/>
        <w:tblLayout w:type="fixed"/>
      </w:tblPr>
      <w:tblGrid>
        <w:gridCol w:w="8926"/>
      </w:tblGrid>
      <w:tr>
        <w:tblPrEx>
          <w:shd w:val="clear" w:color="auto" w:fill="cdd4e9"/>
        </w:tblPrEx>
        <w:trPr>
          <w:trHeight w:val="126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it-IT"/>
                <w14:textFill>
                  <w14:solidFill>
                    <w14:srgbClr w14:val="000000"/>
                  </w14:solidFill>
                </w14:textFill>
              </w:rPr>
              <w:t>Dyddiad ac amser, gr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ŵ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p blwyddyn: </w:t>
            </w:r>
            <w:r>
              <w:rPr>
                <w:rFonts w:ascii="Calibri" w:cs="Calibri" w:hAnsi="Calibri" w:eastAsia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br w:type="textWrapping"/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26/09/2022 </w:t>
            </w:r>
            <w:r>
              <w:rPr>
                <w:rFonts w:ascii="Calibri" w:cs="Calibri" w:hAnsi="Calibri" w:eastAsia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br w:type="textWrapping"/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9:20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Blwyddyn 5</w:t>
            </w:r>
            <w:r>
              <w:rPr>
                <w:rFonts w:ascii="Calibri" w:cs="Calibri" w:hAnsi="Calibri" w:eastAsia="Calibri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r>
          </w:p>
        </w:tc>
      </w:tr>
      <w:tr>
        <w:tblPrEx>
          <w:shd w:val="clear" w:color="auto" w:fill="cdd4e9"/>
        </w:tblPrEx>
        <w:trPr>
          <w:trHeight w:val="152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7eaf4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Ble a Phryd: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 Cyd-destun yr arsylwi 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–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pwnc/MDPh, cyd-destun cyffredinol yr ystafell ddosbarth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Cyd- destun yr alsylwi - Athrawes yn gadael plentyn efo ADHD eistedd ar y llawr i darllen lyfyr.  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  <w:br w:type="textWrapping"/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Pwnc - darllen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  <w:br w:type="textWrapping"/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Cyd-destun cyffredinol - athrawes yn darllen ar y sofa efo un plentyn gweddill y dosbarth yn cael prawf sillafu.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r>
          </w:p>
        </w:tc>
      </w:tr>
      <w:tr>
        <w:tblPrEx>
          <w:shd w:val="clear" w:color="auto" w:fill="cdd4e9"/>
        </w:tblPrEx>
        <w:trPr>
          <w:trHeight w:val="178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b w:val="1"/>
                <w:bCs w:val="1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Beth ddigwyddodd: 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disgrifiad manwl o</w:t>
            </w:r>
            <w:r>
              <w:rPr>
                <w:rFonts w:ascii="Calibri" w:hAnsi="Calibri" w:hint="default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r digwyddiad critigol (gorau po fwyaf o fanylder er mwyn gallu cyfeirio ato yn eich gwaith diweddarach) 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Roedd y athrawes wedi galw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r plentyn draw I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r sofa I darllen achos roedd y plentyn yn grwp dydd Llun.  Mae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r pletyn yma yn cael ADHD (gwelais i hyn cyn i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r athrawes dweud wrthaf) Roedd y plentyn ddim yn joio eistedd ar y sofa felly gadawodd yr athrawes I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r plentyn eistedd ar y llawer o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ch blaen I darllen.  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r>
          </w:p>
        </w:tc>
      </w:tr>
      <w:tr>
        <w:tblPrEx>
          <w:shd w:val="clear" w:color="auto" w:fill="cdd4e9"/>
        </w:tblPrEx>
        <w:trPr>
          <w:trHeight w:val="204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7eaf4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b w:val="1"/>
                <w:bCs w:val="1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Meysydd archwilio posibl: 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beth yn eich barn chi a allai fod </w:t>
            </w:r>
            <w:r>
              <w:rPr>
                <w:rFonts w:ascii="Calibri" w:hAnsi="Calibri" w:hint="default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1"/>
                <w:lang w:val="ar-SA" w:bidi="ar-SA"/>
                <w14:textFill>
                  <w14:solidFill>
                    <w14:srgbClr w14:val="000000"/>
                  </w14:solidFill>
                </w14:textFill>
              </w:rPr>
              <w:t>“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o dan yr wyneb</w:t>
            </w:r>
            <w:r>
              <w:rPr>
                <w:rFonts w:ascii="Calibri" w:hAnsi="Calibri" w:hint="default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” 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yn y digwyddiadau hyn? Pa lwybrau ymchwil gallech chi eu hystyried?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O dan yr wyneb dw I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n credu fod y plentyn yma yn cael amser anodd eistedd yn un lle am amser hir ac mae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r athrawes wedi gweld hyn ac yn gadael iddi hi eistedd lle ydych chi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n mwynhau.  Trwy neud hyn mae yn dilyn Beth mae </w:t>
            </w:r>
            <w:r>
              <w:rPr>
                <w:rStyle w:val="Hyperlink.0"/>
                <w:rFonts w:ascii="Calibri" w:cs="Calibri" w:hAnsi="Calibri" w:eastAsia="Calibri"/>
                <w:outline w:val="0"/>
                <w:color w:val="0563c1"/>
                <w:u w:color="0563c1"/>
                <w:rtl w:val="0"/>
                <w14:textFill>
                  <w14:solidFill>
                    <w14:srgbClr w14:val="0563C1"/>
                  </w14:solidFill>
                </w14:textFill>
              </w:rPr>
              <w:fldChar w:fldCharType="begin" w:fldLock="0"/>
            </w:r>
            <w:r>
              <w:rPr>
                <w:rStyle w:val="Hyperlink.0"/>
                <w:rFonts w:ascii="Calibri" w:cs="Calibri" w:hAnsi="Calibri" w:eastAsia="Calibri"/>
                <w:outline w:val="0"/>
                <w:color w:val="0563c1"/>
                <w:u w:color="0563c1"/>
                <w:rtl w:val="0"/>
                <w14:textFill>
                  <w14:solidFill>
                    <w14:srgbClr w14:val="0563C1"/>
                  </w14:solidFill>
                </w14:textFill>
              </w:rPr>
              <w:instrText xml:space="preserve"> HYPERLINK "http://adhdfoundation.org.uk"</w:instrText>
            </w:r>
            <w:r>
              <w:rPr>
                <w:rStyle w:val="Hyperlink.0"/>
                <w:rFonts w:ascii="Calibri" w:cs="Calibri" w:hAnsi="Calibri" w:eastAsia="Calibri"/>
                <w:outline w:val="0"/>
                <w:color w:val="0563c1"/>
                <w:u w:color="0563c1"/>
                <w:rtl w:val="0"/>
                <w14:textFill>
                  <w14:solidFill>
                    <w14:srgbClr w14:val="0563C1"/>
                  </w14:solidFill>
                </w14:textFill>
              </w:rPr>
              <w:fldChar w:fldCharType="separate" w:fldLock="0"/>
            </w:r>
            <w:r>
              <w:rPr>
                <w:rStyle w:val="Hyperlink.0"/>
                <w:rFonts w:ascii="Calibri" w:hAnsi="Calibri"/>
                <w:outline w:val="0"/>
                <w:color w:val="0563c1"/>
                <w:u w:color="0563c1"/>
                <w:rtl w:val="0"/>
                <w:lang w:val="en-US"/>
                <w14:textFill>
                  <w14:solidFill>
                    <w14:srgbClr w14:val="0563C1"/>
                  </w14:solidFill>
                </w14:textFill>
              </w:rPr>
              <w:t>adhdfoundation.org.uk</w:t>
            </w:r>
            <w:r>
              <w:rPr>
                <w:rFonts w:ascii="Calibri" w:cs="Calibri" w:hAnsi="Calibri" w:eastAsia="Calibri"/>
                <w:u w:color="000000"/>
                <w:rtl w:val="0"/>
              </w:rPr>
              <w:fldChar w:fldCharType="end" w:fldLock="0"/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 yn dwued am seddi plant efo ADHD.  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r>
          </w:p>
        </w:tc>
      </w:tr>
      <w:tr>
        <w:tblPrEx>
          <w:shd w:val="clear" w:color="auto" w:fill="cdd4e9"/>
        </w:tblPrEx>
        <w:trPr>
          <w:trHeight w:val="230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Nodiadau: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unrhyw fanylion gallwch eu nodi (ydy hi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n amgylchedd prysur, ydy hi ar 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ô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s-ES_tradnl"/>
                <w14:textFill>
                  <w14:solidFill>
                    <w14:srgbClr w14:val="000000"/>
                  </w14:solidFill>
                </w14:textFill>
              </w:rPr>
              <w:t>l cinio, oes llawer o bethau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n tynnu sylw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r cyfranogwyr, ydy cyfarwyddiadau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n cael eu gwneud yn eglur 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–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gorau po fwyaf o bethau y gallwch gyfeirio atynt yma)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Dosbarth tawel fel yr oedd y peth cyntaf yn y bore. Roedd y soffa i ffwrdd o unrhyw distractions mawr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.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r>
          </w:p>
        </w:tc>
      </w:tr>
    </w:tbl>
    <w:p>
      <w:pPr>
        <w:pStyle w:val="Heading"/>
        <w:bidi w:val="0"/>
      </w:pPr>
    </w:p>
    <w:p>
      <w:pPr>
        <w:pStyle w:val="Heading"/>
        <w:bidi w:val="0"/>
      </w:pPr>
    </w:p>
    <w:tbl>
      <w:tblPr>
        <w:tblW w:w="892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dd4e9"/>
        <w:tblLayout w:type="fixed"/>
      </w:tblPr>
      <w:tblGrid>
        <w:gridCol w:w="8926"/>
      </w:tblGrid>
      <w:tr>
        <w:tblPrEx>
          <w:shd w:val="clear" w:color="auto" w:fill="cdd4e9"/>
        </w:tblPrEx>
        <w:trPr>
          <w:trHeight w:val="126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Dyddiad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26/09/2022</w:t>
            </w:r>
            <w:r>
              <w:rPr>
                <w:rFonts w:ascii="Calibri" w:cs="Calibri" w:hAnsi="Calibri" w:eastAsia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br w:type="textWrapping"/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A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mser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 1:30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G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r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ŵ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p blwyddyn: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 Derbyn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r>
          </w:p>
        </w:tc>
      </w:tr>
      <w:tr>
        <w:tblPrEx>
          <w:shd w:val="clear" w:color="auto" w:fill="cdd4e9"/>
        </w:tblPrEx>
        <w:trPr>
          <w:trHeight w:val="126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7eaf4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Ble a Phryd: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 Cyd-destun yr arsylwi 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–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pwnc/MDPh, cyd-destun cyffredinol yr ystafell ddosbarth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Cyd destun - A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thr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awes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 xml:space="preserve"> yn gadael i'r dysgwr reoleiddio ei emosiynau ei hun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  <w:br w:type="textWrapping"/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Pwnc -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fr-FR"/>
              </w:rPr>
              <w:t>Chwarae'r blociau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  <w:br w:type="textWrapping"/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Y dosbarth -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Roedd pob plentyn mewn gweithgaredd tra bo'r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athrawes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>n gwneud tasg ffocws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r>
          </w:p>
        </w:tc>
      </w:tr>
      <w:tr>
        <w:tblPrEx>
          <w:shd w:val="clear" w:color="auto" w:fill="cdd4e9"/>
        </w:tblPrEx>
        <w:trPr>
          <w:trHeight w:val="204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b w:val="1"/>
                <w:bCs w:val="1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Beth ddigwyddodd: 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disgrifiad manwl o</w:t>
            </w:r>
            <w:r>
              <w:rPr>
                <w:rFonts w:ascii="Calibri" w:hAnsi="Calibri" w:hint="default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r digwyddiad critigol (gorau po fwyaf o fanylder er mwyn gallu cyfeirio ato yn eich gwaith diweddarach)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Taflodd dysgwr ei sbectol a cherdded i ffwrdd pan geisiodd plentyn chwarae gyda nhw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.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>Roedd yr a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thrawes y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n hapus iawn gyda'r rhyngweithio hwn gan y bydd y dysgwr dan sylw fel arfer yn taro allan. Roedd yr athrawes yn hapus fod y dysgwr yn gallu tawelu ei hun a cherdded i ffwrdd. Fe wnaeth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y athrawes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 xml:space="preserve"> ei ganmol am hyn ond esboniodd na ddylai daflu ei sbectol gan y gallen nhw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torri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>.</w:t>
            </w:r>
          </w:p>
        </w:tc>
      </w:tr>
      <w:tr>
        <w:tblPrEx>
          <w:shd w:val="clear" w:color="auto" w:fill="cdd4e9"/>
        </w:tblPrEx>
        <w:trPr>
          <w:trHeight w:val="178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7eaf4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b w:val="1"/>
                <w:bCs w:val="1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Meysydd archwilio posibl: 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beth yn eich barn chi a allai fod </w:t>
            </w:r>
            <w:r>
              <w:rPr>
                <w:rFonts w:ascii="Calibri" w:hAnsi="Calibri" w:hint="default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1"/>
                <w:lang w:val="ar-SA" w:bidi="ar-SA"/>
                <w14:textFill>
                  <w14:solidFill>
                    <w14:srgbClr w14:val="000000"/>
                  </w14:solidFill>
                </w14:textFill>
              </w:rPr>
              <w:t>“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o dan yr wyneb</w:t>
            </w:r>
            <w:r>
              <w:rPr>
                <w:rFonts w:ascii="Calibri" w:hAnsi="Calibri" w:hint="default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” 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yn y digwyddiadau hyn? Pa lwybrau ymchwil gallech chi eu hystyried?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Gallai hyn arwain at ymchwil ynghylch anghenion dysgu ychwanegol. Gallai hefyd arwain at ymchwil am reoli ystafelloedd dosbarth a'r strategaethau yr oedd yr ath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rawes yn defnyddio i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 gallu cefnogi'r plentyn hwn i gyrraedd man lle'r oedd yn gallu cerdded i ffwrdd yn unig.</w:t>
            </w:r>
          </w:p>
        </w:tc>
      </w:tr>
      <w:tr>
        <w:tblPrEx>
          <w:shd w:val="clear" w:color="auto" w:fill="cdd4e9"/>
        </w:tblPrEx>
        <w:trPr>
          <w:trHeight w:val="256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Nodiadau: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unrhyw fanylion gallwch eu nodi (ydy hi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n amgylchedd prysur, ydy hi ar 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ô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s-ES_tradnl"/>
                <w14:textFill>
                  <w14:solidFill>
                    <w14:srgbClr w14:val="000000"/>
                  </w14:solidFill>
                </w14:textFill>
              </w:rPr>
              <w:t>l cinio, oes llawer o bethau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n tynnu sylw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r cyfranogwyr, ydy cyfarwyddiadau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n cael eu gwneud yn eglur 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–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gorau po fwyaf o bethau y gallwch gyfeirio atynt yma)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 xml:space="preserve">Dyma'r sesiwn ar 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</w:rPr>
              <w:t>ô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l swper. Mae'n ddiwrnod hir i'r plant yma gan nad oes llawer ohonyn nhw wedi gwneud diwrnod llawn mewn addysg oherwydd covid.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Llawer o weithgareddau cyffrous yn mynd ymlaen yn y dosbarth gan i'r dysgwyr gael dewis o ddeg gweithgaredd i'w gwneud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.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pP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r>
          </w:p>
        </w:tc>
      </w:tr>
    </w:tbl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tbl>
      <w:tblPr>
        <w:tblW w:w="892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dd4e9"/>
        <w:tblLayout w:type="fixed"/>
      </w:tblPr>
      <w:tblGrid>
        <w:gridCol w:w="8926"/>
      </w:tblGrid>
      <w:tr>
        <w:tblPrEx>
          <w:shd w:val="clear" w:color="auto" w:fill="cdd4e9"/>
        </w:tblPrEx>
        <w:trPr>
          <w:trHeight w:val="100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Dyddiad: 27/09/2022</w:t>
            </w:r>
            <w:r>
              <w:rPr>
                <w:rFonts w:ascii="Calibri" w:cs="Calibri" w:hAnsi="Calibri" w:eastAsia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br w:type="textWrapping"/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Amser: 9:00</w:t>
            </w:r>
            <w:r>
              <w:rPr>
                <w:rFonts w:ascii="Calibri" w:cs="Calibri" w:hAnsi="Calibri" w:eastAsia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br w:type="textWrapping"/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Grwp blwyddyn: 1</w:t>
            </w:r>
            <w:r>
              <w:rPr>
                <w:rFonts w:ascii="Calibri" w:cs="Calibri" w:hAnsi="Calibri" w:eastAsia="Calibri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r>
          </w:p>
        </w:tc>
      </w:tr>
      <w:tr>
        <w:tblPrEx>
          <w:shd w:val="clear" w:color="auto" w:fill="cdd4e9"/>
        </w:tblPrEx>
        <w:trPr>
          <w:trHeight w:val="126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7eaf4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Ble a Phryd: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 Cyd-destun yr arsylwi 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–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pwnc/MDPh, cyd-destun cyffredinol yr ystafell ddosbarth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Cyd Destun -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>Cynorthwywyr dysgu sy'n ceisio cael plentyn yn y dosbarth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  <w:br w:type="textWrapping"/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Pwnc -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s-ES_tradnl"/>
              </w:rPr>
              <w:t>Amser cofrestru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  <w:br w:type="textWrapping"/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Ystafell dosbarth -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s-ES_tradnl"/>
              </w:rPr>
              <w:t xml:space="preserve">Pob dysgwr ar y carped, athro gyda nhw tra oedd y ddau gynorthwyydd dysgu yn delio 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</w:rPr>
              <w:t>â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'r dysgwr tu allan</w:t>
            </w:r>
            <w:r>
              <w:rPr>
                <w:rFonts w:ascii="Calibri" w:hAnsi="Calibri"/>
                <w:u w:color="000000"/>
                <w:rtl w:val="0"/>
                <w:lang w:val="en-US"/>
              </w:rPr>
              <w:t>.</w:t>
            </w:r>
          </w:p>
        </w:tc>
      </w:tr>
      <w:tr>
        <w:tblPrEx>
          <w:shd w:val="clear" w:color="auto" w:fill="cdd4e9"/>
        </w:tblPrEx>
        <w:trPr>
          <w:trHeight w:val="152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b w:val="1"/>
                <w:bCs w:val="1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Beth ddigwyddodd: 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>disgrifiad manwl o</w:t>
            </w:r>
            <w:r>
              <w:rPr>
                <w:rFonts w:ascii="Calibri" w:hAnsi="Calibri" w:hint="default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r digwyddiad critigol (gorau po fwyaf o fanylder er mwyn gallu cyfeirio ato yn eich gwaith diweddarach)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Doedd un dysgwr ddim eisiau dod mewn i'r dosbarth ar 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</w:rPr>
              <w:t>ô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l clwb brecwast, felly roedd y cynorthwywyr dysgu yn ceisio gwneud iddo ddod mewn i'r dosbarth. Yna bu'r ddau ohonyn nhw'n cario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 yn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fr-FR"/>
              </w:rPr>
              <w:t xml:space="preserve"> diogel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>mewn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 i'r ysgol wedi 45 munud.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  Athrawes yn gweithio efo grwp arall o blant.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r>
          </w:p>
        </w:tc>
      </w:tr>
      <w:tr>
        <w:tblPrEx>
          <w:shd w:val="clear" w:color="auto" w:fill="cdd4e9"/>
        </w:tblPrEx>
        <w:trPr>
          <w:trHeight w:val="126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7eaf4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b w:val="1"/>
                <w:bCs w:val="1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Meysydd archwilio posibl: 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beth yn eich barn chi a allai fod </w:t>
            </w:r>
            <w:r>
              <w:rPr>
                <w:rFonts w:ascii="Calibri" w:hAnsi="Calibri" w:hint="default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1"/>
                <w:lang w:val="ar-SA" w:bidi="ar-SA"/>
                <w14:textFill>
                  <w14:solidFill>
                    <w14:srgbClr w14:val="000000"/>
                  </w14:solidFill>
                </w14:textFill>
              </w:rPr>
              <w:t>“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o dan yr wyneb</w:t>
            </w:r>
            <w:r>
              <w:rPr>
                <w:rFonts w:ascii="Calibri" w:hAnsi="Calibri" w:hint="default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” </w:t>
            </w:r>
            <w:r>
              <w:rPr>
                <w:rFonts w:ascii="Calibri" w:hAnsi="Calibri"/>
                <w:b w:val="0"/>
                <w:bCs w:val="0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yn y digwyddiadau hyn? Pa lwybrau ymchwil gallech chi eu hystyried?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>Gallai edrych i mewn i'r damcaniaethau a fyddai'n cefnogi'r dysgwr hwn fyddai i lawr y llinellau o gefnogaeth ychwanegol neu a allai rywbeth fel sgaffaldiau helpu. Allai hefyd edrych ar r</w:t>
            </w:r>
            <w:r>
              <w:rPr>
                <w:rFonts w:ascii="Calibri" w:hAnsi="Calibri" w:hint="default"/>
                <w:u w:color="000000"/>
                <w:shd w:val="nil" w:color="auto" w:fill="auto"/>
                <w:rtl w:val="0"/>
              </w:rPr>
              <w:t>ô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s-ES_tradnl"/>
              </w:rPr>
              <w:t>l yr athro yn y sefyllfa yma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  <w:lang w:val="en-US"/>
              </w:rPr>
              <w:t xml:space="preserve">, </w:t>
            </w: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>yn ogystal ag anghenion dysgu ychwanegol</w:t>
            </w:r>
          </w:p>
        </w:tc>
      </w:tr>
      <w:tr>
        <w:tblPrEx>
          <w:shd w:val="clear" w:color="auto" w:fill="cdd4e9"/>
        </w:tblPrEx>
        <w:trPr>
          <w:trHeight w:val="1521" w:hRule="atLeast"/>
        </w:trPr>
        <w:tc>
          <w:tcPr>
            <w:tcW w:type="dxa" w:w="892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Fonts w:ascii="Calibri" w:cs="Calibri" w:hAnsi="Calibri" w:eastAsia="Calibri"/>
                <w:outline w:val="0"/>
                <w:color w:val="ffffff"/>
                <w:u w:color="ffffff"/>
                <w:shd w:val="nil" w:color="auto" w:fill="auto"/>
                <w:rtl w:val="0"/>
                <w14:textFill>
                  <w14:solidFill>
                    <w14:srgbClr w14:val="FFFFFF"/>
                  </w14:solidFill>
                </w14:textFill>
              </w:rPr>
            </w:pPr>
            <w:r>
              <w:rPr>
                <w:rFonts w:ascii="Calibri" w:hAnsi="Calibri"/>
                <w:b w:val="1"/>
                <w:bCs w:val="1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Nodiadau: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unrhyw fanylion gallwch eu nodi (ydy hi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n-US"/>
                <w14:textFill>
                  <w14:solidFill>
                    <w14:srgbClr w14:val="000000"/>
                  </w14:solidFill>
                </w14:textFill>
              </w:rPr>
              <w:t xml:space="preserve">n amgylchedd prysur, ydy hi ar 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ô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:lang w:val="es-ES_tradnl"/>
                <w14:textFill>
                  <w14:solidFill>
                    <w14:srgbClr w14:val="000000"/>
                  </w14:solidFill>
                </w14:textFill>
              </w:rPr>
              <w:t>l cinio, oes llawer o bethau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n tynnu sylw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r cyfranogwyr, ydy cyfarwyddiadau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1"/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n cael eu gwneud yn eglur </w:t>
            </w:r>
            <w:r>
              <w:rPr>
                <w:rFonts w:ascii="Calibri" w:hAnsi="Calibri" w:hint="default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 xml:space="preserve">– </w:t>
            </w:r>
            <w:r>
              <w:rPr>
                <w:rFonts w:ascii="Calibri" w:hAnsi="Calibri"/>
                <w:outline w:val="0"/>
                <w:color w:val="000000"/>
                <w:u w:color="000000"/>
                <w:shd w:val="nil" w:color="auto" w:fill="auto"/>
                <w:rtl w:val="0"/>
                <w14:textFill>
                  <w14:solidFill>
                    <w14:srgbClr w14:val="000000"/>
                  </w14:solidFill>
                </w14:textFill>
              </w:rPr>
              <w:t>gorau po fwyaf o bethau y gallwch gyfeirio atynt yma)</w:t>
            </w:r>
          </w:p>
          <w:p>
            <w:pPr>
              <w:pStyle w:val="Body"/>
              <w:widowControl w:val="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u w:color="000000"/>
                <w:shd w:val="nil" w:color="auto" w:fill="auto"/>
                <w:rtl w:val="0"/>
              </w:rPr>
              <w:t>Peth cyntaf yn y bore, dysgwr ag angen dysgu ychwanegol heb ddiagnosis. Mae gan ddysgwr rai problemau y tu allan i'r ysgol gyda'r teulu. Mae hwn yn bwnc dyddiol a'r dysgwr ar amserlen lai</w:t>
            </w:r>
            <w:r>
              <w:rPr>
                <w:rFonts w:ascii="Calibri" w:cs="Calibri" w:hAnsi="Calibri" w:eastAsia="Calibri"/>
                <w:u w:color="000000"/>
                <w:shd w:val="nil" w:color="auto" w:fill="auto"/>
                <w:rtl w:val="0"/>
              </w:rPr>
            </w:r>
          </w:p>
        </w:tc>
      </w:tr>
    </w:tbl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</w:p>
    <w:p>
      <w:pPr>
        <w:pStyle w:val="Heading"/>
        <w:bidi w:val="0"/>
      </w:pPr>
      <w:r>
        <w:rPr>
          <w:rFonts w:cs="Arial Unicode MS" w:eastAsia="Arial Unicode MS"/>
          <w:rtl w:val="0"/>
          <w:lang w:val="en-US"/>
        </w:rPr>
        <w:t>Reference list</w:t>
      </w:r>
    </w:p>
    <w:p>
      <w:pPr>
        <w:pStyle w:val="Body"/>
        <w:spacing w:line="360" w:lineRule="auto"/>
        <w:rPr>
          <w:rFonts w:ascii="Century Gothic" w:cs="Century Gothic" w:hAnsi="Century Gothic" w:eastAsia="Century Gothic"/>
          <w:sz w:val="24"/>
          <w:szCs w:val="24"/>
        </w:rPr>
      </w:pPr>
    </w:p>
    <w:p>
      <w:pPr>
        <w:pStyle w:val="Body"/>
        <w:spacing w:line="360" w:lineRule="auto"/>
        <w:rPr>
          <w:rFonts w:ascii="Century Gothic" w:cs="Century Gothic" w:hAnsi="Century Gothic" w:eastAsia="Century Gothic"/>
          <w:sz w:val="24"/>
          <w:szCs w:val="24"/>
        </w:rPr>
      </w:pP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- </w:t>
      </w:r>
      <w:r>
        <w:rPr>
          <w:rFonts w:ascii="Century Gothic" w:hAnsi="Century Gothic"/>
          <w:sz w:val="24"/>
          <w:szCs w:val="24"/>
          <w:rtl w:val="0"/>
          <w:lang w:val="en-US"/>
        </w:rPr>
        <w:t>Alderfer, C. (1989). Theories reflecting my personal experience and life dent. The Journal of Applied Behavioral Science, 25(4), 351.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BERA (2018) </w:t>
      </w:r>
      <w:r>
        <w:rPr>
          <w:rFonts w:ascii="Century Gothic" w:hAnsi="Century Gothic"/>
          <w:sz w:val="24"/>
          <w:szCs w:val="24"/>
          <w:rtl w:val="0"/>
          <w:lang w:val="en-US"/>
        </w:rPr>
        <w:t>https://www.bera.ac.uk/publication/ethical-guidelines-for-educational-research-2018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Brookfield, S. D. (1990). </w:t>
      </w:r>
      <w:r>
        <w:rPr>
          <w:rFonts w:ascii="Century Gothic" w:hAnsi="Century Gothic"/>
          <w:i w:val="1"/>
          <w:iCs w:val="1"/>
          <w:sz w:val="24"/>
          <w:szCs w:val="24"/>
          <w:rtl w:val="0"/>
          <w:lang w:val="en-US"/>
        </w:rPr>
        <w:t>The skillful teacher</w:t>
      </w:r>
      <w:r>
        <w:rPr>
          <w:rFonts w:ascii="Century Gothic" w:hAnsi="Century Gothic"/>
          <w:sz w:val="24"/>
          <w:szCs w:val="24"/>
          <w:rtl w:val="0"/>
          <w:lang w:val="it-IT"/>
        </w:rPr>
        <w:t>. San Francisco: Jossey Bass.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- </w:t>
      </w:r>
      <w:r>
        <w:rPr>
          <w:rFonts w:ascii="Century Gothic" w:hAnsi="Century Gothic"/>
          <w:sz w:val="24"/>
          <w:szCs w:val="24"/>
          <w:rtl w:val="0"/>
          <w:lang w:val="en-US"/>
        </w:rPr>
        <w:t>Brookfield, S. (2004). The getting of wisdom: What critically reflective teaching is and why it</w:t>
      </w:r>
      <w:r>
        <w:rPr>
          <w:rFonts w:ascii="Century Gothic" w:hAnsi="Century Gothic" w:hint="default"/>
          <w:sz w:val="24"/>
          <w:szCs w:val="24"/>
          <w:rtl w:val="1"/>
        </w:rPr>
        <w:t>’</w:t>
      </w:r>
      <w:r>
        <w:rPr>
          <w:rFonts w:ascii="Century Gothic" w:hAnsi="Century Gothic"/>
          <w:sz w:val="24"/>
          <w:szCs w:val="24"/>
          <w:rtl w:val="0"/>
          <w:lang w:val="pt-PT"/>
        </w:rPr>
        <w:t xml:space="preserve">s important. </w:t>
      </w:r>
      <w:r>
        <w:rPr>
          <w:rFonts w:ascii="Century Gothic" w:hAnsi="Century Gothic"/>
          <w:sz w:val="24"/>
          <w:szCs w:val="24"/>
          <w:rtl w:val="0"/>
          <w:lang w:val="en-US"/>
        </w:rPr>
        <w:t>Available at:</w:t>
      </w:r>
      <w:r>
        <w:rPr>
          <w:rFonts w:ascii="Century Gothic" w:hAnsi="Century Gothic"/>
          <w:sz w:val="24"/>
          <w:szCs w:val="24"/>
          <w:rtl w:val="0"/>
        </w:rPr>
        <w:t xml:space="preserve"> </w: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begin" w:fldLock="0"/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instrText xml:space="preserve"> HYPERLINK "https://static1.squarespace.com/static/51acea8be4b02783f894c272/t/53628f3be4b0bddd58665b76/1398968123150/Brookfield-Getting+Wisdom.pdf"</w:instrTex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separate" w:fldLock="0"/>
      </w:r>
      <w:r>
        <w:rPr>
          <w:rStyle w:val="Link"/>
          <w:rFonts w:ascii="Century Gothic" w:hAnsi="Century Gothic"/>
          <w:sz w:val="24"/>
          <w:szCs w:val="24"/>
          <w:rtl w:val="0"/>
          <w:lang w:val="en-US"/>
        </w:rPr>
        <w:t>https://static1.squarespace.com/static/51acea8be4b02783f894c272/t/53628f3be4b0bddd58665b76/1398968123150/Brookfield-Getting+Wisdom.pdf</w:t>
      </w:r>
      <w:r>
        <w:rPr>
          <w:rFonts w:ascii="Century Gothic" w:cs="Century Gothic" w:hAnsi="Century Gothic" w:eastAsia="Century Gothic"/>
          <w:sz w:val="24"/>
          <w:szCs w:val="24"/>
        </w:rPr>
        <w:fldChar w:fldCharType="end" w:fldLock="0"/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 (Accessed: 1/11/22)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>Cranton, P. (1996). Professional development as transformative learning: New perspectives for teachers of adults. San Francisco: Jossey Bass.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>Dewey, J. (1933). How we think: A restatement of the relation of reflective thinking to the educative process. Boston: Heath.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nl-NL"/>
        </w:rPr>
      </w:pPr>
      <w:r>
        <w:rPr>
          <w:rFonts w:ascii="Century Gothic" w:hAnsi="Century Gothic"/>
          <w:sz w:val="24"/>
          <w:szCs w:val="24"/>
          <w:rtl w:val="0"/>
          <w:lang w:val="nl-NL"/>
        </w:rPr>
        <w:t xml:space="preserve"> Dewey, J. (1938). Experi</w:t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ence </w:t>
      </w:r>
      <w:r>
        <w:rPr>
          <w:rFonts w:ascii="Century Gothic" w:hAnsi="Century Gothic"/>
          <w:sz w:val="24"/>
          <w:szCs w:val="24"/>
          <w:rtl w:val="0"/>
          <w:lang w:val="it-IT"/>
        </w:rPr>
        <w:t>and education. New York: Macmillan.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</w:rPr>
      </w:pPr>
      <w:r>
        <w:rPr>
          <w:rFonts w:ascii="Century Gothic" w:hAnsi="Century Gothic"/>
          <w:sz w:val="24"/>
          <w:szCs w:val="24"/>
          <w:rtl w:val="0"/>
        </w:rPr>
        <w:t>Donaldson, G. (2015).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i w:val="1"/>
          <w:iCs w:val="1"/>
          <w:sz w:val="24"/>
          <w:szCs w:val="24"/>
          <w:rtl w:val="0"/>
          <w:lang w:val="en-US"/>
        </w:rPr>
        <w:t>Successful Futures</w:t>
      </w:r>
      <w:r>
        <w:rPr>
          <w:rFonts w:ascii="Century Gothic" w:hAnsi="Century Gothic"/>
          <w:sz w:val="24"/>
          <w:szCs w:val="24"/>
          <w:rtl w:val="0"/>
          <w:lang w:val="en-US"/>
        </w:rPr>
        <w:t>. Independent Review of Curriculum and Assessment Arrangements in Wales.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Department of Education (2022) Dealing with a critical incident. Available at: </w: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begin" w:fldLock="0"/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instrText xml:space="preserve"> HYPERLINK "https://www.education-ni.gov.uk/articles/dealing-critical-incident"</w:instrTex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separate" w:fldLock="0"/>
      </w:r>
      <w:r>
        <w:rPr>
          <w:rStyle w:val="Link"/>
          <w:rFonts w:ascii="Century Gothic" w:hAnsi="Century Gothic"/>
          <w:sz w:val="24"/>
          <w:szCs w:val="24"/>
          <w:rtl w:val="0"/>
          <w:lang w:val="en-US"/>
        </w:rPr>
        <w:t>https://www.education-ni.gov.uk/articles/dealing-critical-incident</w:t>
      </w:r>
      <w:r>
        <w:rPr>
          <w:rFonts w:ascii="Century Gothic" w:cs="Century Gothic" w:hAnsi="Century Gothic" w:eastAsia="Century Gothic"/>
          <w:sz w:val="24"/>
          <w:szCs w:val="24"/>
        </w:rPr>
        <w:fldChar w:fldCharType="end" w:fldLock="0"/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 (accessed: 28/10/22)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>Estyn (2017) School report Available at:</w: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begin" w:fldLock="0"/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instrText xml:space="preserve"> HYPERLINK "https://www.estyn.gov.wales/system/files/2020-08/Ysgol%20Llanhari%20en.pdf"</w:instrTex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separate" w:fldLock="0"/>
      </w:r>
      <w:r>
        <w:rPr>
          <w:rStyle w:val="Link"/>
          <w:rFonts w:ascii="Century Gothic" w:hAnsi="Century Gothic"/>
          <w:sz w:val="24"/>
          <w:szCs w:val="24"/>
          <w:rtl w:val="0"/>
          <w:lang w:val="en-US"/>
        </w:rPr>
        <w:t>https://www.estyn.gov.wales/system/files/2020-08/Ysgol%2520%2520en.pdf</w:t>
      </w:r>
      <w:r>
        <w:rPr>
          <w:rFonts w:ascii="Century Gothic" w:cs="Century Gothic" w:hAnsi="Century Gothic" w:eastAsia="Century Gothic"/>
          <w:sz w:val="24"/>
          <w:szCs w:val="24"/>
        </w:rPr>
        <w:fldChar w:fldCharType="end" w:fldLock="0"/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 (Accessed: 28/09/22)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>- Gauvain, M (2020) Encyclopedia of infant and early childhood development (second edition) Amsterdam, Elsevier Science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>Groom,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R.,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  <w:lang w:val="it-IT"/>
        </w:rPr>
        <w:t>Nelson,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L.,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Potrac,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P., &amp;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Coyles,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A.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(2016).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  <w:lang w:val="en-US"/>
        </w:rPr>
        <w:t>Burrhus Frederic Skinner: Environmental reinforcement in coaching. In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L.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  <w:lang w:val="it-IT"/>
        </w:rPr>
        <w:t>Nelson,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R.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  <w:lang w:val="en-US"/>
        </w:rPr>
        <w:t>Groom, &amp;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P.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Potrac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  <w:lang w:val="pt-PT"/>
        </w:rPr>
        <w:t>(Eds.),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i w:val="1"/>
          <w:iCs w:val="1"/>
          <w:sz w:val="24"/>
          <w:szCs w:val="24"/>
          <w:rtl w:val="0"/>
          <w:lang w:val="en-US"/>
        </w:rPr>
        <w:t>Learning in sports coaching: Theory and application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(pp.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9</w:t>
      </w:r>
      <w:r>
        <w:rPr>
          <w:rFonts w:ascii="Century Gothic" w:hAnsi="Century Gothic" w:hint="default"/>
          <w:sz w:val="24"/>
          <w:szCs w:val="24"/>
          <w:rtl w:val="0"/>
        </w:rPr>
        <w:t>–</w:t>
      </w:r>
      <w:r>
        <w:rPr>
          <w:rFonts w:ascii="Century Gothic" w:hAnsi="Century Gothic"/>
          <w:sz w:val="24"/>
          <w:szCs w:val="24"/>
          <w:rtl w:val="0"/>
        </w:rPr>
        <w:t>21).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  <w:lang w:val="en-US"/>
        </w:rPr>
        <w:t>Routledge.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Kurt, S (2020) Social learning theory Albert Bandura. Available at: </w: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begin" w:fldLock="0"/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instrText xml:space="preserve"> HYPERLINK "https://educationaltechnology.net/social-learning-theory-albert-bandura/"</w:instrTex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separate" w:fldLock="0"/>
      </w:r>
      <w:r>
        <w:rPr>
          <w:rStyle w:val="Link"/>
          <w:rFonts w:ascii="Century Gothic" w:hAnsi="Century Gothic"/>
          <w:sz w:val="24"/>
          <w:szCs w:val="24"/>
          <w:rtl w:val="0"/>
          <w:lang w:val="en-US"/>
        </w:rPr>
        <w:t>https://educationaltechnology.net/social-learning-theory-albert-bandura/</w:t>
      </w:r>
      <w:r>
        <w:rPr>
          <w:rFonts w:ascii="Century Gothic" w:cs="Century Gothic" w:hAnsi="Century Gothic" w:eastAsia="Century Gothic"/>
          <w:sz w:val="24"/>
          <w:szCs w:val="24"/>
        </w:rPr>
        <w:fldChar w:fldCharType="end" w:fldLock="0"/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 (Accessed on: 15/10/22)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>Maslow, A. H. (1970a). Motivation and personality. New York: Harper &amp; Row.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- </w:t>
      </w:r>
      <w:r>
        <w:rPr>
          <w:rFonts w:ascii="Century Gothic" w:hAnsi="Century Gothic"/>
          <w:sz w:val="24"/>
          <w:szCs w:val="24"/>
          <w:rtl w:val="0"/>
          <w:lang w:val="en-US"/>
        </w:rPr>
        <w:t>McKnight, D. (2002). Field experience handbook: A guide for the teacher intern and mentor teacher. College Park: University of Maryland.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NASUWT (2022) Behaviour management for teachers in the classroom. Available at: </w: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begin" w:fldLock="0"/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instrText xml:space="preserve"> HYPERLINK "https://www.nasuwt.org.uk/advice/in-the-classroom/behaviour-management-for-teachers-in-the-classroom.html"</w:instrTex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separate" w:fldLock="0"/>
      </w:r>
      <w:r>
        <w:rPr>
          <w:rStyle w:val="Link"/>
          <w:rFonts w:ascii="Century Gothic" w:hAnsi="Century Gothic"/>
          <w:sz w:val="24"/>
          <w:szCs w:val="24"/>
          <w:rtl w:val="0"/>
          <w:lang w:val="en-US"/>
        </w:rPr>
        <w:t>https://www.nasuwt.org.uk/advice/in-the-classroom/behaviour-management-for-teachers-in-the-classroom.html</w:t>
      </w:r>
      <w:r>
        <w:rPr>
          <w:rFonts w:ascii="Century Gothic" w:cs="Century Gothic" w:hAnsi="Century Gothic" w:eastAsia="Century Gothic"/>
          <w:sz w:val="24"/>
          <w:szCs w:val="24"/>
        </w:rPr>
        <w:fldChar w:fldCharType="end" w:fldLock="0"/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 (Accessed on: 20/10/22)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NDNA (2022) Curriculum for Wales. Available at: </w: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begin" w:fldLock="0"/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instrText xml:space="preserve"> HYPERLINK "https://ndna.org.uk/ndna-cymru/curriculum-for-wales-2022/"</w:instrTex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separate" w:fldLock="0"/>
      </w:r>
      <w:r>
        <w:rPr>
          <w:rStyle w:val="Link"/>
          <w:rFonts w:ascii="Century Gothic" w:hAnsi="Century Gothic"/>
          <w:sz w:val="24"/>
          <w:szCs w:val="24"/>
          <w:rtl w:val="0"/>
          <w:lang w:val="en-US"/>
        </w:rPr>
        <w:t>https://ndna.org.uk/ndna-cymru/curriculum-for-wales-2022/</w:t>
      </w:r>
      <w:r>
        <w:rPr>
          <w:rFonts w:ascii="Century Gothic" w:cs="Century Gothic" w:hAnsi="Century Gothic" w:eastAsia="Century Gothic"/>
          <w:sz w:val="24"/>
          <w:szCs w:val="24"/>
        </w:rPr>
        <w:fldChar w:fldCharType="end" w:fldLock="0"/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 (Accessed: 2/11/22)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>Reagan, T. G., Case, C. W., &amp; Brubacher, J. W. (2000). Becoming a reflective educator: How to build a culture of inquiry in the schools (2nd ed.). Thousand Oaks, CA: Corwin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>Rummel, E. (2008). Constructing cognition. American Scientist, 96(1), pp.80-82.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</w:rPr>
      </w:pPr>
      <w:r>
        <w:rPr>
          <w:rFonts w:ascii="Century Gothic" w:hAnsi="Century Gothic"/>
          <w:sz w:val="24"/>
          <w:szCs w:val="24"/>
          <w:rtl w:val="0"/>
        </w:rPr>
        <w:t>Skinner,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B. F.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(1974).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i w:val="1"/>
          <w:iCs w:val="1"/>
          <w:sz w:val="24"/>
          <w:szCs w:val="24"/>
          <w:rtl w:val="0"/>
          <w:lang w:val="en-US"/>
        </w:rPr>
        <w:t>About behaviorism</w:t>
      </w:r>
      <w:r>
        <w:rPr>
          <w:rFonts w:ascii="Century Gothic" w:hAnsi="Century Gothic"/>
          <w:sz w:val="24"/>
          <w:szCs w:val="24"/>
          <w:rtl w:val="0"/>
        </w:rPr>
        <w:t>.</w:t>
      </w:r>
      <w:r>
        <w:rPr>
          <w:rFonts w:ascii="Century Gothic" w:hAnsi="Century Gothic" w:hint="default"/>
          <w:sz w:val="24"/>
          <w:szCs w:val="24"/>
          <w:rtl w:val="0"/>
        </w:rPr>
        <w:t> </w:t>
      </w:r>
      <w:r>
        <w:rPr>
          <w:rFonts w:ascii="Century Gothic" w:hAnsi="Century Gothic"/>
          <w:sz w:val="24"/>
          <w:szCs w:val="24"/>
          <w:rtl w:val="0"/>
        </w:rPr>
        <w:t>Alfred A. Knopf.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>Tripp, D. (1993). Critical incidents in teaching</w:t>
      </w:r>
      <w:r>
        <w:rPr>
          <w:rFonts w:ascii="Century Gothic" w:hAnsi="Century Gothic"/>
          <w:sz w:val="24"/>
          <w:szCs w:val="24"/>
          <w:rtl w:val="0"/>
          <w:lang w:val="en-US"/>
        </w:rPr>
        <w:t>, Developing professional judgements</w:t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. London: Routledge. 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UNICEF (2022) UNCRC. Available at: </w: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begin" w:fldLock="0"/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instrText xml:space="preserve"> HYPERLINK "https://www.unicef.org.uk/what-we-do/un-convention-child-rights/"</w:instrTex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separate" w:fldLock="0"/>
      </w:r>
      <w:r>
        <w:rPr>
          <w:rStyle w:val="Link"/>
          <w:rFonts w:ascii="Century Gothic" w:hAnsi="Century Gothic"/>
          <w:sz w:val="24"/>
          <w:szCs w:val="24"/>
          <w:rtl w:val="0"/>
          <w:lang w:val="en-US"/>
        </w:rPr>
        <w:t>https://www.unicef.org.uk/what-we-do/un-convention-child-rights/</w:t>
      </w:r>
      <w:r>
        <w:rPr>
          <w:rFonts w:ascii="Century Gothic" w:cs="Century Gothic" w:hAnsi="Century Gothic" w:eastAsia="Century Gothic"/>
          <w:sz w:val="24"/>
          <w:szCs w:val="24"/>
        </w:rPr>
        <w:fldChar w:fldCharType="end" w:fldLock="0"/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 (Accessed: 2/11/22)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Welsh Government (2022) Additional learning needs Act. Available at: </w: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begin" w:fldLock="0"/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instrText xml:space="preserve"> HYPERLINK "https://gov.wales/additional-learning-needs-transformation-programme-frequently-asked-questions-html"</w:instrText>
      </w:r>
      <w:r>
        <w:rPr>
          <w:rStyle w:val="Link"/>
          <w:rFonts w:ascii="Century Gothic" w:cs="Century Gothic" w:hAnsi="Century Gothic" w:eastAsia="Century Gothic"/>
          <w:sz w:val="24"/>
          <w:szCs w:val="24"/>
        </w:rPr>
        <w:fldChar w:fldCharType="separate" w:fldLock="0"/>
      </w:r>
      <w:r>
        <w:rPr>
          <w:rStyle w:val="Link"/>
          <w:rFonts w:ascii="Century Gothic" w:hAnsi="Century Gothic"/>
          <w:sz w:val="24"/>
          <w:szCs w:val="24"/>
          <w:rtl w:val="0"/>
          <w:lang w:val="en-US"/>
        </w:rPr>
        <w:t>https://gov.wales/additional-learning-needs-transformation-programme-frequently-asked-questions-html</w:t>
      </w:r>
      <w:r>
        <w:rPr>
          <w:rFonts w:ascii="Century Gothic" w:cs="Century Gothic" w:hAnsi="Century Gothic" w:eastAsia="Century Gothic"/>
          <w:sz w:val="24"/>
          <w:szCs w:val="24"/>
        </w:rPr>
        <w:fldChar w:fldCharType="end" w:fldLock="0"/>
      </w:r>
      <w:r>
        <w:rPr>
          <w:rFonts w:ascii="Century Gothic" w:hAnsi="Century Gothic"/>
          <w:sz w:val="24"/>
          <w:szCs w:val="24"/>
          <w:rtl w:val="0"/>
          <w:lang w:val="en-US"/>
        </w:rPr>
        <w:t xml:space="preserve"> (Accessed: 30/09/22)</w:t>
      </w:r>
    </w:p>
    <w:p>
      <w:pPr>
        <w:pStyle w:val="Body"/>
        <w:numPr>
          <w:ilvl w:val="0"/>
          <w:numId w:val="2"/>
        </w:numPr>
        <w:spacing w:line="360" w:lineRule="auto"/>
        <w:rPr>
          <w:rFonts w:ascii="Century Gothic" w:hAnsi="Century Gothic"/>
          <w:sz w:val="24"/>
          <w:szCs w:val="24"/>
          <w:lang w:val="en-US"/>
        </w:rPr>
      </w:pPr>
      <w:r>
        <w:rPr>
          <w:rFonts w:ascii="Century Gothic" w:hAnsi="Century Gothic"/>
          <w:sz w:val="24"/>
          <w:szCs w:val="24"/>
          <w:rtl w:val="0"/>
          <w:lang w:val="en-US"/>
        </w:rPr>
        <w:t xml:space="preserve">- </w:t>
      </w:r>
      <w:r>
        <w:rPr>
          <w:rFonts w:ascii="Century Gothic" w:hAnsi="Century Gothic"/>
          <w:sz w:val="24"/>
          <w:szCs w:val="24"/>
          <w:rtl w:val="0"/>
          <w:lang w:val="en-US"/>
        </w:rPr>
        <w:t>Wood, D., Bruner, J. S., &amp; Ross, G. (1976). The role of tutoring in problem solving. British Journal of Psychology, 66 , 181-191.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libri">
    <w:charset w:val="00"/>
    <w:family w:val="roman"/>
    <w:pitch w:val="default"/>
  </w:font>
  <w:font w:name="Century Gothic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rPr>
        <w:rtl w:val="0"/>
        <w:lang w:val="en-US"/>
      </w:rPr>
      <w:t>ECAD6007</w:t>
    </w:r>
    <w:r>
      <w:tab/>
      <w:tab/>
    </w:r>
    <w:r>
      <w:rPr>
        <w:rtl w:val="0"/>
        <w:lang w:val="en-US"/>
      </w:rPr>
      <w:t>2206186</w:t>
    </w:r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Numbered"/>
  </w:abstractNum>
  <w:abstractNum w:abstractNumId="1">
    <w:multiLevelType w:val="hybridMultilevel"/>
    <w:styleLink w:val="Numbered"/>
    <w:lvl w:ilvl="0">
      <w:start w:val="1"/>
      <w:numFmt w:val="decimal"/>
      <w:suff w:val="tab"/>
      <w:lvlText w:val="%1."/>
      <w:lvlJc w:val="left"/>
      <w:pPr>
        <w:ind w:left="3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decimal"/>
      <w:suff w:val="tab"/>
      <w:lvlText w:val="%2."/>
      <w:lvlJc w:val="left"/>
      <w:pPr>
        <w:ind w:left="7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decimal"/>
      <w:suff w:val="tab"/>
      <w:lvlText w:val="%3."/>
      <w:lvlJc w:val="left"/>
      <w:pPr>
        <w:ind w:left="11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ind w:left="14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decimal"/>
      <w:suff w:val="tab"/>
      <w:lvlText w:val="%5."/>
      <w:lvlJc w:val="left"/>
      <w:pPr>
        <w:ind w:left="183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decimal"/>
      <w:suff w:val="tab"/>
      <w:lvlText w:val="%6."/>
      <w:lvlJc w:val="left"/>
      <w:pPr>
        <w:ind w:left="21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ind w:left="25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decimal"/>
      <w:suff w:val="tab"/>
      <w:lvlText w:val="%8."/>
      <w:lvlJc w:val="left"/>
      <w:pPr>
        <w:ind w:left="29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decimal"/>
      <w:suff w:val="tab"/>
      <w:lvlText w:val="%9."/>
      <w:lvlJc w:val="left"/>
      <w:pPr>
        <w:ind w:left="32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">
    <w:name w:val="Heading"/>
    <w:next w:val="Body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0"/>
    </w:pPr>
    <w:rPr>
      <w:rFonts w:ascii="Helvetica Neue" w:cs="Helvetica Neue" w:hAnsi="Helvetica Neue" w:eastAsia="Helvetica Neue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36"/>
      <w:szCs w:val="36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character" w:styleId="Link">
    <w:name w:val="Link"/>
    <w:rPr>
      <w:u w:val="single"/>
    </w:rPr>
  </w:style>
  <w:style w:type="character" w:styleId="Hyperlink.0">
    <w:name w:val="Hyperlink.0"/>
    <w:basedOn w:val="Link"/>
    <w:next w:val="Hyperlink.0"/>
    <w:rPr>
      <w:outline w:val="0"/>
      <w:color w:val="0563c1"/>
      <w:u w:color="0563c1"/>
      <w14:textFill>
        <w14:solidFill>
          <w14:srgbClr w14:val="0563C1"/>
        </w14:solidFill>
      </w14:textFill>
    </w:rPr>
  </w:style>
  <w:style w:type="numbering" w:styleId="Numbered">
    <w:name w:val="Numbered"/>
    <w:pPr>
      <w:numPr>
        <w:numId w:val="1"/>
      </w:numPr>
    </w:p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numbering" Target="numbering.xml"/><Relationship Id="rId7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