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B8B686" w14:textId="1A6264B2" w:rsidR="001B3C27" w:rsidRDefault="006337BA" w:rsidP="006337BA">
      <w:pPr>
        <w:spacing w:after="0"/>
        <w:jc w:val="left"/>
      </w:pPr>
      <w:r w:rsidRPr="008B4D32">
        <w:rPr>
          <w:rFonts w:cs="Arial"/>
          <w:sz w:val="22"/>
        </w:rPr>
        <w:drawing>
          <wp:inline distT="0" distB="0" distL="0" distR="0" wp14:anchorId="4BBDB796" wp14:editId="4838D4CD">
            <wp:extent cx="2485577" cy="935355"/>
            <wp:effectExtent l="0" t="0" r="0" b="0"/>
            <wp:docPr id="460384120" name="Picture 460384120"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7772" cy="954997"/>
                    </a:xfrm>
                    <a:prstGeom prst="rect">
                      <a:avLst/>
                    </a:prstGeom>
                    <a:noFill/>
                    <a:ln>
                      <a:noFill/>
                    </a:ln>
                  </pic:spPr>
                </pic:pic>
              </a:graphicData>
            </a:graphic>
          </wp:inline>
        </w:drawing>
      </w:r>
    </w:p>
    <w:p w14:paraId="2E638EF2" w14:textId="77777777" w:rsidR="001B3C27" w:rsidRDefault="001B3C27" w:rsidP="00A80AB5">
      <w:pPr>
        <w:spacing w:after="0"/>
        <w:jc w:val="center"/>
      </w:pPr>
    </w:p>
    <w:p w14:paraId="205BF24F" w14:textId="77777777" w:rsidR="001B3C27" w:rsidRDefault="001B3C27" w:rsidP="00A80AB5">
      <w:pPr>
        <w:spacing w:after="0"/>
        <w:jc w:val="center"/>
      </w:pPr>
    </w:p>
    <w:p w14:paraId="53D99260" w14:textId="3C6F9961" w:rsidR="00A80AB5" w:rsidRDefault="002604AF" w:rsidP="00A80AB5">
      <w:pPr>
        <w:spacing w:after="0"/>
        <w:jc w:val="center"/>
      </w:pPr>
      <w:r w:rsidRPr="00A80AB5">
        <w:rPr>
          <w:lang w:eastAsia="en-GB"/>
        </w:rPr>
        <w:drawing>
          <wp:inline distT="0" distB="0" distL="0" distR="0" wp14:anchorId="7A04D747" wp14:editId="26C3BFA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id w:val="1735040861"/>
        <w:placeholder>
          <w:docPart w:val="0E74B39120004A50B7CA95B382E8945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CD15001" w14:textId="77777777" w:rsidR="00A80AB5" w:rsidRDefault="002604AF" w:rsidP="00A80AB5">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FINANCE FOR BUSINESS MANAGERS</w:t>
          </w:r>
        </w:p>
      </w:sdtContent>
    </w:sdt>
    <w:p w14:paraId="64F71C1D" w14:textId="6EF598FD" w:rsidR="00A80AB5" w:rsidRDefault="002604AF" w:rsidP="00A80AB5">
      <w:pPr>
        <w:pStyle w:val="NoSpacing"/>
        <w:jc w:val="center"/>
        <w:rPr>
          <w:color w:val="4F81BD" w:themeColor="accent1"/>
          <w:sz w:val="28"/>
          <w:szCs w:val="28"/>
        </w:rPr>
      </w:pPr>
      <w:r>
        <w:t xml:space="preserve"> </w:t>
      </w:r>
      <w:sdt>
        <w:sdtPr>
          <w:rPr>
            <w:color w:val="4F81BD" w:themeColor="accent1"/>
            <w:sz w:val="28"/>
            <w:szCs w:val="28"/>
          </w:rPr>
          <w:alias w:val="Subtitle"/>
          <w:id w:val="328029620"/>
          <w:dataBinding w:prefixMappings="xmlns:ns0='http://purl.org/dc/elements/1.1/' xmlns:ns1='http://schemas.openxmlformats.org/package/2006/metadata/core-properties' " w:xpath="/ns1:coreProperties[1]/ns0:subject[1]" w:storeItemID="{6C3C8BC8-F283-45AE-878A-BAB7291924A1}"/>
          <w:text/>
        </w:sdtPr>
        <w:sdtEndPr/>
        <w:sdtContent>
          <w:r w:rsidR="00AE06D9">
            <w:rPr>
              <w:color w:val="4F81BD" w:themeColor="accent1"/>
              <w:sz w:val="28"/>
              <w:szCs w:val="28"/>
            </w:rPr>
            <w:t>BUSINESS REPORT OF</w:t>
          </w:r>
          <w:r w:rsidR="00307D93">
            <w:rPr>
              <w:color w:val="4F81BD" w:themeColor="accent1"/>
              <w:sz w:val="28"/>
              <w:szCs w:val="28"/>
            </w:rPr>
            <w:t xml:space="preserve"> ASTRAZENECA PLC and</w:t>
          </w:r>
          <w:r w:rsidR="00AE06D9">
            <w:rPr>
              <w:color w:val="4F81BD" w:themeColor="accent1"/>
              <w:sz w:val="28"/>
              <w:szCs w:val="28"/>
            </w:rPr>
            <w:t xml:space="preserve"> GREENACRES PLC</w:t>
          </w:r>
        </w:sdtContent>
      </w:sdt>
    </w:p>
    <w:p w14:paraId="71449C35" w14:textId="77777777" w:rsidR="005A1FE3" w:rsidRDefault="002604AF" w:rsidP="00A80AB5">
      <w:pPr>
        <w:spacing w:after="0"/>
        <w:jc w:val="center"/>
      </w:pPr>
      <w:r>
        <w:t xml:space="preserve"> </w:t>
      </w:r>
      <w:r w:rsidRPr="00A80AB5">
        <w:rPr>
          <w:lang w:eastAsia="en-GB"/>
        </w:rPr>
        <w:drawing>
          <wp:inline distT="0" distB="0" distL="0" distR="0" wp14:anchorId="3E9CED25" wp14:editId="25427F1B">
            <wp:extent cx="758952" cy="478932"/>
            <wp:effectExtent l="0" t="0" r="3175" b="0"/>
            <wp:docPr id="12"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4264A50" w14:textId="77777777" w:rsidR="005A1FE3" w:rsidRDefault="005A1FE3" w:rsidP="00A80AB5">
      <w:pPr>
        <w:spacing w:after="0"/>
        <w:jc w:val="center"/>
      </w:pPr>
    </w:p>
    <w:p w14:paraId="57B26369" w14:textId="77777777" w:rsidR="005A1FE3" w:rsidRDefault="005A1FE3" w:rsidP="00A80AB5">
      <w:pPr>
        <w:spacing w:after="0"/>
        <w:jc w:val="center"/>
      </w:pPr>
    </w:p>
    <w:p w14:paraId="719C96DF" w14:textId="77777777" w:rsidR="005A1FE3" w:rsidRPr="00321EB5" w:rsidRDefault="005A1FE3" w:rsidP="005A1FE3">
      <w:pPr>
        <w:ind w:firstLine="720"/>
        <w:contextualSpacing/>
        <w:rPr>
          <w:rFonts w:cs="Times New Roman"/>
          <w:b/>
          <w:bCs/>
          <w:color w:val="000000" w:themeColor="text1"/>
          <w:lang w:val="en-US"/>
        </w:rPr>
      </w:pPr>
      <w:r w:rsidRPr="00321EB5">
        <w:rPr>
          <w:rFonts w:cs="Times New Roman"/>
          <w:b/>
          <w:bCs/>
          <w:color w:val="000000" w:themeColor="text1"/>
          <w:lang w:val="en-US"/>
        </w:rPr>
        <w:t>STUDENT NAME: Madalina Nagy</w:t>
      </w:r>
    </w:p>
    <w:p w14:paraId="1F54E026" w14:textId="77777777" w:rsidR="005A1FE3" w:rsidRPr="00321EB5" w:rsidRDefault="005A1FE3" w:rsidP="005A1FE3">
      <w:pPr>
        <w:ind w:left="720"/>
        <w:contextualSpacing/>
        <w:rPr>
          <w:rFonts w:cs="Times New Roman"/>
          <w:color w:val="000000" w:themeColor="text1"/>
        </w:rPr>
      </w:pPr>
      <w:r w:rsidRPr="00321EB5">
        <w:rPr>
          <w:rFonts w:cs="Times New Roman"/>
          <w:b/>
          <w:bCs/>
          <w:color w:val="000000" w:themeColor="text1"/>
          <w:lang w:val="en-US"/>
        </w:rPr>
        <w:t>STUDENT NUMBER: 2019619</w:t>
      </w:r>
    </w:p>
    <w:p w14:paraId="1627E474" w14:textId="28D88229" w:rsidR="005A1FE3" w:rsidRPr="00321EB5" w:rsidRDefault="005A1FE3" w:rsidP="005A1FE3">
      <w:pPr>
        <w:ind w:left="720"/>
        <w:contextualSpacing/>
        <w:rPr>
          <w:rFonts w:cs="Times New Roman"/>
          <w:color w:val="000000" w:themeColor="text1"/>
        </w:rPr>
      </w:pPr>
      <w:r w:rsidRPr="00321EB5">
        <w:rPr>
          <w:rFonts w:cs="Times New Roman"/>
          <w:b/>
          <w:bCs/>
          <w:color w:val="000000" w:themeColor="text1"/>
          <w:lang w:val="en-US"/>
        </w:rPr>
        <w:t xml:space="preserve">MODULE CODE: </w:t>
      </w:r>
      <w:r w:rsidRPr="00321EB5">
        <w:rPr>
          <w:rFonts w:cs="Times New Roman"/>
          <w:b/>
        </w:rPr>
        <w:t>BMMB7</w:t>
      </w:r>
      <w:r w:rsidR="00D86C46">
        <w:rPr>
          <w:rFonts w:cs="Times New Roman"/>
          <w:b/>
        </w:rPr>
        <w:t>005</w:t>
      </w:r>
    </w:p>
    <w:p w14:paraId="098A4FFC" w14:textId="5A1210E1" w:rsidR="005A1FE3" w:rsidRPr="00945FA2" w:rsidRDefault="005A1FE3" w:rsidP="00945FA2">
      <w:pPr>
        <w:ind w:left="720"/>
        <w:contextualSpacing/>
        <w:rPr>
          <w:rFonts w:cs="Times New Roman"/>
          <w:color w:val="000000" w:themeColor="text1"/>
        </w:rPr>
      </w:pPr>
      <w:r w:rsidRPr="00321EB5">
        <w:rPr>
          <w:rFonts w:cs="Times New Roman"/>
          <w:b/>
          <w:bCs/>
          <w:color w:val="000000" w:themeColor="text1"/>
          <w:lang w:val="en-US"/>
        </w:rPr>
        <w:t>MODULE NAME:</w:t>
      </w:r>
      <w:r w:rsidR="00D86C46">
        <w:rPr>
          <w:rFonts w:cs="Times New Roman"/>
          <w:b/>
          <w:bCs/>
          <w:color w:val="000000" w:themeColor="text1"/>
          <w:lang w:val="en-US"/>
        </w:rPr>
        <w:t xml:space="preserve"> FINANCE FOR BUSINESS MANAGERS</w:t>
      </w:r>
    </w:p>
    <w:p w14:paraId="1A2B31BE" w14:textId="77777777" w:rsidR="005A1FE3" w:rsidRPr="00321EB5" w:rsidRDefault="005A1FE3" w:rsidP="005A1FE3">
      <w:pPr>
        <w:rPr>
          <w:rFonts w:cs="Times New Roman"/>
        </w:rPr>
      </w:pPr>
    </w:p>
    <w:p w14:paraId="06200C89" w14:textId="33D67764" w:rsidR="005A1FE3" w:rsidRPr="00321EB5" w:rsidRDefault="005A1FE3" w:rsidP="005A1FE3">
      <w:pPr>
        <w:ind w:left="4320" w:firstLine="720"/>
        <w:jc w:val="center"/>
        <w:rPr>
          <w:rFonts w:cs="Times New Roman"/>
          <w:b/>
          <w:bCs/>
        </w:rPr>
      </w:pPr>
      <w:r w:rsidRPr="00321EB5">
        <w:rPr>
          <w:rFonts w:cs="Times New Roman"/>
          <w:b/>
          <w:bCs/>
        </w:rPr>
        <w:t xml:space="preserve">Lecturer: </w:t>
      </w:r>
      <w:r w:rsidR="00D86C46">
        <w:rPr>
          <w:rFonts w:cs="Times New Roman"/>
          <w:b/>
        </w:rPr>
        <w:t>Marie Pitson</w:t>
      </w:r>
    </w:p>
    <w:p w14:paraId="168D9453" w14:textId="77777777" w:rsidR="005A1FE3" w:rsidRDefault="005A1FE3" w:rsidP="005A1FE3">
      <w:pPr>
        <w:rPr>
          <w:rFonts w:eastAsia="Times New Roman" w:cs="Times New Roman"/>
        </w:rPr>
      </w:pPr>
    </w:p>
    <w:p w14:paraId="2920B3EC" w14:textId="77777777" w:rsidR="00945FA2" w:rsidRDefault="00945FA2" w:rsidP="005A1FE3">
      <w:pPr>
        <w:rPr>
          <w:rFonts w:eastAsia="Times New Roman" w:cs="Times New Roman"/>
        </w:rPr>
      </w:pPr>
    </w:p>
    <w:p w14:paraId="5A731690" w14:textId="32B09F60" w:rsidR="00945FA2" w:rsidRPr="00945FA2" w:rsidRDefault="00945FA2" w:rsidP="00F37557">
      <w:pPr>
        <w:jc w:val="center"/>
        <w:rPr>
          <w:rFonts w:eastAsia="Times New Roman" w:cs="Times New Roman"/>
        </w:rPr>
      </w:pPr>
      <w:r w:rsidRPr="00945FA2">
        <w:drawing>
          <wp:inline distT="0" distB="0" distL="0" distR="0" wp14:anchorId="750F89B6" wp14:editId="7F279FA0">
            <wp:extent cx="5731510" cy="583565"/>
            <wp:effectExtent l="0" t="0" r="0" b="0"/>
            <wp:docPr id="1564482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83565"/>
                    </a:xfrm>
                    <a:prstGeom prst="rect">
                      <a:avLst/>
                    </a:prstGeom>
                    <a:noFill/>
                    <a:ln>
                      <a:noFill/>
                    </a:ln>
                  </pic:spPr>
                </pic:pic>
              </a:graphicData>
            </a:graphic>
          </wp:inline>
        </w:drawing>
      </w:r>
    </w:p>
    <w:p w14:paraId="2776D235" w14:textId="77777777" w:rsidR="00FE216C" w:rsidRDefault="00FE216C" w:rsidP="00A80AB5">
      <w:pPr>
        <w:spacing w:after="0"/>
        <w:jc w:val="center"/>
      </w:pPr>
    </w:p>
    <w:p w14:paraId="7B1E2BB0" w14:textId="77777777" w:rsidR="00FE216C" w:rsidRPr="00FE216C" w:rsidRDefault="00FE216C" w:rsidP="00FE216C">
      <w:pPr>
        <w:spacing w:after="0"/>
        <w:jc w:val="center"/>
        <w:rPr>
          <w:b/>
          <w:bCs/>
          <w:sz w:val="28"/>
          <w:szCs w:val="28"/>
        </w:rPr>
      </w:pPr>
      <w:r w:rsidRPr="00FE216C">
        <w:rPr>
          <w:b/>
          <w:bCs/>
          <w:color w:val="548DD4" w:themeColor="text2" w:themeTint="99"/>
          <w:sz w:val="28"/>
          <w:szCs w:val="28"/>
        </w:rPr>
        <w:lastRenderedPageBreak/>
        <w:t>BUSINESS REPORT OF ASTRAZENECA PLC</w:t>
      </w:r>
      <w:bookmarkStart w:id="0" w:name="_Toc187391798"/>
    </w:p>
    <w:p w14:paraId="53BBD485" w14:textId="77777777" w:rsidR="00FE216C" w:rsidRDefault="00FE216C" w:rsidP="00FE216C">
      <w:pPr>
        <w:spacing w:after="0"/>
        <w:jc w:val="center"/>
        <w:rPr>
          <w:b/>
          <w:bCs/>
        </w:rPr>
      </w:pPr>
    </w:p>
    <w:p w14:paraId="6AF37D54" w14:textId="77777777" w:rsidR="00FE216C" w:rsidRDefault="00FE216C" w:rsidP="00FE216C">
      <w:pPr>
        <w:spacing w:after="0"/>
        <w:jc w:val="left"/>
        <w:rPr>
          <w:b/>
          <w:bCs/>
        </w:rPr>
      </w:pPr>
    </w:p>
    <w:p w14:paraId="1B4E6E52" w14:textId="67D4D4C5" w:rsidR="002C78AD" w:rsidRPr="00FE216C" w:rsidRDefault="002604AF" w:rsidP="00FE216C">
      <w:pPr>
        <w:spacing w:after="0"/>
        <w:jc w:val="left"/>
        <w:rPr>
          <w:b/>
          <w:bCs/>
          <w:sz w:val="28"/>
          <w:szCs w:val="28"/>
        </w:rPr>
      </w:pPr>
      <w:r w:rsidRPr="00FE216C">
        <w:rPr>
          <w:b/>
          <w:bCs/>
          <w:sz w:val="28"/>
          <w:szCs w:val="28"/>
        </w:rPr>
        <w:t>Executive Summary</w:t>
      </w:r>
      <w:bookmarkEnd w:id="0"/>
    </w:p>
    <w:p w14:paraId="3D147FB3" w14:textId="77777777" w:rsidR="00FE216C" w:rsidRPr="00FE216C" w:rsidRDefault="00FE216C" w:rsidP="00FE216C">
      <w:pPr>
        <w:spacing w:after="0"/>
        <w:jc w:val="left"/>
        <w:rPr>
          <w:b/>
          <w:bCs/>
          <w:color w:val="548DD4" w:themeColor="text2" w:themeTint="99"/>
        </w:rPr>
      </w:pPr>
    </w:p>
    <w:p w14:paraId="2AEAFCDB" w14:textId="77777777" w:rsidR="003554B7" w:rsidRDefault="002604AF" w:rsidP="002C78AD">
      <w:r>
        <w:t>The pages below contained a report that aimed to express and provide a succinct and insightful discussion on the review of the</w:t>
      </w:r>
      <w:r w:rsidR="00B23E8B">
        <w:t xml:space="preserve"> economic performance of </w:t>
      </w:r>
      <w:r>
        <w:t xml:space="preserve">AstraZeneca Plc. The empirical insights provided in the report were based on the overall computation of the </w:t>
      </w:r>
      <w:r w:rsidR="00B23E8B">
        <w:t>ratios related to the enterprise</w:t>
      </w:r>
      <w:r>
        <w:t xml:space="preserve">. </w:t>
      </w:r>
    </w:p>
    <w:p w14:paraId="13F338D3" w14:textId="77777777" w:rsidR="000E794A" w:rsidRDefault="002604AF" w:rsidP="002C78AD">
      <w:r>
        <w:t>The annual report of the year 2023 was accessed for the purpose of calculating ten different financial ratios for the years 2022 and 2023 for the company. The obtained calculations and figures were then used in conjuction with scholarly material available online to evaluate the current state of affairs and the trend in the ratios by the organisation. Suitabl</w:t>
      </w:r>
      <w:r w:rsidR="00FB119B">
        <w:t xml:space="preserve">e decisions about the economic well-being of Astrazeneca </w:t>
      </w:r>
      <w:r>
        <w:t xml:space="preserve">were also made </w:t>
      </w:r>
      <w:r w:rsidR="00A429B0">
        <w:t xml:space="preserve">based on such analysis. </w:t>
      </w:r>
    </w:p>
    <w:p w14:paraId="74D7B344" w14:textId="77777777" w:rsidR="000A131B" w:rsidRDefault="002604AF" w:rsidP="002C78AD">
      <w:r>
        <w:t xml:space="preserve">Once the analysis part was done, the report discussed several limitations </w:t>
      </w:r>
      <w:r w:rsidR="00FB119B">
        <w:t xml:space="preserve">related to ration analysis </w:t>
      </w:r>
      <w:r w:rsidR="00967B44">
        <w:t xml:space="preserve">and the implications of such limitations. Finally, suitable recommendations were provided to AstraZeneca based on obtained results to help improve financial management in the future. </w:t>
      </w:r>
      <w:r w:rsidR="00947EB6">
        <w:t xml:space="preserve">The recommendations were based on various results obtained from the analysis of the </w:t>
      </w:r>
      <w:r w:rsidR="00B4672C">
        <w:t xml:space="preserve">ratios and the range of aspects associated with the financial standing of the enterprise. </w:t>
      </w:r>
      <w:r w:rsidR="009420D5">
        <w:t>The report was wound up by including several types of findings obtained from different</w:t>
      </w:r>
      <w:r w:rsidR="00722835">
        <w:t xml:space="preserve"> sections in a succinct manner. </w:t>
      </w:r>
      <w:r>
        <w:br w:type="page"/>
      </w:r>
    </w:p>
    <w:sdt>
      <w:sdtPr>
        <w:rPr>
          <w:rFonts w:ascii="Calibri" w:eastAsiaTheme="minorHAnsi" w:hAnsi="Calibri" w:cstheme="minorBidi"/>
          <w:b w:val="0"/>
          <w:bCs w:val="0"/>
          <w:noProof/>
          <w:color w:val="auto"/>
          <w:sz w:val="24"/>
          <w:szCs w:val="22"/>
          <w:lang w:val="en-GB"/>
        </w:rPr>
        <w:id w:val="14423713"/>
        <w:docPartObj>
          <w:docPartGallery w:val="Table of Contents"/>
          <w:docPartUnique/>
        </w:docPartObj>
      </w:sdtPr>
      <w:sdtEndPr/>
      <w:sdtContent>
        <w:p w14:paraId="120535E3" w14:textId="77777777" w:rsidR="000A131B" w:rsidRDefault="002604AF">
          <w:pPr>
            <w:pStyle w:val="TOCHeading"/>
            <w:rPr>
              <w:rFonts w:ascii="Calibri" w:hAnsi="Calibri" w:cs="Calibri"/>
              <w:color w:val="548DD4" w:themeColor="text2" w:themeTint="99"/>
              <w:sz w:val="32"/>
              <w:szCs w:val="32"/>
            </w:rPr>
          </w:pPr>
          <w:r w:rsidRPr="00241411">
            <w:rPr>
              <w:rFonts w:ascii="Calibri" w:hAnsi="Calibri" w:cs="Calibri"/>
              <w:color w:val="548DD4" w:themeColor="text2" w:themeTint="99"/>
              <w:sz w:val="32"/>
              <w:szCs w:val="32"/>
            </w:rPr>
            <w:t>Table of Contents</w:t>
          </w:r>
        </w:p>
        <w:p w14:paraId="74534BD8" w14:textId="77777777" w:rsidR="00241411" w:rsidRPr="00241411" w:rsidRDefault="00241411" w:rsidP="00241411">
          <w:pPr>
            <w:rPr>
              <w:lang w:val="en-US"/>
            </w:rPr>
          </w:pPr>
        </w:p>
        <w:p w14:paraId="33D6445E" w14:textId="304267E2" w:rsidR="000F7042" w:rsidRDefault="00DB3372">
          <w:pPr>
            <w:pStyle w:val="TOC1"/>
            <w:tabs>
              <w:tab w:val="right" w:leader="dot" w:pos="9016"/>
            </w:tabs>
            <w:rPr>
              <w:rFonts w:asciiTheme="minorHAnsi" w:eastAsiaTheme="minorEastAsia" w:hAnsiTheme="minorHAnsi"/>
              <w:kern w:val="2"/>
              <w:szCs w:val="24"/>
              <w:lang w:eastAsia="en-GB"/>
              <w14:ligatures w14:val="standardContextual"/>
            </w:rPr>
          </w:pPr>
          <w:r>
            <w:fldChar w:fldCharType="begin"/>
          </w:r>
          <w:r w:rsidR="002604AF">
            <w:instrText xml:space="preserve"> TOC \o "1-3" \h \z \u </w:instrText>
          </w:r>
          <w:r>
            <w:fldChar w:fldCharType="separate"/>
          </w:r>
          <w:hyperlink w:anchor="_Toc187391798" w:history="1">
            <w:r w:rsidR="000F7042" w:rsidRPr="00544CF8">
              <w:rPr>
                <w:rStyle w:val="Hyperlink"/>
              </w:rPr>
              <w:t>Executive Summary</w:t>
            </w:r>
            <w:r w:rsidR="000F7042">
              <w:rPr>
                <w:webHidden/>
              </w:rPr>
              <w:tab/>
            </w:r>
            <w:r w:rsidR="000F7042">
              <w:rPr>
                <w:webHidden/>
              </w:rPr>
              <w:fldChar w:fldCharType="begin"/>
            </w:r>
            <w:r w:rsidR="000F7042">
              <w:rPr>
                <w:webHidden/>
              </w:rPr>
              <w:instrText xml:space="preserve"> PAGEREF _Toc187391798 \h </w:instrText>
            </w:r>
            <w:r w:rsidR="000F7042">
              <w:rPr>
                <w:webHidden/>
              </w:rPr>
            </w:r>
            <w:r w:rsidR="000F7042">
              <w:rPr>
                <w:webHidden/>
              </w:rPr>
              <w:fldChar w:fldCharType="separate"/>
            </w:r>
            <w:r w:rsidR="000E57E8">
              <w:rPr>
                <w:webHidden/>
              </w:rPr>
              <w:t>2</w:t>
            </w:r>
            <w:r w:rsidR="000F7042">
              <w:rPr>
                <w:webHidden/>
              </w:rPr>
              <w:fldChar w:fldCharType="end"/>
            </w:r>
          </w:hyperlink>
        </w:p>
        <w:p w14:paraId="3E098F4F" w14:textId="6419F18A" w:rsidR="000F7042" w:rsidRDefault="000F7042">
          <w:pPr>
            <w:pStyle w:val="TOC1"/>
            <w:tabs>
              <w:tab w:val="right" w:leader="dot" w:pos="9016"/>
            </w:tabs>
            <w:rPr>
              <w:rFonts w:asciiTheme="minorHAnsi" w:eastAsiaTheme="minorEastAsia" w:hAnsiTheme="minorHAnsi"/>
              <w:kern w:val="2"/>
              <w:szCs w:val="24"/>
              <w:lang w:eastAsia="en-GB"/>
              <w14:ligatures w14:val="standardContextual"/>
            </w:rPr>
          </w:pPr>
          <w:hyperlink w:anchor="_Toc187391799" w:history="1">
            <w:r w:rsidRPr="00544CF8">
              <w:rPr>
                <w:rStyle w:val="Hyperlink"/>
              </w:rPr>
              <w:t>Introduction</w:t>
            </w:r>
            <w:r>
              <w:rPr>
                <w:webHidden/>
              </w:rPr>
              <w:tab/>
            </w:r>
            <w:r>
              <w:rPr>
                <w:webHidden/>
              </w:rPr>
              <w:fldChar w:fldCharType="begin"/>
            </w:r>
            <w:r>
              <w:rPr>
                <w:webHidden/>
              </w:rPr>
              <w:instrText xml:space="preserve"> PAGEREF _Toc187391799 \h </w:instrText>
            </w:r>
            <w:r>
              <w:rPr>
                <w:webHidden/>
              </w:rPr>
            </w:r>
            <w:r>
              <w:rPr>
                <w:webHidden/>
              </w:rPr>
              <w:fldChar w:fldCharType="separate"/>
            </w:r>
            <w:r w:rsidR="000E57E8">
              <w:rPr>
                <w:webHidden/>
              </w:rPr>
              <w:t>4</w:t>
            </w:r>
            <w:r>
              <w:rPr>
                <w:webHidden/>
              </w:rPr>
              <w:fldChar w:fldCharType="end"/>
            </w:r>
          </w:hyperlink>
        </w:p>
        <w:p w14:paraId="0FCB9647" w14:textId="01A9641F" w:rsidR="000F7042" w:rsidRDefault="000F7042">
          <w:pPr>
            <w:pStyle w:val="TOC1"/>
            <w:tabs>
              <w:tab w:val="right" w:leader="dot" w:pos="9016"/>
            </w:tabs>
            <w:rPr>
              <w:rFonts w:asciiTheme="minorHAnsi" w:eastAsiaTheme="minorEastAsia" w:hAnsiTheme="minorHAnsi"/>
              <w:kern w:val="2"/>
              <w:szCs w:val="24"/>
              <w:lang w:eastAsia="en-GB"/>
              <w14:ligatures w14:val="standardContextual"/>
            </w:rPr>
          </w:pPr>
          <w:hyperlink w:anchor="_Toc187391800" w:history="1">
            <w:r w:rsidRPr="00544CF8">
              <w:rPr>
                <w:rStyle w:val="Hyperlink"/>
              </w:rPr>
              <w:t>Critical evaluation of the financial ratios</w:t>
            </w:r>
            <w:r>
              <w:rPr>
                <w:webHidden/>
              </w:rPr>
              <w:tab/>
            </w:r>
            <w:r>
              <w:rPr>
                <w:webHidden/>
              </w:rPr>
              <w:fldChar w:fldCharType="begin"/>
            </w:r>
            <w:r>
              <w:rPr>
                <w:webHidden/>
              </w:rPr>
              <w:instrText xml:space="preserve"> PAGEREF _Toc187391800 \h </w:instrText>
            </w:r>
            <w:r>
              <w:rPr>
                <w:webHidden/>
              </w:rPr>
            </w:r>
            <w:r>
              <w:rPr>
                <w:webHidden/>
              </w:rPr>
              <w:fldChar w:fldCharType="separate"/>
            </w:r>
            <w:r w:rsidR="000E57E8">
              <w:rPr>
                <w:webHidden/>
              </w:rPr>
              <w:t>5</w:t>
            </w:r>
            <w:r>
              <w:rPr>
                <w:webHidden/>
              </w:rPr>
              <w:fldChar w:fldCharType="end"/>
            </w:r>
          </w:hyperlink>
        </w:p>
        <w:p w14:paraId="1050EDB3" w14:textId="7AD591CA" w:rsidR="000F7042" w:rsidRDefault="000F7042">
          <w:pPr>
            <w:pStyle w:val="TOC2"/>
            <w:tabs>
              <w:tab w:val="right" w:leader="dot" w:pos="9016"/>
            </w:tabs>
            <w:rPr>
              <w:rFonts w:asciiTheme="minorHAnsi" w:eastAsiaTheme="minorEastAsia" w:hAnsiTheme="minorHAnsi"/>
              <w:kern w:val="2"/>
              <w:szCs w:val="24"/>
              <w:lang w:eastAsia="en-GB"/>
              <w14:ligatures w14:val="standardContextual"/>
            </w:rPr>
          </w:pPr>
          <w:hyperlink w:anchor="_Toc187391801" w:history="1">
            <w:r w:rsidRPr="00544CF8">
              <w:rPr>
                <w:rStyle w:val="Hyperlink"/>
              </w:rPr>
              <w:t>Profitability Ratios</w:t>
            </w:r>
            <w:r>
              <w:rPr>
                <w:webHidden/>
              </w:rPr>
              <w:tab/>
            </w:r>
            <w:r>
              <w:rPr>
                <w:webHidden/>
              </w:rPr>
              <w:fldChar w:fldCharType="begin"/>
            </w:r>
            <w:r>
              <w:rPr>
                <w:webHidden/>
              </w:rPr>
              <w:instrText xml:space="preserve"> PAGEREF _Toc187391801 \h </w:instrText>
            </w:r>
            <w:r>
              <w:rPr>
                <w:webHidden/>
              </w:rPr>
            </w:r>
            <w:r>
              <w:rPr>
                <w:webHidden/>
              </w:rPr>
              <w:fldChar w:fldCharType="separate"/>
            </w:r>
            <w:r w:rsidR="000E57E8">
              <w:rPr>
                <w:webHidden/>
              </w:rPr>
              <w:t>5</w:t>
            </w:r>
            <w:r>
              <w:rPr>
                <w:webHidden/>
              </w:rPr>
              <w:fldChar w:fldCharType="end"/>
            </w:r>
          </w:hyperlink>
        </w:p>
        <w:p w14:paraId="0BBB9F95" w14:textId="45E5914E" w:rsidR="000F7042" w:rsidRDefault="000F7042">
          <w:pPr>
            <w:pStyle w:val="TOC2"/>
            <w:tabs>
              <w:tab w:val="right" w:leader="dot" w:pos="9016"/>
            </w:tabs>
            <w:rPr>
              <w:rFonts w:asciiTheme="minorHAnsi" w:eastAsiaTheme="minorEastAsia" w:hAnsiTheme="minorHAnsi"/>
              <w:kern w:val="2"/>
              <w:szCs w:val="24"/>
              <w:lang w:eastAsia="en-GB"/>
              <w14:ligatures w14:val="standardContextual"/>
            </w:rPr>
          </w:pPr>
          <w:hyperlink w:anchor="_Toc187391802" w:history="1">
            <w:r w:rsidRPr="00544CF8">
              <w:rPr>
                <w:rStyle w:val="Hyperlink"/>
              </w:rPr>
              <w:t>Liquidity Ratios</w:t>
            </w:r>
            <w:r>
              <w:rPr>
                <w:webHidden/>
              </w:rPr>
              <w:tab/>
            </w:r>
            <w:r w:rsidR="005279D9">
              <w:rPr>
                <w:webHidden/>
              </w:rPr>
              <w:t>6</w:t>
            </w:r>
          </w:hyperlink>
        </w:p>
        <w:p w14:paraId="37E5C968" w14:textId="2460C40A" w:rsidR="000F7042" w:rsidRDefault="000F7042">
          <w:pPr>
            <w:pStyle w:val="TOC2"/>
            <w:tabs>
              <w:tab w:val="right" w:leader="dot" w:pos="9016"/>
            </w:tabs>
            <w:rPr>
              <w:rFonts w:asciiTheme="minorHAnsi" w:eastAsiaTheme="minorEastAsia" w:hAnsiTheme="minorHAnsi"/>
              <w:kern w:val="2"/>
              <w:szCs w:val="24"/>
              <w:lang w:eastAsia="en-GB"/>
              <w14:ligatures w14:val="standardContextual"/>
            </w:rPr>
          </w:pPr>
          <w:hyperlink w:anchor="_Toc187391803" w:history="1">
            <w:r w:rsidRPr="00544CF8">
              <w:rPr>
                <w:rStyle w:val="Hyperlink"/>
              </w:rPr>
              <w:t>Gearing Ratios</w:t>
            </w:r>
            <w:r>
              <w:rPr>
                <w:webHidden/>
              </w:rPr>
              <w:tab/>
            </w:r>
            <w:r w:rsidR="005279D9">
              <w:rPr>
                <w:webHidden/>
              </w:rPr>
              <w:t>7</w:t>
            </w:r>
          </w:hyperlink>
        </w:p>
        <w:p w14:paraId="056C700E" w14:textId="488D626E" w:rsidR="000F7042" w:rsidRDefault="000F7042">
          <w:pPr>
            <w:pStyle w:val="TOC2"/>
            <w:tabs>
              <w:tab w:val="right" w:leader="dot" w:pos="9016"/>
            </w:tabs>
            <w:rPr>
              <w:rFonts w:asciiTheme="minorHAnsi" w:eastAsiaTheme="minorEastAsia" w:hAnsiTheme="minorHAnsi"/>
              <w:kern w:val="2"/>
              <w:szCs w:val="24"/>
              <w:lang w:eastAsia="en-GB"/>
              <w14:ligatures w14:val="standardContextual"/>
            </w:rPr>
          </w:pPr>
          <w:hyperlink w:anchor="_Toc187391804" w:history="1">
            <w:r w:rsidRPr="00544CF8">
              <w:rPr>
                <w:rStyle w:val="Hyperlink"/>
              </w:rPr>
              <w:t>Efficiency Ratios</w:t>
            </w:r>
            <w:r>
              <w:rPr>
                <w:webHidden/>
              </w:rPr>
              <w:tab/>
            </w:r>
            <w:r w:rsidR="005279D9">
              <w:rPr>
                <w:webHidden/>
              </w:rPr>
              <w:t>9</w:t>
            </w:r>
          </w:hyperlink>
        </w:p>
        <w:p w14:paraId="2C137153" w14:textId="319EC435" w:rsidR="000F7042" w:rsidRDefault="000F7042">
          <w:pPr>
            <w:pStyle w:val="TOC2"/>
            <w:tabs>
              <w:tab w:val="right" w:leader="dot" w:pos="9016"/>
            </w:tabs>
            <w:rPr>
              <w:rFonts w:asciiTheme="minorHAnsi" w:eastAsiaTheme="minorEastAsia" w:hAnsiTheme="minorHAnsi"/>
              <w:kern w:val="2"/>
              <w:szCs w:val="24"/>
              <w:lang w:eastAsia="en-GB"/>
              <w14:ligatures w14:val="standardContextual"/>
            </w:rPr>
          </w:pPr>
          <w:hyperlink w:anchor="_Toc187391805" w:history="1">
            <w:r w:rsidRPr="00544CF8">
              <w:rPr>
                <w:rStyle w:val="Hyperlink"/>
              </w:rPr>
              <w:t>Investor Ratios</w:t>
            </w:r>
            <w:r>
              <w:rPr>
                <w:webHidden/>
              </w:rPr>
              <w:tab/>
            </w:r>
            <w:r>
              <w:rPr>
                <w:webHidden/>
              </w:rPr>
              <w:fldChar w:fldCharType="begin"/>
            </w:r>
            <w:r>
              <w:rPr>
                <w:webHidden/>
              </w:rPr>
              <w:instrText xml:space="preserve"> PAGEREF _Toc187391805 \h </w:instrText>
            </w:r>
            <w:r>
              <w:rPr>
                <w:webHidden/>
              </w:rPr>
            </w:r>
            <w:r>
              <w:rPr>
                <w:webHidden/>
              </w:rPr>
              <w:fldChar w:fldCharType="separate"/>
            </w:r>
            <w:r w:rsidR="000E57E8">
              <w:rPr>
                <w:webHidden/>
              </w:rPr>
              <w:t>10</w:t>
            </w:r>
            <w:r>
              <w:rPr>
                <w:webHidden/>
              </w:rPr>
              <w:fldChar w:fldCharType="end"/>
            </w:r>
          </w:hyperlink>
        </w:p>
        <w:p w14:paraId="00EF4563" w14:textId="6ECE9C64" w:rsidR="000F7042" w:rsidRDefault="000F7042">
          <w:pPr>
            <w:pStyle w:val="TOC1"/>
            <w:tabs>
              <w:tab w:val="right" w:leader="dot" w:pos="9016"/>
            </w:tabs>
            <w:rPr>
              <w:rFonts w:asciiTheme="minorHAnsi" w:eastAsiaTheme="minorEastAsia" w:hAnsiTheme="minorHAnsi"/>
              <w:kern w:val="2"/>
              <w:szCs w:val="24"/>
              <w:lang w:eastAsia="en-GB"/>
              <w14:ligatures w14:val="standardContextual"/>
            </w:rPr>
          </w:pPr>
          <w:hyperlink w:anchor="_Toc187391806" w:history="1">
            <w:r w:rsidRPr="00544CF8">
              <w:rPr>
                <w:rStyle w:val="Hyperlink"/>
              </w:rPr>
              <w:t>Limitations of Ratio Analysis</w:t>
            </w:r>
            <w:r>
              <w:rPr>
                <w:webHidden/>
              </w:rPr>
              <w:tab/>
            </w:r>
            <w:r>
              <w:rPr>
                <w:webHidden/>
              </w:rPr>
              <w:fldChar w:fldCharType="begin"/>
            </w:r>
            <w:r>
              <w:rPr>
                <w:webHidden/>
              </w:rPr>
              <w:instrText xml:space="preserve"> PAGEREF _Toc187391806 \h </w:instrText>
            </w:r>
            <w:r>
              <w:rPr>
                <w:webHidden/>
              </w:rPr>
            </w:r>
            <w:r>
              <w:rPr>
                <w:webHidden/>
              </w:rPr>
              <w:fldChar w:fldCharType="separate"/>
            </w:r>
            <w:r w:rsidR="000E57E8">
              <w:rPr>
                <w:webHidden/>
              </w:rPr>
              <w:t>12</w:t>
            </w:r>
            <w:r>
              <w:rPr>
                <w:webHidden/>
              </w:rPr>
              <w:fldChar w:fldCharType="end"/>
            </w:r>
          </w:hyperlink>
        </w:p>
        <w:p w14:paraId="76459E55" w14:textId="05ED9FA0" w:rsidR="000F7042" w:rsidRDefault="000F7042">
          <w:pPr>
            <w:pStyle w:val="TOC1"/>
            <w:tabs>
              <w:tab w:val="right" w:leader="dot" w:pos="9016"/>
            </w:tabs>
            <w:rPr>
              <w:rFonts w:asciiTheme="minorHAnsi" w:eastAsiaTheme="minorEastAsia" w:hAnsiTheme="minorHAnsi"/>
              <w:kern w:val="2"/>
              <w:szCs w:val="24"/>
              <w:lang w:eastAsia="en-GB"/>
              <w14:ligatures w14:val="standardContextual"/>
            </w:rPr>
          </w:pPr>
          <w:hyperlink w:anchor="_Toc187391807" w:history="1">
            <w:r w:rsidRPr="00544CF8">
              <w:rPr>
                <w:rStyle w:val="Hyperlink"/>
              </w:rPr>
              <w:t>Recommendations</w:t>
            </w:r>
            <w:r>
              <w:rPr>
                <w:webHidden/>
              </w:rPr>
              <w:tab/>
            </w:r>
            <w:r>
              <w:rPr>
                <w:webHidden/>
              </w:rPr>
              <w:fldChar w:fldCharType="begin"/>
            </w:r>
            <w:r>
              <w:rPr>
                <w:webHidden/>
              </w:rPr>
              <w:instrText xml:space="preserve"> PAGEREF _Toc187391807 \h </w:instrText>
            </w:r>
            <w:r>
              <w:rPr>
                <w:webHidden/>
              </w:rPr>
            </w:r>
            <w:r>
              <w:rPr>
                <w:webHidden/>
              </w:rPr>
              <w:fldChar w:fldCharType="separate"/>
            </w:r>
            <w:r w:rsidR="000E57E8">
              <w:rPr>
                <w:webHidden/>
              </w:rPr>
              <w:t>13</w:t>
            </w:r>
            <w:r>
              <w:rPr>
                <w:webHidden/>
              </w:rPr>
              <w:fldChar w:fldCharType="end"/>
            </w:r>
          </w:hyperlink>
        </w:p>
        <w:p w14:paraId="67D82BFF" w14:textId="22C2D6F8" w:rsidR="000F7042" w:rsidRDefault="000F7042">
          <w:pPr>
            <w:pStyle w:val="TOC1"/>
            <w:tabs>
              <w:tab w:val="right" w:leader="dot" w:pos="9016"/>
            </w:tabs>
            <w:rPr>
              <w:rFonts w:asciiTheme="minorHAnsi" w:eastAsiaTheme="minorEastAsia" w:hAnsiTheme="minorHAnsi"/>
              <w:kern w:val="2"/>
              <w:szCs w:val="24"/>
              <w:lang w:eastAsia="en-GB"/>
              <w14:ligatures w14:val="standardContextual"/>
            </w:rPr>
          </w:pPr>
          <w:hyperlink w:anchor="_Toc187391808" w:history="1">
            <w:r w:rsidRPr="00544CF8">
              <w:rPr>
                <w:rStyle w:val="Hyperlink"/>
              </w:rPr>
              <w:t>Conclusion</w:t>
            </w:r>
            <w:r>
              <w:rPr>
                <w:webHidden/>
              </w:rPr>
              <w:tab/>
            </w:r>
            <w:r>
              <w:rPr>
                <w:webHidden/>
              </w:rPr>
              <w:fldChar w:fldCharType="begin"/>
            </w:r>
            <w:r>
              <w:rPr>
                <w:webHidden/>
              </w:rPr>
              <w:instrText xml:space="preserve"> PAGEREF _Toc187391808 \h </w:instrText>
            </w:r>
            <w:r>
              <w:rPr>
                <w:webHidden/>
              </w:rPr>
            </w:r>
            <w:r>
              <w:rPr>
                <w:webHidden/>
              </w:rPr>
              <w:fldChar w:fldCharType="separate"/>
            </w:r>
            <w:r w:rsidR="000E57E8">
              <w:rPr>
                <w:webHidden/>
              </w:rPr>
              <w:t>14</w:t>
            </w:r>
            <w:r>
              <w:rPr>
                <w:webHidden/>
              </w:rPr>
              <w:fldChar w:fldCharType="end"/>
            </w:r>
          </w:hyperlink>
        </w:p>
        <w:p w14:paraId="6B1CCA73" w14:textId="3310FEAA" w:rsidR="000F7042" w:rsidRDefault="000F7042">
          <w:pPr>
            <w:pStyle w:val="TOC1"/>
            <w:tabs>
              <w:tab w:val="right" w:leader="dot" w:pos="9016"/>
            </w:tabs>
            <w:rPr>
              <w:rFonts w:asciiTheme="minorHAnsi" w:eastAsiaTheme="minorEastAsia" w:hAnsiTheme="minorHAnsi"/>
              <w:kern w:val="2"/>
              <w:szCs w:val="24"/>
              <w:lang w:eastAsia="en-GB"/>
              <w14:ligatures w14:val="standardContextual"/>
            </w:rPr>
          </w:pPr>
          <w:hyperlink w:anchor="_Toc187391809" w:history="1">
            <w:r w:rsidRPr="00544CF8">
              <w:rPr>
                <w:rStyle w:val="Hyperlink"/>
              </w:rPr>
              <w:t>References</w:t>
            </w:r>
            <w:r>
              <w:rPr>
                <w:webHidden/>
              </w:rPr>
              <w:tab/>
            </w:r>
            <w:r>
              <w:rPr>
                <w:webHidden/>
              </w:rPr>
              <w:fldChar w:fldCharType="begin"/>
            </w:r>
            <w:r>
              <w:rPr>
                <w:webHidden/>
              </w:rPr>
              <w:instrText xml:space="preserve"> PAGEREF _Toc187391809 \h </w:instrText>
            </w:r>
            <w:r>
              <w:rPr>
                <w:webHidden/>
              </w:rPr>
            </w:r>
            <w:r>
              <w:rPr>
                <w:webHidden/>
              </w:rPr>
              <w:fldChar w:fldCharType="separate"/>
            </w:r>
            <w:r w:rsidR="000E57E8">
              <w:rPr>
                <w:webHidden/>
              </w:rPr>
              <w:t>15</w:t>
            </w:r>
            <w:r>
              <w:rPr>
                <w:webHidden/>
              </w:rPr>
              <w:fldChar w:fldCharType="end"/>
            </w:r>
          </w:hyperlink>
        </w:p>
        <w:p w14:paraId="4A8F7E6F" w14:textId="33419983" w:rsidR="000F7042" w:rsidRDefault="000F7042">
          <w:pPr>
            <w:pStyle w:val="TOC1"/>
            <w:tabs>
              <w:tab w:val="right" w:leader="dot" w:pos="9016"/>
            </w:tabs>
            <w:rPr>
              <w:rFonts w:asciiTheme="minorHAnsi" w:eastAsiaTheme="minorEastAsia" w:hAnsiTheme="minorHAnsi"/>
              <w:kern w:val="2"/>
              <w:szCs w:val="24"/>
              <w:lang w:eastAsia="en-GB"/>
              <w14:ligatures w14:val="standardContextual"/>
            </w:rPr>
          </w:pPr>
          <w:hyperlink w:anchor="_Toc187391810" w:history="1">
            <w:r w:rsidRPr="00544CF8">
              <w:rPr>
                <w:rStyle w:val="Hyperlink"/>
              </w:rPr>
              <w:t>Appendix</w:t>
            </w:r>
            <w:r>
              <w:rPr>
                <w:webHidden/>
              </w:rPr>
              <w:tab/>
            </w:r>
            <w:r w:rsidR="005279D9">
              <w:rPr>
                <w:webHidden/>
              </w:rPr>
              <w:t>18</w:t>
            </w:r>
          </w:hyperlink>
        </w:p>
        <w:p w14:paraId="7DF24E73" w14:textId="1AE1864D" w:rsidR="000F7042" w:rsidRDefault="000F7042">
          <w:pPr>
            <w:pStyle w:val="TOC2"/>
            <w:tabs>
              <w:tab w:val="right" w:leader="dot" w:pos="9016"/>
            </w:tabs>
            <w:rPr>
              <w:rFonts w:asciiTheme="minorHAnsi" w:eastAsiaTheme="minorEastAsia" w:hAnsiTheme="minorHAnsi"/>
              <w:kern w:val="2"/>
              <w:szCs w:val="24"/>
              <w:lang w:eastAsia="en-GB"/>
              <w14:ligatures w14:val="standardContextual"/>
            </w:rPr>
          </w:pPr>
          <w:hyperlink w:anchor="_Toc187391811" w:history="1">
            <w:r w:rsidRPr="00544CF8">
              <w:rPr>
                <w:rStyle w:val="Hyperlink"/>
              </w:rPr>
              <w:t>Financial Statements of AstraZeneca</w:t>
            </w:r>
            <w:r>
              <w:rPr>
                <w:webHidden/>
              </w:rPr>
              <w:tab/>
            </w:r>
            <w:r w:rsidR="005279D9">
              <w:rPr>
                <w:webHidden/>
              </w:rPr>
              <w:t>18</w:t>
            </w:r>
          </w:hyperlink>
        </w:p>
        <w:p w14:paraId="53B881B8" w14:textId="4D8A3C67" w:rsidR="000F7042" w:rsidRDefault="000F7042">
          <w:pPr>
            <w:pStyle w:val="TOC2"/>
            <w:tabs>
              <w:tab w:val="right" w:leader="dot" w:pos="9016"/>
            </w:tabs>
            <w:rPr>
              <w:rFonts w:asciiTheme="minorHAnsi" w:eastAsiaTheme="minorEastAsia" w:hAnsiTheme="minorHAnsi"/>
              <w:kern w:val="2"/>
              <w:szCs w:val="24"/>
              <w:lang w:eastAsia="en-GB"/>
              <w14:ligatures w14:val="standardContextual"/>
            </w:rPr>
          </w:pPr>
          <w:hyperlink w:anchor="_Toc187391812" w:history="1">
            <w:r w:rsidRPr="00544CF8">
              <w:rPr>
                <w:rStyle w:val="Hyperlink"/>
              </w:rPr>
              <w:t>Calculation of Ratios</w:t>
            </w:r>
            <w:r>
              <w:rPr>
                <w:webHidden/>
              </w:rPr>
              <w:tab/>
            </w:r>
            <w:r>
              <w:rPr>
                <w:webHidden/>
              </w:rPr>
              <w:fldChar w:fldCharType="begin"/>
            </w:r>
            <w:r>
              <w:rPr>
                <w:webHidden/>
              </w:rPr>
              <w:instrText xml:space="preserve"> PAGEREF _Toc187391812 \h </w:instrText>
            </w:r>
            <w:r>
              <w:rPr>
                <w:webHidden/>
              </w:rPr>
            </w:r>
            <w:r>
              <w:rPr>
                <w:webHidden/>
              </w:rPr>
              <w:fldChar w:fldCharType="separate"/>
            </w:r>
            <w:r w:rsidR="000E57E8">
              <w:rPr>
                <w:webHidden/>
              </w:rPr>
              <w:t>20</w:t>
            </w:r>
            <w:r>
              <w:rPr>
                <w:webHidden/>
              </w:rPr>
              <w:fldChar w:fldCharType="end"/>
            </w:r>
          </w:hyperlink>
        </w:p>
        <w:p w14:paraId="691F4355" w14:textId="68555811" w:rsidR="000A131B" w:rsidRDefault="00DB3372">
          <w:r>
            <w:fldChar w:fldCharType="end"/>
          </w:r>
        </w:p>
      </w:sdtContent>
    </w:sdt>
    <w:p w14:paraId="6F66FFC6" w14:textId="77777777" w:rsidR="000A131B" w:rsidRDefault="002604AF">
      <w:pPr>
        <w:spacing w:after="0"/>
        <w:rPr>
          <w:rFonts w:eastAsiaTheme="majorEastAsia" w:cstheme="majorBidi"/>
          <w:b/>
          <w:bCs/>
          <w:sz w:val="28"/>
          <w:szCs w:val="28"/>
        </w:rPr>
      </w:pPr>
      <w:r>
        <w:br w:type="page"/>
      </w:r>
    </w:p>
    <w:p w14:paraId="5D6F3E59" w14:textId="77777777" w:rsidR="00233C81" w:rsidRDefault="002604AF" w:rsidP="005739DC">
      <w:pPr>
        <w:pStyle w:val="Heading1"/>
      </w:pPr>
      <w:bookmarkStart w:id="1" w:name="_Toc187391799"/>
      <w:r>
        <w:lastRenderedPageBreak/>
        <w:t>Introduction</w:t>
      </w:r>
      <w:bookmarkEnd w:id="1"/>
    </w:p>
    <w:p w14:paraId="0FB7BA12" w14:textId="77777777" w:rsidR="005739DC" w:rsidRDefault="002604AF" w:rsidP="00715A31">
      <w:r>
        <w:t>Forbes (2024) informs that AstraZeneca Plc is one of the well-known companies in the UK. The company operates in the Drugs &amp; Biotechnology sector. The main operations of the company include research, development, and the production of pharmaceutical products. The main disease and therapy areas for which the pipeline of the company is used are metabolisms, therapy, renal, oncology, cardiovascular, and respiratory. Founded on June 17</w:t>
      </w:r>
      <w:r w:rsidRPr="00FA42E4">
        <w:rPr>
          <w:vertAlign w:val="superscript"/>
        </w:rPr>
        <w:t>th</w:t>
      </w:r>
      <w:r>
        <w:t xml:space="preserve">, 1992, the </w:t>
      </w:r>
      <w:r w:rsidR="004E6626">
        <w:t xml:space="preserve">company headquarters is situated </w:t>
      </w:r>
      <w:r>
        <w:t xml:space="preserve">in Cambridge, United Kingdom. Pascal Soriot is the CEO of the company. The </w:t>
      </w:r>
      <w:r w:rsidR="001B6AA5">
        <w:t>company employs a total of 1200 employees</w:t>
      </w:r>
      <w:r w:rsidR="00677A9A">
        <w:t xml:space="preserve">. </w:t>
      </w:r>
    </w:p>
    <w:p w14:paraId="166A00EF" w14:textId="77777777" w:rsidR="00E11BF0" w:rsidRDefault="002604AF" w:rsidP="00715A31">
      <w:r>
        <w:t xml:space="preserve">This report focuses on presenting the true financial state of affairs of AstraZeneca Plc. </w:t>
      </w:r>
      <w:r w:rsidR="00895763">
        <w:t>The tool that will be u</w:t>
      </w:r>
      <w:r w:rsidR="004E6626">
        <w:t>sed for analysing and exploring</w:t>
      </w:r>
      <w:r w:rsidR="00895763">
        <w:t xml:space="preserve"> the overall fina</w:t>
      </w:r>
      <w:r w:rsidR="004E6626">
        <w:t>l</w:t>
      </w:r>
      <w:r w:rsidR="00895763">
        <w:t xml:space="preserve"> statement of </w:t>
      </w:r>
      <w:r w:rsidR="004E6626">
        <w:t xml:space="preserve">Astrazeneca </w:t>
      </w:r>
      <w:r w:rsidR="00895763">
        <w:t xml:space="preserve">is ratio analysis. </w:t>
      </w:r>
      <w:r w:rsidR="00615A67">
        <w:t xml:space="preserve">According to CFI (2025) the term </w:t>
      </w:r>
      <w:r w:rsidR="00615A67" w:rsidRPr="005D5675">
        <w:rPr>
          <w:i/>
        </w:rPr>
        <w:t>“ratio analysis”</w:t>
      </w:r>
      <w:r w:rsidR="00615A67">
        <w:t xml:space="preserve"> is used to denote the </w:t>
      </w:r>
      <w:r w:rsidR="004E6626">
        <w:t xml:space="preserve">analysis </w:t>
      </w:r>
      <w:r w:rsidR="00615A67">
        <w:t>of the several parts of financial information contained i</w:t>
      </w:r>
      <w:r w:rsidR="005D5675">
        <w:t>n the annual accounts</w:t>
      </w:r>
      <w:r w:rsidR="00615A67">
        <w:t xml:space="preserve">. </w:t>
      </w:r>
      <w:r w:rsidR="005D5675">
        <w:t xml:space="preserve">A critical evaluation of several aspects of the monetary performance of the company will be presented. The possible reasons behind the changes in the financial ratio figures will be explained. </w:t>
      </w:r>
      <w:r w:rsidR="003A71BF">
        <w:t>In addition it, the possible limitations associated to the tool and techn</w:t>
      </w:r>
      <w:r w:rsidR="00EA72B5">
        <w:t>ique used to analyse the financial standing of Astrazeneca i.e. ratio analysis will be considered. Based on the obtained findings and the scrutiny of the possible causes behind the change in financial ratio figures</w:t>
      </w:r>
      <w:r w:rsidR="00CF7562">
        <w:t xml:space="preserve">, AstraZeneca will be provided with suitable recommendations </w:t>
      </w:r>
      <w:r w:rsidR="004E6626">
        <w:t xml:space="preserve">to uplift the overall </w:t>
      </w:r>
      <w:r w:rsidR="00CF7562">
        <w:t>management</w:t>
      </w:r>
      <w:r w:rsidR="004E6626">
        <w:t xml:space="preserve"> of finances</w:t>
      </w:r>
      <w:r w:rsidR="00CF7562">
        <w:t xml:space="preserve"> </w:t>
      </w:r>
      <w:r w:rsidR="00A363AC">
        <w:t xml:space="preserve">of the enterprise in the future. </w:t>
      </w:r>
    </w:p>
    <w:p w14:paraId="7BB293BB" w14:textId="77777777" w:rsidR="00B47927" w:rsidRDefault="002604AF">
      <w:pPr>
        <w:spacing w:after="0"/>
      </w:pPr>
      <w:r>
        <w:br w:type="page"/>
      </w:r>
    </w:p>
    <w:p w14:paraId="0CDA7502" w14:textId="77777777" w:rsidR="00B47927" w:rsidRDefault="002604AF" w:rsidP="00B47927">
      <w:pPr>
        <w:pStyle w:val="Heading1"/>
      </w:pPr>
      <w:bookmarkStart w:id="2" w:name="_Toc187391800"/>
      <w:r>
        <w:lastRenderedPageBreak/>
        <w:t>Critical evaluation of the financial ratios</w:t>
      </w:r>
      <w:bookmarkEnd w:id="2"/>
    </w:p>
    <w:p w14:paraId="33C77BCF" w14:textId="77777777" w:rsidR="00B47927" w:rsidRDefault="002604AF" w:rsidP="00C603D9">
      <w:pPr>
        <w:pStyle w:val="Heading2"/>
      </w:pPr>
      <w:bookmarkStart w:id="3" w:name="_Toc187391801"/>
      <w:r>
        <w:t>Profitability Ratios</w:t>
      </w:r>
      <w:bookmarkEnd w:id="3"/>
    </w:p>
    <w:p w14:paraId="06E582E1" w14:textId="77777777" w:rsidR="001E5CFB" w:rsidRPr="001E5CFB" w:rsidRDefault="002604AF" w:rsidP="001E5CFB">
      <w:r w:rsidRPr="001E5CFB">
        <w:rPr>
          <w:lang w:eastAsia="en-GB"/>
        </w:rPr>
        <w:drawing>
          <wp:inline distT="0" distB="0" distL="0" distR="0" wp14:anchorId="03130069" wp14:editId="295CFE27">
            <wp:extent cx="6000750" cy="27432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DDA9A93" w14:textId="77777777" w:rsidR="00EA0591" w:rsidRDefault="002604AF" w:rsidP="00EA0591">
      <w:pPr>
        <w:rPr>
          <w:u w:val="single"/>
        </w:rPr>
      </w:pPr>
      <w:r w:rsidRPr="00EA0591">
        <w:rPr>
          <w:u w:val="single"/>
        </w:rPr>
        <w:t xml:space="preserve">Gross Profit Margin </w:t>
      </w:r>
      <w:r>
        <w:rPr>
          <w:u w:val="single"/>
        </w:rPr>
        <w:t>(GPM)</w:t>
      </w:r>
    </w:p>
    <w:p w14:paraId="3668D304" w14:textId="77777777" w:rsidR="00EA0591" w:rsidRDefault="002604AF" w:rsidP="00EA0591">
      <w:r>
        <w:t xml:space="preserve">In the views of Mahdi </w:t>
      </w:r>
      <w:r w:rsidRPr="00B02C7B">
        <w:t>and Khaddafi</w:t>
      </w:r>
      <w:r>
        <w:t xml:space="preserve"> (2020) GPM can be understood to be the ratio that signifies the balance that exists between the gross profit and the total revenue made during a particular period. In simpler terms, this is the percentage of every pound of sale that is left with the enterprise as gross margin after the deduction of the cost incurred to make the sales. </w:t>
      </w:r>
      <w:r w:rsidR="0028670E">
        <w:t>As a measure of profitability</w:t>
      </w:r>
      <w:r w:rsidR="004E6626">
        <w:t xml:space="preserve">, this informs about the capacity </w:t>
      </w:r>
      <w:r w:rsidR="0028670E">
        <w:t>of the</w:t>
      </w:r>
      <w:r w:rsidR="004E6626">
        <w:t xml:space="preserve"> enterprise</w:t>
      </w:r>
      <w:r w:rsidR="0028670E">
        <w:t xml:space="preserve"> to make profits</w:t>
      </w:r>
      <w:r w:rsidR="00DB0854">
        <w:t xml:space="preserve"> (Walsh 2003 and Drury 2018)</w:t>
      </w:r>
      <w:r w:rsidR="0028670E">
        <w:t xml:space="preserve">. The GPM of Astrazeneca during both years under review has been on the higher side. In 2022, the company recorded 72.06% of the revenue as gross margin. This increased to 81.95% during 2023. </w:t>
      </w:r>
      <w:r w:rsidR="002579D3">
        <w:t xml:space="preserve">In other words, a percentage rise of 9.89% was recorded in 2023. </w:t>
      </w:r>
      <w:r w:rsidR="00F969C7">
        <w:t xml:space="preserve">The above rise in the GPM is mainly due to the steep rise of sales revenue by 3.29% during 2023. It is apparent the cost of sales did not enhance as much in 2023, which highlights efficient control by the company on inventory costs and direct costs such as purchases. </w:t>
      </w:r>
    </w:p>
    <w:p w14:paraId="6E742395" w14:textId="77777777" w:rsidR="00034669" w:rsidRPr="00034669" w:rsidRDefault="002604AF" w:rsidP="00EA0591">
      <w:pPr>
        <w:rPr>
          <w:u w:val="single"/>
        </w:rPr>
      </w:pPr>
      <w:r w:rsidRPr="00034669">
        <w:rPr>
          <w:u w:val="single"/>
        </w:rPr>
        <w:t>Net Profit Margin (NPM)</w:t>
      </w:r>
    </w:p>
    <w:p w14:paraId="7885F0E1" w14:textId="77777777" w:rsidR="00F969C7" w:rsidRDefault="002604AF" w:rsidP="00EA0591">
      <w:r>
        <w:t>Nariswari and Nugraha (2020) have described NPM as a profitability measur</w:t>
      </w:r>
      <w:r w:rsidR="004E6626">
        <w:t>e that comparison the NI</w:t>
      </w:r>
      <w:r>
        <w:t xml:space="preserve"> to the revenue amount in a particular period. NPM assists in interpreting the efficiency </w:t>
      </w:r>
      <w:r w:rsidR="004E6626">
        <w:t>that Astrazeneca is able to display while minimising</w:t>
      </w:r>
      <w:r>
        <w:t xml:space="preserve"> its operational costs</w:t>
      </w:r>
      <w:r w:rsidR="001F076E">
        <w:t xml:space="preserve"> (</w:t>
      </w:r>
      <w:r w:rsidR="001F076E" w:rsidRPr="000D62A4">
        <w:t>Schroeder</w:t>
      </w:r>
      <w:r w:rsidR="001F076E">
        <w:t xml:space="preserve"> et al., </w:t>
      </w:r>
      <w:r w:rsidR="001F076E">
        <w:lastRenderedPageBreak/>
        <w:t>2022)</w:t>
      </w:r>
      <w:r>
        <w:t xml:space="preserve">. </w:t>
      </w:r>
      <w:r w:rsidR="00D027AF">
        <w:t>The computations suggest that NPM for AstraZeneca Plc in 2022 was 7.42% while the 2023 margin was 13.01%. A 5.59%</w:t>
      </w:r>
      <w:r w:rsidR="002F59A0">
        <w:t xml:space="preserve"> increase in the NPM highlights the improvement in AstraZeneca plc to control operational costs such as administration, finance, etc. </w:t>
      </w:r>
      <w:r w:rsidR="0099190D">
        <w:t xml:space="preserve">However, the big gap between gross and net margin shows that these costs still continue to eat up a large chunk of the company sales. </w:t>
      </w:r>
      <w:r w:rsidR="004576DC">
        <w:t>The income statement shows that while all the costs rose in 2023 for the company, the increase in selling costs and R&amp;D costs was co</w:t>
      </w:r>
      <w:r w:rsidR="00170701">
        <w:t>ntrolled and thu</w:t>
      </w:r>
      <w:r w:rsidR="004E6626">
        <w:t>s, NPM has improved</w:t>
      </w:r>
      <w:r w:rsidR="00C27F38">
        <w:t xml:space="preserve">. </w:t>
      </w:r>
    </w:p>
    <w:p w14:paraId="4576DB5A" w14:textId="6F22BC4C" w:rsidR="009766B7" w:rsidRDefault="009766B7">
      <w:pPr>
        <w:spacing w:after="0"/>
      </w:pPr>
    </w:p>
    <w:p w14:paraId="7BC9F005" w14:textId="77777777" w:rsidR="009766B7" w:rsidRDefault="002604AF" w:rsidP="009766B7">
      <w:pPr>
        <w:pStyle w:val="Heading2"/>
      </w:pPr>
      <w:bookmarkStart w:id="4" w:name="_Toc187391802"/>
      <w:r>
        <w:t>Liquidity Ratios</w:t>
      </w:r>
      <w:bookmarkEnd w:id="4"/>
    </w:p>
    <w:p w14:paraId="0D09F857" w14:textId="77777777" w:rsidR="001E5CFB" w:rsidRPr="001E5CFB" w:rsidRDefault="002604AF" w:rsidP="001E5CFB">
      <w:r w:rsidRPr="001E5CFB">
        <w:rPr>
          <w:lang w:eastAsia="en-GB"/>
        </w:rPr>
        <w:drawing>
          <wp:inline distT="0" distB="0" distL="0" distR="0" wp14:anchorId="1CC1653E" wp14:editId="4255B788">
            <wp:extent cx="5781675"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288D348" w14:textId="77777777" w:rsidR="009766B7" w:rsidRDefault="002604AF" w:rsidP="009766B7">
      <w:pPr>
        <w:rPr>
          <w:u w:val="single"/>
        </w:rPr>
      </w:pPr>
      <w:r w:rsidRPr="009766B7">
        <w:rPr>
          <w:u w:val="single"/>
        </w:rPr>
        <w:t>Current Ratio</w:t>
      </w:r>
      <w:r>
        <w:rPr>
          <w:u w:val="single"/>
        </w:rPr>
        <w:t xml:space="preserve"> (CR)</w:t>
      </w:r>
    </w:p>
    <w:p w14:paraId="661E5B67" w14:textId="77777777" w:rsidR="009766B7" w:rsidRDefault="002604AF" w:rsidP="009766B7">
      <w:r>
        <w:t xml:space="preserve">According to Heikal et al. (2014), CR helps in the examination of a company's capacity to cover or discharge short-term debt with the available assets of a short-term nature. </w:t>
      </w:r>
      <w:r w:rsidR="004E0958">
        <w:t>In other words, Husna and Satria (2019) inform us about the extent to which the available current</w:t>
      </w:r>
      <w:r w:rsidR="00414A87">
        <w:t xml:space="preserve"> assets can pay off current obligations that are maturing soon. </w:t>
      </w:r>
      <w:r w:rsidR="000A3EEF">
        <w:t>The ideal current ratio for any enterprise is 2 times</w:t>
      </w:r>
      <w:r w:rsidR="00DB0854">
        <w:t xml:space="preserve"> (Marr 2012)</w:t>
      </w:r>
      <w:r w:rsidR="000A3EEF">
        <w:t xml:space="preserve">. However, the computations suggest that in 2022, AstraZeneca CR was 0.86 times, which further dipped to 0.82 times in 2023. </w:t>
      </w:r>
      <w:r w:rsidR="0012187B">
        <w:t xml:space="preserve">Clearly, in none of the two-year periods short-term assets at the enterprise were adequate to cover the short-term obligations. This hints at severe liquidity risk, i.e., inability to pay short-term dues on time for the company under review here. </w:t>
      </w:r>
      <w:r w:rsidR="00957E4D">
        <w:t xml:space="preserve">A possible cause behind the dip in CR can be a higher rise in </w:t>
      </w:r>
      <w:r w:rsidR="00957E4D">
        <w:lastRenderedPageBreak/>
        <w:t xml:space="preserve">current dues in 2023 in comparison to </w:t>
      </w:r>
      <w:r w:rsidR="002E4261">
        <w:t xml:space="preserve">current assets. Items such as trade and other payables and income tax payables jumped by $ 3,334 million and $ 688 million, respectively. </w:t>
      </w:r>
      <w:r w:rsidR="00BB4342">
        <w:t xml:space="preserve">This overshadowed the recorded rise in current assets in 2023. </w:t>
      </w:r>
    </w:p>
    <w:p w14:paraId="35A56DFD" w14:textId="77777777" w:rsidR="003A3199" w:rsidRPr="003A3199" w:rsidRDefault="002604AF" w:rsidP="009766B7">
      <w:pPr>
        <w:rPr>
          <w:u w:val="single"/>
        </w:rPr>
      </w:pPr>
      <w:r w:rsidRPr="003A3199">
        <w:rPr>
          <w:u w:val="single"/>
        </w:rPr>
        <w:t>Quick Ratio (QR)</w:t>
      </w:r>
    </w:p>
    <w:p w14:paraId="26794825" w14:textId="77777777" w:rsidR="009766B7" w:rsidRDefault="002604AF" w:rsidP="009766B7">
      <w:r>
        <w:t xml:space="preserve">Sari et al. (2022) state that inventory is one such short-term asset that has the lowest level of liquidity. The QR represents the enterprise's capacity to pay off short-term debt </w:t>
      </w:r>
      <w:r w:rsidR="00E072E5">
        <w:t xml:space="preserve">regardless of the value of inventory lying in the warehouse. </w:t>
      </w:r>
      <w:r w:rsidR="00CB7629">
        <w:t xml:space="preserve">Thus, the computation of QR does not take inventory value into account. </w:t>
      </w:r>
      <w:r w:rsidR="000C7571">
        <w:t xml:space="preserve">In Astrazeneca's case, the QR was 0.68 times in 2022, while it further dropped to 0.64 times in 2023. </w:t>
      </w:r>
      <w:r w:rsidR="00F5339E">
        <w:t xml:space="preserve">Apparently, </w:t>
      </w:r>
      <w:r w:rsidR="008C045C">
        <w:t xml:space="preserve">the company has struggled big time in covering dues maturing soon without the contribution of inventory sales. </w:t>
      </w:r>
      <w:r w:rsidR="00EF1A05">
        <w:t xml:space="preserve">The high gap between the current and quick ratio evidences this fact. </w:t>
      </w:r>
      <w:r w:rsidR="001C6CCB">
        <w:t xml:space="preserve">A huge short-term obligation increase in 2023 is to blame for such a dire liquid situation at AstraZeneca. </w:t>
      </w:r>
    </w:p>
    <w:p w14:paraId="15D186FD" w14:textId="7C5C6D75" w:rsidR="00020DCE" w:rsidRDefault="00020DCE">
      <w:pPr>
        <w:spacing w:after="0"/>
      </w:pPr>
    </w:p>
    <w:p w14:paraId="22345FB2" w14:textId="77777777" w:rsidR="001E5CFB" w:rsidRDefault="002604AF" w:rsidP="00C93DF3">
      <w:pPr>
        <w:pStyle w:val="Heading2"/>
      </w:pPr>
      <w:bookmarkStart w:id="5" w:name="_Toc187391803"/>
      <w:r>
        <w:t>Gearing Ratios</w:t>
      </w:r>
      <w:bookmarkEnd w:id="5"/>
    </w:p>
    <w:p w14:paraId="4E47E397" w14:textId="77777777" w:rsidR="00C93DF3" w:rsidRDefault="002604AF" w:rsidP="00C93DF3">
      <w:r w:rsidRPr="00C93DF3">
        <w:rPr>
          <w:lang w:eastAsia="en-GB"/>
        </w:rPr>
        <w:drawing>
          <wp:inline distT="0" distB="0" distL="0" distR="0" wp14:anchorId="6D6EB9F4" wp14:editId="4BE0AA32">
            <wp:extent cx="5562600" cy="2743200"/>
            <wp:effectExtent l="19050" t="0" r="1905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6F2ECFA" w14:textId="77777777" w:rsidR="00C17BF6" w:rsidRPr="00C93DF3" w:rsidRDefault="002604AF" w:rsidP="00C93DF3">
      <w:r w:rsidRPr="00C17BF6">
        <w:rPr>
          <w:lang w:eastAsia="en-GB"/>
        </w:rPr>
        <w:lastRenderedPageBreak/>
        <w:drawing>
          <wp:inline distT="0" distB="0" distL="0" distR="0" wp14:anchorId="04EE1104" wp14:editId="3C0F798E">
            <wp:extent cx="5562600" cy="2743200"/>
            <wp:effectExtent l="19050" t="0" r="1905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079F37C" w14:textId="77777777" w:rsidR="00020DCE" w:rsidRDefault="002604AF" w:rsidP="00020DCE">
      <w:pPr>
        <w:rPr>
          <w:u w:val="single"/>
        </w:rPr>
      </w:pPr>
      <w:r w:rsidRPr="004B097B">
        <w:rPr>
          <w:u w:val="single"/>
        </w:rPr>
        <w:t>Debt to Equity Ratio</w:t>
      </w:r>
      <w:r w:rsidR="004B097B">
        <w:rPr>
          <w:u w:val="single"/>
        </w:rPr>
        <w:t xml:space="preserve"> (DER)</w:t>
      </w:r>
    </w:p>
    <w:p w14:paraId="017EAC86" w14:textId="77777777" w:rsidR="004B097B" w:rsidRDefault="002604AF" w:rsidP="004B097B">
      <w:r>
        <w:t xml:space="preserve">Susilawati et al. (2022) have defined the DER as a ratio that presents a comparison between the size of debt and the size of equity for business enterprises. </w:t>
      </w:r>
      <w:r w:rsidR="00F30450">
        <w:t xml:space="preserve">DER is the ratio of the total funds that the company has obtained from outside and the total funds that have originated from within. Also, this provides information as to how much of each dollar of capital is being used as collateral to the debt funds employed. </w:t>
      </w:r>
      <w:r w:rsidR="000F6039">
        <w:t xml:space="preserve">As per calculations, 2022 was 160.36%, which declined to 158.18%. </w:t>
      </w:r>
      <w:r w:rsidR="00454E46">
        <w:t xml:space="preserve">Despite the decline, the debt pressure on AstraZeneca plc is </w:t>
      </w:r>
      <w:r w:rsidR="00097A88">
        <w:t xml:space="preserve">high </w:t>
      </w:r>
      <w:r w:rsidR="00454E46">
        <w:t xml:space="preserve">in relation to employed capital. </w:t>
      </w:r>
      <w:r w:rsidR="00097A88">
        <w:t xml:space="preserve">Though ideally, the debt-equity ratio is 2 times. Therefore, the company has done well to keep debts lower. A decline in percentage in 2023 augurs well for the company. </w:t>
      </w:r>
      <w:r w:rsidR="00753865">
        <w:t xml:space="preserve">In addition, a focus on reducing debt proportion as part of the new capital structure might be the reason behind the change in the ratio. </w:t>
      </w:r>
    </w:p>
    <w:p w14:paraId="73AD474D" w14:textId="77777777" w:rsidR="0009774D" w:rsidRPr="0009774D" w:rsidRDefault="002604AF" w:rsidP="004B097B">
      <w:pPr>
        <w:rPr>
          <w:u w:val="single"/>
        </w:rPr>
      </w:pPr>
      <w:r w:rsidRPr="0009774D">
        <w:rPr>
          <w:u w:val="single"/>
        </w:rPr>
        <w:t>Interest Coverage Ratio</w:t>
      </w:r>
      <w:r w:rsidR="00C05BA9">
        <w:rPr>
          <w:u w:val="single"/>
        </w:rPr>
        <w:t xml:space="preserve"> (ICR)</w:t>
      </w:r>
    </w:p>
    <w:p w14:paraId="59953EC5" w14:textId="77777777" w:rsidR="0009774D" w:rsidRDefault="002604AF" w:rsidP="004B097B">
      <w:r>
        <w:t xml:space="preserve">CFI (2025) contains a definition and explanation behind ICR. In simple words, ICR has been described as a financial ratio that assists in ascertaining how efficiently a firm is able to cover the financial costs associated with outstanding debts. </w:t>
      </w:r>
      <w:r w:rsidR="009E4C3F">
        <w:t xml:space="preserve">Also known as times interest earned, this metric is of common use to lenders and creditors to judge the risk associated with extending funds on credit to enterprises. </w:t>
      </w:r>
      <w:r w:rsidR="00C05BA9">
        <w:t>The calculations show that AstraZeneca'</w:t>
      </w:r>
      <w:r w:rsidR="007B67A3">
        <w:t xml:space="preserve">s ICR during 2022 was 2.79 times, which further increased to 5.04 times in 2023. This increase pinpoints enhancement in the company's ability to cover the finance costs in 2023. </w:t>
      </w:r>
      <w:r w:rsidR="00286FBE">
        <w:t>The reason b</w:t>
      </w:r>
      <w:r w:rsidR="00C51413">
        <w:t>ehind the increase is the huge development</w:t>
      </w:r>
      <w:r w:rsidR="00286FBE">
        <w:t xml:space="preserve"> in operating margin in 2023. The margin improved by </w:t>
      </w:r>
      <w:r w:rsidR="00286FBE">
        <w:lastRenderedPageBreak/>
        <w:t xml:space="preserve">54.14% in 2023, which </w:t>
      </w:r>
      <w:r w:rsidR="00C51413">
        <w:t xml:space="preserve">has directly uplifted the company's capacity to cover finance costs on debt funds. </w:t>
      </w:r>
    </w:p>
    <w:p w14:paraId="4D96033A" w14:textId="6CC394AF" w:rsidR="002C07E7" w:rsidRDefault="002C07E7">
      <w:pPr>
        <w:spacing w:after="0"/>
      </w:pPr>
    </w:p>
    <w:p w14:paraId="0F06A4FC" w14:textId="77777777" w:rsidR="002C07E7" w:rsidRDefault="002604AF" w:rsidP="002C07E7">
      <w:pPr>
        <w:pStyle w:val="Heading2"/>
      </w:pPr>
      <w:bookmarkStart w:id="6" w:name="_Toc187391804"/>
      <w:r>
        <w:t>Efficiency Ratios</w:t>
      </w:r>
      <w:bookmarkEnd w:id="6"/>
    </w:p>
    <w:p w14:paraId="0CF41404" w14:textId="77777777" w:rsidR="00A753DF" w:rsidRPr="00A753DF" w:rsidRDefault="002604AF" w:rsidP="00A753DF">
      <w:r w:rsidRPr="00A753DF">
        <w:rPr>
          <w:lang w:eastAsia="en-GB"/>
        </w:rPr>
        <w:drawing>
          <wp:inline distT="0" distB="0" distL="0" distR="0" wp14:anchorId="38B711C8" wp14:editId="6231ED49">
            <wp:extent cx="5610225" cy="2743200"/>
            <wp:effectExtent l="19050" t="0" r="9525"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AB0A756" w14:textId="77777777" w:rsidR="002C07E7" w:rsidRPr="00072CB6" w:rsidRDefault="002604AF" w:rsidP="002C07E7">
      <w:pPr>
        <w:rPr>
          <w:u w:val="single"/>
        </w:rPr>
      </w:pPr>
      <w:r w:rsidRPr="00072CB6">
        <w:rPr>
          <w:u w:val="single"/>
        </w:rPr>
        <w:t>Inventory Turnover Ratio</w:t>
      </w:r>
      <w:r w:rsidR="00BA13D1">
        <w:rPr>
          <w:u w:val="single"/>
        </w:rPr>
        <w:t xml:space="preserve"> (ITR)</w:t>
      </w:r>
    </w:p>
    <w:p w14:paraId="36104577" w14:textId="77777777" w:rsidR="00072CB6" w:rsidRDefault="002604AF" w:rsidP="002C07E7">
      <w:r>
        <w:t xml:space="preserve">According to Amanda (2019), </w:t>
      </w:r>
      <w:r w:rsidR="00245CDB">
        <w:t>the ITR is a metric that highlights the change in the in</w:t>
      </w:r>
      <w:r w:rsidR="003661DA">
        <w:t>ventory levels o</w:t>
      </w:r>
      <w:r w:rsidR="00245CDB">
        <w:t xml:space="preserve">f the company due to changes in the overall </w:t>
      </w:r>
      <w:r w:rsidR="00AC424E">
        <w:t xml:space="preserve">activity </w:t>
      </w:r>
      <w:r w:rsidR="00245CDB">
        <w:t xml:space="preserve">levels of the business enterprise as a whole. </w:t>
      </w:r>
      <w:r w:rsidR="00AC424E">
        <w:t xml:space="preserve">In simpler terms, the ITR shows the number of times inventory has been replaced during a period due to activity levels (sales) in the business. </w:t>
      </w:r>
      <w:r w:rsidR="00856F4C">
        <w:t>Nasution (2020) states that h</w:t>
      </w:r>
      <w:r w:rsidR="00801B01">
        <w:t>igh invento</w:t>
      </w:r>
      <w:r w:rsidR="007D125A">
        <w:t>ry turnover denotes a high frequency of sales for the company. Also, a high ITR means that the company is quick in covering the cost of sales, wh</w:t>
      </w:r>
      <w:r w:rsidR="00ED6FCC">
        <w:t xml:space="preserve">ich leads to the accomplishment of profits by the business enterprise. </w:t>
      </w:r>
      <w:r w:rsidR="003661DA">
        <w:t xml:space="preserve">In the present case, the ITR of AstraZeneca plc stood at a mere 1.81 times in 2022, which further dipped to 1.63 times in 2023. In both years, sales have caused displacement at the company just twice. </w:t>
      </w:r>
      <w:r w:rsidR="00362C6F">
        <w:t xml:space="preserve">However, the income statement figures suggest an impressive improvement in sales during the year. </w:t>
      </w:r>
      <w:r w:rsidR="00964AF1">
        <w:t xml:space="preserve">Despite such a huge rise in sales, inventory has just been replaced twice due to high inventory purchases </w:t>
      </w:r>
      <w:r w:rsidR="00F53C83">
        <w:t xml:space="preserve">by the company during 2023. </w:t>
      </w:r>
    </w:p>
    <w:p w14:paraId="48B71664" w14:textId="77777777" w:rsidR="006B5023" w:rsidRDefault="006B5023" w:rsidP="002C07E7"/>
    <w:p w14:paraId="41ECB310" w14:textId="77777777" w:rsidR="006B5023" w:rsidRDefault="006B5023" w:rsidP="002C07E7"/>
    <w:p w14:paraId="2945BB0D" w14:textId="77777777" w:rsidR="00AD5281" w:rsidRPr="00AD5281" w:rsidRDefault="002604AF" w:rsidP="002C07E7">
      <w:pPr>
        <w:rPr>
          <w:u w:val="single"/>
        </w:rPr>
      </w:pPr>
      <w:r w:rsidRPr="00AD5281">
        <w:rPr>
          <w:u w:val="single"/>
        </w:rPr>
        <w:lastRenderedPageBreak/>
        <w:t>Accounts receivables Turnover Ratio (ATR)</w:t>
      </w:r>
    </w:p>
    <w:p w14:paraId="7325ACDF" w14:textId="77777777" w:rsidR="00AD5281" w:rsidRDefault="002604AF" w:rsidP="002C07E7">
      <w:r>
        <w:t>Amanda (2019) a</w:t>
      </w:r>
      <w:r w:rsidR="004F4899">
        <w:t xml:space="preserve">lso informs about ATR in the paper. The general sense meaning of ATR has been described as a metric that describes the relationship between the sales revenue and the accounts receivables of the enterprise. </w:t>
      </w:r>
      <w:r w:rsidR="0067024B">
        <w:t xml:space="preserve">Beaver (2024) informs that this ratio is used in business accounting to quantify how well enterprises manage the credit funds lent to customers. This involves the evaluation of the time taken to collect the dues by the enterprise over different time periods. </w:t>
      </w:r>
      <w:r w:rsidR="00046E86">
        <w:t xml:space="preserve">The ATR for AstraZeneca plc has remained more or less similar during the two years under consideration. In 2022, the ratio figure was 4.40 times, which declined insignificantly to 4.05 times in 2021. </w:t>
      </w:r>
      <w:r w:rsidR="002A1760">
        <w:t xml:space="preserve">Every three months, the company collects the outstanding dues from the customers. </w:t>
      </w:r>
      <w:r w:rsidR="002815D1">
        <w:t xml:space="preserve">However, a dip in such turnover shows that the collection period for AstraZeneca has increased significantly. </w:t>
      </w:r>
      <w:r w:rsidR="00C9042B">
        <w:t xml:space="preserve">Therefore, the possible cause of the dip in turnover can be due to dealing with risky customers by the organisation during 2023. </w:t>
      </w:r>
    </w:p>
    <w:p w14:paraId="0765EE56" w14:textId="309E3D96" w:rsidR="0007305F" w:rsidRDefault="0007305F">
      <w:pPr>
        <w:spacing w:after="0"/>
      </w:pPr>
    </w:p>
    <w:p w14:paraId="6C750E84" w14:textId="77777777" w:rsidR="0007305F" w:rsidRDefault="002604AF" w:rsidP="0007305F">
      <w:pPr>
        <w:pStyle w:val="Heading2"/>
      </w:pPr>
      <w:bookmarkStart w:id="7" w:name="_Toc187391805"/>
      <w:r>
        <w:t>Investor Ratios</w:t>
      </w:r>
      <w:bookmarkEnd w:id="7"/>
    </w:p>
    <w:p w14:paraId="61BABD69" w14:textId="77777777" w:rsidR="006E0966" w:rsidRPr="006E0966" w:rsidRDefault="002604AF" w:rsidP="006E0966">
      <w:r w:rsidRPr="00B56066">
        <w:rPr>
          <w:lang w:eastAsia="en-GB"/>
        </w:rPr>
        <w:drawing>
          <wp:inline distT="0" distB="0" distL="0" distR="0" wp14:anchorId="3068FC3C" wp14:editId="46A16728">
            <wp:extent cx="5600700" cy="2657475"/>
            <wp:effectExtent l="19050" t="0" r="1905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4014EDE" w14:textId="77777777" w:rsidR="0007305F" w:rsidRPr="00203813" w:rsidRDefault="002604AF" w:rsidP="0007305F">
      <w:pPr>
        <w:rPr>
          <w:u w:val="single"/>
        </w:rPr>
      </w:pPr>
      <w:r w:rsidRPr="00203813">
        <w:rPr>
          <w:u w:val="single"/>
        </w:rPr>
        <w:t>Earnings Per Share</w:t>
      </w:r>
      <w:r w:rsidR="00497632">
        <w:rPr>
          <w:u w:val="single"/>
        </w:rPr>
        <w:t xml:space="preserve"> (EPS)</w:t>
      </w:r>
    </w:p>
    <w:p w14:paraId="513B7FCD" w14:textId="77777777" w:rsidR="00203813" w:rsidRDefault="002604AF" w:rsidP="0007305F">
      <w:r>
        <w:t xml:space="preserve">Humaerah et al. (2022) have discussed the impact of EPS and DPS on the overall prices of the stocks of the pharmaceutical organisations. This is a metric that is used by the investors to gauge the overall achievement that the management has made in earning income for the </w:t>
      </w:r>
      <w:r>
        <w:lastRenderedPageBreak/>
        <w:t xml:space="preserve">people who have bid for the shares of the enterprise. </w:t>
      </w:r>
      <w:r w:rsidR="00AF0AD2">
        <w:t>As per Arsal</w:t>
      </w:r>
      <w:r w:rsidR="00346C79">
        <w:t xml:space="preserve"> (20</w:t>
      </w:r>
      <w:r w:rsidR="00AF0AD2">
        <w:t>21</w:t>
      </w:r>
      <w:r w:rsidR="00346C79">
        <w:t xml:space="preserve">), shareholders are interested in knowing about EPS as it is a measure of a company's success during a period. </w:t>
      </w:r>
      <w:r w:rsidR="00744803">
        <w:t>As per Atrill (2020), i</w:t>
      </w:r>
      <w:r>
        <w:t xml:space="preserve">t is computed by total NI during a year by the number of shares outstanding or held by the general public. </w:t>
      </w:r>
      <w:r w:rsidR="00571C5E">
        <w:t xml:space="preserve">In 2022, the basic EPS for the company under review was $ 2.12, which significantly increased to $ 3.84. It is, therefore, apparent that the amount of income that the company has earned on each outstanding share has increased in recent times. </w:t>
      </w:r>
      <w:r w:rsidR="00E73A11">
        <w:t xml:space="preserve">The possible cause behind such an increase is clearly the significant increase in the net income of the company in 2023. </w:t>
      </w:r>
    </w:p>
    <w:p w14:paraId="72A2BD8D" w14:textId="77777777" w:rsidR="0013277D" w:rsidRPr="0013277D" w:rsidRDefault="002604AF" w:rsidP="0007305F">
      <w:pPr>
        <w:rPr>
          <w:u w:val="single"/>
        </w:rPr>
      </w:pPr>
      <w:r w:rsidRPr="0013277D">
        <w:rPr>
          <w:u w:val="single"/>
        </w:rPr>
        <w:t>Dividend Per Share</w:t>
      </w:r>
      <w:r w:rsidR="00497632">
        <w:rPr>
          <w:u w:val="single"/>
        </w:rPr>
        <w:t xml:space="preserve"> (DPS)</w:t>
      </w:r>
    </w:p>
    <w:p w14:paraId="684EC182" w14:textId="77777777" w:rsidR="0013277D" w:rsidRDefault="002604AF" w:rsidP="0007305F">
      <w:r>
        <w:t xml:space="preserve">Bowman (2024) informs that the general sense meaning of the term DPS is exactly what it sounds like. In other words, this is the amount of dividend that is paid by the company on all the outstanding shares. </w:t>
      </w:r>
      <w:r w:rsidR="0050499A">
        <w:t>Ahmad (2018) suggested that there exists a positive and significant influence of the DPS on the prices of stocks of the companies. Therefore, it is easy to understand that this metric has a high level of significance to the investors.</w:t>
      </w:r>
      <w:r w:rsidR="00E647D4">
        <w:t xml:space="preserve"> In the case of AstraZeneca, the DPS was 2.90 in 2022, and the amount did not change in 2023. </w:t>
      </w:r>
      <w:r w:rsidR="00225E38">
        <w:t xml:space="preserve">This is mainly due to the static dividend policy adopted by the company. </w:t>
      </w:r>
    </w:p>
    <w:p w14:paraId="306278A9" w14:textId="77777777" w:rsidR="00917D4C" w:rsidRDefault="002604AF">
      <w:pPr>
        <w:spacing w:after="0"/>
      </w:pPr>
      <w:r>
        <w:br w:type="page"/>
      </w:r>
    </w:p>
    <w:p w14:paraId="4CBBBC77" w14:textId="77777777" w:rsidR="00917D4C" w:rsidRDefault="002604AF" w:rsidP="00917D4C">
      <w:pPr>
        <w:pStyle w:val="Heading1"/>
      </w:pPr>
      <w:bookmarkStart w:id="8" w:name="_Toc187391806"/>
      <w:r>
        <w:lastRenderedPageBreak/>
        <w:t>Limitations of Ratio Analysis</w:t>
      </w:r>
      <w:bookmarkEnd w:id="8"/>
    </w:p>
    <w:p w14:paraId="593A0F99" w14:textId="77777777" w:rsidR="00917D4C" w:rsidRDefault="002604AF" w:rsidP="00917D4C">
      <w:r>
        <w:t>As a technique of financial statement evaluation, ratio analysis suffers from certain limitations that need to be ke</w:t>
      </w:r>
      <w:r w:rsidR="004000E1">
        <w:t xml:space="preserve">pt in mind while forming an opinion about the manner in which AstraZeneca plc has fared in the two years under review – </w:t>
      </w:r>
    </w:p>
    <w:p w14:paraId="23754FC7" w14:textId="77777777" w:rsidR="004000E1" w:rsidRPr="00CC70C0" w:rsidRDefault="002604AF" w:rsidP="000F04C9">
      <w:pPr>
        <w:pStyle w:val="ListParagraph"/>
        <w:numPr>
          <w:ilvl w:val="0"/>
          <w:numId w:val="2"/>
        </w:numPr>
      </w:pPr>
      <w:r>
        <w:t xml:space="preserve">According to </w:t>
      </w:r>
      <w:r>
        <w:rPr>
          <w:shd w:val="clear" w:color="auto" w:fill="FFFFFF"/>
        </w:rPr>
        <w:t xml:space="preserve">Frecknall-Hughes et al., (2007) the biggest Limitation associated with ratio analysis is that it is purely based on the numeric and monetary results of a business organisation. This technique completely overlooks all the other factors that have a bearing on its financial standing. </w:t>
      </w:r>
    </w:p>
    <w:p w14:paraId="66824E0C" w14:textId="77777777" w:rsidR="00CC70C0" w:rsidRPr="00073341" w:rsidRDefault="002604AF" w:rsidP="000F04C9">
      <w:pPr>
        <w:pStyle w:val="ListParagraph"/>
        <w:numPr>
          <w:ilvl w:val="0"/>
          <w:numId w:val="2"/>
        </w:numPr>
      </w:pPr>
      <w:r w:rsidRPr="00F523A0">
        <w:rPr>
          <w:bCs/>
        </w:rPr>
        <w:t>Gadoiu</w:t>
      </w:r>
      <w:r>
        <w:rPr>
          <w:bCs/>
        </w:rPr>
        <w:t xml:space="preserve"> (2014) has provided an interesting insight into this regard and has stated that companies may use different accounting treatments and accounting policies for different items. </w:t>
      </w:r>
      <w:r w:rsidR="008B50DA">
        <w:rPr>
          <w:bCs/>
        </w:rPr>
        <w:t xml:space="preserve">This is where the comparison of performance purely based on financial ratios is rendered worthless. </w:t>
      </w:r>
    </w:p>
    <w:p w14:paraId="2FF90A83" w14:textId="77777777" w:rsidR="00073341" w:rsidRDefault="002604AF" w:rsidP="000F04C9">
      <w:pPr>
        <w:pStyle w:val="ListParagraph"/>
        <w:numPr>
          <w:ilvl w:val="0"/>
          <w:numId w:val="2"/>
        </w:numPr>
      </w:pPr>
      <w:r>
        <w:t xml:space="preserve">As per Faello (2015), the calculation of the financial ratios is based on the accuracy of the numerator as well as the denominator. If either of these are misstated, then is chances of incorrect analysis are very high. </w:t>
      </w:r>
    </w:p>
    <w:p w14:paraId="00150981" w14:textId="77777777" w:rsidR="002D08C1" w:rsidRDefault="002604AF" w:rsidP="000F04C9">
      <w:pPr>
        <w:pStyle w:val="ListParagraph"/>
        <w:numPr>
          <w:ilvl w:val="0"/>
          <w:numId w:val="2"/>
        </w:numPr>
      </w:pPr>
      <w:r>
        <w:t xml:space="preserve">Bragg (2024) opines that financial ratios are computed based on historical information. In case there is any change in the business model, structure, or strategy in the current year, past ratios cannot be useful in performance analysis. </w:t>
      </w:r>
    </w:p>
    <w:p w14:paraId="421A3909" w14:textId="77777777" w:rsidR="00802906" w:rsidRDefault="002604AF" w:rsidP="000F04C9">
      <w:pPr>
        <w:pStyle w:val="ListParagraph"/>
        <w:numPr>
          <w:ilvl w:val="0"/>
          <w:numId w:val="2"/>
        </w:numPr>
      </w:pPr>
      <w:r>
        <w:t xml:space="preserve">According to BBC (2025) human element is completely ignored in financial ratio analysis. </w:t>
      </w:r>
    </w:p>
    <w:p w14:paraId="030AD754" w14:textId="77777777" w:rsidR="009C2E16" w:rsidRDefault="002604AF" w:rsidP="000F04C9">
      <w:pPr>
        <w:pStyle w:val="ListParagraph"/>
        <w:numPr>
          <w:ilvl w:val="0"/>
          <w:numId w:val="2"/>
        </w:numPr>
      </w:pPr>
      <w:r>
        <w:t xml:space="preserve">CFI (2025) states that seasonal effects are necessary to be taken into stride while carrying out financial ratio analysis. If the same is not done, there are high chances of false and misleading interpretations of the accounting information. </w:t>
      </w:r>
    </w:p>
    <w:p w14:paraId="51F37673" w14:textId="77777777" w:rsidR="00722724" w:rsidRDefault="002604AF">
      <w:pPr>
        <w:spacing w:after="0"/>
      </w:pPr>
      <w:r>
        <w:br w:type="page"/>
      </w:r>
    </w:p>
    <w:p w14:paraId="0413F7D2" w14:textId="77777777" w:rsidR="00722724" w:rsidRDefault="002604AF" w:rsidP="00722724">
      <w:pPr>
        <w:pStyle w:val="Heading1"/>
      </w:pPr>
      <w:bookmarkStart w:id="9" w:name="_Toc187391807"/>
      <w:r>
        <w:lastRenderedPageBreak/>
        <w:t>Recommendations</w:t>
      </w:r>
      <w:bookmarkEnd w:id="9"/>
    </w:p>
    <w:p w14:paraId="0D16D5D6" w14:textId="77777777" w:rsidR="00722724" w:rsidRDefault="002604AF" w:rsidP="00722724">
      <w:r>
        <w:t xml:space="preserve">The above financial ratio analysis has assisted in deriving useful insights associated with the company's performance over the two-year period. </w:t>
      </w:r>
      <w:r w:rsidR="00FD1345">
        <w:t xml:space="preserve">The following points may assist Astrazeneca to improve its financial performance and management in the future – </w:t>
      </w:r>
    </w:p>
    <w:p w14:paraId="40161C1A" w14:textId="77777777" w:rsidR="00FD1345" w:rsidRDefault="002604AF" w:rsidP="00FD1345">
      <w:pPr>
        <w:pStyle w:val="ListParagraph"/>
        <w:numPr>
          <w:ilvl w:val="0"/>
          <w:numId w:val="3"/>
        </w:numPr>
      </w:pPr>
      <w:r>
        <w:t xml:space="preserve">Immediate control of administration overhead and research and development costs is necessary for the company. This can assist the firm in bridging the gap between high GPM and low NPM in the coming years. </w:t>
      </w:r>
    </w:p>
    <w:p w14:paraId="2B40F57A" w14:textId="77777777" w:rsidR="00605C04" w:rsidRDefault="002604AF" w:rsidP="00FD1345">
      <w:pPr>
        <w:pStyle w:val="ListParagraph"/>
        <w:numPr>
          <w:ilvl w:val="0"/>
          <w:numId w:val="3"/>
        </w:numPr>
      </w:pPr>
      <w:r>
        <w:t xml:space="preserve">Serious steps are needed to revive the liquid state of the enterprise. </w:t>
      </w:r>
      <w:r w:rsidR="00D30F62">
        <w:t xml:space="preserve">The firm needs to reduce short-term obligation pressure in the coming years. </w:t>
      </w:r>
      <w:r w:rsidR="00E050F4">
        <w:t xml:space="preserve">An effort to raise sales can be helpful in this regard. </w:t>
      </w:r>
    </w:p>
    <w:p w14:paraId="76160F9A" w14:textId="77777777" w:rsidR="00E74392" w:rsidRDefault="002604AF" w:rsidP="00FD1345">
      <w:pPr>
        <w:pStyle w:val="ListParagraph"/>
        <w:numPr>
          <w:ilvl w:val="0"/>
          <w:numId w:val="3"/>
        </w:numPr>
      </w:pPr>
      <w:r>
        <w:t xml:space="preserve">The company is presently underutilising the equity capital. Issuance of more equity capital can prevent the risk of overcapitalisation through debt and reduce the pressure of fixed financial payments. </w:t>
      </w:r>
    </w:p>
    <w:p w14:paraId="47616F52" w14:textId="77777777" w:rsidR="00481085" w:rsidRDefault="002604AF" w:rsidP="00FD1345">
      <w:pPr>
        <w:pStyle w:val="ListParagraph"/>
        <w:numPr>
          <w:ilvl w:val="0"/>
          <w:numId w:val="3"/>
        </w:numPr>
      </w:pPr>
      <w:r>
        <w:t xml:space="preserve">The inventory displacement and collection duration are both low for the company. </w:t>
      </w:r>
      <w:r w:rsidR="00DB178C">
        <w:t xml:space="preserve">The company needs to raise sales frequently. Efforts such as advertising, supplier negotiation, and incentivising collection department can be helpful. </w:t>
      </w:r>
    </w:p>
    <w:p w14:paraId="7FF877AC" w14:textId="77777777" w:rsidR="001121EB" w:rsidRDefault="002604AF" w:rsidP="00FD1345">
      <w:pPr>
        <w:pStyle w:val="ListParagraph"/>
        <w:numPr>
          <w:ilvl w:val="0"/>
          <w:numId w:val="3"/>
        </w:numPr>
      </w:pPr>
      <w:r>
        <w:t xml:space="preserve">Presently, the company is catering to the investors well in terms of dividend distribution. However, a static dividend policy might discourage investors. </w:t>
      </w:r>
      <w:r w:rsidR="008A4221">
        <w:t xml:space="preserve">The firm should declare higher dividends in the coming years. </w:t>
      </w:r>
    </w:p>
    <w:p w14:paraId="7A140E59" w14:textId="77777777" w:rsidR="004C2969" w:rsidRDefault="002604AF">
      <w:pPr>
        <w:spacing w:after="0"/>
      </w:pPr>
      <w:r>
        <w:br w:type="page"/>
      </w:r>
    </w:p>
    <w:p w14:paraId="6E7758C0" w14:textId="77777777" w:rsidR="004C2969" w:rsidRDefault="002604AF" w:rsidP="00EE5C83">
      <w:pPr>
        <w:pStyle w:val="Heading1"/>
      </w:pPr>
      <w:bookmarkStart w:id="10" w:name="_Toc187391808"/>
      <w:r>
        <w:lastRenderedPageBreak/>
        <w:t>Conclusion</w:t>
      </w:r>
      <w:bookmarkEnd w:id="10"/>
    </w:p>
    <w:p w14:paraId="7394B7A8" w14:textId="48D20B16" w:rsidR="00EE5C83" w:rsidRDefault="002604AF" w:rsidP="00EE5C83">
      <w:r>
        <w:t>The above pages of the report aimed at financial performance evaluation of the case study organisation – Astra</w:t>
      </w:r>
      <w:r w:rsidR="00493729">
        <w:t>Z</w:t>
      </w:r>
      <w:r>
        <w:t xml:space="preserve">eneca Plc. </w:t>
      </w:r>
      <w:r w:rsidR="00CB5BC6">
        <w:t xml:space="preserve">The technique used for the purpose of such analysis used in the report was financial ratio analysis. A range of aspects associated with the financial standing of the company </w:t>
      </w:r>
      <w:r w:rsidR="00187B16">
        <w:t xml:space="preserve">were reviewed and evaluated in the report. </w:t>
      </w:r>
      <w:r w:rsidR="00827714">
        <w:t xml:space="preserve">A total of ten different financial ratios were computed for the years 2022 and 2023, and suitable and appropriate interpretation of the figures was made on the basis of the analysis carried out. </w:t>
      </w:r>
      <w:r w:rsidR="00D313B2">
        <w:t>The evaluation and the possible cause of the change in the fi</w:t>
      </w:r>
      <w:r w:rsidR="005E5772">
        <w:t>nancial ratio figures were presen</w:t>
      </w:r>
      <w:r w:rsidR="0092532D">
        <w:t xml:space="preserve">ted using a range of credible sources. </w:t>
      </w:r>
      <w:r w:rsidR="00375496">
        <w:t xml:space="preserve">The obtained figures were interpreted to explain the shift in the economic standing of the company over the two-year period. </w:t>
      </w:r>
    </w:p>
    <w:p w14:paraId="2B569641" w14:textId="77777777" w:rsidR="003F6C86" w:rsidRDefault="002604AF" w:rsidP="00EE5C83">
      <w:r>
        <w:t xml:space="preserve">The analysis of the financial ratios of the company revealed that </w:t>
      </w:r>
      <w:r w:rsidR="00041CA2">
        <w:t xml:space="preserve">while AstraZeneca was good at generating gross margin from sales revenue, the costs related to R&amp;D and administration ate up a large chunk of the net income of the company. </w:t>
      </w:r>
      <w:r w:rsidR="005B1661">
        <w:t xml:space="preserve">Liquidity was one aspect of the financial position of the organization in which the current state of the firm was found to be worst. The company was found to be operating under serious threat of </w:t>
      </w:r>
      <w:r w:rsidR="00502B7C">
        <w:t xml:space="preserve">default to pay short-term dues. </w:t>
      </w:r>
      <w:r w:rsidR="00AC132B">
        <w:t xml:space="preserve">Sales frequency and collection speed of the firm were also found to be slow, as communicated by the efficiency ratios. </w:t>
      </w:r>
      <w:r w:rsidR="001A37F5">
        <w:t>Further, the company was fou</w:t>
      </w:r>
      <w:r w:rsidR="008C4A4C">
        <w:t xml:space="preserve">nd efficient at using long-term obligations. </w:t>
      </w:r>
      <w:r w:rsidR="008A444C">
        <w:t xml:space="preserve">The investor performance of the firm was also found to be satisfactory. </w:t>
      </w:r>
    </w:p>
    <w:p w14:paraId="33CEF695" w14:textId="77777777" w:rsidR="00E21EEA" w:rsidRDefault="00E21EEA">
      <w:pPr>
        <w:spacing w:after="0"/>
      </w:pPr>
      <w:r>
        <w:br w:type="page"/>
      </w:r>
    </w:p>
    <w:p w14:paraId="25D68A19" w14:textId="77777777" w:rsidR="00E21EEA" w:rsidRDefault="00E21EEA" w:rsidP="00E21EEA">
      <w:pPr>
        <w:pStyle w:val="Heading1"/>
      </w:pPr>
      <w:bookmarkStart w:id="11" w:name="_Toc187391809"/>
      <w:r>
        <w:lastRenderedPageBreak/>
        <w:t>References</w:t>
      </w:r>
      <w:bookmarkEnd w:id="11"/>
    </w:p>
    <w:p w14:paraId="327C9E00" w14:textId="77777777" w:rsidR="00E21EEA" w:rsidRDefault="00E21EEA" w:rsidP="00E21EEA">
      <w:pPr>
        <w:rPr>
          <w:bCs/>
        </w:rPr>
      </w:pPr>
      <w:r w:rsidRPr="00503FCD">
        <w:rPr>
          <w:bCs/>
        </w:rPr>
        <w:t>Ahmed, I., 2018. Impact of dividend per share and earnings per share on stock prices: A Case study from Pakistan (Textile Sector). </w:t>
      </w:r>
      <w:r w:rsidRPr="00503FCD">
        <w:rPr>
          <w:bCs/>
          <w:i/>
          <w:iCs/>
        </w:rPr>
        <w:t>IJSSHE-International Journal of Social Sciences, Humanities and Education</w:t>
      </w:r>
      <w:r w:rsidRPr="00503FCD">
        <w:rPr>
          <w:bCs/>
        </w:rPr>
        <w:t>, </w:t>
      </w:r>
      <w:r w:rsidRPr="00503FCD">
        <w:rPr>
          <w:bCs/>
          <w:i/>
          <w:iCs/>
        </w:rPr>
        <w:t>2</w:t>
      </w:r>
      <w:r w:rsidRPr="00503FCD">
        <w:rPr>
          <w:bCs/>
        </w:rPr>
        <w:t>(2), pp.1-10.</w:t>
      </w:r>
    </w:p>
    <w:p w14:paraId="71C63353" w14:textId="77777777" w:rsidR="00E21EEA" w:rsidRDefault="00E21EEA" w:rsidP="00E21EEA">
      <w:r w:rsidRPr="00A94A7B">
        <w:t xml:space="preserve">Amanda, R.I., 2019. The impact of cash turnover, receivable turnover, inventory turnover, current ratio, and debt-to-equity ratio on profitability. </w:t>
      </w:r>
      <w:r w:rsidRPr="00A94A7B">
        <w:rPr>
          <w:i/>
          <w:iCs/>
        </w:rPr>
        <w:t>Journal of research in management</w:t>
      </w:r>
      <w:r w:rsidRPr="00A94A7B">
        <w:t>, </w:t>
      </w:r>
      <w:r w:rsidRPr="00A94A7B">
        <w:rPr>
          <w:i/>
          <w:iCs/>
        </w:rPr>
        <w:t>2</w:t>
      </w:r>
      <w:r w:rsidRPr="00A94A7B">
        <w:t>(2), pp.14-22.</w:t>
      </w:r>
    </w:p>
    <w:p w14:paraId="5BABE260" w14:textId="77777777" w:rsidR="00E21EEA" w:rsidRDefault="00E21EEA" w:rsidP="00E21EEA">
      <w:pPr>
        <w:rPr>
          <w:bCs/>
        </w:rPr>
      </w:pPr>
      <w:r w:rsidRPr="00503FCD">
        <w:rPr>
          <w:bCs/>
        </w:rPr>
        <w:t>Arsal, M., 2021. Impact of earnings per share and dividend per share on firm value. </w:t>
      </w:r>
      <w:r w:rsidRPr="00503FCD">
        <w:rPr>
          <w:bCs/>
          <w:i/>
          <w:iCs/>
        </w:rPr>
        <w:t>ATESTASI: Jurnal Ilmiah Akuntansi</w:t>
      </w:r>
      <w:r w:rsidRPr="00503FCD">
        <w:rPr>
          <w:bCs/>
        </w:rPr>
        <w:t>, </w:t>
      </w:r>
      <w:r w:rsidRPr="00503FCD">
        <w:rPr>
          <w:bCs/>
          <w:i/>
          <w:iCs/>
        </w:rPr>
        <w:t>4</w:t>
      </w:r>
      <w:r w:rsidRPr="00503FCD">
        <w:rPr>
          <w:bCs/>
        </w:rPr>
        <w:t>(1), pp.11-18.</w:t>
      </w:r>
    </w:p>
    <w:p w14:paraId="6C185404" w14:textId="77777777" w:rsidR="00E21EEA" w:rsidRPr="00503FCD" w:rsidRDefault="00E21EEA" w:rsidP="00E21EEA">
      <w:pPr>
        <w:rPr>
          <w:bCs/>
        </w:rPr>
      </w:pPr>
      <w:r>
        <w:t xml:space="preserve">AstraZeneca., 2023. Annual Report and Form 20-F Information 2023. [online]. </w:t>
      </w:r>
      <w:r w:rsidRPr="00EF522D">
        <w:rPr>
          <w:i/>
        </w:rPr>
        <w:t>AstraZeneca</w:t>
      </w:r>
      <w:r>
        <w:t xml:space="preserve">. Available at: </w:t>
      </w:r>
      <w:r w:rsidRPr="00EF522D">
        <w:t>https://www.astrazeneca.com/content/dam/az/Investor_Relations/annual-report-2023/pdf/AstraZeneca_AR_2023.pdf</w:t>
      </w:r>
      <w:r>
        <w:t xml:space="preserve"> [Accessed on: 9 January 2025]</w:t>
      </w:r>
    </w:p>
    <w:p w14:paraId="7C5C00CE" w14:textId="77777777" w:rsidR="00E21EEA" w:rsidRPr="00594A5B" w:rsidRDefault="00E21EEA" w:rsidP="00E21EEA">
      <w:r w:rsidRPr="00594A5B">
        <w:t xml:space="preserve">Atrill, P., 2020. </w:t>
      </w:r>
      <w:r w:rsidRPr="00477F93">
        <w:rPr>
          <w:i/>
        </w:rPr>
        <w:t>MBA-746 Financial Management for Decision Makers</w:t>
      </w:r>
      <w:r w:rsidRPr="00594A5B">
        <w:t>.</w:t>
      </w:r>
    </w:p>
    <w:p w14:paraId="7097D9A4" w14:textId="77777777" w:rsidR="00E21EEA" w:rsidRDefault="00E21EEA" w:rsidP="00E21EEA">
      <w:pPr>
        <w:rPr>
          <w:bCs/>
        </w:rPr>
      </w:pPr>
      <w:r>
        <w:rPr>
          <w:bCs/>
        </w:rPr>
        <w:t xml:space="preserve">BBC., 2025. Purpose and Limitation of Ratio Analysis. [online]. </w:t>
      </w:r>
      <w:r w:rsidRPr="00F62182">
        <w:rPr>
          <w:bCs/>
          <w:i/>
        </w:rPr>
        <w:t>BBC</w:t>
      </w:r>
      <w:r>
        <w:rPr>
          <w:bCs/>
        </w:rPr>
        <w:t xml:space="preserve">. Available at: </w:t>
      </w:r>
      <w:r w:rsidRPr="00220270">
        <w:rPr>
          <w:bCs/>
        </w:rPr>
        <w:t>https://www.bbc.co.uk/bitesize/guides/zrxn47h/revision/5</w:t>
      </w:r>
      <w:r>
        <w:rPr>
          <w:bCs/>
        </w:rPr>
        <w:t xml:space="preserve"> [Accessed on: 7 January 2025] </w:t>
      </w:r>
    </w:p>
    <w:p w14:paraId="0C855DB2" w14:textId="77777777" w:rsidR="00E21EEA" w:rsidRDefault="00E21EEA" w:rsidP="00746257">
      <w:pPr>
        <w:jc w:val="left"/>
        <w:rPr>
          <w:bCs/>
        </w:rPr>
      </w:pPr>
      <w:r>
        <w:t xml:space="preserve">Beaver, S., 2024. </w:t>
      </w:r>
      <w:r w:rsidRPr="007F0F31">
        <w:rPr>
          <w:bCs/>
        </w:rPr>
        <w:t>Accounts Receivable Turnover Ratio: Definition, Formula &amp; Examples</w:t>
      </w:r>
      <w:r>
        <w:rPr>
          <w:bCs/>
        </w:rPr>
        <w:t xml:space="preserve">. [Online]. </w:t>
      </w:r>
      <w:r w:rsidRPr="009A67A5">
        <w:rPr>
          <w:bCs/>
          <w:i/>
        </w:rPr>
        <w:t>Oracle Netsuite</w:t>
      </w:r>
      <w:r>
        <w:rPr>
          <w:bCs/>
        </w:rPr>
        <w:t xml:space="preserve">. Available at: </w:t>
      </w:r>
      <w:r w:rsidRPr="009A67A5">
        <w:rPr>
          <w:bCs/>
        </w:rPr>
        <w:t>https://www.netsuite.com/portal/resource/articles/accounting/acc</w:t>
      </w:r>
      <w:r>
        <w:rPr>
          <w:bCs/>
        </w:rPr>
        <w:t>ounts-receivable-turnover-ratio</w:t>
      </w:r>
      <w:r w:rsidRPr="009A67A5">
        <w:rPr>
          <w:bCs/>
        </w:rPr>
        <w:t>shtml</w:t>
      </w:r>
      <w:r>
        <w:rPr>
          <w:bCs/>
        </w:rPr>
        <w:t xml:space="preserve"> [Accessed on: 8 January 2025]</w:t>
      </w:r>
    </w:p>
    <w:p w14:paraId="7368258A" w14:textId="77777777" w:rsidR="00E21EEA" w:rsidRDefault="00E21EEA" w:rsidP="00E21EEA">
      <w:pPr>
        <w:rPr>
          <w:bCs/>
        </w:rPr>
      </w:pPr>
      <w:r>
        <w:rPr>
          <w:bCs/>
        </w:rPr>
        <w:t xml:space="preserve">Bowman, J., 2024. What is Dividend Per Share? [online]. </w:t>
      </w:r>
      <w:r w:rsidRPr="00B86308">
        <w:rPr>
          <w:bCs/>
          <w:i/>
        </w:rPr>
        <w:t>The Motley Fool.</w:t>
      </w:r>
      <w:r>
        <w:rPr>
          <w:bCs/>
        </w:rPr>
        <w:t xml:space="preserve"> Available at: </w:t>
      </w:r>
      <w:r w:rsidRPr="004C4713">
        <w:rPr>
          <w:bCs/>
        </w:rPr>
        <w:t>https://www.fool.com/terms/d/dividends-per-share/</w:t>
      </w:r>
      <w:r>
        <w:rPr>
          <w:bCs/>
        </w:rPr>
        <w:t xml:space="preserve"> [Accessed on: 7 January 2025] </w:t>
      </w:r>
    </w:p>
    <w:p w14:paraId="7D7521F4" w14:textId="77777777" w:rsidR="00E21EEA" w:rsidRDefault="00E21EEA" w:rsidP="00E21EEA">
      <w:pPr>
        <w:rPr>
          <w:bCs/>
        </w:rPr>
      </w:pPr>
      <w:r>
        <w:rPr>
          <w:bCs/>
        </w:rPr>
        <w:t xml:space="preserve">Bragg, S., 2024. Limitations of Ratio analysis. [online]. </w:t>
      </w:r>
      <w:r w:rsidRPr="00D56DC9">
        <w:rPr>
          <w:bCs/>
          <w:i/>
        </w:rPr>
        <w:t>Accounting Tools</w:t>
      </w:r>
      <w:r>
        <w:rPr>
          <w:bCs/>
        </w:rPr>
        <w:t xml:space="preserve">. Available at: </w:t>
      </w:r>
      <w:r w:rsidRPr="00D56DC9">
        <w:rPr>
          <w:bCs/>
        </w:rPr>
        <w:t>https://www.accountingtools.com/articles/what-are-the-limitations-of-ratio-analysis.html</w:t>
      </w:r>
      <w:r>
        <w:rPr>
          <w:bCs/>
        </w:rPr>
        <w:t xml:space="preserve"> [Accessed on: 7 January 2025] </w:t>
      </w:r>
    </w:p>
    <w:p w14:paraId="11A4938A" w14:textId="77777777" w:rsidR="00E21EEA" w:rsidRDefault="00E21EEA" w:rsidP="00E21EEA">
      <w:pPr>
        <w:rPr>
          <w:bCs/>
        </w:rPr>
      </w:pPr>
      <w:r>
        <w:t>Corporate Finance Institute</w:t>
      </w:r>
      <w:r>
        <w:rPr>
          <w:bCs/>
        </w:rPr>
        <w:t xml:space="preserve">., 2025. Limitations of Ratio analysis. [online]. </w:t>
      </w:r>
      <w:r w:rsidRPr="00F62182">
        <w:rPr>
          <w:bCs/>
          <w:i/>
        </w:rPr>
        <w:t>CFI</w:t>
      </w:r>
      <w:r>
        <w:rPr>
          <w:bCs/>
        </w:rPr>
        <w:t xml:space="preserve">. Available at: </w:t>
      </w:r>
      <w:r w:rsidRPr="00261361">
        <w:rPr>
          <w:bCs/>
        </w:rPr>
        <w:t>https://corporatefinanceinstitute.com/resources/accounting/limitations-ratio-analysis/</w:t>
      </w:r>
      <w:r>
        <w:rPr>
          <w:bCs/>
        </w:rPr>
        <w:t xml:space="preserve"> [Accessed on: 7 January 2025] </w:t>
      </w:r>
    </w:p>
    <w:p w14:paraId="71BCDF62" w14:textId="77777777" w:rsidR="00E21EEA" w:rsidRDefault="00E21EEA" w:rsidP="00E21EEA">
      <w:r>
        <w:lastRenderedPageBreak/>
        <w:t xml:space="preserve">Corporate Finance Institute., 2025. Ratio analysis. [online]. </w:t>
      </w:r>
      <w:r w:rsidRPr="002420DE">
        <w:rPr>
          <w:i/>
        </w:rPr>
        <w:t>CFI</w:t>
      </w:r>
      <w:r>
        <w:t xml:space="preserve">. Available at: </w:t>
      </w:r>
      <w:r w:rsidRPr="00B437B5">
        <w:t>https://corporatefinanceinstitute.com/resources/accounting/ratio-analysis/</w:t>
      </w:r>
      <w:r>
        <w:t xml:space="preserve"> [Accessed on: 7</w:t>
      </w:r>
      <w:r>
        <w:rPr>
          <w:vertAlign w:val="superscript"/>
        </w:rPr>
        <w:t xml:space="preserve"> </w:t>
      </w:r>
      <w:r>
        <w:t xml:space="preserve">January 2025] </w:t>
      </w:r>
    </w:p>
    <w:p w14:paraId="75D2B307" w14:textId="77777777" w:rsidR="00E21EEA" w:rsidRDefault="00E21EEA" w:rsidP="00E21EEA">
      <w:r>
        <w:t xml:space="preserve">Corporate Finance Institute., 2025. What is the Interest Coverage Ratio? [online]. </w:t>
      </w:r>
      <w:r w:rsidRPr="00F503C3">
        <w:rPr>
          <w:i/>
        </w:rPr>
        <w:t>CFI</w:t>
      </w:r>
      <w:r>
        <w:t xml:space="preserve">. Available at: </w:t>
      </w:r>
      <w:r w:rsidRPr="00F503C3">
        <w:t>https://corporatefinanceinstitute.com/resources/commercial-lending/interest-coverage-ratio/</w:t>
      </w:r>
      <w:r>
        <w:t xml:space="preserve"> [Accessed on: 8</w:t>
      </w:r>
      <w:r w:rsidRPr="00F503C3">
        <w:rPr>
          <w:vertAlign w:val="superscript"/>
        </w:rPr>
        <w:t>th</w:t>
      </w:r>
      <w:r>
        <w:t xml:space="preserve"> January 2025]</w:t>
      </w:r>
    </w:p>
    <w:p w14:paraId="2F2AFA45" w14:textId="77777777" w:rsidR="00E21EEA" w:rsidRPr="00594A5B" w:rsidRDefault="00E21EEA" w:rsidP="00E21EEA">
      <w:r w:rsidRPr="00594A5B">
        <w:t xml:space="preserve">Drury, C., 2018. </w:t>
      </w:r>
      <w:r w:rsidRPr="00477F93">
        <w:rPr>
          <w:i/>
        </w:rPr>
        <w:t>Cost and management accounting. Belmont, CA, USA: Cengage Learning</w:t>
      </w:r>
      <w:r w:rsidRPr="00594A5B">
        <w:t>.</w:t>
      </w:r>
    </w:p>
    <w:p w14:paraId="1ED0041B" w14:textId="77777777" w:rsidR="00E21EEA" w:rsidRDefault="00E21EEA" w:rsidP="00E21EEA">
      <w:pPr>
        <w:rPr>
          <w:bCs/>
        </w:rPr>
      </w:pPr>
      <w:r w:rsidRPr="00F523A0">
        <w:rPr>
          <w:bCs/>
        </w:rPr>
        <w:t>Faello, J., 2015. Understanding the limitations of financial ratios. </w:t>
      </w:r>
      <w:r w:rsidRPr="00F523A0">
        <w:rPr>
          <w:bCs/>
          <w:i/>
          <w:iCs/>
        </w:rPr>
        <w:t>Academy of accounting and financial studies journal</w:t>
      </w:r>
      <w:r w:rsidRPr="00F523A0">
        <w:rPr>
          <w:bCs/>
        </w:rPr>
        <w:t>, </w:t>
      </w:r>
      <w:r w:rsidRPr="00F523A0">
        <w:rPr>
          <w:bCs/>
          <w:i/>
          <w:iCs/>
        </w:rPr>
        <w:t>19</w:t>
      </w:r>
      <w:r w:rsidRPr="00F523A0">
        <w:rPr>
          <w:bCs/>
        </w:rPr>
        <w:t>(3), p.75.</w:t>
      </w:r>
    </w:p>
    <w:p w14:paraId="2D3A4DE3" w14:textId="77777777" w:rsidR="00E21EEA" w:rsidRDefault="00E21EEA" w:rsidP="00746257">
      <w:pPr>
        <w:jc w:val="left"/>
      </w:pPr>
      <w:r>
        <w:t xml:space="preserve">Forbes., 2025. AstraZeneca. [online]. </w:t>
      </w:r>
      <w:r w:rsidRPr="00E1726F">
        <w:rPr>
          <w:i/>
        </w:rPr>
        <w:t>Forbes</w:t>
      </w:r>
      <w:r>
        <w:t xml:space="preserve">. Available at: </w:t>
      </w:r>
      <w:r w:rsidRPr="00E1726F">
        <w:t>https://www.forbes.com/companies/astrazeneca/</w:t>
      </w:r>
      <w:r>
        <w:t xml:space="preserve"> [Accessed on: 7</w:t>
      </w:r>
      <w:r>
        <w:rPr>
          <w:vertAlign w:val="superscript"/>
        </w:rPr>
        <w:t xml:space="preserve"> </w:t>
      </w:r>
      <w:r>
        <w:t xml:space="preserve">January 2025] </w:t>
      </w:r>
    </w:p>
    <w:p w14:paraId="30CABB48" w14:textId="77777777" w:rsidR="00E21EEA" w:rsidRDefault="00E21EEA" w:rsidP="00E21EEA">
      <w:pPr>
        <w:rPr>
          <w:shd w:val="clear" w:color="auto" w:fill="FFFFFF"/>
        </w:rPr>
      </w:pPr>
      <w:r>
        <w:rPr>
          <w:shd w:val="clear" w:color="auto" w:fill="FFFFFF"/>
        </w:rPr>
        <w:t>Frecknall-Hughes, J., Simpson, M., Padmore, J. and Padmore, J., 2007. Inherent limitations in using financial ratio analysis to assess small and medium-sized company performance (pp. 2007-01). Working Paper.</w:t>
      </w:r>
    </w:p>
    <w:p w14:paraId="6C7F8D60" w14:textId="77777777" w:rsidR="00E21EEA" w:rsidRDefault="00E21EEA" w:rsidP="00E21EEA">
      <w:pPr>
        <w:rPr>
          <w:bCs/>
        </w:rPr>
      </w:pPr>
      <w:r w:rsidRPr="00F523A0">
        <w:rPr>
          <w:bCs/>
        </w:rPr>
        <w:t>Gadoiu, M., 2014. Advantages and limitations of the financial ratios used in the financial diagnosis of the enterprise. </w:t>
      </w:r>
      <w:r w:rsidRPr="00F523A0">
        <w:rPr>
          <w:bCs/>
          <w:i/>
          <w:iCs/>
        </w:rPr>
        <w:t>Scientific Bulletin-Economic Sciences</w:t>
      </w:r>
      <w:r w:rsidRPr="00F523A0">
        <w:rPr>
          <w:bCs/>
        </w:rPr>
        <w:t>, </w:t>
      </w:r>
      <w:r w:rsidRPr="00F523A0">
        <w:rPr>
          <w:bCs/>
          <w:i/>
          <w:iCs/>
        </w:rPr>
        <w:t>13</w:t>
      </w:r>
      <w:r w:rsidRPr="00F523A0">
        <w:rPr>
          <w:bCs/>
        </w:rPr>
        <w:t>(2), pp.87-95.</w:t>
      </w:r>
    </w:p>
    <w:p w14:paraId="745F7C01" w14:textId="77777777" w:rsidR="00E21EEA" w:rsidRDefault="00E21EEA" w:rsidP="00E21EEA">
      <w:r w:rsidRPr="0059617E">
        <w:t xml:space="preserve">Heikal, M., Khaddafi, M. and Ummah, A., 2014. Influence analysis of return on assets (ROA), return on equity (ROE), net profit margin (NPM), debt to equity ratio (DER), and current ratio (CR) against corporate profit growth in automotive in Indonesia Stock Exchange. </w:t>
      </w:r>
      <w:r w:rsidRPr="0059617E">
        <w:rPr>
          <w:i/>
          <w:iCs/>
        </w:rPr>
        <w:t>International Journal of Academic Research in Business and Social Sciences</w:t>
      </w:r>
      <w:r w:rsidRPr="0059617E">
        <w:t>, </w:t>
      </w:r>
      <w:r w:rsidRPr="0059617E">
        <w:rPr>
          <w:i/>
          <w:iCs/>
        </w:rPr>
        <w:t>4</w:t>
      </w:r>
      <w:r w:rsidRPr="0059617E">
        <w:t>(12), p.101.</w:t>
      </w:r>
    </w:p>
    <w:p w14:paraId="0E25345E" w14:textId="77777777" w:rsidR="00E21EEA" w:rsidRDefault="00E21EEA" w:rsidP="00E21EEA">
      <w:pPr>
        <w:rPr>
          <w:bCs/>
        </w:rPr>
      </w:pPr>
      <w:r w:rsidRPr="00A51C20">
        <w:rPr>
          <w:bCs/>
        </w:rPr>
        <w:t>Humaerah, T., Wahab, A. and Sultan, Z., 2022. Effect of Dividend Per Share (DPS) and Earning Per Share (EPS) on Stock Prices in Pharmaceutical Sub Sector Companies. </w:t>
      </w:r>
      <w:r w:rsidRPr="00A51C20">
        <w:rPr>
          <w:bCs/>
          <w:i/>
          <w:iCs/>
        </w:rPr>
        <w:t>Terbuka Journal of Economics and Business</w:t>
      </w:r>
      <w:r w:rsidRPr="00A51C20">
        <w:rPr>
          <w:bCs/>
        </w:rPr>
        <w:t>, </w:t>
      </w:r>
      <w:r w:rsidRPr="00A51C20">
        <w:rPr>
          <w:bCs/>
          <w:i/>
          <w:iCs/>
        </w:rPr>
        <w:t>3</w:t>
      </w:r>
      <w:r w:rsidRPr="00A51C20">
        <w:rPr>
          <w:bCs/>
        </w:rPr>
        <w:t>(2), pp.31-43.</w:t>
      </w:r>
    </w:p>
    <w:p w14:paraId="4456B352" w14:textId="77777777" w:rsidR="00E21EEA" w:rsidRDefault="00E21EEA" w:rsidP="00E21EEA">
      <w:r w:rsidRPr="0059617E">
        <w:t>Husna, A. and Satria, I., 2019. Effects of return on asset, debt to asset ratio, current ratio, firm size, and dividend payout ratio on firm value. </w:t>
      </w:r>
      <w:r w:rsidRPr="0059617E">
        <w:rPr>
          <w:i/>
          <w:iCs/>
        </w:rPr>
        <w:t>International Journal of Economics and Financial Issues</w:t>
      </w:r>
      <w:r w:rsidRPr="0059617E">
        <w:t>, </w:t>
      </w:r>
      <w:r w:rsidRPr="0059617E">
        <w:rPr>
          <w:i/>
          <w:iCs/>
        </w:rPr>
        <w:t>9</w:t>
      </w:r>
      <w:r w:rsidRPr="0059617E">
        <w:t>(5), pp.50-54.</w:t>
      </w:r>
    </w:p>
    <w:p w14:paraId="4D2A1AF8" w14:textId="77777777" w:rsidR="00E21EEA" w:rsidRDefault="00E21EEA" w:rsidP="00E21EEA">
      <w:r w:rsidRPr="00B02C7B">
        <w:t xml:space="preserve">Mahdi, M. and Khaddafi, M., 2020. The influence of gross profit margin, operating profit margin, and net profit margin on the stock price of the consumer goods industry in the </w:t>
      </w:r>
      <w:r w:rsidRPr="00B02C7B">
        <w:lastRenderedPageBreak/>
        <w:t xml:space="preserve">Indonesia stock exchange in 2012-2014. </w:t>
      </w:r>
      <w:r w:rsidRPr="00B02C7B">
        <w:rPr>
          <w:i/>
          <w:iCs/>
        </w:rPr>
        <w:t>International Journal of Business, Economics, and Social Development</w:t>
      </w:r>
      <w:r w:rsidRPr="00B02C7B">
        <w:t>, </w:t>
      </w:r>
      <w:r w:rsidRPr="00B02C7B">
        <w:rPr>
          <w:i/>
          <w:iCs/>
        </w:rPr>
        <w:t>1</w:t>
      </w:r>
      <w:r w:rsidRPr="00B02C7B">
        <w:t>(3), pp.153-163.</w:t>
      </w:r>
    </w:p>
    <w:p w14:paraId="63596F30" w14:textId="77777777" w:rsidR="00E21EEA" w:rsidRDefault="00E21EEA" w:rsidP="00E21EEA">
      <w:r w:rsidRPr="00A50236">
        <w:t>Marr, B., 2012. </w:t>
      </w:r>
      <w:r w:rsidRPr="00A50236">
        <w:rPr>
          <w:i/>
          <w:iCs/>
        </w:rPr>
        <w:t>Key Performance Indicators (KPI): The 75 measures every manager needs to know</w:t>
      </w:r>
      <w:r w:rsidRPr="00A50236">
        <w:t>. Pearson UK.</w:t>
      </w:r>
    </w:p>
    <w:p w14:paraId="790B6F22" w14:textId="77777777" w:rsidR="00E21EEA" w:rsidRDefault="00E21EEA" w:rsidP="00E21EEA">
      <w:r w:rsidRPr="00B02C7B">
        <w:t xml:space="preserve">Nariswari, T.N. and Nugraha, N.M., 2020. Profit growth: impact of net profit margin, gross profit margin, and total assets turnover. </w:t>
      </w:r>
      <w:r w:rsidRPr="00B02C7B">
        <w:rPr>
          <w:i/>
          <w:iCs/>
        </w:rPr>
        <w:t>International Journal of Finance &amp; Banking Studies (2147-4486)</w:t>
      </w:r>
      <w:r w:rsidRPr="00B02C7B">
        <w:t>, </w:t>
      </w:r>
      <w:r w:rsidRPr="00B02C7B">
        <w:rPr>
          <w:i/>
          <w:iCs/>
        </w:rPr>
        <w:t>9</w:t>
      </w:r>
      <w:r w:rsidRPr="00B02C7B">
        <w:t>(4), pp.87-96.</w:t>
      </w:r>
    </w:p>
    <w:p w14:paraId="46B35E5E" w14:textId="77777777" w:rsidR="00E21EEA" w:rsidRDefault="00E21EEA" w:rsidP="00E21EEA">
      <w:r w:rsidRPr="00A94A7B">
        <w:t>Nasution, A.A., 2020. Effect of inventory turnover on the level of profitability. In </w:t>
      </w:r>
      <w:r w:rsidRPr="00A94A7B">
        <w:rPr>
          <w:i/>
          <w:iCs/>
        </w:rPr>
        <w:t>IOP Conference Series: Materials Science and Engineering</w:t>
      </w:r>
      <w:r w:rsidRPr="00A94A7B">
        <w:t> (Vol. 725, No. 1, p. 012137). IOP Publishing.</w:t>
      </w:r>
    </w:p>
    <w:p w14:paraId="6A380F18" w14:textId="77777777" w:rsidR="00E21EEA" w:rsidRDefault="00E21EEA" w:rsidP="00E21EEA">
      <w:r w:rsidRPr="0059617E">
        <w:t xml:space="preserve">Sari, W.N., Novari, E., Fitri, Y.S. and Nasution, A.I., 2022. Effect of Current Ratio (Cr), Quick Ratio (Qr), Debt To Asset Ratio (Dar), and Debt To Equity Ratio (Der) on Return On Assets (Roa). </w:t>
      </w:r>
      <w:r w:rsidRPr="0059617E">
        <w:rPr>
          <w:i/>
          <w:iCs/>
        </w:rPr>
        <w:t>Journal of Islamic Economics and Business</w:t>
      </w:r>
      <w:r w:rsidRPr="0059617E">
        <w:t>, </w:t>
      </w:r>
      <w:r w:rsidRPr="0059617E">
        <w:rPr>
          <w:i/>
          <w:iCs/>
        </w:rPr>
        <w:t>2</w:t>
      </w:r>
      <w:r w:rsidRPr="0059617E">
        <w:t>(1), pp.42-58.</w:t>
      </w:r>
    </w:p>
    <w:p w14:paraId="03A7E87C" w14:textId="77777777" w:rsidR="00E21EEA" w:rsidRDefault="00E21EEA" w:rsidP="00E21EEA">
      <w:r w:rsidRPr="000D62A4">
        <w:t>Schroeder, R.G., Clark, M.W. and Cathey, J.M., 2022. </w:t>
      </w:r>
      <w:r w:rsidRPr="000D62A4">
        <w:rPr>
          <w:i/>
          <w:iCs/>
        </w:rPr>
        <w:t>Financial accounting theory and analysis: text and cases</w:t>
      </w:r>
      <w:r w:rsidRPr="000D62A4">
        <w:t>. John Wiley &amp; Sons.</w:t>
      </w:r>
    </w:p>
    <w:p w14:paraId="5B8E8B93" w14:textId="77777777" w:rsidR="00E21EEA" w:rsidRDefault="00E21EEA" w:rsidP="00E21EEA">
      <w:r w:rsidRPr="00F503C3">
        <w:t>Susilawati, D., Shavab, F.A. and Mustika, M., 2022. The effect of debt to equity ratio and current ratio on return on assets. </w:t>
      </w:r>
      <w:r w:rsidRPr="00F503C3">
        <w:rPr>
          <w:i/>
          <w:iCs/>
        </w:rPr>
        <w:t>Journal of Applied Business, Taxation and Economics Research</w:t>
      </w:r>
      <w:r w:rsidRPr="00F503C3">
        <w:t>, </w:t>
      </w:r>
      <w:r w:rsidRPr="00F503C3">
        <w:rPr>
          <w:i/>
          <w:iCs/>
        </w:rPr>
        <w:t>1</w:t>
      </w:r>
      <w:r w:rsidRPr="00F503C3">
        <w:t>(4), pp.325-337.</w:t>
      </w:r>
    </w:p>
    <w:p w14:paraId="068D7EE4" w14:textId="77777777" w:rsidR="00E21EEA" w:rsidRDefault="00E21EEA" w:rsidP="00E21EEA">
      <w:r>
        <w:t>Walsh, C., 2003</w:t>
      </w:r>
      <w:r w:rsidRPr="00477F93">
        <w:t>. </w:t>
      </w:r>
      <w:r w:rsidRPr="00477F93">
        <w:rPr>
          <w:i/>
          <w:iCs/>
        </w:rPr>
        <w:t>Key management ratios: the 100+ ratios every manager needs to know</w:t>
      </w:r>
      <w:r w:rsidRPr="00477F93">
        <w:t>. Pearson Education.</w:t>
      </w:r>
    </w:p>
    <w:p w14:paraId="7D49A74C" w14:textId="77777777" w:rsidR="00E21EEA" w:rsidRPr="00E21EEA" w:rsidRDefault="00E21EEA" w:rsidP="00E21EEA"/>
    <w:p w14:paraId="0DA410D7" w14:textId="77777777" w:rsidR="006D2B5D" w:rsidRDefault="002604AF">
      <w:pPr>
        <w:spacing w:after="0"/>
      </w:pPr>
      <w:r>
        <w:br w:type="page"/>
      </w:r>
    </w:p>
    <w:p w14:paraId="6A26AFE4" w14:textId="77777777" w:rsidR="006D2B5D" w:rsidRPr="006D2B5D" w:rsidRDefault="002604AF" w:rsidP="006D2B5D">
      <w:pPr>
        <w:pStyle w:val="Heading1"/>
      </w:pPr>
      <w:bookmarkStart w:id="12" w:name="_Toc187391810"/>
      <w:r>
        <w:lastRenderedPageBreak/>
        <w:t>Appendix</w:t>
      </w:r>
      <w:bookmarkEnd w:id="12"/>
    </w:p>
    <w:p w14:paraId="6936A8F9" w14:textId="77777777" w:rsidR="00F05749" w:rsidRDefault="002604AF" w:rsidP="00A77F85">
      <w:pPr>
        <w:pStyle w:val="Heading2"/>
      </w:pPr>
      <w:bookmarkStart w:id="13" w:name="_Toc187391811"/>
      <w:r>
        <w:t>Financial Statements of AstraZeneca</w:t>
      </w:r>
      <w:bookmarkEnd w:id="13"/>
    </w:p>
    <w:p w14:paraId="70FD4EEA" w14:textId="77777777" w:rsidR="00A77F85" w:rsidRDefault="002604AF" w:rsidP="00A77F85">
      <w:r w:rsidRPr="00290A9D">
        <w:rPr>
          <w:lang w:eastAsia="en-GB"/>
        </w:rPr>
        <w:drawing>
          <wp:inline distT="0" distB="0" distL="0" distR="0" wp14:anchorId="38FF4FCF" wp14:editId="164568E2">
            <wp:extent cx="5730875" cy="5962650"/>
            <wp:effectExtent l="152400" t="152400" r="365125" b="36195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
                    <pic:cNvPicPr>
                      <a:picLocks noChangeAspect="1" noChangeArrowheads="1"/>
                    </pic:cNvPicPr>
                  </pic:nvPicPr>
                  <pic:blipFill>
                    <a:blip r:embed="rId18"/>
                    <a:stretch>
                      <a:fillRect/>
                    </a:stretch>
                  </pic:blipFill>
                  <pic:spPr bwMode="auto">
                    <a:xfrm>
                      <a:off x="0" y="0"/>
                      <a:ext cx="5751887" cy="5984512"/>
                    </a:xfrm>
                    <a:prstGeom prst="rect">
                      <a:avLst/>
                    </a:prstGeom>
                    <a:ln>
                      <a:noFill/>
                    </a:ln>
                    <a:effectLst>
                      <a:outerShdw blurRad="292100" dist="139700" dir="2700000" algn="tl" rotWithShape="0">
                        <a:srgbClr val="333333">
                          <a:alpha val="65000"/>
                        </a:srgbClr>
                      </a:outerShdw>
                    </a:effectLst>
                  </pic:spPr>
                </pic:pic>
              </a:graphicData>
            </a:graphic>
          </wp:inline>
        </w:drawing>
      </w:r>
    </w:p>
    <w:p w14:paraId="40C96DE1" w14:textId="77777777" w:rsidR="00754D36" w:rsidRDefault="002604AF" w:rsidP="00A77F85">
      <w:r w:rsidRPr="00290A9D">
        <w:rPr>
          <w:lang w:eastAsia="en-GB"/>
        </w:rPr>
        <w:lastRenderedPageBreak/>
        <w:drawing>
          <wp:inline distT="0" distB="0" distL="0" distR="0" wp14:anchorId="2B873F51" wp14:editId="6F8CD8C2">
            <wp:extent cx="5819775" cy="7319010"/>
            <wp:effectExtent l="152400" t="152400" r="371475" b="358140"/>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4"/>
                    <pic:cNvPicPr>
                      <a:picLocks noChangeAspect="1" noChangeArrowheads="1"/>
                    </pic:cNvPicPr>
                  </pic:nvPicPr>
                  <pic:blipFill>
                    <a:blip r:embed="rId19"/>
                    <a:stretch>
                      <a:fillRect/>
                    </a:stretch>
                  </pic:blipFill>
                  <pic:spPr bwMode="auto">
                    <a:xfrm>
                      <a:off x="0" y="0"/>
                      <a:ext cx="5819775" cy="7319010"/>
                    </a:xfrm>
                    <a:prstGeom prst="rect">
                      <a:avLst/>
                    </a:prstGeom>
                    <a:ln>
                      <a:noFill/>
                    </a:ln>
                    <a:effectLst>
                      <a:outerShdw blurRad="292100" dist="139700" dir="2700000" algn="tl" rotWithShape="0">
                        <a:srgbClr val="333333">
                          <a:alpha val="65000"/>
                        </a:srgbClr>
                      </a:outerShdw>
                    </a:effectLst>
                  </pic:spPr>
                </pic:pic>
              </a:graphicData>
            </a:graphic>
          </wp:inline>
        </w:drawing>
      </w:r>
    </w:p>
    <w:p w14:paraId="0A8928C8" w14:textId="77777777" w:rsidR="00B23E8B" w:rsidRDefault="00B23E8B" w:rsidP="00A77F85"/>
    <w:p w14:paraId="4AEE448A" w14:textId="77777777" w:rsidR="00754D36" w:rsidRDefault="002604AF">
      <w:pPr>
        <w:spacing w:after="0"/>
      </w:pPr>
      <w:r>
        <w:br w:type="page"/>
      </w:r>
    </w:p>
    <w:p w14:paraId="31C851B4" w14:textId="77777777" w:rsidR="00754D36" w:rsidRDefault="002604AF" w:rsidP="00754D36">
      <w:pPr>
        <w:pStyle w:val="Heading2"/>
      </w:pPr>
      <w:bookmarkStart w:id="14" w:name="_Toc187391812"/>
      <w:r>
        <w:lastRenderedPageBreak/>
        <w:t>Calculation of Ratios</w:t>
      </w:r>
      <w:bookmarkEnd w:id="14"/>
    </w:p>
    <w:p w14:paraId="6CF32B9F" w14:textId="77777777" w:rsidR="00715A31" w:rsidRDefault="00B23E8B" w:rsidP="00715A31">
      <w:r>
        <w:rPr>
          <w:lang w:eastAsia="en-GB"/>
        </w:rPr>
        <w:drawing>
          <wp:inline distT="0" distB="0" distL="0" distR="0" wp14:anchorId="2C812F83" wp14:editId="307C1288">
            <wp:extent cx="5897371" cy="2724150"/>
            <wp:effectExtent l="19050" t="0" r="8129"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srcRect/>
                    <a:stretch>
                      <a:fillRect/>
                    </a:stretch>
                  </pic:blipFill>
                  <pic:spPr bwMode="auto">
                    <a:xfrm>
                      <a:off x="0" y="0"/>
                      <a:ext cx="5903127" cy="2726809"/>
                    </a:xfrm>
                    <a:prstGeom prst="rect">
                      <a:avLst/>
                    </a:prstGeom>
                    <a:noFill/>
                    <a:ln w="9525">
                      <a:noFill/>
                      <a:miter lim="800000"/>
                      <a:headEnd/>
                      <a:tailEnd/>
                    </a:ln>
                  </pic:spPr>
                </pic:pic>
              </a:graphicData>
            </a:graphic>
          </wp:inline>
        </w:drawing>
      </w:r>
    </w:p>
    <w:p w14:paraId="47DD6CAB" w14:textId="77777777" w:rsidR="00B23E8B" w:rsidRDefault="00B23E8B" w:rsidP="00715A31">
      <w:r>
        <w:rPr>
          <w:lang w:eastAsia="en-GB"/>
        </w:rPr>
        <w:drawing>
          <wp:inline distT="0" distB="0" distL="0" distR="0" wp14:anchorId="27504609" wp14:editId="4D9B9053">
            <wp:extent cx="5975672" cy="2819400"/>
            <wp:effectExtent l="19050" t="0" r="6028"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srcRect/>
                    <a:stretch>
                      <a:fillRect/>
                    </a:stretch>
                  </pic:blipFill>
                  <pic:spPr bwMode="auto">
                    <a:xfrm>
                      <a:off x="0" y="0"/>
                      <a:ext cx="5979311" cy="2821117"/>
                    </a:xfrm>
                    <a:prstGeom prst="rect">
                      <a:avLst/>
                    </a:prstGeom>
                    <a:noFill/>
                    <a:ln w="9525">
                      <a:noFill/>
                      <a:miter lim="800000"/>
                      <a:headEnd/>
                      <a:tailEnd/>
                    </a:ln>
                  </pic:spPr>
                </pic:pic>
              </a:graphicData>
            </a:graphic>
          </wp:inline>
        </w:drawing>
      </w:r>
    </w:p>
    <w:p w14:paraId="149ECA58" w14:textId="77777777" w:rsidR="00B23E8B" w:rsidRDefault="00B23E8B">
      <w:pPr>
        <w:spacing w:after="0"/>
      </w:pPr>
      <w:r>
        <w:br w:type="page"/>
      </w:r>
    </w:p>
    <w:p w14:paraId="2AC54CDD" w14:textId="77777777" w:rsidR="00B23E8B" w:rsidRDefault="00B23E8B" w:rsidP="00715A31">
      <w:r>
        <w:rPr>
          <w:lang w:eastAsia="en-GB"/>
        </w:rPr>
        <w:lastRenderedPageBreak/>
        <w:drawing>
          <wp:inline distT="0" distB="0" distL="0" distR="0" wp14:anchorId="63FC9DD0" wp14:editId="6D3F1059">
            <wp:extent cx="5960445" cy="2847975"/>
            <wp:effectExtent l="19050" t="0" r="2205" b="0"/>
            <wp:docPr id="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srcRect/>
                    <a:stretch>
                      <a:fillRect/>
                    </a:stretch>
                  </pic:blipFill>
                  <pic:spPr bwMode="auto">
                    <a:xfrm>
                      <a:off x="0" y="0"/>
                      <a:ext cx="5970018" cy="2852549"/>
                    </a:xfrm>
                    <a:prstGeom prst="rect">
                      <a:avLst/>
                    </a:prstGeom>
                    <a:noFill/>
                    <a:ln w="9525">
                      <a:noFill/>
                      <a:miter lim="800000"/>
                      <a:headEnd/>
                      <a:tailEnd/>
                    </a:ln>
                  </pic:spPr>
                </pic:pic>
              </a:graphicData>
            </a:graphic>
          </wp:inline>
        </w:drawing>
      </w:r>
    </w:p>
    <w:p w14:paraId="6E228B48" w14:textId="77777777" w:rsidR="00B23E8B" w:rsidRDefault="00B23E8B" w:rsidP="00715A31">
      <w:r>
        <w:rPr>
          <w:lang w:eastAsia="en-GB"/>
        </w:rPr>
        <w:drawing>
          <wp:inline distT="0" distB="0" distL="0" distR="0" wp14:anchorId="276313BB" wp14:editId="1EF8A7E8">
            <wp:extent cx="5923061" cy="2762250"/>
            <wp:effectExtent l="19050" t="0" r="1489" b="0"/>
            <wp:docPr id="1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a:srcRect/>
                    <a:stretch>
                      <a:fillRect/>
                    </a:stretch>
                  </pic:blipFill>
                  <pic:spPr bwMode="auto">
                    <a:xfrm>
                      <a:off x="0" y="0"/>
                      <a:ext cx="5931831" cy="2766340"/>
                    </a:xfrm>
                    <a:prstGeom prst="rect">
                      <a:avLst/>
                    </a:prstGeom>
                    <a:noFill/>
                    <a:ln w="9525">
                      <a:noFill/>
                      <a:miter lim="800000"/>
                      <a:headEnd/>
                      <a:tailEnd/>
                    </a:ln>
                  </pic:spPr>
                </pic:pic>
              </a:graphicData>
            </a:graphic>
          </wp:inline>
        </w:drawing>
      </w:r>
    </w:p>
    <w:p w14:paraId="11C6284D" w14:textId="16167372" w:rsidR="00715A31" w:rsidRDefault="00B23E8B" w:rsidP="00ED4D6A">
      <w:pPr>
        <w:spacing w:after="0"/>
      </w:pPr>
      <w:r>
        <w:rPr>
          <w:lang w:eastAsia="en-GB"/>
        </w:rPr>
        <w:drawing>
          <wp:inline distT="0" distB="0" distL="0" distR="0" wp14:anchorId="444E20E2" wp14:editId="04506163">
            <wp:extent cx="5723861" cy="2419350"/>
            <wp:effectExtent l="19050" t="0" r="0" b="0"/>
            <wp:docPr id="1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srcRect/>
                    <a:stretch>
                      <a:fillRect/>
                    </a:stretch>
                  </pic:blipFill>
                  <pic:spPr bwMode="auto">
                    <a:xfrm>
                      <a:off x="0" y="0"/>
                      <a:ext cx="5731510" cy="2422583"/>
                    </a:xfrm>
                    <a:prstGeom prst="rect">
                      <a:avLst/>
                    </a:prstGeom>
                    <a:noFill/>
                    <a:ln w="9525">
                      <a:noFill/>
                      <a:miter lim="800000"/>
                      <a:headEnd/>
                      <a:tailEnd/>
                    </a:ln>
                  </pic:spPr>
                </pic:pic>
              </a:graphicData>
            </a:graphic>
          </wp:inline>
        </w:drawing>
      </w:r>
    </w:p>
    <w:p w14:paraId="031C55AC" w14:textId="77777777" w:rsidR="00AE06D9" w:rsidRDefault="00AE06D9" w:rsidP="00ED4D6A">
      <w:pPr>
        <w:spacing w:after="0"/>
      </w:pPr>
    </w:p>
    <w:p w14:paraId="42A2FC46" w14:textId="77777777" w:rsidR="00307D93" w:rsidRDefault="00307D93" w:rsidP="00ED4D6A">
      <w:pPr>
        <w:spacing w:after="0"/>
      </w:pPr>
    </w:p>
    <w:p w14:paraId="119CB578" w14:textId="381F2E41" w:rsidR="00307D93" w:rsidRPr="00FE120B" w:rsidRDefault="00307D93" w:rsidP="00FE120B">
      <w:pPr>
        <w:spacing w:after="0"/>
        <w:jc w:val="center"/>
        <w:rPr>
          <w:b/>
          <w:bCs/>
          <w:color w:val="548DD4" w:themeColor="text2" w:themeTint="99"/>
          <w:sz w:val="28"/>
          <w:szCs w:val="28"/>
        </w:rPr>
      </w:pPr>
      <w:r w:rsidRPr="00FE120B">
        <w:rPr>
          <w:b/>
          <w:bCs/>
          <w:color w:val="548DD4" w:themeColor="text2" w:themeTint="99"/>
          <w:sz w:val="28"/>
          <w:szCs w:val="28"/>
        </w:rPr>
        <w:t>BUSINESS REPORT OF GREENACRES PLC</w:t>
      </w:r>
    </w:p>
    <w:sdt>
      <w:sdtPr>
        <w:rPr>
          <w:rFonts w:ascii="Times New Roman" w:eastAsiaTheme="minorHAnsi" w:hAnsi="Times New Roman" w:cstheme="minorBidi"/>
          <w:b w:val="0"/>
          <w:bCs w:val="0"/>
          <w:color w:val="4F81BD" w:themeColor="accent1"/>
          <w:sz w:val="24"/>
          <w:szCs w:val="22"/>
        </w:rPr>
        <w:id w:val="-1522475554"/>
        <w:docPartObj>
          <w:docPartGallery w:val="Cover Pages"/>
          <w:docPartUnique/>
        </w:docPartObj>
      </w:sdtPr>
      <w:sdtEndPr>
        <w:rPr>
          <w:rFonts w:ascii="Calibri" w:hAnsi="Calibri"/>
          <w:color w:val="auto"/>
        </w:rPr>
      </w:sdtEndPr>
      <w:sdtContent>
        <w:bookmarkStart w:id="15" w:name="_Toc187066087" w:displacedByCustomXml="prev"/>
        <w:bookmarkStart w:id="16" w:name="_Toc178766392" w:displacedByCustomXml="prev"/>
        <w:p w14:paraId="3244C10E" w14:textId="2D0A6655" w:rsidR="00AE06D9" w:rsidRPr="00D14FCF" w:rsidRDefault="00AE06D9" w:rsidP="00AE06D9">
          <w:pPr>
            <w:pStyle w:val="Heading1"/>
          </w:pPr>
          <w:r w:rsidRPr="00D14FCF">
            <w:t>Executive Summary</w:t>
          </w:r>
          <w:bookmarkEnd w:id="16"/>
          <w:bookmarkEnd w:id="15"/>
        </w:p>
        <w:p w14:paraId="12AEFD45" w14:textId="77777777" w:rsidR="00AE06D9" w:rsidRPr="00D14FCF" w:rsidRDefault="00AE06D9" w:rsidP="00AE06D9">
          <w:r w:rsidRPr="00D14FCF">
            <w:t>The below pages of the report present the significance and explanation of the various techniques of capital appraisal that assisted the higher authorities of the firm in measuring the feasibility of the</w:t>
          </w:r>
          <w:r>
            <w:t xml:space="preserve"> </w:t>
          </w:r>
          <w:r w:rsidRPr="00D14FCF">
            <w:t>investment</w:t>
          </w:r>
          <w:r>
            <w:t>s</w:t>
          </w:r>
          <w:r w:rsidRPr="00D14FCF">
            <w:t xml:space="preserve"> over the period. Further, it suggested various methods that were used by the firm, such as IRR, NPV, ARR, and payback period.</w:t>
          </w:r>
        </w:p>
        <w:p w14:paraId="5E3708F8" w14:textId="77777777" w:rsidR="00AE06D9" w:rsidRPr="00D14FCF" w:rsidRDefault="00AE06D9" w:rsidP="00AE06D9">
          <w:r w:rsidRPr="00D14FCF">
            <w:t>Moreover, it determined the present-day value of the investment options available and calculated the IRR of the chosen investment option. Further, it explained the importance of the NPV. It provided the necessary reasoning as to why enterprises preferred the method to examine projects' potential for earning prof</w:t>
          </w:r>
          <w:r>
            <w:t xml:space="preserve">its and revenue over the years. </w:t>
          </w:r>
        </w:p>
        <w:p w14:paraId="0060082F" w14:textId="77777777" w:rsidR="00AE06D9" w:rsidRPr="00D14FCF" w:rsidRDefault="00AE06D9" w:rsidP="00AE06D9">
          <w:r w:rsidRPr="00D14FCF">
            <w:t>Apart from that, it also explored several non-f</w:t>
          </w:r>
          <w:r>
            <w:t>iscal</w:t>
          </w:r>
          <w:r w:rsidRPr="00D14FCF">
            <w:t xml:space="preserve"> factors that were to be </w:t>
          </w:r>
          <w:r>
            <w:t>recognized</w:t>
          </w:r>
          <w:r w:rsidRPr="00D14FCF">
            <w:t xml:space="preserve"> by the top management of the entity before selecting any project or investment. Further, it suggested factors like economic condition, inflation rate, and monetary and fiscal policies of the government and central banks of the nation. Moreover, it also suggested that the project's time limit also influenced the decision. </w:t>
          </w:r>
        </w:p>
        <w:p w14:paraId="7F26B0BD" w14:textId="77777777" w:rsidR="00AE06D9" w:rsidRPr="00D14FCF" w:rsidRDefault="00AE06D9" w:rsidP="00AE06D9">
          <w:r w:rsidRPr="00D14FCF">
            <w:t xml:space="preserve">Later in the report, some recommendations were also suggested to the firm for further improvements. Moreover, it suggested that the final decision regarding the investment selection was based on the results of the NPV and non-monetary factors were equally significant in assessing the potential of the investment over the years. </w:t>
          </w:r>
        </w:p>
        <w:p w14:paraId="0A572F50" w14:textId="77777777" w:rsidR="00AE06D9" w:rsidRPr="00D14FCF" w:rsidRDefault="00AE06D9" w:rsidP="00AE06D9"/>
        <w:p w14:paraId="4DBEBA19" w14:textId="77777777" w:rsidR="00AE06D9" w:rsidRPr="00D14FCF" w:rsidRDefault="00AE06D9" w:rsidP="00AE06D9"/>
        <w:p w14:paraId="28F6271A" w14:textId="77777777" w:rsidR="00AE06D9" w:rsidRPr="00D14FCF" w:rsidRDefault="00AE06D9" w:rsidP="00AE06D9"/>
        <w:p w14:paraId="0646D801" w14:textId="77777777" w:rsidR="00AE06D9" w:rsidRPr="00D14FCF" w:rsidRDefault="00AE06D9" w:rsidP="00AE06D9"/>
        <w:p w14:paraId="0636B16B" w14:textId="77777777" w:rsidR="00AE06D9" w:rsidRPr="00D14FCF" w:rsidRDefault="00AE06D9" w:rsidP="00AE06D9"/>
        <w:p w14:paraId="7B4113AF" w14:textId="77777777" w:rsidR="00AE06D9" w:rsidRPr="00D14FCF" w:rsidRDefault="00AE06D9" w:rsidP="00AE06D9"/>
        <w:p w14:paraId="0A9D1B29" w14:textId="77777777" w:rsidR="00AE06D9" w:rsidRPr="00D14FCF" w:rsidRDefault="00AE06D9" w:rsidP="00AE06D9"/>
        <w:sdt>
          <w:sdtPr>
            <w:rPr>
              <w:rFonts w:ascii="Calibri" w:eastAsiaTheme="minorHAnsi" w:hAnsi="Calibri" w:cstheme="minorBidi"/>
              <w:b w:val="0"/>
              <w:bCs w:val="0"/>
              <w:noProof/>
              <w:color w:val="auto"/>
              <w:sz w:val="24"/>
              <w:szCs w:val="22"/>
              <w:lang w:val="en-GB"/>
            </w:rPr>
            <w:id w:val="-1935121159"/>
            <w:docPartObj>
              <w:docPartGallery w:val="Table of Contents"/>
              <w:docPartUnique/>
            </w:docPartObj>
          </w:sdtPr>
          <w:sdtEndPr/>
          <w:sdtContent>
            <w:p w14:paraId="4827ADAA" w14:textId="09DFEBFB" w:rsidR="00AE06D9" w:rsidRPr="009F4558" w:rsidRDefault="00307D93" w:rsidP="00AE06D9">
              <w:pPr>
                <w:pStyle w:val="TOCHeading"/>
                <w:spacing w:line="360" w:lineRule="auto"/>
                <w:rPr>
                  <w:color w:val="548DD4" w:themeColor="text2" w:themeTint="99"/>
                  <w:sz w:val="32"/>
                  <w:szCs w:val="32"/>
                </w:rPr>
              </w:pPr>
              <w:r w:rsidRPr="009F4558">
                <w:rPr>
                  <w:rFonts w:eastAsiaTheme="minorHAnsi" w:cstheme="minorBidi"/>
                  <w:bCs w:val="0"/>
                  <w:color w:val="548DD4" w:themeColor="text2" w:themeTint="99"/>
                  <w:sz w:val="32"/>
                  <w:szCs w:val="32"/>
                  <w:lang w:val="en-GB"/>
                </w:rPr>
                <w:t>Table of</w:t>
              </w:r>
              <w:r w:rsidRPr="009F4558">
                <w:rPr>
                  <w:rFonts w:eastAsiaTheme="minorHAnsi" w:cstheme="minorBidi"/>
                  <w:b w:val="0"/>
                  <w:color w:val="548DD4" w:themeColor="text2" w:themeTint="99"/>
                  <w:sz w:val="32"/>
                  <w:szCs w:val="32"/>
                  <w:lang w:val="en-GB"/>
                </w:rPr>
                <w:t xml:space="preserve"> </w:t>
              </w:r>
              <w:r w:rsidR="00AE06D9" w:rsidRPr="009F4558">
                <w:rPr>
                  <w:color w:val="548DD4" w:themeColor="text2" w:themeTint="99"/>
                  <w:sz w:val="32"/>
                  <w:szCs w:val="32"/>
                </w:rPr>
                <w:t>Contents</w:t>
              </w:r>
            </w:p>
            <w:p w14:paraId="353E2E52" w14:textId="1C298AE0" w:rsidR="00AE06D9" w:rsidRDefault="00AE06D9" w:rsidP="00AE06D9">
              <w:pPr>
                <w:pStyle w:val="TOC1"/>
                <w:tabs>
                  <w:tab w:val="right" w:leader="dot" w:pos="9016"/>
                </w:tabs>
                <w:rPr>
                  <w:rFonts w:asciiTheme="minorHAnsi" w:eastAsiaTheme="minorEastAsia" w:hAnsiTheme="minorHAnsi"/>
                  <w:kern w:val="2"/>
                  <w:sz w:val="22"/>
                  <w:lang w:val="en-IN" w:eastAsia="en-IN"/>
                  <w14:ligatures w14:val="standardContextual"/>
                </w:rPr>
              </w:pPr>
              <w:r w:rsidRPr="00D14FCF">
                <w:rPr>
                  <w:noProof w:val="0"/>
                  <w:szCs w:val="24"/>
                </w:rPr>
                <w:fldChar w:fldCharType="begin"/>
              </w:r>
              <w:r w:rsidRPr="00D14FCF">
                <w:rPr>
                  <w:szCs w:val="24"/>
                </w:rPr>
                <w:instrText xml:space="preserve"> TOC \o "1-3" \h \z \u </w:instrText>
              </w:r>
              <w:r w:rsidRPr="00D14FCF">
                <w:rPr>
                  <w:noProof w:val="0"/>
                  <w:szCs w:val="24"/>
                </w:rPr>
                <w:fldChar w:fldCharType="separate"/>
              </w:r>
              <w:hyperlink w:anchor="_Toc187066087" w:history="1">
                <w:r w:rsidRPr="00E510F2">
                  <w:rPr>
                    <w:rStyle w:val="Hyperlink"/>
                  </w:rPr>
                  <w:t>Executive Summary</w:t>
                </w:r>
                <w:r>
                  <w:rPr>
                    <w:webHidden/>
                  </w:rPr>
                  <w:tab/>
                </w:r>
                <w:r>
                  <w:rPr>
                    <w:webHidden/>
                  </w:rPr>
                  <w:fldChar w:fldCharType="begin"/>
                </w:r>
                <w:r>
                  <w:rPr>
                    <w:webHidden/>
                  </w:rPr>
                  <w:instrText xml:space="preserve"> PAGEREF _Toc187066087 \h </w:instrText>
                </w:r>
                <w:r>
                  <w:rPr>
                    <w:webHidden/>
                  </w:rPr>
                </w:r>
                <w:r>
                  <w:rPr>
                    <w:webHidden/>
                  </w:rPr>
                  <w:fldChar w:fldCharType="separate"/>
                </w:r>
                <w:r w:rsidR="000E57E8">
                  <w:rPr>
                    <w:webHidden/>
                  </w:rPr>
                  <w:t>22</w:t>
                </w:r>
                <w:r>
                  <w:rPr>
                    <w:webHidden/>
                  </w:rPr>
                  <w:fldChar w:fldCharType="end"/>
                </w:r>
              </w:hyperlink>
            </w:p>
            <w:p w14:paraId="2D83D848" w14:textId="16E40740" w:rsidR="00AE06D9" w:rsidRDefault="00AE06D9" w:rsidP="00AE06D9">
              <w:pPr>
                <w:pStyle w:val="TOC1"/>
                <w:tabs>
                  <w:tab w:val="right" w:leader="dot" w:pos="9016"/>
                </w:tabs>
                <w:rPr>
                  <w:rFonts w:asciiTheme="minorHAnsi" w:eastAsiaTheme="minorEastAsia" w:hAnsiTheme="minorHAnsi"/>
                  <w:kern w:val="2"/>
                  <w:sz w:val="22"/>
                  <w:lang w:val="en-IN" w:eastAsia="en-IN"/>
                  <w14:ligatures w14:val="standardContextual"/>
                </w:rPr>
              </w:pPr>
              <w:hyperlink w:anchor="_Toc187066088" w:history="1">
                <w:r w:rsidRPr="00E510F2">
                  <w:rPr>
                    <w:rStyle w:val="Hyperlink"/>
                  </w:rPr>
                  <w:t>Introduction</w:t>
                </w:r>
                <w:r>
                  <w:rPr>
                    <w:webHidden/>
                  </w:rPr>
                  <w:tab/>
                </w:r>
                <w:r>
                  <w:rPr>
                    <w:webHidden/>
                  </w:rPr>
                  <w:fldChar w:fldCharType="begin"/>
                </w:r>
                <w:r>
                  <w:rPr>
                    <w:webHidden/>
                  </w:rPr>
                  <w:instrText xml:space="preserve"> PAGEREF _Toc187066088 \h </w:instrText>
                </w:r>
                <w:r>
                  <w:rPr>
                    <w:webHidden/>
                  </w:rPr>
                </w:r>
                <w:r>
                  <w:rPr>
                    <w:webHidden/>
                  </w:rPr>
                  <w:fldChar w:fldCharType="separate"/>
                </w:r>
                <w:r w:rsidR="000E57E8">
                  <w:rPr>
                    <w:webHidden/>
                  </w:rPr>
                  <w:t>24</w:t>
                </w:r>
                <w:r>
                  <w:rPr>
                    <w:webHidden/>
                  </w:rPr>
                  <w:fldChar w:fldCharType="end"/>
                </w:r>
              </w:hyperlink>
            </w:p>
            <w:p w14:paraId="360D097D" w14:textId="4C555F09" w:rsidR="00AE06D9" w:rsidRDefault="00AE06D9" w:rsidP="00AE06D9">
              <w:pPr>
                <w:pStyle w:val="TOC1"/>
                <w:tabs>
                  <w:tab w:val="right" w:leader="dot" w:pos="9016"/>
                </w:tabs>
                <w:rPr>
                  <w:rFonts w:asciiTheme="minorHAnsi" w:eastAsiaTheme="minorEastAsia" w:hAnsiTheme="minorHAnsi"/>
                  <w:kern w:val="2"/>
                  <w:sz w:val="22"/>
                  <w:lang w:val="en-IN" w:eastAsia="en-IN"/>
                  <w14:ligatures w14:val="standardContextual"/>
                </w:rPr>
              </w:pPr>
              <w:hyperlink w:anchor="_Toc187066089" w:history="1">
                <w:r w:rsidRPr="00E510F2">
                  <w:rPr>
                    <w:rStyle w:val="Hyperlink"/>
                  </w:rPr>
                  <w:t>Main Findings</w:t>
                </w:r>
                <w:r>
                  <w:rPr>
                    <w:webHidden/>
                  </w:rPr>
                  <w:tab/>
                </w:r>
                <w:r>
                  <w:rPr>
                    <w:webHidden/>
                  </w:rPr>
                  <w:fldChar w:fldCharType="begin"/>
                </w:r>
                <w:r>
                  <w:rPr>
                    <w:webHidden/>
                  </w:rPr>
                  <w:instrText xml:space="preserve"> PAGEREF _Toc187066089 \h </w:instrText>
                </w:r>
                <w:r>
                  <w:rPr>
                    <w:webHidden/>
                  </w:rPr>
                </w:r>
                <w:r>
                  <w:rPr>
                    <w:webHidden/>
                  </w:rPr>
                  <w:fldChar w:fldCharType="separate"/>
                </w:r>
                <w:r w:rsidR="000E57E8">
                  <w:rPr>
                    <w:webHidden/>
                  </w:rPr>
                  <w:t>25</w:t>
                </w:r>
                <w:r>
                  <w:rPr>
                    <w:webHidden/>
                  </w:rPr>
                  <w:fldChar w:fldCharType="end"/>
                </w:r>
              </w:hyperlink>
            </w:p>
            <w:p w14:paraId="2D31D741" w14:textId="6482A47C" w:rsidR="00AE06D9" w:rsidRDefault="00AE06D9" w:rsidP="00AE06D9">
              <w:pPr>
                <w:pStyle w:val="TOC2"/>
                <w:tabs>
                  <w:tab w:val="right" w:leader="dot" w:pos="9016"/>
                </w:tabs>
                <w:rPr>
                  <w:rFonts w:asciiTheme="minorHAnsi" w:eastAsiaTheme="minorEastAsia" w:hAnsiTheme="minorHAnsi"/>
                  <w:kern w:val="2"/>
                  <w:sz w:val="22"/>
                  <w:lang w:val="en-IN" w:eastAsia="en-IN"/>
                  <w14:ligatures w14:val="standardContextual"/>
                </w:rPr>
              </w:pPr>
              <w:hyperlink w:anchor="_Toc187066090" w:history="1">
                <w:r w:rsidRPr="00E510F2">
                  <w:rPr>
                    <w:rStyle w:val="Hyperlink"/>
                  </w:rPr>
                  <w:t>Brief overview of the investment options</w:t>
                </w:r>
                <w:r>
                  <w:rPr>
                    <w:webHidden/>
                  </w:rPr>
                  <w:tab/>
                </w:r>
                <w:r>
                  <w:rPr>
                    <w:webHidden/>
                  </w:rPr>
                  <w:fldChar w:fldCharType="begin"/>
                </w:r>
                <w:r>
                  <w:rPr>
                    <w:webHidden/>
                  </w:rPr>
                  <w:instrText xml:space="preserve"> PAGEREF _Toc187066090 \h </w:instrText>
                </w:r>
                <w:r>
                  <w:rPr>
                    <w:webHidden/>
                  </w:rPr>
                </w:r>
                <w:r>
                  <w:rPr>
                    <w:webHidden/>
                  </w:rPr>
                  <w:fldChar w:fldCharType="separate"/>
                </w:r>
                <w:r w:rsidR="000E57E8">
                  <w:rPr>
                    <w:webHidden/>
                  </w:rPr>
                  <w:t>25</w:t>
                </w:r>
                <w:r>
                  <w:rPr>
                    <w:webHidden/>
                  </w:rPr>
                  <w:fldChar w:fldCharType="end"/>
                </w:r>
              </w:hyperlink>
            </w:p>
            <w:p w14:paraId="6C1BA018" w14:textId="5D0CDF2D" w:rsidR="00AE06D9" w:rsidRDefault="00AE06D9" w:rsidP="00AE06D9">
              <w:pPr>
                <w:pStyle w:val="TOC2"/>
                <w:tabs>
                  <w:tab w:val="right" w:leader="dot" w:pos="9016"/>
                </w:tabs>
                <w:rPr>
                  <w:rFonts w:asciiTheme="minorHAnsi" w:eastAsiaTheme="minorEastAsia" w:hAnsiTheme="minorHAnsi"/>
                  <w:kern w:val="2"/>
                  <w:sz w:val="22"/>
                  <w:lang w:val="en-IN" w:eastAsia="en-IN"/>
                  <w14:ligatures w14:val="standardContextual"/>
                </w:rPr>
              </w:pPr>
              <w:hyperlink w:anchor="_Toc187066091" w:history="1">
                <w:r w:rsidRPr="00E510F2">
                  <w:rPr>
                    <w:rStyle w:val="Hyperlink"/>
                  </w:rPr>
                  <w:t>Capital appraisal methods</w:t>
                </w:r>
                <w:r>
                  <w:rPr>
                    <w:webHidden/>
                  </w:rPr>
                  <w:tab/>
                </w:r>
                <w:r>
                  <w:rPr>
                    <w:webHidden/>
                  </w:rPr>
                  <w:fldChar w:fldCharType="begin"/>
                </w:r>
                <w:r>
                  <w:rPr>
                    <w:webHidden/>
                  </w:rPr>
                  <w:instrText xml:space="preserve"> PAGEREF _Toc187066091 \h </w:instrText>
                </w:r>
                <w:r>
                  <w:rPr>
                    <w:webHidden/>
                  </w:rPr>
                </w:r>
                <w:r>
                  <w:rPr>
                    <w:webHidden/>
                  </w:rPr>
                  <w:fldChar w:fldCharType="separate"/>
                </w:r>
                <w:r w:rsidR="000E57E8">
                  <w:rPr>
                    <w:webHidden/>
                  </w:rPr>
                  <w:t>25</w:t>
                </w:r>
                <w:r>
                  <w:rPr>
                    <w:webHidden/>
                  </w:rPr>
                  <w:fldChar w:fldCharType="end"/>
                </w:r>
              </w:hyperlink>
            </w:p>
            <w:p w14:paraId="7AD99D7E" w14:textId="4DB68420" w:rsidR="00AE06D9" w:rsidRDefault="00AE06D9" w:rsidP="00AE06D9">
              <w:pPr>
                <w:pStyle w:val="TOC3"/>
                <w:tabs>
                  <w:tab w:val="right" w:leader="dot" w:pos="9016"/>
                </w:tabs>
                <w:spacing w:line="360" w:lineRule="auto"/>
                <w:rPr>
                  <w:rFonts w:asciiTheme="minorHAnsi" w:eastAsiaTheme="minorEastAsia" w:hAnsiTheme="minorHAnsi"/>
                  <w:noProof/>
                  <w:kern w:val="2"/>
                  <w:sz w:val="22"/>
                  <w:lang w:val="en-IN" w:eastAsia="en-IN"/>
                  <w14:ligatures w14:val="standardContextual"/>
                </w:rPr>
              </w:pPr>
              <w:hyperlink w:anchor="_Toc187066092" w:history="1">
                <w:r w:rsidRPr="00E510F2">
                  <w:rPr>
                    <w:rStyle w:val="Hyperlink"/>
                    <w:noProof/>
                  </w:rPr>
                  <w:t>1. NPV</w:t>
                </w:r>
                <w:r>
                  <w:rPr>
                    <w:noProof/>
                    <w:webHidden/>
                  </w:rPr>
                  <w:tab/>
                </w:r>
                <w:r>
                  <w:rPr>
                    <w:noProof/>
                    <w:webHidden/>
                  </w:rPr>
                  <w:fldChar w:fldCharType="begin"/>
                </w:r>
                <w:r>
                  <w:rPr>
                    <w:noProof/>
                    <w:webHidden/>
                  </w:rPr>
                  <w:instrText xml:space="preserve"> PAGEREF _Toc187066092 \h </w:instrText>
                </w:r>
                <w:r>
                  <w:rPr>
                    <w:noProof/>
                    <w:webHidden/>
                  </w:rPr>
                </w:r>
                <w:r>
                  <w:rPr>
                    <w:noProof/>
                    <w:webHidden/>
                  </w:rPr>
                  <w:fldChar w:fldCharType="separate"/>
                </w:r>
                <w:r w:rsidR="000E57E8">
                  <w:rPr>
                    <w:noProof/>
                    <w:webHidden/>
                  </w:rPr>
                  <w:t>25</w:t>
                </w:r>
                <w:r>
                  <w:rPr>
                    <w:noProof/>
                    <w:webHidden/>
                  </w:rPr>
                  <w:fldChar w:fldCharType="end"/>
                </w:r>
              </w:hyperlink>
            </w:p>
            <w:p w14:paraId="097BF6D1" w14:textId="4EF259F6" w:rsidR="00AE06D9" w:rsidRDefault="00AE06D9" w:rsidP="00AE06D9">
              <w:pPr>
                <w:pStyle w:val="TOC3"/>
                <w:tabs>
                  <w:tab w:val="right" w:leader="dot" w:pos="9016"/>
                </w:tabs>
                <w:spacing w:line="360" w:lineRule="auto"/>
                <w:rPr>
                  <w:rFonts w:asciiTheme="minorHAnsi" w:eastAsiaTheme="minorEastAsia" w:hAnsiTheme="minorHAnsi"/>
                  <w:noProof/>
                  <w:kern w:val="2"/>
                  <w:sz w:val="22"/>
                  <w:lang w:val="en-IN" w:eastAsia="en-IN"/>
                  <w14:ligatures w14:val="standardContextual"/>
                </w:rPr>
              </w:pPr>
              <w:hyperlink w:anchor="_Toc187066093" w:history="1">
                <w:r w:rsidRPr="00E510F2">
                  <w:rPr>
                    <w:rStyle w:val="Hyperlink"/>
                    <w:noProof/>
                  </w:rPr>
                  <w:t>2. ARR</w:t>
                </w:r>
                <w:r>
                  <w:rPr>
                    <w:noProof/>
                    <w:webHidden/>
                  </w:rPr>
                  <w:tab/>
                </w:r>
                <w:r>
                  <w:rPr>
                    <w:noProof/>
                    <w:webHidden/>
                  </w:rPr>
                  <w:fldChar w:fldCharType="begin"/>
                </w:r>
                <w:r>
                  <w:rPr>
                    <w:noProof/>
                    <w:webHidden/>
                  </w:rPr>
                  <w:instrText xml:space="preserve"> PAGEREF _Toc187066093 \h </w:instrText>
                </w:r>
                <w:r>
                  <w:rPr>
                    <w:noProof/>
                    <w:webHidden/>
                  </w:rPr>
                </w:r>
                <w:r>
                  <w:rPr>
                    <w:noProof/>
                    <w:webHidden/>
                  </w:rPr>
                  <w:fldChar w:fldCharType="separate"/>
                </w:r>
                <w:r w:rsidR="000E57E8">
                  <w:rPr>
                    <w:noProof/>
                    <w:webHidden/>
                  </w:rPr>
                  <w:t>26</w:t>
                </w:r>
                <w:r>
                  <w:rPr>
                    <w:noProof/>
                    <w:webHidden/>
                  </w:rPr>
                  <w:fldChar w:fldCharType="end"/>
                </w:r>
              </w:hyperlink>
            </w:p>
            <w:p w14:paraId="73B87621" w14:textId="2E78C5D7" w:rsidR="00AE06D9" w:rsidRDefault="00AE06D9" w:rsidP="00AE06D9">
              <w:pPr>
                <w:pStyle w:val="TOC3"/>
                <w:tabs>
                  <w:tab w:val="right" w:leader="dot" w:pos="9016"/>
                </w:tabs>
                <w:spacing w:line="360" w:lineRule="auto"/>
                <w:rPr>
                  <w:rFonts w:asciiTheme="minorHAnsi" w:eastAsiaTheme="minorEastAsia" w:hAnsiTheme="minorHAnsi"/>
                  <w:noProof/>
                  <w:kern w:val="2"/>
                  <w:sz w:val="22"/>
                  <w:lang w:val="en-IN" w:eastAsia="en-IN"/>
                  <w14:ligatures w14:val="standardContextual"/>
                </w:rPr>
              </w:pPr>
              <w:hyperlink w:anchor="_Toc187066094" w:history="1">
                <w:r w:rsidRPr="00E510F2">
                  <w:rPr>
                    <w:rStyle w:val="Hyperlink"/>
                    <w:noProof/>
                  </w:rPr>
                  <w:t>3. Period of Payback</w:t>
                </w:r>
                <w:r>
                  <w:rPr>
                    <w:noProof/>
                    <w:webHidden/>
                  </w:rPr>
                  <w:tab/>
                </w:r>
                <w:r>
                  <w:rPr>
                    <w:noProof/>
                    <w:webHidden/>
                  </w:rPr>
                  <w:fldChar w:fldCharType="begin"/>
                </w:r>
                <w:r>
                  <w:rPr>
                    <w:noProof/>
                    <w:webHidden/>
                  </w:rPr>
                  <w:instrText xml:space="preserve"> PAGEREF _Toc187066094 \h </w:instrText>
                </w:r>
                <w:r>
                  <w:rPr>
                    <w:noProof/>
                    <w:webHidden/>
                  </w:rPr>
                </w:r>
                <w:r>
                  <w:rPr>
                    <w:noProof/>
                    <w:webHidden/>
                  </w:rPr>
                  <w:fldChar w:fldCharType="separate"/>
                </w:r>
                <w:r w:rsidR="000E57E8">
                  <w:rPr>
                    <w:noProof/>
                    <w:webHidden/>
                  </w:rPr>
                  <w:t>26</w:t>
                </w:r>
                <w:r>
                  <w:rPr>
                    <w:noProof/>
                    <w:webHidden/>
                  </w:rPr>
                  <w:fldChar w:fldCharType="end"/>
                </w:r>
              </w:hyperlink>
            </w:p>
            <w:p w14:paraId="0698D7C3" w14:textId="4774A7F9" w:rsidR="00AE06D9" w:rsidRDefault="00AE06D9" w:rsidP="00AE06D9">
              <w:pPr>
                <w:pStyle w:val="TOC3"/>
                <w:tabs>
                  <w:tab w:val="right" w:leader="dot" w:pos="9016"/>
                </w:tabs>
                <w:spacing w:line="360" w:lineRule="auto"/>
                <w:rPr>
                  <w:rFonts w:asciiTheme="minorHAnsi" w:eastAsiaTheme="minorEastAsia" w:hAnsiTheme="minorHAnsi"/>
                  <w:noProof/>
                  <w:kern w:val="2"/>
                  <w:sz w:val="22"/>
                  <w:lang w:val="en-IN" w:eastAsia="en-IN"/>
                  <w14:ligatures w14:val="standardContextual"/>
                </w:rPr>
              </w:pPr>
              <w:hyperlink w:anchor="_Toc187066095" w:history="1">
                <w:r w:rsidRPr="00E510F2">
                  <w:rPr>
                    <w:rStyle w:val="Hyperlink"/>
                    <w:noProof/>
                  </w:rPr>
                  <w:t>4. IRR</w:t>
                </w:r>
                <w:r>
                  <w:rPr>
                    <w:noProof/>
                    <w:webHidden/>
                  </w:rPr>
                  <w:tab/>
                </w:r>
                <w:r>
                  <w:rPr>
                    <w:noProof/>
                    <w:webHidden/>
                  </w:rPr>
                  <w:fldChar w:fldCharType="begin"/>
                </w:r>
                <w:r>
                  <w:rPr>
                    <w:noProof/>
                    <w:webHidden/>
                  </w:rPr>
                  <w:instrText xml:space="preserve"> PAGEREF _Toc187066095 \h </w:instrText>
                </w:r>
                <w:r>
                  <w:rPr>
                    <w:noProof/>
                    <w:webHidden/>
                  </w:rPr>
                </w:r>
                <w:r>
                  <w:rPr>
                    <w:noProof/>
                    <w:webHidden/>
                  </w:rPr>
                  <w:fldChar w:fldCharType="separate"/>
                </w:r>
                <w:r w:rsidR="000E57E8">
                  <w:rPr>
                    <w:noProof/>
                    <w:webHidden/>
                  </w:rPr>
                  <w:t>26</w:t>
                </w:r>
                <w:r>
                  <w:rPr>
                    <w:noProof/>
                    <w:webHidden/>
                  </w:rPr>
                  <w:fldChar w:fldCharType="end"/>
                </w:r>
              </w:hyperlink>
            </w:p>
            <w:p w14:paraId="309A0C69" w14:textId="406CE1EC" w:rsidR="00AE06D9" w:rsidRDefault="00AE06D9" w:rsidP="00AE06D9">
              <w:pPr>
                <w:pStyle w:val="TOC2"/>
                <w:tabs>
                  <w:tab w:val="right" w:leader="dot" w:pos="9016"/>
                </w:tabs>
                <w:rPr>
                  <w:rFonts w:asciiTheme="minorHAnsi" w:eastAsiaTheme="minorEastAsia" w:hAnsiTheme="minorHAnsi"/>
                  <w:kern w:val="2"/>
                  <w:sz w:val="22"/>
                  <w:lang w:val="en-IN" w:eastAsia="en-IN"/>
                  <w14:ligatures w14:val="standardContextual"/>
                </w:rPr>
              </w:pPr>
              <w:hyperlink w:anchor="_Toc187066096" w:history="1">
                <w:r w:rsidRPr="00E510F2">
                  <w:rPr>
                    <w:rStyle w:val="Hyperlink"/>
                  </w:rPr>
                  <w:t>Most suitable capital appraisal method and why NPV is preferred</w:t>
                </w:r>
                <w:r>
                  <w:rPr>
                    <w:webHidden/>
                  </w:rPr>
                  <w:tab/>
                </w:r>
                <w:r>
                  <w:rPr>
                    <w:webHidden/>
                  </w:rPr>
                  <w:fldChar w:fldCharType="begin"/>
                </w:r>
                <w:r>
                  <w:rPr>
                    <w:webHidden/>
                  </w:rPr>
                  <w:instrText xml:space="preserve"> PAGEREF _Toc187066096 \h </w:instrText>
                </w:r>
                <w:r>
                  <w:rPr>
                    <w:webHidden/>
                  </w:rPr>
                </w:r>
                <w:r>
                  <w:rPr>
                    <w:webHidden/>
                  </w:rPr>
                  <w:fldChar w:fldCharType="separate"/>
                </w:r>
                <w:r w:rsidR="000E57E8">
                  <w:rPr>
                    <w:webHidden/>
                  </w:rPr>
                  <w:t>26</w:t>
                </w:r>
                <w:r>
                  <w:rPr>
                    <w:webHidden/>
                  </w:rPr>
                  <w:fldChar w:fldCharType="end"/>
                </w:r>
              </w:hyperlink>
            </w:p>
            <w:p w14:paraId="20DAF74E" w14:textId="7165EA59" w:rsidR="00AE06D9" w:rsidRDefault="00AE06D9" w:rsidP="00AE06D9">
              <w:pPr>
                <w:pStyle w:val="TOC2"/>
                <w:tabs>
                  <w:tab w:val="right" w:leader="dot" w:pos="9016"/>
                </w:tabs>
                <w:rPr>
                  <w:rFonts w:asciiTheme="minorHAnsi" w:eastAsiaTheme="minorEastAsia" w:hAnsiTheme="minorHAnsi"/>
                  <w:kern w:val="2"/>
                  <w:sz w:val="22"/>
                  <w:lang w:val="en-IN" w:eastAsia="en-IN"/>
                  <w14:ligatures w14:val="standardContextual"/>
                </w:rPr>
              </w:pPr>
              <w:hyperlink w:anchor="_Toc187066097" w:history="1">
                <w:r w:rsidRPr="00E510F2">
                  <w:rPr>
                    <w:rStyle w:val="Hyperlink"/>
                  </w:rPr>
                  <w:t>The use of the non -discounting method by the decision-makers</w:t>
                </w:r>
                <w:r>
                  <w:rPr>
                    <w:webHidden/>
                  </w:rPr>
                  <w:tab/>
                </w:r>
                <w:r w:rsidR="00766D91">
                  <w:rPr>
                    <w:webHidden/>
                  </w:rPr>
                  <w:t>28</w:t>
                </w:r>
              </w:hyperlink>
            </w:p>
            <w:p w14:paraId="0B4E390A" w14:textId="35497F0A" w:rsidR="00AE06D9" w:rsidRDefault="00AE06D9" w:rsidP="00AE06D9">
              <w:pPr>
                <w:pStyle w:val="TOC2"/>
                <w:tabs>
                  <w:tab w:val="right" w:leader="dot" w:pos="9016"/>
                </w:tabs>
                <w:rPr>
                  <w:rFonts w:asciiTheme="minorHAnsi" w:eastAsiaTheme="minorEastAsia" w:hAnsiTheme="minorHAnsi"/>
                  <w:kern w:val="2"/>
                  <w:sz w:val="22"/>
                  <w:lang w:val="en-IN" w:eastAsia="en-IN"/>
                  <w14:ligatures w14:val="standardContextual"/>
                </w:rPr>
              </w:pPr>
              <w:hyperlink w:anchor="_Toc187066098" w:history="1">
                <w:r w:rsidRPr="00E510F2">
                  <w:rPr>
                    <w:rStyle w:val="Hyperlink"/>
                  </w:rPr>
                  <w:t>Other factors that the firm should recognise before an investment decision is made</w:t>
                </w:r>
                <w:r>
                  <w:rPr>
                    <w:webHidden/>
                  </w:rPr>
                  <w:tab/>
                </w:r>
                <w:r w:rsidR="00766D91">
                  <w:rPr>
                    <w:webHidden/>
                  </w:rPr>
                  <w:t>28</w:t>
                </w:r>
              </w:hyperlink>
            </w:p>
            <w:p w14:paraId="52EEF5F8" w14:textId="6AEC00A9" w:rsidR="00AE06D9" w:rsidRDefault="00AE06D9" w:rsidP="00AE06D9">
              <w:pPr>
                <w:pStyle w:val="TOC1"/>
                <w:tabs>
                  <w:tab w:val="right" w:leader="dot" w:pos="9016"/>
                </w:tabs>
                <w:rPr>
                  <w:rFonts w:asciiTheme="minorHAnsi" w:eastAsiaTheme="minorEastAsia" w:hAnsiTheme="minorHAnsi"/>
                  <w:kern w:val="2"/>
                  <w:sz w:val="22"/>
                  <w:lang w:val="en-IN" w:eastAsia="en-IN"/>
                  <w14:ligatures w14:val="standardContextual"/>
                </w:rPr>
              </w:pPr>
              <w:hyperlink w:anchor="_Toc187066099" w:history="1">
                <w:r w:rsidRPr="00E510F2">
                  <w:rPr>
                    <w:rStyle w:val="Hyperlink"/>
                  </w:rPr>
                  <w:t>Optimal Investment Policy</w:t>
                </w:r>
                <w:r>
                  <w:rPr>
                    <w:webHidden/>
                  </w:rPr>
                  <w:tab/>
                </w:r>
                <w:r w:rsidR="00766D91">
                  <w:rPr>
                    <w:webHidden/>
                  </w:rPr>
                  <w:t>29</w:t>
                </w:r>
              </w:hyperlink>
            </w:p>
            <w:p w14:paraId="345F13EB" w14:textId="56CDB06A" w:rsidR="00AE06D9" w:rsidRDefault="00AE06D9" w:rsidP="00AE06D9">
              <w:pPr>
                <w:pStyle w:val="TOC1"/>
                <w:tabs>
                  <w:tab w:val="right" w:leader="dot" w:pos="9016"/>
                </w:tabs>
                <w:rPr>
                  <w:rFonts w:asciiTheme="minorHAnsi" w:eastAsiaTheme="minorEastAsia" w:hAnsiTheme="minorHAnsi"/>
                  <w:kern w:val="2"/>
                  <w:sz w:val="22"/>
                  <w:lang w:val="en-IN" w:eastAsia="en-IN"/>
                  <w14:ligatures w14:val="standardContextual"/>
                </w:rPr>
              </w:pPr>
              <w:hyperlink w:anchor="_Toc187066100" w:history="1">
                <w:r w:rsidRPr="00E510F2">
                  <w:rPr>
                    <w:rStyle w:val="Hyperlink"/>
                  </w:rPr>
                  <w:t>Recommendation</w:t>
                </w:r>
                <w:r>
                  <w:rPr>
                    <w:webHidden/>
                  </w:rPr>
                  <w:tab/>
                </w:r>
                <w:r w:rsidR="00766D91">
                  <w:rPr>
                    <w:webHidden/>
                  </w:rPr>
                  <w:t>3</w:t>
                </w:r>
                <w:r w:rsidR="00B1189B">
                  <w:rPr>
                    <w:webHidden/>
                  </w:rPr>
                  <w:t>0</w:t>
                </w:r>
              </w:hyperlink>
            </w:p>
            <w:p w14:paraId="3E8BFCA2" w14:textId="787093D5" w:rsidR="00AE06D9" w:rsidRDefault="00AE06D9" w:rsidP="00AE06D9">
              <w:pPr>
                <w:pStyle w:val="TOC1"/>
                <w:tabs>
                  <w:tab w:val="right" w:leader="dot" w:pos="9016"/>
                </w:tabs>
              </w:pPr>
              <w:hyperlink w:anchor="_Toc187066101" w:history="1">
                <w:r w:rsidRPr="00E510F2">
                  <w:rPr>
                    <w:rStyle w:val="Hyperlink"/>
                  </w:rPr>
                  <w:t>Conclusion</w:t>
                </w:r>
                <w:r>
                  <w:rPr>
                    <w:webHidden/>
                  </w:rPr>
                  <w:tab/>
                </w:r>
                <w:r>
                  <w:rPr>
                    <w:webHidden/>
                  </w:rPr>
                  <w:fldChar w:fldCharType="begin"/>
                </w:r>
                <w:r>
                  <w:rPr>
                    <w:webHidden/>
                  </w:rPr>
                  <w:instrText xml:space="preserve"> PAGEREF _Toc187066101 \h </w:instrText>
                </w:r>
                <w:r>
                  <w:rPr>
                    <w:webHidden/>
                  </w:rPr>
                </w:r>
                <w:r>
                  <w:rPr>
                    <w:webHidden/>
                  </w:rPr>
                  <w:fldChar w:fldCharType="separate"/>
                </w:r>
                <w:r w:rsidR="000E57E8">
                  <w:rPr>
                    <w:webHidden/>
                  </w:rPr>
                  <w:t>31</w:t>
                </w:r>
                <w:r>
                  <w:rPr>
                    <w:webHidden/>
                  </w:rPr>
                  <w:fldChar w:fldCharType="end"/>
                </w:r>
              </w:hyperlink>
            </w:p>
            <w:p w14:paraId="3484B093" w14:textId="4BB016A4" w:rsidR="00B45F8E" w:rsidRPr="00B45F8E" w:rsidRDefault="00B45F8E" w:rsidP="00B45F8E">
              <w:r>
                <w:t>References………………………………………………………………………………………………………………………….32</w:t>
              </w:r>
            </w:p>
            <w:p w14:paraId="707EB4D2" w14:textId="7EA5B6DB" w:rsidR="00AE06D9" w:rsidRDefault="00AE06D9" w:rsidP="00AE06D9">
              <w:pPr>
                <w:pStyle w:val="TOC1"/>
                <w:tabs>
                  <w:tab w:val="right" w:leader="dot" w:pos="9016"/>
                </w:tabs>
                <w:rPr>
                  <w:rFonts w:asciiTheme="minorHAnsi" w:eastAsiaTheme="minorEastAsia" w:hAnsiTheme="minorHAnsi"/>
                  <w:kern w:val="2"/>
                  <w:sz w:val="22"/>
                  <w:lang w:val="en-IN" w:eastAsia="en-IN"/>
                  <w14:ligatures w14:val="standardContextual"/>
                </w:rPr>
              </w:pPr>
              <w:hyperlink w:anchor="_Toc187066103" w:history="1">
                <w:r w:rsidRPr="00E510F2">
                  <w:rPr>
                    <w:rStyle w:val="Hyperlink"/>
                  </w:rPr>
                  <w:t>Appendix</w:t>
                </w:r>
                <w:r>
                  <w:rPr>
                    <w:webHidden/>
                  </w:rPr>
                  <w:tab/>
                </w:r>
                <w:r>
                  <w:rPr>
                    <w:webHidden/>
                  </w:rPr>
                  <w:fldChar w:fldCharType="begin"/>
                </w:r>
                <w:r>
                  <w:rPr>
                    <w:webHidden/>
                  </w:rPr>
                  <w:instrText xml:space="preserve"> PAGEREF _Toc187066103 \h </w:instrText>
                </w:r>
                <w:r>
                  <w:rPr>
                    <w:webHidden/>
                  </w:rPr>
                </w:r>
                <w:r>
                  <w:rPr>
                    <w:webHidden/>
                  </w:rPr>
                  <w:fldChar w:fldCharType="separate"/>
                </w:r>
                <w:r w:rsidR="000E57E8">
                  <w:rPr>
                    <w:webHidden/>
                  </w:rPr>
                  <w:t>35</w:t>
                </w:r>
                <w:r>
                  <w:rPr>
                    <w:webHidden/>
                  </w:rPr>
                  <w:fldChar w:fldCharType="end"/>
                </w:r>
              </w:hyperlink>
            </w:p>
            <w:p w14:paraId="47EBC09E" w14:textId="5923BF73" w:rsidR="00AE06D9" w:rsidRDefault="00AE06D9" w:rsidP="00AE06D9">
              <w:pPr>
                <w:pStyle w:val="TOC2"/>
                <w:tabs>
                  <w:tab w:val="right" w:leader="dot" w:pos="9016"/>
                </w:tabs>
                <w:rPr>
                  <w:rFonts w:asciiTheme="minorHAnsi" w:eastAsiaTheme="minorEastAsia" w:hAnsiTheme="minorHAnsi"/>
                  <w:kern w:val="2"/>
                  <w:sz w:val="22"/>
                  <w:lang w:val="en-IN" w:eastAsia="en-IN"/>
                  <w14:ligatures w14:val="standardContextual"/>
                </w:rPr>
              </w:pPr>
              <w:hyperlink w:anchor="_Toc187066104" w:history="1">
                <w:r w:rsidRPr="00E510F2">
                  <w:rPr>
                    <w:rStyle w:val="Hyperlink"/>
                  </w:rPr>
                  <w:t>NPV</w:t>
                </w:r>
                <w:r>
                  <w:rPr>
                    <w:webHidden/>
                  </w:rPr>
                  <w:tab/>
                </w:r>
                <w:r>
                  <w:rPr>
                    <w:webHidden/>
                  </w:rPr>
                  <w:fldChar w:fldCharType="begin"/>
                </w:r>
                <w:r>
                  <w:rPr>
                    <w:webHidden/>
                  </w:rPr>
                  <w:instrText xml:space="preserve"> PAGEREF _Toc187066104 \h </w:instrText>
                </w:r>
                <w:r>
                  <w:rPr>
                    <w:webHidden/>
                  </w:rPr>
                </w:r>
                <w:r>
                  <w:rPr>
                    <w:webHidden/>
                  </w:rPr>
                  <w:fldChar w:fldCharType="separate"/>
                </w:r>
                <w:r w:rsidR="000E57E8">
                  <w:rPr>
                    <w:webHidden/>
                  </w:rPr>
                  <w:t>35</w:t>
                </w:r>
                <w:r>
                  <w:rPr>
                    <w:webHidden/>
                  </w:rPr>
                  <w:fldChar w:fldCharType="end"/>
                </w:r>
              </w:hyperlink>
            </w:p>
            <w:p w14:paraId="3A494FA1" w14:textId="51B68F5E" w:rsidR="00AE06D9" w:rsidRDefault="00AE06D9" w:rsidP="00AE06D9">
              <w:pPr>
                <w:pStyle w:val="TOC2"/>
                <w:tabs>
                  <w:tab w:val="right" w:leader="dot" w:pos="9016"/>
                </w:tabs>
                <w:rPr>
                  <w:rFonts w:asciiTheme="minorHAnsi" w:eastAsiaTheme="minorEastAsia" w:hAnsiTheme="minorHAnsi"/>
                  <w:kern w:val="2"/>
                  <w:sz w:val="22"/>
                  <w:lang w:val="en-IN" w:eastAsia="en-IN"/>
                  <w14:ligatures w14:val="standardContextual"/>
                </w:rPr>
              </w:pPr>
              <w:hyperlink w:anchor="_Toc187066105" w:history="1">
                <w:r w:rsidRPr="00E510F2">
                  <w:rPr>
                    <w:rStyle w:val="Hyperlink"/>
                  </w:rPr>
                  <w:t>IRR</w:t>
                </w:r>
                <w:r>
                  <w:rPr>
                    <w:webHidden/>
                  </w:rPr>
                  <w:tab/>
                </w:r>
                <w:r>
                  <w:rPr>
                    <w:webHidden/>
                  </w:rPr>
                  <w:fldChar w:fldCharType="begin"/>
                </w:r>
                <w:r>
                  <w:rPr>
                    <w:webHidden/>
                  </w:rPr>
                  <w:instrText xml:space="preserve"> PAGEREF _Toc187066105 \h </w:instrText>
                </w:r>
                <w:r>
                  <w:rPr>
                    <w:webHidden/>
                  </w:rPr>
                </w:r>
                <w:r>
                  <w:rPr>
                    <w:webHidden/>
                  </w:rPr>
                  <w:fldChar w:fldCharType="separate"/>
                </w:r>
                <w:r w:rsidR="000E57E8">
                  <w:rPr>
                    <w:webHidden/>
                  </w:rPr>
                  <w:t>36</w:t>
                </w:r>
                <w:r>
                  <w:rPr>
                    <w:webHidden/>
                  </w:rPr>
                  <w:fldChar w:fldCharType="end"/>
                </w:r>
              </w:hyperlink>
            </w:p>
            <w:p w14:paraId="2980B259" w14:textId="77777777" w:rsidR="00AE06D9" w:rsidRPr="00D14FCF" w:rsidRDefault="00AE06D9" w:rsidP="00AE06D9">
              <w:r w:rsidRPr="00D14FCF">
                <w:rPr>
                  <w:b/>
                  <w:bCs/>
                  <w:szCs w:val="24"/>
                </w:rPr>
                <w:fldChar w:fldCharType="end"/>
              </w:r>
            </w:p>
          </w:sdtContent>
        </w:sdt>
        <w:p w14:paraId="4946D886" w14:textId="77777777" w:rsidR="00AE06D9" w:rsidRPr="00D14FCF" w:rsidRDefault="00AE06D9" w:rsidP="00AE06D9"/>
        <w:p w14:paraId="794A7FCB" w14:textId="77777777" w:rsidR="00AE06D9" w:rsidRPr="00D14FCF" w:rsidRDefault="00AE06D9" w:rsidP="00AE06D9"/>
        <w:p w14:paraId="3A159325" w14:textId="77777777" w:rsidR="00AE06D9" w:rsidRPr="00D14FCF" w:rsidRDefault="00AE06D9" w:rsidP="00AE06D9"/>
        <w:p w14:paraId="68BACAC8" w14:textId="77777777" w:rsidR="00AE06D9" w:rsidRPr="00D14FCF" w:rsidRDefault="00AE06D9" w:rsidP="00AE06D9">
          <w:pPr>
            <w:pStyle w:val="Heading1"/>
            <w:spacing w:before="120" w:after="120"/>
          </w:pPr>
          <w:bookmarkStart w:id="17" w:name="_Toc178766393"/>
          <w:bookmarkStart w:id="18" w:name="_Toc187066088"/>
          <w:r w:rsidRPr="00D14FCF">
            <w:lastRenderedPageBreak/>
            <w:t>Introduction</w:t>
          </w:r>
          <w:bookmarkEnd w:id="17"/>
          <w:bookmarkEnd w:id="18"/>
        </w:p>
        <w:p w14:paraId="61023A6A" w14:textId="77777777" w:rsidR="00AE06D9" w:rsidRPr="00D14FCF" w:rsidRDefault="00AE06D9" w:rsidP="00AE06D9">
          <w:pPr>
            <w:spacing w:before="120" w:after="120"/>
          </w:pPr>
          <w:r w:rsidRPr="00D14FCF">
            <w:t xml:space="preserve">As informed by </w:t>
          </w:r>
          <w:r w:rsidRPr="00D14FCF">
            <w:rPr>
              <w:rFonts w:cs="Times New Roman"/>
            </w:rPr>
            <w:t>Atrill (2020</w:t>
          </w:r>
          <w:r w:rsidRPr="00D14FCF">
            <w:t xml:space="preserve">), business enterprises use several capital appraisal methods to </w:t>
          </w:r>
          <w:r>
            <w:t>choose</w:t>
          </w:r>
          <w:r w:rsidRPr="00D14FCF">
            <w:t xml:space="preserve"> the most practical project that boost the firm's profitability in the coming years. Further, out of the several methods, enterprises recognise the NPV method as the most viable and appropriate appraisal technique. As per </w:t>
          </w:r>
          <w:r w:rsidRPr="00D14FCF">
            <w:rPr>
              <w:rFonts w:cs="Times New Roman"/>
            </w:rPr>
            <w:t xml:space="preserve">Drury (2021), </w:t>
          </w:r>
          <w:r w:rsidRPr="00D14FCF">
            <w:t>moreover, some of the other prominent capital appraisal techniques that the entities will use are IRR</w:t>
          </w:r>
          <w:r>
            <w:t>,</w:t>
          </w:r>
          <w:r w:rsidRPr="00D14FCF">
            <w:t xml:space="preserve"> ARR, and </w:t>
          </w:r>
          <w:r>
            <w:t xml:space="preserve">the </w:t>
          </w:r>
          <w:r w:rsidRPr="00D14FCF">
            <w:t xml:space="preserve">payback period of the projects. </w:t>
          </w:r>
        </w:p>
        <w:p w14:paraId="2D87D398" w14:textId="77777777" w:rsidR="00AE06D9" w:rsidRPr="00D14FCF" w:rsidRDefault="00AE06D9" w:rsidP="00AE06D9">
          <w:pPr>
            <w:spacing w:before="120" w:after="120"/>
          </w:pPr>
          <w:r w:rsidRPr="00D14FCF">
            <w:t xml:space="preserve">As suggested by </w:t>
          </w:r>
          <w:r w:rsidRPr="00D14FCF">
            <w:rPr>
              <w:rFonts w:cs="Times New Roman"/>
            </w:rPr>
            <w:t xml:space="preserve">Bhimani (2022), </w:t>
          </w:r>
          <w:r w:rsidRPr="00D14FCF">
            <w:t>the</w:t>
          </w:r>
          <w:r>
            <w:t xml:space="preserve"> NPV</w:t>
          </w:r>
          <w:r w:rsidRPr="00D14FCF">
            <w:t xml:space="preserve"> method technique would be </w:t>
          </w:r>
          <w:r>
            <w:t>recognise</w:t>
          </w:r>
          <w:r w:rsidRPr="00D14FCF">
            <w:t>d as the suitable an</w:t>
          </w:r>
          <w:r>
            <w:t xml:space="preserve">d highly </w:t>
          </w:r>
          <w:r w:rsidRPr="00D14FCF">
            <w:t xml:space="preserve">appropriate capital evaluation method to judge the capability of a particular project over </w:t>
          </w:r>
          <w:r>
            <w:t>a</w:t>
          </w:r>
          <w:r w:rsidRPr="00D14FCF">
            <w:t xml:space="preserve"> period. Further, it uses the discounting rate to ascertain the current value of investments of the several investment options. As </w:t>
          </w:r>
          <w:r w:rsidRPr="00D14FCF">
            <w:rPr>
              <w:rFonts w:cs="Times New Roman"/>
            </w:rPr>
            <w:t>Saunders et al. (2021)</w:t>
          </w:r>
          <w:r w:rsidRPr="00D14FCF">
            <w:t xml:space="preserve"> defined; the </w:t>
          </w:r>
          <w:r>
            <w:t>IRR</w:t>
          </w:r>
          <w:r w:rsidRPr="00D14FCF">
            <w:t xml:space="preserve"> is calculated to determine the return offered by that specified project and investment to the firm over the years. As per </w:t>
          </w:r>
          <w:r w:rsidRPr="00D14FCF">
            <w:rPr>
              <w:rFonts w:cs="Times New Roman"/>
            </w:rPr>
            <w:t xml:space="preserve">Vipond (2025), </w:t>
          </w:r>
          <w:r w:rsidRPr="00D14FCF">
            <w:t xml:space="preserve">the </w:t>
          </w:r>
          <w:r>
            <w:t>ARR</w:t>
          </w:r>
          <w:r w:rsidRPr="00D14FCF">
            <w:t xml:space="preserve"> technique is used to ascertain the regular profit or cash flow produced by that investment for the entity in the coming years. Moreover, it is computed by distributing the average cash flow by the </w:t>
          </w:r>
          <w:r>
            <w:t>starting</w:t>
          </w:r>
          <w:r w:rsidRPr="00D14FCF">
            <w:t xml:space="preserve"> outlay of that project. According to </w:t>
          </w:r>
          <w:r w:rsidRPr="00D14FCF">
            <w:rPr>
              <w:rFonts w:cs="Times New Roman"/>
            </w:rPr>
            <w:t xml:space="preserve">Sadeghi et al. (2022), </w:t>
          </w:r>
          <w:r w:rsidRPr="00D14FCF">
            <w:t xml:space="preserve">simultaneously, the </w:t>
          </w:r>
          <w:r>
            <w:t>period of payback</w:t>
          </w:r>
          <w:r w:rsidRPr="00D14FCF">
            <w:t xml:space="preserve"> method assists the management of the firm in ascertaining the period in which the firm regenerates the starting outlay of that project.  </w:t>
          </w:r>
        </w:p>
        <w:p w14:paraId="4ECD34F3" w14:textId="77777777" w:rsidR="00AE06D9" w:rsidRPr="00D14FCF" w:rsidRDefault="00AE06D9" w:rsidP="00AE06D9">
          <w:pPr>
            <w:spacing w:before="120" w:after="120"/>
          </w:pPr>
          <w:r w:rsidRPr="00D14FCF">
            <w:t xml:space="preserve">The report would compute the current value of the investment options with the help of the NPV. In addition, it will also determine the IRR of the chosen investment option to examine the profitability of that specified investment option over the period. Apart from that will also suggest the significance of the method of NPV and why the given method is preferred over other methods. In the end, it also suggests the recommendation to the higher authorities of the furniture manufacturing entity. </w:t>
          </w:r>
        </w:p>
        <w:p w14:paraId="31753A1A" w14:textId="77777777" w:rsidR="00AE06D9" w:rsidRPr="00D14FCF" w:rsidRDefault="00AE06D9" w:rsidP="00AE06D9">
          <w:pPr>
            <w:spacing w:before="120" w:after="120"/>
          </w:pPr>
        </w:p>
        <w:p w14:paraId="7942B987" w14:textId="77777777" w:rsidR="00AE06D9" w:rsidRPr="00D14FCF" w:rsidRDefault="00AE06D9" w:rsidP="00AE06D9">
          <w:pPr>
            <w:spacing w:before="120" w:after="120"/>
          </w:pPr>
        </w:p>
        <w:p w14:paraId="0FD47831" w14:textId="77777777" w:rsidR="00AE06D9" w:rsidRPr="00D14FCF" w:rsidRDefault="00AE06D9" w:rsidP="00AE06D9">
          <w:pPr>
            <w:spacing w:before="120" w:after="120"/>
          </w:pPr>
        </w:p>
        <w:p w14:paraId="6513A4EC" w14:textId="77777777" w:rsidR="00AE06D9" w:rsidRPr="00D14FCF" w:rsidRDefault="00AE06D9" w:rsidP="00AE06D9">
          <w:pPr>
            <w:spacing w:before="120" w:after="120"/>
          </w:pPr>
        </w:p>
        <w:p w14:paraId="3DAAE99F" w14:textId="77777777" w:rsidR="00AE06D9" w:rsidRPr="00D14FCF" w:rsidRDefault="00AE06D9" w:rsidP="00AE06D9">
          <w:pPr>
            <w:spacing w:before="120" w:after="120"/>
          </w:pPr>
        </w:p>
        <w:p w14:paraId="60D14436" w14:textId="77777777" w:rsidR="00AE06D9" w:rsidRPr="00D14FCF" w:rsidRDefault="00AE06D9" w:rsidP="00AE06D9">
          <w:pPr>
            <w:pStyle w:val="Heading1"/>
            <w:spacing w:before="120" w:after="120"/>
          </w:pPr>
          <w:bookmarkStart w:id="19" w:name="_Toc178766394"/>
          <w:bookmarkStart w:id="20" w:name="_Toc187066089"/>
          <w:r w:rsidRPr="00D14FCF">
            <w:lastRenderedPageBreak/>
            <w:t>Main Findings</w:t>
          </w:r>
          <w:bookmarkEnd w:id="19"/>
          <w:bookmarkEnd w:id="20"/>
        </w:p>
        <w:p w14:paraId="5732C872" w14:textId="77777777" w:rsidR="00AE06D9" w:rsidRPr="00D14FCF" w:rsidRDefault="00AE06D9" w:rsidP="00AE06D9">
          <w:pPr>
            <w:pStyle w:val="Heading2"/>
            <w:spacing w:before="120" w:after="120"/>
          </w:pPr>
          <w:bookmarkStart w:id="21" w:name="_Toc187066090"/>
          <w:r w:rsidRPr="00D14FCF">
            <w:t>Brief overview of the investment options</w:t>
          </w:r>
          <w:bookmarkEnd w:id="21"/>
        </w:p>
        <w:p w14:paraId="5240AEC8" w14:textId="77777777" w:rsidR="00AE06D9" w:rsidRPr="00D14FCF" w:rsidRDefault="00AE06D9" w:rsidP="00AE06D9">
          <w:pPr>
            <w:spacing w:before="120" w:after="120"/>
            <w:rPr>
              <w:rFonts w:cs="Times New Roman"/>
            </w:rPr>
          </w:pPr>
          <w:r w:rsidRPr="00D14FCF">
            <w:t xml:space="preserve">The firm's top management has evaluated various investment options for the coming years. Further, it has examined three options for investment. Moreover, the preliminary </w:t>
          </w:r>
          <w:r>
            <w:t>outlay</w:t>
          </w:r>
          <w:r w:rsidRPr="00D14FCF">
            <w:t xml:space="preserve"> (a) is </w:t>
          </w:r>
          <w:r w:rsidRPr="00D14FCF">
            <w:rPr>
              <w:rFonts w:cs="Times New Roman"/>
            </w:rPr>
            <w:t>£</w:t>
          </w:r>
          <w:r w:rsidRPr="00D14FCF">
            <w:t xml:space="preserve"> 660,000, and investment (b) is </w:t>
          </w:r>
          <w:r w:rsidRPr="00D14FCF">
            <w:rPr>
              <w:rFonts w:cs="Times New Roman"/>
            </w:rPr>
            <w:t>£ 1,000,000. In addition, the investment (c) outlay is £ 1,700,000 over the period. Moreover, to assess the viability of investment options the NPV is computed by using the discounting rate of 6 percent. Apart from that, the IRR of the chosen investment has also b</w:t>
          </w:r>
          <w:r>
            <w:rPr>
              <w:rFonts w:cs="Times New Roman"/>
            </w:rPr>
            <w:t xml:space="preserve">een determined over the period. </w:t>
          </w:r>
        </w:p>
        <w:p w14:paraId="167E01AE" w14:textId="77777777" w:rsidR="00AE06D9" w:rsidRPr="00D14FCF" w:rsidRDefault="00AE06D9" w:rsidP="00AE06D9">
          <w:pPr>
            <w:pStyle w:val="Heading2"/>
            <w:spacing w:before="120" w:after="120"/>
          </w:pPr>
          <w:bookmarkStart w:id="22" w:name="_Toc187066091"/>
          <w:r w:rsidRPr="00D14FCF">
            <w:t>Capital appraisal methods</w:t>
          </w:r>
          <w:bookmarkEnd w:id="22"/>
        </w:p>
        <w:p w14:paraId="7B132D93" w14:textId="77777777" w:rsidR="00AE06D9" w:rsidRPr="00D14FCF" w:rsidRDefault="00AE06D9" w:rsidP="00AE06D9">
          <w:pPr>
            <w:pStyle w:val="Heading3"/>
            <w:spacing w:before="120" w:after="120"/>
          </w:pPr>
          <w:bookmarkStart w:id="23" w:name="_Toc187066092"/>
          <w:r w:rsidRPr="00D14FCF">
            <w:t>1. N</w:t>
          </w:r>
          <w:r>
            <w:t>PV</w:t>
          </w:r>
          <w:bookmarkEnd w:id="23"/>
        </w:p>
        <w:p w14:paraId="29C8578A" w14:textId="77777777" w:rsidR="00AE06D9" w:rsidRPr="00D14FCF" w:rsidRDefault="00AE06D9" w:rsidP="00AE06D9">
          <w:pPr>
            <w:spacing w:before="120" w:after="120"/>
            <w:rPr>
              <w:rFonts w:cs="Times New Roman"/>
            </w:rPr>
          </w:pPr>
          <w:r w:rsidRPr="00D14FCF">
            <w:rPr>
              <w:rFonts w:cs="Times New Roman"/>
            </w:rPr>
            <w:t>As defined by Marchioni</w:t>
          </w:r>
          <w:r>
            <w:rPr>
              <w:rFonts w:cs="Times New Roman"/>
            </w:rPr>
            <w:t xml:space="preserve"> </w:t>
          </w:r>
          <w:r w:rsidRPr="00D14FCF">
            <w:rPr>
              <w:rFonts w:cs="Times New Roman"/>
            </w:rPr>
            <w:t>and Magni (2018), the NPV is considered the most suitable and appropriate method that most business enterprises use to measure the success of outlay options. Further, it uses the time value of money</w:t>
          </w:r>
          <w:r>
            <w:rPr>
              <w:rFonts w:cs="Times New Roman"/>
            </w:rPr>
            <w:t xml:space="preserve"> (TVM)</w:t>
          </w:r>
          <w:r w:rsidRPr="00D14FCF">
            <w:rPr>
              <w:rFonts w:cs="Times New Roman"/>
            </w:rPr>
            <w:t xml:space="preserve"> to ascertain the </w:t>
          </w:r>
          <w:r>
            <w:rPr>
              <w:rFonts w:cs="Times New Roman"/>
            </w:rPr>
            <w:t>up-to-date</w:t>
          </w:r>
          <w:r w:rsidRPr="00D14FCF">
            <w:rPr>
              <w:rFonts w:cs="Times New Roman"/>
            </w:rPr>
            <w:t xml:space="preserve"> price of the investment over the period; apart from that, it also uses the discount</w:t>
          </w:r>
          <w:r>
            <w:rPr>
              <w:rFonts w:cs="Times New Roman"/>
            </w:rPr>
            <w:t xml:space="preserve">ing factor </w:t>
          </w:r>
          <w:r w:rsidRPr="00D14FCF">
            <w:rPr>
              <w:rFonts w:cs="Times New Roman"/>
            </w:rPr>
            <w:t xml:space="preserve">to determine the </w:t>
          </w:r>
          <w:r>
            <w:rPr>
              <w:rFonts w:cs="Times New Roman"/>
            </w:rPr>
            <w:t>current</w:t>
          </w:r>
          <w:r w:rsidRPr="00D14FCF">
            <w:rPr>
              <w:rFonts w:cs="Times New Roman"/>
            </w:rPr>
            <w:t xml:space="preserve"> </w:t>
          </w:r>
          <w:r>
            <w:rPr>
              <w:rFonts w:cs="Times New Roman"/>
            </w:rPr>
            <w:t>worth</w:t>
          </w:r>
          <w:r w:rsidRPr="00D14FCF">
            <w:rPr>
              <w:rFonts w:cs="Times New Roman"/>
            </w:rPr>
            <w:t xml:space="preserve"> of the cash flow offered by the investments over the years to the firm. In addition, the </w:t>
          </w:r>
          <w:r>
            <w:rPr>
              <w:rFonts w:cs="Times New Roman"/>
            </w:rPr>
            <w:t>present date</w:t>
          </w:r>
          <w:r w:rsidRPr="00D14FCF">
            <w:rPr>
              <w:rFonts w:cs="Times New Roman"/>
            </w:rPr>
            <w:t xml:space="preserve"> value of the asset is calculated by subtracting the final </w:t>
          </w:r>
          <w:r>
            <w:rPr>
              <w:rFonts w:cs="Times New Roman"/>
            </w:rPr>
            <w:t>worth</w:t>
          </w:r>
          <w:r w:rsidRPr="00D14FCF">
            <w:rPr>
              <w:rFonts w:cs="Times New Roman"/>
            </w:rPr>
            <w:t xml:space="preserve"> of cash outflows from the cash arrivals over the period. </w:t>
          </w:r>
        </w:p>
        <w:p w14:paraId="05D31BC8" w14:textId="77777777" w:rsidR="00AE06D9" w:rsidRPr="00D14FCF" w:rsidRDefault="00AE06D9" w:rsidP="00AE06D9">
          <w:pPr>
            <w:spacing w:before="120" w:after="120"/>
            <w:rPr>
              <w:rFonts w:cs="Times New Roman"/>
            </w:rPr>
          </w:pPr>
          <w:r w:rsidRPr="00D14FCF">
            <w:rPr>
              <w:rFonts w:cs="Times New Roman"/>
            </w:rPr>
            <w:t xml:space="preserve">The calculation of the NPV has suggested that the three investment options have generated positive cash flow over four years. Further, the computation of the NPV has suggested that the final value of the investment (a) after the four years would be £ 752,892.95, and its initial outlay is £ 660,000. Moreover, the present value of investment (b) would be £ 1,301,418.63 while its starting outlay is £ 1,000,000. Simultaneously, the present value of investment (c) is £ 1,315,807.90 over four years, while its starting outlay is £ 1,700,000 over the period. </w:t>
          </w:r>
        </w:p>
        <w:p w14:paraId="0EDD888C" w14:textId="77777777" w:rsidR="00AE06D9" w:rsidRPr="00D14FCF" w:rsidRDefault="00AE06D9" w:rsidP="00AE06D9">
          <w:pPr>
            <w:spacing w:before="120" w:after="120"/>
            <w:rPr>
              <w:rFonts w:cs="Times New Roman"/>
            </w:rPr>
          </w:pPr>
          <w:r w:rsidRPr="00D14FCF">
            <w:rPr>
              <w:rFonts w:cs="Times New Roman"/>
            </w:rPr>
            <w:t xml:space="preserve">Hence, the determination of the NPV has been suggested that all the investments are viable for the firm as they help increase the firm's profitability in the coming years. But the most suitable investment option would be investment (c) as the starting expenditure of that investment is £ 1,700,000 while its present value after the four years would be £ 1,315,807.90 over the year of four years. </w:t>
          </w:r>
        </w:p>
        <w:p w14:paraId="63CC21DF" w14:textId="77777777" w:rsidR="00AE06D9" w:rsidRPr="00D14FCF" w:rsidRDefault="00AE06D9" w:rsidP="00AE06D9">
          <w:pPr>
            <w:spacing w:before="120" w:after="120"/>
            <w:rPr>
              <w:rFonts w:cs="Times New Roman"/>
            </w:rPr>
          </w:pPr>
          <w:r w:rsidRPr="00D14FCF">
            <w:rPr>
              <w:rFonts w:cs="Times New Roman"/>
            </w:rPr>
            <w:lastRenderedPageBreak/>
            <w:t xml:space="preserve">So, it is recommended to the </w:t>
          </w:r>
          <w:r>
            <w:rPr>
              <w:rFonts w:cs="Times New Roman"/>
            </w:rPr>
            <w:t>top authorities</w:t>
          </w:r>
          <w:r w:rsidRPr="00D14FCF">
            <w:rPr>
              <w:rFonts w:cs="Times New Roman"/>
            </w:rPr>
            <w:t xml:space="preserve"> of</w:t>
          </w:r>
          <w:r>
            <w:rPr>
              <w:rFonts w:cs="Times New Roman"/>
            </w:rPr>
            <w:t xml:space="preserve"> an entity</w:t>
          </w:r>
          <w:r w:rsidRPr="00D14FCF">
            <w:rPr>
              <w:rFonts w:cs="Times New Roman"/>
            </w:rPr>
            <w:t xml:space="preserve"> to continue with investment (c) in the future as it enhances the firm's profitability over the years. </w:t>
          </w:r>
        </w:p>
        <w:p w14:paraId="293C5F00" w14:textId="77777777" w:rsidR="00AE06D9" w:rsidRPr="00D14FCF" w:rsidRDefault="00AE06D9" w:rsidP="00AE06D9">
          <w:pPr>
            <w:pStyle w:val="Heading3"/>
            <w:spacing w:before="120" w:after="120"/>
          </w:pPr>
          <w:bookmarkStart w:id="24" w:name="_Toc187066093"/>
          <w:r w:rsidRPr="00D14FCF">
            <w:t>2. A</w:t>
          </w:r>
          <w:r>
            <w:t>RR</w:t>
          </w:r>
          <w:bookmarkEnd w:id="24"/>
        </w:p>
        <w:p w14:paraId="0C154790" w14:textId="77777777" w:rsidR="00AE06D9" w:rsidRPr="00D14FCF" w:rsidRDefault="00AE06D9" w:rsidP="00AE06D9">
          <w:pPr>
            <w:spacing w:before="120" w:after="120"/>
            <w:rPr>
              <w:rFonts w:cs="Times New Roman"/>
              <w:b/>
              <w:bCs/>
            </w:rPr>
          </w:pPr>
          <w:r w:rsidRPr="00D14FCF">
            <w:rPr>
              <w:rFonts w:cs="Times New Roman"/>
            </w:rPr>
            <w:t>As informed by Magni (2019), the method of ARR tells the percentage of return the investment offers to the enterprise over the project's total lifespan. Further, it uses average cash</w:t>
          </w:r>
          <w:r>
            <w:rPr>
              <w:rFonts w:cs="Times New Roman"/>
            </w:rPr>
            <w:t xml:space="preserve"> </w:t>
          </w:r>
          <w:r w:rsidRPr="00D14FCF">
            <w:rPr>
              <w:rFonts w:cs="Times New Roman"/>
            </w:rPr>
            <w:t xml:space="preserve">flows and an original </w:t>
          </w:r>
          <w:r>
            <w:rPr>
              <w:rFonts w:cs="Times New Roman"/>
            </w:rPr>
            <w:t>outlay</w:t>
          </w:r>
          <w:r w:rsidRPr="00D14FCF">
            <w:rPr>
              <w:rFonts w:cs="Times New Roman"/>
            </w:rPr>
            <w:t xml:space="preserve"> of the plan to ascertain</w:t>
          </w:r>
          <w:r>
            <w:rPr>
              <w:rFonts w:cs="Times New Roman"/>
            </w:rPr>
            <w:t xml:space="preserve"> the </w:t>
          </w:r>
          <w:r w:rsidRPr="00D14FCF">
            <w:rPr>
              <w:rFonts w:cs="Times New Roman"/>
            </w:rPr>
            <w:t>return</w:t>
          </w:r>
          <w:r>
            <w:rPr>
              <w:rFonts w:cs="Times New Roman"/>
            </w:rPr>
            <w:t xml:space="preserve"> percentage</w:t>
          </w:r>
          <w:r w:rsidRPr="00D14FCF">
            <w:rPr>
              <w:rFonts w:cs="Times New Roman"/>
            </w:rPr>
            <w:t xml:space="preserve">. Moreover, it does not </w:t>
          </w:r>
          <w:r>
            <w:rPr>
              <w:rFonts w:cs="Times New Roman"/>
            </w:rPr>
            <w:t>recognise TVM</w:t>
          </w:r>
          <w:r w:rsidRPr="00D14FCF">
            <w:rPr>
              <w:rFonts w:cs="Times New Roman"/>
            </w:rPr>
            <w:t xml:space="preserve">. </w:t>
          </w:r>
        </w:p>
        <w:p w14:paraId="27671A82" w14:textId="77777777" w:rsidR="00AE06D9" w:rsidRPr="00D14FCF" w:rsidRDefault="00AE06D9" w:rsidP="00AE06D9">
          <w:pPr>
            <w:pStyle w:val="Heading3"/>
            <w:spacing w:before="120" w:after="120"/>
          </w:pPr>
          <w:bookmarkStart w:id="25" w:name="_Toc187066094"/>
          <w:r w:rsidRPr="00D14FCF">
            <w:t xml:space="preserve">3. </w:t>
          </w:r>
          <w:r>
            <w:t>Period of Payback</w:t>
          </w:r>
          <w:bookmarkEnd w:id="25"/>
          <w:r>
            <w:t xml:space="preserve"> </w:t>
          </w:r>
        </w:p>
        <w:p w14:paraId="3970B3BC" w14:textId="77777777" w:rsidR="00AE06D9" w:rsidRPr="00D14FCF" w:rsidRDefault="00AE06D9" w:rsidP="00AE06D9">
          <w:pPr>
            <w:spacing w:before="120" w:after="120"/>
            <w:rPr>
              <w:rFonts w:cs="Times New Roman"/>
            </w:rPr>
          </w:pPr>
          <w:r w:rsidRPr="00D14FCF">
            <w:rPr>
              <w:rFonts w:cs="Times New Roman"/>
            </w:rPr>
            <w:t xml:space="preserve">As described by Dai et al. (2022), the entity's management uses this technique of capital appraisal to determine the period in which the firm can recover its starting amount of investment over the years. Further, it is also considered the prominent non-discounting method of </w:t>
          </w:r>
          <w:r>
            <w:rPr>
              <w:rFonts w:cs="Times New Roman"/>
            </w:rPr>
            <w:t>project</w:t>
          </w:r>
          <w:r w:rsidRPr="00D14FCF">
            <w:rPr>
              <w:rFonts w:cs="Times New Roman"/>
            </w:rPr>
            <w:t xml:space="preserve"> assessment. </w:t>
          </w:r>
        </w:p>
        <w:p w14:paraId="33AC0A37" w14:textId="77777777" w:rsidR="00AE06D9" w:rsidRPr="00D14FCF" w:rsidRDefault="00AE06D9" w:rsidP="00AE06D9">
          <w:pPr>
            <w:pStyle w:val="Heading3"/>
            <w:spacing w:before="120" w:after="120"/>
          </w:pPr>
          <w:bookmarkStart w:id="26" w:name="_Toc187066095"/>
          <w:r w:rsidRPr="00D14FCF">
            <w:t>4. I</w:t>
          </w:r>
          <w:r>
            <w:t>RR</w:t>
          </w:r>
          <w:bookmarkEnd w:id="26"/>
        </w:p>
        <w:p w14:paraId="6A10AE6E" w14:textId="77777777" w:rsidR="00AE06D9" w:rsidRPr="00D14FCF" w:rsidRDefault="00AE06D9" w:rsidP="00AE06D9">
          <w:pPr>
            <w:spacing w:before="120" w:after="120"/>
            <w:rPr>
              <w:rFonts w:cs="Times New Roman"/>
            </w:rPr>
          </w:pPr>
          <w:r w:rsidRPr="00D14FCF">
            <w:rPr>
              <w:rFonts w:cs="Times New Roman"/>
            </w:rPr>
            <w:t>As per Maravas and Pantouvakis (2018), the IRR is computed to regulate the minimum profit rate that assists the entity's management in achieving the break-even point in the coming period. Further, if the IRR surpasses the</w:t>
          </w:r>
          <w:r>
            <w:rPr>
              <w:rFonts w:cs="Times New Roman"/>
            </w:rPr>
            <w:t xml:space="preserve"> </w:t>
          </w:r>
          <w:r w:rsidRPr="00D14FCF">
            <w:rPr>
              <w:rFonts w:cs="Times New Roman"/>
            </w:rPr>
            <w:t>cost</w:t>
          </w:r>
          <w:r>
            <w:rPr>
              <w:rFonts w:cs="Times New Roman"/>
            </w:rPr>
            <w:t xml:space="preserve"> of outlay</w:t>
          </w:r>
          <w:r w:rsidRPr="00D14FCF">
            <w:rPr>
              <w:rFonts w:cs="Times New Roman"/>
            </w:rPr>
            <w:t>, the firm selects or chooses that project or investment.</w:t>
          </w:r>
        </w:p>
        <w:p w14:paraId="1D00929F" w14:textId="77777777" w:rsidR="00AE06D9" w:rsidRPr="00D14FCF" w:rsidRDefault="00AE06D9" w:rsidP="00AE06D9">
          <w:pPr>
            <w:spacing w:before="120" w:after="120"/>
            <w:rPr>
              <w:rFonts w:cs="Times New Roman"/>
            </w:rPr>
          </w:pPr>
          <w:r w:rsidRPr="00D14FCF">
            <w:rPr>
              <w:rFonts w:cs="Times New Roman"/>
            </w:rPr>
            <w:t xml:space="preserve">The </w:t>
          </w:r>
          <w:r>
            <w:rPr>
              <w:rFonts w:cs="Times New Roman"/>
            </w:rPr>
            <w:t>identification</w:t>
          </w:r>
          <w:r w:rsidRPr="00D14FCF">
            <w:rPr>
              <w:rFonts w:cs="Times New Roman"/>
            </w:rPr>
            <w:t xml:space="preserve"> of the IRR indicates the rate of return of the chosen investment is offered by the investment (c) would be 32 percent. Further, it is the lowest among all the investment options as other projects offered 48 and 45 percent returns, respectively, to the firm. However, the final decision on the investment has been made based on the results of the NPV. </w:t>
          </w:r>
        </w:p>
        <w:p w14:paraId="3A059D60" w14:textId="77777777" w:rsidR="00AE06D9" w:rsidRPr="00D14FCF" w:rsidRDefault="00AE06D9" w:rsidP="00AE06D9">
          <w:pPr>
            <w:pStyle w:val="Heading2"/>
            <w:spacing w:before="120" w:after="120"/>
          </w:pPr>
          <w:bookmarkStart w:id="27" w:name="_Toc187066096"/>
          <w:r w:rsidRPr="00D14FCF">
            <w:t>Most suitable capital appraisal method and why NPV is preferred</w:t>
          </w:r>
          <w:bookmarkEnd w:id="27"/>
        </w:p>
        <w:p w14:paraId="04734DE3" w14:textId="77777777" w:rsidR="00AE06D9" w:rsidRPr="00D14FCF" w:rsidRDefault="00AE06D9" w:rsidP="00AE06D9">
          <w:pPr>
            <w:spacing w:before="120" w:after="120"/>
            <w:rPr>
              <w:rFonts w:cs="Times New Roman"/>
            </w:rPr>
          </w:pPr>
          <w:r w:rsidRPr="00D14FCF">
            <w:rPr>
              <w:rFonts w:cs="Times New Roman"/>
            </w:rPr>
            <w:t>Based on the above findings of the information connected to the various capital appraisal methods, it is suggested that the</w:t>
          </w:r>
          <w:r>
            <w:rPr>
              <w:rFonts w:cs="Times New Roman"/>
            </w:rPr>
            <w:t xml:space="preserve"> </w:t>
          </w:r>
          <w:r w:rsidRPr="00D14FCF">
            <w:rPr>
              <w:rFonts w:cs="Times New Roman"/>
            </w:rPr>
            <w:t>NPV</w:t>
          </w:r>
          <w:r>
            <w:rPr>
              <w:rFonts w:cs="Times New Roman"/>
            </w:rPr>
            <w:t xml:space="preserve"> option</w:t>
          </w:r>
          <w:r w:rsidRPr="00D14FCF">
            <w:rPr>
              <w:rFonts w:cs="Times New Roman"/>
            </w:rPr>
            <w:t xml:space="preserve"> is the</w:t>
          </w:r>
          <w:r>
            <w:rPr>
              <w:rFonts w:cs="Times New Roman"/>
            </w:rPr>
            <w:t xml:space="preserve"> </w:t>
          </w:r>
          <w:r w:rsidRPr="00D14FCF">
            <w:rPr>
              <w:rFonts w:cs="Times New Roman"/>
            </w:rPr>
            <w:t xml:space="preserve">appropriate </w:t>
          </w:r>
          <w:r>
            <w:rPr>
              <w:rFonts w:cs="Times New Roman"/>
            </w:rPr>
            <w:t>project</w:t>
          </w:r>
          <w:r w:rsidRPr="00D14FCF">
            <w:rPr>
              <w:rFonts w:cs="Times New Roman"/>
            </w:rPr>
            <w:t xml:space="preserve"> </w:t>
          </w:r>
          <w:r>
            <w:rPr>
              <w:rFonts w:cs="Times New Roman"/>
            </w:rPr>
            <w:t>assessment</w:t>
          </w:r>
          <w:r w:rsidRPr="00D14FCF">
            <w:rPr>
              <w:rFonts w:cs="Times New Roman"/>
            </w:rPr>
            <w:t xml:space="preserve"> technique. As Magni and Marchioni (2020) and Gaspars-Wieloch (2019) suggest, the recommended </w:t>
          </w:r>
          <w:r>
            <w:rPr>
              <w:rFonts w:cs="Times New Roman"/>
            </w:rPr>
            <w:t>option</w:t>
          </w:r>
          <w:r w:rsidRPr="00D14FCF">
            <w:rPr>
              <w:rFonts w:cs="Times New Roman"/>
            </w:rPr>
            <w:t xml:space="preserve"> </w:t>
          </w:r>
          <w:r>
            <w:rPr>
              <w:rFonts w:cs="Times New Roman"/>
            </w:rPr>
            <w:t>recognises</w:t>
          </w:r>
          <w:r w:rsidRPr="00D14FCF">
            <w:rPr>
              <w:rFonts w:cs="Times New Roman"/>
            </w:rPr>
            <w:t xml:space="preserve"> the </w:t>
          </w:r>
          <w:r>
            <w:rPr>
              <w:rFonts w:cs="Times New Roman"/>
            </w:rPr>
            <w:t>TVM</w:t>
          </w:r>
          <w:r w:rsidRPr="00D14FCF">
            <w:rPr>
              <w:rFonts w:cs="Times New Roman"/>
            </w:rPr>
            <w:t xml:space="preserve"> while ascertaining the present value of the </w:t>
          </w:r>
          <w:r>
            <w:rPr>
              <w:rFonts w:cs="Times New Roman"/>
            </w:rPr>
            <w:t>project</w:t>
          </w:r>
          <w:r w:rsidRPr="00D14FCF">
            <w:rPr>
              <w:rFonts w:cs="Times New Roman"/>
            </w:rPr>
            <w:t xml:space="preserve"> options explored by the firm's </w:t>
          </w:r>
          <w:r>
            <w:rPr>
              <w:rFonts w:cs="Times New Roman"/>
            </w:rPr>
            <w:t>authorities</w:t>
          </w:r>
          <w:r w:rsidRPr="00D14FCF">
            <w:rPr>
              <w:rFonts w:cs="Times New Roman"/>
            </w:rPr>
            <w:t xml:space="preserve"> over the period. As Knoke et al.</w:t>
          </w:r>
          <w:r>
            <w:rPr>
              <w:rFonts w:cs="Times New Roman"/>
            </w:rPr>
            <w:t xml:space="preserve"> </w:t>
          </w:r>
          <w:r w:rsidRPr="00D14FCF">
            <w:rPr>
              <w:rFonts w:cs="Times New Roman"/>
            </w:rPr>
            <w:t xml:space="preserve">(2020) suggested, the chosen method is also easy to understand, widely used, and adopted by many business firms </w:t>
          </w:r>
          <w:r w:rsidRPr="00D14FCF">
            <w:rPr>
              <w:rFonts w:cs="Times New Roman"/>
            </w:rPr>
            <w:lastRenderedPageBreak/>
            <w:t xml:space="preserve">to </w:t>
          </w:r>
          <w:r>
            <w:rPr>
              <w:rFonts w:cs="Times New Roman"/>
            </w:rPr>
            <w:t>ascertain</w:t>
          </w:r>
          <w:r w:rsidRPr="00D14FCF">
            <w:rPr>
              <w:rFonts w:cs="Times New Roman"/>
            </w:rPr>
            <w:t xml:space="preserve"> the </w:t>
          </w:r>
          <w:r>
            <w:rPr>
              <w:rFonts w:cs="Times New Roman"/>
            </w:rPr>
            <w:t>updated</w:t>
          </w:r>
          <w:r w:rsidRPr="00D14FCF">
            <w:rPr>
              <w:rFonts w:cs="Times New Roman"/>
            </w:rPr>
            <w:t xml:space="preserve"> </w:t>
          </w:r>
          <w:r>
            <w:rPr>
              <w:rFonts w:cs="Times New Roman"/>
            </w:rPr>
            <w:t xml:space="preserve">worth </w:t>
          </w:r>
          <w:r w:rsidRPr="00D14FCF">
            <w:rPr>
              <w:rFonts w:cs="Times New Roman"/>
            </w:rPr>
            <w:t xml:space="preserve">of projects over the years. As mentioned by Atz et al. (2021), apart from determining the current value of the investment, it also assisted the firm in identifying the revenue and profit generated by that specified project and investment option over its lifespan. Over the years, it is also </w:t>
          </w:r>
          <w:r>
            <w:rPr>
              <w:rFonts w:cs="Times New Roman"/>
            </w:rPr>
            <w:t>recognise</w:t>
          </w:r>
          <w:r w:rsidRPr="00D14FCF">
            <w:rPr>
              <w:rFonts w:cs="Times New Roman"/>
            </w:rPr>
            <w:t xml:space="preserve">d as the primary method for selecting the most viable and profitable option for projects and investments. </w:t>
          </w:r>
        </w:p>
        <w:p w14:paraId="567FA10E" w14:textId="77777777" w:rsidR="00AE06D9" w:rsidRPr="00D14FCF" w:rsidRDefault="00AE06D9" w:rsidP="00AE06D9">
          <w:pPr>
            <w:spacing w:before="120" w:after="120"/>
            <w:rPr>
              <w:rFonts w:cs="Times New Roman"/>
            </w:rPr>
          </w:pPr>
          <w:r w:rsidRPr="00D14FCF">
            <w:rPr>
              <w:rFonts w:cs="Times New Roman"/>
            </w:rPr>
            <w:t xml:space="preserve">As mentioned by Dobrowolski and Drozdowski (2022), simultaneously, the technique of NPV also helps the investors determine the amount of cash that is to be </w:t>
          </w:r>
          <w:r>
            <w:rPr>
              <w:rFonts w:cs="Times New Roman"/>
            </w:rPr>
            <w:t>re</w:t>
          </w:r>
          <w:r w:rsidRPr="00D14FCF">
            <w:rPr>
              <w:rFonts w:cs="Times New Roman"/>
            </w:rPr>
            <w:t xml:space="preserve">paid by the firm's </w:t>
          </w:r>
          <w:r>
            <w:rPr>
              <w:rFonts w:cs="Times New Roman"/>
            </w:rPr>
            <w:t>authorities</w:t>
          </w:r>
          <w:r w:rsidRPr="00D14FCF">
            <w:rPr>
              <w:rFonts w:cs="Times New Roman"/>
            </w:rPr>
            <w:t xml:space="preserve"> on the present </w:t>
          </w:r>
          <w:r>
            <w:rPr>
              <w:rFonts w:cs="Times New Roman"/>
            </w:rPr>
            <w:t>worth</w:t>
          </w:r>
          <w:r w:rsidRPr="00D14FCF">
            <w:rPr>
              <w:rFonts w:cs="Times New Roman"/>
            </w:rPr>
            <w:t xml:space="preserve"> of the project or investment. In addition, it is also used by the higher authorities to ascertain the benefits and advantages of the investment option in the coming years. </w:t>
          </w:r>
        </w:p>
        <w:p w14:paraId="79527AA3" w14:textId="77777777" w:rsidR="00AE06D9" w:rsidRPr="00D14FCF" w:rsidRDefault="00AE06D9" w:rsidP="00AE06D9">
          <w:pPr>
            <w:spacing w:before="120" w:after="120"/>
            <w:rPr>
              <w:rFonts w:cs="Times New Roman"/>
            </w:rPr>
          </w:pPr>
          <w:r w:rsidRPr="00D14FCF">
            <w:rPr>
              <w:rFonts w:cs="Times New Roman"/>
            </w:rPr>
            <w:t>As informed by Le (2021), the method of IRR and NPV uses the discounting rate to ascertain the final value of the project and investment over the years. Further, if the result of the IRR suggests</w:t>
          </w:r>
          <w:r>
            <w:rPr>
              <w:rFonts w:cs="Times New Roman"/>
            </w:rPr>
            <w:t xml:space="preserve"> </w:t>
          </w:r>
          <w:r w:rsidRPr="00D14FCF">
            <w:rPr>
              <w:rFonts w:cs="Times New Roman"/>
            </w:rPr>
            <w:t>the</w:t>
          </w:r>
          <w:r>
            <w:rPr>
              <w:rFonts w:cs="Times New Roman"/>
            </w:rPr>
            <w:t xml:space="preserve"> </w:t>
          </w:r>
          <w:r w:rsidRPr="00D14FCF">
            <w:rPr>
              <w:rFonts w:cs="Times New Roman"/>
            </w:rPr>
            <w:t>return is</w:t>
          </w:r>
          <w:r>
            <w:rPr>
              <w:rFonts w:cs="Times New Roman"/>
            </w:rPr>
            <w:t xml:space="preserve"> </w:t>
          </w:r>
          <w:r w:rsidRPr="00D14FCF">
            <w:rPr>
              <w:rFonts w:cs="Times New Roman"/>
            </w:rPr>
            <w:t xml:space="preserve">more than the discounting </w:t>
          </w:r>
          <w:r>
            <w:rPr>
              <w:rFonts w:cs="Times New Roman"/>
            </w:rPr>
            <w:t>factor</w:t>
          </w:r>
          <w:r w:rsidRPr="00D14FCF">
            <w:rPr>
              <w:rFonts w:cs="Times New Roman"/>
            </w:rPr>
            <w:t xml:space="preserve"> then, in that case, the top management of the entity would choose the selected project. However, if the calculated arrival is lower than the discounting rate, in that case, the investment is not selected or chosen by the higher management of the enterprise over the years. </w:t>
          </w:r>
        </w:p>
        <w:p w14:paraId="6C37B646" w14:textId="77777777" w:rsidR="00AE06D9" w:rsidRPr="00D14FCF" w:rsidRDefault="00AE06D9" w:rsidP="00AE06D9">
          <w:pPr>
            <w:spacing w:before="120" w:after="120"/>
            <w:rPr>
              <w:rFonts w:cs="Times New Roman"/>
            </w:rPr>
          </w:pPr>
          <w:r w:rsidRPr="00D14FCF">
            <w:rPr>
              <w:rFonts w:cs="Times New Roman"/>
            </w:rPr>
            <w:t xml:space="preserve">As per Rajgopal et al. (2020), moreover, the higher authorities of the entity limitedly use the method of IRR if the rate of discounting is not given; then, in that case, it is hard to </w:t>
          </w:r>
          <w:r>
            <w:rPr>
              <w:rFonts w:cs="Times New Roman"/>
            </w:rPr>
            <w:t>identify</w:t>
          </w:r>
          <w:r w:rsidRPr="00D14FCF">
            <w:rPr>
              <w:rFonts w:cs="Times New Roman"/>
            </w:rPr>
            <w:t xml:space="preserve"> the </w:t>
          </w:r>
          <w:r>
            <w:rPr>
              <w:rFonts w:cs="Times New Roman"/>
            </w:rPr>
            <w:t>IRR</w:t>
          </w:r>
          <w:r w:rsidRPr="00D14FCF">
            <w:rPr>
              <w:rFonts w:cs="Times New Roman"/>
            </w:rPr>
            <w:t xml:space="preserve">, and it is difficult to choose and select that project for the long term. Moreover, in that case, the management of the firm uses the </w:t>
          </w:r>
          <w:r>
            <w:rPr>
              <w:rFonts w:cs="Times New Roman"/>
            </w:rPr>
            <w:t>technique</w:t>
          </w:r>
          <w:r w:rsidRPr="00D14FCF">
            <w:rPr>
              <w:rFonts w:cs="Times New Roman"/>
            </w:rPr>
            <w:t xml:space="preserve"> of NPV to </w:t>
          </w:r>
          <w:r>
            <w:rPr>
              <w:rFonts w:cs="Times New Roman"/>
            </w:rPr>
            <w:t>identify</w:t>
          </w:r>
          <w:r w:rsidRPr="00D14FCF">
            <w:rPr>
              <w:rFonts w:cs="Times New Roman"/>
            </w:rPr>
            <w:t xml:space="preserve"> the effectiveness and viability of that, project, and it is also predominately used by the investors and stakeholders connected to the firm. </w:t>
          </w:r>
        </w:p>
        <w:p w14:paraId="30588D66" w14:textId="77777777" w:rsidR="00AE06D9" w:rsidRPr="00D14FCF" w:rsidRDefault="00AE06D9" w:rsidP="00AE06D9">
          <w:pPr>
            <w:spacing w:before="120" w:after="120"/>
            <w:rPr>
              <w:rFonts w:cs="Times New Roman"/>
            </w:rPr>
          </w:pPr>
          <w:r w:rsidRPr="00D14FCF">
            <w:rPr>
              <w:rFonts w:cs="Times New Roman"/>
            </w:rPr>
            <w:t xml:space="preserve">Abuseif and Gou (2018) suggest that companies do not consider the </w:t>
          </w:r>
          <w:r>
            <w:rPr>
              <w:rFonts w:cs="Times New Roman"/>
            </w:rPr>
            <w:t>PBP</w:t>
          </w:r>
          <w:r w:rsidRPr="00D14FCF">
            <w:rPr>
              <w:rFonts w:cs="Times New Roman"/>
            </w:rPr>
            <w:t xml:space="preserve"> </w:t>
          </w:r>
          <w:r>
            <w:rPr>
              <w:rFonts w:cs="Times New Roman"/>
            </w:rPr>
            <w:t>technique</w:t>
          </w:r>
          <w:r w:rsidRPr="00D14FCF">
            <w:rPr>
              <w:rFonts w:cs="Times New Roman"/>
            </w:rPr>
            <w:t xml:space="preserve"> to ascertain the viability and profitability of the investment. Further, the </w:t>
          </w:r>
          <w:r>
            <w:rPr>
              <w:rFonts w:cs="Times New Roman"/>
            </w:rPr>
            <w:t>recovery time</w:t>
          </w:r>
          <w:r w:rsidRPr="00D14FCF">
            <w:rPr>
              <w:rFonts w:cs="Times New Roman"/>
            </w:rPr>
            <w:t xml:space="preserve"> does not use the </w:t>
          </w:r>
          <w:r>
            <w:rPr>
              <w:rFonts w:cs="Times New Roman"/>
            </w:rPr>
            <w:t>TVM</w:t>
          </w:r>
          <w:r w:rsidRPr="00D14FCF">
            <w:rPr>
              <w:rFonts w:cs="Times New Roman"/>
            </w:rPr>
            <w:t xml:space="preserve"> and only tells the period in which the company has regenerated or recouped the amount of initial investment in the coming years. Moreover, to overcome the shortcomings of the other </w:t>
          </w:r>
          <w:r>
            <w:rPr>
              <w:rFonts w:cs="Times New Roman"/>
            </w:rPr>
            <w:t>project</w:t>
          </w:r>
          <w:r w:rsidRPr="00D14FCF">
            <w:rPr>
              <w:rFonts w:cs="Times New Roman"/>
            </w:rPr>
            <w:t xml:space="preserve"> </w:t>
          </w:r>
          <w:r>
            <w:rPr>
              <w:rFonts w:cs="Times New Roman"/>
            </w:rPr>
            <w:t>assessment</w:t>
          </w:r>
          <w:r w:rsidRPr="00D14FCF">
            <w:rPr>
              <w:rFonts w:cs="Times New Roman"/>
            </w:rPr>
            <w:t xml:space="preserve"> methods, the entities have used IRR and NPV to judge the </w:t>
          </w:r>
          <w:r>
            <w:rPr>
              <w:rFonts w:cs="Times New Roman"/>
            </w:rPr>
            <w:t>likelihood</w:t>
          </w:r>
          <w:r w:rsidRPr="00D14FCF">
            <w:rPr>
              <w:rFonts w:cs="Times New Roman"/>
            </w:rPr>
            <w:t xml:space="preserve"> of the investment or project </w:t>
          </w:r>
          <w:r>
            <w:rPr>
              <w:rFonts w:cs="Times New Roman"/>
            </w:rPr>
            <w:t>earning</w:t>
          </w:r>
          <w:r w:rsidRPr="00D14FCF">
            <w:rPr>
              <w:rFonts w:cs="Times New Roman"/>
            </w:rPr>
            <w:t xml:space="preserve"> profits and revenue over the years. Subsequently, the technique of IRR also has some issues and hindrances that affect profitability, so this would be the main reason why the firms preferred the method NPV to ascertain the plan's potential and investment over the period. </w:t>
          </w:r>
        </w:p>
        <w:p w14:paraId="5035402B" w14:textId="77777777" w:rsidR="00AE06D9" w:rsidRPr="00D14FCF" w:rsidRDefault="00AE06D9" w:rsidP="00AE06D9">
          <w:pPr>
            <w:pStyle w:val="Heading2"/>
            <w:spacing w:before="120" w:after="120"/>
          </w:pPr>
          <w:bookmarkStart w:id="28" w:name="_Toc187066097"/>
          <w:r w:rsidRPr="00D14FCF">
            <w:lastRenderedPageBreak/>
            <w:t>The use of the non -discounting method by the decision-makers</w:t>
          </w:r>
          <w:bookmarkEnd w:id="28"/>
        </w:p>
        <w:p w14:paraId="25EBA1B7" w14:textId="77777777" w:rsidR="00AE06D9" w:rsidRPr="00D14FCF" w:rsidRDefault="00AE06D9" w:rsidP="00AE06D9">
          <w:pPr>
            <w:spacing w:before="120" w:after="120"/>
            <w:rPr>
              <w:rFonts w:cs="Times New Roman"/>
            </w:rPr>
          </w:pPr>
          <w:r w:rsidRPr="00D14FCF">
            <w:rPr>
              <w:rFonts w:cs="Times New Roman"/>
            </w:rPr>
            <w:t xml:space="preserve">As recommended by Shrotriya (2018), the non-discounting method is used by various business enterprises to </w:t>
          </w:r>
          <w:r>
            <w:rPr>
              <w:rFonts w:cs="Times New Roman"/>
            </w:rPr>
            <w:t>ascertain</w:t>
          </w:r>
          <w:r w:rsidRPr="00D14FCF">
            <w:rPr>
              <w:rFonts w:cs="Times New Roman"/>
            </w:rPr>
            <w:t xml:space="preserve"> the potential of the project to earn a profit over the years. As per Mollah et al. (2023), further, the primary motive of the firms in using these techniques as they do not use the </w:t>
          </w:r>
          <w:r>
            <w:rPr>
              <w:rFonts w:cs="Times New Roman"/>
            </w:rPr>
            <w:t xml:space="preserve">TVM </w:t>
          </w:r>
          <w:r w:rsidRPr="00D14FCF">
            <w:rPr>
              <w:rFonts w:cs="Times New Roman"/>
            </w:rPr>
            <w:t>and are easy to calculate. According to Siziba</w:t>
          </w:r>
          <w:r>
            <w:rPr>
              <w:rFonts w:cs="Times New Roman"/>
            </w:rPr>
            <w:t xml:space="preserve"> </w:t>
          </w:r>
          <w:r w:rsidRPr="00D14FCF">
            <w:rPr>
              <w:rFonts w:cs="Times New Roman"/>
            </w:rPr>
            <w:t xml:space="preserve">and Hall (2021), it also assists the firm in quick and fast decision-making regarding the investment or project. Apart from that, in some of the projects, some of the project's discounting factor is not given or provided, and, in that case, it is complex for the firm to decide the viability of the project without the discounting factor it saves time and effort and also facilitates quick decision making. </w:t>
          </w:r>
        </w:p>
        <w:p w14:paraId="5BA7B921" w14:textId="77777777" w:rsidR="00AE06D9" w:rsidRPr="00D14FCF" w:rsidRDefault="00AE06D9" w:rsidP="00AE06D9">
          <w:pPr>
            <w:spacing w:before="120" w:after="120"/>
            <w:rPr>
              <w:rFonts w:cs="Times New Roman"/>
            </w:rPr>
          </w:pPr>
          <w:r w:rsidRPr="00D14FCF">
            <w:rPr>
              <w:rFonts w:cs="Times New Roman"/>
            </w:rPr>
            <w:t>As mentioned by Kengatharan</w:t>
          </w:r>
          <w:r>
            <w:rPr>
              <w:rFonts w:cs="Times New Roman"/>
            </w:rPr>
            <w:t xml:space="preserve"> </w:t>
          </w:r>
          <w:r w:rsidRPr="00D14FCF">
            <w:rPr>
              <w:rFonts w:cs="Times New Roman"/>
            </w:rPr>
            <w:t xml:space="preserve">and Nurullah (2018), the non-discounting </w:t>
          </w:r>
          <w:r>
            <w:rPr>
              <w:rFonts w:cs="Times New Roman"/>
            </w:rPr>
            <w:t xml:space="preserve">techniques </w:t>
          </w:r>
          <w:r w:rsidRPr="00D14FCF">
            <w:rPr>
              <w:rFonts w:cs="Times New Roman"/>
            </w:rPr>
            <w:t>are primarily used and implemented by small and marginal business enterprises to ascertain the viabili</w:t>
          </w:r>
          <w:r>
            <w:rPr>
              <w:rFonts w:cs="Times New Roman"/>
            </w:rPr>
            <w:t>ty of the projects</w:t>
          </w:r>
          <w:r w:rsidRPr="00D14FCF">
            <w:rPr>
              <w:rFonts w:cs="Times New Roman"/>
            </w:rPr>
            <w:t xml:space="preserve">. Further, </w:t>
          </w:r>
          <w:r>
            <w:rPr>
              <w:rFonts w:cs="Times New Roman"/>
            </w:rPr>
            <w:t xml:space="preserve">non-discounting methods that are prominent </w:t>
          </w:r>
          <w:r w:rsidRPr="00D14FCF">
            <w:rPr>
              <w:rFonts w:cs="Times New Roman"/>
            </w:rPr>
            <w:t>are payback period and ARR which the higher authorities of the firm have widely used over the years. As discussed by Oloke et al. (2022), the cash</w:t>
          </w:r>
          <w:r>
            <w:rPr>
              <w:rFonts w:cs="Times New Roman"/>
            </w:rPr>
            <w:t xml:space="preserve"> </w:t>
          </w:r>
          <w:r w:rsidRPr="00D14FCF">
            <w:rPr>
              <w:rFonts w:cs="Times New Roman"/>
            </w:rPr>
            <w:t xml:space="preserve">flows earned in the future are to be considered as same as the current value of that project or investment for the firm. Apart from that, the primary aim behind using the </w:t>
          </w:r>
          <w:r>
            <w:rPr>
              <w:rFonts w:cs="Times New Roman"/>
            </w:rPr>
            <w:t>PBP</w:t>
          </w:r>
          <w:r w:rsidRPr="00D14FCF">
            <w:rPr>
              <w:rFonts w:cs="Times New Roman"/>
            </w:rPr>
            <w:t xml:space="preserve"> technique is to determine the liquidity position of the firm and the level of risk connected to that specified project or investment. </w:t>
          </w:r>
        </w:p>
        <w:p w14:paraId="4C76040C" w14:textId="77777777" w:rsidR="00AE06D9" w:rsidRPr="00D14FCF" w:rsidRDefault="00AE06D9" w:rsidP="00AE06D9">
          <w:pPr>
            <w:pStyle w:val="Heading2"/>
            <w:spacing w:before="120" w:after="120"/>
          </w:pPr>
          <w:bookmarkStart w:id="29" w:name="_Toc187066098"/>
          <w:r w:rsidRPr="00D14FCF">
            <w:t xml:space="preserve">Other factors that the firm should </w:t>
          </w:r>
          <w:r>
            <w:t>recognise</w:t>
          </w:r>
          <w:r w:rsidRPr="00D14FCF">
            <w:t xml:space="preserve"> before an investment decision is made</w:t>
          </w:r>
          <w:bookmarkEnd w:id="29"/>
        </w:p>
        <w:p w14:paraId="66863120" w14:textId="77777777" w:rsidR="00AE06D9" w:rsidRPr="00D14FCF" w:rsidRDefault="00AE06D9" w:rsidP="00AE06D9">
          <w:pPr>
            <w:spacing w:before="120" w:after="120"/>
            <w:rPr>
              <w:rFonts w:cs="Times New Roman"/>
            </w:rPr>
          </w:pPr>
          <w:r w:rsidRPr="00D14FCF">
            <w:rPr>
              <w:rFonts w:cs="Times New Roman"/>
            </w:rPr>
            <w:t xml:space="preserve">As per La Torre et al. (2020), the management of the enterprise has to consider various factors while selecting any project or investment. Further, it includes both </w:t>
          </w:r>
          <w:r>
            <w:rPr>
              <w:rFonts w:cs="Times New Roman"/>
            </w:rPr>
            <w:t>economic</w:t>
          </w:r>
          <w:r w:rsidRPr="00D14FCF">
            <w:rPr>
              <w:rFonts w:cs="Times New Roman"/>
            </w:rPr>
            <w:t xml:space="preserve"> and non-</w:t>
          </w:r>
          <w:r>
            <w:rPr>
              <w:rFonts w:cs="Times New Roman"/>
            </w:rPr>
            <w:t>economic</w:t>
          </w:r>
          <w:r w:rsidRPr="00D14FCF">
            <w:rPr>
              <w:rFonts w:cs="Times New Roman"/>
            </w:rPr>
            <w:t xml:space="preserve"> decisions that </w:t>
          </w:r>
          <w:r>
            <w:rPr>
              <w:rFonts w:cs="Times New Roman"/>
            </w:rPr>
            <w:t>influence</w:t>
          </w:r>
          <w:r w:rsidRPr="00D14FCF">
            <w:rPr>
              <w:rFonts w:cs="Times New Roman"/>
            </w:rPr>
            <w:t xml:space="preserve"> the viability of the chosen project in the future. As Zahera</w:t>
          </w:r>
          <w:r>
            <w:rPr>
              <w:rFonts w:cs="Times New Roman"/>
            </w:rPr>
            <w:t xml:space="preserve"> </w:t>
          </w:r>
          <w:r w:rsidRPr="00D14FCF">
            <w:rPr>
              <w:rFonts w:cs="Times New Roman"/>
            </w:rPr>
            <w:t xml:space="preserve">and Bansal (2018) recommended, the primary factor affecting the selection decision is government policies, which include tax rebates and additional allowances offered by the development authorities to the projects for their long-term sustainability in the future. The influence of these factors is either direct or indirect on it in the future. </w:t>
          </w:r>
        </w:p>
        <w:p w14:paraId="451780A0" w14:textId="77777777" w:rsidR="00AE06D9" w:rsidRPr="00D14FCF" w:rsidRDefault="00AE06D9" w:rsidP="00AE06D9">
          <w:pPr>
            <w:spacing w:before="120" w:after="120"/>
            <w:rPr>
              <w:rFonts w:cs="Times New Roman"/>
            </w:rPr>
          </w:pPr>
          <w:r w:rsidRPr="00D14FCF">
            <w:rPr>
              <w:rFonts w:cs="Times New Roman"/>
            </w:rPr>
            <w:t xml:space="preserve">As informed by Thuy et al. (2019), in addition, several microeconomic factors that affect the project selection are the prevailing rate of interest and changes in the monetary and fiscal policies of the government and the nation's central bank. Further, the economy's current </w:t>
          </w:r>
          <w:r w:rsidRPr="00D14FCF">
            <w:rPr>
              <w:rFonts w:cs="Times New Roman"/>
            </w:rPr>
            <w:lastRenderedPageBreak/>
            <w:t xml:space="preserve">condition, either in recession or boom, has significantly influenced the cost of manufacturing in the coming years. </w:t>
          </w:r>
        </w:p>
        <w:p w14:paraId="31AE5876" w14:textId="77777777" w:rsidR="00AE06D9" w:rsidRPr="00D14FCF" w:rsidRDefault="00AE06D9" w:rsidP="00AE06D9">
          <w:pPr>
            <w:spacing w:before="120" w:after="120"/>
            <w:rPr>
              <w:rFonts w:cs="Times New Roman"/>
              <w:b/>
              <w:bCs/>
            </w:rPr>
          </w:pPr>
          <w:r w:rsidRPr="00D14FCF">
            <w:rPr>
              <w:rFonts w:cs="Times New Roman"/>
            </w:rPr>
            <w:t>As per Joghee et al. (2020), the project timeline or deadline also directly impacts the investment selection over the years. Further, some projects and investments required extra time to complete them within the prescribed time limit. Moreover, because of the increase in the time limit, the charge of the</w:t>
          </w:r>
          <w:r>
            <w:rPr>
              <w:rFonts w:cs="Times New Roman"/>
            </w:rPr>
            <w:t xml:space="preserve"> </w:t>
          </w:r>
          <w:r w:rsidRPr="00D14FCF">
            <w:rPr>
              <w:rFonts w:cs="Times New Roman"/>
            </w:rPr>
            <w:t>investment will also increase in the future, significantly influencing the group's overall profitability. As recommended by Roy</w:t>
          </w:r>
          <w:r>
            <w:rPr>
              <w:rFonts w:cs="Times New Roman"/>
            </w:rPr>
            <w:t xml:space="preserve"> Chowdhury</w:t>
          </w:r>
          <w:r w:rsidRPr="00D14FCF">
            <w:rPr>
              <w:rFonts w:cs="Times New Roman"/>
            </w:rPr>
            <w:t xml:space="preserve"> et al. (2019), further, the fiscal productivity of the entity also impacts the selection of the investment or project as it is directly connected to the enterprise's profitability over the years.</w:t>
          </w:r>
        </w:p>
        <w:p w14:paraId="088474A5" w14:textId="77777777" w:rsidR="00AE06D9" w:rsidRPr="00D14FCF" w:rsidRDefault="00AE06D9" w:rsidP="00AE06D9">
          <w:pPr>
            <w:pStyle w:val="Heading1"/>
          </w:pPr>
          <w:bookmarkStart w:id="30" w:name="_Toc187066099"/>
          <w:r w:rsidRPr="00D14FCF">
            <w:t>Optimal Investment Policy</w:t>
          </w:r>
          <w:bookmarkEnd w:id="30"/>
        </w:p>
        <w:p w14:paraId="5C7BA63F" w14:textId="77777777" w:rsidR="00AE06D9" w:rsidRPr="00D14FCF" w:rsidRDefault="00AE06D9" w:rsidP="00AE06D9">
          <w:pPr>
            <w:spacing w:before="120" w:after="120"/>
            <w:rPr>
              <w:rFonts w:cs="Times New Roman"/>
            </w:rPr>
          </w:pPr>
          <w:r w:rsidRPr="00D14FCF">
            <w:rPr>
              <w:rFonts w:cs="Times New Roman"/>
            </w:rPr>
            <w:t>As suggested by Arratia-Martinez et al. (2021), the selection of the optimal policy of investment is carried out on the following assumptions that are stated below</w:t>
          </w:r>
          <w:r>
            <w:rPr>
              <w:rFonts w:cs="Times New Roman"/>
            </w:rPr>
            <w:t xml:space="preserve">. </w:t>
          </w:r>
          <w:r w:rsidRPr="00D14FCF">
            <w:rPr>
              <w:rFonts w:cs="Times New Roman"/>
            </w:rPr>
            <w:t xml:space="preserve">The total fund of £ 2,500,000 </w:t>
          </w:r>
          <w:r>
            <w:rPr>
              <w:rFonts w:cs="Times New Roman"/>
            </w:rPr>
            <w:t xml:space="preserve">will be distributed </w:t>
          </w:r>
          <w:r w:rsidRPr="00D14FCF">
            <w:rPr>
              <w:rFonts w:cs="Times New Roman"/>
            </w:rPr>
            <w:t xml:space="preserve">among the different projects </w:t>
          </w:r>
          <w:r>
            <w:rPr>
              <w:rFonts w:cs="Times New Roman"/>
            </w:rPr>
            <w:t>to maximize</w:t>
          </w:r>
          <w:r w:rsidRPr="00D14FCF">
            <w:rPr>
              <w:rFonts w:cs="Times New Roman"/>
            </w:rPr>
            <w:t xml:space="preserve"> the NPV in the future. </w:t>
          </w:r>
        </w:p>
        <w:p w14:paraId="0EA5A398" w14:textId="77777777" w:rsidR="00AE06D9" w:rsidRPr="00D14FCF" w:rsidRDefault="00AE06D9" w:rsidP="00AE06D9">
          <w:pPr>
            <w:spacing w:before="120" w:after="120"/>
            <w:rPr>
              <w:rFonts w:cs="Times New Roman"/>
            </w:rPr>
          </w:pPr>
          <w:r w:rsidRPr="00D14FCF">
            <w:rPr>
              <w:rFonts w:cs="Times New Roman"/>
            </w:rPr>
            <w:t xml:space="preserve">For determining the proportion of the funds, firstly, the ratio of NPV to cost has been determined, and based on the result; the plans are hierarchical based on the results of this ratio. After that, the funds are allocated to them based on their ranks, and at the end, the final NPV would be determined by adding the NPVs of the projects funded by the available capital. </w:t>
          </w:r>
        </w:p>
        <w:p w14:paraId="0381B67E" w14:textId="77777777" w:rsidR="00AE06D9" w:rsidRPr="00D14FCF" w:rsidRDefault="00AE06D9" w:rsidP="00AE06D9">
          <w:pPr>
            <w:spacing w:before="120" w:after="120"/>
            <w:rPr>
              <w:rFonts w:cs="Times New Roman"/>
            </w:rPr>
          </w:pPr>
          <w:r w:rsidRPr="00D14FCF">
            <w:rPr>
              <w:rFonts w:cs="Times New Roman"/>
            </w:rPr>
            <w:t xml:space="preserve">The required calculation has been demonstrated in the below table – </w:t>
          </w:r>
        </w:p>
        <w:tbl>
          <w:tblPr>
            <w:tblW w:w="5000" w:type="pct"/>
            <w:tblLook w:val="04A0" w:firstRow="1" w:lastRow="0" w:firstColumn="1" w:lastColumn="0" w:noHBand="0" w:noVBand="1"/>
          </w:tblPr>
          <w:tblGrid>
            <w:gridCol w:w="1896"/>
            <w:gridCol w:w="2130"/>
            <w:gridCol w:w="2072"/>
            <w:gridCol w:w="2918"/>
          </w:tblGrid>
          <w:tr w:rsidR="00AE06D9" w14:paraId="6D78E8CE" w14:textId="77777777" w:rsidTr="00C64B14">
            <w:trPr>
              <w:trHeight w:val="288"/>
            </w:trPr>
            <w:tc>
              <w:tcPr>
                <w:tcW w:w="105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42C310" w14:textId="77777777" w:rsidR="00AE06D9" w:rsidRPr="00D14FCF" w:rsidRDefault="00AE06D9" w:rsidP="00C64B14">
                <w:pPr>
                  <w:spacing w:after="0"/>
                  <w:jc w:val="center"/>
                  <w:rPr>
                    <w:rFonts w:eastAsia="Times New Roman" w:cs="Times New Roman"/>
                    <w:b/>
                    <w:bCs/>
                    <w:color w:val="000000"/>
                    <w:szCs w:val="24"/>
                    <w:lang w:val="en-IN" w:eastAsia="en-IN"/>
                  </w:rPr>
                </w:pPr>
                <w:r w:rsidRPr="00D14FCF">
                  <w:rPr>
                    <w:rFonts w:eastAsia="Times New Roman" w:cs="Times New Roman"/>
                    <w:b/>
                    <w:bCs/>
                    <w:color w:val="000000"/>
                    <w:szCs w:val="24"/>
                    <w:lang w:val="en-IN" w:eastAsia="en-IN"/>
                  </w:rPr>
                  <w:t xml:space="preserve">Investment </w:t>
                </w:r>
              </w:p>
            </w:tc>
            <w:tc>
              <w:tcPr>
                <w:tcW w:w="1181" w:type="pct"/>
                <w:tcBorders>
                  <w:top w:val="single" w:sz="4" w:space="0" w:color="auto"/>
                  <w:left w:val="nil"/>
                  <w:bottom w:val="single" w:sz="4" w:space="0" w:color="auto"/>
                  <w:right w:val="single" w:sz="4" w:space="0" w:color="auto"/>
                </w:tcBorders>
                <w:shd w:val="clear" w:color="auto" w:fill="auto"/>
                <w:noWrap/>
                <w:vAlign w:val="bottom"/>
                <w:hideMark/>
              </w:tcPr>
              <w:p w14:paraId="7641F4A2" w14:textId="77777777" w:rsidR="00AE06D9" w:rsidRPr="00D14FCF" w:rsidRDefault="00AE06D9" w:rsidP="00C64B14">
                <w:pPr>
                  <w:spacing w:after="0"/>
                  <w:jc w:val="center"/>
                  <w:rPr>
                    <w:rFonts w:eastAsia="Times New Roman" w:cs="Times New Roman"/>
                    <w:b/>
                    <w:bCs/>
                    <w:color w:val="000000"/>
                    <w:szCs w:val="24"/>
                    <w:lang w:val="en-IN" w:eastAsia="en-IN"/>
                  </w:rPr>
                </w:pPr>
                <w:r w:rsidRPr="00D14FCF">
                  <w:rPr>
                    <w:rFonts w:eastAsia="Times New Roman" w:cs="Times New Roman"/>
                    <w:b/>
                    <w:bCs/>
                    <w:color w:val="000000"/>
                    <w:szCs w:val="24"/>
                    <w:lang w:val="en-IN" w:eastAsia="en-IN"/>
                  </w:rPr>
                  <w:t xml:space="preserve">Initial Cost (£) </w:t>
                </w:r>
              </w:p>
            </w:tc>
            <w:tc>
              <w:tcPr>
                <w:tcW w:w="1149" w:type="pct"/>
                <w:tcBorders>
                  <w:top w:val="single" w:sz="4" w:space="0" w:color="auto"/>
                  <w:left w:val="nil"/>
                  <w:bottom w:val="single" w:sz="4" w:space="0" w:color="auto"/>
                  <w:right w:val="single" w:sz="4" w:space="0" w:color="auto"/>
                </w:tcBorders>
                <w:shd w:val="clear" w:color="auto" w:fill="auto"/>
                <w:noWrap/>
                <w:vAlign w:val="bottom"/>
                <w:hideMark/>
              </w:tcPr>
              <w:p w14:paraId="5B52D10D" w14:textId="77777777" w:rsidR="00AE06D9" w:rsidRPr="00D14FCF" w:rsidRDefault="00AE06D9" w:rsidP="00C64B14">
                <w:pPr>
                  <w:spacing w:after="0"/>
                  <w:jc w:val="center"/>
                  <w:rPr>
                    <w:rFonts w:eastAsia="Times New Roman" w:cs="Times New Roman"/>
                    <w:b/>
                    <w:bCs/>
                    <w:color w:val="000000"/>
                    <w:szCs w:val="24"/>
                    <w:lang w:val="en-IN" w:eastAsia="en-IN"/>
                  </w:rPr>
                </w:pPr>
                <w:r w:rsidRPr="00D14FCF">
                  <w:rPr>
                    <w:rFonts w:eastAsia="Times New Roman" w:cs="Times New Roman"/>
                    <w:b/>
                    <w:bCs/>
                    <w:color w:val="000000"/>
                    <w:szCs w:val="24"/>
                    <w:lang w:val="en-IN" w:eastAsia="en-IN"/>
                  </w:rPr>
                  <w:t>NPV (£)</w:t>
                </w:r>
              </w:p>
            </w:tc>
            <w:tc>
              <w:tcPr>
                <w:tcW w:w="1618" w:type="pct"/>
                <w:tcBorders>
                  <w:top w:val="single" w:sz="4" w:space="0" w:color="auto"/>
                  <w:left w:val="nil"/>
                  <w:bottom w:val="single" w:sz="4" w:space="0" w:color="auto"/>
                  <w:right w:val="single" w:sz="4" w:space="0" w:color="auto"/>
                </w:tcBorders>
                <w:shd w:val="clear" w:color="auto" w:fill="auto"/>
                <w:noWrap/>
                <w:vAlign w:val="bottom"/>
                <w:hideMark/>
              </w:tcPr>
              <w:p w14:paraId="132AD6A3" w14:textId="77777777" w:rsidR="00AE06D9" w:rsidRPr="00D14FCF" w:rsidRDefault="00AE06D9" w:rsidP="00C64B14">
                <w:pPr>
                  <w:spacing w:after="0"/>
                  <w:jc w:val="center"/>
                  <w:rPr>
                    <w:rFonts w:eastAsia="Times New Roman" w:cs="Times New Roman"/>
                    <w:b/>
                    <w:bCs/>
                    <w:color w:val="000000"/>
                    <w:szCs w:val="24"/>
                    <w:lang w:val="en-IN" w:eastAsia="en-IN"/>
                  </w:rPr>
                </w:pPr>
                <w:r w:rsidRPr="00D14FCF">
                  <w:rPr>
                    <w:rFonts w:eastAsia="Times New Roman" w:cs="Times New Roman"/>
                    <w:b/>
                    <w:bCs/>
                    <w:color w:val="000000"/>
                    <w:szCs w:val="24"/>
                    <w:lang w:val="en-IN" w:eastAsia="en-IN"/>
                  </w:rPr>
                  <w:t xml:space="preserve">NPV to cost ratio </w:t>
                </w:r>
              </w:p>
            </w:tc>
          </w:tr>
          <w:tr w:rsidR="00AE06D9" w14:paraId="7853B383" w14:textId="77777777" w:rsidTr="00C64B14">
            <w:trPr>
              <w:trHeight w:val="288"/>
            </w:trPr>
            <w:tc>
              <w:tcPr>
                <w:tcW w:w="1052" w:type="pct"/>
                <w:tcBorders>
                  <w:top w:val="nil"/>
                  <w:left w:val="single" w:sz="4" w:space="0" w:color="auto"/>
                  <w:bottom w:val="single" w:sz="4" w:space="0" w:color="auto"/>
                  <w:right w:val="single" w:sz="4" w:space="0" w:color="auto"/>
                </w:tcBorders>
                <w:shd w:val="clear" w:color="auto" w:fill="auto"/>
                <w:noWrap/>
                <w:vAlign w:val="bottom"/>
                <w:hideMark/>
              </w:tcPr>
              <w:p w14:paraId="52880C83" w14:textId="77777777" w:rsidR="00AE06D9" w:rsidRPr="00D14FCF" w:rsidRDefault="00AE06D9" w:rsidP="00C64B14">
                <w:pPr>
                  <w:spacing w:after="0"/>
                  <w:jc w:val="center"/>
                  <w:rPr>
                    <w:rFonts w:eastAsia="Times New Roman" w:cs="Times New Roman"/>
                    <w:b/>
                    <w:bCs/>
                    <w:color w:val="000000"/>
                    <w:szCs w:val="24"/>
                    <w:lang w:val="en-IN" w:eastAsia="en-IN"/>
                  </w:rPr>
                </w:pPr>
                <w:r w:rsidRPr="00D14FCF">
                  <w:rPr>
                    <w:rFonts w:eastAsia="Times New Roman" w:cs="Times New Roman"/>
                    <w:b/>
                    <w:bCs/>
                    <w:color w:val="000000"/>
                    <w:szCs w:val="24"/>
                    <w:lang w:val="en-IN" w:eastAsia="en-IN"/>
                  </w:rPr>
                  <w:t>A</w:t>
                </w:r>
              </w:p>
            </w:tc>
            <w:tc>
              <w:tcPr>
                <w:tcW w:w="1181" w:type="pct"/>
                <w:tcBorders>
                  <w:top w:val="nil"/>
                  <w:left w:val="nil"/>
                  <w:bottom w:val="single" w:sz="4" w:space="0" w:color="auto"/>
                  <w:right w:val="single" w:sz="4" w:space="0" w:color="auto"/>
                </w:tcBorders>
                <w:shd w:val="clear" w:color="auto" w:fill="auto"/>
                <w:noWrap/>
                <w:vAlign w:val="bottom"/>
                <w:hideMark/>
              </w:tcPr>
              <w:p w14:paraId="4854EA29" w14:textId="610E6599" w:rsidR="00AE06D9" w:rsidRPr="00D14FCF" w:rsidRDefault="00AE06D9" w:rsidP="00C64B14">
                <w:pPr>
                  <w:spacing w:after="0"/>
                  <w:jc w:val="center"/>
                  <w:rPr>
                    <w:rFonts w:eastAsia="Times New Roman" w:cs="Times New Roman"/>
                    <w:color w:val="000000"/>
                    <w:szCs w:val="24"/>
                    <w:lang w:val="en-IN" w:eastAsia="en-IN"/>
                  </w:rPr>
                </w:pPr>
                <w:r w:rsidRPr="00D14FCF">
                  <w:rPr>
                    <w:rFonts w:eastAsia="Times New Roman" w:cs="Times New Roman"/>
                    <w:color w:val="000000"/>
                    <w:szCs w:val="24"/>
                    <w:lang w:val="en-IN" w:eastAsia="en-IN"/>
                  </w:rPr>
                  <w:t>660,000</w:t>
                </w:r>
              </w:p>
            </w:tc>
            <w:tc>
              <w:tcPr>
                <w:tcW w:w="1149" w:type="pct"/>
                <w:tcBorders>
                  <w:top w:val="nil"/>
                  <w:left w:val="nil"/>
                  <w:bottom w:val="single" w:sz="4" w:space="0" w:color="auto"/>
                  <w:right w:val="single" w:sz="4" w:space="0" w:color="auto"/>
                </w:tcBorders>
                <w:shd w:val="clear" w:color="auto" w:fill="auto"/>
                <w:noWrap/>
                <w:vAlign w:val="bottom"/>
                <w:hideMark/>
              </w:tcPr>
              <w:p w14:paraId="7CA8084C" w14:textId="0E19D32D" w:rsidR="00AE06D9" w:rsidRPr="00D14FCF" w:rsidRDefault="006E4DFC" w:rsidP="00C64B14">
                <w:pPr>
                  <w:spacing w:after="0"/>
                  <w:jc w:val="center"/>
                  <w:rPr>
                    <w:rFonts w:eastAsia="Times New Roman" w:cs="Times New Roman"/>
                    <w:color w:val="000000"/>
                    <w:szCs w:val="24"/>
                    <w:lang w:val="en-IN" w:eastAsia="en-IN"/>
                  </w:rPr>
                </w:pPr>
                <w:r>
                  <w:rPr>
                    <w:rFonts w:eastAsia="Times New Roman" w:cs="Times New Roman"/>
                    <w:color w:val="000000"/>
                    <w:szCs w:val="24"/>
                    <w:lang w:val="en-IN" w:eastAsia="en-IN"/>
                  </w:rPr>
                  <w:t>20</w:t>
                </w:r>
                <w:r w:rsidR="0010446A">
                  <w:rPr>
                    <w:rFonts w:eastAsia="Times New Roman" w:cs="Times New Roman"/>
                    <w:color w:val="000000"/>
                    <w:szCs w:val="24"/>
                    <w:lang w:val="en-IN" w:eastAsia="en-IN"/>
                  </w:rPr>
                  <w:t>72892.953</w:t>
                </w:r>
              </w:p>
            </w:tc>
            <w:tc>
              <w:tcPr>
                <w:tcW w:w="1618" w:type="pct"/>
                <w:tcBorders>
                  <w:top w:val="nil"/>
                  <w:left w:val="nil"/>
                  <w:bottom w:val="single" w:sz="4" w:space="0" w:color="auto"/>
                  <w:right w:val="single" w:sz="4" w:space="0" w:color="auto"/>
                </w:tcBorders>
                <w:shd w:val="clear" w:color="auto" w:fill="auto"/>
                <w:noWrap/>
                <w:vAlign w:val="bottom"/>
                <w:hideMark/>
              </w:tcPr>
              <w:p w14:paraId="555350E8" w14:textId="6263F298" w:rsidR="00AE06D9" w:rsidRPr="00D14FCF" w:rsidRDefault="0010446A" w:rsidP="00C64B14">
                <w:pPr>
                  <w:spacing w:after="0"/>
                  <w:jc w:val="center"/>
                  <w:rPr>
                    <w:rFonts w:eastAsia="Times New Roman" w:cs="Times New Roman"/>
                    <w:color w:val="000000"/>
                    <w:szCs w:val="24"/>
                    <w:lang w:val="en-IN" w:eastAsia="en-IN"/>
                  </w:rPr>
                </w:pPr>
                <w:r>
                  <w:rPr>
                    <w:rFonts w:eastAsia="Times New Roman" w:cs="Times New Roman"/>
                    <w:color w:val="000000"/>
                    <w:szCs w:val="24"/>
                    <w:lang w:val="en-IN" w:eastAsia="en-IN"/>
                  </w:rPr>
                  <w:t>3</w:t>
                </w:r>
                <w:r w:rsidR="00AE06D9" w:rsidRPr="00D14FCF">
                  <w:rPr>
                    <w:rFonts w:eastAsia="Times New Roman" w:cs="Times New Roman"/>
                    <w:color w:val="000000"/>
                    <w:szCs w:val="24"/>
                    <w:lang w:val="en-IN" w:eastAsia="en-IN"/>
                  </w:rPr>
                  <w:t>.14</w:t>
                </w:r>
              </w:p>
            </w:tc>
          </w:tr>
          <w:tr w:rsidR="00AE06D9" w14:paraId="52205D73" w14:textId="77777777" w:rsidTr="00C64B14">
            <w:trPr>
              <w:trHeight w:val="288"/>
            </w:trPr>
            <w:tc>
              <w:tcPr>
                <w:tcW w:w="1052" w:type="pct"/>
                <w:tcBorders>
                  <w:top w:val="nil"/>
                  <w:left w:val="single" w:sz="4" w:space="0" w:color="auto"/>
                  <w:bottom w:val="single" w:sz="4" w:space="0" w:color="auto"/>
                  <w:right w:val="single" w:sz="4" w:space="0" w:color="auto"/>
                </w:tcBorders>
                <w:shd w:val="clear" w:color="auto" w:fill="auto"/>
                <w:noWrap/>
                <w:vAlign w:val="bottom"/>
                <w:hideMark/>
              </w:tcPr>
              <w:p w14:paraId="3E1AA39F" w14:textId="77777777" w:rsidR="00AE06D9" w:rsidRPr="00D14FCF" w:rsidRDefault="00AE06D9" w:rsidP="00C64B14">
                <w:pPr>
                  <w:spacing w:after="0"/>
                  <w:jc w:val="center"/>
                  <w:rPr>
                    <w:rFonts w:eastAsia="Times New Roman" w:cs="Times New Roman"/>
                    <w:b/>
                    <w:bCs/>
                    <w:color w:val="000000"/>
                    <w:szCs w:val="24"/>
                    <w:lang w:val="en-IN" w:eastAsia="en-IN"/>
                  </w:rPr>
                </w:pPr>
                <w:r w:rsidRPr="00D14FCF">
                  <w:rPr>
                    <w:rFonts w:eastAsia="Times New Roman" w:cs="Times New Roman"/>
                    <w:b/>
                    <w:bCs/>
                    <w:color w:val="000000"/>
                    <w:szCs w:val="24"/>
                    <w:lang w:val="en-IN" w:eastAsia="en-IN"/>
                  </w:rPr>
                  <w:t>B</w:t>
                </w:r>
              </w:p>
            </w:tc>
            <w:tc>
              <w:tcPr>
                <w:tcW w:w="1181" w:type="pct"/>
                <w:tcBorders>
                  <w:top w:val="nil"/>
                  <w:left w:val="nil"/>
                  <w:bottom w:val="single" w:sz="4" w:space="0" w:color="auto"/>
                  <w:right w:val="single" w:sz="4" w:space="0" w:color="auto"/>
                </w:tcBorders>
                <w:shd w:val="clear" w:color="auto" w:fill="auto"/>
                <w:noWrap/>
                <w:vAlign w:val="bottom"/>
                <w:hideMark/>
              </w:tcPr>
              <w:p w14:paraId="1F03EE7E" w14:textId="5BBAFDD1" w:rsidR="00AE06D9" w:rsidRPr="00D14FCF" w:rsidRDefault="00AE06D9" w:rsidP="00C64B14">
                <w:pPr>
                  <w:spacing w:after="0"/>
                  <w:jc w:val="center"/>
                  <w:rPr>
                    <w:rFonts w:eastAsia="Times New Roman" w:cs="Times New Roman"/>
                    <w:color w:val="000000"/>
                    <w:szCs w:val="24"/>
                    <w:lang w:val="en-IN" w:eastAsia="en-IN"/>
                  </w:rPr>
                </w:pPr>
                <w:r w:rsidRPr="00D14FCF">
                  <w:rPr>
                    <w:rFonts w:eastAsia="Times New Roman" w:cs="Times New Roman"/>
                    <w:color w:val="000000"/>
                    <w:szCs w:val="24"/>
                    <w:lang w:val="en-IN" w:eastAsia="en-IN"/>
                  </w:rPr>
                  <w:t>1</w:t>
                </w:r>
                <w:r w:rsidR="00157850">
                  <w:rPr>
                    <w:rFonts w:eastAsia="Times New Roman" w:cs="Times New Roman"/>
                    <w:color w:val="000000"/>
                    <w:szCs w:val="24"/>
                    <w:lang w:val="en-IN" w:eastAsia="en-IN"/>
                  </w:rPr>
                  <w:t>,</w:t>
                </w:r>
                <w:r w:rsidRPr="00D14FCF">
                  <w:rPr>
                    <w:rFonts w:eastAsia="Times New Roman" w:cs="Times New Roman"/>
                    <w:color w:val="000000"/>
                    <w:szCs w:val="24"/>
                    <w:lang w:val="en-IN" w:eastAsia="en-IN"/>
                  </w:rPr>
                  <w:t>000,000</w:t>
                </w:r>
              </w:p>
            </w:tc>
            <w:tc>
              <w:tcPr>
                <w:tcW w:w="1149" w:type="pct"/>
                <w:tcBorders>
                  <w:top w:val="nil"/>
                  <w:left w:val="nil"/>
                  <w:bottom w:val="single" w:sz="4" w:space="0" w:color="auto"/>
                  <w:right w:val="single" w:sz="4" w:space="0" w:color="auto"/>
                </w:tcBorders>
                <w:shd w:val="clear" w:color="auto" w:fill="auto"/>
                <w:noWrap/>
                <w:vAlign w:val="bottom"/>
                <w:hideMark/>
              </w:tcPr>
              <w:p w14:paraId="74E1288B" w14:textId="77777777" w:rsidR="00AE06D9" w:rsidRPr="00D14FCF" w:rsidRDefault="00AE06D9" w:rsidP="00C64B14">
                <w:pPr>
                  <w:spacing w:after="0"/>
                  <w:jc w:val="center"/>
                  <w:rPr>
                    <w:rFonts w:eastAsia="Times New Roman" w:cs="Times New Roman"/>
                    <w:color w:val="000000"/>
                    <w:szCs w:val="24"/>
                    <w:lang w:val="en-IN" w:eastAsia="en-IN"/>
                  </w:rPr>
                </w:pPr>
                <w:r w:rsidRPr="00D14FCF">
                  <w:rPr>
                    <w:rFonts w:eastAsia="Times New Roman" w:cs="Times New Roman"/>
                    <w:color w:val="000000"/>
                    <w:szCs w:val="24"/>
                    <w:lang w:val="en-IN" w:eastAsia="en-IN"/>
                  </w:rPr>
                  <w:t>1301418.633</w:t>
                </w:r>
              </w:p>
            </w:tc>
            <w:tc>
              <w:tcPr>
                <w:tcW w:w="1618" w:type="pct"/>
                <w:tcBorders>
                  <w:top w:val="nil"/>
                  <w:left w:val="nil"/>
                  <w:bottom w:val="single" w:sz="4" w:space="0" w:color="auto"/>
                  <w:right w:val="single" w:sz="4" w:space="0" w:color="auto"/>
                </w:tcBorders>
                <w:shd w:val="clear" w:color="auto" w:fill="auto"/>
                <w:noWrap/>
                <w:vAlign w:val="bottom"/>
                <w:hideMark/>
              </w:tcPr>
              <w:p w14:paraId="7CDD555A" w14:textId="77777777" w:rsidR="00AE06D9" w:rsidRPr="00D14FCF" w:rsidRDefault="00AE06D9" w:rsidP="00C64B14">
                <w:pPr>
                  <w:spacing w:after="0"/>
                  <w:jc w:val="center"/>
                  <w:rPr>
                    <w:rFonts w:eastAsia="Times New Roman" w:cs="Times New Roman"/>
                    <w:color w:val="000000"/>
                    <w:szCs w:val="24"/>
                    <w:lang w:val="en-IN" w:eastAsia="en-IN"/>
                  </w:rPr>
                </w:pPr>
                <w:r w:rsidRPr="00D14FCF">
                  <w:rPr>
                    <w:rFonts w:eastAsia="Times New Roman" w:cs="Times New Roman"/>
                    <w:color w:val="000000"/>
                    <w:szCs w:val="24"/>
                    <w:lang w:val="en-IN" w:eastAsia="en-IN"/>
                  </w:rPr>
                  <w:t>1.30</w:t>
                </w:r>
              </w:p>
            </w:tc>
          </w:tr>
          <w:tr w:rsidR="00AE06D9" w14:paraId="36D710DE" w14:textId="77777777" w:rsidTr="00C64B14">
            <w:trPr>
              <w:trHeight w:val="288"/>
            </w:trPr>
            <w:tc>
              <w:tcPr>
                <w:tcW w:w="1052" w:type="pct"/>
                <w:tcBorders>
                  <w:top w:val="nil"/>
                  <w:left w:val="single" w:sz="4" w:space="0" w:color="auto"/>
                  <w:bottom w:val="single" w:sz="4" w:space="0" w:color="auto"/>
                  <w:right w:val="single" w:sz="4" w:space="0" w:color="auto"/>
                </w:tcBorders>
                <w:shd w:val="clear" w:color="auto" w:fill="auto"/>
                <w:noWrap/>
                <w:vAlign w:val="bottom"/>
                <w:hideMark/>
              </w:tcPr>
              <w:p w14:paraId="3EADD314" w14:textId="77777777" w:rsidR="00AE06D9" w:rsidRPr="00D14FCF" w:rsidRDefault="00AE06D9" w:rsidP="00C64B14">
                <w:pPr>
                  <w:spacing w:after="0"/>
                  <w:jc w:val="center"/>
                  <w:rPr>
                    <w:rFonts w:eastAsia="Times New Roman" w:cs="Times New Roman"/>
                    <w:b/>
                    <w:bCs/>
                    <w:color w:val="000000"/>
                    <w:szCs w:val="24"/>
                    <w:lang w:val="en-IN" w:eastAsia="en-IN"/>
                  </w:rPr>
                </w:pPr>
                <w:r w:rsidRPr="00D14FCF">
                  <w:rPr>
                    <w:rFonts w:eastAsia="Times New Roman" w:cs="Times New Roman"/>
                    <w:b/>
                    <w:bCs/>
                    <w:color w:val="000000"/>
                    <w:szCs w:val="24"/>
                    <w:lang w:val="en-IN" w:eastAsia="en-IN"/>
                  </w:rPr>
                  <w:t>C</w:t>
                </w:r>
              </w:p>
            </w:tc>
            <w:tc>
              <w:tcPr>
                <w:tcW w:w="1181" w:type="pct"/>
                <w:tcBorders>
                  <w:top w:val="nil"/>
                  <w:left w:val="nil"/>
                  <w:bottom w:val="single" w:sz="4" w:space="0" w:color="auto"/>
                  <w:right w:val="single" w:sz="4" w:space="0" w:color="auto"/>
                </w:tcBorders>
                <w:shd w:val="clear" w:color="auto" w:fill="auto"/>
                <w:noWrap/>
                <w:vAlign w:val="bottom"/>
                <w:hideMark/>
              </w:tcPr>
              <w:p w14:paraId="2D8778FD" w14:textId="62506569" w:rsidR="00AE06D9" w:rsidRPr="00D14FCF" w:rsidRDefault="00AE06D9" w:rsidP="00C64B14">
                <w:pPr>
                  <w:spacing w:after="0"/>
                  <w:jc w:val="center"/>
                  <w:rPr>
                    <w:rFonts w:eastAsia="Times New Roman" w:cs="Times New Roman"/>
                    <w:color w:val="000000"/>
                    <w:szCs w:val="24"/>
                    <w:lang w:val="en-IN" w:eastAsia="en-IN"/>
                  </w:rPr>
                </w:pPr>
                <w:r w:rsidRPr="00D14FCF">
                  <w:rPr>
                    <w:rFonts w:eastAsia="Times New Roman" w:cs="Times New Roman"/>
                    <w:color w:val="000000"/>
                    <w:szCs w:val="24"/>
                    <w:lang w:val="en-IN" w:eastAsia="en-IN"/>
                  </w:rPr>
                  <w:t>1</w:t>
                </w:r>
                <w:r w:rsidR="00157850">
                  <w:rPr>
                    <w:rFonts w:eastAsia="Times New Roman" w:cs="Times New Roman"/>
                    <w:color w:val="000000"/>
                    <w:szCs w:val="24"/>
                    <w:lang w:val="en-IN" w:eastAsia="en-IN"/>
                  </w:rPr>
                  <w:t>,</w:t>
                </w:r>
                <w:r w:rsidRPr="00D14FCF">
                  <w:rPr>
                    <w:rFonts w:eastAsia="Times New Roman" w:cs="Times New Roman"/>
                    <w:color w:val="000000"/>
                    <w:szCs w:val="24"/>
                    <w:lang w:val="en-IN" w:eastAsia="en-IN"/>
                  </w:rPr>
                  <w:t>700,000</w:t>
                </w:r>
              </w:p>
            </w:tc>
            <w:tc>
              <w:tcPr>
                <w:tcW w:w="1149" w:type="pct"/>
                <w:tcBorders>
                  <w:top w:val="nil"/>
                  <w:left w:val="nil"/>
                  <w:bottom w:val="single" w:sz="4" w:space="0" w:color="auto"/>
                  <w:right w:val="single" w:sz="4" w:space="0" w:color="auto"/>
                </w:tcBorders>
                <w:shd w:val="clear" w:color="auto" w:fill="auto"/>
                <w:noWrap/>
                <w:vAlign w:val="bottom"/>
                <w:hideMark/>
              </w:tcPr>
              <w:p w14:paraId="413949C4" w14:textId="77777777" w:rsidR="00AE06D9" w:rsidRPr="00D14FCF" w:rsidRDefault="00AE06D9" w:rsidP="00C64B14">
                <w:pPr>
                  <w:spacing w:after="0"/>
                  <w:jc w:val="center"/>
                  <w:rPr>
                    <w:rFonts w:eastAsia="Times New Roman" w:cs="Times New Roman"/>
                    <w:color w:val="000000"/>
                    <w:szCs w:val="24"/>
                    <w:lang w:val="en-IN" w:eastAsia="en-IN"/>
                  </w:rPr>
                </w:pPr>
                <w:r w:rsidRPr="00D14FCF">
                  <w:rPr>
                    <w:rFonts w:eastAsia="Times New Roman" w:cs="Times New Roman"/>
                    <w:color w:val="000000"/>
                    <w:szCs w:val="24"/>
                    <w:lang w:val="en-IN" w:eastAsia="en-IN"/>
                  </w:rPr>
                  <w:t>1315807.908</w:t>
                </w:r>
              </w:p>
            </w:tc>
            <w:tc>
              <w:tcPr>
                <w:tcW w:w="1618" w:type="pct"/>
                <w:tcBorders>
                  <w:top w:val="nil"/>
                  <w:left w:val="nil"/>
                  <w:bottom w:val="single" w:sz="4" w:space="0" w:color="auto"/>
                  <w:right w:val="single" w:sz="4" w:space="0" w:color="auto"/>
                </w:tcBorders>
                <w:shd w:val="clear" w:color="auto" w:fill="auto"/>
                <w:noWrap/>
                <w:vAlign w:val="bottom"/>
                <w:hideMark/>
              </w:tcPr>
              <w:p w14:paraId="4DCFC576" w14:textId="77777777" w:rsidR="00AE06D9" w:rsidRPr="00D14FCF" w:rsidRDefault="00AE06D9" w:rsidP="00C64B14">
                <w:pPr>
                  <w:keepNext/>
                  <w:spacing w:after="0"/>
                  <w:jc w:val="center"/>
                  <w:rPr>
                    <w:rFonts w:eastAsia="Times New Roman" w:cs="Times New Roman"/>
                    <w:color w:val="000000"/>
                    <w:szCs w:val="24"/>
                    <w:lang w:val="en-IN" w:eastAsia="en-IN"/>
                  </w:rPr>
                </w:pPr>
                <w:r w:rsidRPr="00D14FCF">
                  <w:rPr>
                    <w:rFonts w:eastAsia="Times New Roman" w:cs="Times New Roman"/>
                    <w:color w:val="000000"/>
                    <w:szCs w:val="24"/>
                    <w:lang w:val="en-IN" w:eastAsia="en-IN"/>
                  </w:rPr>
                  <w:t>0.77</w:t>
                </w:r>
              </w:p>
            </w:tc>
          </w:tr>
        </w:tbl>
        <w:p w14:paraId="73AED5AF" w14:textId="2CC9E38F" w:rsidR="00AE06D9" w:rsidRPr="00D14FCF" w:rsidRDefault="00AE06D9" w:rsidP="00AE06D9">
          <w:pPr>
            <w:pStyle w:val="Caption"/>
          </w:pPr>
          <w:r w:rsidRPr="00D14FCF">
            <w:t xml:space="preserve">Table </w:t>
          </w:r>
          <w:r w:rsidR="000E57E8">
            <w:fldChar w:fldCharType="begin"/>
          </w:r>
          <w:r w:rsidR="000E57E8">
            <w:instrText xml:space="preserve"> SEQ Table \* ARABIC </w:instrText>
          </w:r>
          <w:r w:rsidR="000E57E8">
            <w:fldChar w:fldCharType="separate"/>
          </w:r>
          <w:r w:rsidR="000E57E8">
            <w:rPr>
              <w:noProof/>
            </w:rPr>
            <w:t>1</w:t>
          </w:r>
          <w:r w:rsidR="000E57E8">
            <w:rPr>
              <w:noProof/>
            </w:rPr>
            <w:fldChar w:fldCharType="end"/>
          </w:r>
          <w:r w:rsidRPr="00D14FCF">
            <w:t xml:space="preserve"> – Determination of NPV to cost ratio</w:t>
          </w:r>
        </w:p>
        <w:p w14:paraId="15488DE4" w14:textId="77777777" w:rsidR="00AE06D9" w:rsidRPr="00D14FCF" w:rsidRDefault="00AE06D9" w:rsidP="00AE06D9">
          <w:r w:rsidRPr="00D14FCF">
            <w:t xml:space="preserve">The above table demonstrates the NPV to cost ratio, and the ranks of the investments are Investment A &gt; Investment B &gt; Investment C. Hence, the available funds are allocated in the desired manner. </w:t>
          </w:r>
        </w:p>
        <w:p w14:paraId="1B782C49" w14:textId="77777777" w:rsidR="00AE06D9" w:rsidRPr="00D14FCF" w:rsidRDefault="00AE06D9" w:rsidP="00AE06D9">
          <w:r w:rsidRPr="00D14FCF">
            <w:lastRenderedPageBreak/>
            <w:t xml:space="preserve">The allocation of the funds has been suggested below – </w:t>
          </w:r>
        </w:p>
        <w:p w14:paraId="6C47B8CB" w14:textId="77777777" w:rsidR="00AE06D9" w:rsidRPr="00D14FCF" w:rsidRDefault="00AE06D9" w:rsidP="00AE06D9">
          <w:r w:rsidRPr="00D14FCF">
            <w:t xml:space="preserve">Investment A funds fully = </w:t>
          </w:r>
          <w:r w:rsidRPr="00D14FCF">
            <w:rPr>
              <w:rFonts w:cs="Times New Roman"/>
            </w:rPr>
            <w:t>£</w:t>
          </w:r>
          <w:r w:rsidRPr="00D14FCF">
            <w:t xml:space="preserve"> 660,000</w:t>
          </w:r>
        </w:p>
        <w:p w14:paraId="16894081" w14:textId="77777777" w:rsidR="00AE06D9" w:rsidRPr="00D14FCF" w:rsidRDefault="00AE06D9" w:rsidP="00AE06D9">
          <w:r w:rsidRPr="00D14FCF">
            <w:t xml:space="preserve">Investment B funds fully = </w:t>
          </w:r>
          <w:r w:rsidRPr="00D14FCF">
            <w:rPr>
              <w:rFonts w:cs="Times New Roman"/>
            </w:rPr>
            <w:t>£</w:t>
          </w:r>
          <w:r w:rsidRPr="00D14FCF">
            <w:t xml:space="preserve"> 1000,000</w:t>
          </w:r>
        </w:p>
        <w:p w14:paraId="2A7C58FA" w14:textId="1878D8DA" w:rsidR="00AE06D9" w:rsidRPr="00D14FCF" w:rsidRDefault="00AE06D9" w:rsidP="00AE06D9">
          <w:r w:rsidRPr="00D14FCF">
            <w:t xml:space="preserve">The remaining funds would be </w:t>
          </w:r>
          <w:r w:rsidRPr="00D14FCF">
            <w:rPr>
              <w:rFonts w:cs="Times New Roman"/>
            </w:rPr>
            <w:t>£</w:t>
          </w:r>
          <w:r w:rsidRPr="00D14FCF">
            <w:t xml:space="preserve"> 2,500,000- </w:t>
          </w:r>
          <w:r w:rsidR="000E57E8">
            <w:t>(</w:t>
          </w:r>
          <w:r w:rsidRPr="00D14FCF">
            <w:t>£ 660,000+ £ 1,000,000</w:t>
          </w:r>
          <w:r w:rsidR="000E57E8">
            <w:t>)</w:t>
          </w:r>
          <w:r w:rsidRPr="00D14FCF">
            <w:t>= £ 840,000</w:t>
          </w:r>
        </w:p>
        <w:p w14:paraId="7F6E2690" w14:textId="77777777" w:rsidR="00AE06D9" w:rsidRPr="00D14FCF" w:rsidRDefault="00AE06D9" w:rsidP="00AE06D9">
          <w:pPr>
            <w:rPr>
              <w:b/>
              <w:bCs/>
            </w:rPr>
          </w:pPr>
          <w:r w:rsidRPr="00D14FCF">
            <w:t xml:space="preserve">Therefore, the investment C gets £840,000 in the proportion of the yielding contribution of its NPV = 840,000/1,700,000 * 1,315,807.90 = </w:t>
          </w:r>
          <w:r w:rsidRPr="00D14FCF">
            <w:rPr>
              <w:b/>
              <w:bCs/>
            </w:rPr>
            <w:t>£650,163.90</w:t>
          </w:r>
        </w:p>
        <w:p w14:paraId="3FCA67E9" w14:textId="19E47A81" w:rsidR="00AE06D9" w:rsidRPr="00D14FCF" w:rsidRDefault="00AE06D9" w:rsidP="00AE06D9">
          <w:r w:rsidRPr="00D14FCF">
            <w:t xml:space="preserve">So, the final NPV of the divisible projects would be = </w:t>
          </w:r>
          <w:r w:rsidR="0005607E">
            <w:rPr>
              <w:rFonts w:eastAsia="Times New Roman" w:cs="Times New Roman"/>
              <w:color w:val="000000"/>
              <w:szCs w:val="24"/>
              <w:lang w:val="en-IN" w:eastAsia="en-IN"/>
            </w:rPr>
            <w:t>2</w:t>
          </w:r>
          <w:r w:rsidR="00E21869">
            <w:rPr>
              <w:rFonts w:eastAsia="Times New Roman" w:cs="Times New Roman"/>
              <w:color w:val="000000"/>
              <w:szCs w:val="24"/>
              <w:lang w:val="en-IN" w:eastAsia="en-IN"/>
            </w:rPr>
            <w:t>,072,892.95</w:t>
          </w:r>
          <w:r w:rsidRPr="00D14FCF">
            <w:rPr>
              <w:rFonts w:eastAsia="Times New Roman" w:cs="Times New Roman"/>
              <w:color w:val="000000"/>
              <w:szCs w:val="24"/>
              <w:lang w:val="en-IN" w:eastAsia="en-IN"/>
            </w:rPr>
            <w:t xml:space="preserve"> + 1,301,418.63 + 650,163.90 = </w:t>
          </w:r>
          <w:r w:rsidRPr="00D14FCF">
            <w:rPr>
              <w:b/>
              <w:bCs/>
            </w:rPr>
            <w:t xml:space="preserve">£ </w:t>
          </w:r>
          <w:r w:rsidR="00E21869">
            <w:rPr>
              <w:b/>
              <w:bCs/>
            </w:rPr>
            <w:t>4,024</w:t>
          </w:r>
          <w:r w:rsidRPr="00D14FCF">
            <w:rPr>
              <w:b/>
              <w:bCs/>
            </w:rPr>
            <w:t>,475.48</w:t>
          </w:r>
        </w:p>
        <w:p w14:paraId="53012A63" w14:textId="77777777" w:rsidR="00AE06D9" w:rsidRPr="00D14FCF" w:rsidRDefault="00AE06D9" w:rsidP="00AE06D9">
          <w:pPr>
            <w:pStyle w:val="Heading1"/>
            <w:spacing w:before="120" w:after="120"/>
          </w:pPr>
          <w:bookmarkStart w:id="31" w:name="_Toc187066100"/>
          <w:r w:rsidRPr="00D14FCF">
            <w:t>Recommendation</w:t>
          </w:r>
          <w:bookmarkEnd w:id="31"/>
        </w:p>
        <w:p w14:paraId="6EC40283" w14:textId="77777777" w:rsidR="00AE06D9" w:rsidRPr="00D14FCF" w:rsidRDefault="00AE06D9" w:rsidP="00AE06D9">
          <w:pPr>
            <w:spacing w:before="120" w:after="120"/>
            <w:rPr>
              <w:rFonts w:cs="Times New Roman"/>
            </w:rPr>
          </w:pPr>
          <w:r w:rsidRPr="00D14FCF">
            <w:rPr>
              <w:rFonts w:cs="Times New Roman"/>
            </w:rPr>
            <w:t xml:space="preserve">Based on the above findings, some suitable recommendations have been suggested to the management of the firm for enhancing its profitability in the future – </w:t>
          </w:r>
        </w:p>
        <w:p w14:paraId="70A140AA" w14:textId="77777777" w:rsidR="00AE06D9" w:rsidRPr="00D14FCF" w:rsidRDefault="00AE06D9" w:rsidP="00AE06D9">
          <w:pPr>
            <w:pStyle w:val="ListParagraph"/>
            <w:numPr>
              <w:ilvl w:val="0"/>
              <w:numId w:val="4"/>
            </w:numPr>
            <w:spacing w:before="120" w:after="120"/>
            <w:contextualSpacing w:val="0"/>
            <w:rPr>
              <w:rFonts w:cs="Times New Roman"/>
            </w:rPr>
          </w:pPr>
          <w:r w:rsidRPr="00D14FCF">
            <w:rPr>
              <w:rFonts w:cs="Times New Roman"/>
            </w:rPr>
            <w:t xml:space="preserve">It is recommended to the firm that out of the available option of the investment the management of the firm has chosen the investment option (c) as it helps them increase its profitability in the coming years. </w:t>
          </w:r>
        </w:p>
        <w:p w14:paraId="753ABB4E" w14:textId="77777777" w:rsidR="00AE06D9" w:rsidRPr="00D14FCF" w:rsidRDefault="00AE06D9" w:rsidP="00AE06D9">
          <w:pPr>
            <w:pStyle w:val="ListParagraph"/>
            <w:numPr>
              <w:ilvl w:val="0"/>
              <w:numId w:val="4"/>
            </w:numPr>
            <w:spacing w:before="120" w:after="120"/>
            <w:contextualSpacing w:val="0"/>
            <w:rPr>
              <w:rFonts w:cs="Times New Roman"/>
            </w:rPr>
          </w:pPr>
          <w:r w:rsidRPr="00D14FCF">
            <w:rPr>
              <w:rFonts w:cs="Times New Roman"/>
            </w:rPr>
            <w:t xml:space="preserve">The higher authorities of the entity also consider the non-financial factors while selecting the project and investment such as the monetary and fiscal policy of the government. Further, some of the microeconomic factors such as </w:t>
          </w:r>
          <w:r>
            <w:rPr>
              <w:rFonts w:cs="Times New Roman"/>
            </w:rPr>
            <w:t xml:space="preserve">the </w:t>
          </w:r>
          <w:r w:rsidRPr="00D14FCF">
            <w:rPr>
              <w:rFonts w:cs="Times New Roman"/>
            </w:rPr>
            <w:t>rate</w:t>
          </w:r>
          <w:r>
            <w:rPr>
              <w:rFonts w:cs="Times New Roman"/>
            </w:rPr>
            <w:t xml:space="preserve"> of interest</w:t>
          </w:r>
          <w:r w:rsidRPr="00D14FCF">
            <w:rPr>
              <w:rFonts w:cs="Times New Roman"/>
            </w:rPr>
            <w:t xml:space="preserve"> inflation</w:t>
          </w:r>
          <w:r>
            <w:rPr>
              <w:rFonts w:cs="Times New Roman"/>
            </w:rPr>
            <w:t xml:space="preserve"> level</w:t>
          </w:r>
          <w:r w:rsidRPr="00D14FCF">
            <w:rPr>
              <w:rFonts w:cs="Times New Roman"/>
            </w:rPr>
            <w:t xml:space="preserve">. </w:t>
          </w:r>
        </w:p>
        <w:p w14:paraId="6930A1C9" w14:textId="77777777" w:rsidR="00AE06D9" w:rsidRPr="00D14FCF" w:rsidRDefault="00AE06D9" w:rsidP="00AE06D9">
          <w:pPr>
            <w:pStyle w:val="ListParagraph"/>
            <w:numPr>
              <w:ilvl w:val="0"/>
              <w:numId w:val="4"/>
            </w:numPr>
            <w:spacing w:before="120" w:after="120"/>
            <w:contextualSpacing w:val="0"/>
            <w:rPr>
              <w:rFonts w:cs="Times New Roman"/>
            </w:rPr>
          </w:pPr>
          <w:r w:rsidRPr="00D14FCF">
            <w:rPr>
              <w:rFonts w:cs="Times New Roman"/>
            </w:rPr>
            <w:t xml:space="preserve">Further, the firm also calculates other methods and techniques of capital appraisal, such as payback period, IRR, and ARR, apart from the NPV to assess only the viability of the investment. However, the final decision is made based on the results of the NPV. </w:t>
          </w:r>
        </w:p>
        <w:p w14:paraId="09BB7F01" w14:textId="77777777" w:rsidR="00AE06D9" w:rsidRPr="00D14FCF" w:rsidRDefault="00AE06D9" w:rsidP="00AE06D9">
          <w:pPr>
            <w:spacing w:before="120" w:after="120"/>
            <w:rPr>
              <w:rFonts w:cs="Times New Roman"/>
              <w:b/>
              <w:bCs/>
            </w:rPr>
          </w:pPr>
        </w:p>
        <w:p w14:paraId="7903FAD0" w14:textId="77777777" w:rsidR="00AE06D9" w:rsidRPr="00D14FCF" w:rsidRDefault="00AE06D9" w:rsidP="00AE06D9">
          <w:pPr>
            <w:spacing w:before="120" w:after="120"/>
            <w:rPr>
              <w:rFonts w:cs="Times New Roman"/>
              <w:b/>
              <w:bCs/>
            </w:rPr>
          </w:pPr>
        </w:p>
        <w:p w14:paraId="28B9F945" w14:textId="77777777" w:rsidR="00AE06D9" w:rsidRPr="00D14FCF" w:rsidRDefault="00AE06D9" w:rsidP="00AE06D9">
          <w:pPr>
            <w:spacing w:before="120" w:after="120"/>
          </w:pPr>
        </w:p>
        <w:p w14:paraId="25603964" w14:textId="44933AF1" w:rsidR="00AE06D9" w:rsidRDefault="00AE06D9" w:rsidP="00AE06D9">
          <w:pPr>
            <w:rPr>
              <w:rFonts w:eastAsiaTheme="majorEastAsia" w:cstheme="majorBidi"/>
              <w:b/>
              <w:color w:val="000000" w:themeColor="text1"/>
              <w:sz w:val="28"/>
              <w:szCs w:val="32"/>
            </w:rPr>
          </w:pPr>
          <w:bookmarkStart w:id="32" w:name="_Toc178766397"/>
        </w:p>
        <w:p w14:paraId="77868877" w14:textId="77777777" w:rsidR="00AE06D9" w:rsidRPr="00D14FCF" w:rsidRDefault="00AE06D9" w:rsidP="00AE06D9">
          <w:pPr>
            <w:pStyle w:val="Heading1"/>
            <w:spacing w:before="120" w:after="120"/>
          </w:pPr>
          <w:bookmarkStart w:id="33" w:name="_Toc187066101"/>
          <w:r w:rsidRPr="00D14FCF">
            <w:lastRenderedPageBreak/>
            <w:t>Conclusion</w:t>
          </w:r>
          <w:bookmarkEnd w:id="33"/>
        </w:p>
        <w:p w14:paraId="7F2E46F2" w14:textId="77777777" w:rsidR="00AE06D9" w:rsidRPr="00D14FCF" w:rsidRDefault="00AE06D9" w:rsidP="00AE06D9">
          <w:pPr>
            <w:spacing w:before="120" w:after="120"/>
            <w:rPr>
              <w:rFonts w:cs="Times New Roman"/>
            </w:rPr>
          </w:pPr>
          <w:r w:rsidRPr="00D14FCF">
            <w:rPr>
              <w:rFonts w:cs="Times New Roman"/>
            </w:rPr>
            <w:t xml:space="preserve">The above pages of the report demonstrate the description of the various methods of capital appraisal. Further, it described techniques like NPV, IRR, and ARR. Moreover, it also states the method of the payback period. It also calculated the </w:t>
          </w:r>
          <w:r>
            <w:rPr>
              <w:rFonts w:cs="Times New Roman"/>
            </w:rPr>
            <w:t xml:space="preserve">NPV </w:t>
          </w:r>
          <w:r w:rsidRPr="00D14FCF">
            <w:rPr>
              <w:rFonts w:cs="Times New Roman"/>
            </w:rPr>
            <w:t xml:space="preserve">of the available option of the investment in front of the firm's management. The results of the NPV suggested that all the investments had a positive present value over the four years. Still, the current value of investment (c) was higher among all the options explored by the higher authorities of the furniture manufacturing group. Simultaneously, it also computed the </w:t>
          </w:r>
          <w:r>
            <w:rPr>
              <w:rFonts w:cs="Times New Roman"/>
            </w:rPr>
            <w:t>IRR</w:t>
          </w:r>
          <w:r w:rsidRPr="00D14FCF">
            <w:rPr>
              <w:rFonts w:cs="Times New Roman"/>
            </w:rPr>
            <w:t xml:space="preserve"> of the chosen </w:t>
          </w:r>
          <w:r>
            <w:rPr>
              <w:rFonts w:cs="Times New Roman"/>
            </w:rPr>
            <w:t>plan</w:t>
          </w:r>
          <w:r w:rsidRPr="00D14FCF">
            <w:rPr>
              <w:rFonts w:cs="Times New Roman"/>
            </w:rPr>
            <w:t xml:space="preserve">, and it was found that the selected investment had provided a 32 percent return to the entity over four years. However, it was recommended to the entity that the final selection decision be made based on the results of the NPV. </w:t>
          </w:r>
        </w:p>
        <w:p w14:paraId="2D64ACB9" w14:textId="77777777" w:rsidR="00AE06D9" w:rsidRPr="00D14FCF" w:rsidRDefault="00AE06D9" w:rsidP="00AE06D9">
          <w:pPr>
            <w:spacing w:before="120" w:after="120"/>
            <w:rPr>
              <w:rFonts w:cs="Times New Roman"/>
            </w:rPr>
          </w:pPr>
          <w:r w:rsidRPr="00D14FCF">
            <w:rPr>
              <w:rFonts w:cs="Times New Roman"/>
            </w:rPr>
            <w:t xml:space="preserve">In addition, for expansion, the firm's </w:t>
          </w:r>
          <w:r>
            <w:rPr>
              <w:rFonts w:cs="Times New Roman"/>
            </w:rPr>
            <w:t>authorities</w:t>
          </w:r>
          <w:r w:rsidRPr="00D14FCF">
            <w:rPr>
              <w:rFonts w:cs="Times New Roman"/>
            </w:rPr>
            <w:t xml:space="preserve"> might explore some of the prominent </w:t>
          </w:r>
          <w:r>
            <w:rPr>
              <w:rFonts w:cs="Times New Roman"/>
            </w:rPr>
            <w:t>avenues</w:t>
          </w:r>
          <w:r w:rsidRPr="00D14FCF">
            <w:rPr>
              <w:rFonts w:cs="Times New Roman"/>
            </w:rPr>
            <w:t xml:space="preserve"> of finance, </w:t>
          </w:r>
          <w:r>
            <w:rPr>
              <w:rFonts w:cs="Times New Roman"/>
            </w:rPr>
            <w:t>just as</w:t>
          </w:r>
          <w:r w:rsidRPr="00D14FCF">
            <w:rPr>
              <w:rFonts w:cs="Times New Roman"/>
            </w:rPr>
            <w:t xml:space="preserve"> using equity finance and taking credit from the financial institution. Further, equity finance is cheaper and does not put extra pressure on the firm for regular payments, while it has some drawbacks, such as increasing opportunity cost and the large chunks of funds being blocked in one place. On the other hand, acquiring credit from the banks has increased monetary pressure on the firm and requires regular repayments. Moreover, it also has some benefits, such as providing large funds and varied opportunities to the entity's management. Hence, it was suggested to the higher authorities of Greenacres Plc to rely more on equity funds for further expansion as it assists them in attaining higher profitability in the coming years.</w:t>
          </w:r>
        </w:p>
        <w:p w14:paraId="0A4303F6" w14:textId="77777777" w:rsidR="00AE06D9" w:rsidRPr="00D14FCF" w:rsidRDefault="00AE06D9" w:rsidP="00AE06D9">
          <w:pPr>
            <w:spacing w:before="120" w:after="120"/>
            <w:rPr>
              <w:rFonts w:cs="Times New Roman"/>
            </w:rPr>
          </w:pPr>
        </w:p>
        <w:p w14:paraId="47FBA42C" w14:textId="77777777" w:rsidR="00AE06D9" w:rsidRPr="00D14FCF" w:rsidRDefault="00AE06D9" w:rsidP="00AE06D9">
          <w:pPr>
            <w:spacing w:before="120" w:after="120"/>
            <w:rPr>
              <w:rFonts w:cs="Times New Roman"/>
            </w:rPr>
          </w:pPr>
        </w:p>
        <w:p w14:paraId="1BD6017B" w14:textId="77777777" w:rsidR="00AE06D9" w:rsidRPr="00345C43" w:rsidRDefault="00AE06D9" w:rsidP="00AE06D9">
          <w:pPr>
            <w:spacing w:before="120" w:after="120"/>
            <w:rPr>
              <w:rFonts w:cs="Times New Roman"/>
              <w:b/>
              <w:bCs/>
            </w:rPr>
          </w:pPr>
        </w:p>
        <w:p w14:paraId="7C0388D2" w14:textId="3061637E" w:rsidR="00AE06D9" w:rsidRPr="00345C43" w:rsidRDefault="00345C43" w:rsidP="00AE06D9">
          <w:pPr>
            <w:spacing w:before="120" w:after="120"/>
            <w:rPr>
              <w:rFonts w:cs="Times New Roman"/>
              <w:b/>
              <w:bCs/>
            </w:rPr>
          </w:pPr>
          <w:r w:rsidRPr="00345C43">
            <w:rPr>
              <w:rFonts w:cs="Times New Roman"/>
              <w:b/>
              <w:bCs/>
            </w:rPr>
            <w:t xml:space="preserve">Word count: </w:t>
          </w:r>
          <w:r w:rsidR="006243C4">
            <w:rPr>
              <w:rFonts w:cs="Times New Roman"/>
              <w:b/>
              <w:bCs/>
            </w:rPr>
            <w:t>5.112</w:t>
          </w:r>
        </w:p>
        <w:p w14:paraId="2EA4E8E2" w14:textId="77777777" w:rsidR="00AE06D9" w:rsidRPr="00D14FCF" w:rsidRDefault="00AE06D9" w:rsidP="00AE06D9">
          <w:pPr>
            <w:spacing w:before="120" w:after="120"/>
            <w:rPr>
              <w:rFonts w:cs="Times New Roman"/>
            </w:rPr>
          </w:pPr>
        </w:p>
        <w:p w14:paraId="0787050A" w14:textId="77777777" w:rsidR="00AE06D9" w:rsidRPr="00D14FCF" w:rsidRDefault="00AE06D9" w:rsidP="00AE06D9">
          <w:pPr>
            <w:spacing w:before="120" w:after="120"/>
          </w:pPr>
        </w:p>
        <w:p w14:paraId="61D9096D" w14:textId="77777777" w:rsidR="00AE06D9" w:rsidRPr="00D14FCF" w:rsidRDefault="00AE06D9" w:rsidP="00AE06D9">
          <w:pPr>
            <w:spacing w:before="120" w:after="120"/>
          </w:pPr>
        </w:p>
        <w:p w14:paraId="5E4B8EA9" w14:textId="77777777" w:rsidR="00AE06D9" w:rsidRPr="00D14FCF" w:rsidRDefault="00AE06D9" w:rsidP="00AE06D9">
          <w:pPr>
            <w:spacing w:before="120" w:after="120"/>
          </w:pPr>
        </w:p>
        <w:bookmarkEnd w:id="32"/>
        <w:p w14:paraId="13ACD119" w14:textId="534CC891" w:rsidR="00AE06D9" w:rsidRPr="00D14FCF" w:rsidRDefault="005404E5" w:rsidP="00AE06D9">
          <w:pPr>
            <w:pStyle w:val="Heading1"/>
          </w:pPr>
          <w:r>
            <w:lastRenderedPageBreak/>
            <w:t>References</w:t>
          </w:r>
        </w:p>
        <w:p w14:paraId="67DE6E8B" w14:textId="77777777" w:rsidR="00AE06D9" w:rsidRPr="00D14FCF" w:rsidRDefault="00AE06D9" w:rsidP="00AE06D9">
          <w:pPr>
            <w:rPr>
              <w:rFonts w:cs="Times New Roman"/>
            </w:rPr>
          </w:pPr>
          <w:r w:rsidRPr="00D14FCF">
            <w:rPr>
              <w:rFonts w:cs="Times New Roman"/>
            </w:rPr>
            <w:t>Abuseif, M. and Gou, Z., 2018. A review of roofing methods: Construction features, heat reduction, payback period, and climatic responsiveness. </w:t>
          </w:r>
          <w:r w:rsidRPr="00D14FCF">
            <w:rPr>
              <w:rFonts w:cs="Times New Roman"/>
              <w:i/>
              <w:iCs/>
            </w:rPr>
            <w:t>Energies</w:t>
          </w:r>
          <w:r w:rsidRPr="00D14FCF">
            <w:rPr>
              <w:rFonts w:cs="Times New Roman"/>
            </w:rPr>
            <w:t>, </w:t>
          </w:r>
          <w:r w:rsidRPr="00D14FCF">
            <w:rPr>
              <w:rFonts w:cs="Times New Roman"/>
              <w:i/>
              <w:iCs/>
            </w:rPr>
            <w:t>11</w:t>
          </w:r>
          <w:r w:rsidRPr="00D14FCF">
            <w:rPr>
              <w:rFonts w:cs="Times New Roman"/>
            </w:rPr>
            <w:t>(11), p.3196.</w:t>
          </w:r>
        </w:p>
        <w:p w14:paraId="5B43A8C1" w14:textId="77777777" w:rsidR="00AE06D9" w:rsidRPr="00D14FCF" w:rsidRDefault="00AE06D9" w:rsidP="00AE06D9">
          <w:pPr>
            <w:rPr>
              <w:rFonts w:cs="Times New Roman"/>
            </w:rPr>
          </w:pPr>
          <w:r w:rsidRPr="00D14FCF">
            <w:rPr>
              <w:rFonts w:cs="Times New Roman"/>
            </w:rPr>
            <w:t>Arratia-Martinez, N.M., Hernandez-Gonzalez, N.M. and Lopez-Irarragorri, F., 2021. Project portfolio selection and scheduling with resource allocation, synergies, and project divisibility. </w:t>
          </w:r>
          <w:r w:rsidRPr="00D14FCF">
            <w:rPr>
              <w:rFonts w:cs="Times New Roman"/>
              <w:i/>
              <w:iCs/>
            </w:rPr>
            <w:t>Mathematical Problems in Engineering</w:t>
          </w:r>
          <w:r w:rsidRPr="00D14FCF">
            <w:rPr>
              <w:rFonts w:cs="Times New Roman"/>
            </w:rPr>
            <w:t>, </w:t>
          </w:r>
          <w:r w:rsidRPr="00D14FCF">
            <w:rPr>
              <w:rFonts w:cs="Times New Roman"/>
              <w:i/>
              <w:iCs/>
            </w:rPr>
            <w:t>2021</w:t>
          </w:r>
          <w:r w:rsidRPr="00D14FCF">
            <w:rPr>
              <w:rFonts w:cs="Times New Roman"/>
            </w:rPr>
            <w:t>(1), p.4163287.</w:t>
          </w:r>
        </w:p>
        <w:p w14:paraId="4DADE149" w14:textId="77777777" w:rsidR="00AE06D9" w:rsidRPr="00D14FCF" w:rsidRDefault="00AE06D9" w:rsidP="00AE06D9">
          <w:pPr>
            <w:rPr>
              <w:rFonts w:cs="Times New Roman"/>
            </w:rPr>
          </w:pPr>
          <w:r w:rsidRPr="00D14FCF">
            <w:rPr>
              <w:rFonts w:cs="Times New Roman"/>
            </w:rPr>
            <w:t>Atrill, P., 2020 Financial management for decision makers. 10th Edn. England: Pearson Education Limited.</w:t>
          </w:r>
        </w:p>
        <w:p w14:paraId="22A879F3" w14:textId="77777777" w:rsidR="00AE06D9" w:rsidRPr="00D14FCF" w:rsidRDefault="00AE06D9" w:rsidP="00AE06D9">
          <w:pPr>
            <w:rPr>
              <w:rFonts w:cs="Times New Roman"/>
            </w:rPr>
          </w:pPr>
          <w:r w:rsidRPr="00D14FCF">
            <w:rPr>
              <w:rFonts w:cs="Times New Roman"/>
            </w:rPr>
            <w:t>Atz, U., Van Holt, T., Douglas, E. and Whelan, T., 2021. The return on sustainability investment (ROSI): Monetizing financial benefits of sustainability actions in companies. </w:t>
          </w:r>
          <w:r w:rsidRPr="00D14FCF">
            <w:rPr>
              <w:rFonts w:cs="Times New Roman"/>
              <w:i/>
              <w:iCs/>
            </w:rPr>
            <w:t>Sustainable Consumption and Production, Volume II: Circular Economy and Beyond</w:t>
          </w:r>
          <w:r w:rsidRPr="00D14FCF">
            <w:rPr>
              <w:rFonts w:cs="Times New Roman"/>
            </w:rPr>
            <w:t>, pp.303-354.</w:t>
          </w:r>
        </w:p>
        <w:p w14:paraId="345B1D3E" w14:textId="77777777" w:rsidR="00AE06D9" w:rsidRPr="00D14FCF" w:rsidRDefault="00AE06D9" w:rsidP="00AE06D9">
          <w:pPr>
            <w:rPr>
              <w:rFonts w:cs="Times New Roman"/>
            </w:rPr>
          </w:pPr>
          <w:r w:rsidRPr="00D14FCF">
            <w:rPr>
              <w:rFonts w:cs="Times New Roman"/>
            </w:rPr>
            <w:t>Bhimani, A., 2022 Financial management for technology start-ups: how to power growth, track performance and drive innovation. 2</w:t>
          </w:r>
          <w:r w:rsidRPr="00D14FCF">
            <w:rPr>
              <w:rFonts w:cs="Times New Roman"/>
              <w:vertAlign w:val="superscript"/>
            </w:rPr>
            <w:t>nd</w:t>
          </w:r>
          <w:r w:rsidRPr="00D14FCF">
            <w:rPr>
              <w:rFonts w:cs="Times New Roman"/>
            </w:rPr>
            <w:t xml:space="preserve"> Edn. London. Kogan Page. </w:t>
          </w:r>
        </w:p>
        <w:p w14:paraId="267DB5AE" w14:textId="77777777" w:rsidR="00AE06D9" w:rsidRPr="00D14FCF" w:rsidRDefault="00AE06D9" w:rsidP="00AE06D9">
          <w:pPr>
            <w:rPr>
              <w:rFonts w:cs="Times New Roman"/>
            </w:rPr>
          </w:pPr>
          <w:r w:rsidRPr="00D14FCF">
            <w:rPr>
              <w:rFonts w:cs="Times New Roman"/>
            </w:rPr>
            <w:t xml:space="preserve">Dai, H., Li, N., Wang, Y. and Zhao, X., 2022. The analysis of three main investment criteria: NPV, IRR, and payback period. In </w:t>
          </w:r>
          <w:r w:rsidRPr="00D14FCF">
            <w:rPr>
              <w:rFonts w:cs="Times New Roman"/>
              <w:i/>
              <w:iCs/>
            </w:rPr>
            <w:t>2022 7th International Conference on Financial Innovation and Economic Development (ICFIED 2022)</w:t>
          </w:r>
          <w:r w:rsidRPr="00D14FCF">
            <w:rPr>
              <w:rFonts w:cs="Times New Roman"/>
            </w:rPr>
            <w:t> (pp. 185-189). Atlantis Press.</w:t>
          </w:r>
        </w:p>
        <w:p w14:paraId="3FAFAC1A" w14:textId="77777777" w:rsidR="00AE06D9" w:rsidRPr="00D14FCF" w:rsidRDefault="00AE06D9" w:rsidP="00AE06D9">
          <w:pPr>
            <w:rPr>
              <w:rFonts w:cs="Times New Roman"/>
            </w:rPr>
          </w:pPr>
          <w:r w:rsidRPr="00D14FCF">
            <w:rPr>
              <w:rFonts w:cs="Times New Roman"/>
            </w:rPr>
            <w:t>Dobrowolski, Z. and Drozdowski, G., 2022. Does the net present value as a financial metric fit investment in green energy security? </w:t>
          </w:r>
          <w:r w:rsidRPr="00D14FCF">
            <w:rPr>
              <w:rFonts w:cs="Times New Roman"/>
              <w:i/>
              <w:iCs/>
            </w:rPr>
            <w:t>Energies</w:t>
          </w:r>
          <w:r w:rsidRPr="00D14FCF">
            <w:rPr>
              <w:rFonts w:cs="Times New Roman"/>
            </w:rPr>
            <w:t>, </w:t>
          </w:r>
          <w:r w:rsidRPr="00D14FCF">
            <w:rPr>
              <w:rFonts w:cs="Times New Roman"/>
              <w:i/>
              <w:iCs/>
            </w:rPr>
            <w:t>15</w:t>
          </w:r>
          <w:r w:rsidRPr="00D14FCF">
            <w:rPr>
              <w:rFonts w:cs="Times New Roman"/>
            </w:rPr>
            <w:t>(1), p.353.</w:t>
          </w:r>
        </w:p>
        <w:p w14:paraId="516A3DC2" w14:textId="77777777" w:rsidR="00AE06D9" w:rsidRPr="00D14FCF" w:rsidRDefault="00AE06D9" w:rsidP="00AE06D9">
          <w:pPr>
            <w:rPr>
              <w:rFonts w:cs="Times New Roman"/>
            </w:rPr>
          </w:pPr>
          <w:r w:rsidRPr="00D14FCF">
            <w:rPr>
              <w:rFonts w:cs="Times New Roman"/>
            </w:rPr>
            <w:t>Drury, C., 2021 Management and cost accounting 11</w:t>
          </w:r>
          <w:r w:rsidRPr="00D14FCF">
            <w:rPr>
              <w:rFonts w:cs="Times New Roman"/>
              <w:vertAlign w:val="superscript"/>
            </w:rPr>
            <w:t>th</w:t>
          </w:r>
          <w:r w:rsidRPr="00D14FCF">
            <w:rPr>
              <w:rFonts w:cs="Times New Roman"/>
            </w:rPr>
            <w:t xml:space="preserve"> Edn. Australia: Cengage </w:t>
          </w:r>
        </w:p>
        <w:p w14:paraId="73D00CEC" w14:textId="77777777" w:rsidR="00AE06D9" w:rsidRPr="00D14FCF" w:rsidRDefault="00AE06D9" w:rsidP="00AE06D9">
          <w:pPr>
            <w:rPr>
              <w:rFonts w:cs="Times New Roman"/>
            </w:rPr>
          </w:pPr>
          <w:r w:rsidRPr="00D14FCF">
            <w:rPr>
              <w:rFonts w:cs="Times New Roman"/>
            </w:rPr>
            <w:t>Gaspars-Wieloch, H., 2019. Project net present value estimation under uncertainty. </w:t>
          </w:r>
          <w:r w:rsidRPr="00D14FCF">
            <w:rPr>
              <w:rFonts w:cs="Times New Roman"/>
              <w:i/>
              <w:iCs/>
            </w:rPr>
            <w:t>Central European Journal of Operations Research</w:t>
          </w:r>
          <w:r w:rsidRPr="00D14FCF">
            <w:rPr>
              <w:rFonts w:cs="Times New Roman"/>
            </w:rPr>
            <w:t>, </w:t>
          </w:r>
          <w:r w:rsidRPr="00D14FCF">
            <w:rPr>
              <w:rFonts w:cs="Times New Roman"/>
              <w:i/>
              <w:iCs/>
            </w:rPr>
            <w:t>27</w:t>
          </w:r>
          <w:r w:rsidRPr="00D14FCF">
            <w:rPr>
              <w:rFonts w:cs="Times New Roman"/>
            </w:rPr>
            <w:t>(1), pp.179-197.</w:t>
          </w:r>
        </w:p>
        <w:p w14:paraId="0F8CA496" w14:textId="77777777" w:rsidR="00AE06D9" w:rsidRPr="00D14FCF" w:rsidRDefault="00AE06D9" w:rsidP="00AE06D9">
          <w:pPr>
            <w:rPr>
              <w:rFonts w:cs="Times New Roman"/>
            </w:rPr>
          </w:pPr>
          <w:r w:rsidRPr="00D14FCF">
            <w:rPr>
              <w:rFonts w:cs="Times New Roman"/>
            </w:rPr>
            <w:t>Joghee, S., Alzoubi, H.M. and Dubey, A.R., 2020. Decisions effectiveness of FDI investment biases at real estate industry: Empirical evidence from Dubai smart city projects. </w:t>
          </w:r>
          <w:r w:rsidRPr="00D14FCF">
            <w:rPr>
              <w:rFonts w:cs="Times New Roman"/>
              <w:i/>
              <w:iCs/>
            </w:rPr>
            <w:t>International Journal of Scientific &amp; Technology Research</w:t>
          </w:r>
          <w:r w:rsidRPr="00D14FCF">
            <w:rPr>
              <w:rFonts w:cs="Times New Roman"/>
            </w:rPr>
            <w:t>, </w:t>
          </w:r>
          <w:r w:rsidRPr="00D14FCF">
            <w:rPr>
              <w:rFonts w:cs="Times New Roman"/>
              <w:i/>
              <w:iCs/>
            </w:rPr>
            <w:t>9</w:t>
          </w:r>
          <w:r w:rsidRPr="00D14FCF">
            <w:rPr>
              <w:rFonts w:cs="Times New Roman"/>
            </w:rPr>
            <w:t>(3), pp.3499-3503.</w:t>
          </w:r>
        </w:p>
        <w:p w14:paraId="2192C2DF" w14:textId="77777777" w:rsidR="00AE06D9" w:rsidRPr="00D14FCF" w:rsidRDefault="00AE06D9" w:rsidP="00AE06D9">
          <w:pPr>
            <w:rPr>
              <w:rFonts w:cs="Times New Roman"/>
            </w:rPr>
          </w:pPr>
          <w:r w:rsidRPr="00D14FCF">
            <w:rPr>
              <w:rFonts w:cs="Times New Roman"/>
            </w:rPr>
            <w:t>Kengatharan, L. and Nurullah, M., 2018. Capital investment appraisal practices in the emerging market economy of Sri Lanka. </w:t>
          </w:r>
          <w:r w:rsidRPr="00D14FCF">
            <w:rPr>
              <w:rFonts w:cs="Times New Roman"/>
              <w:i/>
              <w:iCs/>
            </w:rPr>
            <w:t>Asian Journal of Business and Accounting</w:t>
          </w:r>
          <w:r w:rsidRPr="00D14FCF">
            <w:rPr>
              <w:rFonts w:cs="Times New Roman"/>
            </w:rPr>
            <w:t>, </w:t>
          </w:r>
          <w:r w:rsidRPr="00D14FCF">
            <w:rPr>
              <w:rFonts w:cs="Times New Roman"/>
              <w:i/>
              <w:iCs/>
            </w:rPr>
            <w:t>11</w:t>
          </w:r>
          <w:r w:rsidRPr="00D14FCF">
            <w:rPr>
              <w:rFonts w:cs="Times New Roman"/>
            </w:rPr>
            <w:t>(2), pp.121-150.</w:t>
          </w:r>
        </w:p>
        <w:p w14:paraId="164A9737" w14:textId="77777777" w:rsidR="00AE06D9" w:rsidRPr="00D14FCF" w:rsidRDefault="00AE06D9" w:rsidP="00AE06D9">
          <w:pPr>
            <w:rPr>
              <w:rFonts w:cs="Times New Roman"/>
            </w:rPr>
          </w:pPr>
          <w:r w:rsidRPr="00D14FCF">
            <w:rPr>
              <w:rFonts w:cs="Times New Roman"/>
            </w:rPr>
            <w:lastRenderedPageBreak/>
            <w:t>Knoke, T., Gosling, E. and Paul, C., 2020. Use and misuse of the net present value in environmental studies. </w:t>
          </w:r>
          <w:r w:rsidRPr="00D14FCF">
            <w:rPr>
              <w:rFonts w:cs="Times New Roman"/>
              <w:i/>
              <w:iCs/>
            </w:rPr>
            <w:t>Ecological Economics</w:t>
          </w:r>
          <w:r w:rsidRPr="00D14FCF">
            <w:rPr>
              <w:rFonts w:cs="Times New Roman"/>
            </w:rPr>
            <w:t>, </w:t>
          </w:r>
          <w:r w:rsidRPr="00D14FCF">
            <w:rPr>
              <w:rFonts w:cs="Times New Roman"/>
              <w:i/>
              <w:iCs/>
            </w:rPr>
            <w:t>174</w:t>
          </w:r>
          <w:r w:rsidRPr="00D14FCF">
            <w:rPr>
              <w:rFonts w:cs="Times New Roman"/>
            </w:rPr>
            <w:t>, p.106664.</w:t>
          </w:r>
        </w:p>
        <w:p w14:paraId="4697E748" w14:textId="77777777" w:rsidR="00AE06D9" w:rsidRPr="00D14FCF" w:rsidRDefault="00AE06D9" w:rsidP="00AE06D9">
          <w:pPr>
            <w:rPr>
              <w:rFonts w:cs="Times New Roman"/>
            </w:rPr>
          </w:pPr>
          <w:r w:rsidRPr="00D14FCF">
            <w:rPr>
              <w:rFonts w:cs="Times New Roman"/>
            </w:rPr>
            <w:t>La Torre, M., Sabelfeld, S., Blomkvist, M. and Dumay, J., 2020. Rebuilding trust: sustainability and non-financial reporting and the European Union regulation. </w:t>
          </w:r>
          <w:r w:rsidRPr="00D14FCF">
            <w:rPr>
              <w:rFonts w:cs="Times New Roman"/>
              <w:i/>
              <w:iCs/>
            </w:rPr>
            <w:t>Meditari Accountancy Research</w:t>
          </w:r>
          <w:r w:rsidRPr="00D14FCF">
            <w:rPr>
              <w:rFonts w:cs="Times New Roman"/>
            </w:rPr>
            <w:t>, </w:t>
          </w:r>
          <w:r w:rsidRPr="00D14FCF">
            <w:rPr>
              <w:rFonts w:cs="Times New Roman"/>
              <w:i/>
              <w:iCs/>
            </w:rPr>
            <w:t>28</w:t>
          </w:r>
          <w:r w:rsidRPr="00D14FCF">
            <w:rPr>
              <w:rFonts w:cs="Times New Roman"/>
            </w:rPr>
            <w:t>(5), pp.701-725.</w:t>
          </w:r>
        </w:p>
        <w:p w14:paraId="4C9087E0" w14:textId="77777777" w:rsidR="00AE06D9" w:rsidRPr="00D14FCF" w:rsidRDefault="00AE06D9" w:rsidP="00AE06D9">
          <w:pPr>
            <w:rPr>
              <w:rFonts w:cs="Times New Roman"/>
            </w:rPr>
          </w:pPr>
          <w:r w:rsidRPr="00D14FCF">
            <w:rPr>
              <w:rFonts w:cs="Times New Roman"/>
            </w:rPr>
            <w:t>Le, S., 2021. The applications of NPV in different types of markets. In </w:t>
          </w:r>
          <w:r w:rsidRPr="00D14FCF">
            <w:rPr>
              <w:rFonts w:cs="Times New Roman"/>
              <w:i/>
              <w:iCs/>
            </w:rPr>
            <w:t>2021 3rd International Conference on Economic Management and Cultural Industry (ICEMCI 2021)</w:t>
          </w:r>
          <w:r w:rsidRPr="00D14FCF">
            <w:rPr>
              <w:rFonts w:cs="Times New Roman"/>
            </w:rPr>
            <w:t> (pp. 1054-1059). Atlantis Press.</w:t>
          </w:r>
        </w:p>
        <w:p w14:paraId="5FB98A98" w14:textId="77777777" w:rsidR="00AE06D9" w:rsidRPr="00D14FCF" w:rsidRDefault="00AE06D9" w:rsidP="00AE06D9">
          <w:pPr>
            <w:rPr>
              <w:rFonts w:cs="Times New Roman"/>
            </w:rPr>
          </w:pPr>
          <w:r w:rsidRPr="00D14FCF">
            <w:rPr>
              <w:rFonts w:cs="Times New Roman"/>
            </w:rPr>
            <w:t>Magni, C.A. and Marchioni, A., 2020. Average rates of return, working capital, and NPV-consistency in project appraisal: A sensitivity analysis approach. </w:t>
          </w:r>
          <w:r w:rsidRPr="00D14FCF">
            <w:rPr>
              <w:rFonts w:cs="Times New Roman"/>
              <w:i/>
              <w:iCs/>
            </w:rPr>
            <w:t>International Journal of Production Economics</w:t>
          </w:r>
          <w:r w:rsidRPr="00D14FCF">
            <w:rPr>
              <w:rFonts w:cs="Times New Roman"/>
            </w:rPr>
            <w:t>, </w:t>
          </w:r>
          <w:r w:rsidRPr="00D14FCF">
            <w:rPr>
              <w:rFonts w:cs="Times New Roman"/>
              <w:i/>
              <w:iCs/>
            </w:rPr>
            <w:t>229</w:t>
          </w:r>
          <w:r w:rsidRPr="00D14FCF">
            <w:rPr>
              <w:rFonts w:cs="Times New Roman"/>
            </w:rPr>
            <w:t>, p.107769.</w:t>
          </w:r>
        </w:p>
        <w:p w14:paraId="6C06CA79" w14:textId="77777777" w:rsidR="00AE06D9" w:rsidRPr="00D14FCF" w:rsidRDefault="00AE06D9" w:rsidP="00AE06D9">
          <w:pPr>
            <w:rPr>
              <w:rFonts w:cs="Times New Roman"/>
            </w:rPr>
          </w:pPr>
          <w:r w:rsidRPr="00D14FCF">
            <w:rPr>
              <w:rFonts w:cs="Times New Roman"/>
            </w:rPr>
            <w:t>Magni, C.A., 2019. Accounting Measures and Economic Measures: An Integrated Theory of Capital Budgeting. </w:t>
          </w:r>
          <w:r w:rsidRPr="00D14FCF">
            <w:rPr>
              <w:rFonts w:cs="Times New Roman"/>
              <w:i/>
              <w:iCs/>
            </w:rPr>
            <w:t>Journal of Accounting and Finance</w:t>
          </w:r>
          <w:r w:rsidRPr="00D14FCF">
            <w:rPr>
              <w:rFonts w:cs="Times New Roman"/>
            </w:rPr>
            <w:t>, </w:t>
          </w:r>
          <w:r w:rsidRPr="00D14FCF">
            <w:rPr>
              <w:rFonts w:cs="Times New Roman"/>
              <w:i/>
              <w:iCs/>
            </w:rPr>
            <w:t>19</w:t>
          </w:r>
          <w:r w:rsidRPr="00D14FCF">
            <w:rPr>
              <w:rFonts w:cs="Times New Roman"/>
            </w:rPr>
            <w:t>(9), pp.166-208.</w:t>
          </w:r>
        </w:p>
        <w:p w14:paraId="5B927B51" w14:textId="77777777" w:rsidR="00AE06D9" w:rsidRPr="00D14FCF" w:rsidRDefault="00AE06D9" w:rsidP="00AE06D9">
          <w:pPr>
            <w:rPr>
              <w:rFonts w:cs="Times New Roman"/>
            </w:rPr>
          </w:pPr>
          <w:r w:rsidRPr="00D14FCF">
            <w:rPr>
              <w:rFonts w:cs="Times New Roman"/>
            </w:rPr>
            <w:t>Maravas, A. and Pantouvakis, J.P., 2018. A New Approach to Studying Net Present Value and the Internal Rate of Return of Engineering Projects under Uncertainty with Three‐Dimensional Graphs. </w:t>
          </w:r>
          <w:r w:rsidRPr="00D14FCF">
            <w:rPr>
              <w:rFonts w:cs="Times New Roman"/>
              <w:i/>
              <w:iCs/>
            </w:rPr>
            <w:t>Advances in Civil Engineering</w:t>
          </w:r>
          <w:r w:rsidRPr="00D14FCF">
            <w:rPr>
              <w:rFonts w:cs="Times New Roman"/>
            </w:rPr>
            <w:t>, </w:t>
          </w:r>
          <w:r w:rsidRPr="00D14FCF">
            <w:rPr>
              <w:rFonts w:cs="Times New Roman"/>
              <w:i/>
              <w:iCs/>
            </w:rPr>
            <w:t>2018</w:t>
          </w:r>
          <w:r w:rsidRPr="00D14FCF">
            <w:rPr>
              <w:rFonts w:cs="Times New Roman"/>
            </w:rPr>
            <w:t>(1), p.6108680.</w:t>
          </w:r>
        </w:p>
        <w:p w14:paraId="1D91B9E7" w14:textId="77777777" w:rsidR="00AE06D9" w:rsidRPr="00D14FCF" w:rsidRDefault="00AE06D9" w:rsidP="00AE06D9">
          <w:pPr>
            <w:rPr>
              <w:rFonts w:cs="Times New Roman"/>
            </w:rPr>
          </w:pPr>
          <w:r w:rsidRPr="00D14FCF">
            <w:rPr>
              <w:rFonts w:cs="Times New Roman"/>
            </w:rPr>
            <w:t>Marchioni, A. and Magni, C.A., 2018. Investment decisions and sensitivity analysis: NPV-consistency of rates of return. </w:t>
          </w:r>
          <w:r w:rsidRPr="00D14FCF">
            <w:rPr>
              <w:rFonts w:cs="Times New Roman"/>
              <w:i/>
              <w:iCs/>
            </w:rPr>
            <w:t>European Journal of Operational Research</w:t>
          </w:r>
          <w:r w:rsidRPr="00D14FCF">
            <w:rPr>
              <w:rFonts w:cs="Times New Roman"/>
            </w:rPr>
            <w:t>, </w:t>
          </w:r>
          <w:r w:rsidRPr="00D14FCF">
            <w:rPr>
              <w:rFonts w:cs="Times New Roman"/>
              <w:i/>
              <w:iCs/>
            </w:rPr>
            <w:t>268</w:t>
          </w:r>
          <w:r w:rsidRPr="00D14FCF">
            <w:rPr>
              <w:rFonts w:cs="Times New Roman"/>
            </w:rPr>
            <w:t>(1), pp.361-372.</w:t>
          </w:r>
        </w:p>
        <w:p w14:paraId="7A95A6D6" w14:textId="77777777" w:rsidR="00AE06D9" w:rsidRPr="00D14FCF" w:rsidRDefault="00AE06D9" w:rsidP="00AE06D9">
          <w:pPr>
            <w:rPr>
              <w:rFonts w:cs="Times New Roman"/>
            </w:rPr>
          </w:pPr>
          <w:r w:rsidRPr="00D14FCF">
            <w:rPr>
              <w:rFonts w:cs="Times New Roman"/>
            </w:rPr>
            <w:t>Mollah, M.A.S., Rouf, M.A. and Rana, S.S., 2023. A study on capital budgeting practices of some selected companies in Bangladesh. </w:t>
          </w:r>
          <w:r w:rsidRPr="00D14FCF">
            <w:rPr>
              <w:rFonts w:cs="Times New Roman"/>
              <w:i/>
              <w:iCs/>
            </w:rPr>
            <w:t>PSU Research Review</w:t>
          </w:r>
          <w:r w:rsidRPr="00D14FCF">
            <w:rPr>
              <w:rFonts w:cs="Times New Roman"/>
            </w:rPr>
            <w:t>, </w:t>
          </w:r>
          <w:r w:rsidRPr="00D14FCF">
            <w:rPr>
              <w:rFonts w:cs="Times New Roman"/>
              <w:i/>
              <w:iCs/>
            </w:rPr>
            <w:t>7</w:t>
          </w:r>
          <w:r w:rsidRPr="00D14FCF">
            <w:rPr>
              <w:rFonts w:cs="Times New Roman"/>
            </w:rPr>
            <w:t>(2), pp.137-151.</w:t>
          </w:r>
        </w:p>
        <w:p w14:paraId="5A2E4A5D" w14:textId="77777777" w:rsidR="00AE06D9" w:rsidRPr="00D14FCF" w:rsidRDefault="00AE06D9" w:rsidP="00AE06D9">
          <w:pPr>
            <w:rPr>
              <w:rFonts w:cs="Times New Roman"/>
            </w:rPr>
          </w:pPr>
          <w:r w:rsidRPr="00D14FCF">
            <w:rPr>
              <w:rFonts w:cs="Times New Roman"/>
            </w:rPr>
            <w:t>Oloke, O.C., Odetunmbi, O.A. and Akinwumi, S.A., 2022. An examination of the level of engagement of modern portfolio techniques for portfolio management by real estate firms in Lagos State, Nigeria. In </w:t>
          </w:r>
          <w:r w:rsidRPr="00D14FCF">
            <w:rPr>
              <w:rFonts w:cs="Times New Roman"/>
              <w:i/>
              <w:iCs/>
            </w:rPr>
            <w:t>IOP Conference Series: Earth and Environmental Science</w:t>
          </w:r>
          <w:r w:rsidRPr="00D14FCF">
            <w:rPr>
              <w:rFonts w:cs="Times New Roman"/>
            </w:rPr>
            <w:t> (Vol. 993, No. 1, p. 012005). IOP Publishing.</w:t>
          </w:r>
        </w:p>
        <w:p w14:paraId="3CE7BDE8" w14:textId="77777777" w:rsidR="00AE06D9" w:rsidRPr="00D14FCF" w:rsidRDefault="00AE06D9" w:rsidP="00AE06D9">
          <w:pPr>
            <w:rPr>
              <w:rFonts w:cs="Times New Roman"/>
            </w:rPr>
          </w:pPr>
          <w:r w:rsidRPr="00D14FCF">
            <w:rPr>
              <w:rFonts w:cs="Times New Roman"/>
            </w:rPr>
            <w:t>Rajgopal, S., Srivastava, A. and Zhao, R., 2020. Do Digital Technology Firms Earn Excess Profits? </w:t>
          </w:r>
          <w:r w:rsidRPr="00D14FCF">
            <w:rPr>
              <w:rFonts w:cs="Times New Roman"/>
              <w:i/>
              <w:iCs/>
            </w:rPr>
            <w:t>California Management Review</w:t>
          </w:r>
          <w:r w:rsidRPr="00D14FCF">
            <w:rPr>
              <w:rFonts w:cs="Times New Roman"/>
            </w:rPr>
            <w:t>.</w:t>
          </w:r>
        </w:p>
        <w:p w14:paraId="216D4B3E" w14:textId="77777777" w:rsidR="00AE06D9" w:rsidRPr="00D14FCF" w:rsidRDefault="00AE06D9" w:rsidP="00AE06D9">
          <w:pPr>
            <w:rPr>
              <w:rFonts w:cs="Times New Roman"/>
            </w:rPr>
          </w:pPr>
          <w:r w:rsidRPr="00D14FCF">
            <w:rPr>
              <w:rFonts w:cs="Times New Roman"/>
            </w:rPr>
            <w:lastRenderedPageBreak/>
            <w:t>Roychowdhury, S., Shroff, N. and Verdi, R.S., 2019. The effects of financial reporting and disclosure on corporate investment: A review. </w:t>
          </w:r>
          <w:r w:rsidRPr="00D14FCF">
            <w:rPr>
              <w:rFonts w:cs="Times New Roman"/>
              <w:i/>
              <w:iCs/>
            </w:rPr>
            <w:t>Journal of Accounting and Economics</w:t>
          </w:r>
          <w:r w:rsidRPr="00D14FCF">
            <w:rPr>
              <w:rFonts w:cs="Times New Roman"/>
            </w:rPr>
            <w:t>, </w:t>
          </w:r>
          <w:r w:rsidRPr="00D14FCF">
            <w:rPr>
              <w:rFonts w:cs="Times New Roman"/>
              <w:i/>
              <w:iCs/>
            </w:rPr>
            <w:t>68</w:t>
          </w:r>
          <w:r w:rsidRPr="00D14FCF">
            <w:rPr>
              <w:rFonts w:cs="Times New Roman"/>
            </w:rPr>
            <w:t>(2-3), p.101246.</w:t>
          </w:r>
        </w:p>
        <w:p w14:paraId="78EC5AD1" w14:textId="77777777" w:rsidR="00AE06D9" w:rsidRPr="00D14FCF" w:rsidRDefault="00AE06D9" w:rsidP="00AE06D9">
          <w:pPr>
            <w:rPr>
              <w:rFonts w:cs="Times New Roman"/>
            </w:rPr>
          </w:pPr>
          <w:r w:rsidRPr="00D14FCF">
            <w:rPr>
              <w:rFonts w:cs="Times New Roman"/>
            </w:rPr>
            <w:t>Sadeghi, H., Ijaz, A. and Singh, R.M., 2022. Current status of heat pumps in Norway and analysis of their performance and payback time. </w:t>
          </w:r>
          <w:r w:rsidRPr="00D14FCF">
            <w:rPr>
              <w:rFonts w:cs="Times New Roman"/>
              <w:i/>
              <w:iCs/>
            </w:rPr>
            <w:t>Sustainable energy technologies and assessments</w:t>
          </w:r>
          <w:r w:rsidRPr="00D14FCF">
            <w:rPr>
              <w:rFonts w:cs="Times New Roman"/>
            </w:rPr>
            <w:t>, </w:t>
          </w:r>
          <w:r w:rsidRPr="00D14FCF">
            <w:rPr>
              <w:rFonts w:cs="Times New Roman"/>
              <w:i/>
              <w:iCs/>
            </w:rPr>
            <w:t>54</w:t>
          </w:r>
          <w:r w:rsidRPr="00D14FCF">
            <w:rPr>
              <w:rFonts w:cs="Times New Roman"/>
            </w:rPr>
            <w:t>, p.102829.</w:t>
          </w:r>
        </w:p>
        <w:p w14:paraId="1E650734" w14:textId="77777777" w:rsidR="00AE06D9" w:rsidRPr="00D14FCF" w:rsidRDefault="00AE06D9" w:rsidP="00AE06D9">
          <w:pPr>
            <w:rPr>
              <w:rFonts w:cs="Times New Roman"/>
            </w:rPr>
          </w:pPr>
          <w:r w:rsidRPr="00D14FCF">
            <w:rPr>
              <w:rFonts w:cs="Times New Roman"/>
            </w:rPr>
            <w:t>Saunders, A., Cornett, M. M., and Erhemjamts, O., 2021. Financial institutions management: a risk management approach. 10</w:t>
          </w:r>
          <w:r w:rsidRPr="00D14FCF">
            <w:rPr>
              <w:rFonts w:cs="Times New Roman"/>
              <w:vertAlign w:val="superscript"/>
            </w:rPr>
            <w:t>th</w:t>
          </w:r>
          <w:r w:rsidRPr="00D14FCF">
            <w:rPr>
              <w:rFonts w:cs="Times New Roman"/>
            </w:rPr>
            <w:t xml:space="preserve"> Edn. McGraw Hill Education. </w:t>
          </w:r>
        </w:p>
        <w:p w14:paraId="24D2125C" w14:textId="77777777" w:rsidR="00AE06D9" w:rsidRPr="00D14FCF" w:rsidRDefault="00AE06D9" w:rsidP="00AE06D9">
          <w:pPr>
            <w:rPr>
              <w:rFonts w:cs="Times New Roman"/>
            </w:rPr>
          </w:pPr>
          <w:r w:rsidRPr="00D14FCF">
            <w:rPr>
              <w:rFonts w:cs="Times New Roman"/>
            </w:rPr>
            <w:t>Shrotriya, V., 2018. Comparison of NDCF and DCF techniques of project appraisal. </w:t>
          </w:r>
          <w:r w:rsidRPr="00D14FCF">
            <w:rPr>
              <w:rFonts w:cs="Times New Roman"/>
              <w:i/>
              <w:iCs/>
            </w:rPr>
            <w:t>International Journal of Research and Analytical Reviews</w:t>
          </w:r>
          <w:r w:rsidRPr="00D14FCF">
            <w:rPr>
              <w:rFonts w:cs="Times New Roman"/>
            </w:rPr>
            <w:t>, </w:t>
          </w:r>
          <w:r w:rsidRPr="00D14FCF">
            <w:rPr>
              <w:rFonts w:cs="Times New Roman"/>
              <w:i/>
              <w:iCs/>
            </w:rPr>
            <w:t>5</w:t>
          </w:r>
          <w:r w:rsidRPr="00D14FCF">
            <w:rPr>
              <w:rFonts w:cs="Times New Roman"/>
            </w:rPr>
            <w:t>, pp.2348-1269.</w:t>
          </w:r>
        </w:p>
        <w:p w14:paraId="2A171D4E" w14:textId="77777777" w:rsidR="00AE06D9" w:rsidRPr="00D14FCF" w:rsidRDefault="00AE06D9" w:rsidP="00AE06D9">
          <w:pPr>
            <w:rPr>
              <w:rFonts w:cs="Times New Roman"/>
            </w:rPr>
          </w:pPr>
          <w:r w:rsidRPr="00D14FCF">
            <w:rPr>
              <w:rFonts w:cs="Times New Roman"/>
            </w:rPr>
            <w:t>Siziba, S. and Hall, J.H., 2021. The evolution of the application of capital budgeting techniques in enterprises. </w:t>
          </w:r>
          <w:r w:rsidRPr="00D14FCF">
            <w:rPr>
              <w:rFonts w:cs="Times New Roman"/>
              <w:i/>
              <w:iCs/>
            </w:rPr>
            <w:t>Global finance journal</w:t>
          </w:r>
          <w:r w:rsidRPr="00D14FCF">
            <w:rPr>
              <w:rFonts w:cs="Times New Roman"/>
            </w:rPr>
            <w:t>, </w:t>
          </w:r>
          <w:r w:rsidRPr="00D14FCF">
            <w:rPr>
              <w:rFonts w:cs="Times New Roman"/>
              <w:i/>
              <w:iCs/>
            </w:rPr>
            <w:t>47</w:t>
          </w:r>
          <w:r w:rsidRPr="00D14FCF">
            <w:rPr>
              <w:rFonts w:cs="Times New Roman"/>
            </w:rPr>
            <w:t>, p.100504.</w:t>
          </w:r>
        </w:p>
        <w:p w14:paraId="53CBF08F" w14:textId="77777777" w:rsidR="00AE06D9" w:rsidRPr="00D14FCF" w:rsidRDefault="00AE06D9" w:rsidP="00AE06D9">
          <w:pPr>
            <w:rPr>
              <w:rFonts w:cs="Times New Roman"/>
            </w:rPr>
          </w:pPr>
          <w:r w:rsidRPr="00D14FCF">
            <w:rPr>
              <w:rFonts w:cs="Times New Roman"/>
            </w:rPr>
            <w:t>Thuy, V., Thu, T. and Viet, H., 2019. The impact of microeconomic factors on the abnormal return of listed stocks in Vietnam. </w:t>
          </w:r>
          <w:r w:rsidRPr="00D14FCF">
            <w:rPr>
              <w:rFonts w:cs="Times New Roman"/>
              <w:i/>
              <w:iCs/>
            </w:rPr>
            <w:t>Management Science Letters</w:t>
          </w:r>
          <w:r w:rsidRPr="00D14FCF">
            <w:rPr>
              <w:rFonts w:cs="Times New Roman"/>
            </w:rPr>
            <w:t>, </w:t>
          </w:r>
          <w:r w:rsidRPr="00D14FCF">
            <w:rPr>
              <w:rFonts w:cs="Times New Roman"/>
              <w:i/>
              <w:iCs/>
            </w:rPr>
            <w:t>9</w:t>
          </w:r>
          <w:r w:rsidRPr="00D14FCF">
            <w:rPr>
              <w:rFonts w:cs="Times New Roman"/>
            </w:rPr>
            <w:t>(11), pp.1863-1874.</w:t>
          </w:r>
        </w:p>
        <w:p w14:paraId="51D872C4" w14:textId="77777777" w:rsidR="00AE06D9" w:rsidRPr="00D14FCF" w:rsidRDefault="00AE06D9" w:rsidP="00AE06D9">
          <w:pPr>
            <w:rPr>
              <w:rFonts w:cs="Times New Roman"/>
            </w:rPr>
          </w:pPr>
          <w:r w:rsidRPr="00D14FCF">
            <w:rPr>
              <w:rFonts w:cs="Times New Roman"/>
            </w:rPr>
            <w:t xml:space="preserve">Vipond, T., 2025. ARR – Accounting Rate of Return. (online). Available at: https://corporatefinanceinstitute.com/resources/accounting/arr-accounting-rate-of-return/. (Accessed: 03 January 2025). </w:t>
          </w:r>
        </w:p>
        <w:p w14:paraId="77B7BAB7" w14:textId="77777777" w:rsidR="00AE06D9" w:rsidRPr="00D14FCF" w:rsidRDefault="00AE06D9" w:rsidP="00AE06D9">
          <w:pPr>
            <w:rPr>
              <w:rFonts w:cs="Times New Roman"/>
            </w:rPr>
          </w:pPr>
          <w:r w:rsidRPr="00D14FCF">
            <w:rPr>
              <w:rFonts w:cs="Times New Roman"/>
            </w:rPr>
            <w:t>Zahera, S.A. and Bansal, R., 2018. Do investors exhibit behavioral biases in investment decision-making? A systematic review. </w:t>
          </w:r>
          <w:r w:rsidRPr="00D14FCF">
            <w:rPr>
              <w:rFonts w:cs="Times New Roman"/>
              <w:i/>
              <w:iCs/>
            </w:rPr>
            <w:t>Qualitative Research in Financial Markets</w:t>
          </w:r>
          <w:r w:rsidRPr="00D14FCF">
            <w:rPr>
              <w:rFonts w:cs="Times New Roman"/>
            </w:rPr>
            <w:t>, </w:t>
          </w:r>
          <w:r w:rsidRPr="00D14FCF">
            <w:rPr>
              <w:rFonts w:cs="Times New Roman"/>
              <w:i/>
              <w:iCs/>
            </w:rPr>
            <w:t>10</w:t>
          </w:r>
          <w:r w:rsidRPr="00D14FCF">
            <w:rPr>
              <w:rFonts w:cs="Times New Roman"/>
            </w:rPr>
            <w:t>(2), pp.210-251.</w:t>
          </w:r>
        </w:p>
        <w:p w14:paraId="36C1BEC4" w14:textId="7808DC55" w:rsidR="00AE06D9" w:rsidRPr="00D14FCF" w:rsidRDefault="0057380B" w:rsidP="00AE06D9"/>
      </w:sdtContent>
    </w:sdt>
    <w:p w14:paraId="41C0391F" w14:textId="77777777" w:rsidR="00AE06D9" w:rsidRPr="00D14FCF" w:rsidRDefault="00AE06D9" w:rsidP="00AE06D9"/>
    <w:p w14:paraId="45B34ECC" w14:textId="77777777" w:rsidR="00AE06D9" w:rsidRDefault="00AE06D9" w:rsidP="00AE06D9"/>
    <w:p w14:paraId="2C66489B" w14:textId="77777777" w:rsidR="00ED745F" w:rsidRDefault="00ED745F" w:rsidP="00AE06D9"/>
    <w:p w14:paraId="673AEAE4" w14:textId="77777777" w:rsidR="00ED745F" w:rsidRPr="00D14FCF" w:rsidRDefault="00ED745F" w:rsidP="00AE06D9"/>
    <w:p w14:paraId="0AE2BD88" w14:textId="77777777" w:rsidR="00AE06D9" w:rsidRPr="00D14FCF" w:rsidRDefault="00AE06D9" w:rsidP="00AE06D9">
      <w:pPr>
        <w:pStyle w:val="Heading1"/>
      </w:pPr>
      <w:bookmarkStart w:id="34" w:name="_Toc187066103"/>
      <w:bookmarkStart w:id="35" w:name="_Toc178766399"/>
      <w:r w:rsidRPr="00D14FCF">
        <w:lastRenderedPageBreak/>
        <w:t>Appendix</w:t>
      </w:r>
      <w:bookmarkEnd w:id="34"/>
    </w:p>
    <w:p w14:paraId="378DC095" w14:textId="77777777" w:rsidR="00AE06D9" w:rsidRDefault="00AE06D9" w:rsidP="00AE06D9">
      <w:pPr>
        <w:pStyle w:val="Heading2"/>
      </w:pPr>
      <w:bookmarkStart w:id="36" w:name="_Toc187066104"/>
      <w:r w:rsidRPr="00D14FCF">
        <w:t>N</w:t>
      </w:r>
      <w:r>
        <w:t>PV</w:t>
      </w:r>
      <w:bookmarkEnd w:id="36"/>
    </w:p>
    <w:p w14:paraId="43C5A00F" w14:textId="77777777" w:rsidR="00ED745F" w:rsidRPr="00ED745F" w:rsidRDefault="00ED745F" w:rsidP="00ED745F"/>
    <w:tbl>
      <w:tblPr>
        <w:tblStyle w:val="ListTable3-Accent5"/>
        <w:tblW w:w="5000" w:type="pct"/>
        <w:tblLook w:val="04A0" w:firstRow="1" w:lastRow="0" w:firstColumn="1" w:lastColumn="0" w:noHBand="0" w:noVBand="1"/>
      </w:tblPr>
      <w:tblGrid>
        <w:gridCol w:w="1248"/>
        <w:gridCol w:w="2086"/>
        <w:gridCol w:w="3026"/>
        <w:gridCol w:w="2661"/>
      </w:tblGrid>
      <w:tr w:rsidR="00AE06D9" w14:paraId="30D36162" w14:textId="77777777" w:rsidTr="002D76FD">
        <w:trPr>
          <w:cnfStyle w:val="100000000000" w:firstRow="1" w:lastRow="0" w:firstColumn="0" w:lastColumn="0" w:oddVBand="0" w:evenVBand="0" w:oddHBand="0" w:evenHBand="0" w:firstRowFirstColumn="0" w:firstRowLastColumn="0" w:lastRowFirstColumn="0" w:lastRowLastColumn="0"/>
          <w:trHeight w:val="288"/>
        </w:trPr>
        <w:tc>
          <w:tcPr>
            <w:cnfStyle w:val="001000000100" w:firstRow="0" w:lastRow="0" w:firstColumn="1" w:lastColumn="0" w:oddVBand="0" w:evenVBand="0" w:oddHBand="0" w:evenHBand="0" w:firstRowFirstColumn="1" w:firstRowLastColumn="0" w:lastRowFirstColumn="0" w:lastRowLastColumn="0"/>
            <w:tcW w:w="5000" w:type="pct"/>
            <w:gridSpan w:val="4"/>
            <w:noWrap/>
            <w:hideMark/>
          </w:tcPr>
          <w:p w14:paraId="5421D41E" w14:textId="77777777" w:rsidR="00AE06D9" w:rsidRPr="00D14FCF" w:rsidRDefault="00AE06D9" w:rsidP="00C64B14">
            <w:pPr>
              <w:spacing w:after="0"/>
              <w:jc w:val="center"/>
              <w:rPr>
                <w:rFonts w:eastAsia="Times New Roman" w:cs="Times New Roman"/>
                <w:b w:val="0"/>
                <w:bCs w:val="0"/>
                <w:color w:val="000000"/>
                <w:szCs w:val="24"/>
                <w:lang w:val="en-IN" w:eastAsia="en-IN"/>
              </w:rPr>
            </w:pPr>
            <w:r w:rsidRPr="00D14FCF">
              <w:rPr>
                <w:rFonts w:eastAsia="Times New Roman" w:cs="Times New Roman"/>
                <w:color w:val="000000"/>
                <w:szCs w:val="24"/>
                <w:lang w:val="en-IN" w:eastAsia="en-IN"/>
              </w:rPr>
              <w:t>N</w:t>
            </w:r>
            <w:r>
              <w:rPr>
                <w:rFonts w:eastAsia="Times New Roman" w:cs="Times New Roman"/>
                <w:color w:val="000000"/>
                <w:szCs w:val="24"/>
                <w:lang w:val="en-IN" w:eastAsia="en-IN"/>
              </w:rPr>
              <w:t xml:space="preserve">PV </w:t>
            </w:r>
            <w:r w:rsidRPr="00D14FCF">
              <w:rPr>
                <w:rFonts w:eastAsia="Times New Roman" w:cs="Times New Roman"/>
                <w:color w:val="000000"/>
                <w:szCs w:val="24"/>
                <w:lang w:val="en-IN" w:eastAsia="en-IN"/>
              </w:rPr>
              <w:t xml:space="preserve">of </w:t>
            </w:r>
            <w:r>
              <w:rPr>
                <w:rFonts w:eastAsia="Times New Roman" w:cs="Times New Roman"/>
                <w:color w:val="000000"/>
                <w:szCs w:val="24"/>
                <w:lang w:val="en-IN" w:eastAsia="en-IN"/>
              </w:rPr>
              <w:t xml:space="preserve">plan </w:t>
            </w:r>
            <w:r w:rsidRPr="00D14FCF">
              <w:rPr>
                <w:rFonts w:eastAsia="Times New Roman" w:cs="Times New Roman"/>
                <w:color w:val="000000"/>
                <w:szCs w:val="24"/>
                <w:lang w:val="en-IN" w:eastAsia="en-IN"/>
              </w:rPr>
              <w:t xml:space="preserve">A </w:t>
            </w:r>
          </w:p>
        </w:tc>
      </w:tr>
      <w:tr w:rsidR="00AE06D9" w14:paraId="575DD02E" w14:textId="77777777" w:rsidTr="002D76FD">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92" w:type="pct"/>
            <w:noWrap/>
            <w:hideMark/>
          </w:tcPr>
          <w:p w14:paraId="384BC851" w14:textId="77777777" w:rsidR="00AE06D9" w:rsidRPr="00D14FCF" w:rsidRDefault="00AE06D9" w:rsidP="00C64B14">
            <w:pPr>
              <w:spacing w:after="0"/>
              <w:jc w:val="center"/>
              <w:rPr>
                <w:rFonts w:eastAsia="Times New Roman" w:cs="Times New Roman"/>
                <w:b w:val="0"/>
                <w:bCs w:val="0"/>
                <w:color w:val="000000"/>
                <w:szCs w:val="24"/>
                <w:lang w:val="en-IN" w:eastAsia="en-IN"/>
              </w:rPr>
            </w:pPr>
            <w:r w:rsidRPr="00D14FCF">
              <w:rPr>
                <w:rFonts w:eastAsia="Times New Roman" w:cs="Times New Roman"/>
                <w:color w:val="000000"/>
                <w:szCs w:val="24"/>
                <w:lang w:val="en-IN" w:eastAsia="en-IN"/>
              </w:rPr>
              <w:t xml:space="preserve">Period </w:t>
            </w:r>
          </w:p>
        </w:tc>
        <w:tc>
          <w:tcPr>
            <w:tcW w:w="1156" w:type="pct"/>
            <w:noWrap/>
            <w:hideMark/>
          </w:tcPr>
          <w:p w14:paraId="4E508B7D" w14:textId="77777777" w:rsidR="00AE06D9" w:rsidRPr="00D14FC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val="en-IN" w:eastAsia="en-IN"/>
              </w:rPr>
            </w:pPr>
            <w:r w:rsidRPr="00D14FCF">
              <w:rPr>
                <w:rFonts w:eastAsia="Times New Roman" w:cs="Times New Roman"/>
                <w:b/>
                <w:bCs/>
                <w:color w:val="000000"/>
                <w:szCs w:val="24"/>
                <w:lang w:val="en-IN" w:eastAsia="en-IN"/>
              </w:rPr>
              <w:t>Cashflows (£)</w:t>
            </w:r>
          </w:p>
        </w:tc>
        <w:tc>
          <w:tcPr>
            <w:tcW w:w="1676" w:type="pct"/>
            <w:noWrap/>
            <w:hideMark/>
          </w:tcPr>
          <w:p w14:paraId="03041FDE" w14:textId="77777777" w:rsidR="00AE06D9" w:rsidRPr="00D14FC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val="en-IN" w:eastAsia="en-IN"/>
              </w:rPr>
            </w:pPr>
            <w:r w:rsidRPr="00D14FCF">
              <w:rPr>
                <w:rFonts w:eastAsia="Times New Roman" w:cs="Times New Roman"/>
                <w:b/>
                <w:bCs/>
                <w:color w:val="000000"/>
                <w:szCs w:val="24"/>
                <w:lang w:val="en-IN" w:eastAsia="en-IN"/>
              </w:rPr>
              <w:t xml:space="preserve">Rate of Discounting </w:t>
            </w:r>
          </w:p>
        </w:tc>
        <w:tc>
          <w:tcPr>
            <w:tcW w:w="1475" w:type="pct"/>
            <w:noWrap/>
            <w:hideMark/>
          </w:tcPr>
          <w:p w14:paraId="504738E0" w14:textId="77777777" w:rsidR="00AE06D9" w:rsidRPr="00D14FC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val="en-IN" w:eastAsia="en-IN"/>
              </w:rPr>
            </w:pPr>
            <w:r w:rsidRPr="00D14FCF">
              <w:rPr>
                <w:rFonts w:eastAsia="Times New Roman" w:cs="Times New Roman"/>
                <w:b/>
                <w:bCs/>
                <w:color w:val="000000"/>
                <w:szCs w:val="24"/>
                <w:lang w:val="en-IN" w:eastAsia="en-IN"/>
              </w:rPr>
              <w:t>Present Value (£)</w:t>
            </w:r>
          </w:p>
        </w:tc>
      </w:tr>
      <w:tr w:rsidR="00AE06D9" w14:paraId="20E59005" w14:textId="77777777" w:rsidTr="002D76FD">
        <w:trPr>
          <w:trHeight w:val="288"/>
        </w:trPr>
        <w:tc>
          <w:tcPr>
            <w:cnfStyle w:val="001000000000" w:firstRow="0" w:lastRow="0" w:firstColumn="1" w:lastColumn="0" w:oddVBand="0" w:evenVBand="0" w:oddHBand="0" w:evenHBand="0" w:firstRowFirstColumn="0" w:firstRowLastColumn="0" w:lastRowFirstColumn="0" w:lastRowLastColumn="0"/>
            <w:tcW w:w="692" w:type="pct"/>
            <w:noWrap/>
            <w:hideMark/>
          </w:tcPr>
          <w:p w14:paraId="45084748" w14:textId="77777777" w:rsidR="00AE06D9" w:rsidRPr="00D14FCF" w:rsidRDefault="00AE06D9" w:rsidP="00C64B14">
            <w:pPr>
              <w:spacing w:after="0"/>
              <w:jc w:val="center"/>
              <w:rPr>
                <w:rFonts w:eastAsia="Times New Roman" w:cs="Times New Roman"/>
                <w:color w:val="000000"/>
                <w:szCs w:val="24"/>
                <w:lang w:val="en-IN" w:eastAsia="en-IN"/>
              </w:rPr>
            </w:pPr>
            <w:r w:rsidRPr="00D14FCF">
              <w:rPr>
                <w:rFonts w:eastAsia="Times New Roman" w:cs="Times New Roman"/>
                <w:color w:val="000000"/>
                <w:szCs w:val="24"/>
                <w:lang w:val="en-IN" w:eastAsia="en-IN"/>
              </w:rPr>
              <w:t>0</w:t>
            </w:r>
          </w:p>
        </w:tc>
        <w:tc>
          <w:tcPr>
            <w:tcW w:w="1156" w:type="pct"/>
            <w:noWrap/>
            <w:hideMark/>
          </w:tcPr>
          <w:p w14:paraId="69A37570" w14:textId="74522295" w:rsidR="00AE06D9" w:rsidRPr="00D14FCF" w:rsidRDefault="00AE06D9" w:rsidP="00C64B14">
            <w:pPr>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IN" w:eastAsia="en-IN"/>
              </w:rPr>
            </w:pPr>
          </w:p>
        </w:tc>
        <w:tc>
          <w:tcPr>
            <w:tcW w:w="1676" w:type="pct"/>
            <w:noWrap/>
            <w:hideMark/>
          </w:tcPr>
          <w:p w14:paraId="3EDD3330" w14:textId="77777777" w:rsidR="00AE06D9" w:rsidRPr="00D14FCF" w:rsidRDefault="00AE06D9" w:rsidP="00C64B14">
            <w:pPr>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1.000</w:t>
            </w:r>
          </w:p>
        </w:tc>
        <w:tc>
          <w:tcPr>
            <w:tcW w:w="1475" w:type="pct"/>
            <w:noWrap/>
            <w:hideMark/>
          </w:tcPr>
          <w:p w14:paraId="470188B0" w14:textId="540412BC" w:rsidR="00AE06D9" w:rsidRPr="00D14FCF" w:rsidRDefault="00505170" w:rsidP="00C64B14">
            <w:pPr>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IN" w:eastAsia="en-IN"/>
              </w:rPr>
            </w:pPr>
            <w:r>
              <w:rPr>
                <w:rFonts w:eastAsia="Times New Roman" w:cs="Times New Roman"/>
                <w:color w:val="000000"/>
                <w:szCs w:val="24"/>
                <w:lang w:val="en-IN" w:eastAsia="en-IN"/>
              </w:rPr>
              <w:t>660000.000</w:t>
            </w:r>
          </w:p>
        </w:tc>
      </w:tr>
      <w:tr w:rsidR="00AE06D9" w14:paraId="6A56ED8E" w14:textId="77777777" w:rsidTr="002D76FD">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92" w:type="pct"/>
            <w:noWrap/>
            <w:hideMark/>
          </w:tcPr>
          <w:p w14:paraId="21D2DF9E" w14:textId="77777777" w:rsidR="00AE06D9" w:rsidRPr="00D14FCF" w:rsidRDefault="00AE06D9" w:rsidP="00C64B14">
            <w:pPr>
              <w:spacing w:after="0"/>
              <w:jc w:val="center"/>
              <w:rPr>
                <w:rFonts w:eastAsia="Times New Roman" w:cs="Times New Roman"/>
                <w:color w:val="000000"/>
                <w:szCs w:val="24"/>
                <w:lang w:val="en-IN" w:eastAsia="en-IN"/>
              </w:rPr>
            </w:pPr>
            <w:r w:rsidRPr="00D14FCF">
              <w:rPr>
                <w:rFonts w:eastAsia="Times New Roman" w:cs="Times New Roman"/>
                <w:color w:val="000000"/>
                <w:szCs w:val="24"/>
                <w:lang w:val="en-IN" w:eastAsia="en-IN"/>
              </w:rPr>
              <w:t>1</w:t>
            </w:r>
          </w:p>
        </w:tc>
        <w:tc>
          <w:tcPr>
            <w:tcW w:w="1156" w:type="pct"/>
            <w:noWrap/>
            <w:hideMark/>
          </w:tcPr>
          <w:p w14:paraId="31D97509" w14:textId="315BA547" w:rsidR="00AE06D9" w:rsidRPr="00D14FC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300</w:t>
            </w:r>
            <w:r w:rsidR="006A6756">
              <w:rPr>
                <w:rFonts w:eastAsia="Times New Roman" w:cs="Times New Roman"/>
                <w:color w:val="000000"/>
                <w:szCs w:val="24"/>
                <w:lang w:val="en-IN" w:eastAsia="en-IN"/>
              </w:rPr>
              <w:t>.</w:t>
            </w:r>
            <w:r w:rsidRPr="00D14FCF">
              <w:rPr>
                <w:rFonts w:eastAsia="Times New Roman" w:cs="Times New Roman"/>
                <w:color w:val="000000"/>
                <w:szCs w:val="24"/>
                <w:lang w:val="en-IN" w:eastAsia="en-IN"/>
              </w:rPr>
              <w:t>000</w:t>
            </w:r>
          </w:p>
        </w:tc>
        <w:tc>
          <w:tcPr>
            <w:tcW w:w="1676" w:type="pct"/>
            <w:noWrap/>
            <w:hideMark/>
          </w:tcPr>
          <w:p w14:paraId="7E6B9C6D" w14:textId="77777777" w:rsidR="00AE06D9" w:rsidRPr="00D14FC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0.943</w:t>
            </w:r>
          </w:p>
        </w:tc>
        <w:tc>
          <w:tcPr>
            <w:tcW w:w="1475" w:type="pct"/>
            <w:noWrap/>
            <w:hideMark/>
          </w:tcPr>
          <w:p w14:paraId="015D10B7" w14:textId="77777777" w:rsidR="00AE06D9" w:rsidRPr="00D14FC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283018.868</w:t>
            </w:r>
          </w:p>
        </w:tc>
      </w:tr>
      <w:tr w:rsidR="00AE06D9" w14:paraId="616998D6" w14:textId="77777777" w:rsidTr="002D76FD">
        <w:trPr>
          <w:trHeight w:val="288"/>
        </w:trPr>
        <w:tc>
          <w:tcPr>
            <w:cnfStyle w:val="001000000000" w:firstRow="0" w:lastRow="0" w:firstColumn="1" w:lastColumn="0" w:oddVBand="0" w:evenVBand="0" w:oddHBand="0" w:evenHBand="0" w:firstRowFirstColumn="0" w:firstRowLastColumn="0" w:lastRowFirstColumn="0" w:lastRowLastColumn="0"/>
            <w:tcW w:w="692" w:type="pct"/>
            <w:noWrap/>
            <w:hideMark/>
          </w:tcPr>
          <w:p w14:paraId="23E45FD1" w14:textId="77777777" w:rsidR="00AE06D9" w:rsidRPr="00D14FCF" w:rsidRDefault="00AE06D9" w:rsidP="00C64B14">
            <w:pPr>
              <w:spacing w:after="0"/>
              <w:jc w:val="center"/>
              <w:rPr>
                <w:rFonts w:eastAsia="Times New Roman" w:cs="Times New Roman"/>
                <w:color w:val="000000"/>
                <w:szCs w:val="24"/>
                <w:lang w:val="en-IN" w:eastAsia="en-IN"/>
              </w:rPr>
            </w:pPr>
            <w:r w:rsidRPr="00D14FCF">
              <w:rPr>
                <w:rFonts w:eastAsia="Times New Roman" w:cs="Times New Roman"/>
                <w:color w:val="000000"/>
                <w:szCs w:val="24"/>
                <w:lang w:val="en-IN" w:eastAsia="en-IN"/>
              </w:rPr>
              <w:t>2</w:t>
            </w:r>
          </w:p>
        </w:tc>
        <w:tc>
          <w:tcPr>
            <w:tcW w:w="1156" w:type="pct"/>
            <w:noWrap/>
            <w:hideMark/>
          </w:tcPr>
          <w:p w14:paraId="0B3CA434" w14:textId="7012FBC9" w:rsidR="00AE06D9" w:rsidRPr="00D14FCF" w:rsidRDefault="00AE06D9" w:rsidP="00C64B14">
            <w:pPr>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400</w:t>
            </w:r>
            <w:r w:rsidR="006A6756">
              <w:rPr>
                <w:rFonts w:eastAsia="Times New Roman" w:cs="Times New Roman"/>
                <w:color w:val="000000"/>
                <w:szCs w:val="24"/>
                <w:lang w:val="en-IN" w:eastAsia="en-IN"/>
              </w:rPr>
              <w:t>.</w:t>
            </w:r>
            <w:r w:rsidRPr="00D14FCF">
              <w:rPr>
                <w:rFonts w:eastAsia="Times New Roman" w:cs="Times New Roman"/>
                <w:color w:val="000000"/>
                <w:szCs w:val="24"/>
                <w:lang w:val="en-IN" w:eastAsia="en-IN"/>
              </w:rPr>
              <w:t>000</w:t>
            </w:r>
          </w:p>
        </w:tc>
        <w:tc>
          <w:tcPr>
            <w:tcW w:w="1676" w:type="pct"/>
            <w:noWrap/>
            <w:hideMark/>
          </w:tcPr>
          <w:p w14:paraId="3074191C" w14:textId="77777777" w:rsidR="00AE06D9" w:rsidRPr="00D14FCF" w:rsidRDefault="00AE06D9" w:rsidP="00C64B14">
            <w:pPr>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0.890</w:t>
            </w:r>
          </w:p>
        </w:tc>
        <w:tc>
          <w:tcPr>
            <w:tcW w:w="1475" w:type="pct"/>
            <w:noWrap/>
            <w:hideMark/>
          </w:tcPr>
          <w:p w14:paraId="70F4262E" w14:textId="77777777" w:rsidR="00AE06D9" w:rsidRPr="00D14FCF" w:rsidRDefault="00AE06D9" w:rsidP="00C64B14">
            <w:pPr>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355998.576</w:t>
            </w:r>
          </w:p>
        </w:tc>
      </w:tr>
      <w:tr w:rsidR="00AE06D9" w14:paraId="4C446A91" w14:textId="77777777" w:rsidTr="002D76FD">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92" w:type="pct"/>
            <w:noWrap/>
            <w:hideMark/>
          </w:tcPr>
          <w:p w14:paraId="2B1939C3" w14:textId="77777777" w:rsidR="00AE06D9" w:rsidRPr="00D14FCF" w:rsidRDefault="00AE06D9" w:rsidP="00C64B14">
            <w:pPr>
              <w:spacing w:after="0"/>
              <w:jc w:val="center"/>
              <w:rPr>
                <w:rFonts w:eastAsia="Times New Roman" w:cs="Times New Roman"/>
                <w:color w:val="000000"/>
                <w:szCs w:val="24"/>
                <w:lang w:val="en-IN" w:eastAsia="en-IN"/>
              </w:rPr>
            </w:pPr>
            <w:r w:rsidRPr="00D14FCF">
              <w:rPr>
                <w:rFonts w:eastAsia="Times New Roman" w:cs="Times New Roman"/>
                <w:color w:val="000000"/>
                <w:szCs w:val="24"/>
                <w:lang w:val="en-IN" w:eastAsia="en-IN"/>
              </w:rPr>
              <w:t>3</w:t>
            </w:r>
          </w:p>
        </w:tc>
        <w:tc>
          <w:tcPr>
            <w:tcW w:w="1156" w:type="pct"/>
            <w:noWrap/>
            <w:hideMark/>
          </w:tcPr>
          <w:p w14:paraId="01C9B686" w14:textId="252E4DDF" w:rsidR="00AE06D9" w:rsidRPr="00D14FC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450</w:t>
            </w:r>
            <w:r w:rsidR="006A6756">
              <w:rPr>
                <w:rFonts w:eastAsia="Times New Roman" w:cs="Times New Roman"/>
                <w:color w:val="000000"/>
                <w:szCs w:val="24"/>
                <w:lang w:val="en-IN" w:eastAsia="en-IN"/>
              </w:rPr>
              <w:t>.</w:t>
            </w:r>
            <w:r w:rsidRPr="00D14FCF">
              <w:rPr>
                <w:rFonts w:eastAsia="Times New Roman" w:cs="Times New Roman"/>
                <w:color w:val="000000"/>
                <w:szCs w:val="24"/>
                <w:lang w:val="en-IN" w:eastAsia="en-IN"/>
              </w:rPr>
              <w:t>000</w:t>
            </w:r>
          </w:p>
        </w:tc>
        <w:tc>
          <w:tcPr>
            <w:tcW w:w="1676" w:type="pct"/>
            <w:noWrap/>
            <w:hideMark/>
          </w:tcPr>
          <w:p w14:paraId="326BED80" w14:textId="77777777" w:rsidR="00AE06D9" w:rsidRPr="00D14FC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0.840</w:t>
            </w:r>
          </w:p>
        </w:tc>
        <w:tc>
          <w:tcPr>
            <w:tcW w:w="1475" w:type="pct"/>
            <w:noWrap/>
            <w:hideMark/>
          </w:tcPr>
          <w:p w14:paraId="71831187" w14:textId="77777777" w:rsidR="00AE06D9" w:rsidRPr="00D14FC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377828.677</w:t>
            </w:r>
          </w:p>
        </w:tc>
      </w:tr>
      <w:tr w:rsidR="00AE06D9" w14:paraId="3D4157F3" w14:textId="77777777" w:rsidTr="002D76FD">
        <w:trPr>
          <w:trHeight w:val="288"/>
        </w:trPr>
        <w:tc>
          <w:tcPr>
            <w:cnfStyle w:val="001000000000" w:firstRow="0" w:lastRow="0" w:firstColumn="1" w:lastColumn="0" w:oddVBand="0" w:evenVBand="0" w:oddHBand="0" w:evenHBand="0" w:firstRowFirstColumn="0" w:firstRowLastColumn="0" w:lastRowFirstColumn="0" w:lastRowLastColumn="0"/>
            <w:tcW w:w="692" w:type="pct"/>
            <w:noWrap/>
            <w:hideMark/>
          </w:tcPr>
          <w:p w14:paraId="77B926B2" w14:textId="77777777" w:rsidR="00AE06D9" w:rsidRPr="00D14FCF" w:rsidRDefault="00AE06D9" w:rsidP="00C64B14">
            <w:pPr>
              <w:spacing w:after="0"/>
              <w:jc w:val="center"/>
              <w:rPr>
                <w:rFonts w:eastAsia="Times New Roman" w:cs="Times New Roman"/>
                <w:color w:val="000000"/>
                <w:szCs w:val="24"/>
                <w:lang w:val="en-IN" w:eastAsia="en-IN"/>
              </w:rPr>
            </w:pPr>
            <w:r w:rsidRPr="00D14FCF">
              <w:rPr>
                <w:rFonts w:eastAsia="Times New Roman" w:cs="Times New Roman"/>
                <w:color w:val="000000"/>
                <w:szCs w:val="24"/>
                <w:lang w:val="en-IN" w:eastAsia="en-IN"/>
              </w:rPr>
              <w:t>4</w:t>
            </w:r>
          </w:p>
        </w:tc>
        <w:tc>
          <w:tcPr>
            <w:tcW w:w="1156" w:type="pct"/>
            <w:noWrap/>
            <w:hideMark/>
          </w:tcPr>
          <w:p w14:paraId="150E7BB2" w14:textId="2BF4499F" w:rsidR="00AE06D9" w:rsidRPr="00D14FCF" w:rsidRDefault="00AE06D9" w:rsidP="00C64B14">
            <w:pPr>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500</w:t>
            </w:r>
            <w:r w:rsidR="006A6756">
              <w:rPr>
                <w:rFonts w:eastAsia="Times New Roman" w:cs="Times New Roman"/>
                <w:color w:val="000000"/>
                <w:szCs w:val="24"/>
                <w:lang w:val="en-IN" w:eastAsia="en-IN"/>
              </w:rPr>
              <w:t>.</w:t>
            </w:r>
            <w:r w:rsidRPr="00D14FCF">
              <w:rPr>
                <w:rFonts w:eastAsia="Times New Roman" w:cs="Times New Roman"/>
                <w:color w:val="000000"/>
                <w:szCs w:val="24"/>
                <w:lang w:val="en-IN" w:eastAsia="en-IN"/>
              </w:rPr>
              <w:t>000</w:t>
            </w:r>
          </w:p>
        </w:tc>
        <w:tc>
          <w:tcPr>
            <w:tcW w:w="1676" w:type="pct"/>
            <w:noWrap/>
            <w:hideMark/>
          </w:tcPr>
          <w:p w14:paraId="67AC070C" w14:textId="77777777" w:rsidR="00AE06D9" w:rsidRPr="00D14FCF" w:rsidRDefault="00AE06D9" w:rsidP="00C64B14">
            <w:pPr>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0.792</w:t>
            </w:r>
          </w:p>
        </w:tc>
        <w:tc>
          <w:tcPr>
            <w:tcW w:w="1475" w:type="pct"/>
            <w:noWrap/>
            <w:hideMark/>
          </w:tcPr>
          <w:p w14:paraId="4D9737B7" w14:textId="77777777" w:rsidR="00AE06D9" w:rsidRPr="00D14FCF" w:rsidRDefault="00AE06D9" w:rsidP="00C64B14">
            <w:pPr>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396046.832</w:t>
            </w:r>
          </w:p>
        </w:tc>
      </w:tr>
      <w:tr w:rsidR="00AE06D9" w14:paraId="1F1C93AB" w14:textId="77777777" w:rsidTr="002D76FD">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92" w:type="pct"/>
            <w:noWrap/>
            <w:hideMark/>
          </w:tcPr>
          <w:p w14:paraId="0ED7D168" w14:textId="77777777" w:rsidR="00AE06D9" w:rsidRPr="00D14FCF" w:rsidRDefault="00AE06D9" w:rsidP="00C64B14">
            <w:pPr>
              <w:spacing w:after="0"/>
              <w:jc w:val="center"/>
              <w:rPr>
                <w:rFonts w:eastAsia="Times New Roman" w:cs="Times New Roman"/>
                <w:color w:val="000000"/>
                <w:szCs w:val="24"/>
                <w:lang w:val="en-IN" w:eastAsia="en-IN"/>
              </w:rPr>
            </w:pPr>
            <w:r w:rsidRPr="00D14FCF">
              <w:rPr>
                <w:rFonts w:eastAsia="Times New Roman" w:cs="Times New Roman"/>
                <w:color w:val="000000"/>
                <w:szCs w:val="24"/>
                <w:lang w:val="en-IN" w:eastAsia="en-IN"/>
              </w:rPr>
              <w:t> </w:t>
            </w:r>
          </w:p>
        </w:tc>
        <w:tc>
          <w:tcPr>
            <w:tcW w:w="1156" w:type="pct"/>
            <w:noWrap/>
            <w:hideMark/>
          </w:tcPr>
          <w:p w14:paraId="08894B3E" w14:textId="77777777" w:rsidR="00AE06D9" w:rsidRPr="00D14FC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 </w:t>
            </w:r>
          </w:p>
        </w:tc>
        <w:tc>
          <w:tcPr>
            <w:tcW w:w="1676" w:type="pct"/>
            <w:noWrap/>
            <w:hideMark/>
          </w:tcPr>
          <w:p w14:paraId="16182F71" w14:textId="77777777" w:rsidR="00AE06D9" w:rsidRPr="00D14FC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 </w:t>
            </w:r>
          </w:p>
        </w:tc>
        <w:tc>
          <w:tcPr>
            <w:tcW w:w="1475" w:type="pct"/>
            <w:noWrap/>
            <w:hideMark/>
          </w:tcPr>
          <w:p w14:paraId="38E0B215" w14:textId="77777777" w:rsidR="00AE06D9" w:rsidRPr="00D14FC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 </w:t>
            </w:r>
          </w:p>
        </w:tc>
      </w:tr>
      <w:tr w:rsidR="00AE06D9" w14:paraId="644B1FF0" w14:textId="77777777" w:rsidTr="002D76FD">
        <w:trPr>
          <w:trHeight w:val="288"/>
        </w:trPr>
        <w:tc>
          <w:tcPr>
            <w:cnfStyle w:val="001000000000" w:firstRow="0" w:lastRow="0" w:firstColumn="1" w:lastColumn="0" w:oddVBand="0" w:evenVBand="0" w:oddHBand="0" w:evenHBand="0" w:firstRowFirstColumn="0" w:firstRowLastColumn="0" w:lastRowFirstColumn="0" w:lastRowLastColumn="0"/>
            <w:tcW w:w="3525" w:type="pct"/>
            <w:gridSpan w:val="3"/>
            <w:noWrap/>
            <w:hideMark/>
          </w:tcPr>
          <w:p w14:paraId="2659B7E7" w14:textId="77777777" w:rsidR="00AE06D9" w:rsidRPr="00D14FCF" w:rsidRDefault="00AE06D9" w:rsidP="00C64B14">
            <w:pPr>
              <w:spacing w:after="0"/>
              <w:jc w:val="center"/>
              <w:rPr>
                <w:rFonts w:eastAsia="Times New Roman" w:cs="Times New Roman"/>
                <w:b w:val="0"/>
                <w:bCs w:val="0"/>
                <w:color w:val="000000"/>
                <w:szCs w:val="24"/>
                <w:lang w:val="en-IN" w:eastAsia="en-IN"/>
              </w:rPr>
            </w:pPr>
            <w:r w:rsidRPr="00D14FCF">
              <w:rPr>
                <w:rFonts w:eastAsia="Times New Roman" w:cs="Times New Roman"/>
                <w:color w:val="000000"/>
                <w:szCs w:val="24"/>
                <w:lang w:val="en-IN" w:eastAsia="en-IN"/>
              </w:rPr>
              <w:t xml:space="preserve">Net Present Value </w:t>
            </w:r>
          </w:p>
        </w:tc>
        <w:tc>
          <w:tcPr>
            <w:tcW w:w="1475" w:type="pct"/>
            <w:noWrap/>
            <w:hideMark/>
          </w:tcPr>
          <w:p w14:paraId="5AF0D5E9" w14:textId="33A62E07" w:rsidR="00AE06D9" w:rsidRPr="00D14FCF" w:rsidRDefault="007E67C6" w:rsidP="00C64B14">
            <w:pPr>
              <w:keepNext/>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val="en-IN" w:eastAsia="en-IN"/>
              </w:rPr>
            </w:pPr>
            <w:r>
              <w:rPr>
                <w:rFonts w:eastAsia="Times New Roman" w:cs="Times New Roman"/>
                <w:b/>
                <w:bCs/>
                <w:color w:val="000000"/>
                <w:szCs w:val="24"/>
                <w:lang w:val="en-IN" w:eastAsia="en-IN"/>
              </w:rPr>
              <w:t>20</w:t>
            </w:r>
            <w:r w:rsidR="00A31750">
              <w:rPr>
                <w:rFonts w:eastAsia="Times New Roman" w:cs="Times New Roman"/>
                <w:b/>
                <w:bCs/>
                <w:color w:val="000000"/>
                <w:szCs w:val="24"/>
                <w:lang w:val="en-IN" w:eastAsia="en-IN"/>
              </w:rPr>
              <w:t>72892.953</w:t>
            </w:r>
          </w:p>
        </w:tc>
      </w:tr>
    </w:tbl>
    <w:p w14:paraId="3115214A" w14:textId="1C9D1623" w:rsidR="00AE06D9" w:rsidRDefault="00AE06D9" w:rsidP="00AE06D9">
      <w:pPr>
        <w:pStyle w:val="Caption"/>
      </w:pPr>
      <w:r w:rsidRPr="00D14FCF">
        <w:t xml:space="preserve">Table </w:t>
      </w:r>
      <w:r w:rsidRPr="00D14FCF">
        <w:fldChar w:fldCharType="begin"/>
      </w:r>
      <w:r>
        <w:instrText xml:space="preserve"> SEQ Table \* ARABIC </w:instrText>
      </w:r>
      <w:r w:rsidRPr="00D14FCF">
        <w:fldChar w:fldCharType="separate"/>
      </w:r>
      <w:r w:rsidR="000E57E8">
        <w:rPr>
          <w:noProof/>
        </w:rPr>
        <w:t>2</w:t>
      </w:r>
      <w:r w:rsidRPr="00D14FCF">
        <w:rPr>
          <w:noProof/>
        </w:rPr>
        <w:fldChar w:fldCharType="end"/>
      </w:r>
      <w:r w:rsidRPr="00D14FCF">
        <w:t xml:space="preserve"> – NPV of Investment A</w:t>
      </w:r>
    </w:p>
    <w:p w14:paraId="372455F3" w14:textId="77777777" w:rsidR="00ED745F" w:rsidRDefault="00ED745F" w:rsidP="00ED745F"/>
    <w:p w14:paraId="55DDDB7E" w14:textId="77777777" w:rsidR="00ED745F" w:rsidRPr="00ED745F" w:rsidRDefault="00ED745F" w:rsidP="00ED745F"/>
    <w:tbl>
      <w:tblPr>
        <w:tblStyle w:val="ListTable3-Accent5"/>
        <w:tblW w:w="5000" w:type="pct"/>
        <w:tblLook w:val="04A0" w:firstRow="1" w:lastRow="0" w:firstColumn="1" w:lastColumn="0" w:noHBand="0" w:noVBand="1"/>
      </w:tblPr>
      <w:tblGrid>
        <w:gridCol w:w="1248"/>
        <w:gridCol w:w="2086"/>
        <w:gridCol w:w="3026"/>
        <w:gridCol w:w="2661"/>
      </w:tblGrid>
      <w:tr w:rsidR="00AE06D9" w14:paraId="4212A804" w14:textId="77777777" w:rsidTr="002D76FD">
        <w:trPr>
          <w:cnfStyle w:val="100000000000" w:firstRow="1" w:lastRow="0" w:firstColumn="0" w:lastColumn="0" w:oddVBand="0" w:evenVBand="0" w:oddHBand="0" w:evenHBand="0" w:firstRowFirstColumn="0" w:firstRowLastColumn="0" w:lastRowFirstColumn="0" w:lastRowLastColumn="0"/>
          <w:trHeight w:val="288"/>
        </w:trPr>
        <w:tc>
          <w:tcPr>
            <w:cnfStyle w:val="001000000100" w:firstRow="0" w:lastRow="0" w:firstColumn="1" w:lastColumn="0" w:oddVBand="0" w:evenVBand="0" w:oddHBand="0" w:evenHBand="0" w:firstRowFirstColumn="1" w:firstRowLastColumn="0" w:lastRowFirstColumn="0" w:lastRowLastColumn="0"/>
            <w:tcW w:w="5000" w:type="pct"/>
            <w:gridSpan w:val="4"/>
            <w:noWrap/>
            <w:hideMark/>
          </w:tcPr>
          <w:p w14:paraId="12AAEB54" w14:textId="77777777" w:rsidR="00AE06D9" w:rsidRPr="00D14FCF" w:rsidRDefault="00AE06D9" w:rsidP="00C64B14">
            <w:pPr>
              <w:spacing w:after="0"/>
              <w:jc w:val="center"/>
              <w:rPr>
                <w:rFonts w:eastAsia="Times New Roman" w:cs="Times New Roman"/>
                <w:b w:val="0"/>
                <w:bCs w:val="0"/>
                <w:color w:val="000000"/>
                <w:szCs w:val="24"/>
                <w:lang w:val="en-IN" w:eastAsia="en-IN"/>
              </w:rPr>
            </w:pPr>
            <w:r w:rsidRPr="00D14FCF">
              <w:rPr>
                <w:rFonts w:eastAsia="Times New Roman" w:cs="Times New Roman"/>
                <w:color w:val="000000"/>
                <w:szCs w:val="24"/>
                <w:lang w:val="en-IN" w:eastAsia="en-IN"/>
              </w:rPr>
              <w:t>N</w:t>
            </w:r>
            <w:r>
              <w:rPr>
                <w:rFonts w:eastAsia="Times New Roman" w:cs="Times New Roman"/>
                <w:color w:val="000000"/>
                <w:szCs w:val="24"/>
                <w:lang w:val="en-IN" w:eastAsia="en-IN"/>
              </w:rPr>
              <w:t xml:space="preserve">PV </w:t>
            </w:r>
            <w:r w:rsidRPr="00D14FCF">
              <w:rPr>
                <w:rFonts w:eastAsia="Times New Roman" w:cs="Times New Roman"/>
                <w:color w:val="000000"/>
                <w:szCs w:val="24"/>
                <w:lang w:val="en-IN" w:eastAsia="en-IN"/>
              </w:rPr>
              <w:t xml:space="preserve">of </w:t>
            </w:r>
            <w:r>
              <w:rPr>
                <w:rFonts w:eastAsia="Times New Roman" w:cs="Times New Roman"/>
                <w:color w:val="000000"/>
                <w:szCs w:val="24"/>
                <w:lang w:val="en-IN" w:eastAsia="en-IN"/>
              </w:rPr>
              <w:t xml:space="preserve">plan </w:t>
            </w:r>
            <w:r w:rsidRPr="00D14FCF">
              <w:rPr>
                <w:rFonts w:eastAsia="Times New Roman" w:cs="Times New Roman"/>
                <w:color w:val="000000"/>
                <w:szCs w:val="24"/>
                <w:lang w:val="en-IN" w:eastAsia="en-IN"/>
              </w:rPr>
              <w:t>B</w:t>
            </w:r>
          </w:p>
        </w:tc>
      </w:tr>
      <w:tr w:rsidR="00AE06D9" w14:paraId="6A326A3D" w14:textId="77777777" w:rsidTr="002D76FD">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92" w:type="pct"/>
            <w:noWrap/>
            <w:hideMark/>
          </w:tcPr>
          <w:p w14:paraId="60C48BA0" w14:textId="77777777" w:rsidR="00AE06D9" w:rsidRPr="00D14FCF" w:rsidRDefault="00AE06D9" w:rsidP="00C64B14">
            <w:pPr>
              <w:spacing w:after="0"/>
              <w:jc w:val="center"/>
              <w:rPr>
                <w:rFonts w:eastAsia="Times New Roman" w:cs="Times New Roman"/>
                <w:b w:val="0"/>
                <w:bCs w:val="0"/>
                <w:color w:val="000000"/>
                <w:szCs w:val="24"/>
                <w:lang w:val="en-IN" w:eastAsia="en-IN"/>
              </w:rPr>
            </w:pPr>
            <w:r w:rsidRPr="00D14FCF">
              <w:rPr>
                <w:rFonts w:eastAsia="Times New Roman" w:cs="Times New Roman"/>
                <w:color w:val="000000"/>
                <w:szCs w:val="24"/>
                <w:lang w:val="en-IN" w:eastAsia="en-IN"/>
              </w:rPr>
              <w:t xml:space="preserve">Period </w:t>
            </w:r>
          </w:p>
        </w:tc>
        <w:tc>
          <w:tcPr>
            <w:tcW w:w="1156" w:type="pct"/>
            <w:noWrap/>
            <w:hideMark/>
          </w:tcPr>
          <w:p w14:paraId="6F2D61B9" w14:textId="77777777" w:rsidR="00AE06D9" w:rsidRPr="00D14FC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val="en-IN" w:eastAsia="en-IN"/>
              </w:rPr>
            </w:pPr>
            <w:r w:rsidRPr="00D14FCF">
              <w:rPr>
                <w:rFonts w:eastAsia="Times New Roman" w:cs="Times New Roman"/>
                <w:b/>
                <w:bCs/>
                <w:color w:val="000000"/>
                <w:szCs w:val="24"/>
                <w:lang w:val="en-IN" w:eastAsia="en-IN"/>
              </w:rPr>
              <w:t>Cashflows (£)</w:t>
            </w:r>
          </w:p>
        </w:tc>
        <w:tc>
          <w:tcPr>
            <w:tcW w:w="1676" w:type="pct"/>
            <w:noWrap/>
            <w:hideMark/>
          </w:tcPr>
          <w:p w14:paraId="3B0AE5ED" w14:textId="77777777" w:rsidR="00AE06D9" w:rsidRPr="00D14FC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val="en-IN" w:eastAsia="en-IN"/>
              </w:rPr>
            </w:pPr>
            <w:r w:rsidRPr="00D14FCF">
              <w:rPr>
                <w:rFonts w:eastAsia="Times New Roman" w:cs="Times New Roman"/>
                <w:b/>
                <w:bCs/>
                <w:color w:val="000000"/>
                <w:szCs w:val="24"/>
                <w:lang w:val="en-IN" w:eastAsia="en-IN"/>
              </w:rPr>
              <w:t xml:space="preserve">Rate of Discounting </w:t>
            </w:r>
          </w:p>
        </w:tc>
        <w:tc>
          <w:tcPr>
            <w:tcW w:w="1475" w:type="pct"/>
            <w:noWrap/>
            <w:hideMark/>
          </w:tcPr>
          <w:p w14:paraId="2C238858" w14:textId="77777777" w:rsidR="00AE06D9" w:rsidRPr="00D14FC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val="en-IN" w:eastAsia="en-IN"/>
              </w:rPr>
            </w:pPr>
            <w:r w:rsidRPr="00D14FCF">
              <w:rPr>
                <w:rFonts w:eastAsia="Times New Roman" w:cs="Times New Roman"/>
                <w:b/>
                <w:bCs/>
                <w:color w:val="000000"/>
                <w:szCs w:val="24"/>
                <w:lang w:val="en-IN" w:eastAsia="en-IN"/>
              </w:rPr>
              <w:t>Present Value (£)</w:t>
            </w:r>
          </w:p>
        </w:tc>
      </w:tr>
      <w:tr w:rsidR="00AE06D9" w14:paraId="12FCF018" w14:textId="77777777" w:rsidTr="002D76FD">
        <w:trPr>
          <w:trHeight w:val="288"/>
        </w:trPr>
        <w:tc>
          <w:tcPr>
            <w:cnfStyle w:val="001000000000" w:firstRow="0" w:lastRow="0" w:firstColumn="1" w:lastColumn="0" w:oddVBand="0" w:evenVBand="0" w:oddHBand="0" w:evenHBand="0" w:firstRowFirstColumn="0" w:firstRowLastColumn="0" w:lastRowFirstColumn="0" w:lastRowLastColumn="0"/>
            <w:tcW w:w="692" w:type="pct"/>
            <w:noWrap/>
            <w:hideMark/>
          </w:tcPr>
          <w:p w14:paraId="2B2290EF" w14:textId="77777777" w:rsidR="00AE06D9" w:rsidRPr="00D14FCF" w:rsidRDefault="00AE06D9" w:rsidP="00C64B14">
            <w:pPr>
              <w:spacing w:after="0"/>
              <w:jc w:val="center"/>
              <w:rPr>
                <w:rFonts w:eastAsia="Times New Roman" w:cs="Times New Roman"/>
                <w:color w:val="000000"/>
                <w:szCs w:val="24"/>
                <w:lang w:val="en-IN" w:eastAsia="en-IN"/>
              </w:rPr>
            </w:pPr>
            <w:r w:rsidRPr="00D14FCF">
              <w:rPr>
                <w:rFonts w:eastAsia="Times New Roman" w:cs="Times New Roman"/>
                <w:color w:val="000000"/>
                <w:szCs w:val="24"/>
                <w:lang w:val="en-IN" w:eastAsia="en-IN"/>
              </w:rPr>
              <w:t>0</w:t>
            </w:r>
          </w:p>
        </w:tc>
        <w:tc>
          <w:tcPr>
            <w:tcW w:w="1156" w:type="pct"/>
            <w:noWrap/>
            <w:hideMark/>
          </w:tcPr>
          <w:p w14:paraId="681EF471" w14:textId="38BA0BBE" w:rsidR="00AE06D9" w:rsidRPr="00D14FCF" w:rsidRDefault="00AE06D9" w:rsidP="00C64B14">
            <w:pPr>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-1</w:t>
            </w:r>
            <w:r w:rsidR="006A6756">
              <w:rPr>
                <w:rFonts w:eastAsia="Times New Roman" w:cs="Times New Roman"/>
                <w:color w:val="000000"/>
                <w:szCs w:val="24"/>
                <w:lang w:val="en-IN" w:eastAsia="en-IN"/>
              </w:rPr>
              <w:t>.</w:t>
            </w:r>
            <w:r w:rsidRPr="00D14FCF">
              <w:rPr>
                <w:rFonts w:eastAsia="Times New Roman" w:cs="Times New Roman"/>
                <w:color w:val="000000"/>
                <w:szCs w:val="24"/>
                <w:lang w:val="en-IN" w:eastAsia="en-IN"/>
              </w:rPr>
              <w:t>000</w:t>
            </w:r>
            <w:r w:rsidR="006A6756">
              <w:rPr>
                <w:rFonts w:eastAsia="Times New Roman" w:cs="Times New Roman"/>
                <w:color w:val="000000"/>
                <w:szCs w:val="24"/>
                <w:lang w:val="en-IN" w:eastAsia="en-IN"/>
              </w:rPr>
              <w:t>.</w:t>
            </w:r>
            <w:r w:rsidRPr="00D14FCF">
              <w:rPr>
                <w:rFonts w:eastAsia="Times New Roman" w:cs="Times New Roman"/>
                <w:color w:val="000000"/>
                <w:szCs w:val="24"/>
                <w:lang w:val="en-IN" w:eastAsia="en-IN"/>
              </w:rPr>
              <w:t>000</w:t>
            </w:r>
          </w:p>
        </w:tc>
        <w:tc>
          <w:tcPr>
            <w:tcW w:w="1676" w:type="pct"/>
            <w:noWrap/>
            <w:hideMark/>
          </w:tcPr>
          <w:p w14:paraId="0694882B" w14:textId="77777777" w:rsidR="00AE06D9" w:rsidRPr="00D14FCF" w:rsidRDefault="00AE06D9" w:rsidP="00C64B14">
            <w:pPr>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1.000</w:t>
            </w:r>
          </w:p>
        </w:tc>
        <w:tc>
          <w:tcPr>
            <w:tcW w:w="1475" w:type="pct"/>
            <w:noWrap/>
            <w:hideMark/>
          </w:tcPr>
          <w:p w14:paraId="0B38896E" w14:textId="77777777" w:rsidR="00AE06D9" w:rsidRPr="00D14FCF" w:rsidRDefault="00AE06D9" w:rsidP="00C64B14">
            <w:pPr>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-1000000.000</w:t>
            </w:r>
          </w:p>
        </w:tc>
      </w:tr>
      <w:tr w:rsidR="00AE06D9" w14:paraId="6201581E" w14:textId="77777777" w:rsidTr="002D76FD">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92" w:type="pct"/>
            <w:noWrap/>
            <w:hideMark/>
          </w:tcPr>
          <w:p w14:paraId="0C9385DD" w14:textId="77777777" w:rsidR="00AE06D9" w:rsidRPr="00D14FCF" w:rsidRDefault="00AE06D9" w:rsidP="00C64B14">
            <w:pPr>
              <w:spacing w:after="0"/>
              <w:jc w:val="center"/>
              <w:rPr>
                <w:rFonts w:eastAsia="Times New Roman" w:cs="Times New Roman"/>
                <w:color w:val="000000"/>
                <w:szCs w:val="24"/>
                <w:lang w:val="en-IN" w:eastAsia="en-IN"/>
              </w:rPr>
            </w:pPr>
            <w:r w:rsidRPr="00D14FCF">
              <w:rPr>
                <w:rFonts w:eastAsia="Times New Roman" w:cs="Times New Roman"/>
                <w:color w:val="000000"/>
                <w:szCs w:val="24"/>
                <w:lang w:val="en-IN" w:eastAsia="en-IN"/>
              </w:rPr>
              <w:t>1</w:t>
            </w:r>
          </w:p>
        </w:tc>
        <w:tc>
          <w:tcPr>
            <w:tcW w:w="1156" w:type="pct"/>
            <w:noWrap/>
            <w:hideMark/>
          </w:tcPr>
          <w:p w14:paraId="12832B28" w14:textId="52E8528B" w:rsidR="00AE06D9" w:rsidRPr="00D14FC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500</w:t>
            </w:r>
            <w:r w:rsidR="006A6756">
              <w:rPr>
                <w:rFonts w:eastAsia="Times New Roman" w:cs="Times New Roman"/>
                <w:color w:val="000000"/>
                <w:szCs w:val="24"/>
                <w:lang w:val="en-IN" w:eastAsia="en-IN"/>
              </w:rPr>
              <w:t>.</w:t>
            </w:r>
            <w:r w:rsidRPr="00D14FCF">
              <w:rPr>
                <w:rFonts w:eastAsia="Times New Roman" w:cs="Times New Roman"/>
                <w:color w:val="000000"/>
                <w:szCs w:val="24"/>
                <w:lang w:val="en-IN" w:eastAsia="en-IN"/>
              </w:rPr>
              <w:t>000</w:t>
            </w:r>
          </w:p>
        </w:tc>
        <w:tc>
          <w:tcPr>
            <w:tcW w:w="1676" w:type="pct"/>
            <w:noWrap/>
            <w:hideMark/>
          </w:tcPr>
          <w:p w14:paraId="4D1B5607" w14:textId="77777777" w:rsidR="00AE06D9" w:rsidRPr="00D14FC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0.943</w:t>
            </w:r>
          </w:p>
        </w:tc>
        <w:tc>
          <w:tcPr>
            <w:tcW w:w="1475" w:type="pct"/>
            <w:noWrap/>
            <w:hideMark/>
          </w:tcPr>
          <w:p w14:paraId="2CC022BC" w14:textId="77777777" w:rsidR="00AE06D9" w:rsidRPr="00D14FC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471698.113</w:t>
            </w:r>
          </w:p>
        </w:tc>
      </w:tr>
      <w:tr w:rsidR="00AE06D9" w14:paraId="1347B26C" w14:textId="77777777" w:rsidTr="002D76FD">
        <w:trPr>
          <w:trHeight w:val="288"/>
        </w:trPr>
        <w:tc>
          <w:tcPr>
            <w:cnfStyle w:val="001000000000" w:firstRow="0" w:lastRow="0" w:firstColumn="1" w:lastColumn="0" w:oddVBand="0" w:evenVBand="0" w:oddHBand="0" w:evenHBand="0" w:firstRowFirstColumn="0" w:firstRowLastColumn="0" w:lastRowFirstColumn="0" w:lastRowLastColumn="0"/>
            <w:tcW w:w="692" w:type="pct"/>
            <w:noWrap/>
            <w:hideMark/>
          </w:tcPr>
          <w:p w14:paraId="689E5E39" w14:textId="77777777" w:rsidR="00AE06D9" w:rsidRPr="00D14FCF" w:rsidRDefault="00AE06D9" w:rsidP="00C64B14">
            <w:pPr>
              <w:spacing w:after="0"/>
              <w:jc w:val="center"/>
              <w:rPr>
                <w:rFonts w:eastAsia="Times New Roman" w:cs="Times New Roman"/>
                <w:color w:val="000000"/>
                <w:szCs w:val="24"/>
                <w:lang w:val="en-IN" w:eastAsia="en-IN"/>
              </w:rPr>
            </w:pPr>
            <w:r w:rsidRPr="00D14FCF">
              <w:rPr>
                <w:rFonts w:eastAsia="Times New Roman" w:cs="Times New Roman"/>
                <w:color w:val="000000"/>
                <w:szCs w:val="24"/>
                <w:lang w:val="en-IN" w:eastAsia="en-IN"/>
              </w:rPr>
              <w:t>2</w:t>
            </w:r>
          </w:p>
        </w:tc>
        <w:tc>
          <w:tcPr>
            <w:tcW w:w="1156" w:type="pct"/>
            <w:noWrap/>
            <w:hideMark/>
          </w:tcPr>
          <w:p w14:paraId="1E919D0E" w14:textId="4279A822" w:rsidR="00AE06D9" w:rsidRPr="00D14FCF" w:rsidRDefault="00AE06D9" w:rsidP="00C64B14">
            <w:pPr>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550</w:t>
            </w:r>
            <w:r w:rsidR="006A6756">
              <w:rPr>
                <w:rFonts w:eastAsia="Times New Roman" w:cs="Times New Roman"/>
                <w:color w:val="000000"/>
                <w:szCs w:val="24"/>
                <w:lang w:val="en-IN" w:eastAsia="en-IN"/>
              </w:rPr>
              <w:t>.</w:t>
            </w:r>
            <w:r w:rsidRPr="00D14FCF">
              <w:rPr>
                <w:rFonts w:eastAsia="Times New Roman" w:cs="Times New Roman"/>
                <w:color w:val="000000"/>
                <w:szCs w:val="24"/>
                <w:lang w:val="en-IN" w:eastAsia="en-IN"/>
              </w:rPr>
              <w:t>000</w:t>
            </w:r>
          </w:p>
        </w:tc>
        <w:tc>
          <w:tcPr>
            <w:tcW w:w="1676" w:type="pct"/>
            <w:noWrap/>
            <w:hideMark/>
          </w:tcPr>
          <w:p w14:paraId="5342EE96" w14:textId="77777777" w:rsidR="00AE06D9" w:rsidRPr="00D14FCF" w:rsidRDefault="00AE06D9" w:rsidP="00C64B14">
            <w:pPr>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0.890</w:t>
            </w:r>
          </w:p>
        </w:tc>
        <w:tc>
          <w:tcPr>
            <w:tcW w:w="1475" w:type="pct"/>
            <w:noWrap/>
            <w:hideMark/>
          </w:tcPr>
          <w:p w14:paraId="49C7DBCA" w14:textId="77777777" w:rsidR="00AE06D9" w:rsidRPr="00D14FCF" w:rsidRDefault="00AE06D9" w:rsidP="00C64B14">
            <w:pPr>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489498.042</w:t>
            </w:r>
          </w:p>
        </w:tc>
      </w:tr>
      <w:tr w:rsidR="00AE06D9" w14:paraId="14C6BE8A" w14:textId="77777777" w:rsidTr="002D76FD">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92" w:type="pct"/>
            <w:noWrap/>
            <w:hideMark/>
          </w:tcPr>
          <w:p w14:paraId="40948B23" w14:textId="77777777" w:rsidR="00AE06D9" w:rsidRPr="00D14FCF" w:rsidRDefault="00AE06D9" w:rsidP="00C64B14">
            <w:pPr>
              <w:spacing w:after="0"/>
              <w:jc w:val="center"/>
              <w:rPr>
                <w:rFonts w:eastAsia="Times New Roman" w:cs="Times New Roman"/>
                <w:color w:val="000000"/>
                <w:szCs w:val="24"/>
                <w:lang w:val="en-IN" w:eastAsia="en-IN"/>
              </w:rPr>
            </w:pPr>
            <w:r w:rsidRPr="00D14FCF">
              <w:rPr>
                <w:rFonts w:eastAsia="Times New Roman" w:cs="Times New Roman"/>
                <w:color w:val="000000"/>
                <w:szCs w:val="24"/>
                <w:lang w:val="en-IN" w:eastAsia="en-IN"/>
              </w:rPr>
              <w:t>3</w:t>
            </w:r>
          </w:p>
        </w:tc>
        <w:tc>
          <w:tcPr>
            <w:tcW w:w="1156" w:type="pct"/>
            <w:noWrap/>
            <w:hideMark/>
          </w:tcPr>
          <w:p w14:paraId="1DAA9682" w14:textId="08E9B5FA" w:rsidR="00AE06D9" w:rsidRPr="00D14FC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700</w:t>
            </w:r>
            <w:r w:rsidR="006A6756">
              <w:rPr>
                <w:rFonts w:eastAsia="Times New Roman" w:cs="Times New Roman"/>
                <w:color w:val="000000"/>
                <w:szCs w:val="24"/>
                <w:lang w:val="en-IN" w:eastAsia="en-IN"/>
              </w:rPr>
              <w:t>.</w:t>
            </w:r>
            <w:r w:rsidRPr="00D14FCF">
              <w:rPr>
                <w:rFonts w:eastAsia="Times New Roman" w:cs="Times New Roman"/>
                <w:color w:val="000000"/>
                <w:szCs w:val="24"/>
                <w:lang w:val="en-IN" w:eastAsia="en-IN"/>
              </w:rPr>
              <w:t>000</w:t>
            </w:r>
          </w:p>
        </w:tc>
        <w:tc>
          <w:tcPr>
            <w:tcW w:w="1676" w:type="pct"/>
            <w:noWrap/>
            <w:hideMark/>
          </w:tcPr>
          <w:p w14:paraId="345CB612" w14:textId="77777777" w:rsidR="00AE06D9" w:rsidRPr="00D14FC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0.840</w:t>
            </w:r>
          </w:p>
        </w:tc>
        <w:tc>
          <w:tcPr>
            <w:tcW w:w="1475" w:type="pct"/>
            <w:noWrap/>
            <w:hideMark/>
          </w:tcPr>
          <w:p w14:paraId="63C196E5" w14:textId="77777777" w:rsidR="00AE06D9" w:rsidRPr="00D14FC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587733.498</w:t>
            </w:r>
          </w:p>
        </w:tc>
      </w:tr>
      <w:tr w:rsidR="00AE06D9" w14:paraId="137D5390" w14:textId="77777777" w:rsidTr="002D76FD">
        <w:trPr>
          <w:trHeight w:val="288"/>
        </w:trPr>
        <w:tc>
          <w:tcPr>
            <w:cnfStyle w:val="001000000000" w:firstRow="0" w:lastRow="0" w:firstColumn="1" w:lastColumn="0" w:oddVBand="0" w:evenVBand="0" w:oddHBand="0" w:evenHBand="0" w:firstRowFirstColumn="0" w:firstRowLastColumn="0" w:lastRowFirstColumn="0" w:lastRowLastColumn="0"/>
            <w:tcW w:w="692" w:type="pct"/>
            <w:noWrap/>
            <w:hideMark/>
          </w:tcPr>
          <w:p w14:paraId="27886477" w14:textId="77777777" w:rsidR="00AE06D9" w:rsidRPr="00D14FCF" w:rsidRDefault="00AE06D9" w:rsidP="00C64B14">
            <w:pPr>
              <w:spacing w:after="0"/>
              <w:jc w:val="center"/>
              <w:rPr>
                <w:rFonts w:eastAsia="Times New Roman" w:cs="Times New Roman"/>
                <w:color w:val="000000"/>
                <w:szCs w:val="24"/>
                <w:lang w:val="en-IN" w:eastAsia="en-IN"/>
              </w:rPr>
            </w:pPr>
            <w:r w:rsidRPr="00D14FCF">
              <w:rPr>
                <w:rFonts w:eastAsia="Times New Roman" w:cs="Times New Roman"/>
                <w:color w:val="000000"/>
                <w:szCs w:val="24"/>
                <w:lang w:val="en-IN" w:eastAsia="en-IN"/>
              </w:rPr>
              <w:t>4</w:t>
            </w:r>
          </w:p>
        </w:tc>
        <w:tc>
          <w:tcPr>
            <w:tcW w:w="1156" w:type="pct"/>
            <w:noWrap/>
            <w:hideMark/>
          </w:tcPr>
          <w:p w14:paraId="3682E2C7" w14:textId="05C56E85" w:rsidR="00AE06D9" w:rsidRPr="00D14FCF" w:rsidRDefault="00AE06D9" w:rsidP="00C64B14">
            <w:pPr>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950</w:t>
            </w:r>
            <w:r w:rsidR="006A6756">
              <w:rPr>
                <w:rFonts w:eastAsia="Times New Roman" w:cs="Times New Roman"/>
                <w:color w:val="000000"/>
                <w:szCs w:val="24"/>
                <w:lang w:val="en-IN" w:eastAsia="en-IN"/>
              </w:rPr>
              <w:t>.</w:t>
            </w:r>
            <w:r w:rsidRPr="00D14FCF">
              <w:rPr>
                <w:rFonts w:eastAsia="Times New Roman" w:cs="Times New Roman"/>
                <w:color w:val="000000"/>
                <w:szCs w:val="24"/>
                <w:lang w:val="en-IN" w:eastAsia="en-IN"/>
              </w:rPr>
              <w:t>000</w:t>
            </w:r>
          </w:p>
        </w:tc>
        <w:tc>
          <w:tcPr>
            <w:tcW w:w="1676" w:type="pct"/>
            <w:noWrap/>
            <w:hideMark/>
          </w:tcPr>
          <w:p w14:paraId="5642B2F3" w14:textId="77777777" w:rsidR="00AE06D9" w:rsidRPr="00D14FCF" w:rsidRDefault="00AE06D9" w:rsidP="00C64B14">
            <w:pPr>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0.792</w:t>
            </w:r>
          </w:p>
        </w:tc>
        <w:tc>
          <w:tcPr>
            <w:tcW w:w="1475" w:type="pct"/>
            <w:noWrap/>
            <w:hideMark/>
          </w:tcPr>
          <w:p w14:paraId="57D7F921" w14:textId="77777777" w:rsidR="00AE06D9" w:rsidRPr="00D14FCF" w:rsidRDefault="00AE06D9" w:rsidP="00C64B14">
            <w:pPr>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752488.980</w:t>
            </w:r>
          </w:p>
        </w:tc>
      </w:tr>
      <w:tr w:rsidR="00AE06D9" w14:paraId="7BE1FFE1" w14:textId="77777777" w:rsidTr="002D76FD">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92" w:type="pct"/>
            <w:noWrap/>
            <w:hideMark/>
          </w:tcPr>
          <w:p w14:paraId="49FB765B" w14:textId="77777777" w:rsidR="00AE06D9" w:rsidRPr="00D14FCF" w:rsidRDefault="00AE06D9" w:rsidP="00C64B14">
            <w:pPr>
              <w:spacing w:after="0"/>
              <w:jc w:val="center"/>
              <w:rPr>
                <w:rFonts w:eastAsia="Times New Roman" w:cs="Times New Roman"/>
                <w:color w:val="000000"/>
                <w:szCs w:val="24"/>
                <w:lang w:val="en-IN" w:eastAsia="en-IN"/>
              </w:rPr>
            </w:pPr>
            <w:r w:rsidRPr="00D14FCF">
              <w:rPr>
                <w:rFonts w:eastAsia="Times New Roman" w:cs="Times New Roman"/>
                <w:color w:val="000000"/>
                <w:szCs w:val="24"/>
                <w:lang w:val="en-IN" w:eastAsia="en-IN"/>
              </w:rPr>
              <w:t> </w:t>
            </w:r>
          </w:p>
        </w:tc>
        <w:tc>
          <w:tcPr>
            <w:tcW w:w="1156" w:type="pct"/>
            <w:noWrap/>
            <w:hideMark/>
          </w:tcPr>
          <w:p w14:paraId="4EF85FFE" w14:textId="77777777" w:rsidR="00AE06D9" w:rsidRPr="00D14FC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 </w:t>
            </w:r>
          </w:p>
        </w:tc>
        <w:tc>
          <w:tcPr>
            <w:tcW w:w="1676" w:type="pct"/>
            <w:noWrap/>
            <w:hideMark/>
          </w:tcPr>
          <w:p w14:paraId="2987726F" w14:textId="77777777" w:rsidR="00AE06D9" w:rsidRPr="00D14FC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 </w:t>
            </w:r>
          </w:p>
        </w:tc>
        <w:tc>
          <w:tcPr>
            <w:tcW w:w="1475" w:type="pct"/>
            <w:noWrap/>
            <w:hideMark/>
          </w:tcPr>
          <w:p w14:paraId="4C3DDA06" w14:textId="77777777" w:rsidR="00AE06D9" w:rsidRPr="00D14FC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 </w:t>
            </w:r>
          </w:p>
        </w:tc>
      </w:tr>
      <w:tr w:rsidR="00AE06D9" w14:paraId="5EF2B314" w14:textId="77777777" w:rsidTr="002D76FD">
        <w:trPr>
          <w:trHeight w:val="288"/>
        </w:trPr>
        <w:tc>
          <w:tcPr>
            <w:cnfStyle w:val="001000000000" w:firstRow="0" w:lastRow="0" w:firstColumn="1" w:lastColumn="0" w:oddVBand="0" w:evenVBand="0" w:oddHBand="0" w:evenHBand="0" w:firstRowFirstColumn="0" w:firstRowLastColumn="0" w:lastRowFirstColumn="0" w:lastRowLastColumn="0"/>
            <w:tcW w:w="3525" w:type="pct"/>
            <w:gridSpan w:val="3"/>
            <w:noWrap/>
            <w:hideMark/>
          </w:tcPr>
          <w:p w14:paraId="28224391" w14:textId="77777777" w:rsidR="00AE06D9" w:rsidRPr="00D14FCF" w:rsidRDefault="00AE06D9" w:rsidP="00C64B14">
            <w:pPr>
              <w:spacing w:after="0"/>
              <w:jc w:val="center"/>
              <w:rPr>
                <w:rFonts w:eastAsia="Times New Roman" w:cs="Times New Roman"/>
                <w:b w:val="0"/>
                <w:bCs w:val="0"/>
                <w:color w:val="000000"/>
                <w:szCs w:val="24"/>
                <w:lang w:val="en-IN" w:eastAsia="en-IN"/>
              </w:rPr>
            </w:pPr>
            <w:r w:rsidRPr="00D14FCF">
              <w:rPr>
                <w:rFonts w:eastAsia="Times New Roman" w:cs="Times New Roman"/>
                <w:color w:val="000000"/>
                <w:szCs w:val="24"/>
                <w:lang w:val="en-IN" w:eastAsia="en-IN"/>
              </w:rPr>
              <w:t xml:space="preserve">Net Present Value </w:t>
            </w:r>
          </w:p>
        </w:tc>
        <w:tc>
          <w:tcPr>
            <w:tcW w:w="1475" w:type="pct"/>
            <w:noWrap/>
            <w:hideMark/>
          </w:tcPr>
          <w:p w14:paraId="4586C9A6" w14:textId="77777777" w:rsidR="00AE06D9" w:rsidRPr="00D14FCF" w:rsidRDefault="00AE06D9" w:rsidP="00C64B14">
            <w:pPr>
              <w:keepNext/>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val="en-IN" w:eastAsia="en-IN"/>
              </w:rPr>
            </w:pPr>
            <w:r w:rsidRPr="00D14FCF">
              <w:rPr>
                <w:rFonts w:eastAsia="Times New Roman" w:cs="Times New Roman"/>
                <w:b/>
                <w:bCs/>
                <w:color w:val="000000"/>
                <w:szCs w:val="24"/>
                <w:lang w:val="en-IN" w:eastAsia="en-IN"/>
              </w:rPr>
              <w:t>1301418.633</w:t>
            </w:r>
          </w:p>
        </w:tc>
      </w:tr>
    </w:tbl>
    <w:p w14:paraId="1FCCF4F0" w14:textId="06980276" w:rsidR="00AE06D9" w:rsidRDefault="00AE06D9" w:rsidP="00AE06D9">
      <w:pPr>
        <w:pStyle w:val="Caption"/>
      </w:pPr>
      <w:r w:rsidRPr="00D14FCF">
        <w:t xml:space="preserve">Table </w:t>
      </w:r>
      <w:r w:rsidRPr="00D14FCF">
        <w:fldChar w:fldCharType="begin"/>
      </w:r>
      <w:r>
        <w:instrText xml:space="preserve"> SEQ Table \* ARABIC </w:instrText>
      </w:r>
      <w:r w:rsidRPr="00D14FCF">
        <w:fldChar w:fldCharType="separate"/>
      </w:r>
      <w:r w:rsidR="000E57E8">
        <w:rPr>
          <w:noProof/>
        </w:rPr>
        <w:t>3</w:t>
      </w:r>
      <w:r w:rsidRPr="00D14FCF">
        <w:rPr>
          <w:noProof/>
        </w:rPr>
        <w:fldChar w:fldCharType="end"/>
      </w:r>
      <w:r w:rsidRPr="00D14FCF">
        <w:t xml:space="preserve"> - NPV of Investment B</w:t>
      </w:r>
    </w:p>
    <w:p w14:paraId="7DC4A261" w14:textId="77777777" w:rsidR="00ED745F" w:rsidRDefault="00ED745F" w:rsidP="00ED745F"/>
    <w:p w14:paraId="50723A41" w14:textId="77777777" w:rsidR="00ED745F" w:rsidRPr="00ED745F" w:rsidRDefault="00ED745F" w:rsidP="00ED745F"/>
    <w:tbl>
      <w:tblPr>
        <w:tblStyle w:val="ListTable3-Accent5"/>
        <w:tblW w:w="5000" w:type="pct"/>
        <w:tblLook w:val="04A0" w:firstRow="1" w:lastRow="0" w:firstColumn="1" w:lastColumn="0" w:noHBand="0" w:noVBand="1"/>
      </w:tblPr>
      <w:tblGrid>
        <w:gridCol w:w="1248"/>
        <w:gridCol w:w="2086"/>
        <w:gridCol w:w="3026"/>
        <w:gridCol w:w="2661"/>
      </w:tblGrid>
      <w:tr w:rsidR="00AE06D9" w:rsidRPr="00ED745F" w14:paraId="0AC06EAE" w14:textId="77777777" w:rsidTr="002D76FD">
        <w:trPr>
          <w:cnfStyle w:val="100000000000" w:firstRow="1" w:lastRow="0" w:firstColumn="0" w:lastColumn="0" w:oddVBand="0" w:evenVBand="0" w:oddHBand="0" w:evenHBand="0" w:firstRowFirstColumn="0" w:firstRowLastColumn="0" w:lastRowFirstColumn="0" w:lastRowLastColumn="0"/>
          <w:trHeight w:val="288"/>
        </w:trPr>
        <w:tc>
          <w:tcPr>
            <w:cnfStyle w:val="001000000100" w:firstRow="0" w:lastRow="0" w:firstColumn="1" w:lastColumn="0" w:oddVBand="0" w:evenVBand="0" w:oddHBand="0" w:evenHBand="0" w:firstRowFirstColumn="1" w:firstRowLastColumn="0" w:lastRowFirstColumn="0" w:lastRowLastColumn="0"/>
            <w:tcW w:w="5000" w:type="pct"/>
            <w:gridSpan w:val="4"/>
            <w:noWrap/>
            <w:hideMark/>
          </w:tcPr>
          <w:p w14:paraId="14DD5988" w14:textId="77777777" w:rsidR="00AE06D9" w:rsidRPr="00ED745F" w:rsidRDefault="00AE06D9" w:rsidP="00C64B14">
            <w:pPr>
              <w:spacing w:after="0"/>
              <w:jc w:val="center"/>
              <w:rPr>
                <w:rFonts w:eastAsia="Times New Roman" w:cs="Times New Roman"/>
                <w:b w:val="0"/>
                <w:bCs w:val="0"/>
                <w:color w:val="000000"/>
                <w:szCs w:val="24"/>
                <w:lang w:val="en-IN" w:eastAsia="en-IN"/>
              </w:rPr>
            </w:pPr>
            <w:r w:rsidRPr="00ED745F">
              <w:rPr>
                <w:rFonts w:eastAsia="Times New Roman" w:cs="Times New Roman"/>
                <w:color w:val="000000"/>
                <w:szCs w:val="24"/>
                <w:lang w:val="en-IN" w:eastAsia="en-IN"/>
              </w:rPr>
              <w:t>NPV of plan C</w:t>
            </w:r>
          </w:p>
        </w:tc>
      </w:tr>
      <w:tr w:rsidR="00AE06D9" w:rsidRPr="00ED745F" w14:paraId="126CAD3F" w14:textId="77777777" w:rsidTr="002D76FD">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92" w:type="pct"/>
            <w:noWrap/>
            <w:hideMark/>
          </w:tcPr>
          <w:p w14:paraId="1362CC80" w14:textId="77777777" w:rsidR="00AE06D9" w:rsidRPr="00ED745F" w:rsidRDefault="00AE06D9" w:rsidP="00C64B14">
            <w:pPr>
              <w:spacing w:after="0"/>
              <w:jc w:val="center"/>
              <w:rPr>
                <w:rFonts w:eastAsia="Times New Roman" w:cs="Times New Roman"/>
                <w:b w:val="0"/>
                <w:bCs w:val="0"/>
                <w:color w:val="000000"/>
                <w:szCs w:val="24"/>
                <w:lang w:val="en-IN" w:eastAsia="en-IN"/>
              </w:rPr>
            </w:pPr>
            <w:r w:rsidRPr="00ED745F">
              <w:rPr>
                <w:rFonts w:eastAsia="Times New Roman" w:cs="Times New Roman"/>
                <w:color w:val="000000"/>
                <w:szCs w:val="24"/>
                <w:lang w:val="en-IN" w:eastAsia="en-IN"/>
              </w:rPr>
              <w:t xml:space="preserve">Period </w:t>
            </w:r>
          </w:p>
        </w:tc>
        <w:tc>
          <w:tcPr>
            <w:tcW w:w="1156" w:type="pct"/>
            <w:noWrap/>
            <w:hideMark/>
          </w:tcPr>
          <w:p w14:paraId="504C0252" w14:textId="77777777" w:rsidR="00AE06D9" w:rsidRPr="00ED745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val="en-IN" w:eastAsia="en-IN"/>
              </w:rPr>
            </w:pPr>
            <w:r w:rsidRPr="00ED745F">
              <w:rPr>
                <w:rFonts w:eastAsia="Times New Roman" w:cs="Times New Roman"/>
                <w:b/>
                <w:bCs/>
                <w:color w:val="000000"/>
                <w:szCs w:val="24"/>
                <w:lang w:val="en-IN" w:eastAsia="en-IN"/>
              </w:rPr>
              <w:t>Cashflows (£)</w:t>
            </w:r>
          </w:p>
        </w:tc>
        <w:tc>
          <w:tcPr>
            <w:tcW w:w="1676" w:type="pct"/>
            <w:noWrap/>
            <w:hideMark/>
          </w:tcPr>
          <w:p w14:paraId="0F01E9FF" w14:textId="77777777" w:rsidR="00AE06D9" w:rsidRPr="00ED745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val="en-IN" w:eastAsia="en-IN"/>
              </w:rPr>
            </w:pPr>
            <w:r w:rsidRPr="00ED745F">
              <w:rPr>
                <w:rFonts w:eastAsia="Times New Roman" w:cs="Times New Roman"/>
                <w:b/>
                <w:bCs/>
                <w:color w:val="000000"/>
                <w:szCs w:val="24"/>
                <w:lang w:val="en-IN" w:eastAsia="en-IN"/>
              </w:rPr>
              <w:t xml:space="preserve">Rate of Discounting </w:t>
            </w:r>
          </w:p>
        </w:tc>
        <w:tc>
          <w:tcPr>
            <w:tcW w:w="1475" w:type="pct"/>
            <w:noWrap/>
            <w:hideMark/>
          </w:tcPr>
          <w:p w14:paraId="577A85D2" w14:textId="77777777" w:rsidR="00AE06D9" w:rsidRPr="00ED745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val="en-IN" w:eastAsia="en-IN"/>
              </w:rPr>
            </w:pPr>
            <w:r w:rsidRPr="00ED745F">
              <w:rPr>
                <w:rFonts w:eastAsia="Times New Roman" w:cs="Times New Roman"/>
                <w:b/>
                <w:bCs/>
                <w:color w:val="000000"/>
                <w:szCs w:val="24"/>
                <w:lang w:val="en-IN" w:eastAsia="en-IN"/>
              </w:rPr>
              <w:t>Present Value (£)</w:t>
            </w:r>
          </w:p>
        </w:tc>
      </w:tr>
      <w:tr w:rsidR="00AE06D9" w:rsidRPr="00ED745F" w14:paraId="231695EE" w14:textId="77777777" w:rsidTr="002D76FD">
        <w:trPr>
          <w:trHeight w:val="288"/>
        </w:trPr>
        <w:tc>
          <w:tcPr>
            <w:cnfStyle w:val="001000000000" w:firstRow="0" w:lastRow="0" w:firstColumn="1" w:lastColumn="0" w:oddVBand="0" w:evenVBand="0" w:oddHBand="0" w:evenHBand="0" w:firstRowFirstColumn="0" w:firstRowLastColumn="0" w:lastRowFirstColumn="0" w:lastRowLastColumn="0"/>
            <w:tcW w:w="692" w:type="pct"/>
            <w:noWrap/>
            <w:hideMark/>
          </w:tcPr>
          <w:p w14:paraId="6E3F0933" w14:textId="77777777" w:rsidR="00AE06D9" w:rsidRPr="00ED745F" w:rsidRDefault="00AE06D9" w:rsidP="00C64B14">
            <w:pPr>
              <w:spacing w:after="0"/>
              <w:jc w:val="center"/>
              <w:rPr>
                <w:rFonts w:eastAsia="Times New Roman" w:cs="Times New Roman"/>
                <w:color w:val="000000"/>
                <w:szCs w:val="24"/>
                <w:lang w:val="en-IN" w:eastAsia="en-IN"/>
              </w:rPr>
            </w:pPr>
            <w:r w:rsidRPr="00ED745F">
              <w:rPr>
                <w:rFonts w:eastAsia="Times New Roman" w:cs="Times New Roman"/>
                <w:color w:val="000000"/>
                <w:szCs w:val="24"/>
                <w:lang w:val="en-IN" w:eastAsia="en-IN"/>
              </w:rPr>
              <w:t>0</w:t>
            </w:r>
          </w:p>
        </w:tc>
        <w:tc>
          <w:tcPr>
            <w:tcW w:w="1156" w:type="pct"/>
            <w:noWrap/>
            <w:hideMark/>
          </w:tcPr>
          <w:p w14:paraId="0350D607" w14:textId="175460C7" w:rsidR="00AE06D9" w:rsidRPr="00ED745F" w:rsidRDefault="00AE06D9" w:rsidP="00C64B14">
            <w:pPr>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IN" w:eastAsia="en-IN"/>
              </w:rPr>
            </w:pPr>
            <w:r w:rsidRPr="00ED745F">
              <w:rPr>
                <w:rFonts w:eastAsia="Times New Roman" w:cs="Times New Roman"/>
                <w:color w:val="000000"/>
                <w:szCs w:val="24"/>
                <w:lang w:val="en-IN" w:eastAsia="en-IN"/>
              </w:rPr>
              <w:t>-1</w:t>
            </w:r>
            <w:r w:rsidR="006A6756">
              <w:rPr>
                <w:rFonts w:eastAsia="Times New Roman" w:cs="Times New Roman"/>
                <w:color w:val="000000"/>
                <w:szCs w:val="24"/>
                <w:lang w:val="en-IN" w:eastAsia="en-IN"/>
              </w:rPr>
              <w:t>.</w:t>
            </w:r>
            <w:r w:rsidRPr="00ED745F">
              <w:rPr>
                <w:rFonts w:eastAsia="Times New Roman" w:cs="Times New Roman"/>
                <w:color w:val="000000"/>
                <w:szCs w:val="24"/>
                <w:lang w:val="en-IN" w:eastAsia="en-IN"/>
              </w:rPr>
              <w:t>700</w:t>
            </w:r>
            <w:r w:rsidR="006A6756">
              <w:rPr>
                <w:rFonts w:eastAsia="Times New Roman" w:cs="Times New Roman"/>
                <w:color w:val="000000"/>
                <w:szCs w:val="24"/>
                <w:lang w:val="en-IN" w:eastAsia="en-IN"/>
              </w:rPr>
              <w:t>.</w:t>
            </w:r>
            <w:r w:rsidRPr="00ED745F">
              <w:rPr>
                <w:rFonts w:eastAsia="Times New Roman" w:cs="Times New Roman"/>
                <w:color w:val="000000"/>
                <w:szCs w:val="24"/>
                <w:lang w:val="en-IN" w:eastAsia="en-IN"/>
              </w:rPr>
              <w:t>000</w:t>
            </w:r>
          </w:p>
        </w:tc>
        <w:tc>
          <w:tcPr>
            <w:tcW w:w="1676" w:type="pct"/>
            <w:noWrap/>
            <w:hideMark/>
          </w:tcPr>
          <w:p w14:paraId="4F2F7E9E" w14:textId="77777777" w:rsidR="00AE06D9" w:rsidRPr="00ED745F" w:rsidRDefault="00AE06D9" w:rsidP="00C64B14">
            <w:pPr>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IN" w:eastAsia="en-IN"/>
              </w:rPr>
            </w:pPr>
            <w:r w:rsidRPr="00ED745F">
              <w:rPr>
                <w:rFonts w:eastAsia="Times New Roman" w:cs="Times New Roman"/>
                <w:color w:val="000000"/>
                <w:szCs w:val="24"/>
                <w:lang w:val="en-IN" w:eastAsia="en-IN"/>
              </w:rPr>
              <w:t>1.000</w:t>
            </w:r>
          </w:p>
        </w:tc>
        <w:tc>
          <w:tcPr>
            <w:tcW w:w="1475" w:type="pct"/>
            <w:noWrap/>
            <w:hideMark/>
          </w:tcPr>
          <w:p w14:paraId="6C195674" w14:textId="77777777" w:rsidR="00AE06D9" w:rsidRPr="00ED745F" w:rsidRDefault="00AE06D9" w:rsidP="00C64B14">
            <w:pPr>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IN" w:eastAsia="en-IN"/>
              </w:rPr>
            </w:pPr>
            <w:r w:rsidRPr="00ED745F">
              <w:rPr>
                <w:rFonts w:eastAsia="Times New Roman" w:cs="Times New Roman"/>
                <w:color w:val="000000"/>
                <w:szCs w:val="24"/>
                <w:lang w:val="en-IN" w:eastAsia="en-IN"/>
              </w:rPr>
              <w:t>-1700000.000</w:t>
            </w:r>
          </w:p>
        </w:tc>
      </w:tr>
      <w:tr w:rsidR="00AE06D9" w:rsidRPr="00ED745F" w14:paraId="7B58B27A" w14:textId="77777777" w:rsidTr="002D76FD">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92" w:type="pct"/>
            <w:noWrap/>
            <w:hideMark/>
          </w:tcPr>
          <w:p w14:paraId="3482939E" w14:textId="77777777" w:rsidR="00AE06D9" w:rsidRPr="00ED745F" w:rsidRDefault="00AE06D9" w:rsidP="00C64B14">
            <w:pPr>
              <w:spacing w:after="0"/>
              <w:jc w:val="center"/>
              <w:rPr>
                <w:rFonts w:eastAsia="Times New Roman" w:cs="Times New Roman"/>
                <w:color w:val="000000"/>
                <w:szCs w:val="24"/>
                <w:lang w:val="en-IN" w:eastAsia="en-IN"/>
              </w:rPr>
            </w:pPr>
            <w:r w:rsidRPr="00ED745F">
              <w:rPr>
                <w:rFonts w:eastAsia="Times New Roman" w:cs="Times New Roman"/>
                <w:color w:val="000000"/>
                <w:szCs w:val="24"/>
                <w:lang w:val="en-IN" w:eastAsia="en-IN"/>
              </w:rPr>
              <w:t>1</w:t>
            </w:r>
          </w:p>
        </w:tc>
        <w:tc>
          <w:tcPr>
            <w:tcW w:w="1156" w:type="pct"/>
            <w:noWrap/>
            <w:hideMark/>
          </w:tcPr>
          <w:p w14:paraId="1065EB2B" w14:textId="11AB44E8" w:rsidR="00AE06D9" w:rsidRPr="00ED745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IN" w:eastAsia="en-IN"/>
              </w:rPr>
            </w:pPr>
            <w:r w:rsidRPr="00ED745F">
              <w:rPr>
                <w:rFonts w:eastAsia="Times New Roman" w:cs="Times New Roman"/>
                <w:color w:val="000000"/>
                <w:szCs w:val="24"/>
                <w:lang w:val="en-IN" w:eastAsia="en-IN"/>
              </w:rPr>
              <w:t>500</w:t>
            </w:r>
            <w:r w:rsidR="006A6756">
              <w:rPr>
                <w:rFonts w:eastAsia="Times New Roman" w:cs="Times New Roman"/>
                <w:color w:val="000000"/>
                <w:szCs w:val="24"/>
                <w:lang w:val="en-IN" w:eastAsia="en-IN"/>
              </w:rPr>
              <w:t>.</w:t>
            </w:r>
            <w:r w:rsidRPr="00ED745F">
              <w:rPr>
                <w:rFonts w:eastAsia="Times New Roman" w:cs="Times New Roman"/>
                <w:color w:val="000000"/>
                <w:szCs w:val="24"/>
                <w:lang w:val="en-IN" w:eastAsia="en-IN"/>
              </w:rPr>
              <w:t>000</w:t>
            </w:r>
          </w:p>
        </w:tc>
        <w:tc>
          <w:tcPr>
            <w:tcW w:w="1676" w:type="pct"/>
            <w:noWrap/>
            <w:hideMark/>
          </w:tcPr>
          <w:p w14:paraId="30FB9123" w14:textId="77777777" w:rsidR="00AE06D9" w:rsidRPr="00ED745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IN" w:eastAsia="en-IN"/>
              </w:rPr>
            </w:pPr>
            <w:r w:rsidRPr="00ED745F">
              <w:rPr>
                <w:rFonts w:eastAsia="Times New Roman" w:cs="Times New Roman"/>
                <w:color w:val="000000"/>
                <w:szCs w:val="24"/>
                <w:lang w:val="en-IN" w:eastAsia="en-IN"/>
              </w:rPr>
              <w:t>0.943</w:t>
            </w:r>
          </w:p>
        </w:tc>
        <w:tc>
          <w:tcPr>
            <w:tcW w:w="1475" w:type="pct"/>
            <w:noWrap/>
            <w:hideMark/>
          </w:tcPr>
          <w:p w14:paraId="3DFBAE40" w14:textId="77777777" w:rsidR="00AE06D9" w:rsidRPr="00ED745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IN" w:eastAsia="en-IN"/>
              </w:rPr>
            </w:pPr>
            <w:r w:rsidRPr="00ED745F">
              <w:rPr>
                <w:rFonts w:eastAsia="Times New Roman" w:cs="Times New Roman"/>
                <w:color w:val="000000"/>
                <w:szCs w:val="24"/>
                <w:lang w:val="en-IN" w:eastAsia="en-IN"/>
              </w:rPr>
              <w:t>471698.113</w:t>
            </w:r>
          </w:p>
        </w:tc>
      </w:tr>
      <w:tr w:rsidR="00AE06D9" w:rsidRPr="00ED745F" w14:paraId="1515E37C" w14:textId="77777777" w:rsidTr="002D76FD">
        <w:trPr>
          <w:trHeight w:val="288"/>
        </w:trPr>
        <w:tc>
          <w:tcPr>
            <w:cnfStyle w:val="001000000000" w:firstRow="0" w:lastRow="0" w:firstColumn="1" w:lastColumn="0" w:oddVBand="0" w:evenVBand="0" w:oddHBand="0" w:evenHBand="0" w:firstRowFirstColumn="0" w:firstRowLastColumn="0" w:lastRowFirstColumn="0" w:lastRowLastColumn="0"/>
            <w:tcW w:w="692" w:type="pct"/>
            <w:noWrap/>
            <w:hideMark/>
          </w:tcPr>
          <w:p w14:paraId="14C3DB5F" w14:textId="77777777" w:rsidR="00AE06D9" w:rsidRPr="00ED745F" w:rsidRDefault="00AE06D9" w:rsidP="00C64B14">
            <w:pPr>
              <w:spacing w:after="0"/>
              <w:jc w:val="center"/>
              <w:rPr>
                <w:rFonts w:eastAsia="Times New Roman" w:cs="Times New Roman"/>
                <w:color w:val="000000"/>
                <w:szCs w:val="24"/>
                <w:lang w:val="en-IN" w:eastAsia="en-IN"/>
              </w:rPr>
            </w:pPr>
            <w:r w:rsidRPr="00ED745F">
              <w:rPr>
                <w:rFonts w:eastAsia="Times New Roman" w:cs="Times New Roman"/>
                <w:color w:val="000000"/>
                <w:szCs w:val="24"/>
                <w:lang w:val="en-IN" w:eastAsia="en-IN"/>
              </w:rPr>
              <w:t>2</w:t>
            </w:r>
          </w:p>
        </w:tc>
        <w:tc>
          <w:tcPr>
            <w:tcW w:w="1156" w:type="pct"/>
            <w:noWrap/>
            <w:hideMark/>
          </w:tcPr>
          <w:p w14:paraId="38C39877" w14:textId="7CC251F1" w:rsidR="00AE06D9" w:rsidRPr="00ED745F" w:rsidRDefault="00AE06D9" w:rsidP="00C64B14">
            <w:pPr>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IN" w:eastAsia="en-IN"/>
              </w:rPr>
            </w:pPr>
            <w:r w:rsidRPr="00ED745F">
              <w:rPr>
                <w:rFonts w:eastAsia="Times New Roman" w:cs="Times New Roman"/>
                <w:color w:val="000000"/>
                <w:szCs w:val="24"/>
                <w:lang w:val="en-IN" w:eastAsia="en-IN"/>
              </w:rPr>
              <w:t>800</w:t>
            </w:r>
            <w:r w:rsidR="006A6756">
              <w:rPr>
                <w:rFonts w:eastAsia="Times New Roman" w:cs="Times New Roman"/>
                <w:color w:val="000000"/>
                <w:szCs w:val="24"/>
                <w:lang w:val="en-IN" w:eastAsia="en-IN"/>
              </w:rPr>
              <w:t>.</w:t>
            </w:r>
            <w:r w:rsidRPr="00ED745F">
              <w:rPr>
                <w:rFonts w:eastAsia="Times New Roman" w:cs="Times New Roman"/>
                <w:color w:val="000000"/>
                <w:szCs w:val="24"/>
                <w:lang w:val="en-IN" w:eastAsia="en-IN"/>
              </w:rPr>
              <w:t>000</w:t>
            </w:r>
          </w:p>
        </w:tc>
        <w:tc>
          <w:tcPr>
            <w:tcW w:w="1676" w:type="pct"/>
            <w:noWrap/>
            <w:hideMark/>
          </w:tcPr>
          <w:p w14:paraId="42BCD59D" w14:textId="77777777" w:rsidR="00AE06D9" w:rsidRPr="00ED745F" w:rsidRDefault="00AE06D9" w:rsidP="00C64B14">
            <w:pPr>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IN" w:eastAsia="en-IN"/>
              </w:rPr>
            </w:pPr>
            <w:r w:rsidRPr="00ED745F">
              <w:rPr>
                <w:rFonts w:eastAsia="Times New Roman" w:cs="Times New Roman"/>
                <w:color w:val="000000"/>
                <w:szCs w:val="24"/>
                <w:lang w:val="en-IN" w:eastAsia="en-IN"/>
              </w:rPr>
              <w:t>0.890</w:t>
            </w:r>
          </w:p>
        </w:tc>
        <w:tc>
          <w:tcPr>
            <w:tcW w:w="1475" w:type="pct"/>
            <w:noWrap/>
            <w:hideMark/>
          </w:tcPr>
          <w:p w14:paraId="615BAD58" w14:textId="77777777" w:rsidR="00AE06D9" w:rsidRPr="00ED745F" w:rsidRDefault="00AE06D9" w:rsidP="00C64B14">
            <w:pPr>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IN" w:eastAsia="en-IN"/>
              </w:rPr>
            </w:pPr>
            <w:r w:rsidRPr="00ED745F">
              <w:rPr>
                <w:rFonts w:eastAsia="Times New Roman" w:cs="Times New Roman"/>
                <w:color w:val="000000"/>
                <w:szCs w:val="24"/>
                <w:lang w:val="en-IN" w:eastAsia="en-IN"/>
              </w:rPr>
              <w:t>711997.152</w:t>
            </w:r>
          </w:p>
        </w:tc>
      </w:tr>
      <w:tr w:rsidR="00AE06D9" w:rsidRPr="00ED745F" w14:paraId="38794CCD" w14:textId="77777777" w:rsidTr="002D76FD">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92" w:type="pct"/>
            <w:noWrap/>
            <w:hideMark/>
          </w:tcPr>
          <w:p w14:paraId="03C4CFB6" w14:textId="77777777" w:rsidR="00AE06D9" w:rsidRPr="00ED745F" w:rsidRDefault="00AE06D9" w:rsidP="00C64B14">
            <w:pPr>
              <w:spacing w:after="0"/>
              <w:jc w:val="center"/>
              <w:rPr>
                <w:rFonts w:eastAsia="Times New Roman" w:cs="Times New Roman"/>
                <w:color w:val="000000"/>
                <w:szCs w:val="24"/>
                <w:lang w:val="en-IN" w:eastAsia="en-IN"/>
              </w:rPr>
            </w:pPr>
            <w:r w:rsidRPr="00ED745F">
              <w:rPr>
                <w:rFonts w:eastAsia="Times New Roman" w:cs="Times New Roman"/>
                <w:color w:val="000000"/>
                <w:szCs w:val="24"/>
                <w:lang w:val="en-IN" w:eastAsia="en-IN"/>
              </w:rPr>
              <w:t>3</w:t>
            </w:r>
          </w:p>
        </w:tc>
        <w:tc>
          <w:tcPr>
            <w:tcW w:w="1156" w:type="pct"/>
            <w:noWrap/>
            <w:hideMark/>
          </w:tcPr>
          <w:p w14:paraId="30612D6B" w14:textId="03D519CC" w:rsidR="00AE06D9" w:rsidRPr="00ED745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IN" w:eastAsia="en-IN"/>
              </w:rPr>
            </w:pPr>
            <w:r w:rsidRPr="00ED745F">
              <w:rPr>
                <w:rFonts w:eastAsia="Times New Roman" w:cs="Times New Roman"/>
                <w:color w:val="000000"/>
                <w:szCs w:val="24"/>
                <w:lang w:val="en-IN" w:eastAsia="en-IN"/>
              </w:rPr>
              <w:t>1</w:t>
            </w:r>
            <w:r w:rsidR="006A6756">
              <w:rPr>
                <w:rFonts w:eastAsia="Times New Roman" w:cs="Times New Roman"/>
                <w:color w:val="000000"/>
                <w:szCs w:val="24"/>
                <w:lang w:val="en-IN" w:eastAsia="en-IN"/>
              </w:rPr>
              <w:t>.</w:t>
            </w:r>
            <w:r w:rsidRPr="00ED745F">
              <w:rPr>
                <w:rFonts w:eastAsia="Times New Roman" w:cs="Times New Roman"/>
                <w:color w:val="000000"/>
                <w:szCs w:val="24"/>
                <w:lang w:val="en-IN" w:eastAsia="en-IN"/>
              </w:rPr>
              <w:t>050</w:t>
            </w:r>
            <w:r w:rsidR="006A6756">
              <w:rPr>
                <w:rFonts w:eastAsia="Times New Roman" w:cs="Times New Roman"/>
                <w:color w:val="000000"/>
                <w:szCs w:val="24"/>
                <w:lang w:val="en-IN" w:eastAsia="en-IN"/>
              </w:rPr>
              <w:t>.</w:t>
            </w:r>
            <w:r w:rsidRPr="00ED745F">
              <w:rPr>
                <w:rFonts w:eastAsia="Times New Roman" w:cs="Times New Roman"/>
                <w:color w:val="000000"/>
                <w:szCs w:val="24"/>
                <w:lang w:val="en-IN" w:eastAsia="en-IN"/>
              </w:rPr>
              <w:t>000</w:t>
            </w:r>
          </w:p>
        </w:tc>
        <w:tc>
          <w:tcPr>
            <w:tcW w:w="1676" w:type="pct"/>
            <w:noWrap/>
            <w:hideMark/>
          </w:tcPr>
          <w:p w14:paraId="1B183378" w14:textId="77777777" w:rsidR="00AE06D9" w:rsidRPr="00ED745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IN" w:eastAsia="en-IN"/>
              </w:rPr>
            </w:pPr>
            <w:r w:rsidRPr="00ED745F">
              <w:rPr>
                <w:rFonts w:eastAsia="Times New Roman" w:cs="Times New Roman"/>
                <w:color w:val="000000"/>
                <w:szCs w:val="24"/>
                <w:lang w:val="en-IN" w:eastAsia="en-IN"/>
              </w:rPr>
              <w:t>0.840</w:t>
            </w:r>
          </w:p>
        </w:tc>
        <w:tc>
          <w:tcPr>
            <w:tcW w:w="1475" w:type="pct"/>
            <w:noWrap/>
            <w:hideMark/>
          </w:tcPr>
          <w:p w14:paraId="0A7B5505" w14:textId="77777777" w:rsidR="00AE06D9" w:rsidRPr="00ED745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IN" w:eastAsia="en-IN"/>
              </w:rPr>
            </w:pPr>
            <w:r w:rsidRPr="00ED745F">
              <w:rPr>
                <w:rFonts w:eastAsia="Times New Roman" w:cs="Times New Roman"/>
                <w:color w:val="000000"/>
                <w:szCs w:val="24"/>
                <w:lang w:val="en-IN" w:eastAsia="en-IN"/>
              </w:rPr>
              <w:t>881600.247</w:t>
            </w:r>
          </w:p>
        </w:tc>
      </w:tr>
      <w:tr w:rsidR="00AE06D9" w:rsidRPr="00ED745F" w14:paraId="4D9DEFDE" w14:textId="77777777" w:rsidTr="002D76FD">
        <w:trPr>
          <w:trHeight w:val="288"/>
        </w:trPr>
        <w:tc>
          <w:tcPr>
            <w:cnfStyle w:val="001000000000" w:firstRow="0" w:lastRow="0" w:firstColumn="1" w:lastColumn="0" w:oddVBand="0" w:evenVBand="0" w:oddHBand="0" w:evenHBand="0" w:firstRowFirstColumn="0" w:firstRowLastColumn="0" w:lastRowFirstColumn="0" w:lastRowLastColumn="0"/>
            <w:tcW w:w="692" w:type="pct"/>
            <w:noWrap/>
            <w:hideMark/>
          </w:tcPr>
          <w:p w14:paraId="20841FDA" w14:textId="77777777" w:rsidR="00AE06D9" w:rsidRPr="00ED745F" w:rsidRDefault="00AE06D9" w:rsidP="00C64B14">
            <w:pPr>
              <w:spacing w:after="0"/>
              <w:jc w:val="center"/>
              <w:rPr>
                <w:rFonts w:eastAsia="Times New Roman" w:cs="Times New Roman"/>
                <w:color w:val="000000"/>
                <w:szCs w:val="24"/>
                <w:lang w:val="en-IN" w:eastAsia="en-IN"/>
              </w:rPr>
            </w:pPr>
            <w:r w:rsidRPr="00ED745F">
              <w:rPr>
                <w:rFonts w:eastAsia="Times New Roman" w:cs="Times New Roman"/>
                <w:color w:val="000000"/>
                <w:szCs w:val="24"/>
                <w:lang w:val="en-IN" w:eastAsia="en-IN"/>
              </w:rPr>
              <w:t>4</w:t>
            </w:r>
          </w:p>
        </w:tc>
        <w:tc>
          <w:tcPr>
            <w:tcW w:w="1156" w:type="pct"/>
            <w:noWrap/>
            <w:hideMark/>
          </w:tcPr>
          <w:p w14:paraId="07C6BDB3" w14:textId="5A28D502" w:rsidR="00AE06D9" w:rsidRPr="00ED745F" w:rsidRDefault="00AE06D9" w:rsidP="00C64B14">
            <w:pPr>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IN" w:eastAsia="en-IN"/>
              </w:rPr>
            </w:pPr>
            <w:r w:rsidRPr="00ED745F">
              <w:rPr>
                <w:rFonts w:eastAsia="Times New Roman" w:cs="Times New Roman"/>
                <w:color w:val="000000"/>
                <w:szCs w:val="24"/>
                <w:lang w:val="en-IN" w:eastAsia="en-IN"/>
              </w:rPr>
              <w:t>1</w:t>
            </w:r>
            <w:r w:rsidR="006A6756">
              <w:rPr>
                <w:rFonts w:eastAsia="Times New Roman" w:cs="Times New Roman"/>
                <w:color w:val="000000"/>
                <w:szCs w:val="24"/>
                <w:lang w:val="en-IN" w:eastAsia="en-IN"/>
              </w:rPr>
              <w:t>.</w:t>
            </w:r>
            <w:r w:rsidRPr="00ED745F">
              <w:rPr>
                <w:rFonts w:eastAsia="Times New Roman" w:cs="Times New Roman"/>
                <w:color w:val="000000"/>
                <w:szCs w:val="24"/>
                <w:lang w:val="en-IN" w:eastAsia="en-IN"/>
              </w:rPr>
              <w:t>200</w:t>
            </w:r>
            <w:r w:rsidR="006A6756">
              <w:rPr>
                <w:rFonts w:eastAsia="Times New Roman" w:cs="Times New Roman"/>
                <w:color w:val="000000"/>
                <w:szCs w:val="24"/>
                <w:lang w:val="en-IN" w:eastAsia="en-IN"/>
              </w:rPr>
              <w:t>.</w:t>
            </w:r>
            <w:r w:rsidRPr="00ED745F">
              <w:rPr>
                <w:rFonts w:eastAsia="Times New Roman" w:cs="Times New Roman"/>
                <w:color w:val="000000"/>
                <w:szCs w:val="24"/>
                <w:lang w:val="en-IN" w:eastAsia="en-IN"/>
              </w:rPr>
              <w:t>000</w:t>
            </w:r>
          </w:p>
        </w:tc>
        <w:tc>
          <w:tcPr>
            <w:tcW w:w="1676" w:type="pct"/>
            <w:noWrap/>
            <w:hideMark/>
          </w:tcPr>
          <w:p w14:paraId="6E6824C9" w14:textId="77777777" w:rsidR="00AE06D9" w:rsidRPr="00ED745F" w:rsidRDefault="00AE06D9" w:rsidP="00C64B14">
            <w:pPr>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IN" w:eastAsia="en-IN"/>
              </w:rPr>
            </w:pPr>
            <w:r w:rsidRPr="00ED745F">
              <w:rPr>
                <w:rFonts w:eastAsia="Times New Roman" w:cs="Times New Roman"/>
                <w:color w:val="000000"/>
                <w:szCs w:val="24"/>
                <w:lang w:val="en-IN" w:eastAsia="en-IN"/>
              </w:rPr>
              <w:t>0.792</w:t>
            </w:r>
          </w:p>
        </w:tc>
        <w:tc>
          <w:tcPr>
            <w:tcW w:w="1475" w:type="pct"/>
            <w:noWrap/>
            <w:hideMark/>
          </w:tcPr>
          <w:p w14:paraId="2C582C08" w14:textId="77777777" w:rsidR="00AE06D9" w:rsidRPr="00ED745F" w:rsidRDefault="00AE06D9" w:rsidP="00C64B14">
            <w:pPr>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IN" w:eastAsia="en-IN"/>
              </w:rPr>
            </w:pPr>
            <w:r w:rsidRPr="00ED745F">
              <w:rPr>
                <w:rFonts w:eastAsia="Times New Roman" w:cs="Times New Roman"/>
                <w:color w:val="000000"/>
                <w:szCs w:val="24"/>
                <w:lang w:val="en-IN" w:eastAsia="en-IN"/>
              </w:rPr>
              <w:t>950512.396</w:t>
            </w:r>
          </w:p>
        </w:tc>
      </w:tr>
      <w:tr w:rsidR="00AE06D9" w:rsidRPr="00ED745F" w14:paraId="53498CE4" w14:textId="77777777" w:rsidTr="002D76FD">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92" w:type="pct"/>
            <w:noWrap/>
            <w:hideMark/>
          </w:tcPr>
          <w:p w14:paraId="3F0803FF" w14:textId="77777777" w:rsidR="00AE06D9" w:rsidRPr="00ED745F" w:rsidRDefault="00AE06D9" w:rsidP="00C64B14">
            <w:pPr>
              <w:spacing w:after="0"/>
              <w:jc w:val="center"/>
              <w:rPr>
                <w:rFonts w:eastAsia="Times New Roman" w:cs="Times New Roman"/>
                <w:color w:val="000000"/>
                <w:szCs w:val="24"/>
                <w:lang w:val="en-IN" w:eastAsia="en-IN"/>
              </w:rPr>
            </w:pPr>
            <w:r w:rsidRPr="00ED745F">
              <w:rPr>
                <w:rFonts w:eastAsia="Times New Roman" w:cs="Times New Roman"/>
                <w:color w:val="000000"/>
                <w:szCs w:val="24"/>
                <w:lang w:val="en-IN" w:eastAsia="en-IN"/>
              </w:rPr>
              <w:t> </w:t>
            </w:r>
          </w:p>
        </w:tc>
        <w:tc>
          <w:tcPr>
            <w:tcW w:w="1156" w:type="pct"/>
            <w:noWrap/>
            <w:hideMark/>
          </w:tcPr>
          <w:p w14:paraId="318E1A24" w14:textId="77777777" w:rsidR="00AE06D9" w:rsidRPr="00ED745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IN" w:eastAsia="en-IN"/>
              </w:rPr>
            </w:pPr>
            <w:r w:rsidRPr="00ED745F">
              <w:rPr>
                <w:rFonts w:eastAsia="Times New Roman" w:cs="Times New Roman"/>
                <w:color w:val="000000"/>
                <w:szCs w:val="24"/>
                <w:lang w:val="en-IN" w:eastAsia="en-IN"/>
              </w:rPr>
              <w:t> </w:t>
            </w:r>
          </w:p>
        </w:tc>
        <w:tc>
          <w:tcPr>
            <w:tcW w:w="1676" w:type="pct"/>
            <w:noWrap/>
            <w:hideMark/>
          </w:tcPr>
          <w:p w14:paraId="338D9C03" w14:textId="77777777" w:rsidR="00AE06D9" w:rsidRPr="00ED745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IN" w:eastAsia="en-IN"/>
              </w:rPr>
            </w:pPr>
            <w:r w:rsidRPr="00ED745F">
              <w:rPr>
                <w:rFonts w:eastAsia="Times New Roman" w:cs="Times New Roman"/>
                <w:color w:val="000000"/>
                <w:szCs w:val="24"/>
                <w:lang w:val="en-IN" w:eastAsia="en-IN"/>
              </w:rPr>
              <w:t> </w:t>
            </w:r>
          </w:p>
        </w:tc>
        <w:tc>
          <w:tcPr>
            <w:tcW w:w="1475" w:type="pct"/>
            <w:noWrap/>
            <w:hideMark/>
          </w:tcPr>
          <w:p w14:paraId="5AA6FD20" w14:textId="77777777" w:rsidR="00AE06D9" w:rsidRPr="00ED745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IN" w:eastAsia="en-IN"/>
              </w:rPr>
            </w:pPr>
            <w:r w:rsidRPr="00ED745F">
              <w:rPr>
                <w:rFonts w:eastAsia="Times New Roman" w:cs="Times New Roman"/>
                <w:color w:val="000000"/>
                <w:szCs w:val="24"/>
                <w:lang w:val="en-IN" w:eastAsia="en-IN"/>
              </w:rPr>
              <w:t> </w:t>
            </w:r>
          </w:p>
        </w:tc>
      </w:tr>
      <w:tr w:rsidR="00AE06D9" w:rsidRPr="00ED745F" w14:paraId="28BC67AB" w14:textId="77777777" w:rsidTr="002D76FD">
        <w:trPr>
          <w:trHeight w:val="288"/>
        </w:trPr>
        <w:tc>
          <w:tcPr>
            <w:cnfStyle w:val="001000000000" w:firstRow="0" w:lastRow="0" w:firstColumn="1" w:lastColumn="0" w:oddVBand="0" w:evenVBand="0" w:oddHBand="0" w:evenHBand="0" w:firstRowFirstColumn="0" w:firstRowLastColumn="0" w:lastRowFirstColumn="0" w:lastRowLastColumn="0"/>
            <w:tcW w:w="3525" w:type="pct"/>
            <w:gridSpan w:val="3"/>
            <w:noWrap/>
            <w:hideMark/>
          </w:tcPr>
          <w:p w14:paraId="47AEDF9E" w14:textId="77777777" w:rsidR="00AE06D9" w:rsidRPr="00ED745F" w:rsidRDefault="00AE06D9" w:rsidP="00C64B14">
            <w:pPr>
              <w:spacing w:after="0"/>
              <w:jc w:val="center"/>
              <w:rPr>
                <w:rFonts w:eastAsia="Times New Roman" w:cs="Times New Roman"/>
                <w:b w:val="0"/>
                <w:bCs w:val="0"/>
                <w:color w:val="000000"/>
                <w:szCs w:val="24"/>
                <w:lang w:val="en-IN" w:eastAsia="en-IN"/>
              </w:rPr>
            </w:pPr>
            <w:r w:rsidRPr="00ED745F">
              <w:rPr>
                <w:rFonts w:eastAsia="Times New Roman" w:cs="Times New Roman"/>
                <w:color w:val="000000"/>
                <w:szCs w:val="24"/>
                <w:lang w:val="en-IN" w:eastAsia="en-IN"/>
              </w:rPr>
              <w:t xml:space="preserve">Net Present Value </w:t>
            </w:r>
          </w:p>
        </w:tc>
        <w:tc>
          <w:tcPr>
            <w:tcW w:w="1475" w:type="pct"/>
            <w:noWrap/>
            <w:hideMark/>
          </w:tcPr>
          <w:p w14:paraId="1AC5939B" w14:textId="77777777" w:rsidR="00AE06D9" w:rsidRPr="00ED745F" w:rsidRDefault="00AE06D9" w:rsidP="00C64B14">
            <w:pPr>
              <w:keepNext/>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val="en-IN" w:eastAsia="en-IN"/>
              </w:rPr>
            </w:pPr>
            <w:r w:rsidRPr="00ED745F">
              <w:rPr>
                <w:rFonts w:eastAsia="Times New Roman" w:cs="Times New Roman"/>
                <w:b/>
                <w:bCs/>
                <w:color w:val="000000"/>
                <w:szCs w:val="24"/>
                <w:lang w:val="en-IN" w:eastAsia="en-IN"/>
              </w:rPr>
              <w:t>1315807.908</w:t>
            </w:r>
          </w:p>
        </w:tc>
      </w:tr>
    </w:tbl>
    <w:p w14:paraId="6097BE96" w14:textId="5C203958" w:rsidR="00ED745F" w:rsidRDefault="00AE06D9" w:rsidP="00C86677">
      <w:pPr>
        <w:pStyle w:val="Caption"/>
      </w:pPr>
      <w:r w:rsidRPr="00D14FCF">
        <w:t xml:space="preserve">Table </w:t>
      </w:r>
      <w:r w:rsidRPr="00D14FCF">
        <w:fldChar w:fldCharType="begin"/>
      </w:r>
      <w:r>
        <w:instrText xml:space="preserve"> SEQ Table \* ARABIC </w:instrText>
      </w:r>
      <w:r w:rsidRPr="00D14FCF">
        <w:fldChar w:fldCharType="separate"/>
      </w:r>
      <w:r w:rsidR="000E57E8">
        <w:rPr>
          <w:noProof/>
        </w:rPr>
        <w:t>4</w:t>
      </w:r>
      <w:r w:rsidRPr="00D14FCF">
        <w:rPr>
          <w:noProof/>
        </w:rPr>
        <w:fldChar w:fldCharType="end"/>
      </w:r>
      <w:r w:rsidRPr="00D14FCF">
        <w:t xml:space="preserve"> - NPV of Investment C</w:t>
      </w:r>
    </w:p>
    <w:p w14:paraId="02F9D2B0" w14:textId="77777777" w:rsidR="00ED745F" w:rsidRPr="00ED745F" w:rsidRDefault="00ED745F" w:rsidP="00ED745F"/>
    <w:p w14:paraId="50E1DE9F" w14:textId="77777777" w:rsidR="00AE06D9" w:rsidRPr="00D14FCF" w:rsidRDefault="00AE06D9" w:rsidP="00AE06D9">
      <w:pPr>
        <w:pStyle w:val="Heading2"/>
      </w:pPr>
      <w:bookmarkStart w:id="37" w:name="_Toc187066105"/>
      <w:bookmarkEnd w:id="35"/>
      <w:r w:rsidRPr="00D14FCF">
        <w:t>I</w:t>
      </w:r>
      <w:r>
        <w:t>RR</w:t>
      </w:r>
      <w:bookmarkEnd w:id="37"/>
    </w:p>
    <w:tbl>
      <w:tblPr>
        <w:tblStyle w:val="ListTable3-Accent5"/>
        <w:tblW w:w="5000" w:type="pct"/>
        <w:tblLook w:val="04A0" w:firstRow="1" w:lastRow="0" w:firstColumn="1" w:lastColumn="0" w:noHBand="0" w:noVBand="1"/>
      </w:tblPr>
      <w:tblGrid>
        <w:gridCol w:w="5054"/>
        <w:gridCol w:w="3967"/>
      </w:tblGrid>
      <w:tr w:rsidR="00AE06D9" w14:paraId="5041EB82" w14:textId="77777777" w:rsidTr="002D76FD">
        <w:trPr>
          <w:cnfStyle w:val="100000000000" w:firstRow="1" w:lastRow="0" w:firstColumn="0" w:lastColumn="0" w:oddVBand="0" w:evenVBand="0" w:oddHBand="0" w:evenHBand="0" w:firstRowFirstColumn="0" w:firstRowLastColumn="0" w:lastRowFirstColumn="0" w:lastRowLastColumn="0"/>
          <w:trHeight w:val="288"/>
        </w:trPr>
        <w:tc>
          <w:tcPr>
            <w:cnfStyle w:val="001000000100" w:firstRow="0" w:lastRow="0" w:firstColumn="1" w:lastColumn="0" w:oddVBand="0" w:evenVBand="0" w:oddHBand="0" w:evenHBand="0" w:firstRowFirstColumn="1" w:firstRowLastColumn="0" w:lastRowFirstColumn="0" w:lastRowLastColumn="0"/>
            <w:tcW w:w="5000" w:type="pct"/>
            <w:gridSpan w:val="2"/>
            <w:noWrap/>
            <w:hideMark/>
          </w:tcPr>
          <w:p w14:paraId="042666C9" w14:textId="77777777" w:rsidR="00AE06D9" w:rsidRPr="00D14FCF" w:rsidRDefault="00AE06D9" w:rsidP="00C64B14">
            <w:pPr>
              <w:spacing w:after="0"/>
              <w:jc w:val="center"/>
              <w:rPr>
                <w:rFonts w:eastAsia="Times New Roman" w:cs="Times New Roman"/>
                <w:b w:val="0"/>
                <w:bCs w:val="0"/>
                <w:color w:val="000000"/>
                <w:szCs w:val="24"/>
                <w:lang w:val="en-IN" w:eastAsia="en-IN"/>
              </w:rPr>
            </w:pPr>
            <w:r w:rsidRPr="00D14FCF">
              <w:rPr>
                <w:rFonts w:eastAsia="Times New Roman" w:cs="Times New Roman"/>
                <w:color w:val="000000"/>
                <w:szCs w:val="24"/>
                <w:lang w:val="en-IN" w:eastAsia="en-IN"/>
              </w:rPr>
              <w:t xml:space="preserve">IRR of </w:t>
            </w:r>
            <w:r>
              <w:rPr>
                <w:rFonts w:eastAsia="Times New Roman" w:cs="Times New Roman"/>
                <w:color w:val="000000"/>
                <w:szCs w:val="24"/>
                <w:lang w:val="en-IN" w:eastAsia="en-IN"/>
              </w:rPr>
              <w:t>plan</w:t>
            </w:r>
            <w:r w:rsidRPr="00D14FCF">
              <w:rPr>
                <w:rFonts w:eastAsia="Times New Roman" w:cs="Times New Roman"/>
                <w:color w:val="000000"/>
                <w:szCs w:val="24"/>
                <w:lang w:val="en-IN" w:eastAsia="en-IN"/>
              </w:rPr>
              <w:t xml:space="preserve"> C</w:t>
            </w:r>
          </w:p>
        </w:tc>
      </w:tr>
      <w:tr w:rsidR="00AE06D9" w14:paraId="4058E3E3" w14:textId="77777777" w:rsidTr="002D76FD">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01" w:type="pct"/>
            <w:noWrap/>
            <w:hideMark/>
          </w:tcPr>
          <w:p w14:paraId="0BF4C6CD" w14:textId="77777777" w:rsidR="00AE06D9" w:rsidRPr="00D14FCF" w:rsidRDefault="00AE06D9" w:rsidP="00C64B14">
            <w:pPr>
              <w:spacing w:after="0"/>
              <w:jc w:val="center"/>
              <w:rPr>
                <w:rFonts w:eastAsia="Times New Roman" w:cs="Times New Roman"/>
                <w:b w:val="0"/>
                <w:bCs w:val="0"/>
                <w:color w:val="000000"/>
                <w:szCs w:val="24"/>
                <w:lang w:val="en-IN" w:eastAsia="en-IN"/>
              </w:rPr>
            </w:pPr>
            <w:r w:rsidRPr="00D14FCF">
              <w:rPr>
                <w:rFonts w:eastAsia="Times New Roman" w:cs="Times New Roman"/>
                <w:color w:val="000000"/>
                <w:szCs w:val="24"/>
                <w:lang w:val="en-IN" w:eastAsia="en-IN"/>
              </w:rPr>
              <w:t xml:space="preserve">Period </w:t>
            </w:r>
          </w:p>
        </w:tc>
        <w:tc>
          <w:tcPr>
            <w:tcW w:w="2199" w:type="pct"/>
            <w:noWrap/>
            <w:hideMark/>
          </w:tcPr>
          <w:p w14:paraId="487B6184" w14:textId="77777777" w:rsidR="00AE06D9" w:rsidRPr="00D14FC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val="en-IN" w:eastAsia="en-IN"/>
              </w:rPr>
            </w:pPr>
            <w:r w:rsidRPr="00D14FCF">
              <w:rPr>
                <w:rFonts w:eastAsia="Times New Roman" w:cs="Times New Roman"/>
                <w:b/>
                <w:bCs/>
                <w:color w:val="000000"/>
                <w:szCs w:val="24"/>
                <w:lang w:val="en-IN" w:eastAsia="en-IN"/>
              </w:rPr>
              <w:t>Cashflows (£)</w:t>
            </w:r>
          </w:p>
        </w:tc>
      </w:tr>
      <w:tr w:rsidR="00AE06D9" w14:paraId="0B8E7B5B" w14:textId="77777777" w:rsidTr="002D76FD">
        <w:trPr>
          <w:trHeight w:val="288"/>
        </w:trPr>
        <w:tc>
          <w:tcPr>
            <w:cnfStyle w:val="001000000000" w:firstRow="0" w:lastRow="0" w:firstColumn="1" w:lastColumn="0" w:oddVBand="0" w:evenVBand="0" w:oddHBand="0" w:evenHBand="0" w:firstRowFirstColumn="0" w:firstRowLastColumn="0" w:lastRowFirstColumn="0" w:lastRowLastColumn="0"/>
            <w:tcW w:w="2801" w:type="pct"/>
            <w:noWrap/>
            <w:hideMark/>
          </w:tcPr>
          <w:p w14:paraId="2D2B5AA0" w14:textId="77777777" w:rsidR="00AE06D9" w:rsidRPr="00D14FCF" w:rsidRDefault="00AE06D9" w:rsidP="00C64B14">
            <w:pPr>
              <w:spacing w:after="0"/>
              <w:jc w:val="center"/>
              <w:rPr>
                <w:rFonts w:eastAsia="Times New Roman" w:cs="Times New Roman"/>
                <w:color w:val="000000"/>
                <w:szCs w:val="24"/>
                <w:lang w:val="en-IN" w:eastAsia="en-IN"/>
              </w:rPr>
            </w:pPr>
            <w:r w:rsidRPr="00D14FCF">
              <w:rPr>
                <w:rFonts w:eastAsia="Times New Roman" w:cs="Times New Roman"/>
                <w:color w:val="000000"/>
                <w:szCs w:val="24"/>
                <w:lang w:val="en-IN" w:eastAsia="en-IN"/>
              </w:rPr>
              <w:t xml:space="preserve">Initial Investment </w:t>
            </w:r>
          </w:p>
        </w:tc>
        <w:tc>
          <w:tcPr>
            <w:tcW w:w="2199" w:type="pct"/>
            <w:noWrap/>
            <w:hideMark/>
          </w:tcPr>
          <w:p w14:paraId="734079D3" w14:textId="46A707FB" w:rsidR="00AE06D9" w:rsidRPr="00D14FCF" w:rsidRDefault="00AE06D9" w:rsidP="00C64B14">
            <w:pPr>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-1</w:t>
            </w:r>
            <w:r w:rsidR="00DE720C">
              <w:rPr>
                <w:rFonts w:eastAsia="Times New Roman" w:cs="Times New Roman"/>
                <w:color w:val="000000"/>
                <w:szCs w:val="24"/>
                <w:lang w:val="en-IN" w:eastAsia="en-IN"/>
              </w:rPr>
              <w:t>,</w:t>
            </w:r>
            <w:r w:rsidRPr="00D14FCF">
              <w:rPr>
                <w:rFonts w:eastAsia="Times New Roman" w:cs="Times New Roman"/>
                <w:color w:val="000000"/>
                <w:szCs w:val="24"/>
                <w:lang w:val="en-IN" w:eastAsia="en-IN"/>
              </w:rPr>
              <w:t>700,000</w:t>
            </w:r>
          </w:p>
        </w:tc>
      </w:tr>
      <w:tr w:rsidR="00AE06D9" w14:paraId="5E7FC4B9" w14:textId="77777777" w:rsidTr="002D76FD">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01" w:type="pct"/>
            <w:noWrap/>
            <w:hideMark/>
          </w:tcPr>
          <w:p w14:paraId="741F1484" w14:textId="77777777" w:rsidR="00AE06D9" w:rsidRPr="00D14FCF" w:rsidRDefault="00AE06D9" w:rsidP="00C64B14">
            <w:pPr>
              <w:spacing w:after="0"/>
              <w:jc w:val="center"/>
              <w:rPr>
                <w:rFonts w:eastAsia="Times New Roman" w:cs="Times New Roman"/>
                <w:color w:val="000000"/>
                <w:szCs w:val="24"/>
                <w:lang w:val="en-IN" w:eastAsia="en-IN"/>
              </w:rPr>
            </w:pPr>
            <w:r w:rsidRPr="00D14FCF">
              <w:rPr>
                <w:rFonts w:eastAsia="Times New Roman" w:cs="Times New Roman"/>
                <w:color w:val="000000"/>
                <w:szCs w:val="24"/>
                <w:lang w:val="en-IN" w:eastAsia="en-IN"/>
              </w:rPr>
              <w:t>1</w:t>
            </w:r>
          </w:p>
        </w:tc>
        <w:tc>
          <w:tcPr>
            <w:tcW w:w="2199" w:type="pct"/>
            <w:noWrap/>
            <w:hideMark/>
          </w:tcPr>
          <w:p w14:paraId="67631093" w14:textId="10EA0B9E" w:rsidR="00AE06D9" w:rsidRPr="00D14FC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500,000</w:t>
            </w:r>
          </w:p>
        </w:tc>
      </w:tr>
      <w:tr w:rsidR="00AE06D9" w14:paraId="48BF9688" w14:textId="77777777" w:rsidTr="002D76FD">
        <w:trPr>
          <w:trHeight w:val="288"/>
        </w:trPr>
        <w:tc>
          <w:tcPr>
            <w:cnfStyle w:val="001000000000" w:firstRow="0" w:lastRow="0" w:firstColumn="1" w:lastColumn="0" w:oddVBand="0" w:evenVBand="0" w:oddHBand="0" w:evenHBand="0" w:firstRowFirstColumn="0" w:firstRowLastColumn="0" w:lastRowFirstColumn="0" w:lastRowLastColumn="0"/>
            <w:tcW w:w="2801" w:type="pct"/>
            <w:noWrap/>
            <w:hideMark/>
          </w:tcPr>
          <w:p w14:paraId="66AAC792" w14:textId="77777777" w:rsidR="00AE06D9" w:rsidRPr="00D14FCF" w:rsidRDefault="00AE06D9" w:rsidP="00C64B14">
            <w:pPr>
              <w:spacing w:after="0"/>
              <w:jc w:val="center"/>
              <w:rPr>
                <w:rFonts w:eastAsia="Times New Roman" w:cs="Times New Roman"/>
                <w:color w:val="000000"/>
                <w:szCs w:val="24"/>
                <w:lang w:val="en-IN" w:eastAsia="en-IN"/>
              </w:rPr>
            </w:pPr>
            <w:r w:rsidRPr="00D14FCF">
              <w:rPr>
                <w:rFonts w:eastAsia="Times New Roman" w:cs="Times New Roman"/>
                <w:color w:val="000000"/>
                <w:szCs w:val="24"/>
                <w:lang w:val="en-IN" w:eastAsia="en-IN"/>
              </w:rPr>
              <w:t>2</w:t>
            </w:r>
          </w:p>
        </w:tc>
        <w:tc>
          <w:tcPr>
            <w:tcW w:w="2199" w:type="pct"/>
            <w:noWrap/>
            <w:hideMark/>
          </w:tcPr>
          <w:p w14:paraId="40B70820" w14:textId="7DCC614B" w:rsidR="00AE06D9" w:rsidRPr="00D14FCF" w:rsidRDefault="00AE06D9" w:rsidP="00C64B14">
            <w:pPr>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800,000</w:t>
            </w:r>
          </w:p>
        </w:tc>
      </w:tr>
      <w:tr w:rsidR="00AE06D9" w14:paraId="2496DF9C" w14:textId="77777777" w:rsidTr="002D76FD">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01" w:type="pct"/>
            <w:noWrap/>
            <w:hideMark/>
          </w:tcPr>
          <w:p w14:paraId="78FEB040" w14:textId="77777777" w:rsidR="00AE06D9" w:rsidRPr="00D14FCF" w:rsidRDefault="00AE06D9" w:rsidP="00C64B14">
            <w:pPr>
              <w:spacing w:after="0"/>
              <w:jc w:val="center"/>
              <w:rPr>
                <w:rFonts w:eastAsia="Times New Roman" w:cs="Times New Roman"/>
                <w:color w:val="000000"/>
                <w:szCs w:val="24"/>
                <w:lang w:val="en-IN" w:eastAsia="en-IN"/>
              </w:rPr>
            </w:pPr>
            <w:r w:rsidRPr="00D14FCF">
              <w:rPr>
                <w:rFonts w:eastAsia="Times New Roman" w:cs="Times New Roman"/>
                <w:color w:val="000000"/>
                <w:szCs w:val="24"/>
                <w:lang w:val="en-IN" w:eastAsia="en-IN"/>
              </w:rPr>
              <w:t>3</w:t>
            </w:r>
          </w:p>
        </w:tc>
        <w:tc>
          <w:tcPr>
            <w:tcW w:w="2199" w:type="pct"/>
            <w:noWrap/>
            <w:hideMark/>
          </w:tcPr>
          <w:p w14:paraId="5DBC8714" w14:textId="156E0FC0" w:rsidR="00AE06D9" w:rsidRPr="00D14FCF" w:rsidRDefault="00AE06D9" w:rsidP="00C64B14">
            <w:pPr>
              <w:spacing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1</w:t>
            </w:r>
            <w:r w:rsidR="00DE720C">
              <w:rPr>
                <w:rFonts w:eastAsia="Times New Roman" w:cs="Times New Roman"/>
                <w:color w:val="000000"/>
                <w:szCs w:val="24"/>
                <w:lang w:val="en-IN" w:eastAsia="en-IN"/>
              </w:rPr>
              <w:t>,</w:t>
            </w:r>
            <w:r w:rsidRPr="00D14FCF">
              <w:rPr>
                <w:rFonts w:eastAsia="Times New Roman" w:cs="Times New Roman"/>
                <w:color w:val="000000"/>
                <w:szCs w:val="24"/>
                <w:lang w:val="en-IN" w:eastAsia="en-IN"/>
              </w:rPr>
              <w:t>050,000</w:t>
            </w:r>
          </w:p>
        </w:tc>
      </w:tr>
      <w:tr w:rsidR="00AE06D9" w14:paraId="6FB2FBF5" w14:textId="77777777" w:rsidTr="002D76FD">
        <w:trPr>
          <w:trHeight w:val="288"/>
        </w:trPr>
        <w:tc>
          <w:tcPr>
            <w:cnfStyle w:val="001000000000" w:firstRow="0" w:lastRow="0" w:firstColumn="1" w:lastColumn="0" w:oddVBand="0" w:evenVBand="0" w:oddHBand="0" w:evenHBand="0" w:firstRowFirstColumn="0" w:firstRowLastColumn="0" w:lastRowFirstColumn="0" w:lastRowLastColumn="0"/>
            <w:tcW w:w="2801" w:type="pct"/>
            <w:noWrap/>
            <w:hideMark/>
          </w:tcPr>
          <w:p w14:paraId="4B0D393D" w14:textId="77777777" w:rsidR="00AE06D9" w:rsidRPr="00D14FCF" w:rsidRDefault="00AE06D9" w:rsidP="00C64B14">
            <w:pPr>
              <w:spacing w:after="0"/>
              <w:jc w:val="center"/>
              <w:rPr>
                <w:rFonts w:eastAsia="Times New Roman" w:cs="Times New Roman"/>
                <w:color w:val="000000"/>
                <w:szCs w:val="24"/>
                <w:lang w:val="en-IN" w:eastAsia="en-IN"/>
              </w:rPr>
            </w:pPr>
            <w:r w:rsidRPr="00D14FCF">
              <w:rPr>
                <w:rFonts w:eastAsia="Times New Roman" w:cs="Times New Roman"/>
                <w:color w:val="000000"/>
                <w:szCs w:val="24"/>
                <w:lang w:val="en-IN" w:eastAsia="en-IN"/>
              </w:rPr>
              <w:t>4</w:t>
            </w:r>
          </w:p>
        </w:tc>
        <w:tc>
          <w:tcPr>
            <w:tcW w:w="2199" w:type="pct"/>
            <w:noWrap/>
            <w:hideMark/>
          </w:tcPr>
          <w:p w14:paraId="5559C3A2" w14:textId="66F81A79" w:rsidR="00AE06D9" w:rsidRPr="00D14FCF" w:rsidRDefault="00AE06D9" w:rsidP="00C64B14">
            <w:pPr>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1</w:t>
            </w:r>
            <w:r w:rsidR="00DE720C">
              <w:rPr>
                <w:rFonts w:eastAsia="Times New Roman" w:cs="Times New Roman"/>
                <w:color w:val="000000"/>
                <w:szCs w:val="24"/>
                <w:lang w:val="en-IN" w:eastAsia="en-IN"/>
              </w:rPr>
              <w:t>,</w:t>
            </w:r>
            <w:r w:rsidRPr="00D14FCF">
              <w:rPr>
                <w:rFonts w:eastAsia="Times New Roman" w:cs="Times New Roman"/>
                <w:color w:val="000000"/>
                <w:szCs w:val="24"/>
                <w:lang w:val="en-IN" w:eastAsia="en-IN"/>
              </w:rPr>
              <w:t>200,000</w:t>
            </w:r>
          </w:p>
        </w:tc>
      </w:tr>
      <w:tr w:rsidR="00AE06D9" w14:paraId="0512157D" w14:textId="77777777" w:rsidTr="002D76FD">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01" w:type="pct"/>
            <w:noWrap/>
            <w:hideMark/>
          </w:tcPr>
          <w:p w14:paraId="4078EB9A" w14:textId="77777777" w:rsidR="00AE06D9" w:rsidRPr="00D14FCF" w:rsidRDefault="00AE06D9" w:rsidP="00C64B14">
            <w:pPr>
              <w:spacing w:after="0"/>
              <w:jc w:val="center"/>
              <w:rPr>
                <w:rFonts w:eastAsia="Times New Roman" w:cs="Times New Roman"/>
                <w:color w:val="000000"/>
                <w:szCs w:val="24"/>
                <w:lang w:val="en-IN" w:eastAsia="en-IN"/>
              </w:rPr>
            </w:pPr>
            <w:r w:rsidRPr="00D14FCF">
              <w:rPr>
                <w:rFonts w:eastAsia="Times New Roman" w:cs="Times New Roman"/>
                <w:color w:val="000000"/>
                <w:szCs w:val="24"/>
                <w:lang w:val="en-IN" w:eastAsia="en-IN"/>
              </w:rPr>
              <w:t> </w:t>
            </w:r>
          </w:p>
        </w:tc>
        <w:tc>
          <w:tcPr>
            <w:tcW w:w="2199" w:type="pct"/>
            <w:noWrap/>
            <w:hideMark/>
          </w:tcPr>
          <w:p w14:paraId="79F347B0" w14:textId="77777777" w:rsidR="00AE06D9" w:rsidRPr="00D14FCF" w:rsidRDefault="00AE06D9" w:rsidP="00C64B14">
            <w:pPr>
              <w:spacing w:after="0"/>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IN" w:eastAsia="en-IN"/>
              </w:rPr>
            </w:pPr>
            <w:r w:rsidRPr="00D14FCF">
              <w:rPr>
                <w:rFonts w:eastAsia="Times New Roman" w:cs="Times New Roman"/>
                <w:color w:val="000000"/>
                <w:szCs w:val="24"/>
                <w:lang w:val="en-IN" w:eastAsia="en-IN"/>
              </w:rPr>
              <w:t> </w:t>
            </w:r>
          </w:p>
        </w:tc>
      </w:tr>
      <w:tr w:rsidR="00AE06D9" w14:paraId="034E7C7D" w14:textId="77777777" w:rsidTr="002D76FD">
        <w:trPr>
          <w:trHeight w:val="288"/>
        </w:trPr>
        <w:tc>
          <w:tcPr>
            <w:cnfStyle w:val="001000000000" w:firstRow="0" w:lastRow="0" w:firstColumn="1" w:lastColumn="0" w:oddVBand="0" w:evenVBand="0" w:oddHBand="0" w:evenHBand="0" w:firstRowFirstColumn="0" w:firstRowLastColumn="0" w:lastRowFirstColumn="0" w:lastRowLastColumn="0"/>
            <w:tcW w:w="2801" w:type="pct"/>
            <w:noWrap/>
            <w:hideMark/>
          </w:tcPr>
          <w:p w14:paraId="21CF1B47" w14:textId="77777777" w:rsidR="00AE06D9" w:rsidRPr="00D14FCF" w:rsidRDefault="00AE06D9" w:rsidP="00C64B14">
            <w:pPr>
              <w:spacing w:after="0"/>
              <w:jc w:val="center"/>
              <w:rPr>
                <w:rFonts w:eastAsia="Times New Roman" w:cs="Times New Roman"/>
                <w:b w:val="0"/>
                <w:bCs w:val="0"/>
                <w:color w:val="000000"/>
                <w:szCs w:val="24"/>
                <w:lang w:val="en-IN" w:eastAsia="en-IN"/>
              </w:rPr>
            </w:pPr>
            <w:r w:rsidRPr="00D14FCF">
              <w:rPr>
                <w:rFonts w:eastAsia="Times New Roman" w:cs="Times New Roman"/>
                <w:color w:val="000000"/>
                <w:szCs w:val="24"/>
                <w:lang w:val="en-IN" w:eastAsia="en-IN"/>
              </w:rPr>
              <w:t>IRR</w:t>
            </w:r>
          </w:p>
        </w:tc>
        <w:tc>
          <w:tcPr>
            <w:tcW w:w="2199" w:type="pct"/>
            <w:noWrap/>
            <w:hideMark/>
          </w:tcPr>
          <w:p w14:paraId="2156357B" w14:textId="77777777" w:rsidR="00AE06D9" w:rsidRPr="00D14FCF" w:rsidRDefault="00AE06D9" w:rsidP="00C64B14">
            <w:pPr>
              <w:keepNext/>
              <w:spacing w:after="0"/>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val="en-IN" w:eastAsia="en-IN"/>
              </w:rPr>
            </w:pPr>
            <w:r w:rsidRPr="00D14FCF">
              <w:rPr>
                <w:rFonts w:eastAsia="Times New Roman" w:cs="Times New Roman"/>
                <w:b/>
                <w:bCs/>
                <w:color w:val="000000"/>
                <w:szCs w:val="24"/>
                <w:lang w:val="en-IN" w:eastAsia="en-IN"/>
              </w:rPr>
              <w:t>32%</w:t>
            </w:r>
          </w:p>
        </w:tc>
      </w:tr>
    </w:tbl>
    <w:p w14:paraId="750A81DA" w14:textId="366D0819" w:rsidR="00AE06D9" w:rsidRPr="00AE1B03" w:rsidRDefault="00AE06D9" w:rsidP="00AE06D9">
      <w:pPr>
        <w:pStyle w:val="Caption"/>
        <w:rPr>
          <w:b/>
          <w:bCs/>
        </w:rPr>
      </w:pPr>
      <w:r w:rsidRPr="00D14FCF">
        <w:t xml:space="preserve">Table </w:t>
      </w:r>
      <w:r w:rsidRPr="00D14FCF">
        <w:fldChar w:fldCharType="begin"/>
      </w:r>
      <w:r>
        <w:instrText xml:space="preserve"> SEQ Table \* ARABIC </w:instrText>
      </w:r>
      <w:r w:rsidRPr="00D14FCF">
        <w:fldChar w:fldCharType="separate"/>
      </w:r>
      <w:r w:rsidR="000E57E8">
        <w:rPr>
          <w:noProof/>
        </w:rPr>
        <w:t>5</w:t>
      </w:r>
      <w:r w:rsidRPr="00D14FCF">
        <w:rPr>
          <w:noProof/>
        </w:rPr>
        <w:fldChar w:fldCharType="end"/>
      </w:r>
      <w:r w:rsidRPr="00D14FCF">
        <w:t xml:space="preserve"> - IRR of the chosen investment</w:t>
      </w:r>
    </w:p>
    <w:p w14:paraId="14127E54" w14:textId="77777777" w:rsidR="00DD598E" w:rsidRDefault="00DD598E" w:rsidP="00ED4D6A">
      <w:pPr>
        <w:spacing w:after="0"/>
      </w:pPr>
    </w:p>
    <w:tbl>
      <w:tblPr>
        <w:tblStyle w:val="ListTable3-Accent5"/>
        <w:tblW w:w="0" w:type="auto"/>
        <w:tblLook w:val="04A0" w:firstRow="1" w:lastRow="0" w:firstColumn="1" w:lastColumn="0" w:noHBand="0" w:noVBand="1"/>
      </w:tblPr>
      <w:tblGrid>
        <w:gridCol w:w="1351"/>
        <w:gridCol w:w="1460"/>
        <w:gridCol w:w="1493"/>
        <w:gridCol w:w="2000"/>
      </w:tblGrid>
      <w:tr w:rsidR="00DD598E" w:rsidRPr="00DD598E" w14:paraId="0E18A7F4" w14:textId="77777777" w:rsidTr="0057380B">
        <w:trPr>
          <w:cnfStyle w:val="100000000000" w:firstRow="1" w:lastRow="0" w:firstColumn="0" w:lastColumn="0" w:oddVBand="0" w:evenVBand="0" w:oddHBand="0" w:evenHBand="0" w:firstRowFirstColumn="0" w:firstRowLastColumn="0" w:lastRowFirstColumn="0" w:lastRowLastColumn="0"/>
          <w:trHeight w:val="288"/>
        </w:trPr>
        <w:tc>
          <w:tcPr>
            <w:cnfStyle w:val="001000000100" w:firstRow="0" w:lastRow="0" w:firstColumn="1" w:lastColumn="0" w:oddVBand="0" w:evenVBand="0" w:oddHBand="0" w:evenHBand="0" w:firstRowFirstColumn="1" w:firstRowLastColumn="0" w:lastRowFirstColumn="0" w:lastRowLastColumn="0"/>
            <w:tcW w:w="1300" w:type="dxa"/>
            <w:noWrap/>
            <w:hideMark/>
          </w:tcPr>
          <w:p w14:paraId="18660A89" w14:textId="77777777" w:rsidR="00DD598E" w:rsidRPr="0057380B" w:rsidRDefault="00DD598E" w:rsidP="00DD598E">
            <w:pPr>
              <w:spacing w:after="0"/>
              <w:rPr>
                <w:b w:val="0"/>
                <w:bCs w:val="0"/>
                <w:color w:val="auto"/>
              </w:rPr>
            </w:pPr>
            <w:r w:rsidRPr="0057380B">
              <w:rPr>
                <w:color w:val="auto"/>
              </w:rPr>
              <w:t xml:space="preserve">Investment </w:t>
            </w:r>
          </w:p>
        </w:tc>
        <w:tc>
          <w:tcPr>
            <w:tcW w:w="1460" w:type="dxa"/>
            <w:noWrap/>
            <w:hideMark/>
          </w:tcPr>
          <w:p w14:paraId="1DAEFB98" w14:textId="77777777" w:rsidR="00DD598E" w:rsidRPr="0057380B" w:rsidRDefault="00DD598E" w:rsidP="00DD598E">
            <w:pPr>
              <w:spacing w:after="0"/>
              <w:cnfStyle w:val="100000000000" w:firstRow="1" w:lastRow="0" w:firstColumn="0" w:lastColumn="0" w:oddVBand="0" w:evenVBand="0" w:oddHBand="0" w:evenHBand="0" w:firstRowFirstColumn="0" w:firstRowLastColumn="0" w:lastRowFirstColumn="0" w:lastRowLastColumn="0"/>
              <w:rPr>
                <w:b w:val="0"/>
                <w:bCs w:val="0"/>
                <w:color w:val="auto"/>
              </w:rPr>
            </w:pPr>
            <w:r w:rsidRPr="0057380B">
              <w:rPr>
                <w:color w:val="auto"/>
              </w:rPr>
              <w:t xml:space="preserve">Initial Cost (£) </w:t>
            </w:r>
          </w:p>
        </w:tc>
        <w:tc>
          <w:tcPr>
            <w:tcW w:w="1420" w:type="dxa"/>
            <w:noWrap/>
            <w:hideMark/>
          </w:tcPr>
          <w:p w14:paraId="5CF6B72E" w14:textId="77777777" w:rsidR="00DD598E" w:rsidRPr="0057380B" w:rsidRDefault="00DD598E" w:rsidP="00DD598E">
            <w:pPr>
              <w:spacing w:after="0"/>
              <w:cnfStyle w:val="100000000000" w:firstRow="1" w:lastRow="0" w:firstColumn="0" w:lastColumn="0" w:oddVBand="0" w:evenVBand="0" w:oddHBand="0" w:evenHBand="0" w:firstRowFirstColumn="0" w:firstRowLastColumn="0" w:lastRowFirstColumn="0" w:lastRowLastColumn="0"/>
              <w:rPr>
                <w:b w:val="0"/>
                <w:bCs w:val="0"/>
                <w:color w:val="auto"/>
              </w:rPr>
            </w:pPr>
            <w:r w:rsidRPr="0057380B">
              <w:rPr>
                <w:color w:val="auto"/>
              </w:rPr>
              <w:t>NPV (£)</w:t>
            </w:r>
          </w:p>
        </w:tc>
        <w:tc>
          <w:tcPr>
            <w:tcW w:w="2000" w:type="dxa"/>
            <w:noWrap/>
            <w:hideMark/>
          </w:tcPr>
          <w:p w14:paraId="7FDE4C0E" w14:textId="77777777" w:rsidR="00DD598E" w:rsidRPr="0057380B" w:rsidRDefault="00DD598E" w:rsidP="00DD598E">
            <w:pPr>
              <w:spacing w:after="0"/>
              <w:cnfStyle w:val="100000000000" w:firstRow="1" w:lastRow="0" w:firstColumn="0" w:lastColumn="0" w:oddVBand="0" w:evenVBand="0" w:oddHBand="0" w:evenHBand="0" w:firstRowFirstColumn="0" w:firstRowLastColumn="0" w:lastRowFirstColumn="0" w:lastRowLastColumn="0"/>
              <w:rPr>
                <w:b w:val="0"/>
                <w:bCs w:val="0"/>
                <w:color w:val="auto"/>
              </w:rPr>
            </w:pPr>
            <w:r w:rsidRPr="0057380B">
              <w:rPr>
                <w:color w:val="auto"/>
              </w:rPr>
              <w:t xml:space="preserve">NPV to cost ratio </w:t>
            </w:r>
          </w:p>
        </w:tc>
      </w:tr>
      <w:tr w:rsidR="00DD598E" w:rsidRPr="00DD598E" w14:paraId="413074AF" w14:textId="77777777" w:rsidTr="0057380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300" w:type="dxa"/>
            <w:noWrap/>
            <w:hideMark/>
          </w:tcPr>
          <w:p w14:paraId="62F000A6" w14:textId="77777777" w:rsidR="00DD598E" w:rsidRPr="00DD598E" w:rsidRDefault="00DD598E" w:rsidP="00DD598E">
            <w:pPr>
              <w:spacing w:after="0"/>
              <w:rPr>
                <w:b w:val="0"/>
                <w:bCs w:val="0"/>
              </w:rPr>
            </w:pPr>
            <w:r w:rsidRPr="00DD598E">
              <w:t>A</w:t>
            </w:r>
          </w:p>
        </w:tc>
        <w:tc>
          <w:tcPr>
            <w:tcW w:w="1460" w:type="dxa"/>
            <w:noWrap/>
            <w:hideMark/>
          </w:tcPr>
          <w:p w14:paraId="2C55C54F" w14:textId="77777777" w:rsidR="00DD598E" w:rsidRPr="00DD598E" w:rsidRDefault="00DD598E" w:rsidP="00DD598E">
            <w:pPr>
              <w:spacing w:after="0"/>
              <w:cnfStyle w:val="000000100000" w:firstRow="0" w:lastRow="0" w:firstColumn="0" w:lastColumn="0" w:oddVBand="0" w:evenVBand="0" w:oddHBand="1" w:evenHBand="0" w:firstRowFirstColumn="0" w:firstRowLastColumn="0" w:lastRowFirstColumn="0" w:lastRowLastColumn="0"/>
            </w:pPr>
            <w:r w:rsidRPr="00DD598E">
              <w:t>660,000</w:t>
            </w:r>
          </w:p>
        </w:tc>
        <w:tc>
          <w:tcPr>
            <w:tcW w:w="1420" w:type="dxa"/>
            <w:noWrap/>
            <w:hideMark/>
          </w:tcPr>
          <w:p w14:paraId="717F3BD7" w14:textId="7B2EACD3" w:rsidR="00DD598E" w:rsidRPr="00DD598E" w:rsidRDefault="003D708F" w:rsidP="00DD598E">
            <w:pPr>
              <w:spacing w:after="0"/>
              <w:cnfStyle w:val="000000100000" w:firstRow="0" w:lastRow="0" w:firstColumn="0" w:lastColumn="0" w:oddVBand="0" w:evenVBand="0" w:oddHBand="1" w:evenHBand="0" w:firstRowFirstColumn="0" w:firstRowLastColumn="0" w:lastRowFirstColumn="0" w:lastRowLastColumn="0"/>
            </w:pPr>
            <w:r>
              <w:t>2072892.953</w:t>
            </w:r>
          </w:p>
        </w:tc>
        <w:tc>
          <w:tcPr>
            <w:tcW w:w="2000" w:type="dxa"/>
            <w:noWrap/>
            <w:hideMark/>
          </w:tcPr>
          <w:p w14:paraId="3927A6A2" w14:textId="1ADF90A7" w:rsidR="00DD598E" w:rsidRPr="00DD598E" w:rsidRDefault="003D708F" w:rsidP="00DD598E">
            <w:pPr>
              <w:spacing w:after="0"/>
              <w:cnfStyle w:val="000000100000" w:firstRow="0" w:lastRow="0" w:firstColumn="0" w:lastColumn="0" w:oddVBand="0" w:evenVBand="0" w:oddHBand="1" w:evenHBand="0" w:firstRowFirstColumn="0" w:firstRowLastColumn="0" w:lastRowFirstColumn="0" w:lastRowLastColumn="0"/>
            </w:pPr>
            <w:r>
              <w:t>3</w:t>
            </w:r>
            <w:r w:rsidR="00DD598E" w:rsidRPr="00DD598E">
              <w:t>.14</w:t>
            </w:r>
          </w:p>
        </w:tc>
      </w:tr>
      <w:tr w:rsidR="00DD598E" w:rsidRPr="00DD598E" w14:paraId="0405BD48" w14:textId="77777777" w:rsidTr="0057380B">
        <w:trPr>
          <w:trHeight w:val="288"/>
        </w:trPr>
        <w:tc>
          <w:tcPr>
            <w:cnfStyle w:val="001000000000" w:firstRow="0" w:lastRow="0" w:firstColumn="1" w:lastColumn="0" w:oddVBand="0" w:evenVBand="0" w:oddHBand="0" w:evenHBand="0" w:firstRowFirstColumn="0" w:firstRowLastColumn="0" w:lastRowFirstColumn="0" w:lastRowLastColumn="0"/>
            <w:tcW w:w="1300" w:type="dxa"/>
            <w:noWrap/>
            <w:hideMark/>
          </w:tcPr>
          <w:p w14:paraId="7AF943A0" w14:textId="77777777" w:rsidR="00DD598E" w:rsidRPr="00DD598E" w:rsidRDefault="00DD598E" w:rsidP="00DD598E">
            <w:pPr>
              <w:spacing w:after="0"/>
              <w:rPr>
                <w:b w:val="0"/>
                <w:bCs w:val="0"/>
              </w:rPr>
            </w:pPr>
            <w:r w:rsidRPr="00DD598E">
              <w:t>B</w:t>
            </w:r>
          </w:p>
        </w:tc>
        <w:tc>
          <w:tcPr>
            <w:tcW w:w="1460" w:type="dxa"/>
            <w:noWrap/>
            <w:hideMark/>
          </w:tcPr>
          <w:p w14:paraId="47A43A19" w14:textId="77777777" w:rsidR="00DD598E" w:rsidRPr="00DD598E" w:rsidRDefault="00DD598E" w:rsidP="00DD598E">
            <w:pPr>
              <w:spacing w:after="0"/>
              <w:cnfStyle w:val="000000000000" w:firstRow="0" w:lastRow="0" w:firstColumn="0" w:lastColumn="0" w:oddVBand="0" w:evenVBand="0" w:oddHBand="0" w:evenHBand="0" w:firstRowFirstColumn="0" w:firstRowLastColumn="0" w:lastRowFirstColumn="0" w:lastRowLastColumn="0"/>
            </w:pPr>
            <w:r w:rsidRPr="00DD598E">
              <w:t>1,000,000</w:t>
            </w:r>
          </w:p>
        </w:tc>
        <w:tc>
          <w:tcPr>
            <w:tcW w:w="1420" w:type="dxa"/>
            <w:noWrap/>
            <w:hideMark/>
          </w:tcPr>
          <w:p w14:paraId="0255BD5C" w14:textId="77777777" w:rsidR="00DD598E" w:rsidRPr="00DD598E" w:rsidRDefault="00DD598E" w:rsidP="00DD598E">
            <w:pPr>
              <w:spacing w:after="0"/>
              <w:cnfStyle w:val="000000000000" w:firstRow="0" w:lastRow="0" w:firstColumn="0" w:lastColumn="0" w:oddVBand="0" w:evenVBand="0" w:oddHBand="0" w:evenHBand="0" w:firstRowFirstColumn="0" w:firstRowLastColumn="0" w:lastRowFirstColumn="0" w:lastRowLastColumn="0"/>
            </w:pPr>
            <w:r w:rsidRPr="00DD598E">
              <w:t>1301418.633</w:t>
            </w:r>
          </w:p>
        </w:tc>
        <w:tc>
          <w:tcPr>
            <w:tcW w:w="2000" w:type="dxa"/>
            <w:noWrap/>
            <w:hideMark/>
          </w:tcPr>
          <w:p w14:paraId="2E4E1198" w14:textId="77777777" w:rsidR="00DD598E" w:rsidRPr="00DD598E" w:rsidRDefault="00DD598E" w:rsidP="00DD598E">
            <w:pPr>
              <w:spacing w:after="0"/>
              <w:cnfStyle w:val="000000000000" w:firstRow="0" w:lastRow="0" w:firstColumn="0" w:lastColumn="0" w:oddVBand="0" w:evenVBand="0" w:oddHBand="0" w:evenHBand="0" w:firstRowFirstColumn="0" w:firstRowLastColumn="0" w:lastRowFirstColumn="0" w:lastRowLastColumn="0"/>
            </w:pPr>
            <w:r w:rsidRPr="00DD598E">
              <w:t>1.30</w:t>
            </w:r>
          </w:p>
        </w:tc>
      </w:tr>
      <w:tr w:rsidR="00DD598E" w:rsidRPr="00DD598E" w14:paraId="50A87821" w14:textId="77777777" w:rsidTr="0057380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300" w:type="dxa"/>
            <w:noWrap/>
            <w:hideMark/>
          </w:tcPr>
          <w:p w14:paraId="6B3B1B17" w14:textId="77777777" w:rsidR="00DD598E" w:rsidRPr="00DD598E" w:rsidRDefault="00DD598E" w:rsidP="00DD598E">
            <w:pPr>
              <w:spacing w:after="0"/>
              <w:rPr>
                <w:b w:val="0"/>
                <w:bCs w:val="0"/>
              </w:rPr>
            </w:pPr>
            <w:r w:rsidRPr="00DD598E">
              <w:t>C</w:t>
            </w:r>
          </w:p>
        </w:tc>
        <w:tc>
          <w:tcPr>
            <w:tcW w:w="1460" w:type="dxa"/>
            <w:noWrap/>
            <w:hideMark/>
          </w:tcPr>
          <w:p w14:paraId="558B3A70" w14:textId="77777777" w:rsidR="00DD598E" w:rsidRPr="00DD598E" w:rsidRDefault="00DD598E" w:rsidP="00DD598E">
            <w:pPr>
              <w:spacing w:after="0"/>
              <w:cnfStyle w:val="000000100000" w:firstRow="0" w:lastRow="0" w:firstColumn="0" w:lastColumn="0" w:oddVBand="0" w:evenVBand="0" w:oddHBand="1" w:evenHBand="0" w:firstRowFirstColumn="0" w:firstRowLastColumn="0" w:lastRowFirstColumn="0" w:lastRowLastColumn="0"/>
            </w:pPr>
            <w:r w:rsidRPr="00DD598E">
              <w:t>1,700,000</w:t>
            </w:r>
          </w:p>
        </w:tc>
        <w:tc>
          <w:tcPr>
            <w:tcW w:w="1420" w:type="dxa"/>
            <w:noWrap/>
            <w:hideMark/>
          </w:tcPr>
          <w:p w14:paraId="594DC8E8" w14:textId="77777777" w:rsidR="00DD598E" w:rsidRPr="00DD598E" w:rsidRDefault="00DD598E" w:rsidP="00DD598E">
            <w:pPr>
              <w:spacing w:after="0"/>
              <w:cnfStyle w:val="000000100000" w:firstRow="0" w:lastRow="0" w:firstColumn="0" w:lastColumn="0" w:oddVBand="0" w:evenVBand="0" w:oddHBand="1" w:evenHBand="0" w:firstRowFirstColumn="0" w:firstRowLastColumn="0" w:lastRowFirstColumn="0" w:lastRowLastColumn="0"/>
            </w:pPr>
            <w:r w:rsidRPr="00DD598E">
              <w:t>1315807.908</w:t>
            </w:r>
          </w:p>
        </w:tc>
        <w:tc>
          <w:tcPr>
            <w:tcW w:w="2000" w:type="dxa"/>
            <w:noWrap/>
            <w:hideMark/>
          </w:tcPr>
          <w:p w14:paraId="18214D8A" w14:textId="77777777" w:rsidR="00DD598E" w:rsidRPr="00DD598E" w:rsidRDefault="00DD598E" w:rsidP="00DD598E">
            <w:pPr>
              <w:spacing w:after="0"/>
              <w:cnfStyle w:val="000000100000" w:firstRow="0" w:lastRow="0" w:firstColumn="0" w:lastColumn="0" w:oddVBand="0" w:evenVBand="0" w:oddHBand="1" w:evenHBand="0" w:firstRowFirstColumn="0" w:firstRowLastColumn="0" w:lastRowFirstColumn="0" w:lastRowLastColumn="0"/>
            </w:pPr>
            <w:r w:rsidRPr="00DD598E">
              <w:t>0.77</w:t>
            </w:r>
          </w:p>
        </w:tc>
      </w:tr>
    </w:tbl>
    <w:p w14:paraId="4BDF1CE5" w14:textId="77777777" w:rsidR="00E80DCC" w:rsidRDefault="00E80DCC" w:rsidP="00ED4D6A">
      <w:pPr>
        <w:spacing w:after="0"/>
      </w:pPr>
    </w:p>
    <w:tbl>
      <w:tblPr>
        <w:tblW w:w="5740" w:type="dxa"/>
        <w:tblLook w:val="04A0" w:firstRow="1" w:lastRow="0" w:firstColumn="1" w:lastColumn="0" w:noHBand="0" w:noVBand="1"/>
      </w:tblPr>
      <w:tblGrid>
        <w:gridCol w:w="960"/>
        <w:gridCol w:w="1280"/>
        <w:gridCol w:w="1900"/>
        <w:gridCol w:w="1600"/>
      </w:tblGrid>
      <w:tr w:rsidR="00E80DCC" w:rsidRPr="00E80DCC" w14:paraId="682A9AA1" w14:textId="77777777" w:rsidTr="00E80DCC">
        <w:trPr>
          <w:trHeight w:val="288"/>
        </w:trPr>
        <w:tc>
          <w:tcPr>
            <w:tcW w:w="960" w:type="dxa"/>
            <w:tcBorders>
              <w:top w:val="nil"/>
              <w:left w:val="nil"/>
              <w:bottom w:val="nil"/>
              <w:right w:val="nil"/>
            </w:tcBorders>
            <w:shd w:val="clear" w:color="auto" w:fill="auto"/>
            <w:noWrap/>
            <w:vAlign w:val="bottom"/>
            <w:hideMark/>
          </w:tcPr>
          <w:p w14:paraId="2C83111B" w14:textId="77777777" w:rsidR="00E80DCC" w:rsidRPr="00E80DCC" w:rsidRDefault="00E80DCC" w:rsidP="00E80DCC">
            <w:pPr>
              <w:spacing w:after="0" w:line="240" w:lineRule="auto"/>
              <w:jc w:val="left"/>
              <w:rPr>
                <w:rFonts w:ascii="Times New Roman" w:eastAsia="Times New Roman" w:hAnsi="Times New Roman" w:cs="Times New Roman"/>
                <w:noProof w:val="0"/>
                <w:sz w:val="20"/>
                <w:szCs w:val="24"/>
                <w:lang w:eastAsia="en-GB"/>
              </w:rPr>
            </w:pPr>
          </w:p>
        </w:tc>
        <w:tc>
          <w:tcPr>
            <w:tcW w:w="1280" w:type="dxa"/>
            <w:tcBorders>
              <w:top w:val="nil"/>
              <w:left w:val="nil"/>
              <w:bottom w:val="nil"/>
              <w:right w:val="nil"/>
            </w:tcBorders>
            <w:shd w:val="clear" w:color="auto" w:fill="auto"/>
            <w:noWrap/>
            <w:vAlign w:val="bottom"/>
            <w:hideMark/>
          </w:tcPr>
          <w:p w14:paraId="3B34077C" w14:textId="77777777" w:rsidR="00E80DCC" w:rsidRPr="00E80DCC" w:rsidRDefault="00E80DCC" w:rsidP="00E80DCC">
            <w:pPr>
              <w:spacing w:after="0" w:line="240" w:lineRule="auto"/>
              <w:jc w:val="left"/>
              <w:rPr>
                <w:rFonts w:ascii="Times New Roman" w:eastAsia="Times New Roman" w:hAnsi="Times New Roman" w:cs="Times New Roman"/>
                <w:noProof w:val="0"/>
                <w:sz w:val="20"/>
                <w:szCs w:val="20"/>
                <w:lang w:eastAsia="en-GB"/>
              </w:rPr>
            </w:pPr>
          </w:p>
        </w:tc>
        <w:tc>
          <w:tcPr>
            <w:tcW w:w="1900" w:type="dxa"/>
            <w:tcBorders>
              <w:top w:val="nil"/>
              <w:left w:val="nil"/>
              <w:bottom w:val="nil"/>
              <w:right w:val="nil"/>
            </w:tcBorders>
            <w:shd w:val="clear" w:color="auto" w:fill="auto"/>
            <w:noWrap/>
            <w:vAlign w:val="bottom"/>
            <w:hideMark/>
          </w:tcPr>
          <w:p w14:paraId="560FEF3F" w14:textId="77777777" w:rsidR="00E80DCC" w:rsidRPr="00E80DCC" w:rsidRDefault="00E80DCC" w:rsidP="00E80DCC">
            <w:pPr>
              <w:spacing w:after="0" w:line="240" w:lineRule="auto"/>
              <w:jc w:val="left"/>
              <w:rPr>
                <w:rFonts w:ascii="Times New Roman" w:eastAsia="Times New Roman" w:hAnsi="Times New Roman" w:cs="Times New Roman"/>
                <w:noProof w:val="0"/>
                <w:sz w:val="20"/>
                <w:szCs w:val="20"/>
                <w:lang w:eastAsia="en-GB"/>
              </w:rPr>
            </w:pPr>
          </w:p>
        </w:tc>
        <w:tc>
          <w:tcPr>
            <w:tcW w:w="1600" w:type="dxa"/>
            <w:tcBorders>
              <w:top w:val="nil"/>
              <w:left w:val="nil"/>
              <w:bottom w:val="nil"/>
              <w:right w:val="nil"/>
            </w:tcBorders>
            <w:shd w:val="clear" w:color="auto" w:fill="auto"/>
            <w:noWrap/>
            <w:vAlign w:val="bottom"/>
            <w:hideMark/>
          </w:tcPr>
          <w:p w14:paraId="3C5A1D80" w14:textId="77777777" w:rsidR="00E80DCC" w:rsidRPr="00E80DCC" w:rsidRDefault="00E80DCC" w:rsidP="00E80DCC">
            <w:pPr>
              <w:spacing w:after="0" w:line="240" w:lineRule="auto"/>
              <w:jc w:val="left"/>
              <w:rPr>
                <w:rFonts w:ascii="Times New Roman" w:eastAsia="Times New Roman" w:hAnsi="Times New Roman" w:cs="Times New Roman"/>
                <w:noProof w:val="0"/>
                <w:sz w:val="20"/>
                <w:szCs w:val="20"/>
                <w:lang w:eastAsia="en-GB"/>
              </w:rPr>
            </w:pPr>
          </w:p>
        </w:tc>
      </w:tr>
      <w:tr w:rsidR="006A651B" w:rsidRPr="00E80DCC" w14:paraId="14442484" w14:textId="77777777" w:rsidTr="00E80DCC">
        <w:trPr>
          <w:trHeight w:val="288"/>
        </w:trPr>
        <w:tc>
          <w:tcPr>
            <w:tcW w:w="960" w:type="dxa"/>
            <w:tcBorders>
              <w:top w:val="nil"/>
              <w:left w:val="nil"/>
              <w:bottom w:val="nil"/>
              <w:right w:val="nil"/>
            </w:tcBorders>
            <w:shd w:val="clear" w:color="auto" w:fill="auto"/>
            <w:noWrap/>
            <w:vAlign w:val="bottom"/>
          </w:tcPr>
          <w:p w14:paraId="6B0F3920" w14:textId="77777777" w:rsidR="006A651B" w:rsidRPr="00E80DCC" w:rsidRDefault="006A651B" w:rsidP="00E80DCC">
            <w:pPr>
              <w:spacing w:after="0" w:line="240" w:lineRule="auto"/>
              <w:jc w:val="left"/>
              <w:rPr>
                <w:rFonts w:ascii="Times New Roman" w:eastAsia="Times New Roman" w:hAnsi="Times New Roman" w:cs="Times New Roman"/>
                <w:noProof w:val="0"/>
                <w:sz w:val="20"/>
                <w:szCs w:val="24"/>
                <w:lang w:eastAsia="en-GB"/>
              </w:rPr>
            </w:pPr>
          </w:p>
        </w:tc>
        <w:tc>
          <w:tcPr>
            <w:tcW w:w="1280" w:type="dxa"/>
            <w:tcBorders>
              <w:top w:val="nil"/>
              <w:left w:val="nil"/>
              <w:bottom w:val="nil"/>
              <w:right w:val="nil"/>
            </w:tcBorders>
            <w:shd w:val="clear" w:color="auto" w:fill="auto"/>
            <w:noWrap/>
            <w:vAlign w:val="bottom"/>
          </w:tcPr>
          <w:p w14:paraId="420F6507" w14:textId="77777777" w:rsidR="006A651B" w:rsidRPr="00E80DCC" w:rsidRDefault="006A651B" w:rsidP="00E80DCC">
            <w:pPr>
              <w:spacing w:after="0" w:line="240" w:lineRule="auto"/>
              <w:jc w:val="left"/>
              <w:rPr>
                <w:rFonts w:ascii="Times New Roman" w:eastAsia="Times New Roman" w:hAnsi="Times New Roman" w:cs="Times New Roman"/>
                <w:noProof w:val="0"/>
                <w:sz w:val="20"/>
                <w:szCs w:val="20"/>
                <w:lang w:eastAsia="en-GB"/>
              </w:rPr>
            </w:pPr>
          </w:p>
        </w:tc>
        <w:tc>
          <w:tcPr>
            <w:tcW w:w="1900" w:type="dxa"/>
            <w:tcBorders>
              <w:top w:val="nil"/>
              <w:left w:val="nil"/>
              <w:bottom w:val="nil"/>
              <w:right w:val="nil"/>
            </w:tcBorders>
            <w:shd w:val="clear" w:color="auto" w:fill="auto"/>
            <w:noWrap/>
            <w:vAlign w:val="bottom"/>
          </w:tcPr>
          <w:p w14:paraId="63A3A6AA" w14:textId="77777777" w:rsidR="006A651B" w:rsidRPr="00E80DCC" w:rsidRDefault="006A651B" w:rsidP="00E80DCC">
            <w:pPr>
              <w:spacing w:after="0" w:line="240" w:lineRule="auto"/>
              <w:jc w:val="left"/>
              <w:rPr>
                <w:rFonts w:ascii="Times New Roman" w:eastAsia="Times New Roman" w:hAnsi="Times New Roman" w:cs="Times New Roman"/>
                <w:noProof w:val="0"/>
                <w:sz w:val="20"/>
                <w:szCs w:val="20"/>
                <w:lang w:eastAsia="en-GB"/>
              </w:rPr>
            </w:pPr>
          </w:p>
        </w:tc>
        <w:tc>
          <w:tcPr>
            <w:tcW w:w="1600" w:type="dxa"/>
            <w:tcBorders>
              <w:top w:val="nil"/>
              <w:left w:val="nil"/>
              <w:bottom w:val="nil"/>
              <w:right w:val="nil"/>
            </w:tcBorders>
            <w:shd w:val="clear" w:color="auto" w:fill="auto"/>
            <w:noWrap/>
            <w:vAlign w:val="bottom"/>
          </w:tcPr>
          <w:p w14:paraId="183DC1E5" w14:textId="77777777" w:rsidR="006A651B" w:rsidRPr="00E80DCC" w:rsidRDefault="006A651B" w:rsidP="00E80DCC">
            <w:pPr>
              <w:spacing w:after="0" w:line="240" w:lineRule="auto"/>
              <w:jc w:val="left"/>
              <w:rPr>
                <w:rFonts w:ascii="Times New Roman" w:eastAsia="Times New Roman" w:hAnsi="Times New Roman" w:cs="Times New Roman"/>
                <w:noProof w:val="0"/>
                <w:sz w:val="20"/>
                <w:szCs w:val="20"/>
                <w:lang w:eastAsia="en-GB"/>
              </w:rPr>
            </w:pPr>
          </w:p>
        </w:tc>
      </w:tr>
      <w:tr w:rsidR="00E80DCC" w:rsidRPr="00E80DCC" w14:paraId="19922FA1" w14:textId="77777777" w:rsidTr="00E80DCC">
        <w:trPr>
          <w:trHeight w:val="288"/>
        </w:trPr>
        <w:tc>
          <w:tcPr>
            <w:tcW w:w="574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7AF83E" w14:textId="77777777" w:rsidR="00E80DCC" w:rsidRPr="00E80DCC" w:rsidRDefault="00E80DCC" w:rsidP="00E80DCC">
            <w:pPr>
              <w:spacing w:after="0" w:line="240" w:lineRule="auto"/>
              <w:jc w:val="center"/>
              <w:rPr>
                <w:rFonts w:eastAsia="Times New Roman" w:cs="Calibri"/>
                <w:b/>
                <w:bCs/>
                <w:noProof w:val="0"/>
                <w:color w:val="000000"/>
                <w:sz w:val="22"/>
                <w:lang w:eastAsia="en-GB"/>
              </w:rPr>
            </w:pPr>
            <w:r w:rsidRPr="00E80DCC">
              <w:rPr>
                <w:rFonts w:eastAsia="Times New Roman" w:cs="Calibri"/>
                <w:b/>
                <w:bCs/>
                <w:noProof w:val="0"/>
                <w:color w:val="000000"/>
                <w:sz w:val="22"/>
                <w:lang w:eastAsia="en-GB"/>
              </w:rPr>
              <w:t xml:space="preserve">Net Present Value of the investment A </w:t>
            </w:r>
          </w:p>
        </w:tc>
      </w:tr>
      <w:tr w:rsidR="00E80DCC" w:rsidRPr="00E80DCC" w14:paraId="7E6574BF" w14:textId="77777777" w:rsidTr="00E80DCC">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839E372" w14:textId="77777777" w:rsidR="00E80DCC" w:rsidRPr="00E80DCC" w:rsidRDefault="00E80DCC" w:rsidP="00E80DCC">
            <w:pPr>
              <w:spacing w:after="0" w:line="240" w:lineRule="auto"/>
              <w:jc w:val="center"/>
              <w:rPr>
                <w:rFonts w:eastAsia="Times New Roman" w:cs="Calibri"/>
                <w:b/>
                <w:bCs/>
                <w:noProof w:val="0"/>
                <w:color w:val="000000"/>
                <w:sz w:val="22"/>
                <w:lang w:eastAsia="en-GB"/>
              </w:rPr>
            </w:pPr>
            <w:r w:rsidRPr="00E80DCC">
              <w:rPr>
                <w:rFonts w:eastAsia="Times New Roman" w:cs="Calibri"/>
                <w:b/>
                <w:bCs/>
                <w:noProof w:val="0"/>
                <w:color w:val="000000"/>
                <w:sz w:val="22"/>
                <w:lang w:eastAsia="en-GB"/>
              </w:rPr>
              <w:t xml:space="preserve">Period </w:t>
            </w:r>
          </w:p>
        </w:tc>
        <w:tc>
          <w:tcPr>
            <w:tcW w:w="1280" w:type="dxa"/>
            <w:tcBorders>
              <w:top w:val="nil"/>
              <w:left w:val="nil"/>
              <w:bottom w:val="single" w:sz="4" w:space="0" w:color="auto"/>
              <w:right w:val="single" w:sz="4" w:space="0" w:color="auto"/>
            </w:tcBorders>
            <w:shd w:val="clear" w:color="auto" w:fill="auto"/>
            <w:noWrap/>
            <w:vAlign w:val="bottom"/>
            <w:hideMark/>
          </w:tcPr>
          <w:p w14:paraId="7FD7497A" w14:textId="77777777" w:rsidR="00E80DCC" w:rsidRPr="00E80DCC" w:rsidRDefault="00E80DCC" w:rsidP="00E80DCC">
            <w:pPr>
              <w:spacing w:after="0" w:line="240" w:lineRule="auto"/>
              <w:jc w:val="center"/>
              <w:rPr>
                <w:rFonts w:eastAsia="Times New Roman" w:cs="Calibri"/>
                <w:b/>
                <w:bCs/>
                <w:noProof w:val="0"/>
                <w:color w:val="000000"/>
                <w:sz w:val="22"/>
                <w:lang w:eastAsia="en-GB"/>
              </w:rPr>
            </w:pPr>
            <w:r w:rsidRPr="00E80DCC">
              <w:rPr>
                <w:rFonts w:eastAsia="Times New Roman" w:cs="Calibri"/>
                <w:b/>
                <w:bCs/>
                <w:noProof w:val="0"/>
                <w:color w:val="000000"/>
                <w:sz w:val="22"/>
                <w:lang w:eastAsia="en-GB"/>
              </w:rPr>
              <w:t>Cashflows (£)</w:t>
            </w:r>
          </w:p>
        </w:tc>
        <w:tc>
          <w:tcPr>
            <w:tcW w:w="1900" w:type="dxa"/>
            <w:tcBorders>
              <w:top w:val="nil"/>
              <w:left w:val="nil"/>
              <w:bottom w:val="single" w:sz="4" w:space="0" w:color="auto"/>
              <w:right w:val="single" w:sz="4" w:space="0" w:color="auto"/>
            </w:tcBorders>
            <w:shd w:val="clear" w:color="auto" w:fill="auto"/>
            <w:noWrap/>
            <w:vAlign w:val="bottom"/>
            <w:hideMark/>
          </w:tcPr>
          <w:p w14:paraId="012ACEF3" w14:textId="77777777" w:rsidR="00E80DCC" w:rsidRPr="00E80DCC" w:rsidRDefault="00E80DCC" w:rsidP="00E80DCC">
            <w:pPr>
              <w:spacing w:after="0" w:line="240" w:lineRule="auto"/>
              <w:jc w:val="center"/>
              <w:rPr>
                <w:rFonts w:eastAsia="Times New Roman" w:cs="Calibri"/>
                <w:b/>
                <w:bCs/>
                <w:noProof w:val="0"/>
                <w:color w:val="000000"/>
                <w:sz w:val="22"/>
                <w:lang w:eastAsia="en-GB"/>
              </w:rPr>
            </w:pPr>
            <w:r w:rsidRPr="00E80DCC">
              <w:rPr>
                <w:rFonts w:eastAsia="Times New Roman" w:cs="Calibri"/>
                <w:b/>
                <w:bCs/>
                <w:noProof w:val="0"/>
                <w:color w:val="000000"/>
                <w:sz w:val="22"/>
                <w:lang w:eastAsia="en-GB"/>
              </w:rPr>
              <w:t xml:space="preserve">Rate of Discounting </w:t>
            </w:r>
          </w:p>
        </w:tc>
        <w:tc>
          <w:tcPr>
            <w:tcW w:w="1600" w:type="dxa"/>
            <w:tcBorders>
              <w:top w:val="nil"/>
              <w:left w:val="nil"/>
              <w:bottom w:val="single" w:sz="4" w:space="0" w:color="auto"/>
              <w:right w:val="single" w:sz="4" w:space="0" w:color="auto"/>
            </w:tcBorders>
            <w:shd w:val="clear" w:color="auto" w:fill="auto"/>
            <w:noWrap/>
            <w:vAlign w:val="bottom"/>
            <w:hideMark/>
          </w:tcPr>
          <w:p w14:paraId="6251FD0B" w14:textId="77777777" w:rsidR="00E80DCC" w:rsidRPr="00E80DCC" w:rsidRDefault="00E80DCC" w:rsidP="00E80DCC">
            <w:pPr>
              <w:spacing w:after="0" w:line="240" w:lineRule="auto"/>
              <w:jc w:val="center"/>
              <w:rPr>
                <w:rFonts w:eastAsia="Times New Roman" w:cs="Calibri"/>
                <w:b/>
                <w:bCs/>
                <w:noProof w:val="0"/>
                <w:color w:val="000000"/>
                <w:sz w:val="22"/>
                <w:lang w:eastAsia="en-GB"/>
              </w:rPr>
            </w:pPr>
            <w:r w:rsidRPr="00E80DCC">
              <w:rPr>
                <w:rFonts w:eastAsia="Times New Roman" w:cs="Calibri"/>
                <w:b/>
                <w:bCs/>
                <w:noProof w:val="0"/>
                <w:color w:val="000000"/>
                <w:sz w:val="22"/>
                <w:lang w:eastAsia="en-GB"/>
              </w:rPr>
              <w:t>Present Value (£)</w:t>
            </w:r>
          </w:p>
        </w:tc>
      </w:tr>
      <w:tr w:rsidR="00E80DCC" w:rsidRPr="00E80DCC" w14:paraId="65EC112E" w14:textId="77777777" w:rsidTr="00E80DCC">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53CC251"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0</w:t>
            </w:r>
          </w:p>
        </w:tc>
        <w:tc>
          <w:tcPr>
            <w:tcW w:w="1280" w:type="dxa"/>
            <w:tcBorders>
              <w:top w:val="nil"/>
              <w:left w:val="nil"/>
              <w:bottom w:val="nil"/>
              <w:right w:val="nil"/>
            </w:tcBorders>
            <w:shd w:val="clear" w:color="auto" w:fill="auto"/>
            <w:noWrap/>
            <w:vAlign w:val="bottom"/>
            <w:hideMark/>
          </w:tcPr>
          <w:p w14:paraId="56F76BE0" w14:textId="5B8BA463" w:rsidR="00E80DCC" w:rsidRPr="00E80DCC" w:rsidRDefault="00E80DCC" w:rsidP="00E80DCC">
            <w:pPr>
              <w:spacing w:after="0" w:line="240" w:lineRule="auto"/>
              <w:jc w:val="center"/>
              <w:rPr>
                <w:rFonts w:eastAsia="Times New Roman" w:cs="Calibri"/>
                <w:noProof w:val="0"/>
                <w:color w:val="000000"/>
                <w:sz w:val="22"/>
                <w:lang w:eastAsia="en-GB"/>
              </w:rPr>
            </w:pPr>
          </w:p>
        </w:tc>
        <w:tc>
          <w:tcPr>
            <w:tcW w:w="1900" w:type="dxa"/>
            <w:tcBorders>
              <w:top w:val="nil"/>
              <w:left w:val="single" w:sz="4" w:space="0" w:color="auto"/>
              <w:bottom w:val="single" w:sz="4" w:space="0" w:color="auto"/>
              <w:right w:val="single" w:sz="4" w:space="0" w:color="auto"/>
            </w:tcBorders>
            <w:shd w:val="clear" w:color="auto" w:fill="auto"/>
            <w:noWrap/>
            <w:vAlign w:val="bottom"/>
            <w:hideMark/>
          </w:tcPr>
          <w:p w14:paraId="6CF25108"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1.000</w:t>
            </w:r>
          </w:p>
        </w:tc>
        <w:tc>
          <w:tcPr>
            <w:tcW w:w="1600" w:type="dxa"/>
            <w:tcBorders>
              <w:top w:val="nil"/>
              <w:left w:val="nil"/>
              <w:bottom w:val="single" w:sz="4" w:space="0" w:color="auto"/>
              <w:right w:val="single" w:sz="4" w:space="0" w:color="auto"/>
            </w:tcBorders>
            <w:shd w:val="clear" w:color="auto" w:fill="auto"/>
            <w:noWrap/>
            <w:vAlign w:val="bottom"/>
            <w:hideMark/>
          </w:tcPr>
          <w:p w14:paraId="271B85E3" w14:textId="172E628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660000.000</w:t>
            </w:r>
          </w:p>
        </w:tc>
      </w:tr>
      <w:tr w:rsidR="00E80DCC" w:rsidRPr="00E80DCC" w14:paraId="702FF7D3" w14:textId="77777777" w:rsidTr="00E80DCC">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C5C0900"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1</w:t>
            </w:r>
          </w:p>
        </w:tc>
        <w:tc>
          <w:tcPr>
            <w:tcW w:w="1280" w:type="dxa"/>
            <w:tcBorders>
              <w:top w:val="single" w:sz="4" w:space="0" w:color="auto"/>
              <w:left w:val="nil"/>
              <w:bottom w:val="single" w:sz="4" w:space="0" w:color="auto"/>
              <w:right w:val="single" w:sz="4" w:space="0" w:color="auto"/>
            </w:tcBorders>
            <w:shd w:val="clear" w:color="auto" w:fill="auto"/>
            <w:noWrap/>
            <w:vAlign w:val="bottom"/>
            <w:hideMark/>
          </w:tcPr>
          <w:p w14:paraId="61D1FF11"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300,000</w:t>
            </w:r>
          </w:p>
        </w:tc>
        <w:tc>
          <w:tcPr>
            <w:tcW w:w="1900" w:type="dxa"/>
            <w:tcBorders>
              <w:top w:val="nil"/>
              <w:left w:val="nil"/>
              <w:bottom w:val="single" w:sz="4" w:space="0" w:color="auto"/>
              <w:right w:val="single" w:sz="4" w:space="0" w:color="auto"/>
            </w:tcBorders>
            <w:shd w:val="clear" w:color="auto" w:fill="auto"/>
            <w:noWrap/>
            <w:vAlign w:val="bottom"/>
            <w:hideMark/>
          </w:tcPr>
          <w:p w14:paraId="5033269C"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0.943</w:t>
            </w:r>
          </w:p>
        </w:tc>
        <w:tc>
          <w:tcPr>
            <w:tcW w:w="1600" w:type="dxa"/>
            <w:tcBorders>
              <w:top w:val="nil"/>
              <w:left w:val="nil"/>
              <w:bottom w:val="single" w:sz="4" w:space="0" w:color="auto"/>
              <w:right w:val="single" w:sz="4" w:space="0" w:color="auto"/>
            </w:tcBorders>
            <w:shd w:val="clear" w:color="auto" w:fill="auto"/>
            <w:noWrap/>
            <w:vAlign w:val="bottom"/>
            <w:hideMark/>
          </w:tcPr>
          <w:p w14:paraId="555D1D0A"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283018.868</w:t>
            </w:r>
          </w:p>
        </w:tc>
      </w:tr>
      <w:tr w:rsidR="00E80DCC" w:rsidRPr="00E80DCC" w14:paraId="16AAB19B" w14:textId="77777777" w:rsidTr="00E80DCC">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B4348C5"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2</w:t>
            </w:r>
          </w:p>
        </w:tc>
        <w:tc>
          <w:tcPr>
            <w:tcW w:w="1280" w:type="dxa"/>
            <w:tcBorders>
              <w:top w:val="nil"/>
              <w:left w:val="nil"/>
              <w:bottom w:val="single" w:sz="4" w:space="0" w:color="auto"/>
              <w:right w:val="single" w:sz="4" w:space="0" w:color="auto"/>
            </w:tcBorders>
            <w:shd w:val="clear" w:color="auto" w:fill="auto"/>
            <w:noWrap/>
            <w:vAlign w:val="bottom"/>
            <w:hideMark/>
          </w:tcPr>
          <w:p w14:paraId="5F4B95CA"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400,000</w:t>
            </w:r>
          </w:p>
        </w:tc>
        <w:tc>
          <w:tcPr>
            <w:tcW w:w="1900" w:type="dxa"/>
            <w:tcBorders>
              <w:top w:val="nil"/>
              <w:left w:val="nil"/>
              <w:bottom w:val="single" w:sz="4" w:space="0" w:color="auto"/>
              <w:right w:val="single" w:sz="4" w:space="0" w:color="auto"/>
            </w:tcBorders>
            <w:shd w:val="clear" w:color="auto" w:fill="auto"/>
            <w:noWrap/>
            <w:vAlign w:val="bottom"/>
            <w:hideMark/>
          </w:tcPr>
          <w:p w14:paraId="71BE59B2"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0.890</w:t>
            </w:r>
          </w:p>
        </w:tc>
        <w:tc>
          <w:tcPr>
            <w:tcW w:w="1600" w:type="dxa"/>
            <w:tcBorders>
              <w:top w:val="nil"/>
              <w:left w:val="nil"/>
              <w:bottom w:val="single" w:sz="4" w:space="0" w:color="auto"/>
              <w:right w:val="single" w:sz="4" w:space="0" w:color="auto"/>
            </w:tcBorders>
            <w:shd w:val="clear" w:color="auto" w:fill="auto"/>
            <w:noWrap/>
            <w:vAlign w:val="bottom"/>
            <w:hideMark/>
          </w:tcPr>
          <w:p w14:paraId="2E83F069"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355998.576</w:t>
            </w:r>
          </w:p>
        </w:tc>
      </w:tr>
      <w:tr w:rsidR="00E80DCC" w:rsidRPr="00E80DCC" w14:paraId="637B38BF" w14:textId="77777777" w:rsidTr="00E80DCC">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D6C4966"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3</w:t>
            </w:r>
          </w:p>
        </w:tc>
        <w:tc>
          <w:tcPr>
            <w:tcW w:w="1280" w:type="dxa"/>
            <w:tcBorders>
              <w:top w:val="nil"/>
              <w:left w:val="nil"/>
              <w:bottom w:val="single" w:sz="4" w:space="0" w:color="auto"/>
              <w:right w:val="single" w:sz="4" w:space="0" w:color="auto"/>
            </w:tcBorders>
            <w:shd w:val="clear" w:color="auto" w:fill="auto"/>
            <w:noWrap/>
            <w:vAlign w:val="bottom"/>
            <w:hideMark/>
          </w:tcPr>
          <w:p w14:paraId="2E488979"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450,000</w:t>
            </w:r>
          </w:p>
        </w:tc>
        <w:tc>
          <w:tcPr>
            <w:tcW w:w="1900" w:type="dxa"/>
            <w:tcBorders>
              <w:top w:val="nil"/>
              <w:left w:val="nil"/>
              <w:bottom w:val="single" w:sz="4" w:space="0" w:color="auto"/>
              <w:right w:val="single" w:sz="4" w:space="0" w:color="auto"/>
            </w:tcBorders>
            <w:shd w:val="clear" w:color="auto" w:fill="auto"/>
            <w:noWrap/>
            <w:vAlign w:val="bottom"/>
            <w:hideMark/>
          </w:tcPr>
          <w:p w14:paraId="2FCEC25F"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0.840</w:t>
            </w:r>
          </w:p>
        </w:tc>
        <w:tc>
          <w:tcPr>
            <w:tcW w:w="1600" w:type="dxa"/>
            <w:tcBorders>
              <w:top w:val="nil"/>
              <w:left w:val="nil"/>
              <w:bottom w:val="single" w:sz="4" w:space="0" w:color="auto"/>
              <w:right w:val="single" w:sz="4" w:space="0" w:color="auto"/>
            </w:tcBorders>
            <w:shd w:val="clear" w:color="auto" w:fill="auto"/>
            <w:noWrap/>
            <w:vAlign w:val="bottom"/>
            <w:hideMark/>
          </w:tcPr>
          <w:p w14:paraId="2A038111"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377828.677</w:t>
            </w:r>
          </w:p>
        </w:tc>
      </w:tr>
      <w:tr w:rsidR="00E80DCC" w:rsidRPr="00E80DCC" w14:paraId="4DAE3887" w14:textId="77777777" w:rsidTr="00E80DCC">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93CF3D9"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4</w:t>
            </w:r>
          </w:p>
        </w:tc>
        <w:tc>
          <w:tcPr>
            <w:tcW w:w="1280" w:type="dxa"/>
            <w:tcBorders>
              <w:top w:val="nil"/>
              <w:left w:val="nil"/>
              <w:bottom w:val="single" w:sz="4" w:space="0" w:color="auto"/>
              <w:right w:val="single" w:sz="4" w:space="0" w:color="auto"/>
            </w:tcBorders>
            <w:shd w:val="clear" w:color="auto" w:fill="auto"/>
            <w:noWrap/>
            <w:vAlign w:val="bottom"/>
            <w:hideMark/>
          </w:tcPr>
          <w:p w14:paraId="026373FF"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500,000</w:t>
            </w:r>
          </w:p>
        </w:tc>
        <w:tc>
          <w:tcPr>
            <w:tcW w:w="1900" w:type="dxa"/>
            <w:tcBorders>
              <w:top w:val="nil"/>
              <w:left w:val="nil"/>
              <w:bottom w:val="single" w:sz="4" w:space="0" w:color="auto"/>
              <w:right w:val="single" w:sz="4" w:space="0" w:color="auto"/>
            </w:tcBorders>
            <w:shd w:val="clear" w:color="auto" w:fill="auto"/>
            <w:noWrap/>
            <w:vAlign w:val="bottom"/>
            <w:hideMark/>
          </w:tcPr>
          <w:p w14:paraId="3C65BEE6"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0.792</w:t>
            </w:r>
          </w:p>
        </w:tc>
        <w:tc>
          <w:tcPr>
            <w:tcW w:w="1600" w:type="dxa"/>
            <w:tcBorders>
              <w:top w:val="nil"/>
              <w:left w:val="nil"/>
              <w:bottom w:val="single" w:sz="4" w:space="0" w:color="auto"/>
              <w:right w:val="single" w:sz="4" w:space="0" w:color="auto"/>
            </w:tcBorders>
            <w:shd w:val="clear" w:color="auto" w:fill="auto"/>
            <w:noWrap/>
            <w:vAlign w:val="bottom"/>
            <w:hideMark/>
          </w:tcPr>
          <w:p w14:paraId="26595F6A"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396046.832</w:t>
            </w:r>
          </w:p>
        </w:tc>
      </w:tr>
      <w:tr w:rsidR="00E80DCC" w:rsidRPr="00E80DCC" w14:paraId="29562DEA" w14:textId="77777777" w:rsidTr="00E80DCC">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FBB76C6"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 </w:t>
            </w:r>
          </w:p>
        </w:tc>
        <w:tc>
          <w:tcPr>
            <w:tcW w:w="1280" w:type="dxa"/>
            <w:tcBorders>
              <w:top w:val="nil"/>
              <w:left w:val="nil"/>
              <w:bottom w:val="single" w:sz="4" w:space="0" w:color="auto"/>
              <w:right w:val="single" w:sz="4" w:space="0" w:color="auto"/>
            </w:tcBorders>
            <w:shd w:val="clear" w:color="auto" w:fill="auto"/>
            <w:noWrap/>
            <w:vAlign w:val="bottom"/>
            <w:hideMark/>
          </w:tcPr>
          <w:p w14:paraId="45C85AB4"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 </w:t>
            </w:r>
          </w:p>
        </w:tc>
        <w:tc>
          <w:tcPr>
            <w:tcW w:w="1900" w:type="dxa"/>
            <w:tcBorders>
              <w:top w:val="nil"/>
              <w:left w:val="nil"/>
              <w:bottom w:val="single" w:sz="4" w:space="0" w:color="auto"/>
              <w:right w:val="single" w:sz="4" w:space="0" w:color="auto"/>
            </w:tcBorders>
            <w:shd w:val="clear" w:color="auto" w:fill="auto"/>
            <w:noWrap/>
            <w:vAlign w:val="bottom"/>
            <w:hideMark/>
          </w:tcPr>
          <w:p w14:paraId="324C7DE3"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 </w:t>
            </w:r>
          </w:p>
        </w:tc>
        <w:tc>
          <w:tcPr>
            <w:tcW w:w="1600" w:type="dxa"/>
            <w:tcBorders>
              <w:top w:val="nil"/>
              <w:left w:val="nil"/>
              <w:bottom w:val="single" w:sz="4" w:space="0" w:color="auto"/>
              <w:right w:val="single" w:sz="4" w:space="0" w:color="auto"/>
            </w:tcBorders>
            <w:shd w:val="clear" w:color="auto" w:fill="auto"/>
            <w:noWrap/>
            <w:vAlign w:val="bottom"/>
            <w:hideMark/>
          </w:tcPr>
          <w:p w14:paraId="3B8646C8"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 </w:t>
            </w:r>
          </w:p>
        </w:tc>
      </w:tr>
      <w:tr w:rsidR="00E80DCC" w:rsidRPr="00E80DCC" w14:paraId="71FF03CB" w14:textId="77777777" w:rsidTr="00E80DCC">
        <w:trPr>
          <w:trHeight w:val="288"/>
        </w:trPr>
        <w:tc>
          <w:tcPr>
            <w:tcW w:w="414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A2C39E1" w14:textId="77777777" w:rsidR="00E80DCC" w:rsidRPr="00E80DCC" w:rsidRDefault="00E80DCC" w:rsidP="00E80DCC">
            <w:pPr>
              <w:spacing w:after="0" w:line="240" w:lineRule="auto"/>
              <w:jc w:val="center"/>
              <w:rPr>
                <w:rFonts w:eastAsia="Times New Roman" w:cs="Calibri"/>
                <w:b/>
                <w:bCs/>
                <w:noProof w:val="0"/>
                <w:color w:val="000000"/>
                <w:sz w:val="22"/>
                <w:lang w:eastAsia="en-GB"/>
              </w:rPr>
            </w:pPr>
            <w:r w:rsidRPr="00E80DCC">
              <w:rPr>
                <w:rFonts w:eastAsia="Times New Roman" w:cs="Calibri"/>
                <w:b/>
                <w:bCs/>
                <w:noProof w:val="0"/>
                <w:color w:val="000000"/>
                <w:sz w:val="22"/>
                <w:lang w:eastAsia="en-GB"/>
              </w:rPr>
              <w:t xml:space="preserve">Net Present Value </w:t>
            </w:r>
          </w:p>
        </w:tc>
        <w:tc>
          <w:tcPr>
            <w:tcW w:w="1600" w:type="dxa"/>
            <w:tcBorders>
              <w:top w:val="nil"/>
              <w:left w:val="nil"/>
              <w:bottom w:val="single" w:sz="4" w:space="0" w:color="auto"/>
              <w:right w:val="single" w:sz="4" w:space="0" w:color="auto"/>
            </w:tcBorders>
            <w:shd w:val="clear" w:color="auto" w:fill="auto"/>
            <w:noWrap/>
            <w:vAlign w:val="bottom"/>
            <w:hideMark/>
          </w:tcPr>
          <w:p w14:paraId="3DB55EB4" w14:textId="2D640D45" w:rsidR="00E80DCC" w:rsidRPr="00E80DCC" w:rsidRDefault="00F2093C" w:rsidP="00E80DCC">
            <w:pPr>
              <w:spacing w:after="0" w:line="240" w:lineRule="auto"/>
              <w:jc w:val="center"/>
              <w:rPr>
                <w:rFonts w:eastAsia="Times New Roman" w:cs="Calibri"/>
                <w:b/>
                <w:bCs/>
                <w:noProof w:val="0"/>
                <w:color w:val="000000"/>
                <w:sz w:val="22"/>
                <w:lang w:eastAsia="en-GB"/>
              </w:rPr>
            </w:pPr>
            <w:r>
              <w:rPr>
                <w:rFonts w:eastAsia="Times New Roman" w:cs="Calibri"/>
                <w:b/>
                <w:bCs/>
                <w:noProof w:val="0"/>
                <w:color w:val="000000"/>
                <w:sz w:val="22"/>
                <w:lang w:eastAsia="en-GB"/>
              </w:rPr>
              <w:t>2072</w:t>
            </w:r>
            <w:r w:rsidR="00B47F6D">
              <w:rPr>
                <w:rFonts w:eastAsia="Times New Roman" w:cs="Calibri"/>
                <w:b/>
                <w:bCs/>
                <w:noProof w:val="0"/>
                <w:color w:val="000000"/>
                <w:sz w:val="22"/>
                <w:lang w:eastAsia="en-GB"/>
              </w:rPr>
              <w:t>892.953</w:t>
            </w:r>
          </w:p>
        </w:tc>
      </w:tr>
      <w:tr w:rsidR="00E80DCC" w:rsidRPr="00E80DCC" w14:paraId="6A2EEE60" w14:textId="77777777" w:rsidTr="00E80DCC">
        <w:trPr>
          <w:trHeight w:val="288"/>
        </w:trPr>
        <w:tc>
          <w:tcPr>
            <w:tcW w:w="960" w:type="dxa"/>
            <w:tcBorders>
              <w:top w:val="nil"/>
              <w:left w:val="nil"/>
              <w:bottom w:val="nil"/>
              <w:right w:val="nil"/>
            </w:tcBorders>
            <w:shd w:val="clear" w:color="auto" w:fill="auto"/>
            <w:noWrap/>
            <w:vAlign w:val="bottom"/>
            <w:hideMark/>
          </w:tcPr>
          <w:p w14:paraId="5F416BDE" w14:textId="77777777" w:rsidR="00E80DCC" w:rsidRPr="00E80DCC" w:rsidRDefault="00E80DCC" w:rsidP="00E80DCC">
            <w:pPr>
              <w:spacing w:after="0" w:line="240" w:lineRule="auto"/>
              <w:jc w:val="center"/>
              <w:rPr>
                <w:rFonts w:eastAsia="Times New Roman" w:cs="Calibri"/>
                <w:b/>
                <w:bCs/>
                <w:noProof w:val="0"/>
                <w:color w:val="000000"/>
                <w:sz w:val="22"/>
                <w:lang w:eastAsia="en-GB"/>
              </w:rPr>
            </w:pPr>
          </w:p>
        </w:tc>
        <w:tc>
          <w:tcPr>
            <w:tcW w:w="1280" w:type="dxa"/>
            <w:tcBorders>
              <w:top w:val="nil"/>
              <w:left w:val="nil"/>
              <w:bottom w:val="nil"/>
              <w:right w:val="nil"/>
            </w:tcBorders>
            <w:shd w:val="clear" w:color="auto" w:fill="auto"/>
            <w:noWrap/>
            <w:vAlign w:val="bottom"/>
            <w:hideMark/>
          </w:tcPr>
          <w:p w14:paraId="6BD41DDB" w14:textId="77777777" w:rsidR="00E80DCC" w:rsidRPr="00E80DCC" w:rsidRDefault="00E80DCC" w:rsidP="00E80DCC">
            <w:pPr>
              <w:spacing w:after="0" w:line="240" w:lineRule="auto"/>
              <w:jc w:val="left"/>
              <w:rPr>
                <w:rFonts w:ascii="Times New Roman" w:eastAsia="Times New Roman" w:hAnsi="Times New Roman" w:cs="Times New Roman"/>
                <w:noProof w:val="0"/>
                <w:sz w:val="20"/>
                <w:szCs w:val="20"/>
                <w:lang w:eastAsia="en-GB"/>
              </w:rPr>
            </w:pPr>
          </w:p>
        </w:tc>
        <w:tc>
          <w:tcPr>
            <w:tcW w:w="1900" w:type="dxa"/>
            <w:tcBorders>
              <w:top w:val="nil"/>
              <w:left w:val="nil"/>
              <w:bottom w:val="nil"/>
              <w:right w:val="nil"/>
            </w:tcBorders>
            <w:shd w:val="clear" w:color="auto" w:fill="auto"/>
            <w:noWrap/>
            <w:vAlign w:val="bottom"/>
            <w:hideMark/>
          </w:tcPr>
          <w:p w14:paraId="438A3E37" w14:textId="77777777" w:rsidR="00E80DCC" w:rsidRPr="00E80DCC" w:rsidRDefault="00E80DCC" w:rsidP="00E80DCC">
            <w:pPr>
              <w:spacing w:after="0" w:line="240" w:lineRule="auto"/>
              <w:jc w:val="left"/>
              <w:rPr>
                <w:rFonts w:ascii="Times New Roman" w:eastAsia="Times New Roman" w:hAnsi="Times New Roman" w:cs="Times New Roman"/>
                <w:noProof w:val="0"/>
                <w:sz w:val="20"/>
                <w:szCs w:val="20"/>
                <w:lang w:eastAsia="en-GB"/>
              </w:rPr>
            </w:pPr>
          </w:p>
        </w:tc>
        <w:tc>
          <w:tcPr>
            <w:tcW w:w="1600" w:type="dxa"/>
            <w:tcBorders>
              <w:top w:val="nil"/>
              <w:left w:val="nil"/>
              <w:bottom w:val="nil"/>
              <w:right w:val="nil"/>
            </w:tcBorders>
            <w:shd w:val="clear" w:color="auto" w:fill="auto"/>
            <w:noWrap/>
            <w:vAlign w:val="bottom"/>
            <w:hideMark/>
          </w:tcPr>
          <w:p w14:paraId="29818DF0" w14:textId="77777777" w:rsidR="00E80DCC" w:rsidRPr="00E80DCC" w:rsidRDefault="00E80DCC" w:rsidP="00E80DCC">
            <w:pPr>
              <w:spacing w:after="0" w:line="240" w:lineRule="auto"/>
              <w:jc w:val="left"/>
              <w:rPr>
                <w:rFonts w:ascii="Times New Roman" w:eastAsia="Times New Roman" w:hAnsi="Times New Roman" w:cs="Times New Roman"/>
                <w:noProof w:val="0"/>
                <w:sz w:val="20"/>
                <w:szCs w:val="20"/>
                <w:lang w:eastAsia="en-GB"/>
              </w:rPr>
            </w:pPr>
          </w:p>
        </w:tc>
      </w:tr>
      <w:tr w:rsidR="00E80DCC" w:rsidRPr="00E80DCC" w14:paraId="72A0F128" w14:textId="77777777" w:rsidTr="00E80DCC">
        <w:trPr>
          <w:trHeight w:val="288"/>
        </w:trPr>
        <w:tc>
          <w:tcPr>
            <w:tcW w:w="960" w:type="dxa"/>
            <w:tcBorders>
              <w:top w:val="nil"/>
              <w:left w:val="nil"/>
              <w:bottom w:val="nil"/>
              <w:right w:val="nil"/>
            </w:tcBorders>
            <w:shd w:val="clear" w:color="auto" w:fill="auto"/>
            <w:noWrap/>
            <w:vAlign w:val="bottom"/>
            <w:hideMark/>
          </w:tcPr>
          <w:p w14:paraId="257BCFF0" w14:textId="77777777" w:rsidR="00E80DCC" w:rsidRPr="00E80DCC" w:rsidRDefault="00E80DCC" w:rsidP="00E80DCC">
            <w:pPr>
              <w:spacing w:after="0" w:line="240" w:lineRule="auto"/>
              <w:jc w:val="left"/>
              <w:rPr>
                <w:rFonts w:ascii="Times New Roman" w:eastAsia="Times New Roman" w:hAnsi="Times New Roman" w:cs="Times New Roman"/>
                <w:noProof w:val="0"/>
                <w:sz w:val="20"/>
                <w:szCs w:val="20"/>
                <w:lang w:eastAsia="en-GB"/>
              </w:rPr>
            </w:pPr>
          </w:p>
        </w:tc>
        <w:tc>
          <w:tcPr>
            <w:tcW w:w="1280" w:type="dxa"/>
            <w:tcBorders>
              <w:top w:val="nil"/>
              <w:left w:val="nil"/>
              <w:bottom w:val="nil"/>
              <w:right w:val="nil"/>
            </w:tcBorders>
            <w:shd w:val="clear" w:color="auto" w:fill="auto"/>
            <w:noWrap/>
            <w:vAlign w:val="bottom"/>
            <w:hideMark/>
          </w:tcPr>
          <w:p w14:paraId="19E4F5B8" w14:textId="77777777" w:rsidR="00E80DCC" w:rsidRPr="00E80DCC" w:rsidRDefault="00E80DCC" w:rsidP="00E80DCC">
            <w:pPr>
              <w:spacing w:after="0" w:line="240" w:lineRule="auto"/>
              <w:jc w:val="left"/>
              <w:rPr>
                <w:rFonts w:ascii="Times New Roman" w:eastAsia="Times New Roman" w:hAnsi="Times New Roman" w:cs="Times New Roman"/>
                <w:noProof w:val="0"/>
                <w:sz w:val="20"/>
                <w:szCs w:val="20"/>
                <w:lang w:eastAsia="en-GB"/>
              </w:rPr>
            </w:pPr>
          </w:p>
        </w:tc>
        <w:tc>
          <w:tcPr>
            <w:tcW w:w="1900" w:type="dxa"/>
            <w:tcBorders>
              <w:top w:val="nil"/>
              <w:left w:val="nil"/>
              <w:bottom w:val="nil"/>
              <w:right w:val="nil"/>
            </w:tcBorders>
            <w:shd w:val="clear" w:color="auto" w:fill="auto"/>
            <w:noWrap/>
            <w:vAlign w:val="bottom"/>
            <w:hideMark/>
          </w:tcPr>
          <w:p w14:paraId="7FB34AEA" w14:textId="77777777" w:rsidR="00E80DCC" w:rsidRPr="00E80DCC" w:rsidRDefault="00E80DCC" w:rsidP="00E80DCC">
            <w:pPr>
              <w:spacing w:after="0" w:line="240" w:lineRule="auto"/>
              <w:jc w:val="left"/>
              <w:rPr>
                <w:rFonts w:ascii="Times New Roman" w:eastAsia="Times New Roman" w:hAnsi="Times New Roman" w:cs="Times New Roman"/>
                <w:noProof w:val="0"/>
                <w:sz w:val="20"/>
                <w:szCs w:val="20"/>
                <w:lang w:eastAsia="en-GB"/>
              </w:rPr>
            </w:pPr>
          </w:p>
        </w:tc>
        <w:tc>
          <w:tcPr>
            <w:tcW w:w="1600" w:type="dxa"/>
            <w:tcBorders>
              <w:top w:val="nil"/>
              <w:left w:val="nil"/>
              <w:bottom w:val="nil"/>
              <w:right w:val="nil"/>
            </w:tcBorders>
            <w:shd w:val="clear" w:color="auto" w:fill="auto"/>
            <w:noWrap/>
            <w:vAlign w:val="bottom"/>
            <w:hideMark/>
          </w:tcPr>
          <w:p w14:paraId="1C4DE041" w14:textId="77777777" w:rsidR="00E80DCC" w:rsidRPr="00E80DCC" w:rsidRDefault="00E80DCC" w:rsidP="00E80DCC">
            <w:pPr>
              <w:spacing w:after="0" w:line="240" w:lineRule="auto"/>
              <w:jc w:val="left"/>
              <w:rPr>
                <w:rFonts w:ascii="Times New Roman" w:eastAsia="Times New Roman" w:hAnsi="Times New Roman" w:cs="Times New Roman"/>
                <w:noProof w:val="0"/>
                <w:sz w:val="20"/>
                <w:szCs w:val="20"/>
                <w:lang w:eastAsia="en-GB"/>
              </w:rPr>
            </w:pPr>
          </w:p>
        </w:tc>
      </w:tr>
      <w:tr w:rsidR="00E80DCC" w:rsidRPr="00E80DCC" w14:paraId="6158BC49" w14:textId="77777777" w:rsidTr="00E80DCC">
        <w:trPr>
          <w:trHeight w:val="288"/>
        </w:trPr>
        <w:tc>
          <w:tcPr>
            <w:tcW w:w="574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5079AE" w14:textId="77777777" w:rsidR="00E80DCC" w:rsidRPr="00E80DCC" w:rsidRDefault="00E80DCC" w:rsidP="00E80DCC">
            <w:pPr>
              <w:spacing w:after="0" w:line="240" w:lineRule="auto"/>
              <w:jc w:val="center"/>
              <w:rPr>
                <w:rFonts w:eastAsia="Times New Roman" w:cs="Calibri"/>
                <w:b/>
                <w:bCs/>
                <w:noProof w:val="0"/>
                <w:color w:val="000000"/>
                <w:sz w:val="22"/>
                <w:lang w:eastAsia="en-GB"/>
              </w:rPr>
            </w:pPr>
            <w:r w:rsidRPr="00E80DCC">
              <w:rPr>
                <w:rFonts w:eastAsia="Times New Roman" w:cs="Calibri"/>
                <w:b/>
                <w:bCs/>
                <w:noProof w:val="0"/>
                <w:color w:val="000000"/>
                <w:sz w:val="22"/>
                <w:lang w:eastAsia="en-GB"/>
              </w:rPr>
              <w:t>Net Present Value of the investment B</w:t>
            </w:r>
          </w:p>
        </w:tc>
      </w:tr>
      <w:tr w:rsidR="00E80DCC" w:rsidRPr="00E80DCC" w14:paraId="2B290E32" w14:textId="77777777" w:rsidTr="00E80DCC">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43C1F94" w14:textId="77777777" w:rsidR="00E80DCC" w:rsidRPr="00E80DCC" w:rsidRDefault="00E80DCC" w:rsidP="00E80DCC">
            <w:pPr>
              <w:spacing w:after="0" w:line="240" w:lineRule="auto"/>
              <w:jc w:val="center"/>
              <w:rPr>
                <w:rFonts w:eastAsia="Times New Roman" w:cs="Calibri"/>
                <w:b/>
                <w:bCs/>
                <w:noProof w:val="0"/>
                <w:color w:val="000000"/>
                <w:sz w:val="22"/>
                <w:lang w:eastAsia="en-GB"/>
              </w:rPr>
            </w:pPr>
            <w:r w:rsidRPr="00E80DCC">
              <w:rPr>
                <w:rFonts w:eastAsia="Times New Roman" w:cs="Calibri"/>
                <w:b/>
                <w:bCs/>
                <w:noProof w:val="0"/>
                <w:color w:val="000000"/>
                <w:sz w:val="22"/>
                <w:lang w:eastAsia="en-GB"/>
              </w:rPr>
              <w:t xml:space="preserve">Period </w:t>
            </w:r>
          </w:p>
        </w:tc>
        <w:tc>
          <w:tcPr>
            <w:tcW w:w="1280" w:type="dxa"/>
            <w:tcBorders>
              <w:top w:val="nil"/>
              <w:left w:val="nil"/>
              <w:bottom w:val="single" w:sz="4" w:space="0" w:color="auto"/>
              <w:right w:val="single" w:sz="4" w:space="0" w:color="auto"/>
            </w:tcBorders>
            <w:shd w:val="clear" w:color="auto" w:fill="auto"/>
            <w:noWrap/>
            <w:vAlign w:val="bottom"/>
            <w:hideMark/>
          </w:tcPr>
          <w:p w14:paraId="31942930" w14:textId="77777777" w:rsidR="00E80DCC" w:rsidRPr="00E80DCC" w:rsidRDefault="00E80DCC" w:rsidP="00E80DCC">
            <w:pPr>
              <w:spacing w:after="0" w:line="240" w:lineRule="auto"/>
              <w:jc w:val="center"/>
              <w:rPr>
                <w:rFonts w:eastAsia="Times New Roman" w:cs="Calibri"/>
                <w:b/>
                <w:bCs/>
                <w:noProof w:val="0"/>
                <w:color w:val="000000"/>
                <w:sz w:val="22"/>
                <w:lang w:eastAsia="en-GB"/>
              </w:rPr>
            </w:pPr>
            <w:r w:rsidRPr="00E80DCC">
              <w:rPr>
                <w:rFonts w:eastAsia="Times New Roman" w:cs="Calibri"/>
                <w:b/>
                <w:bCs/>
                <w:noProof w:val="0"/>
                <w:color w:val="000000"/>
                <w:sz w:val="22"/>
                <w:lang w:eastAsia="en-GB"/>
              </w:rPr>
              <w:t>Cashflows (£)</w:t>
            </w:r>
          </w:p>
        </w:tc>
        <w:tc>
          <w:tcPr>
            <w:tcW w:w="1900" w:type="dxa"/>
            <w:tcBorders>
              <w:top w:val="nil"/>
              <w:left w:val="nil"/>
              <w:bottom w:val="single" w:sz="4" w:space="0" w:color="auto"/>
              <w:right w:val="single" w:sz="4" w:space="0" w:color="auto"/>
            </w:tcBorders>
            <w:shd w:val="clear" w:color="auto" w:fill="auto"/>
            <w:noWrap/>
            <w:vAlign w:val="bottom"/>
            <w:hideMark/>
          </w:tcPr>
          <w:p w14:paraId="1BFCE7AA" w14:textId="77777777" w:rsidR="00E80DCC" w:rsidRPr="00E80DCC" w:rsidRDefault="00E80DCC" w:rsidP="00E80DCC">
            <w:pPr>
              <w:spacing w:after="0" w:line="240" w:lineRule="auto"/>
              <w:jc w:val="center"/>
              <w:rPr>
                <w:rFonts w:eastAsia="Times New Roman" w:cs="Calibri"/>
                <w:b/>
                <w:bCs/>
                <w:noProof w:val="0"/>
                <w:color w:val="000000"/>
                <w:sz w:val="22"/>
                <w:lang w:eastAsia="en-GB"/>
              </w:rPr>
            </w:pPr>
            <w:r w:rsidRPr="00E80DCC">
              <w:rPr>
                <w:rFonts w:eastAsia="Times New Roman" w:cs="Calibri"/>
                <w:b/>
                <w:bCs/>
                <w:noProof w:val="0"/>
                <w:color w:val="000000"/>
                <w:sz w:val="22"/>
                <w:lang w:eastAsia="en-GB"/>
              </w:rPr>
              <w:t xml:space="preserve">Rate of Discounting </w:t>
            </w:r>
          </w:p>
        </w:tc>
        <w:tc>
          <w:tcPr>
            <w:tcW w:w="1600" w:type="dxa"/>
            <w:tcBorders>
              <w:top w:val="nil"/>
              <w:left w:val="nil"/>
              <w:bottom w:val="single" w:sz="4" w:space="0" w:color="auto"/>
              <w:right w:val="single" w:sz="4" w:space="0" w:color="auto"/>
            </w:tcBorders>
            <w:shd w:val="clear" w:color="auto" w:fill="auto"/>
            <w:noWrap/>
            <w:vAlign w:val="bottom"/>
            <w:hideMark/>
          </w:tcPr>
          <w:p w14:paraId="50501456" w14:textId="77777777" w:rsidR="00E80DCC" w:rsidRPr="00E80DCC" w:rsidRDefault="00E80DCC" w:rsidP="00E80DCC">
            <w:pPr>
              <w:spacing w:after="0" w:line="240" w:lineRule="auto"/>
              <w:jc w:val="center"/>
              <w:rPr>
                <w:rFonts w:eastAsia="Times New Roman" w:cs="Calibri"/>
                <w:b/>
                <w:bCs/>
                <w:noProof w:val="0"/>
                <w:color w:val="000000"/>
                <w:sz w:val="22"/>
                <w:lang w:eastAsia="en-GB"/>
              </w:rPr>
            </w:pPr>
            <w:r w:rsidRPr="00E80DCC">
              <w:rPr>
                <w:rFonts w:eastAsia="Times New Roman" w:cs="Calibri"/>
                <w:b/>
                <w:bCs/>
                <w:noProof w:val="0"/>
                <w:color w:val="000000"/>
                <w:sz w:val="22"/>
                <w:lang w:eastAsia="en-GB"/>
              </w:rPr>
              <w:t>Present Value (£)</w:t>
            </w:r>
          </w:p>
        </w:tc>
      </w:tr>
      <w:tr w:rsidR="00E80DCC" w:rsidRPr="00E80DCC" w14:paraId="7E4B1E12" w14:textId="77777777" w:rsidTr="00E80DCC">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1125DAB"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0</w:t>
            </w:r>
          </w:p>
        </w:tc>
        <w:tc>
          <w:tcPr>
            <w:tcW w:w="1280" w:type="dxa"/>
            <w:tcBorders>
              <w:top w:val="nil"/>
              <w:left w:val="nil"/>
              <w:bottom w:val="single" w:sz="4" w:space="0" w:color="auto"/>
              <w:right w:val="single" w:sz="4" w:space="0" w:color="auto"/>
            </w:tcBorders>
            <w:shd w:val="clear" w:color="auto" w:fill="auto"/>
            <w:noWrap/>
            <w:vAlign w:val="bottom"/>
            <w:hideMark/>
          </w:tcPr>
          <w:p w14:paraId="18A04A3B"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-1,000,000</w:t>
            </w:r>
          </w:p>
        </w:tc>
        <w:tc>
          <w:tcPr>
            <w:tcW w:w="1900" w:type="dxa"/>
            <w:tcBorders>
              <w:top w:val="nil"/>
              <w:left w:val="nil"/>
              <w:bottom w:val="single" w:sz="4" w:space="0" w:color="auto"/>
              <w:right w:val="single" w:sz="4" w:space="0" w:color="auto"/>
            </w:tcBorders>
            <w:shd w:val="clear" w:color="auto" w:fill="auto"/>
            <w:noWrap/>
            <w:vAlign w:val="bottom"/>
            <w:hideMark/>
          </w:tcPr>
          <w:p w14:paraId="584C7C7E"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1.000</w:t>
            </w:r>
          </w:p>
        </w:tc>
        <w:tc>
          <w:tcPr>
            <w:tcW w:w="1600" w:type="dxa"/>
            <w:tcBorders>
              <w:top w:val="nil"/>
              <w:left w:val="nil"/>
              <w:bottom w:val="single" w:sz="4" w:space="0" w:color="auto"/>
              <w:right w:val="single" w:sz="4" w:space="0" w:color="auto"/>
            </w:tcBorders>
            <w:shd w:val="clear" w:color="auto" w:fill="auto"/>
            <w:noWrap/>
            <w:vAlign w:val="bottom"/>
            <w:hideMark/>
          </w:tcPr>
          <w:p w14:paraId="0950DD6C"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-1000000.000</w:t>
            </w:r>
          </w:p>
        </w:tc>
      </w:tr>
      <w:tr w:rsidR="00E80DCC" w:rsidRPr="00E80DCC" w14:paraId="700D8386" w14:textId="77777777" w:rsidTr="00E80DCC">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2CD8E54"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1</w:t>
            </w:r>
          </w:p>
        </w:tc>
        <w:tc>
          <w:tcPr>
            <w:tcW w:w="1280" w:type="dxa"/>
            <w:tcBorders>
              <w:top w:val="nil"/>
              <w:left w:val="nil"/>
              <w:bottom w:val="single" w:sz="4" w:space="0" w:color="auto"/>
              <w:right w:val="single" w:sz="4" w:space="0" w:color="auto"/>
            </w:tcBorders>
            <w:shd w:val="clear" w:color="auto" w:fill="auto"/>
            <w:noWrap/>
            <w:vAlign w:val="bottom"/>
            <w:hideMark/>
          </w:tcPr>
          <w:p w14:paraId="42D9F4AC"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500,000</w:t>
            </w:r>
          </w:p>
        </w:tc>
        <w:tc>
          <w:tcPr>
            <w:tcW w:w="1900" w:type="dxa"/>
            <w:tcBorders>
              <w:top w:val="nil"/>
              <w:left w:val="nil"/>
              <w:bottom w:val="single" w:sz="4" w:space="0" w:color="auto"/>
              <w:right w:val="single" w:sz="4" w:space="0" w:color="auto"/>
            </w:tcBorders>
            <w:shd w:val="clear" w:color="auto" w:fill="auto"/>
            <w:noWrap/>
            <w:vAlign w:val="bottom"/>
            <w:hideMark/>
          </w:tcPr>
          <w:p w14:paraId="3E8C4140"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0.943</w:t>
            </w:r>
          </w:p>
        </w:tc>
        <w:tc>
          <w:tcPr>
            <w:tcW w:w="1600" w:type="dxa"/>
            <w:tcBorders>
              <w:top w:val="nil"/>
              <w:left w:val="nil"/>
              <w:bottom w:val="single" w:sz="4" w:space="0" w:color="auto"/>
              <w:right w:val="single" w:sz="4" w:space="0" w:color="auto"/>
            </w:tcBorders>
            <w:shd w:val="clear" w:color="auto" w:fill="auto"/>
            <w:noWrap/>
            <w:vAlign w:val="bottom"/>
            <w:hideMark/>
          </w:tcPr>
          <w:p w14:paraId="25B01B21"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471698.113</w:t>
            </w:r>
          </w:p>
        </w:tc>
      </w:tr>
      <w:tr w:rsidR="00E80DCC" w:rsidRPr="00E80DCC" w14:paraId="36D10392" w14:textId="77777777" w:rsidTr="00E80DCC">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17B90E8"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2</w:t>
            </w:r>
          </w:p>
        </w:tc>
        <w:tc>
          <w:tcPr>
            <w:tcW w:w="1280" w:type="dxa"/>
            <w:tcBorders>
              <w:top w:val="nil"/>
              <w:left w:val="nil"/>
              <w:bottom w:val="single" w:sz="4" w:space="0" w:color="auto"/>
              <w:right w:val="single" w:sz="4" w:space="0" w:color="auto"/>
            </w:tcBorders>
            <w:shd w:val="clear" w:color="auto" w:fill="auto"/>
            <w:noWrap/>
            <w:vAlign w:val="bottom"/>
            <w:hideMark/>
          </w:tcPr>
          <w:p w14:paraId="0C72FD69"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550,000</w:t>
            </w:r>
          </w:p>
        </w:tc>
        <w:tc>
          <w:tcPr>
            <w:tcW w:w="1900" w:type="dxa"/>
            <w:tcBorders>
              <w:top w:val="nil"/>
              <w:left w:val="nil"/>
              <w:bottom w:val="single" w:sz="4" w:space="0" w:color="auto"/>
              <w:right w:val="single" w:sz="4" w:space="0" w:color="auto"/>
            </w:tcBorders>
            <w:shd w:val="clear" w:color="auto" w:fill="auto"/>
            <w:noWrap/>
            <w:vAlign w:val="bottom"/>
            <w:hideMark/>
          </w:tcPr>
          <w:p w14:paraId="3270528D"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0.890</w:t>
            </w:r>
          </w:p>
        </w:tc>
        <w:tc>
          <w:tcPr>
            <w:tcW w:w="1600" w:type="dxa"/>
            <w:tcBorders>
              <w:top w:val="nil"/>
              <w:left w:val="nil"/>
              <w:bottom w:val="single" w:sz="4" w:space="0" w:color="auto"/>
              <w:right w:val="single" w:sz="4" w:space="0" w:color="auto"/>
            </w:tcBorders>
            <w:shd w:val="clear" w:color="auto" w:fill="auto"/>
            <w:noWrap/>
            <w:vAlign w:val="bottom"/>
            <w:hideMark/>
          </w:tcPr>
          <w:p w14:paraId="1A1BC7E9"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489498.042</w:t>
            </w:r>
          </w:p>
        </w:tc>
      </w:tr>
      <w:tr w:rsidR="00E80DCC" w:rsidRPr="00E80DCC" w14:paraId="2F0ACCAE" w14:textId="77777777" w:rsidTr="00E80DCC">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B82CE49"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3</w:t>
            </w:r>
          </w:p>
        </w:tc>
        <w:tc>
          <w:tcPr>
            <w:tcW w:w="1280" w:type="dxa"/>
            <w:tcBorders>
              <w:top w:val="nil"/>
              <w:left w:val="nil"/>
              <w:bottom w:val="single" w:sz="4" w:space="0" w:color="auto"/>
              <w:right w:val="single" w:sz="4" w:space="0" w:color="auto"/>
            </w:tcBorders>
            <w:shd w:val="clear" w:color="auto" w:fill="auto"/>
            <w:noWrap/>
            <w:vAlign w:val="bottom"/>
            <w:hideMark/>
          </w:tcPr>
          <w:p w14:paraId="34307C9E"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700,000</w:t>
            </w:r>
          </w:p>
        </w:tc>
        <w:tc>
          <w:tcPr>
            <w:tcW w:w="1900" w:type="dxa"/>
            <w:tcBorders>
              <w:top w:val="nil"/>
              <w:left w:val="nil"/>
              <w:bottom w:val="single" w:sz="4" w:space="0" w:color="auto"/>
              <w:right w:val="single" w:sz="4" w:space="0" w:color="auto"/>
            </w:tcBorders>
            <w:shd w:val="clear" w:color="auto" w:fill="auto"/>
            <w:noWrap/>
            <w:vAlign w:val="bottom"/>
            <w:hideMark/>
          </w:tcPr>
          <w:p w14:paraId="432998C8"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0.840</w:t>
            </w:r>
          </w:p>
        </w:tc>
        <w:tc>
          <w:tcPr>
            <w:tcW w:w="1600" w:type="dxa"/>
            <w:tcBorders>
              <w:top w:val="nil"/>
              <w:left w:val="nil"/>
              <w:bottom w:val="single" w:sz="4" w:space="0" w:color="auto"/>
              <w:right w:val="single" w:sz="4" w:space="0" w:color="auto"/>
            </w:tcBorders>
            <w:shd w:val="clear" w:color="auto" w:fill="auto"/>
            <w:noWrap/>
            <w:vAlign w:val="bottom"/>
            <w:hideMark/>
          </w:tcPr>
          <w:p w14:paraId="2DD71343"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587733.498</w:t>
            </w:r>
          </w:p>
        </w:tc>
      </w:tr>
      <w:tr w:rsidR="00E80DCC" w:rsidRPr="00E80DCC" w14:paraId="46D110B8" w14:textId="77777777" w:rsidTr="00E80DCC">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C5AF2CC"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4</w:t>
            </w:r>
          </w:p>
        </w:tc>
        <w:tc>
          <w:tcPr>
            <w:tcW w:w="1280" w:type="dxa"/>
            <w:tcBorders>
              <w:top w:val="nil"/>
              <w:left w:val="nil"/>
              <w:bottom w:val="single" w:sz="4" w:space="0" w:color="auto"/>
              <w:right w:val="single" w:sz="4" w:space="0" w:color="auto"/>
            </w:tcBorders>
            <w:shd w:val="clear" w:color="auto" w:fill="auto"/>
            <w:noWrap/>
            <w:vAlign w:val="bottom"/>
            <w:hideMark/>
          </w:tcPr>
          <w:p w14:paraId="58214FCE"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950,000</w:t>
            </w:r>
          </w:p>
        </w:tc>
        <w:tc>
          <w:tcPr>
            <w:tcW w:w="1900" w:type="dxa"/>
            <w:tcBorders>
              <w:top w:val="nil"/>
              <w:left w:val="nil"/>
              <w:bottom w:val="single" w:sz="4" w:space="0" w:color="auto"/>
              <w:right w:val="single" w:sz="4" w:space="0" w:color="auto"/>
            </w:tcBorders>
            <w:shd w:val="clear" w:color="auto" w:fill="auto"/>
            <w:noWrap/>
            <w:vAlign w:val="bottom"/>
            <w:hideMark/>
          </w:tcPr>
          <w:p w14:paraId="10FF678F"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0.792</w:t>
            </w:r>
          </w:p>
        </w:tc>
        <w:tc>
          <w:tcPr>
            <w:tcW w:w="1600" w:type="dxa"/>
            <w:tcBorders>
              <w:top w:val="nil"/>
              <w:left w:val="nil"/>
              <w:bottom w:val="single" w:sz="4" w:space="0" w:color="auto"/>
              <w:right w:val="single" w:sz="4" w:space="0" w:color="auto"/>
            </w:tcBorders>
            <w:shd w:val="clear" w:color="auto" w:fill="auto"/>
            <w:noWrap/>
            <w:vAlign w:val="bottom"/>
            <w:hideMark/>
          </w:tcPr>
          <w:p w14:paraId="313484A2"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752488.980</w:t>
            </w:r>
          </w:p>
        </w:tc>
      </w:tr>
      <w:tr w:rsidR="00E80DCC" w:rsidRPr="00E80DCC" w14:paraId="7C403ED3" w14:textId="77777777" w:rsidTr="00E80DCC">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D7B42D3"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 </w:t>
            </w:r>
          </w:p>
        </w:tc>
        <w:tc>
          <w:tcPr>
            <w:tcW w:w="1280" w:type="dxa"/>
            <w:tcBorders>
              <w:top w:val="nil"/>
              <w:left w:val="nil"/>
              <w:bottom w:val="single" w:sz="4" w:space="0" w:color="auto"/>
              <w:right w:val="single" w:sz="4" w:space="0" w:color="auto"/>
            </w:tcBorders>
            <w:shd w:val="clear" w:color="auto" w:fill="auto"/>
            <w:noWrap/>
            <w:vAlign w:val="bottom"/>
            <w:hideMark/>
          </w:tcPr>
          <w:p w14:paraId="5CBF8CA4"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 </w:t>
            </w:r>
          </w:p>
        </w:tc>
        <w:tc>
          <w:tcPr>
            <w:tcW w:w="1900" w:type="dxa"/>
            <w:tcBorders>
              <w:top w:val="nil"/>
              <w:left w:val="nil"/>
              <w:bottom w:val="single" w:sz="4" w:space="0" w:color="auto"/>
              <w:right w:val="single" w:sz="4" w:space="0" w:color="auto"/>
            </w:tcBorders>
            <w:shd w:val="clear" w:color="auto" w:fill="auto"/>
            <w:noWrap/>
            <w:vAlign w:val="bottom"/>
            <w:hideMark/>
          </w:tcPr>
          <w:p w14:paraId="3B835050"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 </w:t>
            </w:r>
          </w:p>
        </w:tc>
        <w:tc>
          <w:tcPr>
            <w:tcW w:w="1600" w:type="dxa"/>
            <w:tcBorders>
              <w:top w:val="nil"/>
              <w:left w:val="nil"/>
              <w:bottom w:val="single" w:sz="4" w:space="0" w:color="auto"/>
              <w:right w:val="single" w:sz="4" w:space="0" w:color="auto"/>
            </w:tcBorders>
            <w:shd w:val="clear" w:color="auto" w:fill="auto"/>
            <w:noWrap/>
            <w:vAlign w:val="bottom"/>
            <w:hideMark/>
          </w:tcPr>
          <w:p w14:paraId="37ACD3A5"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 </w:t>
            </w:r>
          </w:p>
        </w:tc>
      </w:tr>
      <w:tr w:rsidR="00E80DCC" w:rsidRPr="00E80DCC" w14:paraId="764B8C74" w14:textId="77777777" w:rsidTr="00E80DCC">
        <w:trPr>
          <w:trHeight w:val="288"/>
        </w:trPr>
        <w:tc>
          <w:tcPr>
            <w:tcW w:w="414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B71558" w14:textId="77777777" w:rsidR="00E80DCC" w:rsidRPr="00E80DCC" w:rsidRDefault="00E80DCC" w:rsidP="00E80DCC">
            <w:pPr>
              <w:spacing w:after="0" w:line="240" w:lineRule="auto"/>
              <w:jc w:val="center"/>
              <w:rPr>
                <w:rFonts w:eastAsia="Times New Roman" w:cs="Calibri"/>
                <w:b/>
                <w:bCs/>
                <w:noProof w:val="0"/>
                <w:color w:val="000000"/>
                <w:sz w:val="22"/>
                <w:lang w:eastAsia="en-GB"/>
              </w:rPr>
            </w:pPr>
            <w:r w:rsidRPr="00E80DCC">
              <w:rPr>
                <w:rFonts w:eastAsia="Times New Roman" w:cs="Calibri"/>
                <w:b/>
                <w:bCs/>
                <w:noProof w:val="0"/>
                <w:color w:val="000000"/>
                <w:sz w:val="22"/>
                <w:lang w:eastAsia="en-GB"/>
              </w:rPr>
              <w:t xml:space="preserve">Net Present Value </w:t>
            </w:r>
          </w:p>
        </w:tc>
        <w:tc>
          <w:tcPr>
            <w:tcW w:w="1600" w:type="dxa"/>
            <w:tcBorders>
              <w:top w:val="nil"/>
              <w:left w:val="nil"/>
              <w:bottom w:val="single" w:sz="4" w:space="0" w:color="auto"/>
              <w:right w:val="single" w:sz="4" w:space="0" w:color="auto"/>
            </w:tcBorders>
            <w:shd w:val="clear" w:color="auto" w:fill="auto"/>
            <w:noWrap/>
            <w:vAlign w:val="bottom"/>
            <w:hideMark/>
          </w:tcPr>
          <w:p w14:paraId="55BAB200" w14:textId="77777777" w:rsidR="00E80DCC" w:rsidRPr="00E80DCC" w:rsidRDefault="00E80DCC" w:rsidP="00E80DCC">
            <w:pPr>
              <w:spacing w:after="0" w:line="240" w:lineRule="auto"/>
              <w:jc w:val="center"/>
              <w:rPr>
                <w:rFonts w:eastAsia="Times New Roman" w:cs="Calibri"/>
                <w:b/>
                <w:bCs/>
                <w:noProof w:val="0"/>
                <w:color w:val="000000"/>
                <w:sz w:val="22"/>
                <w:lang w:eastAsia="en-GB"/>
              </w:rPr>
            </w:pPr>
            <w:r w:rsidRPr="00E80DCC">
              <w:rPr>
                <w:rFonts w:eastAsia="Times New Roman" w:cs="Calibri"/>
                <w:b/>
                <w:bCs/>
                <w:noProof w:val="0"/>
                <w:color w:val="000000"/>
                <w:sz w:val="22"/>
                <w:lang w:eastAsia="en-GB"/>
              </w:rPr>
              <w:t>1301418.633</w:t>
            </w:r>
          </w:p>
        </w:tc>
      </w:tr>
      <w:tr w:rsidR="00E80DCC" w:rsidRPr="00E80DCC" w14:paraId="1275457F" w14:textId="77777777" w:rsidTr="00E80DCC">
        <w:trPr>
          <w:trHeight w:val="288"/>
        </w:trPr>
        <w:tc>
          <w:tcPr>
            <w:tcW w:w="960" w:type="dxa"/>
            <w:tcBorders>
              <w:top w:val="nil"/>
              <w:left w:val="nil"/>
              <w:bottom w:val="nil"/>
              <w:right w:val="nil"/>
            </w:tcBorders>
            <w:shd w:val="clear" w:color="auto" w:fill="auto"/>
            <w:noWrap/>
            <w:vAlign w:val="bottom"/>
            <w:hideMark/>
          </w:tcPr>
          <w:p w14:paraId="4B5831E8" w14:textId="77777777" w:rsidR="00E80DCC" w:rsidRPr="00E80DCC" w:rsidRDefault="00E80DCC" w:rsidP="00DD7E35">
            <w:pPr>
              <w:spacing w:after="0" w:line="240" w:lineRule="auto"/>
              <w:rPr>
                <w:rFonts w:eastAsia="Times New Roman" w:cs="Calibri"/>
                <w:b/>
                <w:bCs/>
                <w:noProof w:val="0"/>
                <w:color w:val="000000"/>
                <w:sz w:val="22"/>
                <w:lang w:eastAsia="en-GB"/>
              </w:rPr>
            </w:pPr>
          </w:p>
        </w:tc>
        <w:tc>
          <w:tcPr>
            <w:tcW w:w="1280" w:type="dxa"/>
            <w:tcBorders>
              <w:top w:val="nil"/>
              <w:left w:val="nil"/>
              <w:bottom w:val="nil"/>
              <w:right w:val="nil"/>
            </w:tcBorders>
            <w:shd w:val="clear" w:color="auto" w:fill="auto"/>
            <w:noWrap/>
            <w:vAlign w:val="bottom"/>
            <w:hideMark/>
          </w:tcPr>
          <w:p w14:paraId="117F5D30" w14:textId="77777777" w:rsidR="00E80DCC" w:rsidRPr="00E80DCC" w:rsidRDefault="00E80DCC" w:rsidP="00E80DCC">
            <w:pPr>
              <w:spacing w:after="0" w:line="240" w:lineRule="auto"/>
              <w:jc w:val="left"/>
              <w:rPr>
                <w:rFonts w:ascii="Times New Roman" w:eastAsia="Times New Roman" w:hAnsi="Times New Roman" w:cs="Times New Roman"/>
                <w:noProof w:val="0"/>
                <w:sz w:val="20"/>
                <w:szCs w:val="20"/>
                <w:lang w:eastAsia="en-GB"/>
              </w:rPr>
            </w:pPr>
          </w:p>
        </w:tc>
        <w:tc>
          <w:tcPr>
            <w:tcW w:w="1900" w:type="dxa"/>
            <w:tcBorders>
              <w:top w:val="nil"/>
              <w:left w:val="nil"/>
              <w:bottom w:val="nil"/>
              <w:right w:val="nil"/>
            </w:tcBorders>
            <w:shd w:val="clear" w:color="auto" w:fill="auto"/>
            <w:noWrap/>
            <w:vAlign w:val="bottom"/>
            <w:hideMark/>
          </w:tcPr>
          <w:p w14:paraId="5E26ADFD" w14:textId="77777777" w:rsidR="00E80DCC" w:rsidRPr="00E80DCC" w:rsidRDefault="00E80DCC" w:rsidP="00E80DCC">
            <w:pPr>
              <w:spacing w:after="0" w:line="240" w:lineRule="auto"/>
              <w:jc w:val="left"/>
              <w:rPr>
                <w:rFonts w:ascii="Times New Roman" w:eastAsia="Times New Roman" w:hAnsi="Times New Roman" w:cs="Times New Roman"/>
                <w:noProof w:val="0"/>
                <w:sz w:val="20"/>
                <w:szCs w:val="20"/>
                <w:lang w:eastAsia="en-GB"/>
              </w:rPr>
            </w:pPr>
          </w:p>
        </w:tc>
        <w:tc>
          <w:tcPr>
            <w:tcW w:w="1600" w:type="dxa"/>
            <w:tcBorders>
              <w:top w:val="nil"/>
              <w:left w:val="nil"/>
              <w:bottom w:val="nil"/>
              <w:right w:val="nil"/>
            </w:tcBorders>
            <w:shd w:val="clear" w:color="auto" w:fill="auto"/>
            <w:noWrap/>
            <w:vAlign w:val="bottom"/>
            <w:hideMark/>
          </w:tcPr>
          <w:p w14:paraId="0CED9B8E" w14:textId="77777777" w:rsidR="00E80DCC" w:rsidRPr="00E80DCC" w:rsidRDefault="00E80DCC" w:rsidP="00E80DCC">
            <w:pPr>
              <w:spacing w:after="0" w:line="240" w:lineRule="auto"/>
              <w:jc w:val="left"/>
              <w:rPr>
                <w:rFonts w:ascii="Times New Roman" w:eastAsia="Times New Roman" w:hAnsi="Times New Roman" w:cs="Times New Roman"/>
                <w:noProof w:val="0"/>
                <w:sz w:val="20"/>
                <w:szCs w:val="20"/>
                <w:lang w:eastAsia="en-GB"/>
              </w:rPr>
            </w:pPr>
          </w:p>
        </w:tc>
      </w:tr>
      <w:tr w:rsidR="00E80DCC" w:rsidRPr="00E80DCC" w14:paraId="3CD75486" w14:textId="77777777" w:rsidTr="00E80DCC">
        <w:trPr>
          <w:trHeight w:val="288"/>
        </w:trPr>
        <w:tc>
          <w:tcPr>
            <w:tcW w:w="960" w:type="dxa"/>
            <w:tcBorders>
              <w:top w:val="nil"/>
              <w:left w:val="nil"/>
              <w:bottom w:val="nil"/>
              <w:right w:val="nil"/>
            </w:tcBorders>
            <w:shd w:val="clear" w:color="auto" w:fill="auto"/>
            <w:noWrap/>
            <w:vAlign w:val="bottom"/>
            <w:hideMark/>
          </w:tcPr>
          <w:p w14:paraId="37F7C160" w14:textId="77777777" w:rsidR="00E80DCC" w:rsidRPr="00E80DCC" w:rsidRDefault="00E80DCC" w:rsidP="00E80DCC">
            <w:pPr>
              <w:spacing w:after="0" w:line="240" w:lineRule="auto"/>
              <w:jc w:val="left"/>
              <w:rPr>
                <w:rFonts w:ascii="Times New Roman" w:eastAsia="Times New Roman" w:hAnsi="Times New Roman" w:cs="Times New Roman"/>
                <w:noProof w:val="0"/>
                <w:sz w:val="20"/>
                <w:szCs w:val="20"/>
                <w:lang w:eastAsia="en-GB"/>
              </w:rPr>
            </w:pPr>
          </w:p>
        </w:tc>
        <w:tc>
          <w:tcPr>
            <w:tcW w:w="1280" w:type="dxa"/>
            <w:tcBorders>
              <w:top w:val="nil"/>
              <w:left w:val="nil"/>
              <w:bottom w:val="nil"/>
              <w:right w:val="nil"/>
            </w:tcBorders>
            <w:shd w:val="clear" w:color="auto" w:fill="auto"/>
            <w:noWrap/>
            <w:vAlign w:val="bottom"/>
            <w:hideMark/>
          </w:tcPr>
          <w:p w14:paraId="36C2481B" w14:textId="77777777" w:rsidR="00E80DCC" w:rsidRPr="00E80DCC" w:rsidRDefault="00E80DCC" w:rsidP="00E80DCC">
            <w:pPr>
              <w:spacing w:after="0" w:line="240" w:lineRule="auto"/>
              <w:jc w:val="left"/>
              <w:rPr>
                <w:rFonts w:ascii="Times New Roman" w:eastAsia="Times New Roman" w:hAnsi="Times New Roman" w:cs="Times New Roman"/>
                <w:noProof w:val="0"/>
                <w:sz w:val="20"/>
                <w:szCs w:val="20"/>
                <w:lang w:eastAsia="en-GB"/>
              </w:rPr>
            </w:pPr>
          </w:p>
        </w:tc>
        <w:tc>
          <w:tcPr>
            <w:tcW w:w="1900" w:type="dxa"/>
            <w:tcBorders>
              <w:top w:val="nil"/>
              <w:left w:val="nil"/>
              <w:bottom w:val="nil"/>
              <w:right w:val="nil"/>
            </w:tcBorders>
            <w:shd w:val="clear" w:color="auto" w:fill="auto"/>
            <w:noWrap/>
            <w:vAlign w:val="bottom"/>
            <w:hideMark/>
          </w:tcPr>
          <w:p w14:paraId="5655118B" w14:textId="77777777" w:rsidR="00E80DCC" w:rsidRPr="00E80DCC" w:rsidRDefault="00E80DCC" w:rsidP="00E80DCC">
            <w:pPr>
              <w:spacing w:after="0" w:line="240" w:lineRule="auto"/>
              <w:jc w:val="left"/>
              <w:rPr>
                <w:rFonts w:ascii="Times New Roman" w:eastAsia="Times New Roman" w:hAnsi="Times New Roman" w:cs="Times New Roman"/>
                <w:noProof w:val="0"/>
                <w:sz w:val="20"/>
                <w:szCs w:val="20"/>
                <w:lang w:eastAsia="en-GB"/>
              </w:rPr>
            </w:pPr>
          </w:p>
        </w:tc>
        <w:tc>
          <w:tcPr>
            <w:tcW w:w="1600" w:type="dxa"/>
            <w:tcBorders>
              <w:top w:val="nil"/>
              <w:left w:val="nil"/>
              <w:bottom w:val="nil"/>
              <w:right w:val="nil"/>
            </w:tcBorders>
            <w:shd w:val="clear" w:color="auto" w:fill="auto"/>
            <w:noWrap/>
            <w:vAlign w:val="bottom"/>
            <w:hideMark/>
          </w:tcPr>
          <w:p w14:paraId="188EE441" w14:textId="77777777" w:rsidR="00E80DCC" w:rsidRPr="00E80DCC" w:rsidRDefault="00E80DCC" w:rsidP="00E80DCC">
            <w:pPr>
              <w:spacing w:after="0" w:line="240" w:lineRule="auto"/>
              <w:jc w:val="left"/>
              <w:rPr>
                <w:rFonts w:ascii="Times New Roman" w:eastAsia="Times New Roman" w:hAnsi="Times New Roman" w:cs="Times New Roman"/>
                <w:noProof w:val="0"/>
                <w:sz w:val="20"/>
                <w:szCs w:val="20"/>
                <w:lang w:eastAsia="en-GB"/>
              </w:rPr>
            </w:pPr>
          </w:p>
        </w:tc>
      </w:tr>
      <w:tr w:rsidR="00E80DCC" w:rsidRPr="00E80DCC" w14:paraId="44ADFC69" w14:textId="77777777" w:rsidTr="00E80DCC">
        <w:trPr>
          <w:trHeight w:val="288"/>
        </w:trPr>
        <w:tc>
          <w:tcPr>
            <w:tcW w:w="574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D27A63" w14:textId="77777777" w:rsidR="00E80DCC" w:rsidRPr="00E80DCC" w:rsidRDefault="00E80DCC" w:rsidP="00E80DCC">
            <w:pPr>
              <w:spacing w:after="0" w:line="240" w:lineRule="auto"/>
              <w:jc w:val="center"/>
              <w:rPr>
                <w:rFonts w:eastAsia="Times New Roman" w:cs="Calibri"/>
                <w:b/>
                <w:bCs/>
                <w:noProof w:val="0"/>
                <w:color w:val="000000"/>
                <w:sz w:val="22"/>
                <w:lang w:eastAsia="en-GB"/>
              </w:rPr>
            </w:pPr>
            <w:r w:rsidRPr="00E80DCC">
              <w:rPr>
                <w:rFonts w:eastAsia="Times New Roman" w:cs="Calibri"/>
                <w:b/>
                <w:bCs/>
                <w:noProof w:val="0"/>
                <w:color w:val="000000"/>
                <w:sz w:val="22"/>
                <w:lang w:eastAsia="en-GB"/>
              </w:rPr>
              <w:t>Net Present Value of the investment C</w:t>
            </w:r>
          </w:p>
        </w:tc>
      </w:tr>
      <w:tr w:rsidR="00E80DCC" w:rsidRPr="00E80DCC" w14:paraId="67081773" w14:textId="77777777" w:rsidTr="00E80DCC">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1B916D1" w14:textId="77777777" w:rsidR="00E80DCC" w:rsidRPr="00E80DCC" w:rsidRDefault="00E80DCC" w:rsidP="00E80DCC">
            <w:pPr>
              <w:spacing w:after="0" w:line="240" w:lineRule="auto"/>
              <w:jc w:val="center"/>
              <w:rPr>
                <w:rFonts w:eastAsia="Times New Roman" w:cs="Calibri"/>
                <w:b/>
                <w:bCs/>
                <w:noProof w:val="0"/>
                <w:color w:val="000000"/>
                <w:sz w:val="22"/>
                <w:lang w:eastAsia="en-GB"/>
              </w:rPr>
            </w:pPr>
            <w:r w:rsidRPr="00E80DCC">
              <w:rPr>
                <w:rFonts w:eastAsia="Times New Roman" w:cs="Calibri"/>
                <w:b/>
                <w:bCs/>
                <w:noProof w:val="0"/>
                <w:color w:val="000000"/>
                <w:sz w:val="22"/>
                <w:lang w:eastAsia="en-GB"/>
              </w:rPr>
              <w:t xml:space="preserve">Period </w:t>
            </w:r>
          </w:p>
        </w:tc>
        <w:tc>
          <w:tcPr>
            <w:tcW w:w="1280" w:type="dxa"/>
            <w:tcBorders>
              <w:top w:val="nil"/>
              <w:left w:val="nil"/>
              <w:bottom w:val="single" w:sz="4" w:space="0" w:color="auto"/>
              <w:right w:val="single" w:sz="4" w:space="0" w:color="auto"/>
            </w:tcBorders>
            <w:shd w:val="clear" w:color="auto" w:fill="auto"/>
            <w:noWrap/>
            <w:vAlign w:val="bottom"/>
            <w:hideMark/>
          </w:tcPr>
          <w:p w14:paraId="14AD457E" w14:textId="77777777" w:rsidR="00E80DCC" w:rsidRPr="00E80DCC" w:rsidRDefault="00E80DCC" w:rsidP="00E80DCC">
            <w:pPr>
              <w:spacing w:after="0" w:line="240" w:lineRule="auto"/>
              <w:jc w:val="center"/>
              <w:rPr>
                <w:rFonts w:eastAsia="Times New Roman" w:cs="Calibri"/>
                <w:b/>
                <w:bCs/>
                <w:noProof w:val="0"/>
                <w:color w:val="000000"/>
                <w:sz w:val="22"/>
                <w:lang w:eastAsia="en-GB"/>
              </w:rPr>
            </w:pPr>
            <w:r w:rsidRPr="00E80DCC">
              <w:rPr>
                <w:rFonts w:eastAsia="Times New Roman" w:cs="Calibri"/>
                <w:b/>
                <w:bCs/>
                <w:noProof w:val="0"/>
                <w:color w:val="000000"/>
                <w:sz w:val="22"/>
                <w:lang w:eastAsia="en-GB"/>
              </w:rPr>
              <w:t>Cashflows (£)</w:t>
            </w:r>
          </w:p>
        </w:tc>
        <w:tc>
          <w:tcPr>
            <w:tcW w:w="1900" w:type="dxa"/>
            <w:tcBorders>
              <w:top w:val="nil"/>
              <w:left w:val="nil"/>
              <w:bottom w:val="single" w:sz="4" w:space="0" w:color="auto"/>
              <w:right w:val="single" w:sz="4" w:space="0" w:color="auto"/>
            </w:tcBorders>
            <w:shd w:val="clear" w:color="auto" w:fill="auto"/>
            <w:noWrap/>
            <w:vAlign w:val="bottom"/>
            <w:hideMark/>
          </w:tcPr>
          <w:p w14:paraId="564FA606" w14:textId="77777777" w:rsidR="00E80DCC" w:rsidRPr="00E80DCC" w:rsidRDefault="00E80DCC" w:rsidP="00E80DCC">
            <w:pPr>
              <w:spacing w:after="0" w:line="240" w:lineRule="auto"/>
              <w:jc w:val="center"/>
              <w:rPr>
                <w:rFonts w:eastAsia="Times New Roman" w:cs="Calibri"/>
                <w:b/>
                <w:bCs/>
                <w:noProof w:val="0"/>
                <w:color w:val="000000"/>
                <w:sz w:val="22"/>
                <w:lang w:eastAsia="en-GB"/>
              </w:rPr>
            </w:pPr>
            <w:r w:rsidRPr="00E80DCC">
              <w:rPr>
                <w:rFonts w:eastAsia="Times New Roman" w:cs="Calibri"/>
                <w:b/>
                <w:bCs/>
                <w:noProof w:val="0"/>
                <w:color w:val="000000"/>
                <w:sz w:val="22"/>
                <w:lang w:eastAsia="en-GB"/>
              </w:rPr>
              <w:t xml:space="preserve">Rate of Discounting </w:t>
            </w:r>
          </w:p>
        </w:tc>
        <w:tc>
          <w:tcPr>
            <w:tcW w:w="1600" w:type="dxa"/>
            <w:tcBorders>
              <w:top w:val="nil"/>
              <w:left w:val="nil"/>
              <w:bottom w:val="single" w:sz="4" w:space="0" w:color="auto"/>
              <w:right w:val="single" w:sz="4" w:space="0" w:color="auto"/>
            </w:tcBorders>
            <w:shd w:val="clear" w:color="auto" w:fill="auto"/>
            <w:noWrap/>
            <w:vAlign w:val="bottom"/>
            <w:hideMark/>
          </w:tcPr>
          <w:p w14:paraId="48A1174F" w14:textId="77777777" w:rsidR="00E80DCC" w:rsidRPr="00E80DCC" w:rsidRDefault="00E80DCC" w:rsidP="00E80DCC">
            <w:pPr>
              <w:spacing w:after="0" w:line="240" w:lineRule="auto"/>
              <w:jc w:val="center"/>
              <w:rPr>
                <w:rFonts w:eastAsia="Times New Roman" w:cs="Calibri"/>
                <w:b/>
                <w:bCs/>
                <w:noProof w:val="0"/>
                <w:color w:val="000000"/>
                <w:sz w:val="22"/>
                <w:lang w:eastAsia="en-GB"/>
              </w:rPr>
            </w:pPr>
            <w:r w:rsidRPr="00E80DCC">
              <w:rPr>
                <w:rFonts w:eastAsia="Times New Roman" w:cs="Calibri"/>
                <w:b/>
                <w:bCs/>
                <w:noProof w:val="0"/>
                <w:color w:val="000000"/>
                <w:sz w:val="22"/>
                <w:lang w:eastAsia="en-GB"/>
              </w:rPr>
              <w:t>Present Value (£)</w:t>
            </w:r>
          </w:p>
        </w:tc>
      </w:tr>
      <w:tr w:rsidR="00E80DCC" w:rsidRPr="00E80DCC" w14:paraId="019A69C3" w14:textId="77777777" w:rsidTr="00E80DCC">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C788A3E"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0</w:t>
            </w:r>
          </w:p>
        </w:tc>
        <w:tc>
          <w:tcPr>
            <w:tcW w:w="1280" w:type="dxa"/>
            <w:tcBorders>
              <w:top w:val="nil"/>
              <w:left w:val="nil"/>
              <w:bottom w:val="single" w:sz="4" w:space="0" w:color="auto"/>
              <w:right w:val="single" w:sz="4" w:space="0" w:color="auto"/>
            </w:tcBorders>
            <w:shd w:val="clear" w:color="auto" w:fill="auto"/>
            <w:noWrap/>
            <w:vAlign w:val="bottom"/>
            <w:hideMark/>
          </w:tcPr>
          <w:p w14:paraId="775C42D6"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-1,700,000</w:t>
            </w:r>
          </w:p>
        </w:tc>
        <w:tc>
          <w:tcPr>
            <w:tcW w:w="1900" w:type="dxa"/>
            <w:tcBorders>
              <w:top w:val="nil"/>
              <w:left w:val="nil"/>
              <w:bottom w:val="single" w:sz="4" w:space="0" w:color="auto"/>
              <w:right w:val="single" w:sz="4" w:space="0" w:color="auto"/>
            </w:tcBorders>
            <w:shd w:val="clear" w:color="auto" w:fill="auto"/>
            <w:noWrap/>
            <w:vAlign w:val="bottom"/>
            <w:hideMark/>
          </w:tcPr>
          <w:p w14:paraId="297D1589"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1.000</w:t>
            </w:r>
          </w:p>
        </w:tc>
        <w:tc>
          <w:tcPr>
            <w:tcW w:w="1600" w:type="dxa"/>
            <w:tcBorders>
              <w:top w:val="nil"/>
              <w:left w:val="nil"/>
              <w:bottom w:val="single" w:sz="4" w:space="0" w:color="auto"/>
              <w:right w:val="single" w:sz="4" w:space="0" w:color="auto"/>
            </w:tcBorders>
            <w:shd w:val="clear" w:color="auto" w:fill="auto"/>
            <w:noWrap/>
            <w:vAlign w:val="bottom"/>
            <w:hideMark/>
          </w:tcPr>
          <w:p w14:paraId="3EB0041C"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-1700000.000</w:t>
            </w:r>
          </w:p>
        </w:tc>
      </w:tr>
      <w:tr w:rsidR="00E80DCC" w:rsidRPr="00E80DCC" w14:paraId="3506FAB9" w14:textId="77777777" w:rsidTr="00E80DCC">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BD80B2D"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1</w:t>
            </w:r>
          </w:p>
        </w:tc>
        <w:tc>
          <w:tcPr>
            <w:tcW w:w="1280" w:type="dxa"/>
            <w:tcBorders>
              <w:top w:val="nil"/>
              <w:left w:val="nil"/>
              <w:bottom w:val="single" w:sz="4" w:space="0" w:color="auto"/>
              <w:right w:val="single" w:sz="4" w:space="0" w:color="auto"/>
            </w:tcBorders>
            <w:shd w:val="clear" w:color="auto" w:fill="auto"/>
            <w:noWrap/>
            <w:vAlign w:val="bottom"/>
            <w:hideMark/>
          </w:tcPr>
          <w:p w14:paraId="4A316CB4"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500,000</w:t>
            </w:r>
          </w:p>
        </w:tc>
        <w:tc>
          <w:tcPr>
            <w:tcW w:w="1900" w:type="dxa"/>
            <w:tcBorders>
              <w:top w:val="nil"/>
              <w:left w:val="nil"/>
              <w:bottom w:val="single" w:sz="4" w:space="0" w:color="auto"/>
              <w:right w:val="single" w:sz="4" w:space="0" w:color="auto"/>
            </w:tcBorders>
            <w:shd w:val="clear" w:color="auto" w:fill="auto"/>
            <w:noWrap/>
            <w:vAlign w:val="bottom"/>
            <w:hideMark/>
          </w:tcPr>
          <w:p w14:paraId="652412F0"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0.943</w:t>
            </w:r>
          </w:p>
        </w:tc>
        <w:tc>
          <w:tcPr>
            <w:tcW w:w="1600" w:type="dxa"/>
            <w:tcBorders>
              <w:top w:val="nil"/>
              <w:left w:val="nil"/>
              <w:bottom w:val="single" w:sz="4" w:space="0" w:color="auto"/>
              <w:right w:val="single" w:sz="4" w:space="0" w:color="auto"/>
            </w:tcBorders>
            <w:shd w:val="clear" w:color="auto" w:fill="auto"/>
            <w:noWrap/>
            <w:vAlign w:val="bottom"/>
            <w:hideMark/>
          </w:tcPr>
          <w:p w14:paraId="33F765BE"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471698.113</w:t>
            </w:r>
          </w:p>
        </w:tc>
      </w:tr>
      <w:tr w:rsidR="00E80DCC" w:rsidRPr="00E80DCC" w14:paraId="582AF204" w14:textId="77777777" w:rsidTr="00E80DCC">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7CD56BC"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2</w:t>
            </w:r>
          </w:p>
        </w:tc>
        <w:tc>
          <w:tcPr>
            <w:tcW w:w="1280" w:type="dxa"/>
            <w:tcBorders>
              <w:top w:val="nil"/>
              <w:left w:val="nil"/>
              <w:bottom w:val="single" w:sz="4" w:space="0" w:color="auto"/>
              <w:right w:val="single" w:sz="4" w:space="0" w:color="auto"/>
            </w:tcBorders>
            <w:shd w:val="clear" w:color="auto" w:fill="auto"/>
            <w:noWrap/>
            <w:vAlign w:val="bottom"/>
            <w:hideMark/>
          </w:tcPr>
          <w:p w14:paraId="4B8547BB"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800,000</w:t>
            </w:r>
          </w:p>
        </w:tc>
        <w:tc>
          <w:tcPr>
            <w:tcW w:w="1900" w:type="dxa"/>
            <w:tcBorders>
              <w:top w:val="nil"/>
              <w:left w:val="nil"/>
              <w:bottom w:val="single" w:sz="4" w:space="0" w:color="auto"/>
              <w:right w:val="single" w:sz="4" w:space="0" w:color="auto"/>
            </w:tcBorders>
            <w:shd w:val="clear" w:color="auto" w:fill="auto"/>
            <w:noWrap/>
            <w:vAlign w:val="bottom"/>
            <w:hideMark/>
          </w:tcPr>
          <w:p w14:paraId="531DBE2E"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0.890</w:t>
            </w:r>
          </w:p>
        </w:tc>
        <w:tc>
          <w:tcPr>
            <w:tcW w:w="1600" w:type="dxa"/>
            <w:tcBorders>
              <w:top w:val="nil"/>
              <w:left w:val="nil"/>
              <w:bottom w:val="single" w:sz="4" w:space="0" w:color="auto"/>
              <w:right w:val="single" w:sz="4" w:space="0" w:color="auto"/>
            </w:tcBorders>
            <w:shd w:val="clear" w:color="auto" w:fill="auto"/>
            <w:noWrap/>
            <w:vAlign w:val="bottom"/>
            <w:hideMark/>
          </w:tcPr>
          <w:p w14:paraId="3715BE1B"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711997.152</w:t>
            </w:r>
          </w:p>
        </w:tc>
      </w:tr>
      <w:tr w:rsidR="00E80DCC" w:rsidRPr="00E80DCC" w14:paraId="6060B507" w14:textId="77777777" w:rsidTr="00E80DCC">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29365FD"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3</w:t>
            </w:r>
          </w:p>
        </w:tc>
        <w:tc>
          <w:tcPr>
            <w:tcW w:w="1280" w:type="dxa"/>
            <w:tcBorders>
              <w:top w:val="nil"/>
              <w:left w:val="nil"/>
              <w:bottom w:val="single" w:sz="4" w:space="0" w:color="auto"/>
              <w:right w:val="single" w:sz="4" w:space="0" w:color="auto"/>
            </w:tcBorders>
            <w:shd w:val="clear" w:color="auto" w:fill="auto"/>
            <w:noWrap/>
            <w:vAlign w:val="bottom"/>
            <w:hideMark/>
          </w:tcPr>
          <w:p w14:paraId="6BBC48EA"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1,050,000</w:t>
            </w:r>
          </w:p>
        </w:tc>
        <w:tc>
          <w:tcPr>
            <w:tcW w:w="1900" w:type="dxa"/>
            <w:tcBorders>
              <w:top w:val="nil"/>
              <w:left w:val="nil"/>
              <w:bottom w:val="single" w:sz="4" w:space="0" w:color="auto"/>
              <w:right w:val="single" w:sz="4" w:space="0" w:color="auto"/>
            </w:tcBorders>
            <w:shd w:val="clear" w:color="auto" w:fill="auto"/>
            <w:noWrap/>
            <w:vAlign w:val="bottom"/>
            <w:hideMark/>
          </w:tcPr>
          <w:p w14:paraId="31462715"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0.840</w:t>
            </w:r>
          </w:p>
        </w:tc>
        <w:tc>
          <w:tcPr>
            <w:tcW w:w="1600" w:type="dxa"/>
            <w:tcBorders>
              <w:top w:val="nil"/>
              <w:left w:val="nil"/>
              <w:bottom w:val="single" w:sz="4" w:space="0" w:color="auto"/>
              <w:right w:val="single" w:sz="4" w:space="0" w:color="auto"/>
            </w:tcBorders>
            <w:shd w:val="clear" w:color="auto" w:fill="auto"/>
            <w:noWrap/>
            <w:vAlign w:val="bottom"/>
            <w:hideMark/>
          </w:tcPr>
          <w:p w14:paraId="6B561496"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881600.247</w:t>
            </w:r>
          </w:p>
        </w:tc>
      </w:tr>
      <w:tr w:rsidR="00E80DCC" w:rsidRPr="00E80DCC" w14:paraId="603A0361" w14:textId="77777777" w:rsidTr="00E80DCC">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90DB52A"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4</w:t>
            </w:r>
          </w:p>
        </w:tc>
        <w:tc>
          <w:tcPr>
            <w:tcW w:w="1280" w:type="dxa"/>
            <w:tcBorders>
              <w:top w:val="nil"/>
              <w:left w:val="nil"/>
              <w:bottom w:val="single" w:sz="4" w:space="0" w:color="auto"/>
              <w:right w:val="single" w:sz="4" w:space="0" w:color="auto"/>
            </w:tcBorders>
            <w:shd w:val="clear" w:color="auto" w:fill="auto"/>
            <w:noWrap/>
            <w:vAlign w:val="bottom"/>
            <w:hideMark/>
          </w:tcPr>
          <w:p w14:paraId="1DEC147B"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1,200,000</w:t>
            </w:r>
          </w:p>
        </w:tc>
        <w:tc>
          <w:tcPr>
            <w:tcW w:w="1900" w:type="dxa"/>
            <w:tcBorders>
              <w:top w:val="nil"/>
              <w:left w:val="nil"/>
              <w:bottom w:val="single" w:sz="4" w:space="0" w:color="auto"/>
              <w:right w:val="single" w:sz="4" w:space="0" w:color="auto"/>
            </w:tcBorders>
            <w:shd w:val="clear" w:color="auto" w:fill="auto"/>
            <w:noWrap/>
            <w:vAlign w:val="bottom"/>
            <w:hideMark/>
          </w:tcPr>
          <w:p w14:paraId="04DA6EDB"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0.792</w:t>
            </w:r>
          </w:p>
        </w:tc>
        <w:tc>
          <w:tcPr>
            <w:tcW w:w="1600" w:type="dxa"/>
            <w:tcBorders>
              <w:top w:val="nil"/>
              <w:left w:val="nil"/>
              <w:bottom w:val="single" w:sz="4" w:space="0" w:color="auto"/>
              <w:right w:val="single" w:sz="4" w:space="0" w:color="auto"/>
            </w:tcBorders>
            <w:shd w:val="clear" w:color="auto" w:fill="auto"/>
            <w:noWrap/>
            <w:vAlign w:val="bottom"/>
            <w:hideMark/>
          </w:tcPr>
          <w:p w14:paraId="4ADB7590"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950512.396</w:t>
            </w:r>
          </w:p>
        </w:tc>
      </w:tr>
      <w:tr w:rsidR="00E80DCC" w:rsidRPr="00E80DCC" w14:paraId="4DFB90D9" w14:textId="77777777" w:rsidTr="00E80DCC">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CA099EC"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 </w:t>
            </w:r>
          </w:p>
        </w:tc>
        <w:tc>
          <w:tcPr>
            <w:tcW w:w="1280" w:type="dxa"/>
            <w:tcBorders>
              <w:top w:val="nil"/>
              <w:left w:val="nil"/>
              <w:bottom w:val="single" w:sz="4" w:space="0" w:color="auto"/>
              <w:right w:val="single" w:sz="4" w:space="0" w:color="auto"/>
            </w:tcBorders>
            <w:shd w:val="clear" w:color="auto" w:fill="auto"/>
            <w:noWrap/>
            <w:vAlign w:val="bottom"/>
            <w:hideMark/>
          </w:tcPr>
          <w:p w14:paraId="283DCBFA"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 </w:t>
            </w:r>
          </w:p>
        </w:tc>
        <w:tc>
          <w:tcPr>
            <w:tcW w:w="1900" w:type="dxa"/>
            <w:tcBorders>
              <w:top w:val="nil"/>
              <w:left w:val="nil"/>
              <w:bottom w:val="single" w:sz="4" w:space="0" w:color="auto"/>
              <w:right w:val="single" w:sz="4" w:space="0" w:color="auto"/>
            </w:tcBorders>
            <w:shd w:val="clear" w:color="auto" w:fill="auto"/>
            <w:noWrap/>
            <w:vAlign w:val="bottom"/>
            <w:hideMark/>
          </w:tcPr>
          <w:p w14:paraId="65C6F61B"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 </w:t>
            </w:r>
          </w:p>
        </w:tc>
        <w:tc>
          <w:tcPr>
            <w:tcW w:w="1600" w:type="dxa"/>
            <w:tcBorders>
              <w:top w:val="nil"/>
              <w:left w:val="nil"/>
              <w:bottom w:val="single" w:sz="4" w:space="0" w:color="auto"/>
              <w:right w:val="single" w:sz="4" w:space="0" w:color="auto"/>
            </w:tcBorders>
            <w:shd w:val="clear" w:color="auto" w:fill="auto"/>
            <w:noWrap/>
            <w:vAlign w:val="bottom"/>
            <w:hideMark/>
          </w:tcPr>
          <w:p w14:paraId="1CDC642B" w14:textId="77777777" w:rsidR="00E80DCC" w:rsidRPr="00E80DCC" w:rsidRDefault="00E80DCC" w:rsidP="00E80DCC">
            <w:pPr>
              <w:spacing w:after="0" w:line="240" w:lineRule="auto"/>
              <w:jc w:val="center"/>
              <w:rPr>
                <w:rFonts w:eastAsia="Times New Roman" w:cs="Calibri"/>
                <w:noProof w:val="0"/>
                <w:color w:val="000000"/>
                <w:sz w:val="22"/>
                <w:lang w:eastAsia="en-GB"/>
              </w:rPr>
            </w:pPr>
            <w:r w:rsidRPr="00E80DCC">
              <w:rPr>
                <w:rFonts w:eastAsia="Times New Roman" w:cs="Calibri"/>
                <w:noProof w:val="0"/>
                <w:color w:val="000000"/>
                <w:sz w:val="22"/>
                <w:lang w:eastAsia="en-GB"/>
              </w:rPr>
              <w:t> </w:t>
            </w:r>
          </w:p>
        </w:tc>
      </w:tr>
      <w:tr w:rsidR="00E80DCC" w:rsidRPr="00E80DCC" w14:paraId="63CC715D" w14:textId="77777777" w:rsidTr="00E80DCC">
        <w:trPr>
          <w:trHeight w:val="288"/>
        </w:trPr>
        <w:tc>
          <w:tcPr>
            <w:tcW w:w="414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F0BCC2" w14:textId="77777777" w:rsidR="00E80DCC" w:rsidRPr="00E80DCC" w:rsidRDefault="00E80DCC" w:rsidP="00E80DCC">
            <w:pPr>
              <w:spacing w:after="0" w:line="240" w:lineRule="auto"/>
              <w:jc w:val="center"/>
              <w:rPr>
                <w:rFonts w:eastAsia="Times New Roman" w:cs="Calibri"/>
                <w:b/>
                <w:bCs/>
                <w:noProof w:val="0"/>
                <w:color w:val="000000"/>
                <w:sz w:val="22"/>
                <w:lang w:eastAsia="en-GB"/>
              </w:rPr>
            </w:pPr>
            <w:r w:rsidRPr="00E80DCC">
              <w:rPr>
                <w:rFonts w:eastAsia="Times New Roman" w:cs="Calibri"/>
                <w:b/>
                <w:bCs/>
                <w:noProof w:val="0"/>
                <w:color w:val="000000"/>
                <w:sz w:val="22"/>
                <w:lang w:eastAsia="en-GB"/>
              </w:rPr>
              <w:t xml:space="preserve">Net Present Value </w:t>
            </w:r>
          </w:p>
        </w:tc>
        <w:tc>
          <w:tcPr>
            <w:tcW w:w="1600" w:type="dxa"/>
            <w:tcBorders>
              <w:top w:val="nil"/>
              <w:left w:val="nil"/>
              <w:bottom w:val="single" w:sz="4" w:space="0" w:color="auto"/>
              <w:right w:val="single" w:sz="4" w:space="0" w:color="auto"/>
            </w:tcBorders>
            <w:shd w:val="clear" w:color="auto" w:fill="auto"/>
            <w:noWrap/>
            <w:vAlign w:val="bottom"/>
            <w:hideMark/>
          </w:tcPr>
          <w:p w14:paraId="1C8635D8" w14:textId="77777777" w:rsidR="00E80DCC" w:rsidRPr="00E80DCC" w:rsidRDefault="00E80DCC" w:rsidP="00E80DCC">
            <w:pPr>
              <w:spacing w:after="0" w:line="240" w:lineRule="auto"/>
              <w:jc w:val="center"/>
              <w:rPr>
                <w:rFonts w:eastAsia="Times New Roman" w:cs="Calibri"/>
                <w:b/>
                <w:bCs/>
                <w:noProof w:val="0"/>
                <w:color w:val="000000"/>
                <w:sz w:val="22"/>
                <w:lang w:eastAsia="en-GB"/>
              </w:rPr>
            </w:pPr>
            <w:r w:rsidRPr="00E80DCC">
              <w:rPr>
                <w:rFonts w:eastAsia="Times New Roman" w:cs="Calibri"/>
                <w:b/>
                <w:bCs/>
                <w:noProof w:val="0"/>
                <w:color w:val="000000"/>
                <w:sz w:val="22"/>
                <w:lang w:eastAsia="en-GB"/>
              </w:rPr>
              <w:t>1315807.908</w:t>
            </w:r>
          </w:p>
        </w:tc>
      </w:tr>
    </w:tbl>
    <w:p w14:paraId="599FA5D3" w14:textId="77777777" w:rsidR="00DD598E" w:rsidRDefault="00DD598E" w:rsidP="00ED4D6A">
      <w:pPr>
        <w:spacing w:after="0"/>
      </w:pPr>
    </w:p>
    <w:tbl>
      <w:tblPr>
        <w:tblW w:w="3560" w:type="dxa"/>
        <w:tblLook w:val="04A0" w:firstRow="1" w:lastRow="0" w:firstColumn="1" w:lastColumn="0" w:noHBand="0" w:noVBand="1"/>
      </w:tblPr>
      <w:tblGrid>
        <w:gridCol w:w="1994"/>
        <w:gridCol w:w="1566"/>
      </w:tblGrid>
      <w:tr w:rsidR="00DD598E" w:rsidRPr="00DD598E" w14:paraId="22134C3E" w14:textId="77777777" w:rsidTr="00DD598E">
        <w:trPr>
          <w:trHeight w:val="288"/>
        </w:trPr>
        <w:tc>
          <w:tcPr>
            <w:tcW w:w="35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D658A4" w14:textId="11FECE96" w:rsidR="00DD598E" w:rsidRPr="00DD598E" w:rsidRDefault="00DD598E" w:rsidP="00DD598E">
            <w:pPr>
              <w:spacing w:after="0" w:line="240" w:lineRule="auto"/>
              <w:jc w:val="center"/>
              <w:rPr>
                <w:rFonts w:eastAsia="Times New Roman" w:cs="Calibri"/>
                <w:b/>
                <w:bCs/>
                <w:noProof w:val="0"/>
                <w:color w:val="000000"/>
                <w:sz w:val="22"/>
                <w:lang w:eastAsia="en-GB"/>
              </w:rPr>
            </w:pPr>
            <w:r w:rsidRPr="00DD598E">
              <w:rPr>
                <w:rFonts w:eastAsia="Times New Roman" w:cs="Calibri"/>
                <w:b/>
                <w:bCs/>
                <w:noProof w:val="0"/>
                <w:color w:val="000000"/>
                <w:sz w:val="22"/>
                <w:lang w:eastAsia="en-GB"/>
              </w:rPr>
              <w:t xml:space="preserve">IRR </w:t>
            </w:r>
            <w:r w:rsidR="00ED55E7" w:rsidRPr="00DD598E">
              <w:rPr>
                <w:rFonts w:eastAsia="Times New Roman" w:cs="Calibri"/>
                <w:b/>
                <w:bCs/>
                <w:noProof w:val="0"/>
                <w:color w:val="000000"/>
                <w:sz w:val="22"/>
                <w:lang w:eastAsia="en-GB"/>
              </w:rPr>
              <w:t>of investment</w:t>
            </w:r>
            <w:r w:rsidRPr="00DD598E">
              <w:rPr>
                <w:rFonts w:eastAsia="Times New Roman" w:cs="Calibri"/>
                <w:b/>
                <w:bCs/>
                <w:noProof w:val="0"/>
                <w:color w:val="000000"/>
                <w:sz w:val="22"/>
                <w:lang w:eastAsia="en-GB"/>
              </w:rPr>
              <w:t xml:space="preserve"> A </w:t>
            </w:r>
          </w:p>
        </w:tc>
      </w:tr>
      <w:tr w:rsidR="00DD598E" w:rsidRPr="00DD598E" w14:paraId="6ED18A8F" w14:textId="77777777" w:rsidTr="00DD598E">
        <w:trPr>
          <w:trHeight w:val="288"/>
        </w:trPr>
        <w:tc>
          <w:tcPr>
            <w:tcW w:w="1994" w:type="dxa"/>
            <w:tcBorders>
              <w:top w:val="nil"/>
              <w:left w:val="single" w:sz="4" w:space="0" w:color="auto"/>
              <w:bottom w:val="single" w:sz="4" w:space="0" w:color="auto"/>
              <w:right w:val="single" w:sz="4" w:space="0" w:color="auto"/>
            </w:tcBorders>
            <w:shd w:val="clear" w:color="auto" w:fill="auto"/>
            <w:noWrap/>
            <w:vAlign w:val="bottom"/>
            <w:hideMark/>
          </w:tcPr>
          <w:p w14:paraId="5960B6FF" w14:textId="77777777" w:rsidR="00DD598E" w:rsidRPr="00DD598E" w:rsidRDefault="00DD598E" w:rsidP="00DD598E">
            <w:pPr>
              <w:spacing w:after="0" w:line="240" w:lineRule="auto"/>
              <w:jc w:val="center"/>
              <w:rPr>
                <w:rFonts w:eastAsia="Times New Roman" w:cs="Calibri"/>
                <w:b/>
                <w:bCs/>
                <w:noProof w:val="0"/>
                <w:color w:val="000000"/>
                <w:sz w:val="22"/>
                <w:lang w:eastAsia="en-GB"/>
              </w:rPr>
            </w:pPr>
            <w:r w:rsidRPr="00DD598E">
              <w:rPr>
                <w:rFonts w:eastAsia="Times New Roman" w:cs="Calibri"/>
                <w:b/>
                <w:bCs/>
                <w:noProof w:val="0"/>
                <w:color w:val="000000"/>
                <w:sz w:val="22"/>
                <w:lang w:eastAsia="en-GB"/>
              </w:rPr>
              <w:t xml:space="preserve">Period </w:t>
            </w:r>
          </w:p>
        </w:tc>
        <w:tc>
          <w:tcPr>
            <w:tcW w:w="1566" w:type="dxa"/>
            <w:tcBorders>
              <w:top w:val="nil"/>
              <w:left w:val="nil"/>
              <w:bottom w:val="single" w:sz="4" w:space="0" w:color="auto"/>
              <w:right w:val="single" w:sz="4" w:space="0" w:color="auto"/>
            </w:tcBorders>
            <w:shd w:val="clear" w:color="auto" w:fill="auto"/>
            <w:noWrap/>
            <w:vAlign w:val="bottom"/>
            <w:hideMark/>
          </w:tcPr>
          <w:p w14:paraId="6E59319F" w14:textId="77777777" w:rsidR="00DD598E" w:rsidRPr="00DD598E" w:rsidRDefault="00DD598E" w:rsidP="00DD598E">
            <w:pPr>
              <w:spacing w:after="0" w:line="240" w:lineRule="auto"/>
              <w:jc w:val="center"/>
              <w:rPr>
                <w:rFonts w:eastAsia="Times New Roman" w:cs="Calibri"/>
                <w:b/>
                <w:bCs/>
                <w:noProof w:val="0"/>
                <w:color w:val="000000"/>
                <w:sz w:val="22"/>
                <w:lang w:eastAsia="en-GB"/>
              </w:rPr>
            </w:pPr>
            <w:r w:rsidRPr="00DD598E">
              <w:rPr>
                <w:rFonts w:eastAsia="Times New Roman" w:cs="Calibri"/>
                <w:b/>
                <w:bCs/>
                <w:noProof w:val="0"/>
                <w:color w:val="000000"/>
                <w:sz w:val="22"/>
                <w:lang w:eastAsia="en-GB"/>
              </w:rPr>
              <w:t>Cashflows (£)</w:t>
            </w:r>
          </w:p>
        </w:tc>
      </w:tr>
      <w:tr w:rsidR="00DD598E" w:rsidRPr="00DD598E" w14:paraId="2B7C8BBF" w14:textId="77777777" w:rsidTr="00DD598E">
        <w:trPr>
          <w:trHeight w:val="288"/>
        </w:trPr>
        <w:tc>
          <w:tcPr>
            <w:tcW w:w="1994" w:type="dxa"/>
            <w:tcBorders>
              <w:top w:val="nil"/>
              <w:left w:val="single" w:sz="4" w:space="0" w:color="auto"/>
              <w:bottom w:val="single" w:sz="4" w:space="0" w:color="auto"/>
              <w:right w:val="single" w:sz="4" w:space="0" w:color="auto"/>
            </w:tcBorders>
            <w:shd w:val="clear" w:color="auto" w:fill="auto"/>
            <w:noWrap/>
            <w:vAlign w:val="bottom"/>
            <w:hideMark/>
          </w:tcPr>
          <w:p w14:paraId="77BD7C11"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 xml:space="preserve">Initial Investment </w:t>
            </w:r>
          </w:p>
        </w:tc>
        <w:tc>
          <w:tcPr>
            <w:tcW w:w="1566" w:type="dxa"/>
            <w:tcBorders>
              <w:top w:val="nil"/>
              <w:left w:val="nil"/>
              <w:bottom w:val="single" w:sz="4" w:space="0" w:color="auto"/>
              <w:right w:val="single" w:sz="4" w:space="0" w:color="auto"/>
            </w:tcBorders>
            <w:shd w:val="clear" w:color="auto" w:fill="auto"/>
            <w:noWrap/>
            <w:vAlign w:val="bottom"/>
            <w:hideMark/>
          </w:tcPr>
          <w:p w14:paraId="3B4D9C93"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-660,000</w:t>
            </w:r>
          </w:p>
        </w:tc>
      </w:tr>
      <w:tr w:rsidR="00DD598E" w:rsidRPr="00DD598E" w14:paraId="0E1829C2" w14:textId="77777777" w:rsidTr="00DD598E">
        <w:trPr>
          <w:trHeight w:val="288"/>
        </w:trPr>
        <w:tc>
          <w:tcPr>
            <w:tcW w:w="1994" w:type="dxa"/>
            <w:tcBorders>
              <w:top w:val="nil"/>
              <w:left w:val="single" w:sz="4" w:space="0" w:color="auto"/>
              <w:bottom w:val="single" w:sz="4" w:space="0" w:color="auto"/>
              <w:right w:val="single" w:sz="4" w:space="0" w:color="auto"/>
            </w:tcBorders>
            <w:shd w:val="clear" w:color="auto" w:fill="auto"/>
            <w:noWrap/>
            <w:vAlign w:val="bottom"/>
            <w:hideMark/>
          </w:tcPr>
          <w:p w14:paraId="6409D7C8"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1</w:t>
            </w:r>
          </w:p>
        </w:tc>
        <w:tc>
          <w:tcPr>
            <w:tcW w:w="1566" w:type="dxa"/>
            <w:tcBorders>
              <w:top w:val="nil"/>
              <w:left w:val="nil"/>
              <w:bottom w:val="single" w:sz="4" w:space="0" w:color="auto"/>
              <w:right w:val="single" w:sz="4" w:space="0" w:color="auto"/>
            </w:tcBorders>
            <w:shd w:val="clear" w:color="auto" w:fill="auto"/>
            <w:noWrap/>
            <w:vAlign w:val="bottom"/>
            <w:hideMark/>
          </w:tcPr>
          <w:p w14:paraId="68A7F2BD"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300,000</w:t>
            </w:r>
          </w:p>
        </w:tc>
      </w:tr>
      <w:tr w:rsidR="00DD598E" w:rsidRPr="00DD598E" w14:paraId="49563036" w14:textId="77777777" w:rsidTr="00DD598E">
        <w:trPr>
          <w:trHeight w:val="288"/>
        </w:trPr>
        <w:tc>
          <w:tcPr>
            <w:tcW w:w="1994" w:type="dxa"/>
            <w:tcBorders>
              <w:top w:val="nil"/>
              <w:left w:val="single" w:sz="4" w:space="0" w:color="auto"/>
              <w:bottom w:val="single" w:sz="4" w:space="0" w:color="auto"/>
              <w:right w:val="single" w:sz="4" w:space="0" w:color="auto"/>
            </w:tcBorders>
            <w:shd w:val="clear" w:color="auto" w:fill="auto"/>
            <w:noWrap/>
            <w:vAlign w:val="bottom"/>
            <w:hideMark/>
          </w:tcPr>
          <w:p w14:paraId="5006BCEF"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2</w:t>
            </w:r>
          </w:p>
        </w:tc>
        <w:tc>
          <w:tcPr>
            <w:tcW w:w="1566" w:type="dxa"/>
            <w:tcBorders>
              <w:top w:val="nil"/>
              <w:left w:val="nil"/>
              <w:bottom w:val="single" w:sz="4" w:space="0" w:color="auto"/>
              <w:right w:val="single" w:sz="4" w:space="0" w:color="auto"/>
            </w:tcBorders>
            <w:shd w:val="clear" w:color="auto" w:fill="auto"/>
            <w:noWrap/>
            <w:vAlign w:val="bottom"/>
            <w:hideMark/>
          </w:tcPr>
          <w:p w14:paraId="2D8B0547"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400,000</w:t>
            </w:r>
          </w:p>
        </w:tc>
      </w:tr>
      <w:tr w:rsidR="00DD598E" w:rsidRPr="00DD598E" w14:paraId="5ECA2271" w14:textId="77777777" w:rsidTr="00DD598E">
        <w:trPr>
          <w:trHeight w:val="288"/>
        </w:trPr>
        <w:tc>
          <w:tcPr>
            <w:tcW w:w="1994" w:type="dxa"/>
            <w:tcBorders>
              <w:top w:val="nil"/>
              <w:left w:val="single" w:sz="4" w:space="0" w:color="auto"/>
              <w:bottom w:val="single" w:sz="4" w:space="0" w:color="auto"/>
              <w:right w:val="single" w:sz="4" w:space="0" w:color="auto"/>
            </w:tcBorders>
            <w:shd w:val="clear" w:color="auto" w:fill="auto"/>
            <w:noWrap/>
            <w:vAlign w:val="bottom"/>
            <w:hideMark/>
          </w:tcPr>
          <w:p w14:paraId="0A846309"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3</w:t>
            </w:r>
          </w:p>
        </w:tc>
        <w:tc>
          <w:tcPr>
            <w:tcW w:w="1566" w:type="dxa"/>
            <w:tcBorders>
              <w:top w:val="nil"/>
              <w:left w:val="nil"/>
              <w:bottom w:val="single" w:sz="4" w:space="0" w:color="auto"/>
              <w:right w:val="single" w:sz="4" w:space="0" w:color="auto"/>
            </w:tcBorders>
            <w:shd w:val="clear" w:color="auto" w:fill="auto"/>
            <w:noWrap/>
            <w:vAlign w:val="bottom"/>
            <w:hideMark/>
          </w:tcPr>
          <w:p w14:paraId="13D7F477"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450,000</w:t>
            </w:r>
          </w:p>
        </w:tc>
      </w:tr>
      <w:tr w:rsidR="00DD598E" w:rsidRPr="00DD598E" w14:paraId="3465975B" w14:textId="77777777" w:rsidTr="00DD598E">
        <w:trPr>
          <w:trHeight w:val="288"/>
        </w:trPr>
        <w:tc>
          <w:tcPr>
            <w:tcW w:w="1994" w:type="dxa"/>
            <w:tcBorders>
              <w:top w:val="nil"/>
              <w:left w:val="single" w:sz="4" w:space="0" w:color="auto"/>
              <w:bottom w:val="single" w:sz="4" w:space="0" w:color="auto"/>
              <w:right w:val="single" w:sz="4" w:space="0" w:color="auto"/>
            </w:tcBorders>
            <w:shd w:val="clear" w:color="auto" w:fill="auto"/>
            <w:noWrap/>
            <w:vAlign w:val="bottom"/>
            <w:hideMark/>
          </w:tcPr>
          <w:p w14:paraId="0B981F26"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4</w:t>
            </w:r>
          </w:p>
        </w:tc>
        <w:tc>
          <w:tcPr>
            <w:tcW w:w="1566" w:type="dxa"/>
            <w:tcBorders>
              <w:top w:val="nil"/>
              <w:left w:val="nil"/>
              <w:bottom w:val="single" w:sz="4" w:space="0" w:color="auto"/>
              <w:right w:val="single" w:sz="4" w:space="0" w:color="auto"/>
            </w:tcBorders>
            <w:shd w:val="clear" w:color="auto" w:fill="auto"/>
            <w:noWrap/>
            <w:vAlign w:val="bottom"/>
            <w:hideMark/>
          </w:tcPr>
          <w:p w14:paraId="65EF9CF7"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500,000</w:t>
            </w:r>
          </w:p>
        </w:tc>
      </w:tr>
      <w:tr w:rsidR="00DD598E" w:rsidRPr="00DD598E" w14:paraId="49D2A0C3" w14:textId="77777777" w:rsidTr="00DD598E">
        <w:trPr>
          <w:trHeight w:val="288"/>
        </w:trPr>
        <w:tc>
          <w:tcPr>
            <w:tcW w:w="1994" w:type="dxa"/>
            <w:tcBorders>
              <w:top w:val="nil"/>
              <w:left w:val="single" w:sz="4" w:space="0" w:color="auto"/>
              <w:bottom w:val="single" w:sz="4" w:space="0" w:color="auto"/>
              <w:right w:val="single" w:sz="4" w:space="0" w:color="auto"/>
            </w:tcBorders>
            <w:shd w:val="clear" w:color="auto" w:fill="auto"/>
            <w:noWrap/>
            <w:vAlign w:val="bottom"/>
            <w:hideMark/>
          </w:tcPr>
          <w:p w14:paraId="386C5FEA"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 </w:t>
            </w:r>
          </w:p>
        </w:tc>
        <w:tc>
          <w:tcPr>
            <w:tcW w:w="1566" w:type="dxa"/>
            <w:tcBorders>
              <w:top w:val="nil"/>
              <w:left w:val="nil"/>
              <w:bottom w:val="single" w:sz="4" w:space="0" w:color="auto"/>
              <w:right w:val="single" w:sz="4" w:space="0" w:color="auto"/>
            </w:tcBorders>
            <w:shd w:val="clear" w:color="auto" w:fill="auto"/>
            <w:noWrap/>
            <w:vAlign w:val="bottom"/>
            <w:hideMark/>
          </w:tcPr>
          <w:p w14:paraId="30A87664"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 </w:t>
            </w:r>
          </w:p>
        </w:tc>
      </w:tr>
      <w:tr w:rsidR="00DD598E" w:rsidRPr="00DD598E" w14:paraId="114833ED" w14:textId="77777777" w:rsidTr="00DD598E">
        <w:trPr>
          <w:trHeight w:val="288"/>
        </w:trPr>
        <w:tc>
          <w:tcPr>
            <w:tcW w:w="1994" w:type="dxa"/>
            <w:tcBorders>
              <w:top w:val="nil"/>
              <w:left w:val="single" w:sz="4" w:space="0" w:color="auto"/>
              <w:bottom w:val="single" w:sz="4" w:space="0" w:color="auto"/>
              <w:right w:val="single" w:sz="4" w:space="0" w:color="auto"/>
            </w:tcBorders>
            <w:shd w:val="clear" w:color="auto" w:fill="auto"/>
            <w:noWrap/>
            <w:vAlign w:val="bottom"/>
            <w:hideMark/>
          </w:tcPr>
          <w:p w14:paraId="306E28CA" w14:textId="77777777" w:rsidR="00DD598E" w:rsidRPr="00DD598E" w:rsidRDefault="00DD598E" w:rsidP="00DD598E">
            <w:pPr>
              <w:spacing w:after="0" w:line="240" w:lineRule="auto"/>
              <w:jc w:val="center"/>
              <w:rPr>
                <w:rFonts w:eastAsia="Times New Roman" w:cs="Calibri"/>
                <w:b/>
                <w:bCs/>
                <w:noProof w:val="0"/>
                <w:color w:val="000000"/>
                <w:sz w:val="22"/>
                <w:lang w:eastAsia="en-GB"/>
              </w:rPr>
            </w:pPr>
            <w:r w:rsidRPr="00DD598E">
              <w:rPr>
                <w:rFonts w:eastAsia="Times New Roman" w:cs="Calibri"/>
                <w:b/>
                <w:bCs/>
                <w:noProof w:val="0"/>
                <w:color w:val="000000"/>
                <w:sz w:val="22"/>
                <w:lang w:eastAsia="en-GB"/>
              </w:rPr>
              <w:t>IRR</w:t>
            </w:r>
          </w:p>
        </w:tc>
        <w:tc>
          <w:tcPr>
            <w:tcW w:w="1566" w:type="dxa"/>
            <w:tcBorders>
              <w:top w:val="nil"/>
              <w:left w:val="nil"/>
              <w:bottom w:val="single" w:sz="4" w:space="0" w:color="auto"/>
              <w:right w:val="single" w:sz="4" w:space="0" w:color="auto"/>
            </w:tcBorders>
            <w:shd w:val="clear" w:color="auto" w:fill="auto"/>
            <w:noWrap/>
            <w:vAlign w:val="bottom"/>
            <w:hideMark/>
          </w:tcPr>
          <w:p w14:paraId="0D1F9FF5" w14:textId="77777777" w:rsidR="00DD598E" w:rsidRPr="00DD598E" w:rsidRDefault="00DD598E" w:rsidP="00DD598E">
            <w:pPr>
              <w:spacing w:after="0" w:line="240" w:lineRule="auto"/>
              <w:jc w:val="center"/>
              <w:rPr>
                <w:rFonts w:eastAsia="Times New Roman" w:cs="Calibri"/>
                <w:b/>
                <w:bCs/>
                <w:noProof w:val="0"/>
                <w:color w:val="000000"/>
                <w:sz w:val="22"/>
                <w:lang w:eastAsia="en-GB"/>
              </w:rPr>
            </w:pPr>
            <w:r w:rsidRPr="00DD598E">
              <w:rPr>
                <w:rFonts w:eastAsia="Times New Roman" w:cs="Calibri"/>
                <w:b/>
                <w:bCs/>
                <w:noProof w:val="0"/>
                <w:color w:val="000000"/>
                <w:sz w:val="22"/>
                <w:lang w:eastAsia="en-GB"/>
              </w:rPr>
              <w:t>45%</w:t>
            </w:r>
          </w:p>
        </w:tc>
      </w:tr>
    </w:tbl>
    <w:p w14:paraId="4F6FCDC6" w14:textId="77777777" w:rsidR="00DD598E" w:rsidRDefault="00DD598E" w:rsidP="00ED4D6A">
      <w:pPr>
        <w:spacing w:after="0"/>
      </w:pPr>
    </w:p>
    <w:tbl>
      <w:tblPr>
        <w:tblW w:w="3340" w:type="dxa"/>
        <w:tblLook w:val="04A0" w:firstRow="1" w:lastRow="0" w:firstColumn="1" w:lastColumn="0" w:noHBand="0" w:noVBand="1"/>
      </w:tblPr>
      <w:tblGrid>
        <w:gridCol w:w="1871"/>
        <w:gridCol w:w="1469"/>
      </w:tblGrid>
      <w:tr w:rsidR="00DD598E" w:rsidRPr="00DD598E" w14:paraId="39290A49" w14:textId="77777777" w:rsidTr="00DD598E">
        <w:trPr>
          <w:trHeight w:val="288"/>
        </w:trPr>
        <w:tc>
          <w:tcPr>
            <w:tcW w:w="33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505066" w14:textId="2242C1F5" w:rsidR="00DD598E" w:rsidRPr="00DD598E" w:rsidRDefault="00DD598E" w:rsidP="00DD598E">
            <w:pPr>
              <w:spacing w:after="0" w:line="240" w:lineRule="auto"/>
              <w:jc w:val="center"/>
              <w:rPr>
                <w:rFonts w:eastAsia="Times New Roman" w:cs="Calibri"/>
                <w:b/>
                <w:bCs/>
                <w:noProof w:val="0"/>
                <w:color w:val="000000"/>
                <w:sz w:val="22"/>
                <w:lang w:eastAsia="en-GB"/>
              </w:rPr>
            </w:pPr>
            <w:r w:rsidRPr="00DD598E">
              <w:rPr>
                <w:rFonts w:eastAsia="Times New Roman" w:cs="Calibri"/>
                <w:b/>
                <w:bCs/>
                <w:noProof w:val="0"/>
                <w:color w:val="000000"/>
                <w:sz w:val="22"/>
                <w:lang w:eastAsia="en-GB"/>
              </w:rPr>
              <w:t xml:space="preserve">IRR </w:t>
            </w:r>
            <w:r w:rsidR="00ED55E7" w:rsidRPr="00DD598E">
              <w:rPr>
                <w:rFonts w:eastAsia="Times New Roman" w:cs="Calibri"/>
                <w:b/>
                <w:bCs/>
                <w:noProof w:val="0"/>
                <w:color w:val="000000"/>
                <w:sz w:val="22"/>
                <w:lang w:eastAsia="en-GB"/>
              </w:rPr>
              <w:t>of investment</w:t>
            </w:r>
            <w:r w:rsidRPr="00DD598E">
              <w:rPr>
                <w:rFonts w:eastAsia="Times New Roman" w:cs="Calibri"/>
                <w:b/>
                <w:bCs/>
                <w:noProof w:val="0"/>
                <w:color w:val="000000"/>
                <w:sz w:val="22"/>
                <w:lang w:eastAsia="en-GB"/>
              </w:rPr>
              <w:t xml:space="preserve"> B</w:t>
            </w:r>
          </w:p>
        </w:tc>
      </w:tr>
      <w:tr w:rsidR="00DD598E" w:rsidRPr="00DD598E" w14:paraId="56EB543F" w14:textId="77777777" w:rsidTr="00DD598E">
        <w:trPr>
          <w:trHeight w:val="288"/>
        </w:trPr>
        <w:tc>
          <w:tcPr>
            <w:tcW w:w="1871" w:type="dxa"/>
            <w:tcBorders>
              <w:top w:val="nil"/>
              <w:left w:val="single" w:sz="4" w:space="0" w:color="auto"/>
              <w:bottom w:val="single" w:sz="4" w:space="0" w:color="auto"/>
              <w:right w:val="single" w:sz="4" w:space="0" w:color="auto"/>
            </w:tcBorders>
            <w:shd w:val="clear" w:color="auto" w:fill="auto"/>
            <w:noWrap/>
            <w:vAlign w:val="bottom"/>
            <w:hideMark/>
          </w:tcPr>
          <w:p w14:paraId="767C52F4" w14:textId="77777777" w:rsidR="00DD598E" w:rsidRPr="00DD598E" w:rsidRDefault="00DD598E" w:rsidP="00DD598E">
            <w:pPr>
              <w:spacing w:after="0" w:line="240" w:lineRule="auto"/>
              <w:jc w:val="center"/>
              <w:rPr>
                <w:rFonts w:eastAsia="Times New Roman" w:cs="Calibri"/>
                <w:b/>
                <w:bCs/>
                <w:noProof w:val="0"/>
                <w:color w:val="000000"/>
                <w:sz w:val="22"/>
                <w:lang w:eastAsia="en-GB"/>
              </w:rPr>
            </w:pPr>
            <w:r w:rsidRPr="00DD598E">
              <w:rPr>
                <w:rFonts w:eastAsia="Times New Roman" w:cs="Calibri"/>
                <w:b/>
                <w:bCs/>
                <w:noProof w:val="0"/>
                <w:color w:val="000000"/>
                <w:sz w:val="22"/>
                <w:lang w:eastAsia="en-GB"/>
              </w:rPr>
              <w:t xml:space="preserve">Period </w:t>
            </w:r>
          </w:p>
        </w:tc>
        <w:tc>
          <w:tcPr>
            <w:tcW w:w="1469" w:type="dxa"/>
            <w:tcBorders>
              <w:top w:val="nil"/>
              <w:left w:val="nil"/>
              <w:bottom w:val="single" w:sz="4" w:space="0" w:color="auto"/>
              <w:right w:val="single" w:sz="4" w:space="0" w:color="auto"/>
            </w:tcBorders>
            <w:shd w:val="clear" w:color="auto" w:fill="auto"/>
            <w:noWrap/>
            <w:vAlign w:val="bottom"/>
            <w:hideMark/>
          </w:tcPr>
          <w:p w14:paraId="1A8762F0" w14:textId="77777777" w:rsidR="00DD598E" w:rsidRPr="00DD598E" w:rsidRDefault="00DD598E" w:rsidP="00DD598E">
            <w:pPr>
              <w:spacing w:after="0" w:line="240" w:lineRule="auto"/>
              <w:jc w:val="center"/>
              <w:rPr>
                <w:rFonts w:eastAsia="Times New Roman" w:cs="Calibri"/>
                <w:b/>
                <w:bCs/>
                <w:noProof w:val="0"/>
                <w:color w:val="000000"/>
                <w:sz w:val="22"/>
                <w:lang w:eastAsia="en-GB"/>
              </w:rPr>
            </w:pPr>
            <w:r w:rsidRPr="00DD598E">
              <w:rPr>
                <w:rFonts w:eastAsia="Times New Roman" w:cs="Calibri"/>
                <w:b/>
                <w:bCs/>
                <w:noProof w:val="0"/>
                <w:color w:val="000000"/>
                <w:sz w:val="22"/>
                <w:lang w:eastAsia="en-GB"/>
              </w:rPr>
              <w:t>Cashflows (£)</w:t>
            </w:r>
          </w:p>
        </w:tc>
      </w:tr>
      <w:tr w:rsidR="00DD598E" w:rsidRPr="00DD598E" w14:paraId="14898D19" w14:textId="77777777" w:rsidTr="00DD598E">
        <w:trPr>
          <w:trHeight w:val="288"/>
        </w:trPr>
        <w:tc>
          <w:tcPr>
            <w:tcW w:w="1871" w:type="dxa"/>
            <w:tcBorders>
              <w:top w:val="nil"/>
              <w:left w:val="single" w:sz="4" w:space="0" w:color="auto"/>
              <w:bottom w:val="single" w:sz="4" w:space="0" w:color="auto"/>
              <w:right w:val="single" w:sz="4" w:space="0" w:color="auto"/>
            </w:tcBorders>
            <w:shd w:val="clear" w:color="auto" w:fill="auto"/>
            <w:noWrap/>
            <w:vAlign w:val="bottom"/>
            <w:hideMark/>
          </w:tcPr>
          <w:p w14:paraId="1D0BE488"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 xml:space="preserve">Initial Investment </w:t>
            </w:r>
          </w:p>
        </w:tc>
        <w:tc>
          <w:tcPr>
            <w:tcW w:w="1469" w:type="dxa"/>
            <w:tcBorders>
              <w:top w:val="nil"/>
              <w:left w:val="nil"/>
              <w:bottom w:val="single" w:sz="4" w:space="0" w:color="auto"/>
              <w:right w:val="single" w:sz="4" w:space="0" w:color="auto"/>
            </w:tcBorders>
            <w:shd w:val="clear" w:color="auto" w:fill="auto"/>
            <w:noWrap/>
            <w:vAlign w:val="bottom"/>
            <w:hideMark/>
          </w:tcPr>
          <w:p w14:paraId="6C4B019B"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-1,000,000</w:t>
            </w:r>
          </w:p>
        </w:tc>
      </w:tr>
      <w:tr w:rsidR="00DD598E" w:rsidRPr="00DD598E" w14:paraId="75C4FD1F" w14:textId="77777777" w:rsidTr="00DD598E">
        <w:trPr>
          <w:trHeight w:val="288"/>
        </w:trPr>
        <w:tc>
          <w:tcPr>
            <w:tcW w:w="1871" w:type="dxa"/>
            <w:tcBorders>
              <w:top w:val="nil"/>
              <w:left w:val="single" w:sz="4" w:space="0" w:color="auto"/>
              <w:bottom w:val="single" w:sz="4" w:space="0" w:color="auto"/>
              <w:right w:val="single" w:sz="4" w:space="0" w:color="auto"/>
            </w:tcBorders>
            <w:shd w:val="clear" w:color="auto" w:fill="auto"/>
            <w:noWrap/>
            <w:vAlign w:val="bottom"/>
            <w:hideMark/>
          </w:tcPr>
          <w:p w14:paraId="7BF6C03C"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1</w:t>
            </w:r>
          </w:p>
        </w:tc>
        <w:tc>
          <w:tcPr>
            <w:tcW w:w="1469" w:type="dxa"/>
            <w:tcBorders>
              <w:top w:val="nil"/>
              <w:left w:val="nil"/>
              <w:bottom w:val="single" w:sz="4" w:space="0" w:color="auto"/>
              <w:right w:val="single" w:sz="4" w:space="0" w:color="auto"/>
            </w:tcBorders>
            <w:shd w:val="clear" w:color="auto" w:fill="auto"/>
            <w:noWrap/>
            <w:vAlign w:val="bottom"/>
            <w:hideMark/>
          </w:tcPr>
          <w:p w14:paraId="4439BAED"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500,000</w:t>
            </w:r>
          </w:p>
        </w:tc>
      </w:tr>
      <w:tr w:rsidR="00DD598E" w:rsidRPr="00DD598E" w14:paraId="45C64EB7" w14:textId="77777777" w:rsidTr="00DD598E">
        <w:trPr>
          <w:trHeight w:val="288"/>
        </w:trPr>
        <w:tc>
          <w:tcPr>
            <w:tcW w:w="1871" w:type="dxa"/>
            <w:tcBorders>
              <w:top w:val="nil"/>
              <w:left w:val="single" w:sz="4" w:space="0" w:color="auto"/>
              <w:bottom w:val="single" w:sz="4" w:space="0" w:color="auto"/>
              <w:right w:val="single" w:sz="4" w:space="0" w:color="auto"/>
            </w:tcBorders>
            <w:shd w:val="clear" w:color="auto" w:fill="auto"/>
            <w:noWrap/>
            <w:vAlign w:val="bottom"/>
            <w:hideMark/>
          </w:tcPr>
          <w:p w14:paraId="212F851A"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2</w:t>
            </w:r>
          </w:p>
        </w:tc>
        <w:tc>
          <w:tcPr>
            <w:tcW w:w="1469" w:type="dxa"/>
            <w:tcBorders>
              <w:top w:val="nil"/>
              <w:left w:val="nil"/>
              <w:bottom w:val="single" w:sz="4" w:space="0" w:color="auto"/>
              <w:right w:val="single" w:sz="4" w:space="0" w:color="auto"/>
            </w:tcBorders>
            <w:shd w:val="clear" w:color="auto" w:fill="auto"/>
            <w:noWrap/>
            <w:vAlign w:val="bottom"/>
            <w:hideMark/>
          </w:tcPr>
          <w:p w14:paraId="3711ED38"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550,000</w:t>
            </w:r>
          </w:p>
        </w:tc>
      </w:tr>
      <w:tr w:rsidR="00DD598E" w:rsidRPr="00DD598E" w14:paraId="4237409B" w14:textId="77777777" w:rsidTr="00DD598E">
        <w:trPr>
          <w:trHeight w:val="288"/>
        </w:trPr>
        <w:tc>
          <w:tcPr>
            <w:tcW w:w="1871" w:type="dxa"/>
            <w:tcBorders>
              <w:top w:val="nil"/>
              <w:left w:val="single" w:sz="4" w:space="0" w:color="auto"/>
              <w:bottom w:val="single" w:sz="4" w:space="0" w:color="auto"/>
              <w:right w:val="single" w:sz="4" w:space="0" w:color="auto"/>
            </w:tcBorders>
            <w:shd w:val="clear" w:color="auto" w:fill="auto"/>
            <w:noWrap/>
            <w:vAlign w:val="bottom"/>
            <w:hideMark/>
          </w:tcPr>
          <w:p w14:paraId="63C6A65C"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3</w:t>
            </w:r>
          </w:p>
        </w:tc>
        <w:tc>
          <w:tcPr>
            <w:tcW w:w="1469" w:type="dxa"/>
            <w:tcBorders>
              <w:top w:val="nil"/>
              <w:left w:val="nil"/>
              <w:bottom w:val="single" w:sz="4" w:space="0" w:color="auto"/>
              <w:right w:val="single" w:sz="4" w:space="0" w:color="auto"/>
            </w:tcBorders>
            <w:shd w:val="clear" w:color="auto" w:fill="auto"/>
            <w:noWrap/>
            <w:vAlign w:val="bottom"/>
            <w:hideMark/>
          </w:tcPr>
          <w:p w14:paraId="56E8F621"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700,000</w:t>
            </w:r>
          </w:p>
        </w:tc>
      </w:tr>
      <w:tr w:rsidR="00DD598E" w:rsidRPr="00DD598E" w14:paraId="0E49EA63" w14:textId="77777777" w:rsidTr="00DD598E">
        <w:trPr>
          <w:trHeight w:val="288"/>
        </w:trPr>
        <w:tc>
          <w:tcPr>
            <w:tcW w:w="1871" w:type="dxa"/>
            <w:tcBorders>
              <w:top w:val="nil"/>
              <w:left w:val="single" w:sz="4" w:space="0" w:color="auto"/>
              <w:bottom w:val="single" w:sz="4" w:space="0" w:color="auto"/>
              <w:right w:val="single" w:sz="4" w:space="0" w:color="auto"/>
            </w:tcBorders>
            <w:shd w:val="clear" w:color="auto" w:fill="auto"/>
            <w:noWrap/>
            <w:vAlign w:val="bottom"/>
            <w:hideMark/>
          </w:tcPr>
          <w:p w14:paraId="5CB6545F"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4</w:t>
            </w:r>
          </w:p>
        </w:tc>
        <w:tc>
          <w:tcPr>
            <w:tcW w:w="1469" w:type="dxa"/>
            <w:tcBorders>
              <w:top w:val="nil"/>
              <w:left w:val="nil"/>
              <w:bottom w:val="single" w:sz="4" w:space="0" w:color="auto"/>
              <w:right w:val="single" w:sz="4" w:space="0" w:color="auto"/>
            </w:tcBorders>
            <w:shd w:val="clear" w:color="auto" w:fill="auto"/>
            <w:noWrap/>
            <w:vAlign w:val="bottom"/>
            <w:hideMark/>
          </w:tcPr>
          <w:p w14:paraId="59CFA716"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950,000</w:t>
            </w:r>
          </w:p>
        </w:tc>
      </w:tr>
      <w:tr w:rsidR="00DD598E" w:rsidRPr="00DD598E" w14:paraId="48FA8CE7" w14:textId="77777777" w:rsidTr="00DD598E">
        <w:trPr>
          <w:trHeight w:val="288"/>
        </w:trPr>
        <w:tc>
          <w:tcPr>
            <w:tcW w:w="1871" w:type="dxa"/>
            <w:tcBorders>
              <w:top w:val="nil"/>
              <w:left w:val="single" w:sz="4" w:space="0" w:color="auto"/>
              <w:bottom w:val="single" w:sz="4" w:space="0" w:color="auto"/>
              <w:right w:val="single" w:sz="4" w:space="0" w:color="auto"/>
            </w:tcBorders>
            <w:shd w:val="clear" w:color="auto" w:fill="auto"/>
            <w:noWrap/>
            <w:vAlign w:val="bottom"/>
            <w:hideMark/>
          </w:tcPr>
          <w:p w14:paraId="44B180F3"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 </w:t>
            </w:r>
          </w:p>
        </w:tc>
        <w:tc>
          <w:tcPr>
            <w:tcW w:w="1469" w:type="dxa"/>
            <w:tcBorders>
              <w:top w:val="nil"/>
              <w:left w:val="nil"/>
              <w:bottom w:val="single" w:sz="4" w:space="0" w:color="auto"/>
              <w:right w:val="single" w:sz="4" w:space="0" w:color="auto"/>
            </w:tcBorders>
            <w:shd w:val="clear" w:color="auto" w:fill="auto"/>
            <w:noWrap/>
            <w:vAlign w:val="bottom"/>
            <w:hideMark/>
          </w:tcPr>
          <w:p w14:paraId="68ACD1D3" w14:textId="77777777" w:rsidR="00DD598E" w:rsidRPr="00DD598E" w:rsidRDefault="00DD598E" w:rsidP="00DD598E">
            <w:pPr>
              <w:spacing w:after="0" w:line="240" w:lineRule="auto"/>
              <w:jc w:val="left"/>
              <w:rPr>
                <w:rFonts w:eastAsia="Times New Roman" w:cs="Calibri"/>
                <w:noProof w:val="0"/>
                <w:color w:val="000000"/>
                <w:sz w:val="22"/>
                <w:lang w:eastAsia="en-GB"/>
              </w:rPr>
            </w:pPr>
            <w:r w:rsidRPr="00DD598E">
              <w:rPr>
                <w:rFonts w:eastAsia="Times New Roman" w:cs="Calibri"/>
                <w:noProof w:val="0"/>
                <w:color w:val="000000"/>
                <w:sz w:val="22"/>
                <w:lang w:eastAsia="en-GB"/>
              </w:rPr>
              <w:t> </w:t>
            </w:r>
          </w:p>
        </w:tc>
      </w:tr>
      <w:tr w:rsidR="00DD598E" w:rsidRPr="00DD598E" w14:paraId="380271B8" w14:textId="77777777" w:rsidTr="00DD598E">
        <w:trPr>
          <w:trHeight w:val="288"/>
        </w:trPr>
        <w:tc>
          <w:tcPr>
            <w:tcW w:w="1871" w:type="dxa"/>
            <w:tcBorders>
              <w:top w:val="nil"/>
              <w:left w:val="single" w:sz="4" w:space="0" w:color="auto"/>
              <w:bottom w:val="single" w:sz="4" w:space="0" w:color="auto"/>
              <w:right w:val="single" w:sz="4" w:space="0" w:color="auto"/>
            </w:tcBorders>
            <w:shd w:val="clear" w:color="auto" w:fill="auto"/>
            <w:noWrap/>
            <w:vAlign w:val="bottom"/>
            <w:hideMark/>
          </w:tcPr>
          <w:p w14:paraId="4EFC606B" w14:textId="77777777" w:rsidR="00DD598E" w:rsidRPr="00DD598E" w:rsidRDefault="00DD598E" w:rsidP="00DD598E">
            <w:pPr>
              <w:spacing w:after="0" w:line="240" w:lineRule="auto"/>
              <w:jc w:val="center"/>
              <w:rPr>
                <w:rFonts w:eastAsia="Times New Roman" w:cs="Calibri"/>
                <w:b/>
                <w:bCs/>
                <w:noProof w:val="0"/>
                <w:color w:val="000000"/>
                <w:sz w:val="22"/>
                <w:lang w:eastAsia="en-GB"/>
              </w:rPr>
            </w:pPr>
            <w:r w:rsidRPr="00DD598E">
              <w:rPr>
                <w:rFonts w:eastAsia="Times New Roman" w:cs="Calibri"/>
                <w:b/>
                <w:bCs/>
                <w:noProof w:val="0"/>
                <w:color w:val="000000"/>
                <w:sz w:val="22"/>
                <w:lang w:eastAsia="en-GB"/>
              </w:rPr>
              <w:t>IRR</w:t>
            </w:r>
          </w:p>
        </w:tc>
        <w:tc>
          <w:tcPr>
            <w:tcW w:w="1469" w:type="dxa"/>
            <w:tcBorders>
              <w:top w:val="nil"/>
              <w:left w:val="nil"/>
              <w:bottom w:val="single" w:sz="4" w:space="0" w:color="auto"/>
              <w:right w:val="single" w:sz="4" w:space="0" w:color="auto"/>
            </w:tcBorders>
            <w:shd w:val="clear" w:color="auto" w:fill="auto"/>
            <w:noWrap/>
            <w:vAlign w:val="bottom"/>
            <w:hideMark/>
          </w:tcPr>
          <w:p w14:paraId="430BD54B" w14:textId="77777777" w:rsidR="00DD598E" w:rsidRPr="00DD598E" w:rsidRDefault="00DD598E" w:rsidP="00DD598E">
            <w:pPr>
              <w:spacing w:after="0" w:line="240" w:lineRule="auto"/>
              <w:jc w:val="center"/>
              <w:rPr>
                <w:rFonts w:eastAsia="Times New Roman" w:cs="Calibri"/>
                <w:b/>
                <w:bCs/>
                <w:noProof w:val="0"/>
                <w:color w:val="000000"/>
                <w:sz w:val="22"/>
                <w:lang w:eastAsia="en-GB"/>
              </w:rPr>
            </w:pPr>
            <w:r w:rsidRPr="00DD598E">
              <w:rPr>
                <w:rFonts w:eastAsia="Times New Roman" w:cs="Calibri"/>
                <w:b/>
                <w:bCs/>
                <w:noProof w:val="0"/>
                <w:color w:val="000000"/>
                <w:sz w:val="22"/>
                <w:lang w:eastAsia="en-GB"/>
              </w:rPr>
              <w:t>48%</w:t>
            </w:r>
          </w:p>
        </w:tc>
      </w:tr>
    </w:tbl>
    <w:p w14:paraId="2B169615" w14:textId="77777777" w:rsidR="00DD598E" w:rsidRDefault="00DD598E" w:rsidP="00ED4D6A">
      <w:pPr>
        <w:spacing w:after="0"/>
      </w:pPr>
    </w:p>
    <w:tbl>
      <w:tblPr>
        <w:tblW w:w="3140" w:type="dxa"/>
        <w:tblLook w:val="04A0" w:firstRow="1" w:lastRow="0" w:firstColumn="1" w:lastColumn="0" w:noHBand="0" w:noVBand="1"/>
      </w:tblPr>
      <w:tblGrid>
        <w:gridCol w:w="1759"/>
        <w:gridCol w:w="1381"/>
      </w:tblGrid>
      <w:tr w:rsidR="00DD598E" w:rsidRPr="00DD598E" w14:paraId="6AED86D1" w14:textId="77777777" w:rsidTr="00DD598E">
        <w:trPr>
          <w:trHeight w:val="288"/>
        </w:trPr>
        <w:tc>
          <w:tcPr>
            <w:tcW w:w="31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05E34B" w14:textId="7FD7C9CD" w:rsidR="00DD598E" w:rsidRPr="00DD598E" w:rsidRDefault="00DD598E" w:rsidP="00DD598E">
            <w:pPr>
              <w:spacing w:after="0" w:line="240" w:lineRule="auto"/>
              <w:jc w:val="center"/>
              <w:rPr>
                <w:rFonts w:eastAsia="Times New Roman" w:cs="Calibri"/>
                <w:b/>
                <w:bCs/>
                <w:noProof w:val="0"/>
                <w:color w:val="000000"/>
                <w:sz w:val="22"/>
                <w:lang w:eastAsia="en-GB"/>
              </w:rPr>
            </w:pPr>
            <w:r w:rsidRPr="00DD598E">
              <w:rPr>
                <w:rFonts w:eastAsia="Times New Roman" w:cs="Calibri"/>
                <w:b/>
                <w:bCs/>
                <w:noProof w:val="0"/>
                <w:color w:val="000000"/>
                <w:sz w:val="22"/>
                <w:lang w:eastAsia="en-GB"/>
              </w:rPr>
              <w:t xml:space="preserve">IRR </w:t>
            </w:r>
            <w:r w:rsidR="00ED55E7" w:rsidRPr="00DD598E">
              <w:rPr>
                <w:rFonts w:eastAsia="Times New Roman" w:cs="Calibri"/>
                <w:b/>
                <w:bCs/>
                <w:noProof w:val="0"/>
                <w:color w:val="000000"/>
                <w:sz w:val="22"/>
                <w:lang w:eastAsia="en-GB"/>
              </w:rPr>
              <w:t>of investment</w:t>
            </w:r>
            <w:r w:rsidRPr="00DD598E">
              <w:rPr>
                <w:rFonts w:eastAsia="Times New Roman" w:cs="Calibri"/>
                <w:b/>
                <w:bCs/>
                <w:noProof w:val="0"/>
                <w:color w:val="000000"/>
                <w:sz w:val="22"/>
                <w:lang w:eastAsia="en-GB"/>
              </w:rPr>
              <w:t xml:space="preserve"> C</w:t>
            </w:r>
          </w:p>
        </w:tc>
      </w:tr>
      <w:tr w:rsidR="00DD598E" w:rsidRPr="00DD598E" w14:paraId="680CAE3B" w14:textId="77777777" w:rsidTr="00DD598E">
        <w:trPr>
          <w:trHeight w:val="288"/>
        </w:trPr>
        <w:tc>
          <w:tcPr>
            <w:tcW w:w="1759" w:type="dxa"/>
            <w:tcBorders>
              <w:top w:val="nil"/>
              <w:left w:val="single" w:sz="4" w:space="0" w:color="auto"/>
              <w:bottom w:val="single" w:sz="4" w:space="0" w:color="auto"/>
              <w:right w:val="single" w:sz="4" w:space="0" w:color="auto"/>
            </w:tcBorders>
            <w:shd w:val="clear" w:color="auto" w:fill="auto"/>
            <w:noWrap/>
            <w:vAlign w:val="bottom"/>
            <w:hideMark/>
          </w:tcPr>
          <w:p w14:paraId="3559E036" w14:textId="77777777" w:rsidR="00DD598E" w:rsidRPr="00DD598E" w:rsidRDefault="00DD598E" w:rsidP="00DD598E">
            <w:pPr>
              <w:spacing w:after="0" w:line="240" w:lineRule="auto"/>
              <w:jc w:val="center"/>
              <w:rPr>
                <w:rFonts w:eastAsia="Times New Roman" w:cs="Calibri"/>
                <w:b/>
                <w:bCs/>
                <w:noProof w:val="0"/>
                <w:color w:val="000000"/>
                <w:sz w:val="22"/>
                <w:lang w:eastAsia="en-GB"/>
              </w:rPr>
            </w:pPr>
            <w:r w:rsidRPr="00DD598E">
              <w:rPr>
                <w:rFonts w:eastAsia="Times New Roman" w:cs="Calibri"/>
                <w:b/>
                <w:bCs/>
                <w:noProof w:val="0"/>
                <w:color w:val="000000"/>
                <w:sz w:val="22"/>
                <w:lang w:eastAsia="en-GB"/>
              </w:rPr>
              <w:t xml:space="preserve">Period </w:t>
            </w:r>
          </w:p>
        </w:tc>
        <w:tc>
          <w:tcPr>
            <w:tcW w:w="1381" w:type="dxa"/>
            <w:tcBorders>
              <w:top w:val="nil"/>
              <w:left w:val="nil"/>
              <w:bottom w:val="single" w:sz="4" w:space="0" w:color="auto"/>
              <w:right w:val="single" w:sz="4" w:space="0" w:color="auto"/>
            </w:tcBorders>
            <w:shd w:val="clear" w:color="auto" w:fill="auto"/>
            <w:noWrap/>
            <w:vAlign w:val="bottom"/>
            <w:hideMark/>
          </w:tcPr>
          <w:p w14:paraId="53FB3AD4" w14:textId="77777777" w:rsidR="00DD598E" w:rsidRPr="00DD598E" w:rsidRDefault="00DD598E" w:rsidP="00DD598E">
            <w:pPr>
              <w:spacing w:after="0" w:line="240" w:lineRule="auto"/>
              <w:jc w:val="center"/>
              <w:rPr>
                <w:rFonts w:eastAsia="Times New Roman" w:cs="Calibri"/>
                <w:b/>
                <w:bCs/>
                <w:noProof w:val="0"/>
                <w:color w:val="000000"/>
                <w:sz w:val="22"/>
                <w:lang w:eastAsia="en-GB"/>
              </w:rPr>
            </w:pPr>
            <w:r w:rsidRPr="00DD598E">
              <w:rPr>
                <w:rFonts w:eastAsia="Times New Roman" w:cs="Calibri"/>
                <w:b/>
                <w:bCs/>
                <w:noProof w:val="0"/>
                <w:color w:val="000000"/>
                <w:sz w:val="22"/>
                <w:lang w:eastAsia="en-GB"/>
              </w:rPr>
              <w:t>Cashflows (£)</w:t>
            </w:r>
          </w:p>
        </w:tc>
      </w:tr>
      <w:tr w:rsidR="00DD598E" w:rsidRPr="00DD598E" w14:paraId="5DA9D0C7" w14:textId="77777777" w:rsidTr="00DD598E">
        <w:trPr>
          <w:trHeight w:val="288"/>
        </w:trPr>
        <w:tc>
          <w:tcPr>
            <w:tcW w:w="1759" w:type="dxa"/>
            <w:tcBorders>
              <w:top w:val="nil"/>
              <w:left w:val="single" w:sz="4" w:space="0" w:color="auto"/>
              <w:bottom w:val="single" w:sz="4" w:space="0" w:color="auto"/>
              <w:right w:val="single" w:sz="4" w:space="0" w:color="auto"/>
            </w:tcBorders>
            <w:shd w:val="clear" w:color="auto" w:fill="auto"/>
            <w:noWrap/>
            <w:vAlign w:val="bottom"/>
            <w:hideMark/>
          </w:tcPr>
          <w:p w14:paraId="4984F7C2"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 xml:space="preserve">Initial Investment </w:t>
            </w:r>
          </w:p>
        </w:tc>
        <w:tc>
          <w:tcPr>
            <w:tcW w:w="1381" w:type="dxa"/>
            <w:tcBorders>
              <w:top w:val="nil"/>
              <w:left w:val="nil"/>
              <w:bottom w:val="single" w:sz="4" w:space="0" w:color="auto"/>
              <w:right w:val="single" w:sz="4" w:space="0" w:color="auto"/>
            </w:tcBorders>
            <w:shd w:val="clear" w:color="auto" w:fill="auto"/>
            <w:noWrap/>
            <w:vAlign w:val="bottom"/>
            <w:hideMark/>
          </w:tcPr>
          <w:p w14:paraId="0D219DA7"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-1,700,000</w:t>
            </w:r>
          </w:p>
        </w:tc>
      </w:tr>
      <w:tr w:rsidR="00DD598E" w:rsidRPr="00DD598E" w14:paraId="36B2F83A" w14:textId="77777777" w:rsidTr="00DD598E">
        <w:trPr>
          <w:trHeight w:val="288"/>
        </w:trPr>
        <w:tc>
          <w:tcPr>
            <w:tcW w:w="1759" w:type="dxa"/>
            <w:tcBorders>
              <w:top w:val="nil"/>
              <w:left w:val="single" w:sz="4" w:space="0" w:color="auto"/>
              <w:bottom w:val="single" w:sz="4" w:space="0" w:color="auto"/>
              <w:right w:val="single" w:sz="4" w:space="0" w:color="auto"/>
            </w:tcBorders>
            <w:shd w:val="clear" w:color="auto" w:fill="auto"/>
            <w:noWrap/>
            <w:vAlign w:val="bottom"/>
            <w:hideMark/>
          </w:tcPr>
          <w:p w14:paraId="56BB5C93"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1</w:t>
            </w:r>
          </w:p>
        </w:tc>
        <w:tc>
          <w:tcPr>
            <w:tcW w:w="1381" w:type="dxa"/>
            <w:tcBorders>
              <w:top w:val="nil"/>
              <w:left w:val="nil"/>
              <w:bottom w:val="single" w:sz="4" w:space="0" w:color="auto"/>
              <w:right w:val="single" w:sz="4" w:space="0" w:color="auto"/>
            </w:tcBorders>
            <w:shd w:val="clear" w:color="auto" w:fill="auto"/>
            <w:noWrap/>
            <w:vAlign w:val="bottom"/>
            <w:hideMark/>
          </w:tcPr>
          <w:p w14:paraId="6CDB5E06"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500,000</w:t>
            </w:r>
          </w:p>
        </w:tc>
      </w:tr>
      <w:tr w:rsidR="00DD598E" w:rsidRPr="00DD598E" w14:paraId="7B7B96C0" w14:textId="77777777" w:rsidTr="00DD598E">
        <w:trPr>
          <w:trHeight w:val="288"/>
        </w:trPr>
        <w:tc>
          <w:tcPr>
            <w:tcW w:w="1759" w:type="dxa"/>
            <w:tcBorders>
              <w:top w:val="nil"/>
              <w:left w:val="single" w:sz="4" w:space="0" w:color="auto"/>
              <w:bottom w:val="single" w:sz="4" w:space="0" w:color="auto"/>
              <w:right w:val="single" w:sz="4" w:space="0" w:color="auto"/>
            </w:tcBorders>
            <w:shd w:val="clear" w:color="auto" w:fill="auto"/>
            <w:noWrap/>
            <w:vAlign w:val="bottom"/>
            <w:hideMark/>
          </w:tcPr>
          <w:p w14:paraId="0AE9A037"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2</w:t>
            </w:r>
          </w:p>
        </w:tc>
        <w:tc>
          <w:tcPr>
            <w:tcW w:w="1381" w:type="dxa"/>
            <w:tcBorders>
              <w:top w:val="nil"/>
              <w:left w:val="nil"/>
              <w:bottom w:val="single" w:sz="4" w:space="0" w:color="auto"/>
              <w:right w:val="single" w:sz="4" w:space="0" w:color="auto"/>
            </w:tcBorders>
            <w:shd w:val="clear" w:color="auto" w:fill="auto"/>
            <w:noWrap/>
            <w:vAlign w:val="bottom"/>
            <w:hideMark/>
          </w:tcPr>
          <w:p w14:paraId="3FB41AF9"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800,000</w:t>
            </w:r>
          </w:p>
        </w:tc>
      </w:tr>
      <w:tr w:rsidR="00DD598E" w:rsidRPr="00DD598E" w14:paraId="40477A15" w14:textId="77777777" w:rsidTr="00DD598E">
        <w:trPr>
          <w:trHeight w:val="288"/>
        </w:trPr>
        <w:tc>
          <w:tcPr>
            <w:tcW w:w="1759" w:type="dxa"/>
            <w:tcBorders>
              <w:top w:val="nil"/>
              <w:left w:val="single" w:sz="4" w:space="0" w:color="auto"/>
              <w:bottom w:val="single" w:sz="4" w:space="0" w:color="auto"/>
              <w:right w:val="single" w:sz="4" w:space="0" w:color="auto"/>
            </w:tcBorders>
            <w:shd w:val="clear" w:color="auto" w:fill="auto"/>
            <w:noWrap/>
            <w:vAlign w:val="bottom"/>
            <w:hideMark/>
          </w:tcPr>
          <w:p w14:paraId="4F532ADA"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3</w:t>
            </w:r>
          </w:p>
        </w:tc>
        <w:tc>
          <w:tcPr>
            <w:tcW w:w="1381" w:type="dxa"/>
            <w:tcBorders>
              <w:top w:val="nil"/>
              <w:left w:val="nil"/>
              <w:bottom w:val="single" w:sz="4" w:space="0" w:color="auto"/>
              <w:right w:val="single" w:sz="4" w:space="0" w:color="auto"/>
            </w:tcBorders>
            <w:shd w:val="clear" w:color="auto" w:fill="auto"/>
            <w:noWrap/>
            <w:vAlign w:val="bottom"/>
            <w:hideMark/>
          </w:tcPr>
          <w:p w14:paraId="449FC4A3"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1,050,000</w:t>
            </w:r>
          </w:p>
        </w:tc>
      </w:tr>
      <w:tr w:rsidR="00DD598E" w:rsidRPr="00DD598E" w14:paraId="595F803D" w14:textId="77777777" w:rsidTr="00DD598E">
        <w:trPr>
          <w:trHeight w:val="288"/>
        </w:trPr>
        <w:tc>
          <w:tcPr>
            <w:tcW w:w="1759" w:type="dxa"/>
            <w:tcBorders>
              <w:top w:val="nil"/>
              <w:left w:val="single" w:sz="4" w:space="0" w:color="auto"/>
              <w:bottom w:val="single" w:sz="4" w:space="0" w:color="auto"/>
              <w:right w:val="single" w:sz="4" w:space="0" w:color="auto"/>
            </w:tcBorders>
            <w:shd w:val="clear" w:color="auto" w:fill="auto"/>
            <w:noWrap/>
            <w:vAlign w:val="bottom"/>
            <w:hideMark/>
          </w:tcPr>
          <w:p w14:paraId="11233B71"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4</w:t>
            </w:r>
          </w:p>
        </w:tc>
        <w:tc>
          <w:tcPr>
            <w:tcW w:w="1381" w:type="dxa"/>
            <w:tcBorders>
              <w:top w:val="nil"/>
              <w:left w:val="nil"/>
              <w:bottom w:val="single" w:sz="4" w:space="0" w:color="auto"/>
              <w:right w:val="single" w:sz="4" w:space="0" w:color="auto"/>
            </w:tcBorders>
            <w:shd w:val="clear" w:color="auto" w:fill="auto"/>
            <w:noWrap/>
            <w:vAlign w:val="bottom"/>
            <w:hideMark/>
          </w:tcPr>
          <w:p w14:paraId="0FAC204A"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1,200,000</w:t>
            </w:r>
          </w:p>
        </w:tc>
      </w:tr>
      <w:tr w:rsidR="00DD598E" w:rsidRPr="00DD598E" w14:paraId="5D01AA9A" w14:textId="77777777" w:rsidTr="00DD598E">
        <w:trPr>
          <w:trHeight w:val="288"/>
        </w:trPr>
        <w:tc>
          <w:tcPr>
            <w:tcW w:w="1759" w:type="dxa"/>
            <w:tcBorders>
              <w:top w:val="nil"/>
              <w:left w:val="single" w:sz="4" w:space="0" w:color="auto"/>
              <w:bottom w:val="single" w:sz="4" w:space="0" w:color="auto"/>
              <w:right w:val="single" w:sz="4" w:space="0" w:color="auto"/>
            </w:tcBorders>
            <w:shd w:val="clear" w:color="auto" w:fill="auto"/>
            <w:noWrap/>
            <w:vAlign w:val="bottom"/>
            <w:hideMark/>
          </w:tcPr>
          <w:p w14:paraId="3FC77755" w14:textId="77777777" w:rsidR="00DD598E" w:rsidRPr="00DD598E" w:rsidRDefault="00DD598E" w:rsidP="00DD598E">
            <w:pPr>
              <w:spacing w:after="0" w:line="240" w:lineRule="auto"/>
              <w:jc w:val="center"/>
              <w:rPr>
                <w:rFonts w:eastAsia="Times New Roman" w:cs="Calibri"/>
                <w:noProof w:val="0"/>
                <w:color w:val="000000"/>
                <w:sz w:val="22"/>
                <w:lang w:eastAsia="en-GB"/>
              </w:rPr>
            </w:pPr>
            <w:r w:rsidRPr="00DD598E">
              <w:rPr>
                <w:rFonts w:eastAsia="Times New Roman" w:cs="Calibri"/>
                <w:noProof w:val="0"/>
                <w:color w:val="000000"/>
                <w:sz w:val="22"/>
                <w:lang w:eastAsia="en-GB"/>
              </w:rPr>
              <w:t> </w:t>
            </w:r>
          </w:p>
        </w:tc>
        <w:tc>
          <w:tcPr>
            <w:tcW w:w="1381" w:type="dxa"/>
            <w:tcBorders>
              <w:top w:val="nil"/>
              <w:left w:val="nil"/>
              <w:bottom w:val="single" w:sz="4" w:space="0" w:color="auto"/>
              <w:right w:val="single" w:sz="4" w:space="0" w:color="auto"/>
            </w:tcBorders>
            <w:shd w:val="clear" w:color="auto" w:fill="auto"/>
            <w:noWrap/>
            <w:vAlign w:val="bottom"/>
            <w:hideMark/>
          </w:tcPr>
          <w:p w14:paraId="6239C32E" w14:textId="77777777" w:rsidR="00DD598E" w:rsidRPr="00DD598E" w:rsidRDefault="00DD598E" w:rsidP="00DD598E">
            <w:pPr>
              <w:spacing w:after="0" w:line="240" w:lineRule="auto"/>
              <w:jc w:val="left"/>
              <w:rPr>
                <w:rFonts w:eastAsia="Times New Roman" w:cs="Calibri"/>
                <w:noProof w:val="0"/>
                <w:color w:val="000000"/>
                <w:sz w:val="22"/>
                <w:lang w:eastAsia="en-GB"/>
              </w:rPr>
            </w:pPr>
            <w:r w:rsidRPr="00DD598E">
              <w:rPr>
                <w:rFonts w:eastAsia="Times New Roman" w:cs="Calibri"/>
                <w:noProof w:val="0"/>
                <w:color w:val="000000"/>
                <w:sz w:val="22"/>
                <w:lang w:eastAsia="en-GB"/>
              </w:rPr>
              <w:t> </w:t>
            </w:r>
          </w:p>
        </w:tc>
      </w:tr>
      <w:tr w:rsidR="00DD598E" w:rsidRPr="00DD598E" w14:paraId="62065854" w14:textId="77777777" w:rsidTr="00DD598E">
        <w:trPr>
          <w:trHeight w:val="288"/>
        </w:trPr>
        <w:tc>
          <w:tcPr>
            <w:tcW w:w="1759" w:type="dxa"/>
            <w:tcBorders>
              <w:top w:val="nil"/>
              <w:left w:val="single" w:sz="4" w:space="0" w:color="auto"/>
              <w:bottom w:val="single" w:sz="4" w:space="0" w:color="auto"/>
              <w:right w:val="single" w:sz="4" w:space="0" w:color="auto"/>
            </w:tcBorders>
            <w:shd w:val="clear" w:color="auto" w:fill="auto"/>
            <w:noWrap/>
            <w:vAlign w:val="bottom"/>
            <w:hideMark/>
          </w:tcPr>
          <w:p w14:paraId="23FACF8E" w14:textId="77777777" w:rsidR="00DD598E" w:rsidRPr="00DD598E" w:rsidRDefault="00DD598E" w:rsidP="00DD598E">
            <w:pPr>
              <w:spacing w:after="0" w:line="240" w:lineRule="auto"/>
              <w:jc w:val="center"/>
              <w:rPr>
                <w:rFonts w:eastAsia="Times New Roman" w:cs="Calibri"/>
                <w:b/>
                <w:bCs/>
                <w:noProof w:val="0"/>
                <w:color w:val="000000"/>
                <w:sz w:val="22"/>
                <w:lang w:eastAsia="en-GB"/>
              </w:rPr>
            </w:pPr>
            <w:r w:rsidRPr="00DD598E">
              <w:rPr>
                <w:rFonts w:eastAsia="Times New Roman" w:cs="Calibri"/>
                <w:b/>
                <w:bCs/>
                <w:noProof w:val="0"/>
                <w:color w:val="000000"/>
                <w:sz w:val="22"/>
                <w:lang w:eastAsia="en-GB"/>
              </w:rPr>
              <w:t>IRR</w:t>
            </w:r>
          </w:p>
        </w:tc>
        <w:tc>
          <w:tcPr>
            <w:tcW w:w="1381" w:type="dxa"/>
            <w:tcBorders>
              <w:top w:val="nil"/>
              <w:left w:val="nil"/>
              <w:bottom w:val="single" w:sz="4" w:space="0" w:color="auto"/>
              <w:right w:val="single" w:sz="4" w:space="0" w:color="auto"/>
            </w:tcBorders>
            <w:shd w:val="clear" w:color="auto" w:fill="auto"/>
            <w:noWrap/>
            <w:vAlign w:val="bottom"/>
            <w:hideMark/>
          </w:tcPr>
          <w:p w14:paraId="67F94CDB" w14:textId="77777777" w:rsidR="00DD598E" w:rsidRPr="00DD598E" w:rsidRDefault="00DD598E" w:rsidP="00DD598E">
            <w:pPr>
              <w:spacing w:after="0" w:line="240" w:lineRule="auto"/>
              <w:jc w:val="center"/>
              <w:rPr>
                <w:rFonts w:eastAsia="Times New Roman" w:cs="Calibri"/>
                <w:b/>
                <w:bCs/>
                <w:noProof w:val="0"/>
                <w:color w:val="000000"/>
                <w:sz w:val="22"/>
                <w:lang w:eastAsia="en-GB"/>
              </w:rPr>
            </w:pPr>
            <w:r w:rsidRPr="00DD598E">
              <w:rPr>
                <w:rFonts w:eastAsia="Times New Roman" w:cs="Calibri"/>
                <w:b/>
                <w:bCs/>
                <w:noProof w:val="0"/>
                <w:color w:val="000000"/>
                <w:sz w:val="22"/>
                <w:lang w:eastAsia="en-GB"/>
              </w:rPr>
              <w:t>32%</w:t>
            </w:r>
          </w:p>
        </w:tc>
      </w:tr>
    </w:tbl>
    <w:p w14:paraId="3A6794B9" w14:textId="77777777" w:rsidR="00DD598E" w:rsidRPr="00715A31" w:rsidRDefault="00DD598E" w:rsidP="00ED4D6A">
      <w:pPr>
        <w:spacing w:after="0"/>
      </w:pPr>
    </w:p>
    <w:sectPr w:rsidR="00DD598E" w:rsidRPr="00715A31" w:rsidSect="00233C81">
      <w:footerReference w:type="default" r:id="rId2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5A8AC8" w14:textId="77777777" w:rsidR="009F0881" w:rsidRDefault="009F0881" w:rsidP="00AB78A5">
      <w:pPr>
        <w:spacing w:after="0" w:line="240" w:lineRule="auto"/>
      </w:pPr>
      <w:r>
        <w:separator/>
      </w:r>
    </w:p>
  </w:endnote>
  <w:endnote w:type="continuationSeparator" w:id="0">
    <w:p w14:paraId="4D3A502C" w14:textId="77777777" w:rsidR="009F0881" w:rsidRDefault="009F0881" w:rsidP="00AB78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423726"/>
      <w:docPartObj>
        <w:docPartGallery w:val="Page Numbers (Bottom of Page)"/>
        <w:docPartUnique/>
      </w:docPartObj>
    </w:sdtPr>
    <w:sdtEndPr/>
    <w:sdtContent>
      <w:p w14:paraId="31BB55AA" w14:textId="77777777" w:rsidR="00B3366A" w:rsidRDefault="00DB3372">
        <w:pPr>
          <w:pStyle w:val="Footer"/>
          <w:jc w:val="right"/>
        </w:pPr>
        <w:r>
          <w:fldChar w:fldCharType="begin"/>
        </w:r>
        <w:r w:rsidR="002604AF">
          <w:instrText xml:space="preserve"> PAGE   \* MERGEFORMAT </w:instrText>
        </w:r>
        <w:r>
          <w:fldChar w:fldCharType="separate"/>
        </w:r>
        <w:r w:rsidR="00722835">
          <w:t>2</w:t>
        </w:r>
        <w:r>
          <w:fldChar w:fldCharType="end"/>
        </w:r>
      </w:p>
    </w:sdtContent>
  </w:sdt>
  <w:p w14:paraId="7AD231E5" w14:textId="77777777" w:rsidR="00B3366A" w:rsidRDefault="00B336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A55EDF" w14:textId="77777777" w:rsidR="009F0881" w:rsidRDefault="009F0881" w:rsidP="00AB78A5">
      <w:pPr>
        <w:spacing w:after="0" w:line="240" w:lineRule="auto"/>
      </w:pPr>
      <w:r>
        <w:separator/>
      </w:r>
    </w:p>
  </w:footnote>
  <w:footnote w:type="continuationSeparator" w:id="0">
    <w:p w14:paraId="530511A9" w14:textId="77777777" w:rsidR="009F0881" w:rsidRDefault="009F0881" w:rsidP="00AB78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6D80065"/>
    <w:multiLevelType w:val="hybridMultilevel"/>
    <w:tmpl w:val="C1CE766C"/>
    <w:lvl w:ilvl="0" w:tplc="BC78C156">
      <w:start w:val="1"/>
      <w:numFmt w:val="bullet"/>
      <w:lvlText w:val=""/>
      <w:lvlJc w:val="left"/>
      <w:pPr>
        <w:ind w:left="720" w:hanging="360"/>
      </w:pPr>
      <w:rPr>
        <w:rFonts w:ascii="Wingdings" w:hAnsi="Wingdings" w:hint="default"/>
      </w:rPr>
    </w:lvl>
    <w:lvl w:ilvl="1" w:tplc="73200840" w:tentative="1">
      <w:start w:val="1"/>
      <w:numFmt w:val="bullet"/>
      <w:lvlText w:val="o"/>
      <w:lvlJc w:val="left"/>
      <w:pPr>
        <w:ind w:left="1440" w:hanging="360"/>
      </w:pPr>
      <w:rPr>
        <w:rFonts w:ascii="Courier New" w:hAnsi="Courier New" w:cs="Courier New" w:hint="default"/>
      </w:rPr>
    </w:lvl>
    <w:lvl w:ilvl="2" w:tplc="F3E4FF3A" w:tentative="1">
      <w:start w:val="1"/>
      <w:numFmt w:val="bullet"/>
      <w:lvlText w:val=""/>
      <w:lvlJc w:val="left"/>
      <w:pPr>
        <w:ind w:left="2160" w:hanging="360"/>
      </w:pPr>
      <w:rPr>
        <w:rFonts w:ascii="Wingdings" w:hAnsi="Wingdings" w:hint="default"/>
      </w:rPr>
    </w:lvl>
    <w:lvl w:ilvl="3" w:tplc="0B2CDBA0" w:tentative="1">
      <w:start w:val="1"/>
      <w:numFmt w:val="bullet"/>
      <w:lvlText w:val=""/>
      <w:lvlJc w:val="left"/>
      <w:pPr>
        <w:ind w:left="2880" w:hanging="360"/>
      </w:pPr>
      <w:rPr>
        <w:rFonts w:ascii="Symbol" w:hAnsi="Symbol" w:hint="default"/>
      </w:rPr>
    </w:lvl>
    <w:lvl w:ilvl="4" w:tplc="046044FA" w:tentative="1">
      <w:start w:val="1"/>
      <w:numFmt w:val="bullet"/>
      <w:lvlText w:val="o"/>
      <w:lvlJc w:val="left"/>
      <w:pPr>
        <w:ind w:left="3600" w:hanging="360"/>
      </w:pPr>
      <w:rPr>
        <w:rFonts w:ascii="Courier New" w:hAnsi="Courier New" w:cs="Courier New" w:hint="default"/>
      </w:rPr>
    </w:lvl>
    <w:lvl w:ilvl="5" w:tplc="A94C75A4" w:tentative="1">
      <w:start w:val="1"/>
      <w:numFmt w:val="bullet"/>
      <w:lvlText w:val=""/>
      <w:lvlJc w:val="left"/>
      <w:pPr>
        <w:ind w:left="4320" w:hanging="360"/>
      </w:pPr>
      <w:rPr>
        <w:rFonts w:ascii="Wingdings" w:hAnsi="Wingdings" w:hint="default"/>
      </w:rPr>
    </w:lvl>
    <w:lvl w:ilvl="6" w:tplc="737831BC" w:tentative="1">
      <w:start w:val="1"/>
      <w:numFmt w:val="bullet"/>
      <w:lvlText w:val=""/>
      <w:lvlJc w:val="left"/>
      <w:pPr>
        <w:ind w:left="5040" w:hanging="360"/>
      </w:pPr>
      <w:rPr>
        <w:rFonts w:ascii="Symbol" w:hAnsi="Symbol" w:hint="default"/>
      </w:rPr>
    </w:lvl>
    <w:lvl w:ilvl="7" w:tplc="7510775A" w:tentative="1">
      <w:start w:val="1"/>
      <w:numFmt w:val="bullet"/>
      <w:lvlText w:val="o"/>
      <w:lvlJc w:val="left"/>
      <w:pPr>
        <w:ind w:left="5760" w:hanging="360"/>
      </w:pPr>
      <w:rPr>
        <w:rFonts w:ascii="Courier New" w:hAnsi="Courier New" w:cs="Courier New" w:hint="default"/>
      </w:rPr>
    </w:lvl>
    <w:lvl w:ilvl="8" w:tplc="1DFCBEA4" w:tentative="1">
      <w:start w:val="1"/>
      <w:numFmt w:val="bullet"/>
      <w:lvlText w:val=""/>
      <w:lvlJc w:val="left"/>
      <w:pPr>
        <w:ind w:left="6480" w:hanging="360"/>
      </w:pPr>
      <w:rPr>
        <w:rFonts w:ascii="Wingdings" w:hAnsi="Wingdings" w:hint="default"/>
      </w:rPr>
    </w:lvl>
  </w:abstractNum>
  <w:abstractNum w:abstractNumId="1" w15:restartNumberingAfterBreak="0">
    <w:nsid w:val="4AF85EFF"/>
    <w:multiLevelType w:val="hybridMultilevel"/>
    <w:tmpl w:val="6414AC62"/>
    <w:lvl w:ilvl="0" w:tplc="F6723570">
      <w:start w:val="1"/>
      <w:numFmt w:val="bullet"/>
      <w:lvlText w:val=""/>
      <w:lvlJc w:val="left"/>
      <w:pPr>
        <w:ind w:left="720" w:hanging="360"/>
      </w:pPr>
      <w:rPr>
        <w:rFonts w:ascii="Symbol" w:hAnsi="Symbol" w:hint="default"/>
      </w:rPr>
    </w:lvl>
    <w:lvl w:ilvl="1" w:tplc="9BA46326" w:tentative="1">
      <w:start w:val="1"/>
      <w:numFmt w:val="bullet"/>
      <w:lvlText w:val="o"/>
      <w:lvlJc w:val="left"/>
      <w:pPr>
        <w:ind w:left="1440" w:hanging="360"/>
      </w:pPr>
      <w:rPr>
        <w:rFonts w:ascii="Courier New" w:hAnsi="Courier New" w:cs="Courier New" w:hint="default"/>
      </w:rPr>
    </w:lvl>
    <w:lvl w:ilvl="2" w:tplc="24C4F466" w:tentative="1">
      <w:start w:val="1"/>
      <w:numFmt w:val="bullet"/>
      <w:lvlText w:val=""/>
      <w:lvlJc w:val="left"/>
      <w:pPr>
        <w:ind w:left="2160" w:hanging="360"/>
      </w:pPr>
      <w:rPr>
        <w:rFonts w:ascii="Wingdings" w:hAnsi="Wingdings" w:hint="default"/>
      </w:rPr>
    </w:lvl>
    <w:lvl w:ilvl="3" w:tplc="88AEF930" w:tentative="1">
      <w:start w:val="1"/>
      <w:numFmt w:val="bullet"/>
      <w:lvlText w:val=""/>
      <w:lvlJc w:val="left"/>
      <w:pPr>
        <w:ind w:left="2880" w:hanging="360"/>
      </w:pPr>
      <w:rPr>
        <w:rFonts w:ascii="Symbol" w:hAnsi="Symbol" w:hint="default"/>
      </w:rPr>
    </w:lvl>
    <w:lvl w:ilvl="4" w:tplc="5DF62C98" w:tentative="1">
      <w:start w:val="1"/>
      <w:numFmt w:val="bullet"/>
      <w:lvlText w:val="o"/>
      <w:lvlJc w:val="left"/>
      <w:pPr>
        <w:ind w:left="3600" w:hanging="360"/>
      </w:pPr>
      <w:rPr>
        <w:rFonts w:ascii="Courier New" w:hAnsi="Courier New" w:cs="Courier New" w:hint="default"/>
      </w:rPr>
    </w:lvl>
    <w:lvl w:ilvl="5" w:tplc="4D843CEE" w:tentative="1">
      <w:start w:val="1"/>
      <w:numFmt w:val="bullet"/>
      <w:lvlText w:val=""/>
      <w:lvlJc w:val="left"/>
      <w:pPr>
        <w:ind w:left="4320" w:hanging="360"/>
      </w:pPr>
      <w:rPr>
        <w:rFonts w:ascii="Wingdings" w:hAnsi="Wingdings" w:hint="default"/>
      </w:rPr>
    </w:lvl>
    <w:lvl w:ilvl="6" w:tplc="DBB2BE82" w:tentative="1">
      <w:start w:val="1"/>
      <w:numFmt w:val="bullet"/>
      <w:lvlText w:val=""/>
      <w:lvlJc w:val="left"/>
      <w:pPr>
        <w:ind w:left="5040" w:hanging="360"/>
      </w:pPr>
      <w:rPr>
        <w:rFonts w:ascii="Symbol" w:hAnsi="Symbol" w:hint="default"/>
      </w:rPr>
    </w:lvl>
    <w:lvl w:ilvl="7" w:tplc="1D7EBCB6" w:tentative="1">
      <w:start w:val="1"/>
      <w:numFmt w:val="bullet"/>
      <w:lvlText w:val="o"/>
      <w:lvlJc w:val="left"/>
      <w:pPr>
        <w:ind w:left="5760" w:hanging="360"/>
      </w:pPr>
      <w:rPr>
        <w:rFonts w:ascii="Courier New" w:hAnsi="Courier New" w:cs="Courier New" w:hint="default"/>
      </w:rPr>
    </w:lvl>
    <w:lvl w:ilvl="8" w:tplc="2020CB12" w:tentative="1">
      <w:start w:val="1"/>
      <w:numFmt w:val="bullet"/>
      <w:lvlText w:val=""/>
      <w:lvlJc w:val="left"/>
      <w:pPr>
        <w:ind w:left="6480" w:hanging="360"/>
      </w:pPr>
      <w:rPr>
        <w:rFonts w:ascii="Wingdings" w:hAnsi="Wingdings" w:hint="default"/>
      </w:rPr>
    </w:lvl>
  </w:abstractNum>
  <w:abstractNum w:abstractNumId="2" w15:restartNumberingAfterBreak="0">
    <w:nsid w:val="64B70554"/>
    <w:multiLevelType w:val="hybridMultilevel"/>
    <w:tmpl w:val="362CA474"/>
    <w:lvl w:ilvl="0" w:tplc="B2EEC23A">
      <w:start w:val="1"/>
      <w:numFmt w:val="bullet"/>
      <w:lvlText w:val=""/>
      <w:lvlJc w:val="left"/>
      <w:pPr>
        <w:ind w:left="720" w:hanging="360"/>
      </w:pPr>
      <w:rPr>
        <w:rFonts w:ascii="Wingdings" w:hAnsi="Wingdings" w:hint="default"/>
      </w:rPr>
    </w:lvl>
    <w:lvl w:ilvl="1" w:tplc="B59A8778" w:tentative="1">
      <w:start w:val="1"/>
      <w:numFmt w:val="bullet"/>
      <w:lvlText w:val="o"/>
      <w:lvlJc w:val="left"/>
      <w:pPr>
        <w:ind w:left="1440" w:hanging="360"/>
      </w:pPr>
      <w:rPr>
        <w:rFonts w:ascii="Courier New" w:hAnsi="Courier New" w:cs="Courier New" w:hint="default"/>
      </w:rPr>
    </w:lvl>
    <w:lvl w:ilvl="2" w:tplc="74E4ACFE" w:tentative="1">
      <w:start w:val="1"/>
      <w:numFmt w:val="bullet"/>
      <w:lvlText w:val=""/>
      <w:lvlJc w:val="left"/>
      <w:pPr>
        <w:ind w:left="2160" w:hanging="360"/>
      </w:pPr>
      <w:rPr>
        <w:rFonts w:ascii="Wingdings" w:hAnsi="Wingdings" w:hint="default"/>
      </w:rPr>
    </w:lvl>
    <w:lvl w:ilvl="3" w:tplc="18DADD74" w:tentative="1">
      <w:start w:val="1"/>
      <w:numFmt w:val="bullet"/>
      <w:lvlText w:val=""/>
      <w:lvlJc w:val="left"/>
      <w:pPr>
        <w:ind w:left="2880" w:hanging="360"/>
      </w:pPr>
      <w:rPr>
        <w:rFonts w:ascii="Symbol" w:hAnsi="Symbol" w:hint="default"/>
      </w:rPr>
    </w:lvl>
    <w:lvl w:ilvl="4" w:tplc="44026B36" w:tentative="1">
      <w:start w:val="1"/>
      <w:numFmt w:val="bullet"/>
      <w:lvlText w:val="o"/>
      <w:lvlJc w:val="left"/>
      <w:pPr>
        <w:ind w:left="3600" w:hanging="360"/>
      </w:pPr>
      <w:rPr>
        <w:rFonts w:ascii="Courier New" w:hAnsi="Courier New" w:cs="Courier New" w:hint="default"/>
      </w:rPr>
    </w:lvl>
    <w:lvl w:ilvl="5" w:tplc="9844E374" w:tentative="1">
      <w:start w:val="1"/>
      <w:numFmt w:val="bullet"/>
      <w:lvlText w:val=""/>
      <w:lvlJc w:val="left"/>
      <w:pPr>
        <w:ind w:left="4320" w:hanging="360"/>
      </w:pPr>
      <w:rPr>
        <w:rFonts w:ascii="Wingdings" w:hAnsi="Wingdings" w:hint="default"/>
      </w:rPr>
    </w:lvl>
    <w:lvl w:ilvl="6" w:tplc="66DA1B1E" w:tentative="1">
      <w:start w:val="1"/>
      <w:numFmt w:val="bullet"/>
      <w:lvlText w:val=""/>
      <w:lvlJc w:val="left"/>
      <w:pPr>
        <w:ind w:left="5040" w:hanging="360"/>
      </w:pPr>
      <w:rPr>
        <w:rFonts w:ascii="Symbol" w:hAnsi="Symbol" w:hint="default"/>
      </w:rPr>
    </w:lvl>
    <w:lvl w:ilvl="7" w:tplc="929E47BC" w:tentative="1">
      <w:start w:val="1"/>
      <w:numFmt w:val="bullet"/>
      <w:lvlText w:val="o"/>
      <w:lvlJc w:val="left"/>
      <w:pPr>
        <w:ind w:left="5760" w:hanging="360"/>
      </w:pPr>
      <w:rPr>
        <w:rFonts w:ascii="Courier New" w:hAnsi="Courier New" w:cs="Courier New" w:hint="default"/>
      </w:rPr>
    </w:lvl>
    <w:lvl w:ilvl="8" w:tplc="70329364" w:tentative="1">
      <w:start w:val="1"/>
      <w:numFmt w:val="bullet"/>
      <w:lvlText w:val=""/>
      <w:lvlJc w:val="left"/>
      <w:pPr>
        <w:ind w:left="6480" w:hanging="360"/>
      </w:pPr>
      <w:rPr>
        <w:rFonts w:ascii="Wingdings" w:hAnsi="Wingdings" w:hint="default"/>
      </w:rPr>
    </w:lvl>
  </w:abstractNum>
  <w:abstractNum w:abstractNumId="3" w15:restartNumberingAfterBreak="0">
    <w:nsid w:val="6CC81356"/>
    <w:multiLevelType w:val="hybridMultilevel"/>
    <w:tmpl w:val="28523C6C"/>
    <w:lvl w:ilvl="0" w:tplc="A2B8E458">
      <w:numFmt w:val="bullet"/>
      <w:lvlText w:val="-"/>
      <w:lvlJc w:val="left"/>
      <w:pPr>
        <w:ind w:left="720" w:hanging="360"/>
      </w:pPr>
      <w:rPr>
        <w:rFonts w:ascii="Calibri" w:eastAsiaTheme="minorHAnsi" w:hAnsi="Calibri" w:cs="Calibri" w:hint="default"/>
      </w:rPr>
    </w:lvl>
    <w:lvl w:ilvl="1" w:tplc="C0A6387E" w:tentative="1">
      <w:start w:val="1"/>
      <w:numFmt w:val="bullet"/>
      <w:lvlText w:val="o"/>
      <w:lvlJc w:val="left"/>
      <w:pPr>
        <w:ind w:left="1440" w:hanging="360"/>
      </w:pPr>
      <w:rPr>
        <w:rFonts w:ascii="Courier New" w:hAnsi="Courier New" w:cs="Courier New" w:hint="default"/>
      </w:rPr>
    </w:lvl>
    <w:lvl w:ilvl="2" w:tplc="BF6404E4" w:tentative="1">
      <w:start w:val="1"/>
      <w:numFmt w:val="bullet"/>
      <w:lvlText w:val=""/>
      <w:lvlJc w:val="left"/>
      <w:pPr>
        <w:ind w:left="2160" w:hanging="360"/>
      </w:pPr>
      <w:rPr>
        <w:rFonts w:ascii="Wingdings" w:hAnsi="Wingdings" w:hint="default"/>
      </w:rPr>
    </w:lvl>
    <w:lvl w:ilvl="3" w:tplc="D8C6A6D4" w:tentative="1">
      <w:start w:val="1"/>
      <w:numFmt w:val="bullet"/>
      <w:lvlText w:val=""/>
      <w:lvlJc w:val="left"/>
      <w:pPr>
        <w:ind w:left="2880" w:hanging="360"/>
      </w:pPr>
      <w:rPr>
        <w:rFonts w:ascii="Symbol" w:hAnsi="Symbol" w:hint="default"/>
      </w:rPr>
    </w:lvl>
    <w:lvl w:ilvl="4" w:tplc="C1988A36" w:tentative="1">
      <w:start w:val="1"/>
      <w:numFmt w:val="bullet"/>
      <w:lvlText w:val="o"/>
      <w:lvlJc w:val="left"/>
      <w:pPr>
        <w:ind w:left="3600" w:hanging="360"/>
      </w:pPr>
      <w:rPr>
        <w:rFonts w:ascii="Courier New" w:hAnsi="Courier New" w:cs="Courier New" w:hint="default"/>
      </w:rPr>
    </w:lvl>
    <w:lvl w:ilvl="5" w:tplc="AAF05E94" w:tentative="1">
      <w:start w:val="1"/>
      <w:numFmt w:val="bullet"/>
      <w:lvlText w:val=""/>
      <w:lvlJc w:val="left"/>
      <w:pPr>
        <w:ind w:left="4320" w:hanging="360"/>
      </w:pPr>
      <w:rPr>
        <w:rFonts w:ascii="Wingdings" w:hAnsi="Wingdings" w:hint="default"/>
      </w:rPr>
    </w:lvl>
    <w:lvl w:ilvl="6" w:tplc="DB8C3A7C" w:tentative="1">
      <w:start w:val="1"/>
      <w:numFmt w:val="bullet"/>
      <w:lvlText w:val=""/>
      <w:lvlJc w:val="left"/>
      <w:pPr>
        <w:ind w:left="5040" w:hanging="360"/>
      </w:pPr>
      <w:rPr>
        <w:rFonts w:ascii="Symbol" w:hAnsi="Symbol" w:hint="default"/>
      </w:rPr>
    </w:lvl>
    <w:lvl w:ilvl="7" w:tplc="F61E90EE" w:tentative="1">
      <w:start w:val="1"/>
      <w:numFmt w:val="bullet"/>
      <w:lvlText w:val="o"/>
      <w:lvlJc w:val="left"/>
      <w:pPr>
        <w:ind w:left="5760" w:hanging="360"/>
      </w:pPr>
      <w:rPr>
        <w:rFonts w:ascii="Courier New" w:hAnsi="Courier New" w:cs="Courier New" w:hint="default"/>
      </w:rPr>
    </w:lvl>
    <w:lvl w:ilvl="8" w:tplc="7D3252A8" w:tentative="1">
      <w:start w:val="1"/>
      <w:numFmt w:val="bullet"/>
      <w:lvlText w:val=""/>
      <w:lvlJc w:val="left"/>
      <w:pPr>
        <w:ind w:left="6480" w:hanging="360"/>
      </w:pPr>
      <w:rPr>
        <w:rFonts w:ascii="Wingdings" w:hAnsi="Wingdings" w:hint="default"/>
      </w:rPr>
    </w:lvl>
  </w:abstractNum>
  <w:num w:numId="1" w16cid:durableId="1823737078">
    <w:abstractNumId w:val="3"/>
  </w:num>
  <w:num w:numId="2" w16cid:durableId="1465540072">
    <w:abstractNumId w:val="0"/>
  </w:num>
  <w:num w:numId="3" w16cid:durableId="998314618">
    <w:abstractNumId w:val="2"/>
  </w:num>
  <w:num w:numId="4" w16cid:durableId="15106325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2E0"/>
    <w:rsid w:val="000066B2"/>
    <w:rsid w:val="00020DCE"/>
    <w:rsid w:val="00034669"/>
    <w:rsid w:val="00041CA2"/>
    <w:rsid w:val="00046E86"/>
    <w:rsid w:val="0005607E"/>
    <w:rsid w:val="00072CB6"/>
    <w:rsid w:val="0007305F"/>
    <w:rsid w:val="00073341"/>
    <w:rsid w:val="0009774D"/>
    <w:rsid w:val="00097A88"/>
    <w:rsid w:val="000A06A9"/>
    <w:rsid w:val="000A131B"/>
    <w:rsid w:val="000A35FE"/>
    <w:rsid w:val="000A3EEF"/>
    <w:rsid w:val="000C7571"/>
    <w:rsid w:val="000D049D"/>
    <w:rsid w:val="000D62A4"/>
    <w:rsid w:val="000E57E8"/>
    <w:rsid w:val="000E794A"/>
    <w:rsid w:val="000F04C9"/>
    <w:rsid w:val="000F6039"/>
    <w:rsid w:val="000F7042"/>
    <w:rsid w:val="0010446A"/>
    <w:rsid w:val="001121EB"/>
    <w:rsid w:val="0012187B"/>
    <w:rsid w:val="00124B3D"/>
    <w:rsid w:val="00126184"/>
    <w:rsid w:val="0013277D"/>
    <w:rsid w:val="00152C76"/>
    <w:rsid w:val="00157850"/>
    <w:rsid w:val="001651C4"/>
    <w:rsid w:val="00170701"/>
    <w:rsid w:val="00187B16"/>
    <w:rsid w:val="001A046E"/>
    <w:rsid w:val="001A37F5"/>
    <w:rsid w:val="001B185F"/>
    <w:rsid w:val="001B3C27"/>
    <w:rsid w:val="001B3FCA"/>
    <w:rsid w:val="001B6AA5"/>
    <w:rsid w:val="001C6CCB"/>
    <w:rsid w:val="001E5CFB"/>
    <w:rsid w:val="001F076E"/>
    <w:rsid w:val="00202DF0"/>
    <w:rsid w:val="00203813"/>
    <w:rsid w:val="00207F03"/>
    <w:rsid w:val="00220270"/>
    <w:rsid w:val="00225E38"/>
    <w:rsid w:val="00233C81"/>
    <w:rsid w:val="00241411"/>
    <w:rsid w:val="002420DE"/>
    <w:rsid w:val="00245CDB"/>
    <w:rsid w:val="002579D3"/>
    <w:rsid w:val="002604AF"/>
    <w:rsid w:val="00261361"/>
    <w:rsid w:val="002815D1"/>
    <w:rsid w:val="0028670E"/>
    <w:rsid w:val="00286FBE"/>
    <w:rsid w:val="002902CA"/>
    <w:rsid w:val="0029072B"/>
    <w:rsid w:val="00290A9D"/>
    <w:rsid w:val="002A1760"/>
    <w:rsid w:val="002A49AD"/>
    <w:rsid w:val="002C07E7"/>
    <w:rsid w:val="002C78AD"/>
    <w:rsid w:val="002D08C1"/>
    <w:rsid w:val="002D60D3"/>
    <w:rsid w:val="002D76FD"/>
    <w:rsid w:val="002E4261"/>
    <w:rsid w:val="002F59A0"/>
    <w:rsid w:val="00307D93"/>
    <w:rsid w:val="0031558B"/>
    <w:rsid w:val="00327A21"/>
    <w:rsid w:val="00327CAA"/>
    <w:rsid w:val="00345C43"/>
    <w:rsid w:val="00346C79"/>
    <w:rsid w:val="003554B7"/>
    <w:rsid w:val="00362C6F"/>
    <w:rsid w:val="003661DA"/>
    <w:rsid w:val="00375496"/>
    <w:rsid w:val="003920DE"/>
    <w:rsid w:val="003951A6"/>
    <w:rsid w:val="003A3199"/>
    <w:rsid w:val="003A71BF"/>
    <w:rsid w:val="003C558F"/>
    <w:rsid w:val="003D372B"/>
    <w:rsid w:val="003D708F"/>
    <w:rsid w:val="003F0173"/>
    <w:rsid w:val="003F4B51"/>
    <w:rsid w:val="003F6C86"/>
    <w:rsid w:val="004000E1"/>
    <w:rsid w:val="00414A87"/>
    <w:rsid w:val="00415F02"/>
    <w:rsid w:val="00454E46"/>
    <w:rsid w:val="004576DC"/>
    <w:rsid w:val="0047517E"/>
    <w:rsid w:val="00477F93"/>
    <w:rsid w:val="00481085"/>
    <w:rsid w:val="0049261B"/>
    <w:rsid w:val="00493729"/>
    <w:rsid w:val="00497632"/>
    <w:rsid w:val="004B097B"/>
    <w:rsid w:val="004B18C4"/>
    <w:rsid w:val="004C2969"/>
    <w:rsid w:val="004C4713"/>
    <w:rsid w:val="004E0958"/>
    <w:rsid w:val="004E6626"/>
    <w:rsid w:val="004F16D4"/>
    <w:rsid w:val="004F2636"/>
    <w:rsid w:val="004F4290"/>
    <w:rsid w:val="004F4899"/>
    <w:rsid w:val="00502B7C"/>
    <w:rsid w:val="00503FCD"/>
    <w:rsid w:val="0050499A"/>
    <w:rsid w:val="00505170"/>
    <w:rsid w:val="005279D9"/>
    <w:rsid w:val="005404E5"/>
    <w:rsid w:val="00571C5E"/>
    <w:rsid w:val="0057380B"/>
    <w:rsid w:val="005739DC"/>
    <w:rsid w:val="00582BFE"/>
    <w:rsid w:val="00594A5B"/>
    <w:rsid w:val="0059617E"/>
    <w:rsid w:val="005A1FE3"/>
    <w:rsid w:val="005B1661"/>
    <w:rsid w:val="005C0B7A"/>
    <w:rsid w:val="005C5702"/>
    <w:rsid w:val="005D5675"/>
    <w:rsid w:val="005E5772"/>
    <w:rsid w:val="005F00AB"/>
    <w:rsid w:val="00605C04"/>
    <w:rsid w:val="0061127C"/>
    <w:rsid w:val="00615A67"/>
    <w:rsid w:val="006167C5"/>
    <w:rsid w:val="006243C4"/>
    <w:rsid w:val="006337BA"/>
    <w:rsid w:val="00637115"/>
    <w:rsid w:val="0067024B"/>
    <w:rsid w:val="00677A9A"/>
    <w:rsid w:val="00680BE5"/>
    <w:rsid w:val="006A2ED0"/>
    <w:rsid w:val="006A651B"/>
    <w:rsid w:val="006A6756"/>
    <w:rsid w:val="006B42C8"/>
    <w:rsid w:val="006B5023"/>
    <w:rsid w:val="006D2B5D"/>
    <w:rsid w:val="006E0966"/>
    <w:rsid w:val="006E1DFB"/>
    <w:rsid w:val="006E4DFC"/>
    <w:rsid w:val="006F353B"/>
    <w:rsid w:val="00715A31"/>
    <w:rsid w:val="00722724"/>
    <w:rsid w:val="00722835"/>
    <w:rsid w:val="0073250F"/>
    <w:rsid w:val="00744803"/>
    <w:rsid w:val="00746257"/>
    <w:rsid w:val="00753865"/>
    <w:rsid w:val="00754D36"/>
    <w:rsid w:val="007628F0"/>
    <w:rsid w:val="00766D91"/>
    <w:rsid w:val="0079448E"/>
    <w:rsid w:val="00794B23"/>
    <w:rsid w:val="007A1639"/>
    <w:rsid w:val="007B67A3"/>
    <w:rsid w:val="007D125A"/>
    <w:rsid w:val="007E67C6"/>
    <w:rsid w:val="007F0F31"/>
    <w:rsid w:val="007F586B"/>
    <w:rsid w:val="00801B01"/>
    <w:rsid w:val="00802906"/>
    <w:rsid w:val="00811128"/>
    <w:rsid w:val="00827714"/>
    <w:rsid w:val="00827B42"/>
    <w:rsid w:val="00856F4C"/>
    <w:rsid w:val="00895763"/>
    <w:rsid w:val="008A12B8"/>
    <w:rsid w:val="008A37CF"/>
    <w:rsid w:val="008A4221"/>
    <w:rsid w:val="008A444C"/>
    <w:rsid w:val="008B230E"/>
    <w:rsid w:val="008B50DA"/>
    <w:rsid w:val="008C045C"/>
    <w:rsid w:val="008C4A4C"/>
    <w:rsid w:val="008D5411"/>
    <w:rsid w:val="008E28A5"/>
    <w:rsid w:val="009135CE"/>
    <w:rsid w:val="00917D4C"/>
    <w:rsid w:val="0092532D"/>
    <w:rsid w:val="009331D1"/>
    <w:rsid w:val="00937739"/>
    <w:rsid w:val="009420D5"/>
    <w:rsid w:val="00945FA2"/>
    <w:rsid w:val="00947EB6"/>
    <w:rsid w:val="00956257"/>
    <w:rsid w:val="00957E4D"/>
    <w:rsid w:val="009622E0"/>
    <w:rsid w:val="00964AF1"/>
    <w:rsid w:val="00964F17"/>
    <w:rsid w:val="00967B44"/>
    <w:rsid w:val="009766B7"/>
    <w:rsid w:val="0099190D"/>
    <w:rsid w:val="009A67A5"/>
    <w:rsid w:val="009B7526"/>
    <w:rsid w:val="009C2E16"/>
    <w:rsid w:val="009E4C3F"/>
    <w:rsid w:val="009F0881"/>
    <w:rsid w:val="009F4558"/>
    <w:rsid w:val="00A22FA9"/>
    <w:rsid w:val="00A31750"/>
    <w:rsid w:val="00A363AC"/>
    <w:rsid w:val="00A429B0"/>
    <w:rsid w:val="00A50236"/>
    <w:rsid w:val="00A51C20"/>
    <w:rsid w:val="00A55AEC"/>
    <w:rsid w:val="00A63C99"/>
    <w:rsid w:val="00A753DF"/>
    <w:rsid w:val="00A77F85"/>
    <w:rsid w:val="00A80AB5"/>
    <w:rsid w:val="00A84860"/>
    <w:rsid w:val="00A94A7B"/>
    <w:rsid w:val="00AA6AC7"/>
    <w:rsid w:val="00AB78A5"/>
    <w:rsid w:val="00AC132B"/>
    <w:rsid w:val="00AC424E"/>
    <w:rsid w:val="00AD5281"/>
    <w:rsid w:val="00AE06D9"/>
    <w:rsid w:val="00AF0AD2"/>
    <w:rsid w:val="00B02B56"/>
    <w:rsid w:val="00B02C0B"/>
    <w:rsid w:val="00B02C7B"/>
    <w:rsid w:val="00B06F6C"/>
    <w:rsid w:val="00B1189B"/>
    <w:rsid w:val="00B14040"/>
    <w:rsid w:val="00B23E8B"/>
    <w:rsid w:val="00B2739F"/>
    <w:rsid w:val="00B3366A"/>
    <w:rsid w:val="00B340A6"/>
    <w:rsid w:val="00B437B5"/>
    <w:rsid w:val="00B45F8E"/>
    <w:rsid w:val="00B4672C"/>
    <w:rsid w:val="00B47927"/>
    <w:rsid w:val="00B47F6D"/>
    <w:rsid w:val="00B54758"/>
    <w:rsid w:val="00B56066"/>
    <w:rsid w:val="00B721BC"/>
    <w:rsid w:val="00B73756"/>
    <w:rsid w:val="00B86308"/>
    <w:rsid w:val="00BA02D1"/>
    <w:rsid w:val="00BA13D1"/>
    <w:rsid w:val="00BB4342"/>
    <w:rsid w:val="00BD45FA"/>
    <w:rsid w:val="00BD7880"/>
    <w:rsid w:val="00C05BA9"/>
    <w:rsid w:val="00C17BF6"/>
    <w:rsid w:val="00C27F38"/>
    <w:rsid w:val="00C37CED"/>
    <w:rsid w:val="00C443FE"/>
    <w:rsid w:val="00C44FD1"/>
    <w:rsid w:val="00C51413"/>
    <w:rsid w:val="00C603D9"/>
    <w:rsid w:val="00C62D79"/>
    <w:rsid w:val="00C86677"/>
    <w:rsid w:val="00C9042B"/>
    <w:rsid w:val="00C93DF3"/>
    <w:rsid w:val="00C95E7D"/>
    <w:rsid w:val="00CB5BC6"/>
    <w:rsid w:val="00CB7629"/>
    <w:rsid w:val="00CC70C0"/>
    <w:rsid w:val="00CD2B32"/>
    <w:rsid w:val="00CD6492"/>
    <w:rsid w:val="00CF7562"/>
    <w:rsid w:val="00D00EB0"/>
    <w:rsid w:val="00D027AF"/>
    <w:rsid w:val="00D16AB2"/>
    <w:rsid w:val="00D30F62"/>
    <w:rsid w:val="00D313B2"/>
    <w:rsid w:val="00D4454F"/>
    <w:rsid w:val="00D56DC9"/>
    <w:rsid w:val="00D86C46"/>
    <w:rsid w:val="00D90EE3"/>
    <w:rsid w:val="00DA486E"/>
    <w:rsid w:val="00DB0854"/>
    <w:rsid w:val="00DB178C"/>
    <w:rsid w:val="00DB3372"/>
    <w:rsid w:val="00DB510E"/>
    <w:rsid w:val="00DB5D9D"/>
    <w:rsid w:val="00DC7870"/>
    <w:rsid w:val="00DC7CCF"/>
    <w:rsid w:val="00DD2634"/>
    <w:rsid w:val="00DD598E"/>
    <w:rsid w:val="00DD7E35"/>
    <w:rsid w:val="00DE4ADA"/>
    <w:rsid w:val="00DE720C"/>
    <w:rsid w:val="00DF2FF6"/>
    <w:rsid w:val="00E050F4"/>
    <w:rsid w:val="00E072E5"/>
    <w:rsid w:val="00E11BF0"/>
    <w:rsid w:val="00E14398"/>
    <w:rsid w:val="00E1726F"/>
    <w:rsid w:val="00E21869"/>
    <w:rsid w:val="00E21EEA"/>
    <w:rsid w:val="00E50CCD"/>
    <w:rsid w:val="00E647D4"/>
    <w:rsid w:val="00E73A11"/>
    <w:rsid w:val="00E74392"/>
    <w:rsid w:val="00E80DCC"/>
    <w:rsid w:val="00E80FC0"/>
    <w:rsid w:val="00EA0591"/>
    <w:rsid w:val="00EA72B5"/>
    <w:rsid w:val="00ED4D6A"/>
    <w:rsid w:val="00ED55E7"/>
    <w:rsid w:val="00ED6FCC"/>
    <w:rsid w:val="00ED745F"/>
    <w:rsid w:val="00EE24FD"/>
    <w:rsid w:val="00EE574F"/>
    <w:rsid w:val="00EE5C83"/>
    <w:rsid w:val="00EF1A05"/>
    <w:rsid w:val="00EF522D"/>
    <w:rsid w:val="00EF6687"/>
    <w:rsid w:val="00F05749"/>
    <w:rsid w:val="00F13F86"/>
    <w:rsid w:val="00F14ED9"/>
    <w:rsid w:val="00F2093C"/>
    <w:rsid w:val="00F22694"/>
    <w:rsid w:val="00F30450"/>
    <w:rsid w:val="00F37557"/>
    <w:rsid w:val="00F503C3"/>
    <w:rsid w:val="00F5214B"/>
    <w:rsid w:val="00F523A0"/>
    <w:rsid w:val="00F5339E"/>
    <w:rsid w:val="00F53C83"/>
    <w:rsid w:val="00F61DB6"/>
    <w:rsid w:val="00F62182"/>
    <w:rsid w:val="00F647D3"/>
    <w:rsid w:val="00F87E47"/>
    <w:rsid w:val="00F969C7"/>
    <w:rsid w:val="00FA42E4"/>
    <w:rsid w:val="00FB119B"/>
    <w:rsid w:val="00FC0980"/>
    <w:rsid w:val="00FD1345"/>
    <w:rsid w:val="00FE120B"/>
    <w:rsid w:val="00FE1EC6"/>
    <w:rsid w:val="00FE216C"/>
    <w:rsid w:val="00FF1B32"/>
    <w:rsid w:val="00FF7A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64D18"/>
  <w15:docId w15:val="{D25E6308-1762-420A-A328-506114FBAC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5A31"/>
    <w:pPr>
      <w:spacing w:after="160"/>
    </w:pPr>
    <w:rPr>
      <w:rFonts w:ascii="Calibri" w:hAnsi="Calibri"/>
      <w:noProof/>
      <w:sz w:val="24"/>
    </w:rPr>
  </w:style>
  <w:style w:type="paragraph" w:styleId="Heading1">
    <w:name w:val="heading 1"/>
    <w:basedOn w:val="Normal"/>
    <w:next w:val="Normal"/>
    <w:link w:val="Heading1Char"/>
    <w:uiPriority w:val="9"/>
    <w:qFormat/>
    <w:rsid w:val="00715A31"/>
    <w:pPr>
      <w:keepNext/>
      <w:keepLines/>
      <w:spacing w:before="48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FF1B32"/>
    <w:pPr>
      <w:keepNext/>
      <w:keepLines/>
      <w:spacing w:before="200"/>
      <w:outlineLvl w:val="1"/>
    </w:pPr>
    <w:rPr>
      <w:rFonts w:eastAsiaTheme="majorEastAsia" w:cstheme="majorBidi"/>
      <w:b/>
      <w:bCs/>
      <w:sz w:val="26"/>
      <w:szCs w:val="26"/>
    </w:rPr>
  </w:style>
  <w:style w:type="paragraph" w:styleId="Heading3">
    <w:name w:val="heading 3"/>
    <w:basedOn w:val="Normal"/>
    <w:next w:val="Normal"/>
    <w:link w:val="Heading3Char"/>
    <w:uiPriority w:val="9"/>
    <w:semiHidden/>
    <w:unhideWhenUsed/>
    <w:qFormat/>
    <w:rsid w:val="00FF1B32"/>
    <w:pPr>
      <w:keepNext/>
      <w:keepLines/>
      <w:spacing w:before="20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5A31"/>
    <w:rPr>
      <w:rFonts w:ascii="Calibri" w:eastAsiaTheme="majorEastAsia" w:hAnsi="Calibri" w:cstheme="majorBidi"/>
      <w:b/>
      <w:bCs/>
      <w:noProof/>
      <w:sz w:val="28"/>
      <w:szCs w:val="28"/>
    </w:rPr>
  </w:style>
  <w:style w:type="character" w:customStyle="1" w:styleId="Heading2Char">
    <w:name w:val="Heading 2 Char"/>
    <w:basedOn w:val="DefaultParagraphFont"/>
    <w:link w:val="Heading2"/>
    <w:uiPriority w:val="9"/>
    <w:rsid w:val="00FF1B32"/>
    <w:rPr>
      <w:rFonts w:ascii="Times New Roman" w:eastAsiaTheme="majorEastAsia" w:hAnsi="Times New Roman" w:cstheme="majorBidi"/>
      <w:b/>
      <w:bCs/>
      <w:sz w:val="26"/>
      <w:szCs w:val="26"/>
    </w:rPr>
  </w:style>
  <w:style w:type="paragraph" w:styleId="Title">
    <w:name w:val="Title"/>
    <w:basedOn w:val="Normal"/>
    <w:next w:val="Normal"/>
    <w:link w:val="TitleChar"/>
    <w:uiPriority w:val="10"/>
    <w:qFormat/>
    <w:rsid w:val="00FF1B32"/>
    <w:pPr>
      <w:pBdr>
        <w:bottom w:val="single" w:sz="8" w:space="4" w:color="4F81BD" w:themeColor="accent1"/>
      </w:pBdr>
      <w:spacing w:after="300" w:line="240" w:lineRule="auto"/>
      <w:contextualSpacing/>
      <w:jc w:val="center"/>
    </w:pPr>
    <w:rPr>
      <w:rFonts w:eastAsiaTheme="majorEastAsia" w:cstheme="majorBidi"/>
      <w:b/>
      <w:spacing w:val="5"/>
      <w:kern w:val="28"/>
      <w:sz w:val="56"/>
      <w:szCs w:val="52"/>
      <w:u w:val="single"/>
    </w:rPr>
  </w:style>
  <w:style w:type="character" w:customStyle="1" w:styleId="TitleChar">
    <w:name w:val="Title Char"/>
    <w:basedOn w:val="DefaultParagraphFont"/>
    <w:link w:val="Title"/>
    <w:uiPriority w:val="10"/>
    <w:rsid w:val="00FF1B32"/>
    <w:rPr>
      <w:rFonts w:ascii="Times New Roman" w:eastAsiaTheme="majorEastAsia" w:hAnsi="Times New Roman" w:cstheme="majorBidi"/>
      <w:b/>
      <w:spacing w:val="5"/>
      <w:kern w:val="28"/>
      <w:sz w:val="56"/>
      <w:szCs w:val="52"/>
      <w:u w:val="single"/>
    </w:rPr>
  </w:style>
  <w:style w:type="character" w:customStyle="1" w:styleId="Heading3Char">
    <w:name w:val="Heading 3 Char"/>
    <w:basedOn w:val="DefaultParagraphFont"/>
    <w:link w:val="Heading3"/>
    <w:uiPriority w:val="9"/>
    <w:semiHidden/>
    <w:rsid w:val="00FF1B32"/>
    <w:rPr>
      <w:rFonts w:ascii="Times New Roman" w:eastAsiaTheme="majorEastAsia" w:hAnsi="Times New Roman" w:cstheme="majorBidi"/>
      <w:b/>
      <w:bCs/>
      <w:sz w:val="24"/>
    </w:rPr>
  </w:style>
  <w:style w:type="paragraph" w:styleId="ListParagraph">
    <w:name w:val="List Paragraph"/>
    <w:basedOn w:val="Normal"/>
    <w:uiPriority w:val="34"/>
    <w:qFormat/>
    <w:rsid w:val="00715A31"/>
    <w:pPr>
      <w:ind w:left="720"/>
      <w:contextualSpacing/>
    </w:pPr>
  </w:style>
  <w:style w:type="paragraph" w:styleId="BalloonText">
    <w:name w:val="Balloon Text"/>
    <w:basedOn w:val="Normal"/>
    <w:link w:val="BalloonTextChar"/>
    <w:uiPriority w:val="99"/>
    <w:semiHidden/>
    <w:unhideWhenUsed/>
    <w:rsid w:val="001E5C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5CFB"/>
    <w:rPr>
      <w:rFonts w:ascii="Tahoma" w:hAnsi="Tahoma" w:cs="Tahoma"/>
      <w:noProof/>
      <w:sz w:val="16"/>
      <w:szCs w:val="16"/>
    </w:rPr>
  </w:style>
  <w:style w:type="paragraph" w:styleId="TOCHeading">
    <w:name w:val="TOC Heading"/>
    <w:basedOn w:val="Heading1"/>
    <w:next w:val="Normal"/>
    <w:uiPriority w:val="39"/>
    <w:semiHidden/>
    <w:unhideWhenUsed/>
    <w:qFormat/>
    <w:rsid w:val="000A131B"/>
    <w:pPr>
      <w:spacing w:after="0" w:line="276" w:lineRule="auto"/>
      <w:jc w:val="left"/>
      <w:outlineLvl w:val="9"/>
    </w:pPr>
    <w:rPr>
      <w:rFonts w:asciiTheme="majorHAnsi" w:hAnsiTheme="majorHAnsi"/>
      <w:noProof w:val="0"/>
      <w:color w:val="365F91" w:themeColor="accent1" w:themeShade="BF"/>
      <w:lang w:val="en-US"/>
    </w:rPr>
  </w:style>
  <w:style w:type="paragraph" w:styleId="TOC1">
    <w:name w:val="toc 1"/>
    <w:basedOn w:val="Normal"/>
    <w:next w:val="Normal"/>
    <w:autoRedefine/>
    <w:uiPriority w:val="39"/>
    <w:unhideWhenUsed/>
    <w:rsid w:val="000A131B"/>
    <w:pPr>
      <w:spacing w:after="100"/>
    </w:pPr>
  </w:style>
  <w:style w:type="paragraph" w:styleId="TOC2">
    <w:name w:val="toc 2"/>
    <w:basedOn w:val="Normal"/>
    <w:next w:val="Normal"/>
    <w:autoRedefine/>
    <w:uiPriority w:val="39"/>
    <w:unhideWhenUsed/>
    <w:rsid w:val="000A131B"/>
    <w:pPr>
      <w:spacing w:after="100"/>
      <w:ind w:left="240"/>
    </w:pPr>
  </w:style>
  <w:style w:type="character" w:styleId="Hyperlink">
    <w:name w:val="Hyperlink"/>
    <w:basedOn w:val="DefaultParagraphFont"/>
    <w:uiPriority w:val="99"/>
    <w:unhideWhenUsed/>
    <w:rsid w:val="000A131B"/>
    <w:rPr>
      <w:color w:val="0000FF" w:themeColor="hyperlink"/>
      <w:u w:val="single"/>
    </w:rPr>
  </w:style>
  <w:style w:type="paragraph" w:styleId="NoSpacing">
    <w:name w:val="No Spacing"/>
    <w:link w:val="NoSpacingChar"/>
    <w:uiPriority w:val="1"/>
    <w:qFormat/>
    <w:rsid w:val="00A80AB5"/>
    <w:pPr>
      <w:spacing w:line="240" w:lineRule="auto"/>
      <w:jc w:val="left"/>
    </w:pPr>
    <w:rPr>
      <w:rFonts w:eastAsiaTheme="minorEastAsia"/>
      <w:lang w:val="en-US"/>
    </w:rPr>
  </w:style>
  <w:style w:type="character" w:customStyle="1" w:styleId="NoSpacingChar">
    <w:name w:val="No Spacing Char"/>
    <w:basedOn w:val="DefaultParagraphFont"/>
    <w:link w:val="NoSpacing"/>
    <w:uiPriority w:val="1"/>
    <w:rsid w:val="00A80AB5"/>
    <w:rPr>
      <w:rFonts w:eastAsiaTheme="minorEastAsia"/>
      <w:lang w:val="en-US"/>
    </w:rPr>
  </w:style>
  <w:style w:type="paragraph" w:styleId="Header">
    <w:name w:val="header"/>
    <w:basedOn w:val="Normal"/>
    <w:link w:val="HeaderChar"/>
    <w:uiPriority w:val="99"/>
    <w:semiHidden/>
    <w:unhideWhenUsed/>
    <w:rsid w:val="00B3366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3366A"/>
    <w:rPr>
      <w:rFonts w:ascii="Calibri" w:hAnsi="Calibri"/>
      <w:noProof/>
      <w:sz w:val="24"/>
    </w:rPr>
  </w:style>
  <w:style w:type="paragraph" w:styleId="Footer">
    <w:name w:val="footer"/>
    <w:basedOn w:val="Normal"/>
    <w:link w:val="FooterChar"/>
    <w:uiPriority w:val="99"/>
    <w:unhideWhenUsed/>
    <w:rsid w:val="00B336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366A"/>
    <w:rPr>
      <w:rFonts w:ascii="Calibri" w:hAnsi="Calibri"/>
      <w:noProof/>
      <w:sz w:val="24"/>
    </w:rPr>
  </w:style>
  <w:style w:type="paragraph" w:customStyle="1" w:styleId="cdk-drag">
    <w:name w:val="cdk-drag"/>
    <w:basedOn w:val="Normal"/>
    <w:rsid w:val="00AE06D9"/>
    <w:pPr>
      <w:spacing w:before="100" w:beforeAutospacing="1" w:after="100" w:afterAutospacing="1" w:line="240" w:lineRule="auto"/>
      <w:jc w:val="left"/>
    </w:pPr>
    <w:rPr>
      <w:rFonts w:ascii="Times New Roman" w:eastAsia="Times New Roman" w:hAnsi="Times New Roman" w:cs="Times New Roman"/>
      <w:noProof w:val="0"/>
      <w:szCs w:val="24"/>
      <w:lang w:eastAsia="en-GB"/>
    </w:rPr>
  </w:style>
  <w:style w:type="paragraph" w:styleId="Caption">
    <w:name w:val="caption"/>
    <w:basedOn w:val="Normal"/>
    <w:next w:val="Normal"/>
    <w:uiPriority w:val="35"/>
    <w:unhideWhenUsed/>
    <w:qFormat/>
    <w:rsid w:val="00AE06D9"/>
    <w:pPr>
      <w:spacing w:after="200" w:line="240" w:lineRule="auto"/>
      <w:jc w:val="left"/>
    </w:pPr>
    <w:rPr>
      <w:rFonts w:ascii="Times New Roman" w:hAnsi="Times New Roman"/>
      <w:i/>
      <w:iCs/>
      <w:noProof w:val="0"/>
      <w:color w:val="1F497D" w:themeColor="text2"/>
      <w:sz w:val="18"/>
      <w:szCs w:val="18"/>
    </w:rPr>
  </w:style>
  <w:style w:type="paragraph" w:styleId="TOC3">
    <w:name w:val="toc 3"/>
    <w:basedOn w:val="Normal"/>
    <w:next w:val="Normal"/>
    <w:autoRedefine/>
    <w:uiPriority w:val="39"/>
    <w:unhideWhenUsed/>
    <w:rsid w:val="00AE06D9"/>
    <w:pPr>
      <w:spacing w:after="100" w:line="259" w:lineRule="auto"/>
      <w:ind w:left="480"/>
      <w:jc w:val="left"/>
    </w:pPr>
    <w:rPr>
      <w:rFonts w:ascii="Times New Roman" w:hAnsi="Times New Roman"/>
      <w:noProof w:val="0"/>
    </w:rPr>
  </w:style>
  <w:style w:type="table" w:styleId="TableGrid">
    <w:name w:val="Table Grid"/>
    <w:basedOn w:val="TableNormal"/>
    <w:uiPriority w:val="59"/>
    <w:rsid w:val="00DD598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C86677"/>
    <w:pPr>
      <w:spacing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1Light-Accent5">
    <w:name w:val="Grid Table 1 Light Accent 5"/>
    <w:basedOn w:val="TableNormal"/>
    <w:uiPriority w:val="46"/>
    <w:rsid w:val="00A22FA9"/>
    <w:pPr>
      <w:spacing w:line="240" w:lineRule="auto"/>
    </w:pPr>
    <w:tblPr>
      <w:tblStyleRowBandSize w:val="1"/>
      <w:tblStyleColBandSize w:val="1"/>
      <w:tblBorders>
        <w:top w:val="single" w:sz="4" w:space="0" w:color="B6DDE8" w:themeColor="accent5" w:themeTint="66"/>
        <w:left w:val="single" w:sz="4" w:space="0" w:color="B6DDE8" w:themeColor="accent5" w:themeTint="66"/>
        <w:bottom w:val="single" w:sz="4" w:space="0" w:color="B6DDE8" w:themeColor="accent5" w:themeTint="66"/>
        <w:right w:val="single" w:sz="4" w:space="0" w:color="B6DDE8" w:themeColor="accent5" w:themeTint="66"/>
        <w:insideH w:val="single" w:sz="4" w:space="0" w:color="B6DDE8" w:themeColor="accent5" w:themeTint="66"/>
        <w:insideV w:val="single" w:sz="4" w:space="0" w:color="B6DDE8" w:themeColor="accent5" w:themeTint="66"/>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2" w:space="0" w:color="92CDDC" w:themeColor="accent5" w:themeTint="99"/>
        </w:tcBorders>
      </w:tcPr>
    </w:tblStylePr>
    <w:tblStylePr w:type="firstCol">
      <w:rPr>
        <w:b/>
        <w:bCs/>
      </w:rPr>
    </w:tblStylePr>
    <w:tblStylePr w:type="lastCol">
      <w:rPr>
        <w:b/>
        <w:bCs/>
      </w:rPr>
    </w:tblStylePr>
  </w:style>
  <w:style w:type="table" w:styleId="ListTable3-Accent5">
    <w:name w:val="List Table 3 Accent 5"/>
    <w:basedOn w:val="TableNormal"/>
    <w:uiPriority w:val="48"/>
    <w:rsid w:val="002D76FD"/>
    <w:pPr>
      <w:spacing w:line="240" w:lineRule="auto"/>
    </w:pPr>
    <w:tblPr>
      <w:tblStyleRowBandSize w:val="1"/>
      <w:tblStyleColBandSize w:val="1"/>
      <w:tblBorders>
        <w:top w:val="single" w:sz="4" w:space="0" w:color="4BACC6" w:themeColor="accent5"/>
        <w:left w:val="single" w:sz="4" w:space="0" w:color="4BACC6" w:themeColor="accent5"/>
        <w:bottom w:val="single" w:sz="4" w:space="0" w:color="4BACC6" w:themeColor="accent5"/>
        <w:right w:val="single" w:sz="4" w:space="0" w:color="4BACC6" w:themeColor="accent5"/>
      </w:tblBorders>
    </w:tblPr>
    <w:tblStylePr w:type="firstRow">
      <w:rPr>
        <w:b/>
        <w:bCs/>
        <w:color w:val="FFFFFF" w:themeColor="background1"/>
      </w:rPr>
      <w:tblPr/>
      <w:tcPr>
        <w:shd w:val="clear" w:color="auto" w:fill="4BACC6" w:themeFill="accent5"/>
      </w:tcPr>
    </w:tblStylePr>
    <w:tblStylePr w:type="lastRow">
      <w:rPr>
        <w:b/>
        <w:bCs/>
      </w:rPr>
      <w:tblPr/>
      <w:tcPr>
        <w:tcBorders>
          <w:top w:val="double" w:sz="4" w:space="0" w:color="4BACC6"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BACC6" w:themeColor="accent5"/>
          <w:right w:val="single" w:sz="4" w:space="0" w:color="4BACC6" w:themeColor="accent5"/>
        </w:tcBorders>
      </w:tcPr>
    </w:tblStylePr>
    <w:tblStylePr w:type="band1Horz">
      <w:tblPr/>
      <w:tcPr>
        <w:tcBorders>
          <w:top w:val="single" w:sz="4" w:space="0" w:color="4BACC6" w:themeColor="accent5"/>
          <w:bottom w:val="single" w:sz="4" w:space="0" w:color="4BACC6"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BACC6" w:themeColor="accent5"/>
          <w:left w:val="nil"/>
        </w:tcBorders>
      </w:tcPr>
    </w:tblStylePr>
    <w:tblStylePr w:type="swCell">
      <w:tblPr/>
      <w:tcPr>
        <w:tcBorders>
          <w:top w:val="double" w:sz="4" w:space="0" w:color="4BACC6" w:themeColor="accent5"/>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330472">
      <w:bodyDiv w:val="1"/>
      <w:marLeft w:val="0"/>
      <w:marRight w:val="0"/>
      <w:marTop w:val="0"/>
      <w:marBottom w:val="0"/>
      <w:divBdr>
        <w:top w:val="none" w:sz="0" w:space="0" w:color="auto"/>
        <w:left w:val="none" w:sz="0" w:space="0" w:color="auto"/>
        <w:bottom w:val="none" w:sz="0" w:space="0" w:color="auto"/>
        <w:right w:val="none" w:sz="0" w:space="0" w:color="auto"/>
      </w:divBdr>
    </w:div>
    <w:div w:id="231551676">
      <w:bodyDiv w:val="1"/>
      <w:marLeft w:val="0"/>
      <w:marRight w:val="0"/>
      <w:marTop w:val="0"/>
      <w:marBottom w:val="0"/>
      <w:divBdr>
        <w:top w:val="none" w:sz="0" w:space="0" w:color="auto"/>
        <w:left w:val="none" w:sz="0" w:space="0" w:color="auto"/>
        <w:bottom w:val="none" w:sz="0" w:space="0" w:color="auto"/>
        <w:right w:val="none" w:sz="0" w:space="0" w:color="auto"/>
      </w:divBdr>
    </w:div>
    <w:div w:id="588277945">
      <w:bodyDiv w:val="1"/>
      <w:marLeft w:val="0"/>
      <w:marRight w:val="0"/>
      <w:marTop w:val="0"/>
      <w:marBottom w:val="0"/>
      <w:divBdr>
        <w:top w:val="none" w:sz="0" w:space="0" w:color="auto"/>
        <w:left w:val="none" w:sz="0" w:space="0" w:color="auto"/>
        <w:bottom w:val="none" w:sz="0" w:space="0" w:color="auto"/>
        <w:right w:val="none" w:sz="0" w:space="0" w:color="auto"/>
      </w:divBdr>
    </w:div>
    <w:div w:id="739525802">
      <w:bodyDiv w:val="1"/>
      <w:marLeft w:val="0"/>
      <w:marRight w:val="0"/>
      <w:marTop w:val="0"/>
      <w:marBottom w:val="0"/>
      <w:divBdr>
        <w:top w:val="none" w:sz="0" w:space="0" w:color="auto"/>
        <w:left w:val="none" w:sz="0" w:space="0" w:color="auto"/>
        <w:bottom w:val="none" w:sz="0" w:space="0" w:color="auto"/>
        <w:right w:val="none" w:sz="0" w:space="0" w:color="auto"/>
      </w:divBdr>
    </w:div>
    <w:div w:id="1019501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18" Type="http://schemas.openxmlformats.org/officeDocument/2006/relationships/image" Target="media/image5.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chart" Target="charts/chart6.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5.xm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image" Target="media/image10.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3.xml"/><Relationship Id="rId22" Type="http://schemas.openxmlformats.org/officeDocument/2006/relationships/image" Target="media/image9.png"/><Relationship Id="rId27"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oleObject" Target="file:///D:\XJX6Z7C2X4.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1" Type="http://schemas.openxmlformats.org/officeDocument/2006/relationships/oleObject" Target="file:///D:\XJX6Z7C2X4.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D:\XJX6Z7C2X4.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D:\XJX6Z7C2X4.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D:\XJX6Z7C2X4.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D:\XJX6Z7C2X4.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Profitability Ratios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Ratios!$B$5</c:f>
              <c:strCache>
                <c:ptCount val="1"/>
                <c:pt idx="0">
                  <c:v>Gross Profit Margin</c:v>
                </c:pt>
              </c:strCache>
            </c:strRef>
          </c:tx>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Ratios!$C$2:$D$2</c:f>
              <c:numCache>
                <c:formatCode>General</c:formatCode>
                <c:ptCount val="2"/>
                <c:pt idx="0">
                  <c:v>2023</c:v>
                </c:pt>
                <c:pt idx="1">
                  <c:v>2022</c:v>
                </c:pt>
              </c:numCache>
            </c:numRef>
          </c:cat>
          <c:val>
            <c:numRef>
              <c:f>Ratios!$C$9:$D$9</c:f>
              <c:numCache>
                <c:formatCode>0.00%</c:formatCode>
                <c:ptCount val="2"/>
                <c:pt idx="0">
                  <c:v>0.81951932941869854</c:v>
                </c:pt>
                <c:pt idx="1">
                  <c:v>0.72061509323352479</c:v>
                </c:pt>
              </c:numCache>
            </c:numRef>
          </c:val>
          <c:extLst>
            <c:ext xmlns:c16="http://schemas.microsoft.com/office/drawing/2014/chart" uri="{C3380CC4-5D6E-409C-BE32-E72D297353CC}">
              <c16:uniqueId val="{00000000-90F6-49EC-8918-A79CBB269CED}"/>
            </c:ext>
          </c:extLst>
        </c:ser>
        <c:ser>
          <c:idx val="1"/>
          <c:order val="1"/>
          <c:tx>
            <c:strRef>
              <c:f>Ratios!$B$11</c:f>
              <c:strCache>
                <c:ptCount val="1"/>
                <c:pt idx="0">
                  <c:v>Net Profit Margin</c:v>
                </c:pt>
              </c:strCache>
            </c:strRef>
          </c:tx>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a:noFill/>
            </a:ln>
            <a:effectLst>
              <a:outerShdw blurRad="40000" dist="23000" dir="5400000" rotWithShape="0">
                <a:srgbClr val="000000">
                  <a:alpha val="35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Ratios!$C$2:$D$2</c:f>
              <c:numCache>
                <c:formatCode>General</c:formatCode>
                <c:ptCount val="2"/>
                <c:pt idx="0">
                  <c:v>2023</c:v>
                </c:pt>
                <c:pt idx="1">
                  <c:v>2022</c:v>
                </c:pt>
              </c:numCache>
            </c:numRef>
          </c:cat>
          <c:val>
            <c:numRef>
              <c:f>Ratios!$C$15:$D$15</c:f>
              <c:numCache>
                <c:formatCode>0.00%</c:formatCode>
                <c:ptCount val="2"/>
                <c:pt idx="0">
                  <c:v>0.13012158651852168</c:v>
                </c:pt>
                <c:pt idx="1">
                  <c:v>7.4248607697684391E-2</c:v>
                </c:pt>
              </c:numCache>
            </c:numRef>
          </c:val>
          <c:extLst>
            <c:ext xmlns:c16="http://schemas.microsoft.com/office/drawing/2014/chart" uri="{C3380CC4-5D6E-409C-BE32-E72D297353CC}">
              <c16:uniqueId val="{00000001-90F6-49EC-8918-A79CBB269CED}"/>
            </c:ext>
          </c:extLst>
        </c:ser>
        <c:dLbls>
          <c:showLegendKey val="0"/>
          <c:showVal val="0"/>
          <c:showCatName val="0"/>
          <c:showSerName val="0"/>
          <c:showPercent val="0"/>
          <c:showBubbleSize val="0"/>
        </c:dLbls>
        <c:gapWidth val="100"/>
        <c:overlap val="-24"/>
        <c:axId val="104284928"/>
        <c:axId val="109008000"/>
      </c:barChart>
      <c:catAx>
        <c:axId val="104284928"/>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09008000"/>
        <c:crosses val="autoZero"/>
        <c:auto val="1"/>
        <c:lblAlgn val="ctr"/>
        <c:lblOffset val="100"/>
        <c:noMultiLvlLbl val="0"/>
      </c:catAx>
      <c:valAx>
        <c:axId val="109008000"/>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Margin</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042849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2"/>
    </mc:Choice>
    <mc:Fallback>
      <c:style val="42"/>
    </mc:Fallback>
  </mc:AlternateContent>
  <c:chart>
    <c:title>
      <c:tx>
        <c:rich>
          <a:bodyPr/>
          <a:lstStyle/>
          <a:p>
            <a:pPr>
              <a:defRPr/>
            </a:pPr>
            <a:r>
              <a:rPr lang="en-GB" sz="1400"/>
              <a:t>Liquidity</a:t>
            </a:r>
            <a:r>
              <a:rPr lang="en-GB" sz="1400" baseline="0"/>
              <a:t> Ratios</a:t>
            </a:r>
            <a:endParaRPr lang="en-GB" sz="1400"/>
          </a:p>
        </c:rich>
      </c:tx>
      <c:overlay val="0"/>
    </c:title>
    <c:autoTitleDeleted val="0"/>
    <c:plotArea>
      <c:layout/>
      <c:barChart>
        <c:barDir val="col"/>
        <c:grouping val="clustered"/>
        <c:varyColors val="0"/>
        <c:ser>
          <c:idx val="0"/>
          <c:order val="0"/>
          <c:tx>
            <c:strRef>
              <c:f>Ratios!$I$5</c:f>
              <c:strCache>
                <c:ptCount val="1"/>
                <c:pt idx="0">
                  <c:v>Current Ratio</c:v>
                </c:pt>
              </c:strCache>
            </c:strRef>
          </c:tx>
          <c:invertIfNegative val="0"/>
          <c:cat>
            <c:numRef>
              <c:f>Ratios!$J$2:$K$2</c:f>
              <c:numCache>
                <c:formatCode>General</c:formatCode>
                <c:ptCount val="2"/>
                <c:pt idx="0">
                  <c:v>2023</c:v>
                </c:pt>
                <c:pt idx="1">
                  <c:v>2022</c:v>
                </c:pt>
              </c:numCache>
            </c:numRef>
          </c:cat>
          <c:val>
            <c:numRef>
              <c:f>Ratios!$J$9:$K$9</c:f>
              <c:numCache>
                <c:formatCode>0.00</c:formatCode>
                <c:ptCount val="2"/>
                <c:pt idx="0">
                  <c:v>0.82031301159059711</c:v>
                </c:pt>
                <c:pt idx="1">
                  <c:v>0.85927813486479343</c:v>
                </c:pt>
              </c:numCache>
            </c:numRef>
          </c:val>
          <c:extLst>
            <c:ext xmlns:c16="http://schemas.microsoft.com/office/drawing/2014/chart" uri="{C3380CC4-5D6E-409C-BE32-E72D297353CC}">
              <c16:uniqueId val="{00000000-0359-4BDC-811D-E140AF015953}"/>
            </c:ext>
          </c:extLst>
        </c:ser>
        <c:ser>
          <c:idx val="1"/>
          <c:order val="1"/>
          <c:tx>
            <c:strRef>
              <c:f>Ratios!$I$11</c:f>
              <c:strCache>
                <c:ptCount val="1"/>
                <c:pt idx="0">
                  <c:v>Quick Ratio</c:v>
                </c:pt>
              </c:strCache>
            </c:strRef>
          </c:tx>
          <c:invertIfNegative val="0"/>
          <c:cat>
            <c:numRef>
              <c:f>Ratios!$J$2:$K$2</c:f>
              <c:numCache>
                <c:formatCode>General</c:formatCode>
                <c:ptCount val="2"/>
                <c:pt idx="0">
                  <c:v>2023</c:v>
                </c:pt>
                <c:pt idx="1">
                  <c:v>2022</c:v>
                </c:pt>
              </c:numCache>
            </c:numRef>
          </c:cat>
          <c:val>
            <c:numRef>
              <c:f>Ratios!$J$15:$K$15</c:f>
              <c:numCache>
                <c:formatCode>0.00</c:formatCode>
                <c:ptCount val="2"/>
                <c:pt idx="0">
                  <c:v>0.64272149826468605</c:v>
                </c:pt>
                <c:pt idx="1">
                  <c:v>0.68056136614307994</c:v>
                </c:pt>
              </c:numCache>
            </c:numRef>
          </c:val>
          <c:extLst>
            <c:ext xmlns:c16="http://schemas.microsoft.com/office/drawing/2014/chart" uri="{C3380CC4-5D6E-409C-BE32-E72D297353CC}">
              <c16:uniqueId val="{00000001-0359-4BDC-811D-E140AF015953}"/>
            </c:ext>
          </c:extLst>
        </c:ser>
        <c:dLbls>
          <c:showLegendKey val="0"/>
          <c:showVal val="0"/>
          <c:showCatName val="0"/>
          <c:showSerName val="0"/>
          <c:showPercent val="0"/>
          <c:showBubbleSize val="0"/>
        </c:dLbls>
        <c:gapWidth val="150"/>
        <c:axId val="118491776"/>
        <c:axId val="124726272"/>
      </c:barChart>
      <c:catAx>
        <c:axId val="118491776"/>
        <c:scaling>
          <c:orientation val="minMax"/>
        </c:scaling>
        <c:delete val="0"/>
        <c:axPos val="b"/>
        <c:title>
          <c:tx>
            <c:rich>
              <a:bodyPr/>
              <a:lstStyle/>
              <a:p>
                <a:pPr>
                  <a:defRPr/>
                </a:pPr>
                <a:r>
                  <a:rPr lang="en-GB"/>
                  <a:t>Year</a:t>
                </a:r>
              </a:p>
            </c:rich>
          </c:tx>
          <c:overlay val="0"/>
        </c:title>
        <c:numFmt formatCode="General" sourceLinked="1"/>
        <c:majorTickMark val="none"/>
        <c:minorTickMark val="none"/>
        <c:tickLblPos val="nextTo"/>
        <c:crossAx val="124726272"/>
        <c:crosses val="autoZero"/>
        <c:auto val="1"/>
        <c:lblAlgn val="ctr"/>
        <c:lblOffset val="100"/>
        <c:noMultiLvlLbl val="0"/>
      </c:catAx>
      <c:valAx>
        <c:axId val="124726272"/>
        <c:scaling>
          <c:orientation val="minMax"/>
        </c:scaling>
        <c:delete val="0"/>
        <c:axPos val="l"/>
        <c:majorGridlines/>
        <c:title>
          <c:tx>
            <c:rich>
              <a:bodyPr/>
              <a:lstStyle/>
              <a:p>
                <a:pPr>
                  <a:defRPr/>
                </a:pPr>
                <a:r>
                  <a:rPr lang="en-GB"/>
                  <a:t>Ratio</a:t>
                </a:r>
                <a:r>
                  <a:rPr lang="en-GB" baseline="0"/>
                  <a:t> (Times)</a:t>
                </a:r>
                <a:endParaRPr lang="en-GB"/>
              </a:p>
            </c:rich>
          </c:tx>
          <c:overlay val="0"/>
        </c:title>
        <c:numFmt formatCode="0.00" sourceLinked="1"/>
        <c:majorTickMark val="out"/>
        <c:minorTickMark val="none"/>
        <c:tickLblPos val="nextTo"/>
        <c:crossAx val="118491776"/>
        <c:crosses val="autoZero"/>
        <c:crossBetween val="between"/>
      </c:valAx>
    </c:plotArea>
    <c:legend>
      <c:legendPos val="r"/>
      <c:overlay val="0"/>
    </c:legend>
    <c:plotVisOnly val="1"/>
    <c:dispBlanksAs val="zero"/>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a:lstStyle/>
          <a:p>
            <a:pPr>
              <a:defRPr/>
            </a:pPr>
            <a:r>
              <a:rPr lang="en-GB" sz="1400"/>
              <a:t>Debt</a:t>
            </a:r>
            <a:r>
              <a:rPr lang="en-GB" sz="1400" baseline="0"/>
              <a:t> to Equity Ratio</a:t>
            </a:r>
            <a:endParaRPr lang="en-GB" sz="1400"/>
          </a:p>
        </c:rich>
      </c:tx>
      <c:overlay val="0"/>
    </c:title>
    <c:autoTitleDeleted val="0"/>
    <c:plotArea>
      <c:layout>
        <c:manualLayout>
          <c:layoutTarget val="inner"/>
          <c:xMode val="edge"/>
          <c:yMode val="edge"/>
          <c:x val="0.15361329833770798"/>
          <c:y val="0.17218759113444151"/>
          <c:w val="0.62183114610673662"/>
          <c:h val="0.67743802857976143"/>
        </c:manualLayout>
      </c:layout>
      <c:lineChart>
        <c:grouping val="standard"/>
        <c:varyColors val="0"/>
        <c:ser>
          <c:idx val="0"/>
          <c:order val="0"/>
          <c:tx>
            <c:strRef>
              <c:f>Ratios!$B$21</c:f>
              <c:strCache>
                <c:ptCount val="1"/>
                <c:pt idx="0">
                  <c:v>Debt to Equity Ratio</c:v>
                </c:pt>
              </c:strCache>
            </c:strRef>
          </c:tx>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Ratios!$C$18:$D$18</c:f>
              <c:numCache>
                <c:formatCode>General</c:formatCode>
                <c:ptCount val="2"/>
                <c:pt idx="0">
                  <c:v>2023</c:v>
                </c:pt>
                <c:pt idx="1">
                  <c:v>2022</c:v>
                </c:pt>
              </c:numCache>
            </c:numRef>
          </c:cat>
          <c:val>
            <c:numRef>
              <c:f>Ratios!$C$25:$D$25</c:f>
              <c:numCache>
                <c:formatCode>0.00%</c:formatCode>
                <c:ptCount val="2"/>
                <c:pt idx="0">
                  <c:v>1.5818056477557059</c:v>
                </c:pt>
                <c:pt idx="1">
                  <c:v>1.6035673808624318</c:v>
                </c:pt>
              </c:numCache>
            </c:numRef>
          </c:val>
          <c:smooth val="0"/>
          <c:extLst>
            <c:ext xmlns:c16="http://schemas.microsoft.com/office/drawing/2014/chart" uri="{C3380CC4-5D6E-409C-BE32-E72D297353CC}">
              <c16:uniqueId val="{00000000-6DEA-4DF8-828D-8FBDFFEE6EF4}"/>
            </c:ext>
          </c:extLst>
        </c:ser>
        <c:dLbls>
          <c:showLegendKey val="0"/>
          <c:showVal val="1"/>
          <c:showCatName val="0"/>
          <c:showSerName val="0"/>
          <c:showPercent val="0"/>
          <c:showBubbleSize val="0"/>
        </c:dLbls>
        <c:marker val="1"/>
        <c:smooth val="0"/>
        <c:axId val="103202176"/>
        <c:axId val="103203968"/>
      </c:lineChart>
      <c:catAx>
        <c:axId val="103202176"/>
        <c:scaling>
          <c:orientation val="minMax"/>
        </c:scaling>
        <c:delete val="0"/>
        <c:axPos val="b"/>
        <c:numFmt formatCode="General" sourceLinked="1"/>
        <c:majorTickMark val="none"/>
        <c:minorTickMark val="none"/>
        <c:tickLblPos val="nextTo"/>
        <c:crossAx val="103203968"/>
        <c:crosses val="autoZero"/>
        <c:auto val="1"/>
        <c:lblAlgn val="ctr"/>
        <c:lblOffset val="100"/>
        <c:noMultiLvlLbl val="0"/>
      </c:catAx>
      <c:valAx>
        <c:axId val="103203968"/>
        <c:scaling>
          <c:orientation val="minMax"/>
        </c:scaling>
        <c:delete val="0"/>
        <c:axPos val="l"/>
        <c:majorGridlines/>
        <c:numFmt formatCode="0.00%" sourceLinked="1"/>
        <c:majorTickMark val="none"/>
        <c:minorTickMark val="none"/>
        <c:tickLblPos val="nextTo"/>
        <c:crossAx val="103202176"/>
        <c:crosses val="autoZero"/>
        <c:crossBetween val="between"/>
      </c:valAx>
    </c:plotArea>
    <c:legend>
      <c:legendPos val="r"/>
      <c:layout>
        <c:manualLayout>
          <c:xMode val="edge"/>
          <c:yMode val="edge"/>
          <c:x val="0.76988888888888962"/>
          <c:y val="0.51853492271799295"/>
          <c:w val="0.21344444444444477"/>
          <c:h val="0.19019867308253136"/>
        </c:manualLayout>
      </c:layout>
      <c:overlay val="0"/>
    </c:legend>
    <c:plotVisOnly val="1"/>
    <c:dispBlanksAs val="zero"/>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a:lstStyle/>
          <a:p>
            <a:pPr>
              <a:defRPr/>
            </a:pPr>
            <a:r>
              <a:rPr lang="en-GB" sz="1400"/>
              <a:t>Interest</a:t>
            </a:r>
            <a:r>
              <a:rPr lang="en-GB" sz="1400" baseline="0"/>
              <a:t> Coverage Ratio</a:t>
            </a:r>
            <a:endParaRPr lang="en-GB" sz="1400"/>
          </a:p>
        </c:rich>
      </c:tx>
      <c:overlay val="0"/>
    </c:title>
    <c:autoTitleDeleted val="0"/>
    <c:plotArea>
      <c:layout>
        <c:manualLayout>
          <c:layoutTarget val="inner"/>
          <c:xMode val="edge"/>
          <c:yMode val="edge"/>
          <c:x val="9.2593211807428119E-2"/>
          <c:y val="0.17171296296296312"/>
          <c:w val="0.67604950922230678"/>
          <c:h val="0.67791265675123968"/>
        </c:manualLayout>
      </c:layout>
      <c:barChart>
        <c:barDir val="bar"/>
        <c:grouping val="clustered"/>
        <c:varyColors val="0"/>
        <c:ser>
          <c:idx val="0"/>
          <c:order val="0"/>
          <c:tx>
            <c:strRef>
              <c:f>Ratios!$B$27</c:f>
              <c:strCache>
                <c:ptCount val="1"/>
                <c:pt idx="0">
                  <c:v>Interest coverage ratio</c:v>
                </c:pt>
              </c:strCache>
            </c:strRef>
          </c:tx>
          <c:invertIfNegative val="0"/>
          <c:dLbls>
            <c:spPr>
              <a:noFill/>
              <a:ln>
                <a:noFill/>
              </a:ln>
              <a:effectLst/>
            </c:spPr>
            <c:dLblPos val="in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Ratios!$C$18:$D$18</c:f>
              <c:numCache>
                <c:formatCode>General</c:formatCode>
                <c:ptCount val="2"/>
                <c:pt idx="0">
                  <c:v>2023</c:v>
                </c:pt>
                <c:pt idx="1">
                  <c:v>2022</c:v>
                </c:pt>
              </c:numCache>
            </c:numRef>
          </c:cat>
          <c:val>
            <c:numRef>
              <c:f>Ratios!$C$31:$D$31</c:f>
              <c:numCache>
                <c:formatCode>0.00</c:formatCode>
                <c:ptCount val="2"/>
                <c:pt idx="0">
                  <c:v>5.038745387453881</c:v>
                </c:pt>
                <c:pt idx="1">
                  <c:v>2.7912332838038627</c:v>
                </c:pt>
              </c:numCache>
            </c:numRef>
          </c:val>
          <c:extLst>
            <c:ext xmlns:c16="http://schemas.microsoft.com/office/drawing/2014/chart" uri="{C3380CC4-5D6E-409C-BE32-E72D297353CC}">
              <c16:uniqueId val="{00000000-C375-4CDD-AD2C-19BA446ABDC1}"/>
            </c:ext>
          </c:extLst>
        </c:ser>
        <c:dLbls>
          <c:showLegendKey val="0"/>
          <c:showVal val="0"/>
          <c:showCatName val="0"/>
          <c:showSerName val="0"/>
          <c:showPercent val="0"/>
          <c:showBubbleSize val="0"/>
        </c:dLbls>
        <c:gapWidth val="75"/>
        <c:overlap val="40"/>
        <c:axId val="110122112"/>
        <c:axId val="110123648"/>
      </c:barChart>
      <c:catAx>
        <c:axId val="110122112"/>
        <c:scaling>
          <c:orientation val="minMax"/>
        </c:scaling>
        <c:delete val="0"/>
        <c:axPos val="l"/>
        <c:numFmt formatCode="General" sourceLinked="1"/>
        <c:majorTickMark val="none"/>
        <c:minorTickMark val="none"/>
        <c:tickLblPos val="nextTo"/>
        <c:crossAx val="110123648"/>
        <c:crosses val="autoZero"/>
        <c:auto val="1"/>
        <c:lblAlgn val="ctr"/>
        <c:lblOffset val="100"/>
        <c:noMultiLvlLbl val="0"/>
      </c:catAx>
      <c:valAx>
        <c:axId val="110123648"/>
        <c:scaling>
          <c:orientation val="minMax"/>
        </c:scaling>
        <c:delete val="0"/>
        <c:axPos val="b"/>
        <c:majorGridlines/>
        <c:numFmt formatCode="0.00" sourceLinked="1"/>
        <c:majorTickMark val="none"/>
        <c:minorTickMark val="none"/>
        <c:tickLblPos val="nextTo"/>
        <c:crossAx val="110122112"/>
        <c:crosses val="autoZero"/>
        <c:crossBetween val="between"/>
      </c:valAx>
    </c:plotArea>
    <c:legend>
      <c:legendPos val="r"/>
      <c:layout>
        <c:manualLayout>
          <c:xMode val="edge"/>
          <c:yMode val="edge"/>
          <c:x val="0.80714719735375562"/>
          <c:y val="0.51853492271799295"/>
          <c:w val="0.17915417250925827"/>
          <c:h val="0.18093941382327236"/>
        </c:manualLayout>
      </c:layout>
      <c:overlay val="0"/>
    </c:legend>
    <c:plotVisOnly val="1"/>
    <c:dispBlanksAs val="zero"/>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400"/>
              <a:t>Efficiency Ratios</a:t>
            </a:r>
          </a:p>
        </c:rich>
      </c:tx>
      <c:overlay val="0"/>
    </c:title>
    <c:autoTitleDeleted val="0"/>
    <c:plotArea>
      <c:layout/>
      <c:barChart>
        <c:barDir val="bar"/>
        <c:grouping val="clustered"/>
        <c:varyColors val="0"/>
        <c:ser>
          <c:idx val="0"/>
          <c:order val="0"/>
          <c:tx>
            <c:strRef>
              <c:f>Ratios!$I$25</c:f>
              <c:strCache>
                <c:ptCount val="1"/>
                <c:pt idx="0">
                  <c:v>ITR (Times)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Ratios!$J$18:$K$18</c:f>
              <c:numCache>
                <c:formatCode>General</c:formatCode>
                <c:ptCount val="2"/>
                <c:pt idx="0">
                  <c:v>2023</c:v>
                </c:pt>
                <c:pt idx="1">
                  <c:v>2022</c:v>
                </c:pt>
              </c:numCache>
            </c:numRef>
          </c:cat>
          <c:val>
            <c:numRef>
              <c:f>Ratios!$J$25:$K$25</c:f>
              <c:numCache>
                <c:formatCode>0.00</c:formatCode>
                <c:ptCount val="2"/>
                <c:pt idx="0">
                  <c:v>1.6335078534031413</c:v>
                </c:pt>
                <c:pt idx="1">
                  <c:v>1.8112848998684399</c:v>
                </c:pt>
              </c:numCache>
            </c:numRef>
          </c:val>
          <c:extLst>
            <c:ext xmlns:c16="http://schemas.microsoft.com/office/drawing/2014/chart" uri="{C3380CC4-5D6E-409C-BE32-E72D297353CC}">
              <c16:uniqueId val="{00000000-C407-426B-8919-E4F4A26CD08F}"/>
            </c:ext>
          </c:extLst>
        </c:ser>
        <c:ser>
          <c:idx val="1"/>
          <c:order val="1"/>
          <c:tx>
            <c:strRef>
              <c:f>Ratios!$I$31</c:f>
              <c:strCache>
                <c:ptCount val="1"/>
                <c:pt idx="0">
                  <c:v>ART (Times)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Ratios!$J$18:$K$18</c:f>
              <c:numCache>
                <c:formatCode>General</c:formatCode>
                <c:ptCount val="2"/>
                <c:pt idx="0">
                  <c:v>2023</c:v>
                </c:pt>
                <c:pt idx="1">
                  <c:v>2022</c:v>
                </c:pt>
              </c:numCache>
            </c:numRef>
          </c:cat>
          <c:val>
            <c:numRef>
              <c:f>Ratios!$J$31:$K$31</c:f>
              <c:numCache>
                <c:formatCode>0.00</c:formatCode>
                <c:ptCount val="2"/>
                <c:pt idx="0">
                  <c:v>4.0456572614474275</c:v>
                </c:pt>
                <c:pt idx="1">
                  <c:v>4.3988098189933051</c:v>
                </c:pt>
              </c:numCache>
            </c:numRef>
          </c:val>
          <c:extLst>
            <c:ext xmlns:c16="http://schemas.microsoft.com/office/drawing/2014/chart" uri="{C3380CC4-5D6E-409C-BE32-E72D297353CC}">
              <c16:uniqueId val="{00000001-C407-426B-8919-E4F4A26CD08F}"/>
            </c:ext>
          </c:extLst>
        </c:ser>
        <c:dLbls>
          <c:showLegendKey val="0"/>
          <c:showVal val="0"/>
          <c:showCatName val="0"/>
          <c:showSerName val="0"/>
          <c:showPercent val="0"/>
          <c:showBubbleSize val="0"/>
        </c:dLbls>
        <c:gapWidth val="75"/>
        <c:overlap val="-25"/>
        <c:axId val="110194688"/>
        <c:axId val="110196224"/>
      </c:barChart>
      <c:catAx>
        <c:axId val="110194688"/>
        <c:scaling>
          <c:orientation val="minMax"/>
        </c:scaling>
        <c:delete val="0"/>
        <c:axPos val="l"/>
        <c:numFmt formatCode="General" sourceLinked="1"/>
        <c:majorTickMark val="none"/>
        <c:minorTickMark val="none"/>
        <c:tickLblPos val="nextTo"/>
        <c:crossAx val="110196224"/>
        <c:crosses val="autoZero"/>
        <c:auto val="1"/>
        <c:lblAlgn val="ctr"/>
        <c:lblOffset val="100"/>
        <c:noMultiLvlLbl val="0"/>
      </c:catAx>
      <c:valAx>
        <c:axId val="110196224"/>
        <c:scaling>
          <c:orientation val="minMax"/>
        </c:scaling>
        <c:delete val="0"/>
        <c:axPos val="b"/>
        <c:majorGridlines/>
        <c:numFmt formatCode="0.00" sourceLinked="1"/>
        <c:majorTickMark val="none"/>
        <c:minorTickMark val="none"/>
        <c:tickLblPos val="nextTo"/>
        <c:spPr>
          <a:ln w="9525">
            <a:noFill/>
          </a:ln>
        </c:spPr>
        <c:crossAx val="110194688"/>
        <c:crosses val="autoZero"/>
        <c:crossBetween val="between"/>
      </c:valAx>
    </c:plotArea>
    <c:legend>
      <c:legendPos val="b"/>
      <c:overlay val="0"/>
    </c:legend>
    <c:plotVisOnly val="1"/>
    <c:dispBlanksAs val="zero"/>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400"/>
              <a:t>Investor</a:t>
            </a:r>
            <a:r>
              <a:rPr lang="en-GB" sz="1400" baseline="0"/>
              <a:t> Ratios</a:t>
            </a:r>
            <a:endParaRPr lang="en-GB" sz="1400"/>
          </a:p>
        </c:rich>
      </c:tx>
      <c:overlay val="0"/>
    </c:title>
    <c:autoTitleDeleted val="0"/>
    <c:plotArea>
      <c:layout/>
      <c:barChart>
        <c:barDir val="col"/>
        <c:grouping val="clustered"/>
        <c:varyColors val="0"/>
        <c:ser>
          <c:idx val="0"/>
          <c:order val="0"/>
          <c:tx>
            <c:strRef>
              <c:f>Ratios!$B$58</c:f>
              <c:strCache>
                <c:ptCount val="1"/>
                <c:pt idx="0">
                  <c:v>DPS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Ratios!$C$51:$D$51</c:f>
              <c:numCache>
                <c:formatCode>General</c:formatCode>
                <c:ptCount val="2"/>
                <c:pt idx="0">
                  <c:v>2023</c:v>
                </c:pt>
                <c:pt idx="1">
                  <c:v>2022</c:v>
                </c:pt>
              </c:numCache>
            </c:numRef>
          </c:cat>
          <c:val>
            <c:numRef>
              <c:f>Ratios!$C$58:$D$58</c:f>
              <c:numCache>
                <c:formatCode>0.00</c:formatCode>
                <c:ptCount val="2"/>
                <c:pt idx="0">
                  <c:v>2.8967075532601667</c:v>
                </c:pt>
                <c:pt idx="1">
                  <c:v>2.8972868217054262</c:v>
                </c:pt>
              </c:numCache>
            </c:numRef>
          </c:val>
          <c:extLst>
            <c:ext xmlns:c16="http://schemas.microsoft.com/office/drawing/2014/chart" uri="{C3380CC4-5D6E-409C-BE32-E72D297353CC}">
              <c16:uniqueId val="{00000000-A1FF-42E1-BD75-1A20C4DEE9D2}"/>
            </c:ext>
          </c:extLst>
        </c:ser>
        <c:ser>
          <c:idx val="1"/>
          <c:order val="1"/>
          <c:tx>
            <c:strRef>
              <c:f>Ratios!$B$61</c:f>
              <c:strCache>
                <c:ptCount val="1"/>
                <c:pt idx="0">
                  <c:v>EPS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Ratios!$C$51:$D$51</c:f>
              <c:numCache>
                <c:formatCode>General</c:formatCode>
                <c:ptCount val="2"/>
                <c:pt idx="0">
                  <c:v>2023</c:v>
                </c:pt>
                <c:pt idx="1">
                  <c:v>2022</c:v>
                </c:pt>
              </c:numCache>
            </c:numRef>
          </c:cat>
          <c:val>
            <c:numRef>
              <c:f>Ratios!$C$61:$D$61</c:f>
              <c:numCache>
                <c:formatCode>General</c:formatCode>
                <c:ptCount val="2"/>
                <c:pt idx="0">
                  <c:v>3.84</c:v>
                </c:pt>
                <c:pt idx="1">
                  <c:v>2.12</c:v>
                </c:pt>
              </c:numCache>
            </c:numRef>
          </c:val>
          <c:extLst>
            <c:ext xmlns:c16="http://schemas.microsoft.com/office/drawing/2014/chart" uri="{C3380CC4-5D6E-409C-BE32-E72D297353CC}">
              <c16:uniqueId val="{00000001-A1FF-42E1-BD75-1A20C4DEE9D2}"/>
            </c:ext>
          </c:extLst>
        </c:ser>
        <c:dLbls>
          <c:showLegendKey val="0"/>
          <c:showVal val="1"/>
          <c:showCatName val="0"/>
          <c:showSerName val="0"/>
          <c:showPercent val="0"/>
          <c:showBubbleSize val="0"/>
        </c:dLbls>
        <c:gapWidth val="150"/>
        <c:overlap val="-25"/>
        <c:axId val="110226048"/>
        <c:axId val="112218496"/>
      </c:barChart>
      <c:catAx>
        <c:axId val="110226048"/>
        <c:scaling>
          <c:orientation val="minMax"/>
        </c:scaling>
        <c:delete val="0"/>
        <c:axPos val="b"/>
        <c:numFmt formatCode="General" sourceLinked="1"/>
        <c:majorTickMark val="none"/>
        <c:minorTickMark val="none"/>
        <c:tickLblPos val="nextTo"/>
        <c:crossAx val="112218496"/>
        <c:crosses val="autoZero"/>
        <c:auto val="1"/>
        <c:lblAlgn val="ctr"/>
        <c:lblOffset val="100"/>
        <c:noMultiLvlLbl val="0"/>
      </c:catAx>
      <c:valAx>
        <c:axId val="112218496"/>
        <c:scaling>
          <c:orientation val="minMax"/>
        </c:scaling>
        <c:delete val="1"/>
        <c:axPos val="l"/>
        <c:numFmt formatCode="0.00" sourceLinked="1"/>
        <c:majorTickMark val="none"/>
        <c:minorTickMark val="none"/>
        <c:tickLblPos val="nextTo"/>
        <c:crossAx val="110226048"/>
        <c:crosses val="autoZero"/>
        <c:crossBetween val="between"/>
      </c:valAx>
    </c:plotArea>
    <c:legend>
      <c:legendPos val="t"/>
      <c:overlay val="0"/>
    </c:legend>
    <c:plotVisOnly val="1"/>
    <c:dispBlanksAs val="zero"/>
    <c:showDLblsOverMax val="0"/>
  </c:chart>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0E74B39120004A50B7CA95B382E8945E"/>
        <w:category>
          <w:name w:val="General"/>
          <w:gallery w:val="placeholder"/>
        </w:category>
        <w:types>
          <w:type w:val="bbPlcHdr"/>
        </w:types>
        <w:behaviors>
          <w:behavior w:val="content"/>
        </w:behaviors>
        <w:guid w:val="{2E24D908-FE1F-4742-939B-E4C5D89AFC4D}"/>
      </w:docPartPr>
      <w:docPartBody>
        <w:p w:rsidR="00B01AEC" w:rsidRDefault="00B01AEC" w:rsidP="00D00EB0">
          <w:pPr>
            <w:pStyle w:val="0E74B39120004A50B7CA95B382E8945E"/>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D00EB0"/>
    <w:rsid w:val="0011379B"/>
    <w:rsid w:val="001651C4"/>
    <w:rsid w:val="00207F03"/>
    <w:rsid w:val="002902CA"/>
    <w:rsid w:val="00327CAA"/>
    <w:rsid w:val="003F694C"/>
    <w:rsid w:val="005F00AB"/>
    <w:rsid w:val="00680BE5"/>
    <w:rsid w:val="008B7E16"/>
    <w:rsid w:val="008E28A5"/>
    <w:rsid w:val="009135CE"/>
    <w:rsid w:val="00A372C2"/>
    <w:rsid w:val="00A84860"/>
    <w:rsid w:val="00B01AEC"/>
    <w:rsid w:val="00B02C0B"/>
    <w:rsid w:val="00B14040"/>
    <w:rsid w:val="00B2739F"/>
    <w:rsid w:val="00B54758"/>
    <w:rsid w:val="00D00EB0"/>
    <w:rsid w:val="00D82EB8"/>
    <w:rsid w:val="00DE4ADA"/>
    <w:rsid w:val="00E1505D"/>
    <w:rsid w:val="00EA6DF8"/>
    <w:rsid w:val="00F13F86"/>
    <w:rsid w:val="00F673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1AE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E74B39120004A50B7CA95B382E8945E">
    <w:name w:val="0E74B39120004A50B7CA95B382E8945E"/>
    <w:rsid w:val="00D00EB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627599-2A17-4D35-9C99-A4A797726A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37</Pages>
  <Words>7642</Words>
  <Characters>43562</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FINANCE FOR BUSINESS MANAGERS</dc:title>
  <dc:subject>BUSINESS REPORT OF ASTRAZENECA PLC and GREENACRES PLC</dc:subject>
  <dc:creator>Madalina Nagy</dc:creator>
  <cp:lastModifiedBy>Madalina Nagy</cp:lastModifiedBy>
  <cp:revision>111</cp:revision>
  <dcterms:created xsi:type="dcterms:W3CDTF">2025-01-10T08:18:00Z</dcterms:created>
  <dcterms:modified xsi:type="dcterms:W3CDTF">2025-01-20T09:56:00Z</dcterms:modified>
</cp:coreProperties>
</file>