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8"/>
      </w:tblGrid>
      <w:tr w:rsidR="00F927A1" w:rsidRPr="005D3F07" w14:paraId="68CAA39D" w14:textId="77777777" w:rsidTr="00C413B0">
        <w:trPr>
          <w:trHeight w:val="3898"/>
        </w:trPr>
        <w:tc>
          <w:tcPr>
            <w:tcW w:w="10858" w:type="dxa"/>
            <w:shd w:val="clear" w:color="auto" w:fill="auto"/>
          </w:tcPr>
          <w:p w14:paraId="02F8EE88" w14:textId="5BFBEDD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413B0">
              <w:rPr>
                <w:rFonts w:ascii="Times New Roman" w:hAnsi="Times New Roman" w:cs="Times New Roman"/>
                <w:b/>
                <w:color w:val="auto"/>
                <w:sz w:val="48"/>
              </w:rPr>
              <w:t>David Joshua Crowdie-Morgan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BAADD6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413B0">
              <w:rPr>
                <w:rFonts w:ascii="Times New Roman" w:hAnsi="Times New Roman" w:cs="Times New Roman"/>
                <w:b/>
                <w:color w:val="auto"/>
                <w:sz w:val="48"/>
              </w:rPr>
              <w:t xml:space="preserve"> davidjoshuamorgan@live.co.uk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D31EF7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413B0">
              <w:rPr>
                <w:rFonts w:ascii="Times New Roman" w:hAnsi="Times New Roman" w:cs="Times New Roman"/>
                <w:b/>
                <w:color w:val="auto"/>
                <w:sz w:val="48"/>
              </w:rPr>
              <w:t xml:space="preserve"> 2127458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54166A2" w14:textId="77777777" w:rsidR="00C413B0" w:rsidRPr="000B2072" w:rsidRDefault="00C413B0" w:rsidP="00C413B0">
            <w:pPr>
              <w:jc w:val="both"/>
              <w:rPr>
                <w:sz w:val="24"/>
                <w:szCs w:val="24"/>
              </w:rPr>
            </w:pPr>
            <w:r w:rsidRPr="000B2072">
              <w:rPr>
                <w:sz w:val="24"/>
                <w:szCs w:val="24"/>
              </w:rPr>
              <w:t>This critically reflective account will be involving Adult 2; a 90 year old individual with dementia who I have worked with in hospital, their own home and within a care home. This example involved safeguarding elements and joint working with the local Adult Safeguarding Team, amongst undertaking my role within a multi-disciplinary hospital discharge team and supporting Adult 2 post-discharge within the community. I will be referring to Kolb’s (1984) Experiential Learning Cycle to aid my critical reflection; linking my practice experience, theory, policies and applicable legislation. I will be referring to relevant legislation applicable to my practice of working with adults in Wales, including safeguarding legislation, procedures, policies, Welsh specific legislation, United Kingdom (UK) legislation, and relevant European legislation throughout this assignment to illustrate my understanding.</w:t>
            </w:r>
          </w:p>
          <w:p w14:paraId="090B0E7A" w14:textId="77777777" w:rsidR="00C413B0" w:rsidRPr="000B2072" w:rsidRDefault="00C413B0" w:rsidP="00C413B0">
            <w:pPr>
              <w:jc w:val="both"/>
              <w:rPr>
                <w:sz w:val="24"/>
                <w:szCs w:val="24"/>
              </w:rPr>
            </w:pPr>
          </w:p>
          <w:p w14:paraId="08370596" w14:textId="77777777" w:rsidR="00C413B0" w:rsidRPr="000B2072" w:rsidRDefault="00C413B0" w:rsidP="00C413B0">
            <w:pPr>
              <w:jc w:val="both"/>
              <w:rPr>
                <w:sz w:val="24"/>
                <w:szCs w:val="24"/>
              </w:rPr>
            </w:pPr>
            <w:r w:rsidRPr="000B2072">
              <w:rPr>
                <w:sz w:val="24"/>
                <w:szCs w:val="24"/>
              </w:rPr>
              <w:t xml:space="preserve">Safeguarding is an integral part of Social Work practice and embedded within Welsh legislation; ‘Part 7’ – Safeguarding (Social Services and Well-being (Wales) Act 2014). In the context of my role and working with adults, for safeguarding purposes legislatively ‘Adults at risk’ are defined in S126 of SSWBA 14 as an adult ‘experiencing or at risk of abuse or neglect’ (S126 (1a) SSWBA 14), the adult ‘has needs for care and support’ (S126 (1b) SSWBA 14), and ‘as a result of those needs is unable to protect themselves against the abuse or neglect or the risk of it’ (S126 (1c) SSWBA 14). Furthermore, the SSWBA 14 defines “abuse” as ‘physical, sexual, psychological, emotional or financial abuse’ (S197 (1) SSWBA 14). Since the SSWBA 14 became law in Wales, the National Independent Safeguarding Board Wales was ‘set up’, the role of this board is to exercise three ‘primary duties’. These include advising </w:t>
            </w:r>
            <w:r w:rsidRPr="000B2072">
              <w:rPr>
                <w:sz w:val="24"/>
                <w:szCs w:val="24"/>
              </w:rPr>
              <w:lastRenderedPageBreak/>
              <w:t>and supporting local and regional Safeguarding Boards throughout Wales to ensure their effectiveness; in relation to adults, to ‘protect adults within its area’ who meet the definition under S126 SSWBA 14 as detailed above. The other duties of the Board are reporting on the effectivity and adequacy of all arrangements in Wales in safeguarding both children and adults; advising where appropriate and applicable. And finally, to make necessary recommendations to the appropriate ministers in Wales on how to improve arrangements (National Independent Board Wales, 2015).</w:t>
            </w:r>
          </w:p>
          <w:p w14:paraId="41DE05DD" w14:textId="77777777" w:rsidR="00C413B0" w:rsidRPr="000B2072" w:rsidRDefault="00C413B0" w:rsidP="00C413B0">
            <w:pPr>
              <w:jc w:val="both"/>
              <w:rPr>
                <w:sz w:val="24"/>
                <w:szCs w:val="24"/>
              </w:rPr>
            </w:pPr>
          </w:p>
          <w:p w14:paraId="7D93B5DD" w14:textId="77777777" w:rsidR="00C413B0" w:rsidRPr="000B2072" w:rsidRDefault="00C413B0" w:rsidP="00C413B0">
            <w:pPr>
              <w:jc w:val="both"/>
              <w:rPr>
                <w:sz w:val="24"/>
                <w:szCs w:val="24"/>
              </w:rPr>
            </w:pPr>
            <w:r w:rsidRPr="000B2072">
              <w:rPr>
                <w:sz w:val="24"/>
                <w:szCs w:val="24"/>
              </w:rPr>
              <w:t>Additionally, the Wales Safeguarding Procedures (2019a) provide guidance and highlight the expectation for safeguarding adults within Wales, and ‘build’ upon the statutory guidance within the SSWBA 14. These procedures were intended to ‘update, strengthen and clarify the procedures everyone must follow’ (WSP, 2019a). Pertinent to the case example of Adult 2, the Wales Safeguarding Procedures (2019b) define ‘Neglect’, as ‘a failure to meet a person’s basic needs - physical, emotional, social or psychological needs, which is likely to result in an impairment of the person’s well-being’. Most importantly, ‘Self-neglect’ is not defined within the SSWBA 14, although is within the equivalent England-specific legislation ‘Care Act 2014’, where self-neglect is defined as ‘Lack of self-care to an extent that it threatens personal health and safety; Neglecting to care for one’s personal hygiene, health or surroundings; inability to avoid harm as a result of self-neglect; Failure to seek help or access services to meet health and social care needs; and Inability or unwillingness to manage one’s personal affairs’ (SCIE, 2018). Although, more recently in Wales within the Regional Adult Safeguarding Board, ‘Self-neglect’ is referred to within a safeguarding context, along with threshold guidance for ‘Prevention’ and ‘Protection’ (xxx Regional Safeguarding Board, 2018).</w:t>
            </w:r>
          </w:p>
          <w:p w14:paraId="26B4E389" w14:textId="77777777" w:rsidR="00C413B0" w:rsidRPr="000B2072" w:rsidRDefault="00C413B0" w:rsidP="00C413B0">
            <w:pPr>
              <w:jc w:val="both"/>
              <w:rPr>
                <w:sz w:val="24"/>
                <w:szCs w:val="24"/>
              </w:rPr>
            </w:pPr>
          </w:p>
          <w:p w14:paraId="0489C92D" w14:textId="77777777" w:rsidR="00C413B0" w:rsidRPr="00AC61D8" w:rsidRDefault="00C413B0" w:rsidP="00C413B0">
            <w:pPr>
              <w:jc w:val="both"/>
              <w:rPr>
                <w:color w:val="FF0000"/>
                <w:sz w:val="24"/>
                <w:szCs w:val="24"/>
              </w:rPr>
            </w:pPr>
            <w:r w:rsidRPr="000B2072">
              <w:rPr>
                <w:sz w:val="24"/>
                <w:szCs w:val="24"/>
              </w:rPr>
              <w:t xml:space="preserve">Adult 2 and their spouse had been referred to the local Adult Safeguarding team prior to my involvement due to an ‘incident’, in where Adult 2 had reportedly physically assaulted their spouse, and this ‘incident’ met the criteria to make arrangements to protect their spouse from ‘domestic abuse’ in accordance with S1 (b) Violence against Women, Domestic Abuse and Sexual Violence (Wales) Act 2015, and subsequently, Adult 2’s spouse was allocated a safeguarding Social Worker. A safeguarding strategy meeting had been undertaken prior to my involvement and resulted in several agreed outcomes, including a ‘specific safeguarding risk assessment’ and ‘review plan’. A strategy meeting is arranged when safeguarding ‘allegations/concerns’ are raised regarding either a person or practitioner who are in a ‘position of trust’ (WSP, 2019c). The purpose of such meetings are vast but include making considerations of what actions may be needed to ‘protect’ or safeguard the individual at risk, whilst considering the potential of harm to others at risk with whom the person in question has contact with, arranging plans to achieve outcomes and change, and setting timescales including review dates (WSP, 2019c). My involvement with Adult 2 was to undertake a S19 assessment of care and support needs (SSWBA 14) and to support Adult 2 and their spouse with remaining in their home. Due </w:t>
            </w:r>
            <w:r>
              <w:rPr>
                <w:sz w:val="24"/>
                <w:szCs w:val="24"/>
              </w:rPr>
              <w:t>to the</w:t>
            </w:r>
            <w:r w:rsidRPr="000B2072">
              <w:rPr>
                <w:sz w:val="24"/>
                <w:szCs w:val="24"/>
              </w:rPr>
              <w:t xml:space="preserve"> multiple fac</w:t>
            </w:r>
            <w:r>
              <w:rPr>
                <w:sz w:val="24"/>
                <w:szCs w:val="24"/>
              </w:rPr>
              <w:t>ets to this case, the focus of this assignment is</w:t>
            </w:r>
            <w:r w:rsidRPr="000B2072">
              <w:rPr>
                <w:sz w:val="24"/>
                <w:szCs w:val="24"/>
              </w:rPr>
              <w:t xml:space="preserve"> around Adult 2’s ‘self-neglect’ and their spouse’s </w:t>
            </w:r>
            <w:r>
              <w:rPr>
                <w:sz w:val="24"/>
                <w:szCs w:val="24"/>
              </w:rPr>
              <w:t>‘neglect’ during my involvement, notably linked to Adult 2’s care and support needs.</w:t>
            </w:r>
          </w:p>
          <w:p w14:paraId="34F784FC" w14:textId="77777777" w:rsidR="00C413B0" w:rsidRPr="000B2072" w:rsidRDefault="00C413B0" w:rsidP="00C413B0">
            <w:pPr>
              <w:jc w:val="both"/>
              <w:rPr>
                <w:sz w:val="24"/>
                <w:szCs w:val="24"/>
              </w:rPr>
            </w:pPr>
          </w:p>
          <w:p w14:paraId="16B595E2" w14:textId="77777777" w:rsidR="00C413B0" w:rsidRPr="00AC61D8" w:rsidRDefault="00C413B0" w:rsidP="00C413B0">
            <w:pPr>
              <w:jc w:val="both"/>
              <w:rPr>
                <w:color w:val="FF0000"/>
                <w:sz w:val="24"/>
                <w:szCs w:val="24"/>
              </w:rPr>
            </w:pPr>
            <w:r w:rsidRPr="000B2072">
              <w:rPr>
                <w:sz w:val="24"/>
                <w:szCs w:val="24"/>
              </w:rPr>
              <w:t xml:space="preserve">Through ‘Concrete Experience’ (Kolb, 1984), reflecting on Adult 2’s cognitive impairment, it was apparent to professionals including myself and other relatives that Adult 2 did not ‘understand’ their needs for care or support, or the potential risks associated with these needs. </w:t>
            </w:r>
            <w:r w:rsidRPr="000B2072">
              <w:rPr>
                <w:sz w:val="24"/>
                <w:szCs w:val="24"/>
              </w:rPr>
              <w:lastRenderedPageBreak/>
              <w:t xml:space="preserve">This was prevalent during attempts for service provision within their home and both Adult 2 and their spouse’s refusal to engage with such services or care package input. The European Convention of Human Rights (ECHR) is ‘signed up to’ by the UK as a nation, the Convention includes ‘the right to liberty’ (Article 5) and ‘the right to respect for family and private life’ (Article 8) (Equality and Human Rights Commission, 2017), which are embedded within the UK’s Human Rights Act 1998 (Schedule 1). This is relevant to me as a practitioner due to </w:t>
            </w:r>
            <w:r>
              <w:rPr>
                <w:sz w:val="24"/>
                <w:szCs w:val="24"/>
              </w:rPr>
              <w:t xml:space="preserve">the dilemma around </w:t>
            </w:r>
            <w:r w:rsidRPr="000B2072">
              <w:rPr>
                <w:sz w:val="24"/>
                <w:szCs w:val="24"/>
              </w:rPr>
              <w:t>both Adult 2 and their spouse’s</w:t>
            </w:r>
            <w:r>
              <w:rPr>
                <w:sz w:val="24"/>
                <w:szCs w:val="24"/>
              </w:rPr>
              <w:t xml:space="preserve"> ‘right’ to private family life.</w:t>
            </w:r>
          </w:p>
          <w:p w14:paraId="4F43CCE0" w14:textId="77777777" w:rsidR="00C413B0" w:rsidRPr="000B2072" w:rsidRDefault="00C413B0" w:rsidP="00C413B0">
            <w:pPr>
              <w:jc w:val="both"/>
              <w:rPr>
                <w:sz w:val="24"/>
                <w:szCs w:val="24"/>
              </w:rPr>
            </w:pPr>
          </w:p>
          <w:p w14:paraId="77179C0B" w14:textId="77777777" w:rsidR="00C413B0" w:rsidRPr="000B2072" w:rsidRDefault="00C413B0" w:rsidP="00C413B0">
            <w:pPr>
              <w:jc w:val="both"/>
              <w:rPr>
                <w:sz w:val="24"/>
                <w:szCs w:val="24"/>
              </w:rPr>
            </w:pPr>
            <w:r w:rsidRPr="000B2072">
              <w:rPr>
                <w:sz w:val="24"/>
                <w:szCs w:val="24"/>
              </w:rPr>
              <w:t>Adult 2 was admitted into hospital when their spouse became ‘unwell’ and subsequently, Adult 2 was considered by their spouse, other relatives and professionals as ‘unsafe’ to return home in lieu of their spouse’s support, this was both personal opinion from relatives and professional opinion by involved practitioners. Adopting a Social constructivism theoretical approach within my practice, whilst maintaining a person-centred focus, for me, the important aspect was to understand Adult 2’s ‘own reality’ and ‘develop a collaborative relationship’ with them, including attempting to establish, focus and work towards ‘client-defined goals’ (Teater, 2010). In achieving this, as a practitioner I needed to adopt a ‘position of curiosity’, whilst maintaining an open and ‘not-knowing, non-expert position’ (Teater, 2010). At the time, I knew of the safeguarding ‘concerns’ and Adult 2 and their spouse’s previous refusal of statutory services and prescribed service provisions. Therefore, attempting to use both the social constructivism and ‘Solution-Focused’ approaches was challenging and arguably could be viewed as inappropriate. Utilising a solution-focused approach involved attempting to focus discussion with Adult 2 around ‘solution-orientated talk’, rather than ‘problem-orientated talk’ (Teater, 2013). Equally, using both approaches can prove beneficial in supporting person-centred practice and encouraging individuals’ voice and control (Social Care Wales, 2017a).</w:t>
            </w:r>
          </w:p>
          <w:p w14:paraId="5FCA36B3" w14:textId="77777777" w:rsidR="00C413B0" w:rsidRPr="000B2072" w:rsidRDefault="00C413B0" w:rsidP="00C413B0">
            <w:pPr>
              <w:jc w:val="both"/>
              <w:rPr>
                <w:sz w:val="24"/>
                <w:szCs w:val="24"/>
              </w:rPr>
            </w:pPr>
          </w:p>
          <w:p w14:paraId="6BA14FA9" w14:textId="77777777" w:rsidR="00C413B0" w:rsidRPr="000B2072" w:rsidRDefault="00C413B0" w:rsidP="00C413B0">
            <w:pPr>
              <w:jc w:val="both"/>
              <w:rPr>
                <w:sz w:val="24"/>
                <w:szCs w:val="24"/>
              </w:rPr>
            </w:pPr>
            <w:r w:rsidRPr="000B2072">
              <w:rPr>
                <w:sz w:val="24"/>
                <w:szCs w:val="24"/>
              </w:rPr>
              <w:t>In ‘Reflective Observation’ (Kolb, 1984), using my existing knowledge and reflecting-in-action (Schon, 1983) I was able to maintain mindfulness of Adult 2’s ‘self-neglect’, more evident as their spouse was unwell and having consulted with relatives and relevant practitioners, was able to conclude that Adult 2 met the local criteria of ‘Likelihood of Significant Harm or risk thereof Significant / Critical risk of harm’, through evidence including ‘dishevelled presentation’, living in ‘poor conditions’, ‘evidence of impact on health’, ‘cognitive impairment’, and ‘identified potential fire risk’. In doing so, exercising ‘Evidence-based Practice’ (NASW, 2022), subsequently, meeting the criteria for ‘Protection via the Safeguarding Process’ locally (xxx Regional Safeguarding Board, 2018).</w:t>
            </w:r>
          </w:p>
          <w:p w14:paraId="2679F00C" w14:textId="77777777" w:rsidR="00C413B0" w:rsidRPr="000B2072" w:rsidRDefault="00C413B0" w:rsidP="00C413B0">
            <w:pPr>
              <w:jc w:val="both"/>
              <w:rPr>
                <w:sz w:val="24"/>
                <w:szCs w:val="24"/>
              </w:rPr>
            </w:pPr>
          </w:p>
          <w:p w14:paraId="2EFAB455" w14:textId="77777777" w:rsidR="00C413B0" w:rsidRPr="000B2072" w:rsidRDefault="00C413B0" w:rsidP="00C413B0">
            <w:pPr>
              <w:jc w:val="both"/>
              <w:rPr>
                <w:sz w:val="24"/>
                <w:szCs w:val="24"/>
              </w:rPr>
            </w:pPr>
            <w:r w:rsidRPr="000B2072">
              <w:rPr>
                <w:sz w:val="24"/>
                <w:szCs w:val="24"/>
              </w:rPr>
              <w:t>It is important in Wales to be mindful of the United Nations Principles for Older Persons (1991), these principles have been adopted in Wales within the SSWBA 14 (S7) under ‘overarching duties’, in where it is a legal obligation (duty) to have ‘due regard’ to these principles. With regards Adult 2 the ‘Care’ and ‘Dignity’ principles (amongst others) are applicable and relevant during my involvement; Adult 2 was given ‘access’ to social services, through mine and others’ involvement to attempt enhancing their ‘autonomy, protection and care’, whilst Adult 2 I consider was treated ‘fairly regardless of their age, gender or disability’ (UNPOP, 1991).</w:t>
            </w:r>
          </w:p>
          <w:p w14:paraId="62E4EEA7" w14:textId="77777777" w:rsidR="00C413B0" w:rsidRPr="000B2072" w:rsidRDefault="00C413B0" w:rsidP="00C413B0">
            <w:pPr>
              <w:jc w:val="both"/>
              <w:rPr>
                <w:sz w:val="24"/>
                <w:szCs w:val="24"/>
              </w:rPr>
            </w:pPr>
          </w:p>
          <w:p w14:paraId="03A46B57" w14:textId="77777777" w:rsidR="00C413B0" w:rsidRPr="000B2072" w:rsidRDefault="00C413B0" w:rsidP="00C413B0">
            <w:pPr>
              <w:jc w:val="both"/>
              <w:rPr>
                <w:sz w:val="24"/>
                <w:szCs w:val="24"/>
              </w:rPr>
            </w:pPr>
            <w:r w:rsidRPr="000B2072">
              <w:rPr>
                <w:sz w:val="24"/>
                <w:szCs w:val="24"/>
              </w:rPr>
              <w:t xml:space="preserve">Prior to Adult 2’s hospitalisation, they were ‘assumed’ to have the mental capacity to make informed decisions pertaining to their care and residence. On reflection, I consider that this ‘assumption’ caused unrest and difficulties for the wider multi-disciplinary team (MDT) and </w:t>
            </w:r>
            <w:r w:rsidRPr="000B2072">
              <w:rPr>
                <w:sz w:val="24"/>
                <w:szCs w:val="24"/>
              </w:rPr>
              <w:lastRenderedPageBreak/>
              <w:t>Adult 2’s other relatives. Until this hospital admission, Adult 2 had not been ‘established’ as lacking this capacity (S1, MCA 05). However, during this admission and during consultation with Adult 2 whilst adopting both social constructivism and solution-focused approaches, I began to have ‘doubt’</w:t>
            </w:r>
            <w:r>
              <w:rPr>
                <w:sz w:val="24"/>
                <w:szCs w:val="24"/>
              </w:rPr>
              <w:t xml:space="preserve"> under the MCA (2005)</w:t>
            </w:r>
            <w:r w:rsidRPr="000B2072">
              <w:rPr>
                <w:sz w:val="24"/>
                <w:szCs w:val="24"/>
              </w:rPr>
              <w:t xml:space="preserve"> of Adult 2’s ability to understand, retain, use or weigh information to support their decision making ability. I considered this to be linked to an ‘impairment of the mind of brain’ (S2, MCA 05), notably, Adult 2’s diagnosis of dementia through discussi</w:t>
            </w:r>
            <w:r>
              <w:rPr>
                <w:sz w:val="24"/>
                <w:szCs w:val="24"/>
              </w:rPr>
              <w:t xml:space="preserve">ng their ‘reality’ </w:t>
            </w:r>
            <w:r w:rsidRPr="000B2072">
              <w:rPr>
                <w:sz w:val="24"/>
                <w:szCs w:val="24"/>
              </w:rPr>
              <w:t>and their solutions/goals through this reality (Teater,</w:t>
            </w:r>
            <w:r>
              <w:rPr>
                <w:sz w:val="24"/>
                <w:szCs w:val="24"/>
              </w:rPr>
              <w:t xml:space="preserve"> 2010 and</w:t>
            </w:r>
            <w:r w:rsidRPr="000B2072">
              <w:rPr>
                <w:sz w:val="24"/>
                <w:szCs w:val="24"/>
              </w:rPr>
              <w:t xml:space="preserve"> 2013). Therefore, I was able to proceed with an assessment of Adult 2’s mental capacity based on their decision-making at that specific time, related to discharge arrangements; care and accommodation. The conclusion of my assessment was my opinion that Adult 2 did lack this capacity at that time. Most importantly, I feel able to have made this assessment and subsequent conclusion through awareness of Adult 2, their personal network, circumstances, needs for care and support and collateral information provided by hospital staff, safeguarding social worker and their other relatives building upon my ‘evidence-base’, in order to conduct an assessment of Adult 2’s capacity, whilst supporting Adult 2 in providing them with the ‘relevant information’ in order to make the decision themselves (S3, MCA 05). The significant elements of the ‘relevant information’ included Adult 2’s needs for care and support, and the safeguarding concerns around their ‘self-neglect’ and the risks associated to Adult 2 because of these established risks and concerns.</w:t>
            </w:r>
          </w:p>
          <w:p w14:paraId="55B6A6F2" w14:textId="77777777" w:rsidR="00C413B0" w:rsidRPr="000B2072" w:rsidRDefault="00C413B0" w:rsidP="00C413B0">
            <w:pPr>
              <w:jc w:val="both"/>
              <w:rPr>
                <w:sz w:val="24"/>
                <w:szCs w:val="24"/>
              </w:rPr>
            </w:pPr>
          </w:p>
          <w:p w14:paraId="5B2F708C" w14:textId="77777777" w:rsidR="00C413B0" w:rsidRPr="000B2072" w:rsidRDefault="00C413B0" w:rsidP="00C413B0">
            <w:pPr>
              <w:jc w:val="both"/>
              <w:rPr>
                <w:sz w:val="24"/>
                <w:szCs w:val="24"/>
              </w:rPr>
            </w:pPr>
            <w:r w:rsidRPr="000B2072">
              <w:rPr>
                <w:sz w:val="24"/>
                <w:szCs w:val="24"/>
              </w:rPr>
              <w:t>For me, it is important to reflect on attachment theory and the ‘importance of relationships’ individuals hold (Howe, 2013); Adult 2’s attachment to their home and their spouse is vital as part of understanding their ‘reality’ (Teater, 2010). When considering attachments, at first, I noticed Adult 2’s ‘dismissive’ responses to their spouse’s health and the impact this may have to Adult 2’s needs for care and support, and general well-being and safety. Alternatively, this may have been due to fear or wishing to maintain their private family life (Schedule 1, Article 8, HRA 98). It is important to me to reflect on this both at the time and later, as this could impact on practitioner analysis and concluding opinions, or assessments.</w:t>
            </w:r>
          </w:p>
          <w:p w14:paraId="45FD9482" w14:textId="77777777" w:rsidR="00C413B0" w:rsidRPr="000B2072" w:rsidRDefault="00C413B0" w:rsidP="00C413B0">
            <w:pPr>
              <w:jc w:val="both"/>
              <w:rPr>
                <w:sz w:val="24"/>
                <w:szCs w:val="24"/>
              </w:rPr>
            </w:pPr>
          </w:p>
          <w:p w14:paraId="2C371D6A" w14:textId="77777777" w:rsidR="00C413B0" w:rsidRPr="000B2072" w:rsidRDefault="00C413B0" w:rsidP="00C413B0">
            <w:pPr>
              <w:jc w:val="both"/>
              <w:rPr>
                <w:sz w:val="24"/>
                <w:szCs w:val="24"/>
              </w:rPr>
            </w:pPr>
            <w:r w:rsidRPr="000B2072">
              <w:rPr>
                <w:sz w:val="24"/>
                <w:szCs w:val="24"/>
              </w:rPr>
              <w:t>Equally, it is imperative to exercise ‘Professional Judgement’ in accordance with applicable local policy, process and legislation. For example, when referring to Regional Safeguarding Board guidance, ‘it does not account for all potential scenarios and should be used in conjunction with professional judgement to support defensible decision making’, and therefore, proportionality is key when working with individuals such as Adult 2, and weighing risk as much as possible using the evidence and information available (xxx Regional Safeguarding Board, 2018). In doing so, enacting the ‘prevention’ principle within the SSWBA 14; minimising the ‘escalation of critical need’, in Adult 2’s case, working preventatively to overcome ‘self-neglect’ and reoccurrence (Social Care Wales, 2017b).</w:t>
            </w:r>
          </w:p>
          <w:p w14:paraId="59702B58" w14:textId="77777777" w:rsidR="00C413B0" w:rsidRPr="000B2072" w:rsidRDefault="00C413B0" w:rsidP="00C413B0">
            <w:pPr>
              <w:jc w:val="both"/>
              <w:rPr>
                <w:sz w:val="24"/>
                <w:szCs w:val="24"/>
              </w:rPr>
            </w:pPr>
          </w:p>
          <w:p w14:paraId="3F3BC5E1" w14:textId="77777777" w:rsidR="00C413B0" w:rsidRPr="000B2072" w:rsidRDefault="00C413B0" w:rsidP="00C413B0">
            <w:pPr>
              <w:jc w:val="both"/>
              <w:rPr>
                <w:sz w:val="24"/>
                <w:szCs w:val="24"/>
              </w:rPr>
            </w:pPr>
            <w:r w:rsidRPr="000B2072">
              <w:rPr>
                <w:sz w:val="24"/>
                <w:szCs w:val="24"/>
              </w:rPr>
              <w:t>Following the mental capacity assessment and resulting opinion, I was able to ascertain Adult 2’s wishes and feelings, along with that of their spouse, other relatives and relevant professionals involved. Adult 2’s son lives out of the area however, holds Lasting Power of Attorney (LPoA) for his parents which enables him, (should either parent be assessed as lacking capacity) the authority to make decisions (‘Decision-maker’)</w:t>
            </w:r>
            <w:r>
              <w:rPr>
                <w:sz w:val="24"/>
                <w:szCs w:val="24"/>
              </w:rPr>
              <w:t xml:space="preserve"> for decisions specific to ‘h</w:t>
            </w:r>
            <w:r w:rsidRPr="000B2072">
              <w:rPr>
                <w:sz w:val="24"/>
                <w:szCs w:val="24"/>
              </w:rPr>
              <w:t>ealth and welfare</w:t>
            </w:r>
            <w:r>
              <w:rPr>
                <w:sz w:val="24"/>
                <w:szCs w:val="24"/>
              </w:rPr>
              <w:t>’</w:t>
            </w:r>
            <w:r w:rsidRPr="000B2072">
              <w:rPr>
                <w:sz w:val="24"/>
                <w:szCs w:val="24"/>
              </w:rPr>
              <w:t xml:space="preserve"> as per the LPoA agreement (Code of Practice, MCA 05).</w:t>
            </w:r>
            <w:r>
              <w:rPr>
                <w:sz w:val="24"/>
                <w:szCs w:val="24"/>
              </w:rPr>
              <w:t xml:space="preserve"> I</w:t>
            </w:r>
            <w:r w:rsidRPr="000B2072">
              <w:rPr>
                <w:sz w:val="24"/>
                <w:szCs w:val="24"/>
              </w:rPr>
              <w:t xml:space="preserve">n this instance for Adult 2 in relation to ‘personal welfare or specified matters concerning Adult 2’s personal </w:t>
            </w:r>
            <w:r w:rsidRPr="000B2072">
              <w:rPr>
                <w:sz w:val="24"/>
                <w:szCs w:val="24"/>
              </w:rPr>
              <w:lastRenderedPageBreak/>
              <w:t>welfare’ (S9, MCA 05). Subsequently, a best interest meeting was convened to support Adult 2’s son with making this decision, through incorporating all of the relevant information and ‘available options’, including Adult 2 and their spouse’s wishes and feelings (S4, MCA 05). This meeting included the safeguarding Social Worker allocated to Adult 2’s spouse and resulted in the best interest decision for Adult 2 to be discharged into a care home setting for a short term period of time, to allow their spouse to recover, whilst re-assessments were undertaken to support Adult 2 in the longer-term. At the time, it was both meaningful and paramount to include the established safeguarding risks and established needs of both Adult 2 and their spouse in making this decision, through weighing the positives and negatives of all options discussed.</w:t>
            </w:r>
          </w:p>
          <w:p w14:paraId="73232CB1" w14:textId="77777777" w:rsidR="00C413B0" w:rsidRPr="000B2072" w:rsidRDefault="00C413B0" w:rsidP="00C413B0">
            <w:pPr>
              <w:jc w:val="both"/>
              <w:rPr>
                <w:sz w:val="24"/>
                <w:szCs w:val="24"/>
              </w:rPr>
            </w:pPr>
          </w:p>
          <w:p w14:paraId="277667FB" w14:textId="77777777" w:rsidR="00C413B0" w:rsidRPr="000B2072" w:rsidRDefault="00C413B0" w:rsidP="00C413B0">
            <w:pPr>
              <w:jc w:val="both"/>
              <w:rPr>
                <w:sz w:val="24"/>
                <w:szCs w:val="24"/>
              </w:rPr>
            </w:pPr>
            <w:r w:rsidRPr="000B2072">
              <w:rPr>
                <w:sz w:val="24"/>
                <w:szCs w:val="24"/>
              </w:rPr>
              <w:t>Correspondingly, once this decision had been made, effectively, Adult 2’s Article 5 Human Rights would be infringed, as this decision was made in their ‘best interests’ through an assessed ‘lack of capacity’; Adult 2 was subject to a Deprivation of Liberty (Safeguards) ‘DoLS’ once transferred to a care home. To be deprived of liberty includes the ‘Acid Test’; defined by the Supreme Court in 2014 as an individual who ‘lacks capacity to consent to arrangements’, is under ‘continuous supervision and control’, and is ‘not free to leave’ (Cheshire West and Chester Council v P [2014] UKSC 19). DoLS require authorisation with specific conditions that were met and authorised in Adult 2’s case; Adult 2 ‘lacks capacity to consent to the arrangements’; Adult 2 ‘has a mental disorder’; and ‘the arrangements are both ‘necessary and proportionate to prevent harm’ to Adult 2 (Schedule AA1, Part 2, MCA 05). Therefore, the decision itself was considered necessary to prevent ‘harm’ to Adult 2 in accordance with the safeguarding policy and prevention agenda with</w:t>
            </w:r>
            <w:r>
              <w:rPr>
                <w:sz w:val="24"/>
                <w:szCs w:val="24"/>
              </w:rPr>
              <w:t>in</w:t>
            </w:r>
            <w:r w:rsidRPr="000B2072">
              <w:rPr>
                <w:sz w:val="24"/>
                <w:szCs w:val="24"/>
              </w:rPr>
              <w:t xml:space="preserve"> both Welsh legislation (SSWBA 14) and UK legislation (MCA 05). In undertaking this process, I completed various written reports, including the mental capacity assessment, best interest decision and re-assessment to ensure accurate documentation was held and accounts reflected the legislative requirements associated to safeguard Adult 2, their family, the MDT and myself, whilst maintaining my own accountability. Additionally, it is noted that DoLS is due to be replaced by the Liberty Protection Safeguards (LPS) following the ‘Royal Assent’ of the Mental Capacity (Amendment) Act 2019, (there is no confirmed date for implementation at time of writing), and should this have been the case during this intervention, the process of authorising the now ‘DoLS’ or the future ‘LPS’ would be different (GOV.UK, 2022).</w:t>
            </w:r>
          </w:p>
          <w:p w14:paraId="047FCE65" w14:textId="77777777" w:rsidR="00C413B0" w:rsidRPr="000B2072" w:rsidRDefault="00C413B0" w:rsidP="00C413B0">
            <w:pPr>
              <w:jc w:val="both"/>
              <w:rPr>
                <w:sz w:val="24"/>
                <w:szCs w:val="24"/>
              </w:rPr>
            </w:pPr>
          </w:p>
          <w:p w14:paraId="361DB3BC" w14:textId="77777777" w:rsidR="00C413B0" w:rsidRPr="000B2072" w:rsidRDefault="00C413B0" w:rsidP="00C413B0">
            <w:pPr>
              <w:jc w:val="both"/>
              <w:rPr>
                <w:sz w:val="24"/>
                <w:szCs w:val="24"/>
              </w:rPr>
            </w:pPr>
            <w:r w:rsidRPr="000B2072">
              <w:rPr>
                <w:sz w:val="24"/>
                <w:szCs w:val="24"/>
              </w:rPr>
              <w:t>Consequently, due regard is needed for Adult 2’s well-being and mindfulness required as to Adult 2’s voice, wishes and control (Social Care Wales, 2017a). At first I felt relieved that Adult 2 would be ‘safe’ and the concerns and issues for a time, would be resolved or reduced. This could be due to my own developed concern of Adult 2’s risks and needs for care and support. E</w:t>
            </w:r>
            <w:r>
              <w:rPr>
                <w:sz w:val="24"/>
                <w:szCs w:val="24"/>
              </w:rPr>
              <w:t>qually, I recall feeling regret</w:t>
            </w:r>
            <w:r w:rsidRPr="000B2072">
              <w:rPr>
                <w:sz w:val="24"/>
                <w:szCs w:val="24"/>
              </w:rPr>
              <w:t xml:space="preserve"> for Adult 2 in that we were unable to achieve their wish to return to their home at that time due to the balancing of risks. Although later, I am able to reflect that the decision albeit the ‘most restrictive’ option, was in fact, ‘necessary and proportionate’ (Schedule AA1, Part 2, MCA 05) given Adult 2’s needs, the risks and circumstances at the time.</w:t>
            </w:r>
          </w:p>
          <w:p w14:paraId="2C85123C" w14:textId="77777777" w:rsidR="00C413B0" w:rsidRPr="000B2072" w:rsidRDefault="00C413B0" w:rsidP="00C413B0">
            <w:pPr>
              <w:jc w:val="both"/>
              <w:rPr>
                <w:sz w:val="24"/>
                <w:szCs w:val="24"/>
              </w:rPr>
            </w:pPr>
          </w:p>
          <w:p w14:paraId="08194099" w14:textId="77777777" w:rsidR="00C413B0" w:rsidRPr="000B2072" w:rsidRDefault="00C413B0" w:rsidP="00C413B0">
            <w:pPr>
              <w:jc w:val="both"/>
              <w:rPr>
                <w:sz w:val="24"/>
                <w:szCs w:val="24"/>
              </w:rPr>
            </w:pPr>
            <w:r w:rsidRPr="000B2072">
              <w:rPr>
                <w:sz w:val="24"/>
                <w:szCs w:val="24"/>
              </w:rPr>
              <w:t xml:space="preserve">Alternatively, it remains both relevant and important to reflect that if Adult 2 was considered to retain the mental capacity to make such decisions, at that time, they likely would have discharged themselves to their own home, without any additional care and support in place. I </w:t>
            </w:r>
            <w:r w:rsidRPr="000B2072">
              <w:rPr>
                <w:sz w:val="24"/>
                <w:szCs w:val="24"/>
              </w:rPr>
              <w:lastRenderedPageBreak/>
              <w:t>consider that the likelihood of this outcome would be that the presiding issues of ‘self-neglect’ would have continued, and the associated risks of this and that of their spouse’s neglect would have increased given the circumstances.</w:t>
            </w:r>
          </w:p>
          <w:p w14:paraId="4BCFD4EB" w14:textId="77777777" w:rsidR="00C413B0" w:rsidRPr="000B2072" w:rsidRDefault="00C413B0" w:rsidP="00C413B0">
            <w:pPr>
              <w:jc w:val="both"/>
              <w:rPr>
                <w:sz w:val="24"/>
                <w:szCs w:val="24"/>
              </w:rPr>
            </w:pPr>
          </w:p>
          <w:p w14:paraId="7F282311" w14:textId="77777777" w:rsidR="00C413B0" w:rsidRPr="000B2072" w:rsidRDefault="00C413B0" w:rsidP="00C413B0">
            <w:pPr>
              <w:jc w:val="both"/>
              <w:rPr>
                <w:sz w:val="24"/>
                <w:szCs w:val="24"/>
              </w:rPr>
            </w:pPr>
            <w:r w:rsidRPr="000B2072">
              <w:rPr>
                <w:sz w:val="24"/>
                <w:szCs w:val="24"/>
              </w:rPr>
              <w:t>Once Adult 2 had been transferred to a care home for an agreed short-term placement, I continued to liaise with their spouse, son, fire safety officer, Community Psychiatric Nurse (CPN) and safeguarding Social Worker. It was during this time, through continued communication with all, including Adult 2 that I began the ‘Abstract Conceptualization’ phase of Kolb’s (1984) experiential cycle; learning from the experiences so far and linking the ‘best interests’ principle (S1, MCA 05) to form a ‘new idea’ (Kolb, 1984).</w:t>
            </w:r>
          </w:p>
          <w:p w14:paraId="41D6525D" w14:textId="77777777" w:rsidR="00C413B0" w:rsidRPr="000B2072" w:rsidRDefault="00C413B0" w:rsidP="00C413B0">
            <w:pPr>
              <w:jc w:val="both"/>
              <w:rPr>
                <w:sz w:val="24"/>
                <w:szCs w:val="24"/>
              </w:rPr>
            </w:pPr>
          </w:p>
          <w:p w14:paraId="5622981E" w14:textId="77777777" w:rsidR="00C413B0" w:rsidRPr="000B2072" w:rsidRDefault="00C413B0" w:rsidP="00C413B0">
            <w:pPr>
              <w:jc w:val="both"/>
              <w:rPr>
                <w:sz w:val="24"/>
                <w:szCs w:val="24"/>
              </w:rPr>
            </w:pPr>
            <w:r w:rsidRPr="000B2072">
              <w:rPr>
                <w:sz w:val="24"/>
                <w:szCs w:val="24"/>
              </w:rPr>
              <w:t>Through maintaining a ‘strengths-based’ perspective with Adult 2, in conjunction with both solutions-focused and social constructivism theories, I was able to incorporate the Signs of Safety model as part of planning with Adult 2 to return to their home. Using the strengths-based theory and maintaining my awareness that Adult 2 and their spouse each hold ‘strengths’, and the ability to ‘reshape their behaviour and feelings’ and individuals are ‘best served by collaborating with them’ (Hutchinson, 2013), I was able to identify the already established strengths, such as their relationship and the support that is provided by Adult 2’s spouse and son with a view to promoting the empowerment of this support, whilst working ‘holistically’ in engaging with all key stakeholders in Adult 2’s life (BASW, 2021) to achieve positive change and Adult 2’s goal to return home, whilst maintain a ‘focus on safety’ (</w:t>
            </w:r>
            <w:proofErr w:type="spellStart"/>
            <w:r w:rsidRPr="000B2072">
              <w:rPr>
                <w:sz w:val="24"/>
                <w:szCs w:val="24"/>
              </w:rPr>
              <w:t>Smeeton</w:t>
            </w:r>
            <w:proofErr w:type="spellEnd"/>
            <w:r w:rsidRPr="000B2072">
              <w:rPr>
                <w:sz w:val="24"/>
                <w:szCs w:val="24"/>
              </w:rPr>
              <w:t>, 2013).</w:t>
            </w:r>
          </w:p>
          <w:p w14:paraId="0832AB0B" w14:textId="77777777" w:rsidR="00C413B0" w:rsidRPr="000B2072" w:rsidRDefault="00C413B0" w:rsidP="00C413B0">
            <w:pPr>
              <w:jc w:val="both"/>
              <w:rPr>
                <w:sz w:val="24"/>
                <w:szCs w:val="24"/>
              </w:rPr>
            </w:pPr>
          </w:p>
          <w:p w14:paraId="1AD866F1" w14:textId="1B5921DF" w:rsidR="00C413B0" w:rsidRPr="000B2072" w:rsidRDefault="00C413B0" w:rsidP="00C413B0">
            <w:pPr>
              <w:jc w:val="both"/>
              <w:rPr>
                <w:sz w:val="24"/>
                <w:szCs w:val="24"/>
              </w:rPr>
            </w:pPr>
            <w:r w:rsidRPr="000B2072">
              <w:rPr>
                <w:sz w:val="24"/>
                <w:szCs w:val="24"/>
              </w:rPr>
              <w:t xml:space="preserve">After a period of recovery, Adult 2’s spouse requested that Adult 2 returned home, Adult 2 consistently maintained this wish throughout their time in a care home setting, and I am able to recognise both Adult 2’s powerlessness to achieve this alone, and both their son’s and my own power to achieve this. At the time, “manufactured uncertainty” was a key aspect of the decision making process; ‘more and better knowledge often means more uncertainty’ (Adams </w:t>
            </w:r>
            <w:r>
              <w:rPr>
                <w:sz w:val="24"/>
                <w:szCs w:val="24"/>
              </w:rPr>
              <w:t xml:space="preserve">et al., 2009, cited in </w:t>
            </w:r>
            <w:proofErr w:type="spellStart"/>
            <w:r>
              <w:rPr>
                <w:sz w:val="24"/>
                <w:szCs w:val="24"/>
              </w:rPr>
              <w:t>Porth</w:t>
            </w:r>
            <w:proofErr w:type="spellEnd"/>
            <w:r>
              <w:rPr>
                <w:sz w:val="24"/>
                <w:szCs w:val="24"/>
              </w:rPr>
              <w:t xml:space="preserve"> </w:t>
            </w:r>
            <w:proofErr w:type="spellStart"/>
            <w:r w:rsidRPr="000B2072">
              <w:rPr>
                <w:sz w:val="24"/>
                <w:szCs w:val="24"/>
              </w:rPr>
              <w:t>Agored</w:t>
            </w:r>
            <w:proofErr w:type="spellEnd"/>
            <w:r w:rsidRPr="000B2072">
              <w:rPr>
                <w:sz w:val="24"/>
                <w:szCs w:val="24"/>
              </w:rPr>
              <w:t>, 2022b, pp. 31), this demonstrates to me that with more evidential information around Adult 2’s needs, in conjunction with their wishes and feelings, and with their cognitive impairment and reduced understanding, the level of uncertainty is both increased and can be somewhat ‘clouded’ due to the emotional impact from Adult 2 and their wider family network. In recognising the concept of ‘power’, Adult 2’s son demonstrated ‘exercise of power’ through their ‘authority’ due to his LPoA status, and Adult 2 having been assessed as lacking capacity (</w:t>
            </w:r>
            <w:proofErr w:type="spellStart"/>
            <w:r w:rsidRPr="000B2072">
              <w:rPr>
                <w:sz w:val="24"/>
                <w:szCs w:val="24"/>
              </w:rPr>
              <w:t>Gerth</w:t>
            </w:r>
            <w:proofErr w:type="spellEnd"/>
            <w:r w:rsidRPr="000B2072">
              <w:rPr>
                <w:sz w:val="24"/>
                <w:szCs w:val="24"/>
              </w:rPr>
              <w:t xml:space="preserve"> and Mills, 1954, cited in Smith, 2008). Equally, it was Adult 2’s sons and my own role to ‘act effectively’ in supporting Adult 2 in our roles as LPoA and Social Worker and to ensure there was no abuse or misuse of power (Smith, 2008). Adult 2’s son acting as the ‘decision-maker’ involves ‘positional power’ (Strom-</w:t>
            </w:r>
            <w:r w:rsidRPr="000B2072">
              <w:rPr>
                <w:sz w:val="24"/>
                <w:szCs w:val="24"/>
              </w:rPr>
              <w:t>Gottfried</w:t>
            </w:r>
            <w:r w:rsidRPr="000B2072">
              <w:rPr>
                <w:sz w:val="24"/>
                <w:szCs w:val="24"/>
              </w:rPr>
              <w:t>, 1998) in where he is able to make decisions within ‘the s</w:t>
            </w:r>
            <w:r>
              <w:rPr>
                <w:sz w:val="24"/>
                <w:szCs w:val="24"/>
              </w:rPr>
              <w:t xml:space="preserve">cope </w:t>
            </w:r>
            <w:bookmarkStart w:id="0" w:name="_GoBack"/>
            <w:bookmarkEnd w:id="0"/>
            <w:r>
              <w:rPr>
                <w:sz w:val="24"/>
                <w:szCs w:val="24"/>
              </w:rPr>
              <w:t xml:space="preserve">of his authority’ </w:t>
            </w:r>
            <w:r w:rsidRPr="000B2072">
              <w:rPr>
                <w:sz w:val="24"/>
                <w:szCs w:val="24"/>
              </w:rPr>
              <w:t>(Code of Practice, MCA 05).</w:t>
            </w:r>
          </w:p>
          <w:p w14:paraId="7AF1E9E3" w14:textId="77777777" w:rsidR="00C413B0" w:rsidRPr="000B2072" w:rsidRDefault="00C413B0" w:rsidP="00C413B0">
            <w:pPr>
              <w:jc w:val="both"/>
              <w:rPr>
                <w:sz w:val="24"/>
                <w:szCs w:val="24"/>
              </w:rPr>
            </w:pPr>
          </w:p>
          <w:p w14:paraId="2DA6AE77" w14:textId="77777777" w:rsidR="00C413B0" w:rsidRPr="000B2072" w:rsidRDefault="00C413B0" w:rsidP="00C413B0">
            <w:pPr>
              <w:jc w:val="both"/>
              <w:rPr>
                <w:sz w:val="24"/>
                <w:szCs w:val="24"/>
              </w:rPr>
            </w:pPr>
            <w:r w:rsidRPr="000B2072">
              <w:rPr>
                <w:sz w:val="24"/>
                <w:szCs w:val="24"/>
              </w:rPr>
              <w:t xml:space="preserve">Subsequently it was agreed at that time to be within Adult 2’s best interests to make necessary arrangements to support their return home, agreed by the MDT supporting their son to make this decision. A relevant part of this decision included consultation and consideration of the safeguarding concerns, notably, ‘self-neglect’ and Adult 2’s spouse’s ‘neglect’, in declining any input from services to support Adult 2 with their care and support needs, and their </w:t>
            </w:r>
            <w:r w:rsidRPr="000B2072">
              <w:rPr>
                <w:sz w:val="24"/>
                <w:szCs w:val="24"/>
              </w:rPr>
              <w:lastRenderedPageBreak/>
              <w:t>spouse’s denial that Adult 2 did have any care and support needs, or a cognitive impairment. Therefore, the ‘Abstract Conceptualization’ (Kolb, 1984) ‘idea’ became a formal plan to support Adult 2 with returning to their home. It was agreed at the time, for Adult 2 to return home only once a suitable and proportionate care and support plan, inclusive of domiciliary care service provision (S34b SSWBA 14) and scheduled reviews were in place (S54 (3) SSWBA 14). Initially, I felt that this plan both incorporated Adult 2 and their spouse’s wishes, goals and feelings (Social Care Wales, 2017a), whilst respecting and understanding their ‘realities’ (Teater, 2010), and although both did not ‘agree’ that the prescribed care and support plan was needed, they did ‘accept’ this as what I would consider a ‘compromise’ to reach their goal of Adult 2 returning home. To me, this is relevant learning of how my ability to undertake assessments, whilst analysing all options and circumstances, and utilising evidence can inform my practice and intervention with individuals, to support in reducing risks, whilst ‘striving to make a difference’ (</w:t>
            </w:r>
            <w:proofErr w:type="spellStart"/>
            <w:r w:rsidRPr="000B2072">
              <w:rPr>
                <w:sz w:val="24"/>
                <w:szCs w:val="24"/>
              </w:rPr>
              <w:t>Glaister</w:t>
            </w:r>
            <w:proofErr w:type="spellEnd"/>
            <w:r w:rsidRPr="000B2072">
              <w:rPr>
                <w:sz w:val="24"/>
                <w:szCs w:val="24"/>
              </w:rPr>
              <w:t xml:space="preserve">, 2008) and working towards ‘client-defined goals’ (Teater, 2010). </w:t>
            </w:r>
          </w:p>
          <w:p w14:paraId="6E7FCE97" w14:textId="77777777" w:rsidR="00C413B0" w:rsidRPr="000B2072" w:rsidRDefault="00C413B0" w:rsidP="00C413B0">
            <w:pPr>
              <w:jc w:val="both"/>
              <w:rPr>
                <w:sz w:val="24"/>
                <w:szCs w:val="24"/>
              </w:rPr>
            </w:pPr>
          </w:p>
          <w:p w14:paraId="38255C02" w14:textId="77777777" w:rsidR="00C413B0" w:rsidRPr="000B2072" w:rsidRDefault="00C413B0" w:rsidP="00C413B0">
            <w:pPr>
              <w:jc w:val="both"/>
              <w:rPr>
                <w:sz w:val="24"/>
                <w:szCs w:val="24"/>
              </w:rPr>
            </w:pPr>
            <w:r w:rsidRPr="000B2072">
              <w:rPr>
                <w:sz w:val="24"/>
                <w:szCs w:val="24"/>
              </w:rPr>
              <w:t>During the time the decision was mad</w:t>
            </w:r>
            <w:r>
              <w:rPr>
                <w:sz w:val="24"/>
                <w:szCs w:val="24"/>
              </w:rPr>
              <w:t>e, I felt a sense of accomplishment</w:t>
            </w:r>
            <w:r w:rsidRPr="000B2072">
              <w:rPr>
                <w:sz w:val="24"/>
                <w:szCs w:val="24"/>
              </w:rPr>
              <w:t xml:space="preserve"> at the potential result of supporting the plan to achieve Adult 2’s goals, whilst working towards minimising the safeguarding ‘issues’ although, remained apprehensive of whether this would prove successful or not. In recognising my own values and personal feelings, it is important to manage my boundaries between ‘professional’ and ‘personal’ within the Social Worker role; when ‘helping people’ as a Social Worker, it is known to be challenging to maintain this balance (</w:t>
            </w:r>
            <w:proofErr w:type="spellStart"/>
            <w:r w:rsidRPr="000B2072">
              <w:rPr>
                <w:sz w:val="24"/>
                <w:szCs w:val="24"/>
              </w:rPr>
              <w:t>Babrove</w:t>
            </w:r>
            <w:proofErr w:type="spellEnd"/>
            <w:r w:rsidRPr="000B2072">
              <w:rPr>
                <w:sz w:val="24"/>
                <w:szCs w:val="24"/>
              </w:rPr>
              <w:t>, 2022)</w:t>
            </w:r>
            <w:r>
              <w:rPr>
                <w:sz w:val="24"/>
                <w:szCs w:val="24"/>
              </w:rPr>
              <w:t xml:space="preserve">. This </w:t>
            </w:r>
            <w:r w:rsidRPr="000B2072">
              <w:rPr>
                <w:sz w:val="24"/>
                <w:szCs w:val="24"/>
              </w:rPr>
              <w:t>felt more difficult to me, due to the frequency of my input in this case and the internalised pressure I placed on myself at times to support Adult 2 and their family. However, through use of supervision and peer-support I feel that I have been able to both recognise my feelings and demonstrated my ability to ‘manage’ the balance in this instance, whilst striving to continue to manage this balance in the same manner and through reflection.</w:t>
            </w:r>
          </w:p>
          <w:p w14:paraId="0C479AF6" w14:textId="77777777" w:rsidR="00C413B0" w:rsidRPr="000B2072" w:rsidRDefault="00C413B0" w:rsidP="00C413B0">
            <w:pPr>
              <w:jc w:val="both"/>
              <w:rPr>
                <w:sz w:val="24"/>
                <w:szCs w:val="24"/>
              </w:rPr>
            </w:pPr>
          </w:p>
          <w:p w14:paraId="321087DD" w14:textId="77777777" w:rsidR="00C413B0" w:rsidRPr="000B2072" w:rsidRDefault="00C413B0" w:rsidP="00C413B0">
            <w:pPr>
              <w:jc w:val="both"/>
              <w:rPr>
                <w:sz w:val="24"/>
                <w:szCs w:val="24"/>
              </w:rPr>
            </w:pPr>
            <w:r w:rsidRPr="000B2072">
              <w:rPr>
                <w:sz w:val="24"/>
                <w:szCs w:val="24"/>
              </w:rPr>
              <w:t>In ‘Active Experimentation’ (Kolb, 1984), we were able to collaboratively as an MDT and Adult 2’s personal network, achieve their return home, with the agreed provisions and interventions in place. During this time, it was useful to be able to reiterate the best interests’ decision, inclusive of previous agreements to achieve on-going care and support provisions in discussion with Adult 2 and their spouse. However, although through use of ‘positional power’ in arranging such support provisions, and Adult 2 and their spouse being ‘compelled by law’ to experience such interventions, or what could be considered as ‘intrusions’ of their lives, this does not ‘enforce’ their engagement with such services, or remove their ability to decline interventions or input at any given time (Ferguson, 2011).</w:t>
            </w:r>
          </w:p>
          <w:p w14:paraId="3F39017A" w14:textId="77777777" w:rsidR="00C413B0" w:rsidRPr="000B2072" w:rsidRDefault="00C413B0" w:rsidP="00C413B0">
            <w:pPr>
              <w:jc w:val="both"/>
              <w:rPr>
                <w:sz w:val="24"/>
                <w:szCs w:val="24"/>
              </w:rPr>
            </w:pPr>
          </w:p>
          <w:p w14:paraId="08FA7725" w14:textId="77777777" w:rsidR="00C413B0" w:rsidRPr="000B2072" w:rsidRDefault="00C413B0" w:rsidP="00C413B0">
            <w:pPr>
              <w:jc w:val="both"/>
              <w:rPr>
                <w:sz w:val="24"/>
                <w:szCs w:val="24"/>
              </w:rPr>
            </w:pPr>
            <w:r w:rsidRPr="000B2072">
              <w:rPr>
                <w:sz w:val="24"/>
                <w:szCs w:val="24"/>
              </w:rPr>
              <w:t xml:space="preserve">In collaborating with Adult 2 and their spouse and using effective and open communication dialogue on a frequent and regular basis, I was able to convey areas of concern using previous ‘behaviour’ information, as evidence to maintain the agreed plans for Adult 2 to remain at home. At times this proved challenging and involved building a rapport, trust and the social work relationship with both Adult 2 and their spouse over repeated visits to them at their home (Social Care Wales, 2017a). Upholding my adopted social constructivism approach of ‘collaboration’ and understanding their ‘realities’, aided in achieving a ‘less restrictive’ option of Adult 2 remaining within their home as per their goal and wish to do so (Teater, 2010). This </w:t>
            </w:r>
            <w:r w:rsidRPr="000B2072">
              <w:rPr>
                <w:sz w:val="24"/>
                <w:szCs w:val="24"/>
              </w:rPr>
              <w:lastRenderedPageBreak/>
              <w:t>skill is important to me as a practitioner because it embodies the Social Work role, interlinks with various relevant theories and models, and encourages what I consider to be ethical social work practice, whilst promoting the key principles of the SSWBA 14 and associated Code of Professional Practice.</w:t>
            </w:r>
            <w:r>
              <w:rPr>
                <w:sz w:val="24"/>
                <w:szCs w:val="24"/>
              </w:rPr>
              <w:t xml:space="preserve"> Equally, I feel that this approach was beneficial to achieving progress with Adult 2 and their spouse, to overcome concerns and maintain Adult 2’s safety.</w:t>
            </w:r>
            <w:r w:rsidRPr="000B2072">
              <w:rPr>
                <w:sz w:val="24"/>
                <w:szCs w:val="24"/>
              </w:rPr>
              <w:t xml:space="preserve"> Alternatively, I did find this approach repeatedly challenging due to my perception and judgement that both Adult 2, and their spouse lacked understanding or at times, awareness of Adult 2’s needs for care and support, and various risks associated with these needs.</w:t>
            </w:r>
          </w:p>
          <w:p w14:paraId="0BB98768" w14:textId="77777777" w:rsidR="00C413B0" w:rsidRPr="000B2072" w:rsidRDefault="00C413B0" w:rsidP="00C413B0">
            <w:pPr>
              <w:jc w:val="both"/>
              <w:rPr>
                <w:sz w:val="24"/>
                <w:szCs w:val="24"/>
              </w:rPr>
            </w:pPr>
          </w:p>
          <w:p w14:paraId="678C66C3" w14:textId="77777777" w:rsidR="00C413B0" w:rsidRPr="000B2072" w:rsidRDefault="00C413B0" w:rsidP="00C413B0">
            <w:pPr>
              <w:jc w:val="both"/>
              <w:rPr>
                <w:sz w:val="24"/>
                <w:szCs w:val="24"/>
              </w:rPr>
            </w:pPr>
            <w:r w:rsidRPr="000B2072">
              <w:rPr>
                <w:sz w:val="24"/>
                <w:szCs w:val="24"/>
              </w:rPr>
              <w:t>I was able to apply a ‘Holistic Assessment’ throughout this case; using professional judgement and evidence to form an holistic overview as a ‘whole’ instead of at individual ‘parts’ (Biggs, 2007, cited in The College of Social Work, 2012). Furthermore, aided through use of person-centred practice, solutions-focused and strengths-based approaches, whilst maintaining a mindfulness of relevant ‘attachments’ in this case, I was able to develop my abilities to balance individual rights, legislative duties, safeguarding policies and encouraged both Adult 2, their spouse and relatives’ voice, control and made all efforts to minimise risks, whilst balancing ‘choice’ and ‘control’ with the individuals involved.</w:t>
            </w:r>
          </w:p>
          <w:p w14:paraId="104F39B5" w14:textId="77777777" w:rsidR="00C413B0" w:rsidRPr="000B2072" w:rsidRDefault="00C413B0" w:rsidP="00C413B0">
            <w:pPr>
              <w:jc w:val="both"/>
              <w:rPr>
                <w:sz w:val="24"/>
                <w:szCs w:val="24"/>
              </w:rPr>
            </w:pPr>
          </w:p>
          <w:p w14:paraId="4A6599B0" w14:textId="77777777" w:rsidR="00C413B0" w:rsidRPr="000B2072" w:rsidRDefault="00C413B0" w:rsidP="00C413B0">
            <w:pPr>
              <w:jc w:val="both"/>
              <w:rPr>
                <w:sz w:val="24"/>
                <w:szCs w:val="24"/>
              </w:rPr>
            </w:pPr>
            <w:r w:rsidRPr="000B2072">
              <w:rPr>
                <w:sz w:val="24"/>
                <w:szCs w:val="24"/>
              </w:rPr>
              <w:t xml:space="preserve">I am able to reflect that although I was able to achieve various aspects of ‘change’ within Adult 2’s life for what I perceive as the ‘better’, the outcome was not necessarily viewed by Adult 2 or their spouse as ‘positive’, or what they ‘wanted’ when considering their reality (Teater, 2010). Adult 2 remained at home for a period of weeks before their cognitive impairment deteriorated and their spouse became, (in their words) ‘unable to cope’ any longer and subsequently, Adult 2 was placed into a care home setting as a </w:t>
            </w:r>
            <w:proofErr w:type="spellStart"/>
            <w:r w:rsidRPr="000B2072">
              <w:rPr>
                <w:sz w:val="24"/>
                <w:szCs w:val="24"/>
              </w:rPr>
              <w:t>‘long</w:t>
            </w:r>
            <w:proofErr w:type="spellEnd"/>
            <w:r w:rsidRPr="000B2072">
              <w:rPr>
                <w:sz w:val="24"/>
                <w:szCs w:val="24"/>
              </w:rPr>
              <w:t xml:space="preserve"> term placement’. This was achieved in accordance with the best interest principle, with their son as LPoA making this decision with support from relevant professionals. Therefore, the safeguarding risks and concerns of self-neglect and neglect were mitigated, through regular care and support being provided within a care home setting.</w:t>
            </w:r>
          </w:p>
          <w:p w14:paraId="36C5D2F9" w14:textId="77777777" w:rsidR="00C413B0" w:rsidRPr="000B2072" w:rsidRDefault="00C413B0" w:rsidP="00C413B0">
            <w:pPr>
              <w:jc w:val="both"/>
              <w:rPr>
                <w:sz w:val="24"/>
                <w:szCs w:val="24"/>
              </w:rPr>
            </w:pPr>
          </w:p>
          <w:p w14:paraId="5E3B72B9" w14:textId="77777777" w:rsidR="00C413B0" w:rsidRPr="000B2072" w:rsidRDefault="00C413B0" w:rsidP="00C413B0">
            <w:pPr>
              <w:jc w:val="both"/>
              <w:rPr>
                <w:sz w:val="24"/>
                <w:szCs w:val="24"/>
              </w:rPr>
            </w:pPr>
            <w:r w:rsidRPr="000B2072">
              <w:rPr>
                <w:sz w:val="24"/>
                <w:szCs w:val="24"/>
              </w:rPr>
              <w:t xml:space="preserve">Furthermore, having discussed with the allocated safeguarding social worker involved whilst Adult 2 was at home, I was able to establish that through ‘Active Experimentation’ (Kolb, 1984) and during Adult 2’s time at home, with use of domiciliary care provision in addition to my regular interventions, oversight and home visits, the safeguarding concerns of ‘self-neglect’ and ‘neglect’ had been significantly reduced. This made me feel a sense of accomplishment and satisfaction with the work I had undertaken with Adult 2 and their family, after periods of frustration and concern during various interventions. </w:t>
            </w:r>
          </w:p>
          <w:p w14:paraId="29ACFC00" w14:textId="77777777" w:rsidR="00C413B0" w:rsidRPr="000B2072" w:rsidRDefault="00C413B0" w:rsidP="00C413B0">
            <w:pPr>
              <w:jc w:val="both"/>
              <w:rPr>
                <w:sz w:val="24"/>
                <w:szCs w:val="24"/>
              </w:rPr>
            </w:pPr>
          </w:p>
          <w:p w14:paraId="6C4C48D7" w14:textId="77777777" w:rsidR="00C413B0" w:rsidRPr="000B2072" w:rsidRDefault="00C413B0" w:rsidP="00C413B0">
            <w:pPr>
              <w:jc w:val="both"/>
              <w:rPr>
                <w:sz w:val="24"/>
                <w:szCs w:val="24"/>
              </w:rPr>
            </w:pPr>
            <w:r>
              <w:rPr>
                <w:sz w:val="24"/>
                <w:szCs w:val="24"/>
              </w:rPr>
              <w:t>I</w:t>
            </w:r>
            <w:r w:rsidRPr="000B2072">
              <w:rPr>
                <w:sz w:val="24"/>
                <w:szCs w:val="24"/>
              </w:rPr>
              <w:t xml:space="preserve"> recognise that if Adult 2 was assessed as having the mental capacity, or</w:t>
            </w:r>
            <w:r>
              <w:rPr>
                <w:sz w:val="24"/>
                <w:szCs w:val="24"/>
              </w:rPr>
              <w:t xml:space="preserve"> if</w:t>
            </w:r>
            <w:r w:rsidRPr="000B2072">
              <w:rPr>
                <w:sz w:val="24"/>
                <w:szCs w:val="24"/>
              </w:rPr>
              <w:t xml:space="preserve"> the communication methods, styles or use of theories not have proven as successful within this case, the outcomes could have been significantly different. This knowledge and understanding is essential to me as a practitioner because not every individual or family that I work with, will have the same circumstances or needs as Adult 2 and therefore, my approach and use of theory, legislation, policy, and communication style will need to continually develop and be reflected upon.</w:t>
            </w:r>
          </w:p>
          <w:p w14:paraId="45934CD4" w14:textId="77777777" w:rsidR="00C413B0" w:rsidRDefault="00C413B0" w:rsidP="00C413B0">
            <w:pPr>
              <w:jc w:val="both"/>
              <w:rPr>
                <w:i/>
                <w:sz w:val="24"/>
                <w:szCs w:val="24"/>
              </w:rPr>
            </w:pPr>
          </w:p>
          <w:p w14:paraId="47F21B6A" w14:textId="7C194076" w:rsidR="007A628F" w:rsidRPr="00C413B0" w:rsidRDefault="00C413B0" w:rsidP="00FF7EBB">
            <w:pPr>
              <w:pStyle w:val="ListParagraph"/>
              <w:numPr>
                <w:ilvl w:val="0"/>
                <w:numId w:val="54"/>
              </w:numPr>
              <w:jc w:val="both"/>
              <w:rPr>
                <w:sz w:val="24"/>
                <w:szCs w:val="24"/>
              </w:rPr>
            </w:pPr>
            <w:r w:rsidRPr="005F1440">
              <w:rPr>
                <w:sz w:val="24"/>
                <w:szCs w:val="24"/>
              </w:rPr>
              <w:t>4</w:t>
            </w:r>
            <w:r>
              <w:rPr>
                <w:sz w:val="24"/>
                <w:szCs w:val="24"/>
              </w:rPr>
              <w:t>340</w:t>
            </w:r>
            <w:r w:rsidRPr="005F1440">
              <w:rPr>
                <w:sz w:val="24"/>
                <w:szCs w:val="24"/>
              </w:rPr>
              <w:t xml:space="preserve"> words</w:t>
            </w:r>
          </w:p>
        </w:tc>
      </w:tr>
    </w:tbl>
    <w:p w14:paraId="1B4186EF" w14:textId="77777777" w:rsidR="00D3442D" w:rsidRDefault="00D3442D" w:rsidP="00C413B0">
      <w:pPr>
        <w:jc w:val="both"/>
        <w:rPr>
          <w:sz w:val="24"/>
          <w:szCs w:val="24"/>
        </w:rPr>
      </w:pPr>
    </w:p>
    <w:sectPr w:rsidR="00D3442D"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0CE23D5" w:rsidR="00A5656A" w:rsidRDefault="00A5656A">
    <w:pPr>
      <w:pStyle w:val="Footer"/>
      <w:jc w:val="right"/>
    </w:pPr>
    <w:r>
      <w:fldChar w:fldCharType="begin"/>
    </w:r>
    <w:r>
      <w:instrText xml:space="preserve"> PAGE   \* MERGEFORMAT </w:instrText>
    </w:r>
    <w:r>
      <w:fldChar w:fldCharType="separate"/>
    </w:r>
    <w:r w:rsidR="002747BD">
      <w:rPr>
        <w:noProof/>
      </w:rPr>
      <w:t>10</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CD35D8"/>
    <w:multiLevelType w:val="hybridMultilevel"/>
    <w:tmpl w:val="F1C8239C"/>
    <w:lvl w:ilvl="0" w:tplc="38100848">
      <w:start w:val="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47BD"/>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3B0"/>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C41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30ADD27-09B1-4333-B10B-6C527A564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4549</Words>
  <Characters>24933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Crowdie-Morgan, Joshua</cp:lastModifiedBy>
  <cp:revision>4</cp:revision>
  <cp:lastPrinted>2020-02-11T19:20:00Z</cp:lastPrinted>
  <dcterms:created xsi:type="dcterms:W3CDTF">2022-09-29T11:34:00Z</dcterms:created>
  <dcterms:modified xsi:type="dcterms:W3CDTF">2023-01-28T10:47:00Z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