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Personnel Resourcing and Development</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Proposal </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Topic: Analyse the impacts of socio-economic force on employees’ performance management and monitoring in different work modes: Hospitality HR’s perspective</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The module title and module code: BMIH5005</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Lecturer’s name: Scott James, Jemma Smith</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Name in full; Irene Nakimera</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Student ID; 2244610</w:t>
      </w:r>
    </w:p>
    <w:p w:rsidR="00000000" w:rsidDel="00000000" w:rsidP="00000000" w:rsidRDefault="00000000" w:rsidRPr="00000000" w14:paraId="0000000D">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Introduction and Background</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1.1 Overview of the organisation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1.2 Background of the issue</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1.3 Implementation of different work modes in the hospitality context</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Main discussion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 Impact of socio-economic factors as part of PESTLE and SWOT analysis</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2.2 Impact of socio and economic factors on the monitoring and management in different work modes</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2.3 Trends in the industry relating to retention rates, turnover rates</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2.4 Emerging of the different work modes in the hospitality industry within five years</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2.5 Examples of ways for the selected international hotel brand to monitor the management of the employees in different work</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2.6 Discussion on the potential solutions</w:t>
              <w:tab/>
              <w:t xml:space="preserve">10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 Evaluation and Conclusion</w:t>
              <w:tab/>
              <w:t xml:space="preserve">10</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3.1 Summarisation of the findings</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3.2 Solutions as recommendations for the chosen business</w:t>
              <w:tab/>
              <w:t xml:space="preserve">11</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1ksv4u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1E">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Assessment Component 2 Research project Proposal</w:t>
      </w:r>
    </w:p>
    <w:p w:rsidR="00000000" w:rsidDel="00000000" w:rsidP="00000000" w:rsidRDefault="00000000" w:rsidRPr="00000000" w14:paraId="00000021">
      <w:pPr>
        <w:pStyle w:val="Heading1"/>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1. Introduction and Background </w:t>
      </w:r>
    </w:p>
    <w:p w:rsidR="00000000" w:rsidDel="00000000" w:rsidP="00000000" w:rsidRDefault="00000000" w:rsidRPr="00000000" w14:paraId="00000022">
      <w:pPr>
        <w:pStyle w:val="Heading2"/>
        <w:rPr>
          <w:rFonts w:ascii="Arial" w:cs="Arial" w:eastAsia="Arial" w:hAnsi="Arial"/>
        </w:rPr>
      </w:pPr>
      <w:bookmarkStart w:colFirst="0" w:colLast="0" w:name="_heading=h.30j0zll" w:id="1"/>
      <w:bookmarkEnd w:id="1"/>
      <w:r w:rsidDel="00000000" w:rsidR="00000000" w:rsidRPr="00000000">
        <w:rPr>
          <w:rFonts w:ascii="Arial" w:cs="Arial" w:eastAsia="Arial" w:hAnsi="Arial"/>
          <w:rtl w:val="0"/>
        </w:rPr>
        <w:t xml:space="preserve">1.1 Overview of the organisation</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hospitality industry is a broad group of businesses that provide services to customers. The hospitality industry focused on increasing the satisfaction of the customers and specific experiences to meet their demands. The industry is unique in terms of its reliability the discretionary profitability. The chosen organisation Hilton UK is a leading global hospitality with a portfolio of 23 class brands and 1.2 million rooms occupant for customers. Conrad Hilton founded the organisation in 1919 for the purpose of building innovation, integrity and excellence with the guests (hilton.com, 2024).    </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114300" distT="114300" distL="114300" distR="114300">
            <wp:extent cx="4156075" cy="3265488"/>
            <wp:effectExtent b="12700" l="12700" r="12700" t="12700"/>
            <wp:docPr id="6"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156075" cy="3265488"/>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Figure 1: Logo of the organisation</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(Source: hilton.com, 2024)</w:t>
      </w:r>
    </w:p>
    <w:p w:rsidR="00000000" w:rsidDel="00000000" w:rsidP="00000000" w:rsidRDefault="00000000" w:rsidRPr="00000000" w14:paraId="00000027">
      <w:pPr>
        <w:pStyle w:val="Heading2"/>
        <w:rPr>
          <w:rFonts w:ascii="Arial" w:cs="Arial" w:eastAsia="Arial" w:hAnsi="Arial"/>
        </w:rPr>
      </w:pPr>
      <w:bookmarkStart w:colFirst="0" w:colLast="0" w:name="_heading=h.1fob9te" w:id="2"/>
      <w:bookmarkEnd w:id="2"/>
      <w:r w:rsidDel="00000000" w:rsidR="00000000" w:rsidRPr="00000000">
        <w:rPr>
          <w:rFonts w:ascii="Arial" w:cs="Arial" w:eastAsia="Arial" w:hAnsi="Arial"/>
          <w:rtl w:val="0"/>
        </w:rPr>
        <w:t xml:space="preserve">1.2 Background of the issue </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The issue with employee performance management </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overall task addresses the issue of the performance management of the employees. In the hospitality industry, there are issues related to Human resource management such as employee performance management. As cited by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Buhalis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et al.</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(2022, p. 705), a lack of talented staff and measures in training leads to adequate performance of the employees and failure to manage shifts. This leads to several issues that make it difficult to retain employees such as increasing burnout and increasing turnover rates. Several factors influence the performance of the employees in the Hilton Hotel. Factors including leadership approach, motivation, training and working conditions that have a positive influence on the employees. in the Hilton Hotel, the issues with employee performance management are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laying off and staff shortages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Laying off the employees and shortages of staff make it the organisation difficult for to retain talent and rebuild trust among the employees. Overworked and tired employees can lead to safety issues and increase the turnover rate in the organisation. </w:t>
      </w:r>
    </w:p>
    <w:p w:rsidR="00000000" w:rsidDel="00000000" w:rsidP="00000000" w:rsidRDefault="00000000" w:rsidRPr="00000000" w14:paraId="0000002A">
      <w:pPr>
        <w:pStyle w:val="Heading2"/>
        <w:rPr>
          <w:rFonts w:ascii="Arial" w:cs="Arial" w:eastAsia="Arial" w:hAnsi="Arial"/>
        </w:rPr>
      </w:pPr>
      <w:bookmarkStart w:colFirst="0" w:colLast="0" w:name="_heading=h.3znysh7" w:id="3"/>
      <w:bookmarkEnd w:id="3"/>
      <w:r w:rsidDel="00000000" w:rsidR="00000000" w:rsidRPr="00000000">
        <w:rPr>
          <w:rFonts w:ascii="Arial" w:cs="Arial" w:eastAsia="Arial" w:hAnsi="Arial"/>
          <w:rtl w:val="0"/>
        </w:rPr>
        <w:t xml:space="preserve">1.3 Implementation of different work modes in the hospitality context </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proposal depicts different working modes that influence the performance of the employees. Several working modes such as hybrid working mode, office work mode and flexible working mode can motivate and encourage employees to improve their performance. As per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Calinaud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et al</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(2021, p. 691), the hybrid working mode provides space for co-working situations and living space which is the traditional hotel experience. Office work mode is the act of becoming welcoming and friendly to make interactions with customers. The flexibility of the hospitality industry is the working of the employees vans managing the working hours at their convenience. The variations of the working modes make the employees feel free to work and improve their performance through flexibility and a lower workload.   </w:t>
      </w:r>
    </w:p>
    <w:p w:rsidR="00000000" w:rsidDel="00000000" w:rsidP="00000000" w:rsidRDefault="00000000" w:rsidRPr="00000000" w14:paraId="0000002C">
      <w:pPr>
        <w:pStyle w:val="Heading1"/>
        <w:rPr>
          <w:rFonts w:ascii="Arial" w:cs="Arial" w:eastAsia="Arial" w:hAnsi="Arial"/>
        </w:rPr>
      </w:pPr>
      <w:bookmarkStart w:colFirst="0" w:colLast="0" w:name="_heading=h.2et92p0" w:id="4"/>
      <w:bookmarkEnd w:id="4"/>
      <w:r w:rsidDel="00000000" w:rsidR="00000000" w:rsidRPr="00000000">
        <w:rPr>
          <w:rFonts w:ascii="Arial" w:cs="Arial" w:eastAsia="Arial" w:hAnsi="Arial"/>
          <w:rtl w:val="0"/>
        </w:rPr>
        <w:t xml:space="preserve">2. Main discussion </w:t>
      </w:r>
    </w:p>
    <w:p w:rsidR="00000000" w:rsidDel="00000000" w:rsidP="00000000" w:rsidRDefault="00000000" w:rsidRPr="00000000" w14:paraId="0000002D">
      <w:pPr>
        <w:pStyle w:val="Heading2"/>
        <w:rPr>
          <w:rFonts w:ascii="Arial" w:cs="Arial" w:eastAsia="Arial" w:hAnsi="Arial"/>
        </w:rPr>
      </w:pPr>
      <w:bookmarkStart w:colFirst="0" w:colLast="0" w:name="_heading=h.tyjcwt" w:id="5"/>
      <w:bookmarkEnd w:id="5"/>
      <w:r w:rsidDel="00000000" w:rsidR="00000000" w:rsidRPr="00000000">
        <w:rPr>
          <w:rFonts w:ascii="Arial" w:cs="Arial" w:eastAsia="Arial" w:hAnsi="Arial"/>
          <w:rtl w:val="0"/>
        </w:rPr>
        <w:t xml:space="preserve">2.1 Impact of socio-economic factors as part of PESTLE and SWOT analysis</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SWOT analysis </w:t>
      </w:r>
    </w:p>
    <w:tbl>
      <w:tblPr>
        <w:tblStyle w:val="Table1"/>
        <w:tblW w:w="9019.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600"/>
      </w:tblPr>
      <w:tblGrid>
        <w:gridCol w:w="4509"/>
        <w:gridCol w:w="4510"/>
        <w:tblGridChange w:id="0">
          <w:tblGrid>
            <w:gridCol w:w="4509"/>
            <w:gridCol w:w="4510"/>
          </w:tblGrid>
        </w:tblGridChange>
      </w:tblGrid>
      <w:tr>
        <w:trPr>
          <w:cantSplit w:val="0"/>
          <w:tblHeader w:val="0"/>
        </w:trPr>
        <w:tc>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Strengths </w:t>
            </w:r>
          </w:p>
        </w:tc>
        <w:tc>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Weaknesses</w:t>
            </w:r>
          </w:p>
        </w:tc>
      </w:tr>
      <w:tr>
        <w:trPr>
          <w:cantSplit w:val="0"/>
          <w:tblHeader w:val="0"/>
        </w:trPr>
        <w:tc>
          <w:tcPr/>
          <w:p w:rsidR="00000000" w:rsidDel="00000000" w:rsidP="00000000" w:rsidRDefault="00000000" w:rsidRPr="00000000" w14:paraId="00000031">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Well-trained staff with skill and knowledge is a strength for the industry to boost sales. </w:t>
            </w:r>
          </w:p>
          <w:p w:rsidR="00000000" w:rsidDel="00000000" w:rsidP="00000000" w:rsidRDefault="00000000" w:rsidRPr="00000000" w14:paraId="00000032">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reputation of the brand is effective in attracting potential customers worldwide. </w:t>
            </w:r>
          </w:p>
        </w:tc>
        <w:tc>
          <w:tcPr/>
          <w:p w:rsidR="00000000" w:rsidDel="00000000" w:rsidP="00000000" w:rsidRDefault="00000000" w:rsidRPr="00000000" w14:paraId="00000033">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Higher cost structure affects the industry to manage the operations. </w:t>
            </w:r>
          </w:p>
          <w:p w:rsidR="00000000" w:rsidDel="00000000" w:rsidP="00000000" w:rsidRDefault="00000000" w:rsidRPr="00000000" w14:paraId="00000034">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Limited opportunities for loyalty programs are time-consuming and require investment in technology implementation. </w:t>
            </w:r>
          </w:p>
        </w:tc>
      </w:tr>
      <w:tr>
        <w:trPr>
          <w:cantSplit w:val="0"/>
          <w:tblHeader w:val="0"/>
        </w:trPr>
        <w:tc>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Opportunities </w:t>
            </w:r>
          </w:p>
        </w:tc>
        <w:tc>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Threats </w:t>
            </w:r>
          </w:p>
        </w:tc>
      </w:tr>
      <w:tr>
        <w:trPr>
          <w:cantSplit w:val="0"/>
          <w:tblHeader w:val="0"/>
        </w:trPr>
        <w:tc>
          <w:tcPr/>
          <w:p w:rsidR="00000000" w:rsidDel="00000000" w:rsidP="00000000" w:rsidRDefault="00000000" w:rsidRPr="00000000" w14:paraId="00000037">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cross-selling strategies to gain a competitive edge in the market. </w:t>
            </w:r>
          </w:p>
          <w:p w:rsidR="00000000" w:rsidDel="00000000" w:rsidP="00000000" w:rsidRDefault="00000000" w:rsidRPr="00000000" w14:paraId="00000038">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Emerging new local and international markets to attract new customers</w:t>
            </w:r>
          </w:p>
        </w:tc>
        <w:tc>
          <w:tcPr/>
          <w:p w:rsidR="00000000" w:rsidDel="00000000" w:rsidP="00000000" w:rsidRDefault="00000000" w:rsidRPr="00000000" w14:paraId="00000039">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 higher rate of turnover of employees leads to lower profitability. </w:t>
            </w:r>
          </w:p>
          <w:p w:rsidR="00000000" w:rsidDel="00000000" w:rsidP="00000000" w:rsidRDefault="00000000" w:rsidRPr="00000000" w14:paraId="0000003A">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Intense competition in the market poses a threat to their brand to stay ahead with innovations in product and service development. </w:t>
            </w:r>
          </w:p>
        </w:tc>
      </w:tr>
    </w:tbl>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PESTLE analysis </w:t>
      </w:r>
    </w:p>
    <w:tbl>
      <w:tblPr>
        <w:tblStyle w:val="Table2"/>
        <w:tblW w:w="9019.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600"/>
      </w:tblPr>
      <w:tblGrid>
        <w:gridCol w:w="2015"/>
        <w:gridCol w:w="2374"/>
        <w:gridCol w:w="4630"/>
        <w:tblGridChange w:id="0">
          <w:tblGrid>
            <w:gridCol w:w="2015"/>
            <w:gridCol w:w="2374"/>
            <w:gridCol w:w="4630"/>
          </w:tblGrid>
        </w:tblGridChange>
      </w:tblGrid>
      <w:tr>
        <w:trPr>
          <w:cantSplit w:val="0"/>
          <w:tblHeader w:val="0"/>
        </w:trPr>
        <w:tc>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Factors </w:t>
            </w:r>
          </w:p>
        </w:tc>
        <w:tc>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Impact </w:t>
            </w:r>
          </w:p>
        </w:tc>
        <w:tc>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Analysis </w:t>
            </w:r>
          </w:p>
        </w:tc>
      </w:tr>
      <w:tr>
        <w:trPr>
          <w:cantSplit w:val="0"/>
          <w:tblHeader w:val="0"/>
        </w:trPr>
        <w:tc>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Socio-cultural factors </w:t>
            </w:r>
          </w:p>
        </w:tc>
        <w:tc>
          <w:tcPr/>
          <w:p w:rsidR="00000000" w:rsidDel="00000000" w:rsidP="00000000" w:rsidRDefault="00000000" w:rsidRPr="00000000" w14:paraId="00000041">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Changing preferences of the consumers </w:t>
            </w:r>
          </w:p>
          <w:p w:rsidR="00000000" w:rsidDel="00000000" w:rsidP="00000000" w:rsidRDefault="00000000" w:rsidRPr="00000000" w14:paraId="00000042">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Cultural factors </w:t>
            </w:r>
          </w:p>
        </w:tc>
        <w:tc>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changing travel preferences of the customers negatively affect the hospitality industry to generate sales. For instance, during the COVID-19 pandemic, the lack of people travelling affects the industry in increasing its profitability. </w:t>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On the other hand, cultural factors such as events and festivals positively influence the demand for travel accommodations. The hospitality industry needs to understand the cultural dynamics of the customers to make strategic plans for boosting growth. </w:t>
            </w:r>
          </w:p>
        </w:tc>
      </w:tr>
      <w:tr>
        <w:trPr>
          <w:cantSplit w:val="0"/>
          <w:tblHeader w:val="0"/>
        </w:trPr>
        <w:tc>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Economic factors </w:t>
            </w:r>
          </w:p>
        </w:tc>
        <w:tc>
          <w:tcPr/>
          <w:p w:rsidR="00000000" w:rsidDel="00000000" w:rsidP="00000000" w:rsidRDefault="00000000" w:rsidRPr="00000000" w14:paraId="00000046">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Rate of employment </w:t>
            </w:r>
          </w:p>
          <w:p w:rsidR="00000000" w:rsidDel="00000000" w:rsidP="00000000" w:rsidRDefault="00000000" w:rsidRPr="00000000" w14:paraId="00000047">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Inflation rate </w:t>
            </w:r>
          </w:p>
        </w:tc>
        <w:tc>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increasing rate of employment positively affects the hotel industry. Higher rates of the employees tend to boost the profitability of the hospitality industry while lower employment rates contribute to lowering the spending limit of the customers. </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 higher rate of inflation leads to increased costs of operations. This makes the industry manage the cost of the utilities and suppliers and reduces the overall profitability of the business. </w:t>
            </w:r>
          </w:p>
        </w:tc>
      </w:tr>
    </w:tbl>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B">
      <w:pPr>
        <w:pStyle w:val="Heading2"/>
        <w:rPr>
          <w:rFonts w:ascii="Arial" w:cs="Arial" w:eastAsia="Arial" w:hAnsi="Arial"/>
        </w:rPr>
      </w:pPr>
      <w:bookmarkStart w:colFirst="0" w:colLast="0" w:name="_heading=h.3dy6vkm" w:id="6"/>
      <w:bookmarkEnd w:id="6"/>
      <w:r w:rsidDel="00000000" w:rsidR="00000000" w:rsidRPr="00000000">
        <w:rPr>
          <w:rFonts w:ascii="Arial" w:cs="Arial" w:eastAsia="Arial" w:hAnsi="Arial"/>
          <w:rtl w:val="0"/>
        </w:rPr>
        <w:t xml:space="preserve">2.2 Impact of socio and economic factors on the monitoring and management in different work modes</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Pr>
        <w:drawing>
          <wp:inline distB="114300" distT="114300" distL="114300" distR="114300">
            <wp:extent cx="5581650" cy="3248025"/>
            <wp:effectExtent b="12700" l="12700" r="12700" t="12700"/>
            <wp:docPr id="8"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581650" cy="324802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Figure 2: Rate of employability in the UK hospitality industry</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(Source: bbc.com, 2021)</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socio-cultural factors within the hospitality industry are the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changing preferences of the customers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and the economic factor of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employment rate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have an impact on the managing performance of the employees in different work modes. For instance, the increasing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employment rate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is directly relate to providing flexible working modes to the employees. Flexible working modes can improve the satisfaction level of the employees and increase their productivity. This is associated with increasing the retention rate of the employees. The inability to have a flexible and hybrid work pace positively affects the employees to become focused and work effectively. Further, the provision of a positive working culture in the organisation helps the employees to become engaged in the workforce and boosts business growth.     </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the sociocultural factors, the changing preferences of the customers require addressing properly to meet their needs and demands. One of the significant benefits of having working modes is to increase the ability of staff to adapt the seasonal demands and fluctuations. There are different hotels such as Marriott often experience the peak seasons with the increasing demand of consumers. In this scenario, the provisioning of different working modes is important for the employees to work at their convenience and increase their productivity and efficiency levels. With the autonomy for selecting the workplace, customisation of the working arrangements is important for increasing the productivity of the employees. </w:t>
      </w:r>
    </w:p>
    <w:p w:rsidR="00000000" w:rsidDel="00000000" w:rsidP="00000000" w:rsidRDefault="00000000" w:rsidRPr="00000000" w14:paraId="00000051">
      <w:pPr>
        <w:pStyle w:val="Heading2"/>
        <w:rPr>
          <w:rFonts w:ascii="Arial" w:cs="Arial" w:eastAsia="Arial" w:hAnsi="Arial"/>
        </w:rPr>
      </w:pPr>
      <w:bookmarkStart w:colFirst="0" w:colLast="0" w:name="_heading=h.1t3h5sf" w:id="7"/>
      <w:bookmarkEnd w:id="7"/>
      <w:r w:rsidDel="00000000" w:rsidR="00000000" w:rsidRPr="00000000">
        <w:rPr>
          <w:rFonts w:ascii="Arial" w:cs="Arial" w:eastAsia="Arial" w:hAnsi="Arial"/>
          <w:rtl w:val="0"/>
        </w:rPr>
        <w:t xml:space="preserve">2.3 Trends in the industry relating to retention rates, turnover rates</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Pr>
        <w:drawing>
          <wp:inline distB="114300" distT="114300" distL="114300" distR="114300">
            <wp:extent cx="5731200" cy="3949700"/>
            <wp:effectExtent b="12700" l="12700" r="12700" t="12700"/>
            <wp:docPr id="7"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731200" cy="39497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Figure 3: Retention and turnover rate of the employees</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(Source: bbc.com, 2020)</w:t>
      </w: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 per the views of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Bishop,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(2020, p. 317), the turnover rates of the employees refer to the employees having business in any specific timeframe who voluntarily resign. On the other hand, the retention of employees refers to the ability of the business to keep or retain their employees. In the hospitality industry, the turnover of employees has been difficult to manage, as there exist several contributing factors for wanting to leave the jobs. From the perspective of the management, the high rate of employee turnover is difficult to manage and the unsuitability of the employees does not become apparent until the recruitment process. Due to the nature of this industry, staff in the organisations need flexible working modes to adapt to new business situations and meet the needs of the business. Lack of flexibility in work bounds makes the employees manage their work and leads to a high rate of turnover.     </w:t>
      </w:r>
    </w:p>
    <w:p w:rsidR="00000000" w:rsidDel="00000000" w:rsidP="00000000" w:rsidRDefault="00000000" w:rsidRPr="00000000" w14:paraId="00000056">
      <w:pPr>
        <w:pStyle w:val="Heading2"/>
        <w:rPr>
          <w:rFonts w:ascii="Arial" w:cs="Arial" w:eastAsia="Arial" w:hAnsi="Arial"/>
        </w:rPr>
      </w:pPr>
      <w:bookmarkStart w:colFirst="0" w:colLast="0" w:name="_heading=h.4d34og8" w:id="8"/>
      <w:bookmarkEnd w:id="8"/>
      <w:r w:rsidDel="00000000" w:rsidR="00000000" w:rsidRPr="00000000">
        <w:rPr>
          <w:rFonts w:ascii="Arial" w:cs="Arial" w:eastAsia="Arial" w:hAnsi="Arial"/>
          <w:rtl w:val="0"/>
        </w:rPr>
        <w:t xml:space="preserve">2.4 Emerging of the different work modes in the hospitality industry within five years</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114300" distT="114300" distL="114300" distR="114300">
            <wp:extent cx="5731200" cy="3289300"/>
            <wp:effectExtent b="12700" l="12700" r="12700" t="12700"/>
            <wp:docPr id="10"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731200" cy="32893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Figure 4: Impact of flexible working modes within the UK hospitality industry </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(Source: mckinsey.com, 2022)</w:t>
      </w: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Hybrid working mode</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 cited by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Wood,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(2020, p. 147), the hybrid working mode in the hospitality sector refers to the traditional hotel experiences to the rising trends for leisure travellers. The hybrid-working mode entails transforming the hospitality industry into dynamic spaces while working in a seamless manner with relaxation and social interactions. </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Office work arrangement </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office work arrangement is a situation where the worker is required to work a specific number of hours and is allowed to choose the time for arrival and departure termed as mandatory core hours. Although the roles within the hospitality industry are flexible, the main drawback is to involvement of the long working hours. </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Flexible mode</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 per the views of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Bello and Bello,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(2021, p. 91), flexible working hours within the hospitality industry refer to the employees having the independence to manage their working hours at their convenience. There is no provision for shifting and hours for staff to do overwork. </w:t>
      </w:r>
    </w:p>
    <w:p w:rsidR="00000000" w:rsidDel="00000000" w:rsidP="00000000" w:rsidRDefault="00000000" w:rsidRPr="00000000" w14:paraId="00000060">
      <w:pPr>
        <w:pStyle w:val="Heading2"/>
        <w:rPr>
          <w:rFonts w:ascii="Arial" w:cs="Arial" w:eastAsia="Arial" w:hAnsi="Arial"/>
        </w:rPr>
      </w:pPr>
      <w:bookmarkStart w:colFirst="0" w:colLast="0" w:name="_heading=h.2s8eyo1" w:id="9"/>
      <w:bookmarkEnd w:id="9"/>
      <w:r w:rsidDel="00000000" w:rsidR="00000000" w:rsidRPr="00000000">
        <w:rPr>
          <w:rFonts w:ascii="Arial" w:cs="Arial" w:eastAsia="Arial" w:hAnsi="Arial"/>
          <w:rtl w:val="0"/>
        </w:rPr>
        <w:t xml:space="preserve">2.5 Examples of ways for the selected international hotel brand to monitor the management of the employees in different work</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Pr>
        <w:drawing>
          <wp:inline distB="114300" distT="114300" distL="114300" distR="114300">
            <wp:extent cx="5731200" cy="4025900"/>
            <wp:effectExtent b="12700" l="12700" r="12700" t="12700"/>
            <wp:docPr id="9"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731200" cy="40259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Figure 5: Workforce within the UK hospitality industry</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(Source: assets.publishing.service.gov.uk, 2019)</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bookmarkStart w:colFirst="0" w:colLast="0" w:name="_heading=h.17dp8vu" w:id="10"/>
      <w:bookmarkEnd w:id="1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 per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Razzak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et al.</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(2022, p. 65), the management of employee performance is important for the organisation to measure their progress and take initiatives to address potential issues. For example,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Hilton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implements different learning strategies across the employees by conducting annual surveys for employee employees. This helps the organisation to detect the potential of the employees and improve the overall performance.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Radisson UK</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is committed towards its employees and community where the organisational initiatives centre on creating ripple effects to have a positive impact on the employees. The company improves the performance of the employees by creating jobs people development and rewarding opportunities in the diverse and global workforce (radissonhotels.com, 2024). Marriott conducts surveys for their employees to monitor their health and performance in the working environment. With the provision of the organisational culture, the purpose of the surveys is to increase the engagement of the employees. </w:t>
      </w:r>
    </w:p>
    <w:p w:rsidR="00000000" w:rsidDel="00000000" w:rsidP="00000000" w:rsidRDefault="00000000" w:rsidRPr="00000000" w14:paraId="00000065">
      <w:pPr>
        <w:pStyle w:val="Heading2"/>
        <w:rPr>
          <w:rFonts w:ascii="Arial" w:cs="Arial" w:eastAsia="Arial" w:hAnsi="Arial"/>
        </w:rPr>
      </w:pPr>
      <w:bookmarkStart w:colFirst="0" w:colLast="0" w:name="_heading=h.3rdcrjn" w:id="11"/>
      <w:bookmarkEnd w:id="11"/>
      <w:r w:rsidDel="00000000" w:rsidR="00000000" w:rsidRPr="00000000">
        <w:rPr>
          <w:rFonts w:ascii="Arial" w:cs="Arial" w:eastAsia="Arial" w:hAnsi="Arial"/>
          <w:rtl w:val="0"/>
        </w:rPr>
        <w:t xml:space="preserve">2.6 Discussion on the potential solutions </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the context of the potential solutions to employee performance management, there are recommendations for improving internal communication, offering flexible working modes and integrating transparency and feedback methods can be effective initiatives for improving the overall performance of the employees. Internal communication is important for dividing the roles of the employees and reducing the chance of misunderstanding. A flexible working mode can enable employees to work freely and increase their focus on completing tasks. Further flexible working is effective for increasing their retention rate within the hospitality industry. Increasing transparency and feedback methods are important techniques to improve the performance of the employees and build the relationship between management and employees to discuss any challenges and improvements. This can help the industry to address the potential issues and take measures to solve them in an effective manner. </w:t>
      </w:r>
    </w:p>
    <w:p w:rsidR="00000000" w:rsidDel="00000000" w:rsidP="00000000" w:rsidRDefault="00000000" w:rsidRPr="00000000" w14:paraId="00000067">
      <w:pPr>
        <w:pStyle w:val="Heading1"/>
        <w:rPr>
          <w:rFonts w:ascii="Arial" w:cs="Arial" w:eastAsia="Arial" w:hAnsi="Arial"/>
        </w:rPr>
      </w:pPr>
      <w:bookmarkStart w:colFirst="0" w:colLast="0" w:name="_heading=h.26in1rg" w:id="12"/>
      <w:bookmarkEnd w:id="12"/>
      <w:r w:rsidDel="00000000" w:rsidR="00000000" w:rsidRPr="00000000">
        <w:rPr>
          <w:rFonts w:ascii="Arial" w:cs="Arial" w:eastAsia="Arial" w:hAnsi="Arial"/>
          <w:rtl w:val="0"/>
        </w:rPr>
        <w:t xml:space="preserve">3. Evaluation and Conclusion </w:t>
      </w:r>
    </w:p>
    <w:p w:rsidR="00000000" w:rsidDel="00000000" w:rsidP="00000000" w:rsidRDefault="00000000" w:rsidRPr="00000000" w14:paraId="00000068">
      <w:pPr>
        <w:pStyle w:val="Heading2"/>
        <w:rPr>
          <w:rFonts w:ascii="Arial" w:cs="Arial" w:eastAsia="Arial" w:hAnsi="Arial"/>
        </w:rPr>
      </w:pPr>
      <w:bookmarkStart w:colFirst="0" w:colLast="0" w:name="_heading=h.lnxbz9" w:id="13"/>
      <w:bookmarkEnd w:id="13"/>
      <w:r w:rsidDel="00000000" w:rsidR="00000000" w:rsidRPr="00000000">
        <w:rPr>
          <w:rFonts w:ascii="Arial" w:cs="Arial" w:eastAsia="Arial" w:hAnsi="Arial"/>
          <w:rtl w:val="0"/>
        </w:rPr>
        <w:t xml:space="preserve">3.1 Summarisation of the findings </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conclusion, the performance of the employees in Hilton Hotel contributes to developing employees and increasing their productivity rate. The maintenance of the performance of the employees is important for achieving the goals and objectives of the organisation. This is a valuable process for both the organisation and the employees to improve the overall profitability. The task addresses factors contributing to the retention and turnover rates of the employees. For example, increasing support, guidance, and motivation are important for the employees to focus and improve their weaknesses. </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There are different working modes such as flexible working mode, office management, and hybrid working mode that have an impact on employee performance. In analysing the sociocultural and economic factors, the increasing rate of employees and meeting the preferences of the customers are contributing factors to providing exceptional experiences to the customers. Well-trained employees can make significant contributions to improve the reputation of the brand and resolve potential issues. In the hospitality industry of Hilton Hotel, the turnover of employees has been difficult to manage leading to high turnover rates and staff shortages.      </w:t>
      </w:r>
    </w:p>
    <w:p w:rsidR="00000000" w:rsidDel="00000000" w:rsidP="00000000" w:rsidRDefault="00000000" w:rsidRPr="00000000" w14:paraId="0000006B">
      <w:pPr>
        <w:pStyle w:val="Heading2"/>
        <w:rPr>
          <w:rFonts w:ascii="Arial" w:cs="Arial" w:eastAsia="Arial" w:hAnsi="Arial"/>
        </w:rPr>
      </w:pPr>
      <w:bookmarkStart w:colFirst="0" w:colLast="0" w:name="_heading=h.35nkun2" w:id="14"/>
      <w:bookmarkEnd w:id="14"/>
      <w:r w:rsidDel="00000000" w:rsidR="00000000" w:rsidRPr="00000000">
        <w:rPr>
          <w:rFonts w:ascii="Arial" w:cs="Arial" w:eastAsia="Arial" w:hAnsi="Arial"/>
          <w:rtl w:val="0"/>
        </w:rPr>
        <w:t xml:space="preserve">3.2 Solutions as recommendations for the chosen business </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Investing in the employees </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chosen organisation Hilton Hotel experiences issues with staff shortages and high turnover rates. It is recommended that the organisation implement reskilling and upskilling initiatives to train the existing employees. This can help the employees to identify their capabilities and learn new skills required for the specific job role. Apart from that, offering rewards or incentives can motivate the employees to work harder and provide opportunities to develop and grow. </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Internal communication </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Hilton can include internal communication to keep the employees informed regarding their roles and responsibilities. The purpose of internal communication is to have an effective flow of information and reduce the chance of misunderstanding. This can further increase the engagement of the employees while interacting with other co-workers and promote a positive working environment. As the transition of the organisation falls due to inadequate communication within the organisation, internal communication can be beneficial for Hilton to increase the productivity and engagement of the employees. </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Offering flexible working </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Hilton can offer flexible working for the employees such as part-time work, or flexible scheduling.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Flexible work modes tend to provide employees autonomy and control of their tasks.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By offering these options, businesses can create an accommodating working environment that benefits the employees to meet their professional and personal needs and reduce turnover rates. </w:t>
      </w:r>
      <w:r w:rsidDel="00000000" w:rsidR="00000000" w:rsidRPr="00000000">
        <w:br w:type="page"/>
      </w:r>
      <w:r w:rsidDel="00000000" w:rsidR="00000000" w:rsidRPr="00000000">
        <w:rPr>
          <w:rtl w:val="0"/>
        </w:rPr>
      </w:r>
    </w:p>
    <w:p w:rsidR="00000000" w:rsidDel="00000000" w:rsidP="00000000" w:rsidRDefault="00000000" w:rsidRPr="00000000" w14:paraId="00000072">
      <w:pPr>
        <w:pStyle w:val="Heading1"/>
        <w:rPr>
          <w:rFonts w:ascii="Arial" w:cs="Arial" w:eastAsia="Arial" w:hAnsi="Arial"/>
        </w:rPr>
      </w:pPr>
      <w:bookmarkStart w:colFirst="0" w:colLast="0" w:name="_heading=h.1ksv4uv" w:id="15"/>
      <w:bookmarkEnd w:id="15"/>
      <w:r w:rsidDel="00000000" w:rsidR="00000000" w:rsidRPr="00000000">
        <w:rPr>
          <w:rFonts w:ascii="Arial" w:cs="Arial" w:eastAsia="Arial" w:hAnsi="Arial"/>
          <w:rtl w:val="0"/>
        </w:rPr>
        <w:t xml:space="preserve">References </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assets.publishing.service.gov.uk , (2019). Hospitality and Tourism workforce landscape A research report mapping the sector workforce landscape for the Department for Digital, Culture, Media and Sport Hospitality and Tourism workforce landscape |. [online] Available at:</w:t>
      </w:r>
      <w:hyperlink r:id="rId1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hyperlink>
      <w:hyperlink r:id="rId13">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https://assets.publishing.service.gov.uk/media/5d67a363ed915d53b4904899/Hospitality_and_Tourism_Workforce_Landscape.pdf</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bbc.com , (2020). Hospitality worst-hit as unemployment rises again. [online] Bbc.com. Available at: https://www.bbc.com/news/business-55313752 [Accessed 1 May 2024].</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bbc.com , (2021). Where have all the UK workers gone? [online] Bbc.com. Available at: https://www.bbc.com/news/business-57400560 [Accessed 1 May 2024].</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Bello, M.B. and Bello, Y.O., (2021). Personality traits and employees’ job performance in hotel industry.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Tourism Theory and Research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7</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pp.85-96.</w:t>
      </w:r>
      <w:hyperlink r:id="rId1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hyperlink>
      <w:hyperlink r:id="rId15">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https://dergipark.org.tr/en/pub/jttr/article/859088</w:t>
        </w:r>
      </w:hyperlink>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singl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Bishop, D., (2020). Firm size and workplace learning processes: a study of the restaurant sector.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European Journal of Training and Development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44</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(2/3), pp.305-320.</w:t>
      </w:r>
      <w:hyperlink r:id="rId1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hyperlink>
      <w:hyperlink r:id="rId17">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https://www.emerald.com/insight/content/doi/10.1108/EJTD-08-2019-0139/full/html</w:t>
        </w:r>
      </w:hyperlink>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singl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Buhalis, D., Lin, M.S. and Leung, D., (2022). Metaverse as a driver for customer experience and value co-creation: implications for hospitality and tourism management and marketing.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Journal of Contemporary Hospitality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35</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pp.701-716.</w:t>
      </w:r>
      <w:hyperlink r:id="rId1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hyperlink>
      <w:hyperlink r:id="rId19">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https://www.emerald.com/insight/content/doi/10.1108/IJCHM-05-2022-0631</w:t>
        </w:r>
      </w:hyperlink>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singl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Calinaud, V., Kokkranikal, J. and Gebbels, M., (2021). Career advancement for women in the British hospitality industry: The enabling factors.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Work, Employment and Society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35</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 pp.677-695.</w:t>
      </w:r>
      <w:hyperlink r:id="rId2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hyperlink>
      <w:hyperlink r:id="rId21">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https://journals.sagepub.com/doi/abs/10.1177/0950017020967208</w:t>
        </w:r>
      </w:hyperlink>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hilton.com, 2024. Hilton.com.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Hotels in United Kingdom - Find Hotels - Hilton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https://www.hilton.com/en/locations/united-kingdom/ [Accessed 1 May 2024].</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mckinsey.com , (2022). How to ‘ACE’ hospitality recruitment. [online] McKinsey &amp; Company. Available at: https://www.mckinsey.com/industries/travel-logistics-and-infrastructure/our-insights/how-to-ace-hospitality-recruitment [Accessed 1 May 2024].</w:t>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singl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Piso, A., (2022). Controlling the clock: Working hours in the UK hotel sector.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Research in Hospitality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12</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pp.1-11.</w:t>
      </w:r>
      <w:hyperlink r:id="rId2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hyperlink>
      <w:hyperlink r:id="rId23">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https://www.ajol.info/index.php/rhm/article/view/230160</w:t>
        </w:r>
      </w:hyperlink>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radissonhotels.com , (2024). People - Corporate Social Responsibility | Radisson Hotels. [online] Radisson Hotel Group. Available at: https://www.radissonhotels.com/en-us/corporate/responsible-business/people [Accessed 1 May 2024].</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singl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Razzak, B.M., Blackburn, R. and Saridakis, G., (2022). Employees' working life and performance of UK ethnic minority restaurants: a qualitative approach.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Benchmarking: An International Journal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29</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pp.47-67.</w:t>
      </w:r>
      <w:hyperlink r:id="rId2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hyperlink>
      <w:hyperlink r:id="rId25">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https://www.emerald.com/insight/content/doi/10.1108/BIJ-08-2020-0436/full/html</w:t>
        </w:r>
      </w:hyperlink>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singl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Wood, R.C., (2020). Perspectives on hospitality industry trade unionism in the UK and beyond.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Research in Hospitality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10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pp.137-147.</w:t>
      </w:r>
      <w:hyperlink r:id="rId2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hyperlink>
      <w:hyperlink r:id="rId27">
        <w:r w:rsidDel="00000000" w:rsidR="00000000" w:rsidRPr="00000000">
          <w:rPr>
            <w:rFonts w:ascii="Arial" w:cs="Arial" w:eastAsia="Arial" w:hAnsi="Arial"/>
            <w:b w:val="0"/>
            <w:i w:val="0"/>
            <w:smallCaps w:val="0"/>
            <w:strike w:val="0"/>
            <w:color w:val="000000"/>
            <w:sz w:val="24"/>
            <w:szCs w:val="24"/>
            <w:u w:val="single"/>
            <w:shd w:fill="auto" w:val="clear"/>
            <w:vertAlign w:val="baseline"/>
            <w:rtl w:val="0"/>
          </w:rPr>
          <w:t xml:space="preserve">https://www.tandfonline.com/doi/abs/10.1080/22243534.2020.1869456</w:t>
        </w:r>
      </w:hyperlink>
      <w:r w:rsidDel="00000000" w:rsidR="00000000" w:rsidRPr="00000000">
        <w:rPr>
          <w:rtl w:val="0"/>
        </w:rPr>
      </w:r>
    </w:p>
    <w:sectPr>
      <w:footerReference r:id="rId2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sid w:val="004B77B5"/>
  </w:style>
  <w:style w:type="paragraph" w:styleId="Heading1">
    <w:name w:val="heading 1"/>
    <w:basedOn w:val="Normal1"/>
    <w:next w:val="Normal1"/>
    <w:pPr>
      <w:keepNext w:val="1"/>
      <w:keepLines w:val="1"/>
      <w:spacing w:line="360" w:lineRule="auto"/>
      <w:jc w:val="both"/>
      <w:outlineLvl w:val="0"/>
    </w:pPr>
    <w:rPr>
      <w:rFonts w:ascii="Times New Roman" w:cs="Times New Roman" w:eastAsia="Times New Roman" w:hAnsi="Times New Roman"/>
      <w:b w:val="1"/>
      <w:sz w:val="24"/>
      <w:szCs w:val="24"/>
    </w:rPr>
  </w:style>
  <w:style w:type="paragraph" w:styleId="Heading2">
    <w:name w:val="heading 2"/>
    <w:basedOn w:val="Normal1"/>
    <w:next w:val="Normal1"/>
    <w:pPr>
      <w:keepNext w:val="1"/>
      <w:keepLines w:val="1"/>
      <w:spacing w:line="360" w:lineRule="auto"/>
      <w:jc w:val="both"/>
      <w:outlineLvl w:val="1"/>
    </w:pPr>
    <w:rPr>
      <w:rFonts w:ascii="Times New Roman" w:cs="Times New Roman" w:eastAsia="Times New Roman" w:hAnsi="Times New Roman"/>
      <w:b w:val="1"/>
      <w:sz w:val="24"/>
      <w:szCs w:val="24"/>
    </w:rPr>
  </w:style>
  <w:style w:type="paragraph" w:styleId="Heading3">
    <w:name w:val="heading 3"/>
    <w:basedOn w:val="Normal1"/>
    <w:next w:val="Normal1"/>
    <w:pPr>
      <w:keepNext w:val="1"/>
      <w:keepLines w:val="1"/>
      <w:spacing w:after="80" w:before="320"/>
      <w:outlineLvl w:val="2"/>
    </w:pPr>
    <w:rPr>
      <w:color w:val="434343"/>
      <w:sz w:val="28"/>
      <w:szCs w:val="28"/>
    </w:rPr>
  </w:style>
  <w:style w:type="paragraph" w:styleId="Heading4">
    <w:name w:val="heading 4"/>
    <w:basedOn w:val="Normal1"/>
    <w:next w:val="Normal1"/>
    <w:pPr>
      <w:keepNext w:val="1"/>
      <w:keepLines w:val="1"/>
      <w:spacing w:after="80" w:before="280"/>
      <w:outlineLvl w:val="3"/>
    </w:pPr>
    <w:rPr>
      <w:color w:val="666666"/>
      <w:sz w:val="24"/>
      <w:szCs w:val="24"/>
    </w:rPr>
  </w:style>
  <w:style w:type="paragraph" w:styleId="Heading5">
    <w:name w:val="heading 5"/>
    <w:basedOn w:val="Normal1"/>
    <w:next w:val="Normal1"/>
    <w:pPr>
      <w:keepNext w:val="1"/>
      <w:keepLines w:val="1"/>
      <w:spacing w:after="80" w:before="240"/>
      <w:outlineLvl w:val="4"/>
    </w:pPr>
    <w:rPr>
      <w:color w:val="666666"/>
    </w:rPr>
  </w:style>
  <w:style w:type="paragraph" w:styleId="Heading6">
    <w:name w:val="heading 6"/>
    <w:basedOn w:val="Normal1"/>
    <w:next w:val="Norm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1"/>
  </w:style>
  <w:style w:type="table" w:styleId="TableNormal1" w:customStyle="1">
    <w:name w:val="Table Normal1"/>
    <w:tblPr>
      <w:tblCellMar>
        <w:top w:w="0.0" w:type="dxa"/>
        <w:left w:w="0.0" w:type="dxa"/>
        <w:bottom w:w="0.0" w:type="dxa"/>
        <w:right w:w="0.0" w:type="dxa"/>
      </w:tblCellMar>
    </w:tblPr>
  </w:style>
  <w:style w:type="paragraph" w:styleId="Title">
    <w:name w:val="Title"/>
    <w:basedOn w:val="Normal1"/>
    <w:next w:val="Normal1"/>
    <w:pPr>
      <w:keepNext w:val="1"/>
      <w:keepLines w:val="1"/>
      <w:spacing w:after="60"/>
    </w:pPr>
    <w:rPr>
      <w:sz w:val="52"/>
      <w:szCs w:val="52"/>
    </w:rPr>
  </w:style>
  <w:style w:type="paragraph" w:styleId="Subtitle">
    <w:name w:val="Subtitle"/>
    <w:basedOn w:val="Normal1"/>
    <w:next w:val="Normal1"/>
    <w:pPr>
      <w:keepNext w:val="1"/>
      <w:keepLines w:val="1"/>
      <w:spacing w:after="320"/>
    </w:pPr>
    <w:rPr>
      <w:color w:val="666666"/>
      <w:sz w:val="30"/>
      <w:szCs w:val="30"/>
    </w:rPr>
  </w:style>
  <w:style w:type="table" w:styleId="Table1" w:customStyle="1">
    <w:name w:val="Table1"/>
    <w:basedOn w:val="TableNormal1"/>
    <w:tblPr>
      <w:tblStyleRowBandSize w:val="1"/>
      <w:tblStyleColBandSize w:val="1"/>
      <w:tblCellMar>
        <w:top w:w="100.0" w:type="dxa"/>
        <w:left w:w="100.0" w:type="dxa"/>
        <w:bottom w:w="100.0" w:type="dxa"/>
        <w:right w:w="100.0" w:type="dxa"/>
      </w:tblCellMar>
    </w:tblPr>
  </w:style>
  <w:style w:type="table" w:styleId="Table2" w:customStyle="1">
    <w:name w:val="Table2"/>
    <w:basedOn w:val="TableNormal1"/>
    <w:tblPr>
      <w:tblStyleRowBandSize w:val="1"/>
      <w:tblStyleColBandSize w:val="1"/>
      <w:tblCellMar>
        <w:top w:w="100.0" w:type="dxa"/>
        <w:left w:w="100.0" w:type="dxa"/>
        <w:bottom w:w="100.0" w:type="dxa"/>
        <w:right w:w="100.0" w:type="dxa"/>
      </w:tblCellMar>
    </w:tblPr>
  </w:style>
  <w:style w:type="paragraph" w:styleId="CommentText">
    <w:name w:val="annotation text"/>
    <w:basedOn w:val="Normal"/>
    <w:link w:val="CommentTextChar"/>
    <w:uiPriority w:val="99"/>
    <w:semiHidden w:val="1"/>
    <w:unhideWhenUsed w:val="1"/>
    <w:pPr>
      <w:spacing w:line="240" w:lineRule="auto"/>
    </w:pPr>
    <w:rPr>
      <w:sz w:val="20"/>
      <w:szCs w:val="20"/>
    </w:rPr>
  </w:style>
  <w:style w:type="character" w:styleId="CommentTextChar" w:customStyle="1">
    <w:name w:val="Comment Text Char"/>
    <w:basedOn w:val="DefaultParagraphFont"/>
    <w:link w:val="CommentText"/>
    <w:uiPriority w:val="99"/>
    <w:semiHidden w:val="1"/>
    <w:rPr>
      <w:sz w:val="20"/>
      <w:szCs w:val="20"/>
    </w:rPr>
  </w:style>
  <w:style w:type="character" w:styleId="CommentReference">
    <w:name w:val="annotation reference"/>
    <w:basedOn w:val="DefaultParagraphFont"/>
    <w:uiPriority w:val="99"/>
    <w:semiHidden w:val="1"/>
    <w:unhideWhenUsed w:val="1"/>
    <w:rPr>
      <w:sz w:val="16"/>
      <w:szCs w:val="16"/>
    </w:rPr>
  </w:style>
  <w:style w:type="paragraph" w:styleId="Header">
    <w:name w:val="header"/>
    <w:basedOn w:val="Normal"/>
    <w:link w:val="HeaderChar"/>
    <w:uiPriority w:val="99"/>
    <w:unhideWhenUsed w:val="1"/>
    <w:rsid w:val="00282015"/>
    <w:pPr>
      <w:tabs>
        <w:tab w:val="center" w:pos="4513"/>
        <w:tab w:val="right" w:pos="9026"/>
      </w:tabs>
      <w:spacing w:line="240" w:lineRule="auto"/>
    </w:pPr>
  </w:style>
  <w:style w:type="character" w:styleId="HeaderChar" w:customStyle="1">
    <w:name w:val="Header Char"/>
    <w:basedOn w:val="DefaultParagraphFont"/>
    <w:link w:val="Header"/>
    <w:uiPriority w:val="99"/>
    <w:rsid w:val="00282015"/>
  </w:style>
  <w:style w:type="paragraph" w:styleId="Footer">
    <w:name w:val="footer"/>
    <w:basedOn w:val="Normal"/>
    <w:link w:val="FooterChar"/>
    <w:uiPriority w:val="99"/>
    <w:unhideWhenUsed w:val="1"/>
    <w:rsid w:val="00282015"/>
    <w:pPr>
      <w:tabs>
        <w:tab w:val="center" w:pos="4513"/>
        <w:tab w:val="right" w:pos="9026"/>
      </w:tabs>
      <w:spacing w:line="240" w:lineRule="auto"/>
    </w:pPr>
  </w:style>
  <w:style w:type="character" w:styleId="FooterChar" w:customStyle="1">
    <w:name w:val="Footer Char"/>
    <w:basedOn w:val="DefaultParagraphFont"/>
    <w:link w:val="Footer"/>
    <w:uiPriority w:val="99"/>
    <w:rsid w:val="00282015"/>
  </w:style>
  <w:style w:type="paragraph" w:styleId="TOCHeading">
    <w:name w:val="TOC Heading"/>
    <w:basedOn w:val="Heading1"/>
    <w:next w:val="Normal"/>
    <w:uiPriority w:val="39"/>
    <w:unhideWhenUsed w:val="1"/>
    <w:qFormat w:val="1"/>
    <w:rsid w:val="00A64421"/>
    <w:pPr>
      <w:spacing w:before="240" w:line="259" w:lineRule="auto"/>
      <w:jc w:val="left"/>
      <w:outlineLvl w:val="9"/>
    </w:pPr>
    <w:rPr>
      <w:rFonts w:asciiTheme="majorHAnsi" w:cstheme="majorBidi" w:eastAsiaTheme="majorEastAsia" w:hAnsiTheme="majorHAnsi"/>
      <w:b w:val="0"/>
      <w:color w:val="365f91" w:themeColor="accent1" w:themeShade="0000BF"/>
      <w:sz w:val="32"/>
      <w:szCs w:val="32"/>
      <w:lang w:val="en-US"/>
    </w:rPr>
  </w:style>
  <w:style w:type="paragraph" w:styleId="TOC1">
    <w:name w:val="toc 1"/>
    <w:basedOn w:val="Normal"/>
    <w:next w:val="Normal"/>
    <w:autoRedefine w:val="1"/>
    <w:uiPriority w:val="39"/>
    <w:unhideWhenUsed w:val="1"/>
    <w:rsid w:val="00A64421"/>
    <w:pPr>
      <w:spacing w:after="100"/>
    </w:pPr>
  </w:style>
  <w:style w:type="paragraph" w:styleId="TOC2">
    <w:name w:val="toc 2"/>
    <w:basedOn w:val="Normal"/>
    <w:next w:val="Normal"/>
    <w:autoRedefine w:val="1"/>
    <w:uiPriority w:val="39"/>
    <w:unhideWhenUsed w:val="1"/>
    <w:rsid w:val="00A64421"/>
    <w:pPr>
      <w:spacing w:after="100"/>
      <w:ind w:left="220"/>
    </w:pPr>
  </w:style>
  <w:style w:type="character" w:styleId="Hyperlink">
    <w:name w:val="Hyperlink"/>
    <w:basedOn w:val="DefaultParagraphFont"/>
    <w:uiPriority w:val="99"/>
    <w:unhideWhenUsed w:val="1"/>
    <w:rsid w:val="00A64421"/>
    <w:rPr>
      <w:color w:val="0000ff" w:themeColor="hyperlink"/>
      <w:u w:val="single"/>
    </w:rPr>
  </w:style>
  <w:style w:type="table" w:styleId="GridTable5Dark-Accent1">
    <w:name w:val="Grid Table 5 Dark Accent 1"/>
    <w:basedOn w:val="TableNormal"/>
    <w:uiPriority w:val="50"/>
    <w:rsid w:val="00A07004"/>
    <w:pPr>
      <w:spacing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dbe5f1" w:themeFill="accent1"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4f81bd" w:themeFill="accent1"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4f81bd" w:themeFill="accent1"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4f81bd" w:themeFill="accent1"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4f81bd" w:themeFill="accent1" w:val="clear"/>
      </w:tcPr>
    </w:tblStylePr>
    <w:tblStylePr w:type="band1Vert">
      <w:tblPr/>
      <w:tcPr>
        <w:shd w:color="auto" w:fill="b8cce4" w:themeFill="accent1" w:themeFillTint="000066" w:val="clear"/>
      </w:tcPr>
    </w:tblStylePr>
    <w:tblStylePr w:type="band1Horz">
      <w:tblPr/>
      <w:tcPr>
        <w:shd w:color="auto" w:fill="b8cce4" w:themeFill="accent1" w:themeFillTint="000066" w:val="clear"/>
      </w:tcPr>
    </w:tblStylePr>
  </w:style>
  <w:style w:type="table" w:styleId="GridTable5Dark">
    <w:name w:val="Grid Table 5 Dark"/>
    <w:basedOn w:val="TableNormal"/>
    <w:uiPriority w:val="50"/>
    <w:rsid w:val="00A07004"/>
    <w:pPr>
      <w:spacing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cccccc" w:themeFill="text1"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000000" w:themeFill="text1"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000000" w:themeFill="text1"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000000" w:themeFill="text1"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000000" w:themeFill="text1" w:val="clear"/>
      </w:tcPr>
    </w:tblStylePr>
    <w:tblStylePr w:type="band1Vert">
      <w:tblPr/>
      <w:tcPr>
        <w:shd w:color="auto" w:fill="999999" w:themeFill="text1" w:themeFillTint="000066" w:val="clear"/>
      </w:tcPr>
    </w:tblStylePr>
    <w:tblStylePr w:type="band1Horz">
      <w:tblPr/>
      <w:tcPr>
        <w:shd w:color="auto" w:fill="999999" w:themeFill="text1" w:themeFillTint="000066" w:val="clear"/>
      </w:tcPr>
    </w:tblStyle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pPr>
      <w:spacing w:line="240" w:lineRule="auto"/>
    </w:pPr>
    <w:tblPr>
      <w:tblStyleRowBandSize w:val="1"/>
      <w:tblStyleColBandSize w:val="1"/>
      <w:tblCellMar>
        <w:top w:w="0.0" w:type="dxa"/>
        <w:left w:w="115.0" w:type="dxa"/>
        <w:bottom w:w="0.0" w:type="dxa"/>
        <w:right w:w="115.0" w:type="dxa"/>
      </w:tblCellMar>
    </w:tblPr>
    <w:tcPr>
      <w:shd w:fill="cccccc" w:val="clear"/>
    </w:tcPr>
    <w:tblStylePr w:type="band1Horz">
      <w:tcPr>
        <w:shd w:fill="b8cce4" w:val="clear"/>
      </w:tcPr>
    </w:tblStylePr>
    <w:tblStylePr w:type="band1Vert">
      <w:tcPr>
        <w:shd w:fill="b8cce4"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4f81bd"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f81bd"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4f81bd"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f81bd" w:val="clear"/>
      </w:tcPr>
    </w:tblStylePr>
  </w:style>
  <w:style w:type="table" w:styleId="Table2">
    <w:basedOn w:val="TableNormal"/>
    <w:pPr>
      <w:spacing w:line="240" w:lineRule="auto"/>
    </w:pPr>
    <w:tblPr>
      <w:tblStyleRowBandSize w:val="1"/>
      <w:tblStyleColBandSize w:val="1"/>
      <w:tblCellMar>
        <w:top w:w="0.0" w:type="dxa"/>
        <w:left w:w="115.0" w:type="dxa"/>
        <w:bottom w:w="0.0" w:type="dxa"/>
        <w:right w:w="115.0" w:type="dxa"/>
      </w:tblCellMar>
    </w:tblPr>
    <w:tcPr>
      <w:shd w:fill="cccccc" w:val="clear"/>
    </w:tcPr>
    <w:tblStylePr w:type="band1Horz">
      <w:tcPr>
        <w:shd w:fill="999999" w:val="clear"/>
      </w:tcPr>
    </w:tblStylePr>
    <w:tblStylePr w:type="band1Vert">
      <w:tcPr>
        <w:shd w:fill="999999"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000000"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000000"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000000"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000000" w:val="clear"/>
      </w:tcPr>
    </w:tblStylePr>
  </w:style>
</w:styles>
</file>

<file path=word/_rels/document.xml.rels><?xml version="1.0" encoding="UTF-8" standalone="yes"?><Relationships xmlns="http://schemas.openxmlformats.org/package/2006/relationships"><Relationship Id="rId20" Type="http://schemas.openxmlformats.org/officeDocument/2006/relationships/hyperlink" Target="https://journals.sagepub.com/doi/abs/10.1177/0950017020967208" TargetMode="External"/><Relationship Id="rId22" Type="http://schemas.openxmlformats.org/officeDocument/2006/relationships/hyperlink" Target="https://www.ajol.info/index.php/rhm/article/view/230160" TargetMode="External"/><Relationship Id="rId21" Type="http://schemas.openxmlformats.org/officeDocument/2006/relationships/hyperlink" Target="https://journals.sagepub.com/doi/abs/10.1177/0950017020967208" TargetMode="External"/><Relationship Id="rId24" Type="http://schemas.openxmlformats.org/officeDocument/2006/relationships/hyperlink" Target="https://www.emerald.com/insight/content/doi/10.1108/BIJ-08-2020-0436/full/html" TargetMode="External"/><Relationship Id="rId23" Type="http://schemas.openxmlformats.org/officeDocument/2006/relationships/hyperlink" Target="https://www.ajol.info/index.php/rhm/article/view/23016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hyperlink" Target="https://www.tandfonline.com/doi/abs/10.1080/22243534.2020.1869456" TargetMode="External"/><Relationship Id="rId25" Type="http://schemas.openxmlformats.org/officeDocument/2006/relationships/hyperlink" Target="https://www.emerald.com/insight/content/doi/10.1108/BIJ-08-2020-0436/full/html" TargetMode="External"/><Relationship Id="rId28" Type="http://schemas.openxmlformats.org/officeDocument/2006/relationships/footer" Target="footer1.xml"/><Relationship Id="rId27" Type="http://schemas.openxmlformats.org/officeDocument/2006/relationships/hyperlink" Target="https://www.tandfonline.com/doi/abs/10.1080/22243534.2020.1869456"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 Id="rId11" Type="http://schemas.openxmlformats.org/officeDocument/2006/relationships/image" Target="media/image5.png"/><Relationship Id="rId10" Type="http://schemas.openxmlformats.org/officeDocument/2006/relationships/image" Target="media/image4.png"/><Relationship Id="rId13" Type="http://schemas.openxmlformats.org/officeDocument/2006/relationships/hyperlink" Target="https://assets.publishing.service.gov.uk/media/5d67a363ed915d53b4904899/Hospitality_and_Tourism_Workforce_Landscape.pdf" TargetMode="External"/><Relationship Id="rId12" Type="http://schemas.openxmlformats.org/officeDocument/2006/relationships/hyperlink" Target="https://assets.publishing.service.gov.uk/media/5d67a363ed915d53b4904899/Hospitality_and_Tourism_Workforce_Landscape.pdf" TargetMode="External"/><Relationship Id="rId15" Type="http://schemas.openxmlformats.org/officeDocument/2006/relationships/hyperlink" Target="https://dergipark.org.tr/en/pub/jttr/article/859088" TargetMode="External"/><Relationship Id="rId14" Type="http://schemas.openxmlformats.org/officeDocument/2006/relationships/hyperlink" Target="https://dergipark.org.tr/en/pub/jttr/article/859088" TargetMode="External"/><Relationship Id="rId17" Type="http://schemas.openxmlformats.org/officeDocument/2006/relationships/hyperlink" Target="https://www.emerald.com/insight/content/doi/10.1108/EJTD-08-2019-0139/full/html" TargetMode="External"/><Relationship Id="rId16" Type="http://schemas.openxmlformats.org/officeDocument/2006/relationships/hyperlink" Target="https://www.emerald.com/insight/content/doi/10.1108/EJTD-08-2019-0139/full/html" TargetMode="External"/><Relationship Id="rId19" Type="http://schemas.openxmlformats.org/officeDocument/2006/relationships/hyperlink" Target="https://www.emerald.com/insight/content/doi/10.1108/IJCHM-05-2022-0631" TargetMode="External"/><Relationship Id="rId18" Type="http://schemas.openxmlformats.org/officeDocument/2006/relationships/hyperlink" Target="https://www.emerald.com/insight/content/doi/10.1108/IJCHM-05-2022-06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OdsApZ8vx3LGjoAIH5IFZB3Uwg==">CgMxLjAyCGguZ2pkZ3hzMgloLjMwajB6bGwyCWguMWZvYjl0ZTIJaC4zem55c2g3MgloLjJldDkycDAyCGgudHlqY3d0MgloLjNkeTZ2a20yCWguMXQzaDVzZjIJaC40ZDM0b2c4MgloLjJzOGV5bzEyCWguMTdkcDh2dTIJaC4zcmRjcmpuMgloLjI2aW4xcmcyCGgubG54Yno5MgloLjM1bmt1bjIyCWguMWtzdjR1djgAciExMVV3Q1RCMFFuajdNWVF4bXk1VWcwWHB3TkJnMEFYMm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2024-05-01T11:23:00Z</dcterms:created>
  <dc:creator>user</dc:creator>
</cp:coreProperties>
</file>