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20A40" w14:textId="77777777" w:rsidR="00272549" w:rsidRDefault="00272549" w:rsidP="00272549">
      <w:pPr>
        <w:spacing w:line="480" w:lineRule="auto"/>
        <w:rPr>
          <w:rFonts w:asciiTheme="minorHAnsi" w:hAnsiTheme="minorHAnsi" w:cstheme="minorHAnsi"/>
          <w:sz w:val="24"/>
          <w:szCs w:val="24"/>
        </w:rPr>
      </w:pPr>
    </w:p>
    <w:p w14:paraId="0C701650" w14:textId="77777777" w:rsidR="00272549" w:rsidRDefault="00272549" w:rsidP="00272549">
      <w:pPr>
        <w:spacing w:line="480" w:lineRule="auto"/>
        <w:jc w:val="center"/>
        <w:rPr>
          <w:rFonts w:asciiTheme="minorHAnsi" w:hAnsiTheme="minorHAnsi" w:cstheme="minorHAnsi"/>
          <w:sz w:val="24"/>
          <w:szCs w:val="24"/>
        </w:rPr>
      </w:pPr>
      <w:r>
        <w:fldChar w:fldCharType="begin"/>
      </w:r>
      <w:r>
        <w:instrText xml:space="preserve"> INCLUDEPICTURE "/Users/emilyrabreu/Library/Group Containers/UBF8T346G9.ms/WebArchiveCopyPasteTempFiles/com.microsoft.Word/-wodkcm7_400x400.png" \* MERGEFORMATINET </w:instrText>
      </w:r>
      <w:r>
        <w:fldChar w:fldCharType="separate"/>
      </w:r>
      <w:r>
        <w:rPr>
          <w:noProof/>
        </w:rPr>
        <w:drawing>
          <wp:inline distT="0" distB="0" distL="0" distR="0" wp14:anchorId="4CE11F22" wp14:editId="73744572">
            <wp:extent cx="3771900" cy="4051300"/>
            <wp:effectExtent l="0" t="0" r="0" b="0"/>
            <wp:docPr id="1299457914" name="Picture 1" descr="UWTSDLondon (@UWTSDLondon)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ndon (@UWTSDLondon) / 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900" cy="4051300"/>
                    </a:xfrm>
                    <a:prstGeom prst="rect">
                      <a:avLst/>
                    </a:prstGeom>
                    <a:noFill/>
                    <a:ln>
                      <a:noFill/>
                    </a:ln>
                  </pic:spPr>
                </pic:pic>
              </a:graphicData>
            </a:graphic>
          </wp:inline>
        </w:drawing>
      </w:r>
      <w:r>
        <w:fldChar w:fldCharType="end"/>
      </w:r>
    </w:p>
    <w:p w14:paraId="4314C577" w14:textId="1C058785" w:rsidR="00272549" w:rsidRDefault="00272549" w:rsidP="00272549">
      <w:pPr>
        <w:spacing w:line="360" w:lineRule="auto"/>
        <w:jc w:val="center"/>
        <w:rPr>
          <w:rFonts w:asciiTheme="minorHAnsi" w:hAnsiTheme="minorHAnsi" w:cstheme="minorHAnsi"/>
          <w:sz w:val="24"/>
          <w:szCs w:val="24"/>
        </w:rPr>
      </w:pPr>
      <w:r>
        <w:rPr>
          <w:rFonts w:asciiTheme="minorHAnsi" w:hAnsiTheme="minorHAnsi" w:cstheme="minorHAnsi"/>
          <w:sz w:val="24"/>
          <w:szCs w:val="24"/>
        </w:rPr>
        <w:t>LCBM7002</w:t>
      </w:r>
    </w:p>
    <w:p w14:paraId="6E2331FC" w14:textId="77777777" w:rsidR="00272549" w:rsidRDefault="00272549" w:rsidP="00272549">
      <w:pPr>
        <w:spacing w:line="360" w:lineRule="auto"/>
        <w:jc w:val="center"/>
        <w:rPr>
          <w:rFonts w:asciiTheme="minorHAnsi" w:hAnsiTheme="minorHAnsi" w:cstheme="minorHAnsi"/>
          <w:sz w:val="24"/>
          <w:szCs w:val="24"/>
        </w:rPr>
      </w:pPr>
      <w:r>
        <w:rPr>
          <w:rFonts w:asciiTheme="minorHAnsi" w:hAnsiTheme="minorHAnsi" w:cstheme="minorHAnsi"/>
          <w:sz w:val="24"/>
          <w:szCs w:val="24"/>
        </w:rPr>
        <w:t>DAVID COKER</w:t>
      </w:r>
    </w:p>
    <w:p w14:paraId="1027DD42" w14:textId="77777777" w:rsidR="00272549" w:rsidRDefault="00272549" w:rsidP="00272549">
      <w:pPr>
        <w:spacing w:line="360" w:lineRule="auto"/>
        <w:jc w:val="center"/>
        <w:rPr>
          <w:rFonts w:asciiTheme="minorHAnsi" w:hAnsiTheme="minorHAnsi" w:cstheme="minorHAnsi"/>
          <w:b/>
          <w:bCs/>
          <w:sz w:val="24"/>
          <w:szCs w:val="24"/>
        </w:rPr>
      </w:pPr>
      <w:r>
        <w:rPr>
          <w:rFonts w:asciiTheme="minorHAnsi" w:hAnsiTheme="minorHAnsi" w:cstheme="minorHAnsi"/>
          <w:b/>
          <w:bCs/>
          <w:sz w:val="24"/>
          <w:szCs w:val="24"/>
        </w:rPr>
        <w:t>FINANCIAL MANAGEMENT</w:t>
      </w:r>
    </w:p>
    <w:p w14:paraId="12E65258" w14:textId="536977DB" w:rsidR="00272549" w:rsidRDefault="00272549" w:rsidP="00272549">
      <w:pPr>
        <w:spacing w:line="360" w:lineRule="auto"/>
        <w:jc w:val="center"/>
        <w:rPr>
          <w:rFonts w:asciiTheme="minorHAnsi" w:hAnsiTheme="minorHAnsi" w:cstheme="minorHAnsi"/>
          <w:sz w:val="24"/>
          <w:szCs w:val="24"/>
        </w:rPr>
      </w:pPr>
      <w:r>
        <w:rPr>
          <w:rFonts w:asciiTheme="minorHAnsi" w:hAnsiTheme="minorHAnsi" w:cstheme="minorHAnsi"/>
          <w:sz w:val="24"/>
          <w:szCs w:val="24"/>
        </w:rPr>
        <w:t>EMILY RODRIGUES ABREU</w:t>
      </w:r>
    </w:p>
    <w:p w14:paraId="28F1C247" w14:textId="77777777" w:rsidR="00272549" w:rsidRDefault="00272549" w:rsidP="00272549">
      <w:pPr>
        <w:spacing w:line="360" w:lineRule="auto"/>
        <w:jc w:val="center"/>
        <w:rPr>
          <w:rFonts w:asciiTheme="minorHAnsi" w:hAnsiTheme="minorHAnsi" w:cstheme="minorHAnsi"/>
          <w:sz w:val="24"/>
          <w:szCs w:val="24"/>
        </w:rPr>
      </w:pPr>
      <w:r>
        <w:rPr>
          <w:rFonts w:asciiTheme="minorHAnsi" w:hAnsiTheme="minorHAnsi" w:cstheme="minorHAnsi"/>
          <w:sz w:val="24"/>
          <w:szCs w:val="24"/>
        </w:rPr>
        <w:t>2327330</w:t>
      </w:r>
    </w:p>
    <w:p w14:paraId="5DB6E7A2" w14:textId="209B4011" w:rsidR="00272549" w:rsidRDefault="00272549" w:rsidP="00272549">
      <w:pPr>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WORD COUNT: </w:t>
      </w:r>
      <w:r w:rsidR="002A1B88">
        <w:rPr>
          <w:rFonts w:asciiTheme="minorHAnsi" w:hAnsiTheme="minorHAnsi" w:cstheme="minorHAnsi"/>
          <w:sz w:val="24"/>
          <w:szCs w:val="24"/>
        </w:rPr>
        <w:t>5378</w:t>
      </w:r>
    </w:p>
    <w:p w14:paraId="393649C6" w14:textId="77777777" w:rsidR="00272549" w:rsidRDefault="00272549" w:rsidP="00272549">
      <w:pPr>
        <w:spacing w:line="360" w:lineRule="auto"/>
        <w:jc w:val="center"/>
        <w:rPr>
          <w:rFonts w:asciiTheme="minorHAnsi" w:hAnsiTheme="minorHAnsi" w:cstheme="minorHAnsi"/>
          <w:sz w:val="24"/>
          <w:szCs w:val="24"/>
        </w:rPr>
      </w:pPr>
    </w:p>
    <w:p w14:paraId="40EA4D36" w14:textId="77777777" w:rsidR="00272549" w:rsidRDefault="00272549" w:rsidP="00272549">
      <w:pPr>
        <w:spacing w:line="360" w:lineRule="auto"/>
        <w:jc w:val="center"/>
        <w:rPr>
          <w:rFonts w:asciiTheme="minorHAnsi" w:hAnsiTheme="minorHAnsi" w:cstheme="minorHAnsi"/>
          <w:sz w:val="24"/>
          <w:szCs w:val="24"/>
        </w:rPr>
      </w:pPr>
    </w:p>
    <w:p w14:paraId="734F5C2C" w14:textId="77777777" w:rsidR="00272549" w:rsidRDefault="00272549" w:rsidP="00272549">
      <w:pPr>
        <w:spacing w:line="360" w:lineRule="auto"/>
        <w:jc w:val="center"/>
        <w:rPr>
          <w:rFonts w:asciiTheme="minorHAnsi" w:hAnsiTheme="minorHAnsi" w:cstheme="minorHAnsi"/>
          <w:sz w:val="24"/>
          <w:szCs w:val="24"/>
        </w:rPr>
      </w:pPr>
    </w:p>
    <w:p w14:paraId="1DF1F7B4" w14:textId="77777777" w:rsidR="00272549" w:rsidRDefault="00272549" w:rsidP="00272549">
      <w:pPr>
        <w:spacing w:line="360" w:lineRule="auto"/>
        <w:jc w:val="center"/>
        <w:rPr>
          <w:rFonts w:asciiTheme="minorHAnsi" w:hAnsiTheme="minorHAnsi" w:cstheme="minorHAnsi"/>
          <w:sz w:val="24"/>
          <w:szCs w:val="24"/>
        </w:rPr>
      </w:pPr>
    </w:p>
    <w:p w14:paraId="4EE7F99E" w14:textId="77777777" w:rsidR="00272549" w:rsidRDefault="00272549" w:rsidP="00272549">
      <w:pPr>
        <w:spacing w:line="360" w:lineRule="auto"/>
        <w:jc w:val="center"/>
        <w:rPr>
          <w:rFonts w:asciiTheme="minorHAnsi" w:hAnsiTheme="minorHAnsi" w:cstheme="minorHAnsi"/>
          <w:sz w:val="24"/>
          <w:szCs w:val="24"/>
        </w:rPr>
      </w:pPr>
    </w:p>
    <w:p w14:paraId="5C57D6F6" w14:textId="01BC755C" w:rsidR="006A7E15" w:rsidRDefault="006A7E15" w:rsidP="00272549">
      <w:pPr>
        <w:spacing w:line="360" w:lineRule="auto"/>
        <w:jc w:val="both"/>
        <w:rPr>
          <w:rFonts w:ascii="Arial" w:hAnsi="Arial" w:cs="Arial"/>
          <w:sz w:val="24"/>
          <w:szCs w:val="24"/>
        </w:rPr>
      </w:pPr>
    </w:p>
    <w:sdt>
      <w:sdtPr>
        <w:id w:val="1436408284"/>
        <w:docPartObj>
          <w:docPartGallery w:val="Table of Contents"/>
          <w:docPartUnique/>
        </w:docPartObj>
      </w:sdtPr>
      <w:sdtEndPr/>
      <w:sdtContent>
        <w:p w14:paraId="06E7D2AB" w14:textId="188104FD" w:rsidR="00D11951" w:rsidRDefault="006847B0">
          <w:pPr>
            <w:pStyle w:val="TOC1"/>
            <w:tabs>
              <w:tab w:val="right" w:leader="dot" w:pos="10456"/>
            </w:tabs>
            <w:rPr>
              <w:rFonts w:eastAsiaTheme="minorEastAsia" w:cstheme="minorBidi"/>
              <w:b w:val="0"/>
              <w:bCs w:val="0"/>
              <w:i w:val="0"/>
              <w:iCs w:val="0"/>
              <w:noProof/>
              <w:kern w:val="2"/>
              <w:lang w:eastAsia="en-GB"/>
              <w14:ligatures w14:val="standardContextual"/>
            </w:rPr>
          </w:pPr>
          <w:r>
            <w:fldChar w:fldCharType="begin"/>
          </w:r>
          <w:r w:rsidR="59281257">
            <w:instrText>TOC \o \z \u \h</w:instrText>
          </w:r>
          <w:r>
            <w:fldChar w:fldCharType="separate"/>
          </w:r>
          <w:hyperlink w:anchor="_Toc164848519" w:history="1">
            <w:r w:rsidR="00D11951" w:rsidRPr="002B32C2">
              <w:rPr>
                <w:rStyle w:val="Hyperlink"/>
                <w:rFonts w:ascii="Arial" w:hAnsi="Arial" w:cs="Arial"/>
                <w:noProof/>
              </w:rPr>
              <w:t>Introduction to Walgreens Boots Alliance, Inc (WBA):</w:t>
            </w:r>
            <w:r w:rsidR="00D11951">
              <w:rPr>
                <w:noProof/>
                <w:webHidden/>
              </w:rPr>
              <w:tab/>
            </w:r>
            <w:r w:rsidR="00D11951">
              <w:rPr>
                <w:noProof/>
                <w:webHidden/>
              </w:rPr>
              <w:fldChar w:fldCharType="begin"/>
            </w:r>
            <w:r w:rsidR="00D11951">
              <w:rPr>
                <w:noProof/>
                <w:webHidden/>
              </w:rPr>
              <w:instrText xml:space="preserve"> PAGEREF _Toc164848519 \h </w:instrText>
            </w:r>
            <w:r w:rsidR="00D11951">
              <w:rPr>
                <w:noProof/>
                <w:webHidden/>
              </w:rPr>
            </w:r>
            <w:r w:rsidR="00D11951">
              <w:rPr>
                <w:noProof/>
                <w:webHidden/>
              </w:rPr>
              <w:fldChar w:fldCharType="separate"/>
            </w:r>
            <w:r w:rsidR="00D11951">
              <w:rPr>
                <w:noProof/>
                <w:webHidden/>
              </w:rPr>
              <w:t>3</w:t>
            </w:r>
            <w:r w:rsidR="00D11951">
              <w:rPr>
                <w:noProof/>
                <w:webHidden/>
              </w:rPr>
              <w:fldChar w:fldCharType="end"/>
            </w:r>
          </w:hyperlink>
        </w:p>
        <w:p w14:paraId="0689ACD0" w14:textId="781E3F5E"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20" w:history="1">
            <w:r w:rsidRPr="002B32C2">
              <w:rPr>
                <w:rStyle w:val="Hyperlink"/>
                <w:rFonts w:ascii="Arial" w:hAnsi="Arial" w:cs="Arial"/>
                <w:noProof/>
              </w:rPr>
              <w:t>Industry:</w:t>
            </w:r>
            <w:r>
              <w:rPr>
                <w:noProof/>
                <w:webHidden/>
              </w:rPr>
              <w:tab/>
            </w:r>
            <w:r>
              <w:rPr>
                <w:noProof/>
                <w:webHidden/>
              </w:rPr>
              <w:fldChar w:fldCharType="begin"/>
            </w:r>
            <w:r>
              <w:rPr>
                <w:noProof/>
                <w:webHidden/>
              </w:rPr>
              <w:instrText xml:space="preserve"> PAGEREF _Toc164848520 \h </w:instrText>
            </w:r>
            <w:r>
              <w:rPr>
                <w:noProof/>
                <w:webHidden/>
              </w:rPr>
            </w:r>
            <w:r>
              <w:rPr>
                <w:noProof/>
                <w:webHidden/>
              </w:rPr>
              <w:fldChar w:fldCharType="separate"/>
            </w:r>
            <w:r>
              <w:rPr>
                <w:noProof/>
                <w:webHidden/>
              </w:rPr>
              <w:t>3</w:t>
            </w:r>
            <w:r>
              <w:rPr>
                <w:noProof/>
                <w:webHidden/>
              </w:rPr>
              <w:fldChar w:fldCharType="end"/>
            </w:r>
          </w:hyperlink>
        </w:p>
        <w:p w14:paraId="6AB74E00" w14:textId="1DEAE9DB"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21" w:history="1">
            <w:r w:rsidRPr="002B32C2">
              <w:rPr>
                <w:rStyle w:val="Hyperlink"/>
                <w:rFonts w:ascii="Arial" w:hAnsi="Arial" w:cs="Arial"/>
                <w:noProof/>
              </w:rPr>
              <w:t>Business Model:</w:t>
            </w:r>
            <w:r>
              <w:rPr>
                <w:noProof/>
                <w:webHidden/>
              </w:rPr>
              <w:tab/>
            </w:r>
            <w:r>
              <w:rPr>
                <w:noProof/>
                <w:webHidden/>
              </w:rPr>
              <w:fldChar w:fldCharType="begin"/>
            </w:r>
            <w:r>
              <w:rPr>
                <w:noProof/>
                <w:webHidden/>
              </w:rPr>
              <w:instrText xml:space="preserve"> PAGEREF _Toc164848521 \h </w:instrText>
            </w:r>
            <w:r>
              <w:rPr>
                <w:noProof/>
                <w:webHidden/>
              </w:rPr>
            </w:r>
            <w:r>
              <w:rPr>
                <w:noProof/>
                <w:webHidden/>
              </w:rPr>
              <w:fldChar w:fldCharType="separate"/>
            </w:r>
            <w:r>
              <w:rPr>
                <w:noProof/>
                <w:webHidden/>
              </w:rPr>
              <w:t>3</w:t>
            </w:r>
            <w:r>
              <w:rPr>
                <w:noProof/>
                <w:webHidden/>
              </w:rPr>
              <w:fldChar w:fldCharType="end"/>
            </w:r>
          </w:hyperlink>
        </w:p>
        <w:p w14:paraId="153836CF" w14:textId="0254E435"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22" w:history="1">
            <w:r w:rsidRPr="002B32C2">
              <w:rPr>
                <w:rStyle w:val="Hyperlink"/>
                <w:rFonts w:ascii="Arial" w:hAnsi="Arial" w:cs="Arial"/>
                <w:noProof/>
              </w:rPr>
              <w:t>Marketplace:</w:t>
            </w:r>
            <w:r>
              <w:rPr>
                <w:noProof/>
                <w:webHidden/>
              </w:rPr>
              <w:tab/>
            </w:r>
            <w:r>
              <w:rPr>
                <w:noProof/>
                <w:webHidden/>
              </w:rPr>
              <w:fldChar w:fldCharType="begin"/>
            </w:r>
            <w:r>
              <w:rPr>
                <w:noProof/>
                <w:webHidden/>
              </w:rPr>
              <w:instrText xml:space="preserve"> PAGEREF _Toc164848522 \h </w:instrText>
            </w:r>
            <w:r>
              <w:rPr>
                <w:noProof/>
                <w:webHidden/>
              </w:rPr>
            </w:r>
            <w:r>
              <w:rPr>
                <w:noProof/>
                <w:webHidden/>
              </w:rPr>
              <w:fldChar w:fldCharType="separate"/>
            </w:r>
            <w:r>
              <w:rPr>
                <w:noProof/>
                <w:webHidden/>
              </w:rPr>
              <w:t>3</w:t>
            </w:r>
            <w:r>
              <w:rPr>
                <w:noProof/>
                <w:webHidden/>
              </w:rPr>
              <w:fldChar w:fldCharType="end"/>
            </w:r>
          </w:hyperlink>
        </w:p>
        <w:p w14:paraId="289B70C0" w14:textId="1FD8C5A7"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23" w:history="1">
            <w:r w:rsidRPr="002B32C2">
              <w:rPr>
                <w:rStyle w:val="Hyperlink"/>
                <w:rFonts w:ascii="Arial" w:hAnsi="Arial" w:cs="Arial"/>
                <w:noProof/>
              </w:rPr>
              <w:t>Major Competitors:</w:t>
            </w:r>
            <w:r>
              <w:rPr>
                <w:noProof/>
                <w:webHidden/>
              </w:rPr>
              <w:tab/>
            </w:r>
            <w:r>
              <w:rPr>
                <w:noProof/>
                <w:webHidden/>
              </w:rPr>
              <w:fldChar w:fldCharType="begin"/>
            </w:r>
            <w:r>
              <w:rPr>
                <w:noProof/>
                <w:webHidden/>
              </w:rPr>
              <w:instrText xml:space="preserve"> PAGEREF _Toc164848523 \h </w:instrText>
            </w:r>
            <w:r>
              <w:rPr>
                <w:noProof/>
                <w:webHidden/>
              </w:rPr>
            </w:r>
            <w:r>
              <w:rPr>
                <w:noProof/>
                <w:webHidden/>
              </w:rPr>
              <w:fldChar w:fldCharType="separate"/>
            </w:r>
            <w:r>
              <w:rPr>
                <w:noProof/>
                <w:webHidden/>
              </w:rPr>
              <w:t>3</w:t>
            </w:r>
            <w:r>
              <w:rPr>
                <w:noProof/>
                <w:webHidden/>
              </w:rPr>
              <w:fldChar w:fldCharType="end"/>
            </w:r>
          </w:hyperlink>
        </w:p>
        <w:p w14:paraId="6E414F83" w14:textId="18D8472A"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24" w:history="1">
            <w:r w:rsidRPr="002B32C2">
              <w:rPr>
                <w:rStyle w:val="Hyperlink"/>
                <w:rFonts w:ascii="Arial" w:hAnsi="Arial" w:cs="Arial"/>
                <w:noProof/>
              </w:rPr>
              <w:t>Major Events (5-year timespan):</w:t>
            </w:r>
            <w:r>
              <w:rPr>
                <w:noProof/>
                <w:webHidden/>
              </w:rPr>
              <w:tab/>
            </w:r>
            <w:r>
              <w:rPr>
                <w:noProof/>
                <w:webHidden/>
              </w:rPr>
              <w:fldChar w:fldCharType="begin"/>
            </w:r>
            <w:r>
              <w:rPr>
                <w:noProof/>
                <w:webHidden/>
              </w:rPr>
              <w:instrText xml:space="preserve"> PAGEREF _Toc164848524 \h </w:instrText>
            </w:r>
            <w:r>
              <w:rPr>
                <w:noProof/>
                <w:webHidden/>
              </w:rPr>
            </w:r>
            <w:r>
              <w:rPr>
                <w:noProof/>
                <w:webHidden/>
              </w:rPr>
              <w:fldChar w:fldCharType="separate"/>
            </w:r>
            <w:r>
              <w:rPr>
                <w:noProof/>
                <w:webHidden/>
              </w:rPr>
              <w:t>3</w:t>
            </w:r>
            <w:r>
              <w:rPr>
                <w:noProof/>
                <w:webHidden/>
              </w:rPr>
              <w:fldChar w:fldCharType="end"/>
            </w:r>
          </w:hyperlink>
        </w:p>
        <w:p w14:paraId="5A9445A8" w14:textId="6D5C5C2B" w:rsidR="00D11951" w:rsidRDefault="00D11951">
          <w:pPr>
            <w:pStyle w:val="TOC1"/>
            <w:tabs>
              <w:tab w:val="right" w:leader="dot" w:pos="10456"/>
            </w:tabs>
            <w:rPr>
              <w:rFonts w:eastAsiaTheme="minorEastAsia" w:cstheme="minorBidi"/>
              <w:b w:val="0"/>
              <w:bCs w:val="0"/>
              <w:i w:val="0"/>
              <w:iCs w:val="0"/>
              <w:noProof/>
              <w:kern w:val="2"/>
              <w:lang w:eastAsia="en-GB"/>
              <w14:ligatures w14:val="standardContextual"/>
            </w:rPr>
          </w:pPr>
          <w:hyperlink w:anchor="_Toc164848525" w:history="1">
            <w:r w:rsidRPr="002B32C2">
              <w:rPr>
                <w:rStyle w:val="Hyperlink"/>
                <w:rFonts w:ascii="Arial" w:hAnsi="Arial" w:cs="Arial"/>
                <w:noProof/>
              </w:rPr>
              <w:t>A Critical Review of The Company’s Financial Performance:</w:t>
            </w:r>
            <w:r>
              <w:rPr>
                <w:noProof/>
                <w:webHidden/>
              </w:rPr>
              <w:tab/>
            </w:r>
            <w:r>
              <w:rPr>
                <w:noProof/>
                <w:webHidden/>
              </w:rPr>
              <w:fldChar w:fldCharType="begin"/>
            </w:r>
            <w:r>
              <w:rPr>
                <w:noProof/>
                <w:webHidden/>
              </w:rPr>
              <w:instrText xml:space="preserve"> PAGEREF _Toc164848525 \h </w:instrText>
            </w:r>
            <w:r>
              <w:rPr>
                <w:noProof/>
                <w:webHidden/>
              </w:rPr>
            </w:r>
            <w:r>
              <w:rPr>
                <w:noProof/>
                <w:webHidden/>
              </w:rPr>
              <w:fldChar w:fldCharType="separate"/>
            </w:r>
            <w:r>
              <w:rPr>
                <w:noProof/>
                <w:webHidden/>
              </w:rPr>
              <w:t>5</w:t>
            </w:r>
            <w:r>
              <w:rPr>
                <w:noProof/>
                <w:webHidden/>
              </w:rPr>
              <w:fldChar w:fldCharType="end"/>
            </w:r>
          </w:hyperlink>
        </w:p>
        <w:p w14:paraId="05411B9F" w14:textId="0414092E"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26" w:history="1">
            <w:r w:rsidRPr="002B32C2">
              <w:rPr>
                <w:rStyle w:val="Hyperlink"/>
                <w:rFonts w:ascii="Arial" w:hAnsi="Arial" w:cs="Arial"/>
                <w:noProof/>
              </w:rPr>
              <w:t>Profitability Ratio for Walgreens Boots Alliance, Inc (2023)</w:t>
            </w:r>
            <w:r>
              <w:rPr>
                <w:noProof/>
                <w:webHidden/>
              </w:rPr>
              <w:tab/>
            </w:r>
            <w:r>
              <w:rPr>
                <w:noProof/>
                <w:webHidden/>
              </w:rPr>
              <w:fldChar w:fldCharType="begin"/>
            </w:r>
            <w:r>
              <w:rPr>
                <w:noProof/>
                <w:webHidden/>
              </w:rPr>
              <w:instrText xml:space="preserve"> PAGEREF _Toc164848526 \h </w:instrText>
            </w:r>
            <w:r>
              <w:rPr>
                <w:noProof/>
                <w:webHidden/>
              </w:rPr>
            </w:r>
            <w:r>
              <w:rPr>
                <w:noProof/>
                <w:webHidden/>
              </w:rPr>
              <w:fldChar w:fldCharType="separate"/>
            </w:r>
            <w:r>
              <w:rPr>
                <w:noProof/>
                <w:webHidden/>
              </w:rPr>
              <w:t>5</w:t>
            </w:r>
            <w:r>
              <w:rPr>
                <w:noProof/>
                <w:webHidden/>
              </w:rPr>
              <w:fldChar w:fldCharType="end"/>
            </w:r>
          </w:hyperlink>
        </w:p>
        <w:p w14:paraId="2DCD5138" w14:textId="10B799E1"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27" w:history="1">
            <w:r w:rsidRPr="002B32C2">
              <w:rPr>
                <w:rStyle w:val="Hyperlink"/>
                <w:rFonts w:ascii="Arial" w:hAnsi="Arial" w:cs="Arial"/>
                <w:noProof/>
              </w:rPr>
              <w:t>Liquidity Ratio for Walgreens Boots Alliance, Inc (2023)</w:t>
            </w:r>
            <w:r>
              <w:rPr>
                <w:noProof/>
                <w:webHidden/>
              </w:rPr>
              <w:tab/>
            </w:r>
            <w:r>
              <w:rPr>
                <w:noProof/>
                <w:webHidden/>
              </w:rPr>
              <w:fldChar w:fldCharType="begin"/>
            </w:r>
            <w:r>
              <w:rPr>
                <w:noProof/>
                <w:webHidden/>
              </w:rPr>
              <w:instrText xml:space="preserve"> PAGEREF _Toc164848527 \h </w:instrText>
            </w:r>
            <w:r>
              <w:rPr>
                <w:noProof/>
                <w:webHidden/>
              </w:rPr>
            </w:r>
            <w:r>
              <w:rPr>
                <w:noProof/>
                <w:webHidden/>
              </w:rPr>
              <w:fldChar w:fldCharType="separate"/>
            </w:r>
            <w:r>
              <w:rPr>
                <w:noProof/>
                <w:webHidden/>
              </w:rPr>
              <w:t>5</w:t>
            </w:r>
            <w:r>
              <w:rPr>
                <w:noProof/>
                <w:webHidden/>
              </w:rPr>
              <w:fldChar w:fldCharType="end"/>
            </w:r>
          </w:hyperlink>
        </w:p>
        <w:p w14:paraId="38B19C7F" w14:textId="31073A21"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28" w:history="1">
            <w:r w:rsidRPr="002B32C2">
              <w:rPr>
                <w:rStyle w:val="Hyperlink"/>
                <w:rFonts w:ascii="Arial" w:hAnsi="Arial" w:cs="Arial"/>
                <w:noProof/>
              </w:rPr>
              <w:t>Efficiency Ratio for Walgreens Boots Alliance, Inc (2023)</w:t>
            </w:r>
            <w:r>
              <w:rPr>
                <w:noProof/>
                <w:webHidden/>
              </w:rPr>
              <w:tab/>
            </w:r>
            <w:r>
              <w:rPr>
                <w:noProof/>
                <w:webHidden/>
              </w:rPr>
              <w:fldChar w:fldCharType="begin"/>
            </w:r>
            <w:r>
              <w:rPr>
                <w:noProof/>
                <w:webHidden/>
              </w:rPr>
              <w:instrText xml:space="preserve"> PAGEREF _Toc164848528 \h </w:instrText>
            </w:r>
            <w:r>
              <w:rPr>
                <w:noProof/>
                <w:webHidden/>
              </w:rPr>
            </w:r>
            <w:r>
              <w:rPr>
                <w:noProof/>
                <w:webHidden/>
              </w:rPr>
              <w:fldChar w:fldCharType="separate"/>
            </w:r>
            <w:r>
              <w:rPr>
                <w:noProof/>
                <w:webHidden/>
              </w:rPr>
              <w:t>6</w:t>
            </w:r>
            <w:r>
              <w:rPr>
                <w:noProof/>
                <w:webHidden/>
              </w:rPr>
              <w:fldChar w:fldCharType="end"/>
            </w:r>
          </w:hyperlink>
        </w:p>
        <w:p w14:paraId="10CD9519" w14:textId="2D7DB41F"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29" w:history="1">
            <w:r w:rsidRPr="002B32C2">
              <w:rPr>
                <w:rStyle w:val="Hyperlink"/>
                <w:rFonts w:ascii="Arial" w:hAnsi="Arial" w:cs="Arial"/>
                <w:noProof/>
              </w:rPr>
              <w:t>Gearing Ratio for Walgreens Boots Alliance, Inc (2023)</w:t>
            </w:r>
            <w:r>
              <w:rPr>
                <w:noProof/>
                <w:webHidden/>
              </w:rPr>
              <w:tab/>
            </w:r>
            <w:r>
              <w:rPr>
                <w:noProof/>
                <w:webHidden/>
              </w:rPr>
              <w:fldChar w:fldCharType="begin"/>
            </w:r>
            <w:r>
              <w:rPr>
                <w:noProof/>
                <w:webHidden/>
              </w:rPr>
              <w:instrText xml:space="preserve"> PAGEREF _Toc164848529 \h </w:instrText>
            </w:r>
            <w:r>
              <w:rPr>
                <w:noProof/>
                <w:webHidden/>
              </w:rPr>
            </w:r>
            <w:r>
              <w:rPr>
                <w:noProof/>
                <w:webHidden/>
              </w:rPr>
              <w:fldChar w:fldCharType="separate"/>
            </w:r>
            <w:r>
              <w:rPr>
                <w:noProof/>
                <w:webHidden/>
              </w:rPr>
              <w:t>6</w:t>
            </w:r>
            <w:r>
              <w:rPr>
                <w:noProof/>
                <w:webHidden/>
              </w:rPr>
              <w:fldChar w:fldCharType="end"/>
            </w:r>
          </w:hyperlink>
        </w:p>
        <w:p w14:paraId="39DD9535" w14:textId="5AA2B0B4"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30" w:history="1">
            <w:r w:rsidRPr="002B32C2">
              <w:rPr>
                <w:rStyle w:val="Hyperlink"/>
                <w:rFonts w:ascii="Arial" w:hAnsi="Arial" w:cs="Arial"/>
                <w:i/>
                <w:iCs/>
                <w:noProof/>
              </w:rPr>
              <w:t>Comparison to CVS Health Corporation:</w:t>
            </w:r>
            <w:r>
              <w:rPr>
                <w:noProof/>
                <w:webHidden/>
              </w:rPr>
              <w:tab/>
            </w:r>
            <w:r>
              <w:rPr>
                <w:noProof/>
                <w:webHidden/>
              </w:rPr>
              <w:fldChar w:fldCharType="begin"/>
            </w:r>
            <w:r>
              <w:rPr>
                <w:noProof/>
                <w:webHidden/>
              </w:rPr>
              <w:instrText xml:space="preserve"> PAGEREF _Toc164848530 \h </w:instrText>
            </w:r>
            <w:r>
              <w:rPr>
                <w:noProof/>
                <w:webHidden/>
              </w:rPr>
            </w:r>
            <w:r>
              <w:rPr>
                <w:noProof/>
                <w:webHidden/>
              </w:rPr>
              <w:fldChar w:fldCharType="separate"/>
            </w:r>
            <w:r>
              <w:rPr>
                <w:noProof/>
                <w:webHidden/>
              </w:rPr>
              <w:t>8</w:t>
            </w:r>
            <w:r>
              <w:rPr>
                <w:noProof/>
                <w:webHidden/>
              </w:rPr>
              <w:fldChar w:fldCharType="end"/>
            </w:r>
          </w:hyperlink>
        </w:p>
        <w:p w14:paraId="04B1E3C8" w14:textId="7854B70D"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31" w:history="1">
            <w:r w:rsidRPr="002B32C2">
              <w:rPr>
                <w:rStyle w:val="Hyperlink"/>
                <w:rFonts w:ascii="Arial" w:hAnsi="Arial" w:cs="Arial"/>
                <w:noProof/>
              </w:rPr>
              <w:t>Profitability Ratio – WBA vs CVS (2023)</w:t>
            </w:r>
            <w:r>
              <w:rPr>
                <w:noProof/>
                <w:webHidden/>
              </w:rPr>
              <w:tab/>
            </w:r>
            <w:r>
              <w:rPr>
                <w:noProof/>
                <w:webHidden/>
              </w:rPr>
              <w:fldChar w:fldCharType="begin"/>
            </w:r>
            <w:r>
              <w:rPr>
                <w:noProof/>
                <w:webHidden/>
              </w:rPr>
              <w:instrText xml:space="preserve"> PAGEREF _Toc164848531 \h </w:instrText>
            </w:r>
            <w:r>
              <w:rPr>
                <w:noProof/>
                <w:webHidden/>
              </w:rPr>
            </w:r>
            <w:r>
              <w:rPr>
                <w:noProof/>
                <w:webHidden/>
              </w:rPr>
              <w:fldChar w:fldCharType="separate"/>
            </w:r>
            <w:r>
              <w:rPr>
                <w:noProof/>
                <w:webHidden/>
              </w:rPr>
              <w:t>8</w:t>
            </w:r>
            <w:r>
              <w:rPr>
                <w:noProof/>
                <w:webHidden/>
              </w:rPr>
              <w:fldChar w:fldCharType="end"/>
            </w:r>
          </w:hyperlink>
        </w:p>
        <w:p w14:paraId="377C14BF" w14:textId="331B1206"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32" w:history="1">
            <w:r w:rsidRPr="002B32C2">
              <w:rPr>
                <w:rStyle w:val="Hyperlink"/>
                <w:rFonts w:ascii="Arial" w:hAnsi="Arial" w:cs="Arial"/>
                <w:noProof/>
              </w:rPr>
              <w:t>Liquidity Ratio – WBA vs CVS (2023)</w:t>
            </w:r>
            <w:r>
              <w:rPr>
                <w:noProof/>
                <w:webHidden/>
              </w:rPr>
              <w:tab/>
            </w:r>
            <w:r>
              <w:rPr>
                <w:noProof/>
                <w:webHidden/>
              </w:rPr>
              <w:fldChar w:fldCharType="begin"/>
            </w:r>
            <w:r>
              <w:rPr>
                <w:noProof/>
                <w:webHidden/>
              </w:rPr>
              <w:instrText xml:space="preserve"> PAGEREF _Toc164848532 \h </w:instrText>
            </w:r>
            <w:r>
              <w:rPr>
                <w:noProof/>
                <w:webHidden/>
              </w:rPr>
            </w:r>
            <w:r>
              <w:rPr>
                <w:noProof/>
                <w:webHidden/>
              </w:rPr>
              <w:fldChar w:fldCharType="separate"/>
            </w:r>
            <w:r>
              <w:rPr>
                <w:noProof/>
                <w:webHidden/>
              </w:rPr>
              <w:t>8</w:t>
            </w:r>
            <w:r>
              <w:rPr>
                <w:noProof/>
                <w:webHidden/>
              </w:rPr>
              <w:fldChar w:fldCharType="end"/>
            </w:r>
          </w:hyperlink>
        </w:p>
        <w:p w14:paraId="2E34B9DB" w14:textId="0093BBF9"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33" w:history="1">
            <w:r w:rsidRPr="002B32C2">
              <w:rPr>
                <w:rStyle w:val="Hyperlink"/>
                <w:rFonts w:ascii="Arial" w:hAnsi="Arial" w:cs="Arial"/>
                <w:noProof/>
              </w:rPr>
              <w:t>Efficiency Ratio – WBA vs CVS (2023)</w:t>
            </w:r>
            <w:r>
              <w:rPr>
                <w:noProof/>
                <w:webHidden/>
              </w:rPr>
              <w:tab/>
            </w:r>
            <w:r>
              <w:rPr>
                <w:noProof/>
                <w:webHidden/>
              </w:rPr>
              <w:fldChar w:fldCharType="begin"/>
            </w:r>
            <w:r>
              <w:rPr>
                <w:noProof/>
                <w:webHidden/>
              </w:rPr>
              <w:instrText xml:space="preserve"> PAGEREF _Toc164848533 \h </w:instrText>
            </w:r>
            <w:r>
              <w:rPr>
                <w:noProof/>
                <w:webHidden/>
              </w:rPr>
            </w:r>
            <w:r>
              <w:rPr>
                <w:noProof/>
                <w:webHidden/>
              </w:rPr>
              <w:fldChar w:fldCharType="separate"/>
            </w:r>
            <w:r>
              <w:rPr>
                <w:noProof/>
                <w:webHidden/>
              </w:rPr>
              <w:t>9</w:t>
            </w:r>
            <w:r>
              <w:rPr>
                <w:noProof/>
                <w:webHidden/>
              </w:rPr>
              <w:fldChar w:fldCharType="end"/>
            </w:r>
          </w:hyperlink>
        </w:p>
        <w:p w14:paraId="37CAD190" w14:textId="709E863B"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34" w:history="1">
            <w:r w:rsidRPr="002B32C2">
              <w:rPr>
                <w:rStyle w:val="Hyperlink"/>
                <w:rFonts w:ascii="Arial" w:hAnsi="Arial" w:cs="Arial"/>
                <w:noProof/>
              </w:rPr>
              <w:t>Gearing Ratio – WBA vs CVS (2023)</w:t>
            </w:r>
            <w:r>
              <w:rPr>
                <w:noProof/>
                <w:webHidden/>
              </w:rPr>
              <w:tab/>
            </w:r>
            <w:r>
              <w:rPr>
                <w:noProof/>
                <w:webHidden/>
              </w:rPr>
              <w:fldChar w:fldCharType="begin"/>
            </w:r>
            <w:r>
              <w:rPr>
                <w:noProof/>
                <w:webHidden/>
              </w:rPr>
              <w:instrText xml:space="preserve"> PAGEREF _Toc164848534 \h </w:instrText>
            </w:r>
            <w:r>
              <w:rPr>
                <w:noProof/>
                <w:webHidden/>
              </w:rPr>
            </w:r>
            <w:r>
              <w:rPr>
                <w:noProof/>
                <w:webHidden/>
              </w:rPr>
              <w:fldChar w:fldCharType="separate"/>
            </w:r>
            <w:r>
              <w:rPr>
                <w:noProof/>
                <w:webHidden/>
              </w:rPr>
              <w:t>9</w:t>
            </w:r>
            <w:r>
              <w:rPr>
                <w:noProof/>
                <w:webHidden/>
              </w:rPr>
              <w:fldChar w:fldCharType="end"/>
            </w:r>
          </w:hyperlink>
        </w:p>
        <w:p w14:paraId="7AD65454" w14:textId="1D752635" w:rsidR="00D11951" w:rsidRDefault="00D11951">
          <w:pPr>
            <w:pStyle w:val="TOC1"/>
            <w:tabs>
              <w:tab w:val="right" w:leader="dot" w:pos="10456"/>
            </w:tabs>
            <w:rPr>
              <w:rFonts w:eastAsiaTheme="minorEastAsia" w:cstheme="minorBidi"/>
              <w:b w:val="0"/>
              <w:bCs w:val="0"/>
              <w:i w:val="0"/>
              <w:iCs w:val="0"/>
              <w:noProof/>
              <w:kern w:val="2"/>
              <w:lang w:eastAsia="en-GB"/>
              <w14:ligatures w14:val="standardContextual"/>
            </w:rPr>
          </w:pPr>
          <w:hyperlink w:anchor="_Toc164848535" w:history="1">
            <w:r w:rsidRPr="002B32C2">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_Toc164848535 \h </w:instrText>
            </w:r>
            <w:r>
              <w:rPr>
                <w:noProof/>
                <w:webHidden/>
              </w:rPr>
            </w:r>
            <w:r>
              <w:rPr>
                <w:noProof/>
                <w:webHidden/>
              </w:rPr>
              <w:fldChar w:fldCharType="separate"/>
            </w:r>
            <w:r>
              <w:rPr>
                <w:noProof/>
                <w:webHidden/>
              </w:rPr>
              <w:t>10</w:t>
            </w:r>
            <w:r>
              <w:rPr>
                <w:noProof/>
                <w:webHidden/>
              </w:rPr>
              <w:fldChar w:fldCharType="end"/>
            </w:r>
          </w:hyperlink>
        </w:p>
        <w:p w14:paraId="0B6E249D" w14:textId="7DC0B6CC" w:rsidR="00D11951" w:rsidRDefault="00D11951">
          <w:pPr>
            <w:pStyle w:val="TOC1"/>
            <w:tabs>
              <w:tab w:val="right" w:leader="dot" w:pos="10456"/>
            </w:tabs>
            <w:rPr>
              <w:rFonts w:eastAsiaTheme="minorEastAsia" w:cstheme="minorBidi"/>
              <w:b w:val="0"/>
              <w:bCs w:val="0"/>
              <w:i w:val="0"/>
              <w:iCs w:val="0"/>
              <w:noProof/>
              <w:kern w:val="2"/>
              <w:lang w:eastAsia="en-GB"/>
              <w14:ligatures w14:val="standardContextual"/>
            </w:rPr>
          </w:pPr>
          <w:hyperlink w:anchor="_Toc164848536" w:history="1">
            <w:r w:rsidRPr="002B32C2">
              <w:rPr>
                <w:rStyle w:val="Hyperlink"/>
                <w:rFonts w:ascii="Arial" w:eastAsiaTheme="minorHAnsi" w:hAnsi="Arial" w:cs="Arial"/>
                <w:noProof/>
              </w:rPr>
              <w:t>Prospects for a range of new investment opportunities:</w:t>
            </w:r>
            <w:r>
              <w:rPr>
                <w:noProof/>
                <w:webHidden/>
              </w:rPr>
              <w:tab/>
            </w:r>
            <w:r>
              <w:rPr>
                <w:noProof/>
                <w:webHidden/>
              </w:rPr>
              <w:fldChar w:fldCharType="begin"/>
            </w:r>
            <w:r>
              <w:rPr>
                <w:noProof/>
                <w:webHidden/>
              </w:rPr>
              <w:instrText xml:space="preserve"> PAGEREF _Toc164848536 \h </w:instrText>
            </w:r>
            <w:r>
              <w:rPr>
                <w:noProof/>
                <w:webHidden/>
              </w:rPr>
            </w:r>
            <w:r>
              <w:rPr>
                <w:noProof/>
                <w:webHidden/>
              </w:rPr>
              <w:fldChar w:fldCharType="separate"/>
            </w:r>
            <w:r>
              <w:rPr>
                <w:noProof/>
                <w:webHidden/>
              </w:rPr>
              <w:t>12</w:t>
            </w:r>
            <w:r>
              <w:rPr>
                <w:noProof/>
                <w:webHidden/>
              </w:rPr>
              <w:fldChar w:fldCharType="end"/>
            </w:r>
          </w:hyperlink>
        </w:p>
        <w:p w14:paraId="1B7F4586" w14:textId="3B01445E"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37" w:history="1">
            <w:r w:rsidRPr="002B32C2">
              <w:rPr>
                <w:rStyle w:val="Hyperlink"/>
                <w:rFonts w:ascii="Arial" w:hAnsi="Arial" w:cs="Arial"/>
                <w:noProof/>
              </w:rPr>
              <w:t>Pay Back Period:</w:t>
            </w:r>
            <w:r>
              <w:rPr>
                <w:noProof/>
                <w:webHidden/>
              </w:rPr>
              <w:tab/>
            </w:r>
            <w:r>
              <w:rPr>
                <w:noProof/>
                <w:webHidden/>
              </w:rPr>
              <w:fldChar w:fldCharType="begin"/>
            </w:r>
            <w:r>
              <w:rPr>
                <w:noProof/>
                <w:webHidden/>
              </w:rPr>
              <w:instrText xml:space="preserve"> PAGEREF _Toc164848537 \h </w:instrText>
            </w:r>
            <w:r>
              <w:rPr>
                <w:noProof/>
                <w:webHidden/>
              </w:rPr>
            </w:r>
            <w:r>
              <w:rPr>
                <w:noProof/>
                <w:webHidden/>
              </w:rPr>
              <w:fldChar w:fldCharType="separate"/>
            </w:r>
            <w:r>
              <w:rPr>
                <w:noProof/>
                <w:webHidden/>
              </w:rPr>
              <w:t>12</w:t>
            </w:r>
            <w:r>
              <w:rPr>
                <w:noProof/>
                <w:webHidden/>
              </w:rPr>
              <w:fldChar w:fldCharType="end"/>
            </w:r>
          </w:hyperlink>
        </w:p>
        <w:p w14:paraId="7C9AD8C7" w14:textId="74150228"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38" w:history="1">
            <w:r w:rsidRPr="002B32C2">
              <w:rPr>
                <w:rStyle w:val="Hyperlink"/>
                <w:rFonts w:ascii="Arial" w:hAnsi="Arial" w:cs="Arial"/>
                <w:noProof/>
              </w:rPr>
              <w:t>Accounting Rate of Return:</w:t>
            </w:r>
            <w:r>
              <w:rPr>
                <w:noProof/>
                <w:webHidden/>
              </w:rPr>
              <w:tab/>
            </w:r>
            <w:r>
              <w:rPr>
                <w:noProof/>
                <w:webHidden/>
              </w:rPr>
              <w:fldChar w:fldCharType="begin"/>
            </w:r>
            <w:r>
              <w:rPr>
                <w:noProof/>
                <w:webHidden/>
              </w:rPr>
              <w:instrText xml:space="preserve"> PAGEREF _Toc164848538 \h </w:instrText>
            </w:r>
            <w:r>
              <w:rPr>
                <w:noProof/>
                <w:webHidden/>
              </w:rPr>
            </w:r>
            <w:r>
              <w:rPr>
                <w:noProof/>
                <w:webHidden/>
              </w:rPr>
              <w:fldChar w:fldCharType="separate"/>
            </w:r>
            <w:r>
              <w:rPr>
                <w:noProof/>
                <w:webHidden/>
              </w:rPr>
              <w:t>13</w:t>
            </w:r>
            <w:r>
              <w:rPr>
                <w:noProof/>
                <w:webHidden/>
              </w:rPr>
              <w:fldChar w:fldCharType="end"/>
            </w:r>
          </w:hyperlink>
        </w:p>
        <w:p w14:paraId="5B7B45D9" w14:textId="63F8E14A"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39" w:history="1">
            <w:r w:rsidRPr="002B32C2">
              <w:rPr>
                <w:rStyle w:val="Hyperlink"/>
                <w:rFonts w:ascii="Arial" w:hAnsi="Arial" w:cs="Arial"/>
                <w:noProof/>
              </w:rPr>
              <w:t>Net Present Value:</w:t>
            </w:r>
            <w:r>
              <w:rPr>
                <w:noProof/>
                <w:webHidden/>
              </w:rPr>
              <w:tab/>
            </w:r>
            <w:r>
              <w:rPr>
                <w:noProof/>
                <w:webHidden/>
              </w:rPr>
              <w:fldChar w:fldCharType="begin"/>
            </w:r>
            <w:r>
              <w:rPr>
                <w:noProof/>
                <w:webHidden/>
              </w:rPr>
              <w:instrText xml:space="preserve"> PAGEREF _Toc164848539 \h </w:instrText>
            </w:r>
            <w:r>
              <w:rPr>
                <w:noProof/>
                <w:webHidden/>
              </w:rPr>
            </w:r>
            <w:r>
              <w:rPr>
                <w:noProof/>
                <w:webHidden/>
              </w:rPr>
              <w:fldChar w:fldCharType="separate"/>
            </w:r>
            <w:r>
              <w:rPr>
                <w:noProof/>
                <w:webHidden/>
              </w:rPr>
              <w:t>14</w:t>
            </w:r>
            <w:r>
              <w:rPr>
                <w:noProof/>
                <w:webHidden/>
              </w:rPr>
              <w:fldChar w:fldCharType="end"/>
            </w:r>
          </w:hyperlink>
        </w:p>
        <w:p w14:paraId="233383E7" w14:textId="219AC359"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40" w:history="1">
            <w:r w:rsidRPr="002B32C2">
              <w:rPr>
                <w:rStyle w:val="Hyperlink"/>
                <w:rFonts w:ascii="Arial" w:hAnsi="Arial" w:cs="Arial"/>
                <w:noProof/>
              </w:rPr>
              <w:t>Net Present Value (Recalculated with adjustments):</w:t>
            </w:r>
            <w:r>
              <w:rPr>
                <w:noProof/>
                <w:webHidden/>
              </w:rPr>
              <w:tab/>
            </w:r>
            <w:r>
              <w:rPr>
                <w:noProof/>
                <w:webHidden/>
              </w:rPr>
              <w:fldChar w:fldCharType="begin"/>
            </w:r>
            <w:r>
              <w:rPr>
                <w:noProof/>
                <w:webHidden/>
              </w:rPr>
              <w:instrText xml:space="preserve"> PAGEREF _Toc164848540 \h </w:instrText>
            </w:r>
            <w:r>
              <w:rPr>
                <w:noProof/>
                <w:webHidden/>
              </w:rPr>
            </w:r>
            <w:r>
              <w:rPr>
                <w:noProof/>
                <w:webHidden/>
              </w:rPr>
              <w:fldChar w:fldCharType="separate"/>
            </w:r>
            <w:r>
              <w:rPr>
                <w:noProof/>
                <w:webHidden/>
              </w:rPr>
              <w:t>15</w:t>
            </w:r>
            <w:r>
              <w:rPr>
                <w:noProof/>
                <w:webHidden/>
              </w:rPr>
              <w:fldChar w:fldCharType="end"/>
            </w:r>
          </w:hyperlink>
        </w:p>
        <w:p w14:paraId="0A58083E" w14:textId="74A77D64"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41" w:history="1">
            <w:r w:rsidRPr="002B32C2">
              <w:rPr>
                <w:rStyle w:val="Hyperlink"/>
                <w:rFonts w:ascii="Arial" w:hAnsi="Arial" w:cs="Arial"/>
                <w:noProof/>
              </w:rPr>
              <w:t>Advantages and Shortcomings of the PBP, ARR, and NPV:</w:t>
            </w:r>
            <w:r>
              <w:rPr>
                <w:noProof/>
                <w:webHidden/>
              </w:rPr>
              <w:tab/>
            </w:r>
            <w:r>
              <w:rPr>
                <w:noProof/>
                <w:webHidden/>
              </w:rPr>
              <w:fldChar w:fldCharType="begin"/>
            </w:r>
            <w:r>
              <w:rPr>
                <w:noProof/>
                <w:webHidden/>
              </w:rPr>
              <w:instrText xml:space="preserve"> PAGEREF _Toc164848541 \h </w:instrText>
            </w:r>
            <w:r>
              <w:rPr>
                <w:noProof/>
                <w:webHidden/>
              </w:rPr>
            </w:r>
            <w:r>
              <w:rPr>
                <w:noProof/>
                <w:webHidden/>
              </w:rPr>
              <w:fldChar w:fldCharType="separate"/>
            </w:r>
            <w:r>
              <w:rPr>
                <w:noProof/>
                <w:webHidden/>
              </w:rPr>
              <w:t>16</w:t>
            </w:r>
            <w:r>
              <w:rPr>
                <w:noProof/>
                <w:webHidden/>
              </w:rPr>
              <w:fldChar w:fldCharType="end"/>
            </w:r>
          </w:hyperlink>
        </w:p>
        <w:p w14:paraId="6E40E566" w14:textId="1C7E0FBE" w:rsidR="00D11951" w:rsidRDefault="00D11951">
          <w:pPr>
            <w:pStyle w:val="TOC3"/>
            <w:tabs>
              <w:tab w:val="right" w:leader="dot" w:pos="10456"/>
            </w:tabs>
            <w:rPr>
              <w:rFonts w:eastAsiaTheme="minorEastAsia" w:cstheme="minorBidi"/>
              <w:noProof/>
              <w:kern w:val="2"/>
              <w:sz w:val="24"/>
              <w:szCs w:val="24"/>
              <w:lang w:eastAsia="en-GB"/>
              <w14:ligatures w14:val="standardContextual"/>
            </w:rPr>
          </w:pPr>
          <w:hyperlink w:anchor="_Toc164848542" w:history="1">
            <w:r w:rsidRPr="002B32C2">
              <w:rPr>
                <w:rStyle w:val="Hyperlink"/>
                <w:rFonts w:ascii="Arial" w:hAnsi="Arial" w:cs="Arial"/>
                <w:noProof/>
              </w:rPr>
              <w:t>Pay Back Period:</w:t>
            </w:r>
            <w:r>
              <w:rPr>
                <w:noProof/>
                <w:webHidden/>
              </w:rPr>
              <w:tab/>
            </w:r>
            <w:r>
              <w:rPr>
                <w:noProof/>
                <w:webHidden/>
              </w:rPr>
              <w:fldChar w:fldCharType="begin"/>
            </w:r>
            <w:r>
              <w:rPr>
                <w:noProof/>
                <w:webHidden/>
              </w:rPr>
              <w:instrText xml:space="preserve"> PAGEREF _Toc164848542 \h </w:instrText>
            </w:r>
            <w:r>
              <w:rPr>
                <w:noProof/>
                <w:webHidden/>
              </w:rPr>
            </w:r>
            <w:r>
              <w:rPr>
                <w:noProof/>
                <w:webHidden/>
              </w:rPr>
              <w:fldChar w:fldCharType="separate"/>
            </w:r>
            <w:r>
              <w:rPr>
                <w:noProof/>
                <w:webHidden/>
              </w:rPr>
              <w:t>16</w:t>
            </w:r>
            <w:r>
              <w:rPr>
                <w:noProof/>
                <w:webHidden/>
              </w:rPr>
              <w:fldChar w:fldCharType="end"/>
            </w:r>
          </w:hyperlink>
        </w:p>
        <w:p w14:paraId="4AAD60B5" w14:textId="362868FE" w:rsidR="00D11951" w:rsidRDefault="00D11951">
          <w:pPr>
            <w:pStyle w:val="TOC3"/>
            <w:tabs>
              <w:tab w:val="right" w:leader="dot" w:pos="10456"/>
            </w:tabs>
            <w:rPr>
              <w:rFonts w:eastAsiaTheme="minorEastAsia" w:cstheme="minorBidi"/>
              <w:noProof/>
              <w:kern w:val="2"/>
              <w:sz w:val="24"/>
              <w:szCs w:val="24"/>
              <w:lang w:eastAsia="en-GB"/>
              <w14:ligatures w14:val="standardContextual"/>
            </w:rPr>
          </w:pPr>
          <w:hyperlink w:anchor="_Toc164848543" w:history="1">
            <w:r w:rsidRPr="002B32C2">
              <w:rPr>
                <w:rStyle w:val="Hyperlink"/>
                <w:rFonts w:ascii="Arial" w:hAnsi="Arial" w:cs="Arial"/>
                <w:noProof/>
              </w:rPr>
              <w:t>Accounting Rate of Return:</w:t>
            </w:r>
            <w:r>
              <w:rPr>
                <w:noProof/>
                <w:webHidden/>
              </w:rPr>
              <w:tab/>
            </w:r>
            <w:r>
              <w:rPr>
                <w:noProof/>
                <w:webHidden/>
              </w:rPr>
              <w:fldChar w:fldCharType="begin"/>
            </w:r>
            <w:r>
              <w:rPr>
                <w:noProof/>
                <w:webHidden/>
              </w:rPr>
              <w:instrText xml:space="preserve"> PAGEREF _Toc164848543 \h </w:instrText>
            </w:r>
            <w:r>
              <w:rPr>
                <w:noProof/>
                <w:webHidden/>
              </w:rPr>
            </w:r>
            <w:r>
              <w:rPr>
                <w:noProof/>
                <w:webHidden/>
              </w:rPr>
              <w:fldChar w:fldCharType="separate"/>
            </w:r>
            <w:r>
              <w:rPr>
                <w:noProof/>
                <w:webHidden/>
              </w:rPr>
              <w:t>16</w:t>
            </w:r>
            <w:r>
              <w:rPr>
                <w:noProof/>
                <w:webHidden/>
              </w:rPr>
              <w:fldChar w:fldCharType="end"/>
            </w:r>
          </w:hyperlink>
        </w:p>
        <w:p w14:paraId="7863D3E5" w14:textId="7CC83FF9" w:rsidR="00D11951" w:rsidRDefault="00D11951">
          <w:pPr>
            <w:pStyle w:val="TOC3"/>
            <w:tabs>
              <w:tab w:val="right" w:leader="dot" w:pos="10456"/>
            </w:tabs>
            <w:rPr>
              <w:rFonts w:eastAsiaTheme="minorEastAsia" w:cstheme="minorBidi"/>
              <w:noProof/>
              <w:kern w:val="2"/>
              <w:sz w:val="24"/>
              <w:szCs w:val="24"/>
              <w:lang w:eastAsia="en-GB"/>
              <w14:ligatures w14:val="standardContextual"/>
            </w:rPr>
          </w:pPr>
          <w:hyperlink w:anchor="_Toc164848544" w:history="1">
            <w:r w:rsidRPr="002B32C2">
              <w:rPr>
                <w:rStyle w:val="Hyperlink"/>
                <w:rFonts w:ascii="Arial" w:hAnsi="Arial" w:cs="Arial"/>
                <w:noProof/>
              </w:rPr>
              <w:t>Net Present Value:</w:t>
            </w:r>
            <w:r>
              <w:rPr>
                <w:noProof/>
                <w:webHidden/>
              </w:rPr>
              <w:tab/>
            </w:r>
            <w:r>
              <w:rPr>
                <w:noProof/>
                <w:webHidden/>
              </w:rPr>
              <w:fldChar w:fldCharType="begin"/>
            </w:r>
            <w:r>
              <w:rPr>
                <w:noProof/>
                <w:webHidden/>
              </w:rPr>
              <w:instrText xml:space="preserve"> PAGEREF _Toc164848544 \h </w:instrText>
            </w:r>
            <w:r>
              <w:rPr>
                <w:noProof/>
                <w:webHidden/>
              </w:rPr>
            </w:r>
            <w:r>
              <w:rPr>
                <w:noProof/>
                <w:webHidden/>
              </w:rPr>
              <w:fldChar w:fldCharType="separate"/>
            </w:r>
            <w:r>
              <w:rPr>
                <w:noProof/>
                <w:webHidden/>
              </w:rPr>
              <w:t>17</w:t>
            </w:r>
            <w:r>
              <w:rPr>
                <w:noProof/>
                <w:webHidden/>
              </w:rPr>
              <w:fldChar w:fldCharType="end"/>
            </w:r>
          </w:hyperlink>
        </w:p>
        <w:p w14:paraId="28C4F7B9" w14:textId="43ADDBDD" w:rsidR="00D11951" w:rsidRDefault="00D11951">
          <w:pPr>
            <w:pStyle w:val="TOC2"/>
            <w:tabs>
              <w:tab w:val="right" w:leader="dot" w:pos="10456"/>
            </w:tabs>
            <w:rPr>
              <w:rFonts w:eastAsiaTheme="minorEastAsia" w:cstheme="minorBidi"/>
              <w:b w:val="0"/>
              <w:bCs w:val="0"/>
              <w:noProof/>
              <w:kern w:val="2"/>
              <w:sz w:val="24"/>
              <w:szCs w:val="24"/>
              <w:lang w:eastAsia="en-GB"/>
              <w14:ligatures w14:val="standardContextual"/>
            </w:rPr>
          </w:pPr>
          <w:hyperlink w:anchor="_Toc164848545" w:history="1">
            <w:r w:rsidRPr="002B32C2">
              <w:rPr>
                <w:rStyle w:val="Hyperlink"/>
                <w:rFonts w:ascii="Arial" w:hAnsi="Arial" w:cs="Arial"/>
                <w:noProof/>
              </w:rPr>
              <w:t>Non-Financial Factors:</w:t>
            </w:r>
            <w:r>
              <w:rPr>
                <w:noProof/>
                <w:webHidden/>
              </w:rPr>
              <w:tab/>
            </w:r>
            <w:r>
              <w:rPr>
                <w:noProof/>
                <w:webHidden/>
              </w:rPr>
              <w:fldChar w:fldCharType="begin"/>
            </w:r>
            <w:r>
              <w:rPr>
                <w:noProof/>
                <w:webHidden/>
              </w:rPr>
              <w:instrText xml:space="preserve"> PAGEREF _Toc164848545 \h </w:instrText>
            </w:r>
            <w:r>
              <w:rPr>
                <w:noProof/>
                <w:webHidden/>
              </w:rPr>
            </w:r>
            <w:r>
              <w:rPr>
                <w:noProof/>
                <w:webHidden/>
              </w:rPr>
              <w:fldChar w:fldCharType="separate"/>
            </w:r>
            <w:r>
              <w:rPr>
                <w:noProof/>
                <w:webHidden/>
              </w:rPr>
              <w:t>18</w:t>
            </w:r>
            <w:r>
              <w:rPr>
                <w:noProof/>
                <w:webHidden/>
              </w:rPr>
              <w:fldChar w:fldCharType="end"/>
            </w:r>
          </w:hyperlink>
        </w:p>
        <w:p w14:paraId="27602DAE" w14:textId="32C73126" w:rsidR="00D11951" w:rsidRDefault="00D11951">
          <w:pPr>
            <w:pStyle w:val="TOC1"/>
            <w:tabs>
              <w:tab w:val="right" w:leader="dot" w:pos="10456"/>
            </w:tabs>
            <w:rPr>
              <w:rFonts w:eastAsiaTheme="minorEastAsia" w:cstheme="minorBidi"/>
              <w:b w:val="0"/>
              <w:bCs w:val="0"/>
              <w:i w:val="0"/>
              <w:iCs w:val="0"/>
              <w:noProof/>
              <w:kern w:val="2"/>
              <w:lang w:eastAsia="en-GB"/>
              <w14:ligatures w14:val="standardContextual"/>
            </w:rPr>
          </w:pPr>
          <w:hyperlink w:anchor="_Toc164848546" w:history="1">
            <w:r w:rsidRPr="002B32C2">
              <w:rPr>
                <w:rStyle w:val="Hyperlink"/>
                <w:noProof/>
              </w:rPr>
              <w:t>References:</w:t>
            </w:r>
            <w:r>
              <w:rPr>
                <w:noProof/>
                <w:webHidden/>
              </w:rPr>
              <w:tab/>
            </w:r>
            <w:r>
              <w:rPr>
                <w:noProof/>
                <w:webHidden/>
              </w:rPr>
              <w:fldChar w:fldCharType="begin"/>
            </w:r>
            <w:r>
              <w:rPr>
                <w:noProof/>
                <w:webHidden/>
              </w:rPr>
              <w:instrText xml:space="preserve"> PAGEREF _Toc164848546 \h </w:instrText>
            </w:r>
            <w:r>
              <w:rPr>
                <w:noProof/>
                <w:webHidden/>
              </w:rPr>
            </w:r>
            <w:r>
              <w:rPr>
                <w:noProof/>
                <w:webHidden/>
              </w:rPr>
              <w:fldChar w:fldCharType="separate"/>
            </w:r>
            <w:r>
              <w:rPr>
                <w:noProof/>
                <w:webHidden/>
              </w:rPr>
              <w:t>19</w:t>
            </w:r>
            <w:r>
              <w:rPr>
                <w:noProof/>
                <w:webHidden/>
              </w:rPr>
              <w:fldChar w:fldCharType="end"/>
            </w:r>
          </w:hyperlink>
        </w:p>
        <w:p w14:paraId="2FC52BE7" w14:textId="2CB7D364" w:rsidR="00D11951" w:rsidRDefault="00D11951">
          <w:pPr>
            <w:pStyle w:val="TOC1"/>
            <w:tabs>
              <w:tab w:val="right" w:leader="dot" w:pos="10456"/>
            </w:tabs>
            <w:rPr>
              <w:rFonts w:eastAsiaTheme="minorEastAsia" w:cstheme="minorBidi"/>
              <w:b w:val="0"/>
              <w:bCs w:val="0"/>
              <w:i w:val="0"/>
              <w:iCs w:val="0"/>
              <w:noProof/>
              <w:kern w:val="2"/>
              <w:lang w:eastAsia="en-GB"/>
              <w14:ligatures w14:val="standardContextual"/>
            </w:rPr>
          </w:pPr>
          <w:hyperlink w:anchor="_Toc164848547" w:history="1">
            <w:r w:rsidRPr="002B32C2">
              <w:rPr>
                <w:rStyle w:val="Hyperlink"/>
                <w:noProof/>
              </w:rPr>
              <w:t>Appendix:</w:t>
            </w:r>
            <w:r>
              <w:rPr>
                <w:noProof/>
                <w:webHidden/>
              </w:rPr>
              <w:tab/>
            </w:r>
            <w:r>
              <w:rPr>
                <w:noProof/>
                <w:webHidden/>
              </w:rPr>
              <w:fldChar w:fldCharType="begin"/>
            </w:r>
            <w:r>
              <w:rPr>
                <w:noProof/>
                <w:webHidden/>
              </w:rPr>
              <w:instrText xml:space="preserve"> PAGEREF _Toc164848547 \h </w:instrText>
            </w:r>
            <w:r>
              <w:rPr>
                <w:noProof/>
                <w:webHidden/>
              </w:rPr>
            </w:r>
            <w:r>
              <w:rPr>
                <w:noProof/>
                <w:webHidden/>
              </w:rPr>
              <w:fldChar w:fldCharType="separate"/>
            </w:r>
            <w:r>
              <w:rPr>
                <w:noProof/>
                <w:webHidden/>
              </w:rPr>
              <w:t>21</w:t>
            </w:r>
            <w:r>
              <w:rPr>
                <w:noProof/>
                <w:webHidden/>
              </w:rPr>
              <w:fldChar w:fldCharType="end"/>
            </w:r>
          </w:hyperlink>
        </w:p>
        <w:p w14:paraId="7357AA98" w14:textId="3A31FF88" w:rsidR="59281257" w:rsidRDefault="006847B0" w:rsidP="59281257">
          <w:pPr>
            <w:pStyle w:val="TOC1"/>
            <w:tabs>
              <w:tab w:val="right" w:leader="dot" w:pos="10455"/>
            </w:tabs>
            <w:rPr>
              <w:rStyle w:val="Hyperlink"/>
            </w:rPr>
          </w:pPr>
          <w:r>
            <w:fldChar w:fldCharType="end"/>
          </w:r>
        </w:p>
      </w:sdtContent>
    </w:sdt>
    <w:p w14:paraId="66D3DBB7" w14:textId="24848190" w:rsidR="31A937D5" w:rsidRDefault="31A937D5" w:rsidP="31A937D5">
      <w:pPr>
        <w:spacing w:line="360" w:lineRule="auto"/>
        <w:jc w:val="both"/>
        <w:rPr>
          <w:rFonts w:ascii="Arial" w:hAnsi="Arial" w:cs="Arial"/>
          <w:sz w:val="24"/>
          <w:szCs w:val="24"/>
        </w:rPr>
      </w:pPr>
    </w:p>
    <w:p w14:paraId="36355D63" w14:textId="7C43BB1A" w:rsidR="007D7B57" w:rsidRDefault="004D76C4" w:rsidP="004D76C4">
      <w:pPr>
        <w:tabs>
          <w:tab w:val="left" w:pos="8585"/>
        </w:tabs>
        <w:spacing w:line="360" w:lineRule="auto"/>
        <w:jc w:val="both"/>
        <w:rPr>
          <w:rFonts w:ascii="Arial" w:hAnsi="Arial" w:cs="Arial"/>
          <w:sz w:val="24"/>
          <w:szCs w:val="24"/>
        </w:rPr>
      </w:pPr>
      <w:r>
        <w:rPr>
          <w:rFonts w:ascii="Arial" w:hAnsi="Arial" w:cs="Arial"/>
          <w:sz w:val="24"/>
          <w:szCs w:val="24"/>
        </w:rPr>
        <w:tab/>
      </w:r>
    </w:p>
    <w:p w14:paraId="6595CD1B" w14:textId="77777777" w:rsidR="007D7B57" w:rsidRDefault="007D7B57" w:rsidP="31A937D5">
      <w:pPr>
        <w:spacing w:line="360" w:lineRule="auto"/>
        <w:jc w:val="both"/>
        <w:rPr>
          <w:rFonts w:ascii="Arial" w:hAnsi="Arial" w:cs="Arial"/>
          <w:sz w:val="24"/>
          <w:szCs w:val="24"/>
        </w:rPr>
      </w:pPr>
    </w:p>
    <w:p w14:paraId="2887C8A7" w14:textId="77777777" w:rsidR="007D7B57" w:rsidRDefault="007D7B57" w:rsidP="31A937D5">
      <w:pPr>
        <w:spacing w:line="360" w:lineRule="auto"/>
        <w:jc w:val="both"/>
        <w:rPr>
          <w:rFonts w:ascii="Arial" w:hAnsi="Arial" w:cs="Arial"/>
          <w:sz w:val="24"/>
          <w:szCs w:val="24"/>
        </w:rPr>
      </w:pPr>
    </w:p>
    <w:p w14:paraId="723F0E56" w14:textId="77777777" w:rsidR="007D7B57" w:rsidRDefault="007D7B57" w:rsidP="31A937D5">
      <w:pPr>
        <w:spacing w:line="360" w:lineRule="auto"/>
        <w:jc w:val="both"/>
        <w:rPr>
          <w:rFonts w:ascii="Arial" w:hAnsi="Arial" w:cs="Arial"/>
          <w:sz w:val="24"/>
          <w:szCs w:val="24"/>
        </w:rPr>
      </w:pPr>
    </w:p>
    <w:p w14:paraId="7720C6DB" w14:textId="77777777" w:rsidR="007D7B57" w:rsidRDefault="007D7B57" w:rsidP="31A937D5">
      <w:pPr>
        <w:spacing w:line="360" w:lineRule="auto"/>
        <w:jc w:val="both"/>
        <w:rPr>
          <w:rFonts w:ascii="Arial" w:hAnsi="Arial" w:cs="Arial"/>
          <w:sz w:val="24"/>
          <w:szCs w:val="24"/>
        </w:rPr>
      </w:pPr>
    </w:p>
    <w:p w14:paraId="1EC815C2" w14:textId="2BA17B0D" w:rsidR="00CD4C67" w:rsidRPr="00B202A8" w:rsidRDefault="00CD4C67" w:rsidP="5D40A6A3">
      <w:pPr>
        <w:pStyle w:val="Heading1"/>
        <w:rPr>
          <w:rFonts w:ascii="Arial" w:hAnsi="Arial" w:cs="Arial"/>
          <w:b/>
          <w:bCs/>
          <w:i/>
          <w:iCs/>
          <w:color w:val="000000" w:themeColor="text1"/>
          <w:sz w:val="22"/>
          <w:szCs w:val="22"/>
        </w:rPr>
      </w:pPr>
      <w:bookmarkStart w:id="0" w:name="_Toc164848519"/>
      <w:r w:rsidRPr="00B202A8">
        <w:rPr>
          <w:rFonts w:ascii="Arial" w:hAnsi="Arial" w:cs="Arial"/>
          <w:b/>
          <w:bCs/>
          <w:i/>
          <w:iCs/>
          <w:color w:val="000000" w:themeColor="text1"/>
        </w:rPr>
        <w:lastRenderedPageBreak/>
        <w:t>Introduction to Walgreens Boots Alliance, Inc (WBA</w:t>
      </w:r>
      <w:r w:rsidR="005A4985" w:rsidRPr="00B202A8">
        <w:rPr>
          <w:rFonts w:ascii="Arial" w:hAnsi="Arial" w:cs="Arial"/>
          <w:b/>
          <w:bCs/>
          <w:i/>
          <w:iCs/>
          <w:color w:val="000000" w:themeColor="text1"/>
        </w:rPr>
        <w:t>):</w:t>
      </w:r>
      <w:bookmarkEnd w:id="0"/>
    </w:p>
    <w:p w14:paraId="52D76A71" w14:textId="33627538" w:rsidR="006A7E15" w:rsidRPr="00B202A8" w:rsidRDefault="006A7E15" w:rsidP="239FDBC3">
      <w:pPr>
        <w:pStyle w:val="Heading2"/>
        <w:rPr>
          <w:rFonts w:ascii="Arial" w:hAnsi="Arial" w:cs="Arial"/>
          <w:b/>
          <w:color w:val="000000" w:themeColor="text1"/>
          <w:sz w:val="22"/>
          <w:szCs w:val="22"/>
        </w:rPr>
      </w:pPr>
      <w:bookmarkStart w:id="1" w:name="_Toc164848520"/>
      <w:r w:rsidRPr="00B202A8">
        <w:rPr>
          <w:rFonts w:ascii="Arial" w:hAnsi="Arial" w:cs="Arial"/>
          <w:color w:val="000000" w:themeColor="text1"/>
        </w:rPr>
        <w:t>Industry:</w:t>
      </w:r>
      <w:bookmarkEnd w:id="1"/>
    </w:p>
    <w:p w14:paraId="465D7828" w14:textId="1850C3AE" w:rsidR="00272549" w:rsidRPr="00B202A8" w:rsidRDefault="00272549" w:rsidP="555E972C">
      <w:pPr>
        <w:rPr>
          <w:rFonts w:ascii="Arial" w:hAnsi="Arial" w:cs="Arial"/>
          <w:color w:val="000000" w:themeColor="text1"/>
          <w:sz w:val="24"/>
          <w:szCs w:val="24"/>
        </w:rPr>
      </w:pPr>
      <w:r w:rsidRPr="00B202A8">
        <w:rPr>
          <w:rFonts w:ascii="Arial" w:hAnsi="Arial" w:cs="Arial"/>
          <w:color w:val="000000" w:themeColor="text1"/>
          <w:sz w:val="24"/>
          <w:szCs w:val="24"/>
        </w:rPr>
        <w:t xml:space="preserve">Walgreens Boots Alliance, Inc. (WBA) </w:t>
      </w:r>
      <w:r w:rsidR="006A7E15" w:rsidRPr="00B202A8">
        <w:rPr>
          <w:rFonts w:ascii="Arial" w:hAnsi="Arial" w:cs="Arial"/>
          <w:color w:val="000000" w:themeColor="text1"/>
          <w:sz w:val="24"/>
          <w:szCs w:val="24"/>
        </w:rPr>
        <w:t xml:space="preserve">is a well-known participant in the healthcare sector, running a complex business that includes wellness, health, and pharmaceutical items. Established in 2014 because of the merger of Alliance Boots and Walgreens, WBA has grown to become a major player in the global healthcare industry, offering a wide range of products and services and operating in many countries. </w:t>
      </w:r>
      <w:r w:rsidR="00AE4258" w:rsidRPr="00B202A8">
        <w:rPr>
          <w:rFonts w:ascii="Arial" w:hAnsi="Arial" w:cs="Arial"/>
          <w:color w:val="000000" w:themeColor="text1"/>
          <w:sz w:val="24"/>
          <w:szCs w:val="24"/>
        </w:rPr>
        <w:t>REF</w:t>
      </w:r>
    </w:p>
    <w:p w14:paraId="1A1CA2C8" w14:textId="3E3BF0C8" w:rsidR="006A7E15" w:rsidRPr="00B202A8" w:rsidRDefault="006A7E15" w:rsidP="4AE805D0">
      <w:pPr>
        <w:pStyle w:val="Heading2"/>
        <w:rPr>
          <w:rFonts w:ascii="Arial" w:hAnsi="Arial" w:cs="Arial"/>
          <w:b/>
          <w:color w:val="000000" w:themeColor="text1"/>
          <w:sz w:val="22"/>
          <w:szCs w:val="22"/>
        </w:rPr>
      </w:pPr>
      <w:bookmarkStart w:id="2" w:name="_Toc164848521"/>
      <w:r w:rsidRPr="00B202A8">
        <w:rPr>
          <w:rFonts w:ascii="Arial" w:hAnsi="Arial" w:cs="Arial"/>
          <w:color w:val="000000" w:themeColor="text1"/>
        </w:rPr>
        <w:t>Business Model:</w:t>
      </w:r>
      <w:bookmarkEnd w:id="2"/>
    </w:p>
    <w:p w14:paraId="6219AE95" w14:textId="77777777" w:rsidR="006A7E15" w:rsidRPr="00B202A8" w:rsidRDefault="006A7E15" w:rsidP="0D619873">
      <w:pPr>
        <w:rPr>
          <w:rFonts w:ascii="Arial" w:hAnsi="Arial" w:cs="Arial"/>
          <w:color w:val="000000" w:themeColor="text1"/>
          <w:sz w:val="24"/>
          <w:szCs w:val="24"/>
        </w:rPr>
      </w:pPr>
      <w:r w:rsidRPr="00B202A8">
        <w:rPr>
          <w:rFonts w:ascii="Arial" w:hAnsi="Arial" w:cs="Arial"/>
          <w:color w:val="000000" w:themeColor="text1"/>
          <w:sz w:val="24"/>
          <w:szCs w:val="24"/>
        </w:rPr>
        <w:t>WBA serves millions of clients globally through the thousands of Walgreens and Boots locations it runs as part of its core retail pharmacy business. These pharmacies provide a large selection of over-the-counter pharmaceuticals, prescription meds, cosmetics, health care items, and other services. With services including prescription refills, vaccinations, health screenings, and pharmacist consultations, WBA's retail pharmacies are positioned as easy-to-get locations for customers looking for healthcare solutions.</w:t>
      </w:r>
    </w:p>
    <w:p w14:paraId="06FEF4C6" w14:textId="215B2642" w:rsidR="006A7E15" w:rsidRPr="00B202A8" w:rsidRDefault="006A7E15" w:rsidP="0D619873">
      <w:pPr>
        <w:pStyle w:val="Heading2"/>
        <w:rPr>
          <w:rFonts w:ascii="Arial" w:hAnsi="Arial" w:cs="Arial"/>
          <w:b/>
          <w:color w:val="000000" w:themeColor="text1"/>
          <w:sz w:val="22"/>
          <w:szCs w:val="22"/>
        </w:rPr>
      </w:pPr>
      <w:bookmarkStart w:id="3" w:name="_Toc164848522"/>
      <w:r w:rsidRPr="00B202A8">
        <w:rPr>
          <w:rFonts w:ascii="Arial" w:hAnsi="Arial" w:cs="Arial"/>
          <w:color w:val="000000" w:themeColor="text1"/>
        </w:rPr>
        <w:t>Marketplace:</w:t>
      </w:r>
      <w:bookmarkEnd w:id="3"/>
    </w:p>
    <w:p w14:paraId="14C7BE2F" w14:textId="77777777" w:rsidR="00DB63F6" w:rsidRPr="00B202A8" w:rsidRDefault="00DB63F6" w:rsidP="22CD2EB3">
      <w:pPr>
        <w:rPr>
          <w:rFonts w:ascii="Arial" w:hAnsi="Arial" w:cs="Arial"/>
          <w:color w:val="000000" w:themeColor="text1"/>
          <w:sz w:val="24"/>
          <w:szCs w:val="24"/>
        </w:rPr>
      </w:pPr>
      <w:r w:rsidRPr="00B202A8">
        <w:rPr>
          <w:rFonts w:ascii="Arial" w:hAnsi="Arial" w:cs="Arial"/>
          <w:color w:val="000000" w:themeColor="text1"/>
          <w:sz w:val="24"/>
          <w:szCs w:val="24"/>
        </w:rPr>
        <w:t>WBA's business plan incorporates distribution networks and e-commerce in addition to traditional brick and mortar retail. The business runs online stores where clients can order prescription drugs and medical supplies for pickup or delivery. WBA also uses its broad distribution network to provide pharmacies, other shops, and healthcare professionals with medications and medical supplies.</w:t>
      </w:r>
    </w:p>
    <w:p w14:paraId="79B2551A" w14:textId="36D5C212" w:rsidR="006A7E15" w:rsidRPr="00B202A8" w:rsidRDefault="006A7E15" w:rsidP="002030C2">
      <w:pPr>
        <w:pStyle w:val="Heading2"/>
        <w:rPr>
          <w:rFonts w:ascii="Arial" w:hAnsi="Arial" w:cs="Arial"/>
          <w:b/>
          <w:color w:val="000000" w:themeColor="text1"/>
          <w:sz w:val="22"/>
          <w:szCs w:val="22"/>
        </w:rPr>
      </w:pPr>
      <w:bookmarkStart w:id="4" w:name="_Toc164848523"/>
      <w:r w:rsidRPr="00B202A8">
        <w:rPr>
          <w:rFonts w:ascii="Arial" w:hAnsi="Arial" w:cs="Arial"/>
          <w:color w:val="000000" w:themeColor="text1"/>
        </w:rPr>
        <w:t>Major Competitors:</w:t>
      </w:r>
      <w:bookmarkEnd w:id="4"/>
    </w:p>
    <w:p w14:paraId="63719D59" w14:textId="77777777" w:rsidR="00DB63F6" w:rsidRPr="00B202A8" w:rsidRDefault="00DB63F6" w:rsidP="22CD2EB3">
      <w:pPr>
        <w:rPr>
          <w:rFonts w:ascii="Arial" w:hAnsi="Arial" w:cs="Arial"/>
          <w:color w:val="000000" w:themeColor="text1"/>
          <w:sz w:val="24"/>
          <w:szCs w:val="24"/>
        </w:rPr>
      </w:pPr>
      <w:r w:rsidRPr="00B202A8">
        <w:rPr>
          <w:rFonts w:ascii="Arial" w:hAnsi="Arial" w:cs="Arial"/>
          <w:color w:val="000000" w:themeColor="text1"/>
          <w:sz w:val="24"/>
          <w:szCs w:val="24"/>
        </w:rPr>
        <w:t>WBA competes against competitors like CVS Health Corporation, Walmart Inc., and Amazon.com Inc. in the very competitive healthcare sector. Due to competition from these rivals for market share in e-commerce, retail pharmacy, and healthcare services, WBA is forced to constantly innovate and set itself apart from the competition. The core of WBA's competitive strategy is its emphasis on delivering individualised customer experiences by using technology and data analytics to customise services and product suggestions to meet the demands of specific customers.</w:t>
      </w:r>
    </w:p>
    <w:p w14:paraId="6FC4F53F" w14:textId="1D4067D3" w:rsidR="006A7E15" w:rsidRPr="00B202A8" w:rsidRDefault="006A7E15" w:rsidP="22CD2EB3">
      <w:pPr>
        <w:pStyle w:val="Heading2"/>
        <w:rPr>
          <w:rFonts w:ascii="Arial" w:hAnsi="Arial" w:cs="Arial"/>
          <w:b/>
          <w:color w:val="000000" w:themeColor="text1"/>
          <w:sz w:val="22"/>
          <w:szCs w:val="22"/>
        </w:rPr>
      </w:pPr>
      <w:bookmarkStart w:id="5" w:name="_Toc164848524"/>
      <w:r w:rsidRPr="00B202A8">
        <w:rPr>
          <w:rFonts w:ascii="Arial" w:hAnsi="Arial" w:cs="Arial"/>
          <w:color w:val="000000" w:themeColor="text1"/>
        </w:rPr>
        <w:t>Major Events (5-year timespan):</w:t>
      </w:r>
      <w:bookmarkEnd w:id="5"/>
    </w:p>
    <w:p w14:paraId="45105A64" w14:textId="47AAD1CA" w:rsidR="00974D72" w:rsidRPr="00FC04BF" w:rsidRDefault="00974D72" w:rsidP="16AD8396">
      <w:pPr>
        <w:rPr>
          <w:rFonts w:ascii="Arial" w:hAnsi="Arial" w:cs="Arial"/>
          <w:b/>
          <w:bCs/>
          <w:color w:val="000000" w:themeColor="text1"/>
          <w:sz w:val="24"/>
          <w:szCs w:val="24"/>
        </w:rPr>
      </w:pPr>
      <w:r w:rsidRPr="00FC04BF">
        <w:rPr>
          <w:rFonts w:ascii="Arial" w:hAnsi="Arial" w:cs="Arial"/>
          <w:b/>
          <w:color w:val="000000" w:themeColor="text1"/>
          <w:sz w:val="24"/>
          <w:szCs w:val="24"/>
        </w:rPr>
        <w:t>All information can be found on Walgreens</w:t>
      </w:r>
      <w:r w:rsidR="00041C41" w:rsidRPr="00FC04BF">
        <w:rPr>
          <w:rFonts w:ascii="Arial" w:hAnsi="Arial" w:cs="Arial"/>
          <w:b/>
          <w:color w:val="000000" w:themeColor="text1"/>
          <w:sz w:val="24"/>
          <w:szCs w:val="24"/>
        </w:rPr>
        <w:t xml:space="preserve"> Boots Alliance, Inc </w:t>
      </w:r>
      <w:r w:rsidR="005C1070" w:rsidRPr="00FC04BF">
        <w:rPr>
          <w:rFonts w:ascii="Arial" w:hAnsi="Arial" w:cs="Arial"/>
          <w:b/>
          <w:color w:val="000000" w:themeColor="text1"/>
          <w:sz w:val="24"/>
          <w:szCs w:val="24"/>
        </w:rPr>
        <w:t>through press releases and more, other websites and news</w:t>
      </w:r>
      <w:r w:rsidR="00E52F7F" w:rsidRPr="00FC04BF">
        <w:rPr>
          <w:rFonts w:ascii="Arial" w:hAnsi="Arial" w:cs="Arial"/>
          <w:b/>
          <w:color w:val="000000" w:themeColor="text1"/>
          <w:sz w:val="24"/>
          <w:szCs w:val="24"/>
        </w:rPr>
        <w:t xml:space="preserve"> outlets</w:t>
      </w:r>
      <w:r w:rsidR="005C1070" w:rsidRPr="00FC04BF">
        <w:rPr>
          <w:rFonts w:ascii="Arial" w:hAnsi="Arial" w:cs="Arial"/>
          <w:b/>
          <w:color w:val="000000" w:themeColor="text1"/>
          <w:sz w:val="24"/>
          <w:szCs w:val="24"/>
        </w:rPr>
        <w:t xml:space="preserve"> have reported on the following events</w:t>
      </w:r>
      <w:r w:rsidR="00E52F7F" w:rsidRPr="00FC04BF">
        <w:rPr>
          <w:rFonts w:ascii="Arial" w:hAnsi="Arial" w:cs="Arial"/>
          <w:b/>
          <w:color w:val="000000" w:themeColor="text1"/>
          <w:sz w:val="24"/>
          <w:szCs w:val="24"/>
        </w:rPr>
        <w:t xml:space="preserve">. </w:t>
      </w:r>
    </w:p>
    <w:p w14:paraId="241478F4" w14:textId="244971F4" w:rsidR="00C67ED7" w:rsidRPr="00FC04BF" w:rsidRDefault="00C67ED7" w:rsidP="16AD8396">
      <w:pPr>
        <w:rPr>
          <w:rFonts w:ascii="Arial" w:hAnsi="Arial" w:cs="Arial"/>
          <w:color w:val="000000" w:themeColor="text1"/>
          <w:sz w:val="24"/>
          <w:szCs w:val="24"/>
        </w:rPr>
      </w:pPr>
      <w:r w:rsidRPr="00FC04BF">
        <w:rPr>
          <w:rFonts w:ascii="Arial" w:hAnsi="Arial" w:cs="Arial"/>
          <w:color w:val="000000" w:themeColor="text1"/>
          <w:sz w:val="24"/>
          <w:szCs w:val="24"/>
        </w:rPr>
        <w:t>2019: WBA announced a strategic partnership with Microsoft to develop new healthcare delivery models, improve patient engagement, and enhance the efficiency of healthcare delivery</w:t>
      </w:r>
      <w:r w:rsidR="00802E0D" w:rsidRPr="00FC04BF">
        <w:rPr>
          <w:rFonts w:ascii="Arial" w:hAnsi="Arial" w:cs="Arial"/>
          <w:color w:val="000000" w:themeColor="text1"/>
          <w:sz w:val="24"/>
          <w:szCs w:val="24"/>
        </w:rPr>
        <w:t xml:space="preserve"> (</w:t>
      </w:r>
      <w:proofErr w:type="spellStart"/>
      <w:r w:rsidR="00802E0D" w:rsidRPr="00FC04BF">
        <w:rPr>
          <w:rFonts w:ascii="Arial" w:hAnsi="Arial" w:cs="Arial"/>
          <w:color w:val="000000" w:themeColor="text1"/>
          <w:sz w:val="24"/>
          <w:szCs w:val="24"/>
        </w:rPr>
        <w:t>Wickware</w:t>
      </w:r>
      <w:proofErr w:type="spellEnd"/>
      <w:r w:rsidR="00802E0D" w:rsidRPr="00FC04BF">
        <w:rPr>
          <w:rFonts w:ascii="Arial" w:hAnsi="Arial" w:cs="Arial"/>
          <w:color w:val="000000" w:themeColor="text1"/>
          <w:sz w:val="24"/>
          <w:szCs w:val="24"/>
        </w:rPr>
        <w:t>, 2019).</w:t>
      </w:r>
    </w:p>
    <w:p w14:paraId="4070FAB0" w14:textId="792E0EC3" w:rsidR="00C67ED7" w:rsidRPr="00FC04BF" w:rsidRDefault="00C67ED7" w:rsidP="16AD8396">
      <w:pPr>
        <w:rPr>
          <w:rFonts w:ascii="Arial" w:hAnsi="Arial" w:cs="Arial"/>
          <w:color w:val="000000" w:themeColor="text1"/>
          <w:sz w:val="24"/>
          <w:szCs w:val="24"/>
        </w:rPr>
      </w:pPr>
      <w:r w:rsidRPr="00FC04BF">
        <w:rPr>
          <w:rFonts w:ascii="Arial" w:hAnsi="Arial" w:cs="Arial"/>
          <w:color w:val="000000" w:themeColor="text1"/>
          <w:sz w:val="24"/>
          <w:szCs w:val="24"/>
        </w:rPr>
        <w:t>2020: Amid the COVID-19 pandemic, WBA saw increased demand for pharmaceuticals and healthcare products, leading to a surge in sales across its retail stores and online platforms</w:t>
      </w:r>
      <w:r w:rsidR="00802E0D" w:rsidRPr="00FC04BF">
        <w:rPr>
          <w:rFonts w:ascii="Arial" w:hAnsi="Arial" w:cs="Arial"/>
          <w:color w:val="000000" w:themeColor="text1"/>
          <w:sz w:val="24"/>
          <w:szCs w:val="24"/>
        </w:rPr>
        <w:t xml:space="preserve"> alongside other companies (Kalish, 2022). </w:t>
      </w:r>
    </w:p>
    <w:p w14:paraId="494E07CE" w14:textId="2E9C8E77" w:rsidR="00C67ED7" w:rsidRPr="00FC04BF" w:rsidRDefault="00C67ED7" w:rsidP="16AD8396">
      <w:pPr>
        <w:rPr>
          <w:rFonts w:ascii="Arial" w:hAnsi="Arial" w:cs="Arial"/>
          <w:color w:val="000000" w:themeColor="text1"/>
          <w:sz w:val="24"/>
          <w:szCs w:val="24"/>
        </w:rPr>
      </w:pPr>
      <w:r w:rsidRPr="00FC04BF">
        <w:rPr>
          <w:rFonts w:ascii="Arial" w:hAnsi="Arial" w:cs="Arial"/>
          <w:color w:val="000000" w:themeColor="text1"/>
          <w:sz w:val="24"/>
          <w:szCs w:val="24"/>
        </w:rPr>
        <w:t>2021: WBA announced plans to divest its Alliance Healthcare business to AmerisourceBergen Corporation for $6.5 billion in cash and stock. This move aimed to streamline its operations and focus on its core retail pharmacy business</w:t>
      </w:r>
      <w:r w:rsidR="0017455B" w:rsidRPr="00FC04BF">
        <w:rPr>
          <w:rFonts w:ascii="Arial" w:hAnsi="Arial" w:cs="Arial"/>
          <w:color w:val="000000" w:themeColor="text1"/>
          <w:sz w:val="24"/>
          <w:szCs w:val="24"/>
        </w:rPr>
        <w:t xml:space="preserve"> (Samuel, 2021).</w:t>
      </w:r>
    </w:p>
    <w:p w14:paraId="518E49D1" w14:textId="16536AA1" w:rsidR="00C67ED7" w:rsidRPr="00FC04BF" w:rsidRDefault="00C67ED7" w:rsidP="16AD8396">
      <w:pPr>
        <w:rPr>
          <w:rFonts w:ascii="Arial" w:hAnsi="Arial" w:cs="Arial"/>
          <w:color w:val="000000" w:themeColor="text1"/>
          <w:sz w:val="24"/>
          <w:szCs w:val="24"/>
        </w:rPr>
      </w:pPr>
      <w:r w:rsidRPr="00FC04BF">
        <w:rPr>
          <w:rFonts w:ascii="Arial" w:hAnsi="Arial" w:cs="Arial"/>
          <w:color w:val="000000" w:themeColor="text1"/>
          <w:sz w:val="24"/>
          <w:szCs w:val="24"/>
        </w:rPr>
        <w:t xml:space="preserve">2022: WBA faced legal challenges related to opioid distribution practices, with several lawsuits filed against the company by states and local governments alleging its role in fuelling the opioid </w:t>
      </w:r>
      <w:r w:rsidRPr="00FC04BF">
        <w:rPr>
          <w:rFonts w:ascii="Arial" w:hAnsi="Arial" w:cs="Arial"/>
          <w:color w:val="000000" w:themeColor="text1"/>
          <w:sz w:val="24"/>
          <w:szCs w:val="24"/>
        </w:rPr>
        <w:lastRenderedPageBreak/>
        <w:t xml:space="preserve">crisis. </w:t>
      </w:r>
      <w:r w:rsidR="0017455B" w:rsidRPr="00FC04BF">
        <w:rPr>
          <w:rFonts w:ascii="Arial" w:hAnsi="Arial" w:cs="Arial"/>
          <w:color w:val="000000" w:themeColor="text1"/>
          <w:sz w:val="24"/>
          <w:szCs w:val="24"/>
        </w:rPr>
        <w:t xml:space="preserve">It was reported that the medication in question was falsely </w:t>
      </w:r>
      <w:r w:rsidR="00BE5D71" w:rsidRPr="00FC04BF">
        <w:rPr>
          <w:rFonts w:ascii="Arial" w:hAnsi="Arial" w:cs="Arial"/>
          <w:color w:val="000000" w:themeColor="text1"/>
          <w:sz w:val="24"/>
          <w:szCs w:val="24"/>
        </w:rPr>
        <w:t>marketed,</w:t>
      </w:r>
      <w:r w:rsidR="0017455B" w:rsidRPr="00FC04BF">
        <w:rPr>
          <w:rFonts w:ascii="Arial" w:hAnsi="Arial" w:cs="Arial"/>
          <w:color w:val="000000" w:themeColor="text1"/>
          <w:sz w:val="24"/>
          <w:szCs w:val="24"/>
        </w:rPr>
        <w:t xml:space="preserve"> and the affects (long-term and short-term) were not presented appropriately to the consumers of this pill. Walgreens have paid $230 billion to the San Francisco state to settle the case. T</w:t>
      </w:r>
      <w:r w:rsidRPr="00FC04BF">
        <w:rPr>
          <w:rFonts w:ascii="Arial" w:hAnsi="Arial" w:cs="Arial"/>
          <w:color w:val="000000" w:themeColor="text1"/>
          <w:sz w:val="24"/>
          <w:szCs w:val="24"/>
        </w:rPr>
        <w:t>he company announced initiatives to address opioid abuse and support affected communitie</w:t>
      </w:r>
      <w:r w:rsidR="0017455B" w:rsidRPr="00FC04BF">
        <w:rPr>
          <w:rFonts w:ascii="Arial" w:hAnsi="Arial" w:cs="Arial"/>
          <w:color w:val="000000" w:themeColor="text1"/>
          <w:sz w:val="24"/>
          <w:szCs w:val="24"/>
        </w:rPr>
        <w:t xml:space="preserve">s (Ivanova &amp; </w:t>
      </w:r>
      <w:proofErr w:type="spellStart"/>
      <w:r w:rsidR="0017455B" w:rsidRPr="00FC04BF">
        <w:rPr>
          <w:rFonts w:ascii="Arial" w:hAnsi="Arial" w:cs="Arial"/>
          <w:color w:val="000000" w:themeColor="text1"/>
          <w:sz w:val="24"/>
          <w:szCs w:val="24"/>
        </w:rPr>
        <w:t>Weicher</w:t>
      </w:r>
      <w:proofErr w:type="spellEnd"/>
      <w:r w:rsidR="0017455B" w:rsidRPr="00FC04BF">
        <w:rPr>
          <w:rFonts w:ascii="Arial" w:hAnsi="Arial" w:cs="Arial"/>
          <w:color w:val="000000" w:themeColor="text1"/>
          <w:sz w:val="24"/>
          <w:szCs w:val="24"/>
        </w:rPr>
        <w:t>, 2023).</w:t>
      </w:r>
    </w:p>
    <w:p w14:paraId="0803815F" w14:textId="2F07C660" w:rsidR="00C67ED7" w:rsidRPr="00FC04BF" w:rsidRDefault="00C67ED7" w:rsidP="16AD8396">
      <w:pPr>
        <w:rPr>
          <w:rFonts w:ascii="Arial" w:hAnsi="Arial" w:cs="Arial"/>
          <w:color w:val="000000" w:themeColor="text1"/>
          <w:sz w:val="24"/>
          <w:szCs w:val="24"/>
        </w:rPr>
      </w:pPr>
      <w:r w:rsidRPr="00FC04BF">
        <w:rPr>
          <w:rFonts w:ascii="Arial" w:hAnsi="Arial" w:cs="Arial"/>
          <w:color w:val="000000" w:themeColor="text1"/>
          <w:sz w:val="24"/>
          <w:szCs w:val="24"/>
        </w:rPr>
        <w:t xml:space="preserve">2023: </w:t>
      </w:r>
      <w:r w:rsidR="00266146" w:rsidRPr="00FC04BF">
        <w:rPr>
          <w:rFonts w:ascii="Arial" w:hAnsi="Arial" w:cs="Arial"/>
          <w:color w:val="000000" w:themeColor="text1"/>
          <w:sz w:val="24"/>
          <w:szCs w:val="24"/>
        </w:rPr>
        <w:t xml:space="preserve">On the </w:t>
      </w:r>
      <w:proofErr w:type="gramStart"/>
      <w:r w:rsidR="00266146" w:rsidRPr="00FC04BF">
        <w:rPr>
          <w:rFonts w:ascii="Arial" w:hAnsi="Arial" w:cs="Arial"/>
          <w:color w:val="000000" w:themeColor="text1"/>
          <w:sz w:val="24"/>
          <w:szCs w:val="24"/>
        </w:rPr>
        <w:t>23rd</w:t>
      </w:r>
      <w:proofErr w:type="gramEnd"/>
      <w:r w:rsidR="00266146" w:rsidRPr="00FC04BF">
        <w:rPr>
          <w:rFonts w:ascii="Arial" w:hAnsi="Arial" w:cs="Arial"/>
          <w:color w:val="000000" w:themeColor="text1"/>
          <w:sz w:val="24"/>
          <w:szCs w:val="24"/>
        </w:rPr>
        <w:t xml:space="preserve"> October, </w:t>
      </w:r>
      <w:r w:rsidRPr="00FC04BF">
        <w:rPr>
          <w:rFonts w:ascii="Arial" w:hAnsi="Arial" w:cs="Arial"/>
          <w:color w:val="000000" w:themeColor="text1"/>
          <w:sz w:val="24"/>
          <w:szCs w:val="24"/>
        </w:rPr>
        <w:t xml:space="preserve">WBA appointed </w:t>
      </w:r>
      <w:r w:rsidR="00266146" w:rsidRPr="00FC04BF">
        <w:rPr>
          <w:rFonts w:ascii="Arial" w:hAnsi="Arial" w:cs="Arial"/>
          <w:color w:val="000000" w:themeColor="text1"/>
          <w:sz w:val="24"/>
          <w:szCs w:val="24"/>
        </w:rPr>
        <w:t>Tim Wentworth as the new</w:t>
      </w:r>
      <w:r w:rsidRPr="00FC04BF">
        <w:rPr>
          <w:rFonts w:ascii="Arial" w:hAnsi="Arial" w:cs="Arial"/>
          <w:color w:val="000000" w:themeColor="text1"/>
          <w:sz w:val="24"/>
          <w:szCs w:val="24"/>
        </w:rPr>
        <w:t xml:space="preserve"> CEO, marking a leadership transition aimed at driving growth and innovation in the rapidly evolving healthcare industry.</w:t>
      </w:r>
      <w:r w:rsidR="00266146" w:rsidRPr="00FC04BF">
        <w:rPr>
          <w:rFonts w:ascii="Arial" w:hAnsi="Arial" w:cs="Arial"/>
          <w:color w:val="000000" w:themeColor="text1"/>
          <w:sz w:val="24"/>
          <w:szCs w:val="24"/>
        </w:rPr>
        <w:t xml:space="preserve"> The WBA focus was to appoint a new CEO with extensive healthcare understanding and experience</w:t>
      </w:r>
      <w:r w:rsidR="00FA2E6F" w:rsidRPr="00FC04BF">
        <w:rPr>
          <w:rFonts w:ascii="Arial" w:hAnsi="Arial" w:cs="Arial"/>
          <w:color w:val="000000" w:themeColor="text1"/>
          <w:sz w:val="24"/>
          <w:szCs w:val="24"/>
        </w:rPr>
        <w:t xml:space="preserve"> (WBA, 2023).</w:t>
      </w:r>
    </w:p>
    <w:p w14:paraId="68E36D79" w14:textId="033A945D" w:rsidR="00FA2E6F" w:rsidRPr="00FC04BF" w:rsidRDefault="00FA2E6F" w:rsidP="16AD8396">
      <w:pPr>
        <w:rPr>
          <w:rFonts w:ascii="Arial" w:hAnsi="Arial" w:cs="Arial"/>
          <w:color w:val="000000" w:themeColor="text1"/>
          <w:sz w:val="24"/>
          <w:szCs w:val="24"/>
        </w:rPr>
      </w:pPr>
      <w:r w:rsidRPr="00FC04BF">
        <w:rPr>
          <w:rFonts w:ascii="Arial" w:hAnsi="Arial" w:cs="Arial"/>
          <w:color w:val="000000" w:themeColor="text1"/>
          <w:sz w:val="24"/>
          <w:szCs w:val="24"/>
        </w:rPr>
        <w:t>In conclusion, Walgreens Boots Alliance, Inc. continues to be a powerful force in the healthcare sector, generating value for its stakeholders using its broad retail footprint, digital capabilities, and dedication to customer-centricity. WBA is committed to its goal of giving customers all around the world easily accessible, reasonably priced, and high-quality healthcare products and services, even in the face of obstacles and strategy shifts.</w:t>
      </w:r>
    </w:p>
    <w:p w14:paraId="067D20DD" w14:textId="79D7CDC5" w:rsidR="00F85FDF" w:rsidRPr="004D76C4" w:rsidRDefault="00F85FDF">
      <w:pPr>
        <w:rPr>
          <w:rFonts w:ascii="Arial" w:hAnsi="Arial" w:cs="Arial"/>
          <w:b/>
          <w:bCs/>
          <w:i/>
          <w:iCs/>
          <w:color w:val="000000" w:themeColor="text1"/>
          <w:sz w:val="24"/>
          <w:szCs w:val="24"/>
          <w:u w:val="single"/>
        </w:rPr>
      </w:pPr>
    </w:p>
    <w:p w14:paraId="36521DB3" w14:textId="77777777" w:rsidR="00125602" w:rsidRPr="004D76C4" w:rsidRDefault="00125602">
      <w:pPr>
        <w:rPr>
          <w:rFonts w:ascii="Arial" w:hAnsi="Arial" w:cs="Arial"/>
          <w:b/>
          <w:bCs/>
          <w:i/>
          <w:iCs/>
          <w:color w:val="000000" w:themeColor="text1"/>
          <w:sz w:val="24"/>
          <w:szCs w:val="24"/>
          <w:u w:val="single"/>
        </w:rPr>
      </w:pPr>
    </w:p>
    <w:p w14:paraId="44B97A8E" w14:textId="77777777" w:rsidR="00125602" w:rsidRPr="004D76C4" w:rsidRDefault="00125602">
      <w:pPr>
        <w:rPr>
          <w:rFonts w:ascii="Arial" w:hAnsi="Arial" w:cs="Arial"/>
          <w:b/>
          <w:bCs/>
          <w:i/>
          <w:iCs/>
          <w:color w:val="000000" w:themeColor="text1"/>
          <w:sz w:val="24"/>
          <w:szCs w:val="24"/>
          <w:u w:val="single"/>
        </w:rPr>
      </w:pPr>
    </w:p>
    <w:p w14:paraId="703BE3DD" w14:textId="77777777" w:rsidR="00125602" w:rsidRPr="004D76C4" w:rsidRDefault="00125602">
      <w:pPr>
        <w:rPr>
          <w:rFonts w:ascii="Arial" w:hAnsi="Arial" w:cs="Arial"/>
          <w:b/>
          <w:bCs/>
          <w:i/>
          <w:iCs/>
          <w:color w:val="000000" w:themeColor="text1"/>
          <w:sz w:val="24"/>
          <w:szCs w:val="24"/>
          <w:u w:val="single"/>
        </w:rPr>
      </w:pPr>
    </w:p>
    <w:p w14:paraId="05865305" w14:textId="0FF71D58" w:rsidR="00125602" w:rsidRPr="004D76C4" w:rsidRDefault="00125602">
      <w:pPr>
        <w:rPr>
          <w:rFonts w:ascii="Arial" w:hAnsi="Arial" w:cs="Arial"/>
          <w:b/>
          <w:bCs/>
          <w:i/>
          <w:iCs/>
          <w:color w:val="000000" w:themeColor="text1"/>
          <w:sz w:val="24"/>
          <w:szCs w:val="24"/>
          <w:u w:val="single"/>
        </w:rPr>
      </w:pPr>
    </w:p>
    <w:p w14:paraId="5EAB0B52" w14:textId="77777777" w:rsidR="00125602" w:rsidRPr="004D76C4" w:rsidRDefault="00125602">
      <w:pPr>
        <w:rPr>
          <w:rFonts w:ascii="Arial" w:hAnsi="Arial" w:cs="Arial"/>
          <w:b/>
          <w:bCs/>
          <w:i/>
          <w:iCs/>
          <w:color w:val="000000" w:themeColor="text1"/>
          <w:sz w:val="24"/>
          <w:szCs w:val="24"/>
          <w:u w:val="single"/>
        </w:rPr>
      </w:pPr>
    </w:p>
    <w:p w14:paraId="7F2B28EC" w14:textId="77777777" w:rsidR="00125602" w:rsidRPr="004D76C4" w:rsidRDefault="00125602">
      <w:pPr>
        <w:rPr>
          <w:rFonts w:ascii="Arial" w:hAnsi="Arial" w:cs="Arial"/>
          <w:b/>
          <w:bCs/>
          <w:i/>
          <w:iCs/>
          <w:color w:val="000000" w:themeColor="text1"/>
          <w:sz w:val="24"/>
          <w:szCs w:val="24"/>
          <w:u w:val="single"/>
        </w:rPr>
      </w:pPr>
    </w:p>
    <w:p w14:paraId="38B885F7" w14:textId="77777777" w:rsidR="00125602" w:rsidRPr="004D76C4" w:rsidRDefault="00125602">
      <w:pPr>
        <w:rPr>
          <w:rFonts w:ascii="Arial" w:hAnsi="Arial" w:cs="Arial"/>
          <w:b/>
          <w:bCs/>
          <w:i/>
          <w:iCs/>
          <w:color w:val="000000" w:themeColor="text1"/>
          <w:sz w:val="24"/>
          <w:szCs w:val="24"/>
          <w:u w:val="single"/>
        </w:rPr>
      </w:pPr>
    </w:p>
    <w:p w14:paraId="5F679C7F" w14:textId="77777777" w:rsidR="00125602" w:rsidRPr="004D76C4" w:rsidRDefault="00125602">
      <w:pPr>
        <w:rPr>
          <w:rFonts w:ascii="Arial" w:hAnsi="Arial" w:cs="Arial"/>
          <w:b/>
          <w:bCs/>
          <w:i/>
          <w:iCs/>
          <w:color w:val="000000" w:themeColor="text1"/>
          <w:sz w:val="24"/>
          <w:szCs w:val="24"/>
          <w:u w:val="single"/>
        </w:rPr>
      </w:pPr>
    </w:p>
    <w:p w14:paraId="7E22456D" w14:textId="77777777" w:rsidR="00125602" w:rsidRPr="004D76C4" w:rsidRDefault="00125602">
      <w:pPr>
        <w:rPr>
          <w:rFonts w:ascii="Arial" w:hAnsi="Arial" w:cs="Arial"/>
          <w:b/>
          <w:bCs/>
          <w:i/>
          <w:iCs/>
          <w:color w:val="000000" w:themeColor="text1"/>
          <w:sz w:val="24"/>
          <w:szCs w:val="24"/>
          <w:u w:val="single"/>
        </w:rPr>
      </w:pPr>
    </w:p>
    <w:p w14:paraId="1E704DA3" w14:textId="77777777" w:rsidR="00125602" w:rsidRPr="004D76C4" w:rsidRDefault="00125602">
      <w:pPr>
        <w:rPr>
          <w:rFonts w:ascii="Arial" w:hAnsi="Arial" w:cs="Arial"/>
          <w:b/>
          <w:bCs/>
          <w:i/>
          <w:iCs/>
          <w:color w:val="000000" w:themeColor="text1"/>
          <w:sz w:val="24"/>
          <w:szCs w:val="24"/>
          <w:u w:val="single"/>
        </w:rPr>
      </w:pPr>
    </w:p>
    <w:p w14:paraId="3CD987EE" w14:textId="77777777" w:rsidR="00125602" w:rsidRPr="004D76C4" w:rsidRDefault="00125602">
      <w:pPr>
        <w:rPr>
          <w:rFonts w:ascii="Arial" w:hAnsi="Arial" w:cs="Arial"/>
          <w:b/>
          <w:bCs/>
          <w:i/>
          <w:iCs/>
          <w:color w:val="000000" w:themeColor="text1"/>
          <w:sz w:val="24"/>
          <w:szCs w:val="24"/>
          <w:u w:val="single"/>
        </w:rPr>
      </w:pPr>
    </w:p>
    <w:p w14:paraId="2C26F99B" w14:textId="77777777" w:rsidR="00125602" w:rsidRPr="004D76C4" w:rsidRDefault="00125602">
      <w:pPr>
        <w:rPr>
          <w:rFonts w:ascii="Arial" w:hAnsi="Arial" w:cs="Arial"/>
          <w:b/>
          <w:bCs/>
          <w:i/>
          <w:iCs/>
          <w:color w:val="000000" w:themeColor="text1"/>
          <w:sz w:val="24"/>
          <w:szCs w:val="24"/>
          <w:u w:val="single"/>
        </w:rPr>
      </w:pPr>
    </w:p>
    <w:p w14:paraId="095DAAF0" w14:textId="77777777" w:rsidR="00125602" w:rsidRPr="004D76C4" w:rsidRDefault="00125602">
      <w:pPr>
        <w:rPr>
          <w:rFonts w:ascii="Arial" w:hAnsi="Arial" w:cs="Arial"/>
          <w:b/>
          <w:bCs/>
          <w:i/>
          <w:iCs/>
          <w:color w:val="000000" w:themeColor="text1"/>
          <w:sz w:val="24"/>
          <w:szCs w:val="24"/>
          <w:u w:val="single"/>
        </w:rPr>
      </w:pPr>
    </w:p>
    <w:p w14:paraId="0C4A855D" w14:textId="77777777" w:rsidR="00125602" w:rsidRPr="004D76C4" w:rsidRDefault="00125602">
      <w:pPr>
        <w:rPr>
          <w:rFonts w:ascii="Arial" w:hAnsi="Arial" w:cs="Arial"/>
          <w:b/>
          <w:bCs/>
          <w:i/>
          <w:iCs/>
          <w:color w:val="000000" w:themeColor="text1"/>
          <w:sz w:val="24"/>
          <w:szCs w:val="24"/>
          <w:u w:val="single"/>
        </w:rPr>
      </w:pPr>
    </w:p>
    <w:p w14:paraId="4F362E2A" w14:textId="77777777" w:rsidR="00125602" w:rsidRPr="004D76C4" w:rsidRDefault="00125602">
      <w:pPr>
        <w:rPr>
          <w:rFonts w:ascii="Arial" w:hAnsi="Arial" w:cs="Arial"/>
          <w:b/>
          <w:bCs/>
          <w:i/>
          <w:iCs/>
          <w:color w:val="000000" w:themeColor="text1"/>
          <w:sz w:val="24"/>
          <w:szCs w:val="24"/>
          <w:u w:val="single"/>
        </w:rPr>
      </w:pPr>
    </w:p>
    <w:p w14:paraId="4CF494E4" w14:textId="4F711A65" w:rsidR="00125602" w:rsidRDefault="00125602">
      <w:pPr>
        <w:rPr>
          <w:rFonts w:ascii="Arial" w:hAnsi="Arial" w:cs="Arial"/>
          <w:b/>
          <w:bCs/>
          <w:i/>
          <w:iCs/>
          <w:color w:val="000000" w:themeColor="text1"/>
          <w:sz w:val="24"/>
          <w:szCs w:val="24"/>
          <w:u w:val="single"/>
        </w:rPr>
      </w:pPr>
    </w:p>
    <w:p w14:paraId="6DD33CAD" w14:textId="77777777" w:rsidR="00AE4258" w:rsidRDefault="00AE4258">
      <w:pPr>
        <w:rPr>
          <w:rFonts w:ascii="Arial" w:hAnsi="Arial" w:cs="Arial"/>
          <w:b/>
          <w:bCs/>
          <w:i/>
          <w:iCs/>
          <w:color w:val="000000" w:themeColor="text1"/>
          <w:sz w:val="24"/>
          <w:szCs w:val="24"/>
          <w:u w:val="single"/>
        </w:rPr>
      </w:pPr>
    </w:p>
    <w:p w14:paraId="2FDD8C9C" w14:textId="77777777" w:rsidR="00AE4258" w:rsidRDefault="00AE4258">
      <w:pPr>
        <w:rPr>
          <w:rFonts w:ascii="Arial" w:hAnsi="Arial" w:cs="Arial"/>
          <w:b/>
          <w:bCs/>
          <w:i/>
          <w:iCs/>
          <w:color w:val="000000" w:themeColor="text1"/>
          <w:sz w:val="24"/>
          <w:szCs w:val="24"/>
          <w:u w:val="single"/>
        </w:rPr>
      </w:pPr>
    </w:p>
    <w:p w14:paraId="71990CBC" w14:textId="77777777" w:rsidR="00AE4258" w:rsidRDefault="00AE4258">
      <w:pPr>
        <w:rPr>
          <w:rFonts w:ascii="Arial" w:hAnsi="Arial" w:cs="Arial"/>
          <w:b/>
          <w:bCs/>
          <w:i/>
          <w:iCs/>
          <w:color w:val="000000" w:themeColor="text1"/>
          <w:sz w:val="24"/>
          <w:szCs w:val="24"/>
          <w:u w:val="single"/>
        </w:rPr>
      </w:pPr>
    </w:p>
    <w:p w14:paraId="3433FB42" w14:textId="77777777" w:rsidR="00AE4258" w:rsidRDefault="00AE4258">
      <w:pPr>
        <w:rPr>
          <w:rFonts w:ascii="Arial" w:hAnsi="Arial" w:cs="Arial"/>
          <w:b/>
          <w:bCs/>
          <w:i/>
          <w:iCs/>
          <w:color w:val="000000" w:themeColor="text1"/>
          <w:sz w:val="24"/>
          <w:szCs w:val="24"/>
          <w:u w:val="single"/>
        </w:rPr>
      </w:pPr>
    </w:p>
    <w:p w14:paraId="7D54BB2E" w14:textId="77777777" w:rsidR="00125602" w:rsidRPr="004D76C4" w:rsidRDefault="00125602">
      <w:pPr>
        <w:rPr>
          <w:rFonts w:ascii="Arial" w:hAnsi="Arial" w:cs="Arial"/>
          <w:b/>
          <w:bCs/>
          <w:i/>
          <w:iCs/>
          <w:color w:val="000000" w:themeColor="text1"/>
          <w:sz w:val="24"/>
          <w:szCs w:val="24"/>
          <w:u w:val="single"/>
        </w:rPr>
      </w:pPr>
    </w:p>
    <w:p w14:paraId="7701877D" w14:textId="79984007" w:rsidR="00921802" w:rsidRPr="00B202A8" w:rsidRDefault="00852BE5" w:rsidP="1C4CB15D">
      <w:pPr>
        <w:pStyle w:val="Heading1"/>
        <w:rPr>
          <w:rFonts w:ascii="Arial" w:hAnsi="Arial" w:cs="Arial"/>
          <w:b/>
          <w:bCs/>
          <w:i/>
          <w:iCs/>
          <w:color w:val="000000" w:themeColor="text1"/>
          <w:sz w:val="21"/>
          <w:szCs w:val="21"/>
        </w:rPr>
      </w:pPr>
      <w:bookmarkStart w:id="6" w:name="_Toc164848525"/>
      <w:r w:rsidRPr="00B202A8">
        <w:rPr>
          <w:rFonts w:ascii="Arial" w:hAnsi="Arial" w:cs="Arial"/>
          <w:b/>
          <w:bCs/>
          <w:i/>
          <w:iCs/>
          <w:color w:val="000000" w:themeColor="text1"/>
          <w:sz w:val="36"/>
          <w:szCs w:val="36"/>
        </w:rPr>
        <w:lastRenderedPageBreak/>
        <w:t>A</w:t>
      </w:r>
      <w:r w:rsidR="001C0B1A" w:rsidRPr="00B202A8">
        <w:rPr>
          <w:rFonts w:ascii="Arial" w:hAnsi="Arial" w:cs="Arial"/>
          <w:b/>
          <w:bCs/>
          <w:i/>
          <w:iCs/>
          <w:color w:val="000000" w:themeColor="text1"/>
          <w:sz w:val="36"/>
          <w:szCs w:val="36"/>
        </w:rPr>
        <w:t xml:space="preserve"> Critical Review </w:t>
      </w:r>
      <w:r w:rsidR="00125602" w:rsidRPr="00B202A8">
        <w:rPr>
          <w:rFonts w:ascii="Arial" w:hAnsi="Arial" w:cs="Arial"/>
          <w:b/>
          <w:bCs/>
          <w:i/>
          <w:iCs/>
          <w:color w:val="000000" w:themeColor="text1"/>
          <w:sz w:val="36"/>
          <w:szCs w:val="36"/>
        </w:rPr>
        <w:t>of</w:t>
      </w:r>
      <w:r w:rsidR="001C0B1A" w:rsidRPr="00B202A8">
        <w:rPr>
          <w:rFonts w:ascii="Arial" w:hAnsi="Arial" w:cs="Arial"/>
          <w:b/>
          <w:bCs/>
          <w:i/>
          <w:iCs/>
          <w:color w:val="000000" w:themeColor="text1"/>
          <w:sz w:val="36"/>
          <w:szCs w:val="36"/>
        </w:rPr>
        <w:t xml:space="preserve"> The Company’s Financial Performance:</w:t>
      </w:r>
      <w:bookmarkEnd w:id="6"/>
    </w:p>
    <w:p w14:paraId="4A501D3D" w14:textId="1F8E8AE9" w:rsidR="00921802" w:rsidRPr="00B202A8" w:rsidRDefault="00921802" w:rsidP="00921802">
      <w:pPr>
        <w:rPr>
          <w:rFonts w:ascii="Arial" w:hAnsi="Arial" w:cs="Arial"/>
          <w:color w:val="000000" w:themeColor="text1"/>
          <w:sz w:val="24"/>
          <w:szCs w:val="24"/>
        </w:rPr>
      </w:pPr>
      <w:r w:rsidRPr="00B202A8">
        <w:rPr>
          <w:rFonts w:ascii="Arial" w:hAnsi="Arial" w:cs="Arial"/>
          <w:color w:val="000000" w:themeColor="text1"/>
        </w:rPr>
        <w:t>All figures used within the report have been taken directly from a credible source that displays the financial figures for Walgreens Boots Alliance, Inc (Nasdaq, 2023).</w:t>
      </w:r>
      <w:r w:rsidR="00837C58" w:rsidRPr="00B202A8">
        <w:rPr>
          <w:rFonts w:ascii="Arial" w:hAnsi="Arial" w:cs="Arial"/>
          <w:color w:val="000000" w:themeColor="text1"/>
        </w:rPr>
        <w:t xml:space="preserve"> </w:t>
      </w:r>
    </w:p>
    <w:p w14:paraId="61296F76" w14:textId="2448CFCB" w:rsidR="00125602" w:rsidRPr="00B202A8" w:rsidRDefault="00125602" w:rsidP="1C4CB15D">
      <w:pPr>
        <w:pStyle w:val="Heading2"/>
        <w:rPr>
          <w:rFonts w:ascii="Arial" w:hAnsi="Arial" w:cs="Arial"/>
          <w:b/>
          <w:i/>
          <w:color w:val="000000" w:themeColor="text1"/>
          <w:sz w:val="22"/>
          <w:szCs w:val="22"/>
          <w:u w:val="single"/>
        </w:rPr>
      </w:pPr>
      <w:bookmarkStart w:id="7" w:name="_Toc164848526"/>
      <w:r w:rsidRPr="00B202A8">
        <w:rPr>
          <w:rFonts w:ascii="Arial" w:hAnsi="Arial" w:cs="Arial"/>
          <w:color w:val="000000" w:themeColor="text1"/>
        </w:rPr>
        <w:t>Profitability Ratio for Walgreens Boots Alliance, Inc (2023)</w:t>
      </w:r>
      <w:bookmarkEnd w:id="7"/>
    </w:p>
    <w:p w14:paraId="300241B8" w14:textId="5BD231D3" w:rsidR="005B054C" w:rsidRPr="004D76C4" w:rsidRDefault="00125602" w:rsidP="007A3723">
      <w:pPr>
        <w:jc w:val="center"/>
        <w:rPr>
          <w:rFonts w:ascii="Arial" w:hAnsi="Arial" w:cs="Arial"/>
          <w:color w:val="000000" w:themeColor="text1"/>
          <w:sz w:val="24"/>
          <w:szCs w:val="24"/>
        </w:rPr>
      </w:pPr>
      <w:r w:rsidRPr="004D76C4">
        <w:rPr>
          <w:rFonts w:ascii="Arial" w:hAnsi="Arial" w:cs="Arial"/>
          <w:b/>
          <w:bCs/>
          <w:color w:val="000000" w:themeColor="text1"/>
          <w:sz w:val="24"/>
          <w:szCs w:val="24"/>
        </w:rPr>
        <w:t xml:space="preserve"> </w:t>
      </w:r>
      <w:r w:rsidR="007A3723" w:rsidRPr="004D76C4">
        <w:rPr>
          <w:rFonts w:ascii="Arial" w:hAnsi="Arial" w:cs="Arial"/>
          <w:noProof/>
          <w:color w:val="000000" w:themeColor="text1"/>
          <w:sz w:val="24"/>
          <w:szCs w:val="24"/>
          <w14:ligatures w14:val="standardContextual"/>
        </w:rPr>
        <w:drawing>
          <wp:inline distT="0" distB="0" distL="0" distR="0" wp14:anchorId="72836FAE" wp14:editId="31833924">
            <wp:extent cx="4538617" cy="855834"/>
            <wp:effectExtent l="0" t="0" r="0" b="0"/>
            <wp:docPr id="1321029773" name="Picture 4" descr="A table with numbers and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29773" name="Picture 4" descr="A table with numbers and a red line&#10;&#10;Description automatically generated"/>
                    <pic:cNvPicPr/>
                  </pic:nvPicPr>
                  <pic:blipFill rotWithShape="1">
                    <a:blip r:embed="rId9">
                      <a:extLst>
                        <a:ext uri="{28A0092B-C50C-407E-A947-70E740481C1C}">
                          <a14:useLocalDpi xmlns:a14="http://schemas.microsoft.com/office/drawing/2010/main" val="0"/>
                        </a:ext>
                      </a:extLst>
                    </a:blip>
                    <a:srcRect b="65656"/>
                    <a:stretch/>
                  </pic:blipFill>
                  <pic:spPr bwMode="auto">
                    <a:xfrm>
                      <a:off x="0" y="0"/>
                      <a:ext cx="4557024" cy="859305"/>
                    </a:xfrm>
                    <a:prstGeom prst="rect">
                      <a:avLst/>
                    </a:prstGeom>
                    <a:ln>
                      <a:noFill/>
                    </a:ln>
                    <a:extLst>
                      <a:ext uri="{53640926-AAD7-44D8-BBD7-CCE9431645EC}">
                        <a14:shadowObscured xmlns:a14="http://schemas.microsoft.com/office/drawing/2010/main"/>
                      </a:ext>
                    </a:extLst>
                  </pic:spPr>
                </pic:pic>
              </a:graphicData>
            </a:graphic>
          </wp:inline>
        </w:drawing>
      </w:r>
    </w:p>
    <w:p w14:paraId="1F2C287C" w14:textId="28B6AF65" w:rsidR="00C36D2E" w:rsidRPr="00B202A8" w:rsidRDefault="00C36D2E" w:rsidP="00BF0EB3">
      <w:pPr>
        <w:jc w:val="center"/>
        <w:rPr>
          <w:rFonts w:ascii="Arial" w:hAnsi="Arial" w:cs="Arial"/>
          <w:b/>
          <w:bCs/>
          <w:i/>
          <w:iCs/>
          <w:color w:val="000000" w:themeColor="text1"/>
          <w:sz w:val="24"/>
          <w:szCs w:val="24"/>
        </w:rPr>
      </w:pPr>
      <w:r w:rsidRPr="00B202A8">
        <w:rPr>
          <w:rFonts w:ascii="Arial" w:hAnsi="Arial" w:cs="Arial"/>
          <w:b/>
          <w:color w:val="000000" w:themeColor="text1"/>
          <w:sz w:val="24"/>
          <w:szCs w:val="24"/>
        </w:rPr>
        <w:t xml:space="preserve">Table 1.1 – </w:t>
      </w:r>
      <w:r w:rsidR="00125602" w:rsidRPr="00B202A8">
        <w:rPr>
          <w:rFonts w:ascii="Arial" w:hAnsi="Arial" w:cs="Arial"/>
          <w:b/>
          <w:color w:val="000000" w:themeColor="text1"/>
          <w:sz w:val="24"/>
          <w:szCs w:val="24"/>
        </w:rPr>
        <w:t>Gross Margin Ratio (Source: Author)</w:t>
      </w:r>
    </w:p>
    <w:p w14:paraId="4B88E622" w14:textId="155D814A" w:rsidR="00204309" w:rsidRPr="00B202A8" w:rsidRDefault="008A235E" w:rsidP="7A081E1D">
      <w:pPr>
        <w:rPr>
          <w:rFonts w:ascii="Arial" w:hAnsi="Arial" w:cs="Arial"/>
          <w:b/>
          <w:bCs/>
          <w:color w:val="000000" w:themeColor="text1"/>
          <w:sz w:val="24"/>
          <w:szCs w:val="24"/>
        </w:rPr>
      </w:pPr>
      <w:r w:rsidRPr="00B202A8">
        <w:rPr>
          <w:rFonts w:ascii="Arial" w:hAnsi="Arial" w:cs="Arial"/>
          <w:color w:val="000000" w:themeColor="text1"/>
          <w:sz w:val="24"/>
          <w:szCs w:val="24"/>
        </w:rPr>
        <w:t xml:space="preserve">A profitability ratio evaluates a business's capacity to turn a profit in relation to its assets or revenue. Return on investment, net profit margin, and gross margin are examples of common profitability ratios. These indicators of financial performance evaluate the profitability of sales, the effectiveness of operations, and the total return on </w:t>
      </w:r>
      <w:r w:rsidR="002B1056" w:rsidRPr="00B202A8">
        <w:rPr>
          <w:rFonts w:ascii="Arial" w:hAnsi="Arial" w:cs="Arial"/>
          <w:color w:val="000000" w:themeColor="text1"/>
          <w:sz w:val="24"/>
          <w:szCs w:val="24"/>
        </w:rPr>
        <w:t>investments</w:t>
      </w:r>
      <w:r w:rsidR="006F2486" w:rsidRPr="00B202A8">
        <w:rPr>
          <w:rFonts w:ascii="Arial" w:hAnsi="Arial" w:cs="Arial"/>
          <w:color w:val="000000" w:themeColor="text1"/>
          <w:sz w:val="24"/>
          <w:szCs w:val="24"/>
        </w:rPr>
        <w:t xml:space="preserve"> (O’Brien, 1996). </w:t>
      </w:r>
      <w:r w:rsidR="00C36D2E" w:rsidRPr="00B202A8">
        <w:rPr>
          <w:rFonts w:ascii="Arial" w:hAnsi="Arial" w:cs="Arial"/>
          <w:color w:val="000000" w:themeColor="text1"/>
          <w:sz w:val="24"/>
          <w:szCs w:val="24"/>
        </w:rPr>
        <w:t xml:space="preserve">From the latest income statement provided (see table 1.1), WBA saw a fluctuating year. </w:t>
      </w:r>
      <w:r w:rsidR="00811A3D" w:rsidRPr="00B202A8">
        <w:rPr>
          <w:rFonts w:ascii="Arial" w:hAnsi="Arial" w:cs="Arial"/>
          <w:color w:val="000000" w:themeColor="text1"/>
          <w:sz w:val="24"/>
          <w:szCs w:val="24"/>
        </w:rPr>
        <w:t xml:space="preserve">The gross margin percentage of approximately 19.46% signifies that for every dollar of revenue generated, the company retains nearly 19.46 cents as gross profit after deducting the cost of goods sold (COGS). This indicates a moderate level of profitability in the company's core operations. While the gross margin is a key indicator of profitability, it only reflects the profitability before operating expenses, interest, taxes, and other non-operating costs are deducted. Therefore, while a gross margin of 19.46% is a positive sign, it's essential to analyse other profitability metrics such as operating margin, net profit margin, and return on investment to gain a comprehensive understanding of the company's financial performance. However, when comparing the gross margin from 2023 to 2022 calculation of 21.30%, there has been a slight decline in maintaining the profitability ratio. </w:t>
      </w:r>
      <w:r w:rsidR="00971F8F" w:rsidRPr="00B202A8">
        <w:rPr>
          <w:rFonts w:ascii="Arial" w:hAnsi="Arial" w:cs="Arial"/>
          <w:color w:val="000000" w:themeColor="text1"/>
          <w:sz w:val="24"/>
          <w:szCs w:val="24"/>
        </w:rPr>
        <w:t xml:space="preserve">It is apparent that the year 2023 has seen a shift in the financial prosperity of the company. </w:t>
      </w:r>
    </w:p>
    <w:p w14:paraId="15832B2C" w14:textId="326443C7" w:rsidR="00125602" w:rsidRPr="00B202A8" w:rsidRDefault="00125602" w:rsidP="74D001E9">
      <w:pPr>
        <w:pStyle w:val="Heading2"/>
        <w:rPr>
          <w:rFonts w:ascii="Arial" w:hAnsi="Arial" w:cs="Arial"/>
          <w:b/>
          <w:color w:val="000000" w:themeColor="text1"/>
          <w:sz w:val="22"/>
          <w:szCs w:val="22"/>
          <w:u w:val="single"/>
        </w:rPr>
      </w:pPr>
      <w:bookmarkStart w:id="8" w:name="_Toc164848527"/>
      <w:r w:rsidRPr="00B202A8">
        <w:rPr>
          <w:rFonts w:ascii="Arial" w:hAnsi="Arial" w:cs="Arial"/>
          <w:color w:val="000000" w:themeColor="text1"/>
        </w:rPr>
        <w:t>Liquidity Ratio for Walgreens Boots Alliance, Inc (2023)</w:t>
      </w:r>
      <w:bookmarkEnd w:id="8"/>
    </w:p>
    <w:p w14:paraId="0B1A8109" w14:textId="65630D9C" w:rsidR="00067F01" w:rsidRPr="004D76C4" w:rsidRDefault="00CC6602" w:rsidP="009B7B01">
      <w:pPr>
        <w:jc w:val="center"/>
        <w:rPr>
          <w:rFonts w:ascii="Arial" w:hAnsi="Arial" w:cs="Arial"/>
          <w:color w:val="000000" w:themeColor="text1"/>
          <w:sz w:val="24"/>
          <w:szCs w:val="24"/>
        </w:rPr>
      </w:pPr>
      <w:r w:rsidRPr="004D76C4">
        <w:rPr>
          <w:rFonts w:ascii="Arial" w:hAnsi="Arial" w:cs="Arial"/>
          <w:noProof/>
          <w:color w:val="000000" w:themeColor="text1"/>
          <w:sz w:val="24"/>
          <w:szCs w:val="24"/>
          <w14:ligatures w14:val="standardContextual"/>
        </w:rPr>
        <w:drawing>
          <wp:inline distT="0" distB="0" distL="0" distR="0" wp14:anchorId="240DFB88" wp14:editId="720490E5">
            <wp:extent cx="4449600" cy="914400"/>
            <wp:effectExtent l="0" t="0" r="0" b="0"/>
            <wp:docPr id="285372705" name="Picture 5"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72705" name="Picture 5" descr="A table with numbers and symbol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449600" cy="914400"/>
                    </a:xfrm>
                    <a:prstGeom prst="rect">
                      <a:avLst/>
                    </a:prstGeom>
                  </pic:spPr>
                </pic:pic>
              </a:graphicData>
            </a:graphic>
          </wp:inline>
        </w:drawing>
      </w:r>
    </w:p>
    <w:p w14:paraId="70BA595C" w14:textId="61F76405" w:rsidR="00067F01" w:rsidRPr="00B202A8" w:rsidRDefault="00CC6602" w:rsidP="00BF0EB3">
      <w:pPr>
        <w:jc w:val="center"/>
        <w:rPr>
          <w:rFonts w:ascii="Arial" w:hAnsi="Arial" w:cs="Arial"/>
          <w:b/>
          <w:bCs/>
          <w:i/>
          <w:iCs/>
          <w:color w:val="000000" w:themeColor="text1"/>
          <w:sz w:val="24"/>
          <w:szCs w:val="24"/>
        </w:rPr>
      </w:pPr>
      <w:r w:rsidRPr="00B202A8">
        <w:rPr>
          <w:rFonts w:ascii="Arial" w:hAnsi="Arial" w:cs="Arial"/>
          <w:b/>
          <w:color w:val="000000" w:themeColor="text1"/>
          <w:sz w:val="24"/>
          <w:szCs w:val="24"/>
        </w:rPr>
        <w:t xml:space="preserve">Table 1.2 – </w:t>
      </w:r>
      <w:r w:rsidR="00125602" w:rsidRPr="00B202A8">
        <w:rPr>
          <w:rFonts w:ascii="Arial" w:hAnsi="Arial" w:cs="Arial"/>
          <w:b/>
          <w:color w:val="000000" w:themeColor="text1"/>
          <w:sz w:val="24"/>
          <w:szCs w:val="24"/>
        </w:rPr>
        <w:t>Current Ratio (Source: Author)</w:t>
      </w:r>
    </w:p>
    <w:p w14:paraId="1C1308C4" w14:textId="69DC7FA3" w:rsidR="00B458A0" w:rsidRPr="00B202A8" w:rsidRDefault="00A66C5C" w:rsidP="1252C47F">
      <w:pPr>
        <w:rPr>
          <w:rFonts w:ascii="Arial" w:hAnsi="Arial" w:cs="Arial"/>
          <w:color w:val="000000" w:themeColor="text1"/>
          <w:sz w:val="24"/>
          <w:szCs w:val="24"/>
        </w:rPr>
      </w:pPr>
      <w:r w:rsidRPr="00B202A8">
        <w:rPr>
          <w:rFonts w:ascii="Arial" w:hAnsi="Arial" w:cs="Arial"/>
          <w:color w:val="000000" w:themeColor="text1"/>
          <w:sz w:val="24"/>
          <w:szCs w:val="24"/>
        </w:rPr>
        <w:t xml:space="preserve">A liquidity ratio known as the current ratio assesses a company's capacity to settle short-term debt or bills that are due within a year. It provides information to analysts and investors on how a business might maximise its current assets on the balance sheet to pay down its current debt and other </w:t>
      </w:r>
      <w:r w:rsidR="00811A3D" w:rsidRPr="00B202A8">
        <w:rPr>
          <w:rFonts w:ascii="Arial" w:hAnsi="Arial" w:cs="Arial"/>
          <w:color w:val="000000" w:themeColor="text1"/>
          <w:sz w:val="24"/>
          <w:szCs w:val="24"/>
        </w:rPr>
        <w:t>payables</w:t>
      </w:r>
      <w:r w:rsidR="00106D95" w:rsidRPr="00B202A8">
        <w:rPr>
          <w:rFonts w:ascii="Arial" w:hAnsi="Arial" w:cs="Arial"/>
          <w:color w:val="000000" w:themeColor="text1"/>
          <w:sz w:val="24"/>
          <w:szCs w:val="24"/>
        </w:rPr>
        <w:t xml:space="preserve"> (Walsh, 20</w:t>
      </w:r>
      <w:r w:rsidR="00E903BE" w:rsidRPr="00B202A8">
        <w:rPr>
          <w:rFonts w:ascii="Arial" w:hAnsi="Arial" w:cs="Arial"/>
          <w:color w:val="000000" w:themeColor="text1"/>
          <w:sz w:val="24"/>
          <w:szCs w:val="24"/>
        </w:rPr>
        <w:t>09</w:t>
      </w:r>
      <w:r w:rsidR="00106D95" w:rsidRPr="00B202A8">
        <w:rPr>
          <w:rFonts w:ascii="Arial" w:hAnsi="Arial" w:cs="Arial"/>
          <w:color w:val="000000" w:themeColor="text1"/>
          <w:sz w:val="24"/>
          <w:szCs w:val="24"/>
        </w:rPr>
        <w:t xml:space="preserve">, p. 117). </w:t>
      </w:r>
      <w:r w:rsidR="00F85FDF" w:rsidRPr="00B202A8">
        <w:rPr>
          <w:rFonts w:ascii="Arial" w:hAnsi="Arial" w:cs="Arial"/>
          <w:color w:val="000000" w:themeColor="text1"/>
          <w:sz w:val="24"/>
          <w:szCs w:val="24"/>
        </w:rPr>
        <w:t xml:space="preserve">WBAs has roughly $0.63 in current assets available to fulfil its commitments for every dollar in current liabilities, according to the current ratio of 63.19% (0.632). WBAs </w:t>
      </w:r>
      <w:r w:rsidRPr="00B202A8">
        <w:rPr>
          <w:rFonts w:ascii="Arial" w:hAnsi="Arial" w:cs="Arial"/>
          <w:color w:val="000000" w:themeColor="text1"/>
          <w:sz w:val="24"/>
          <w:szCs w:val="24"/>
        </w:rPr>
        <w:t xml:space="preserve">current ratio for the financial year falls below 1.0 (see table 1.2) this may show implications for the company as a value above 1.0 tends to be considered favourable. </w:t>
      </w:r>
      <w:r w:rsidR="00F85FDF" w:rsidRPr="00B202A8">
        <w:rPr>
          <w:rFonts w:ascii="Arial" w:hAnsi="Arial" w:cs="Arial"/>
          <w:color w:val="000000" w:themeColor="text1"/>
          <w:sz w:val="24"/>
          <w:szCs w:val="24"/>
        </w:rPr>
        <w:t>A current ratio less than 1.0, on the other hand, indicates that the company's current liabilities are more than its current assets, which raises questions about its capacity to pay short-term debt using its current assets. Additionally, a low current ratio could be a sign of liquidity issues, making it more difficult for the business to finance ongoing operations, settle debt, or seize expansion prospects.</w:t>
      </w:r>
      <w:r w:rsidR="004D081D" w:rsidRPr="00B202A8">
        <w:rPr>
          <w:rFonts w:ascii="Arial" w:hAnsi="Arial" w:cs="Arial"/>
          <w:color w:val="000000" w:themeColor="text1"/>
          <w:sz w:val="24"/>
          <w:szCs w:val="24"/>
        </w:rPr>
        <w:t xml:space="preserve"> Comparing it to the previous year, there was a slight decline with 2022 presenting a ratio value of 74.84% (0.7480.)</w:t>
      </w:r>
      <w:r w:rsidR="00811A3D" w:rsidRPr="00B202A8">
        <w:rPr>
          <w:rFonts w:ascii="Arial" w:hAnsi="Arial" w:cs="Arial"/>
          <w:color w:val="000000" w:themeColor="text1"/>
          <w:sz w:val="24"/>
          <w:szCs w:val="24"/>
        </w:rPr>
        <w:t xml:space="preserve"> This is almost a 10% drop in liquidity ratio which could be a troubling sign that the company is </w:t>
      </w:r>
      <w:r w:rsidR="00D41250" w:rsidRPr="00B202A8">
        <w:rPr>
          <w:rFonts w:ascii="Arial" w:hAnsi="Arial" w:cs="Arial"/>
          <w:color w:val="000000" w:themeColor="text1"/>
          <w:sz w:val="24"/>
          <w:szCs w:val="24"/>
        </w:rPr>
        <w:t xml:space="preserve">headed into future problems with its figures. </w:t>
      </w:r>
    </w:p>
    <w:p w14:paraId="6394737F" w14:textId="709CCCD0" w:rsidR="00125602" w:rsidRPr="00B202A8" w:rsidRDefault="00125602" w:rsidP="47761E2C">
      <w:pPr>
        <w:pStyle w:val="Heading2"/>
        <w:rPr>
          <w:rFonts w:ascii="Arial" w:hAnsi="Arial" w:cs="Arial"/>
          <w:b/>
          <w:color w:val="000000" w:themeColor="text1"/>
          <w:sz w:val="22"/>
          <w:szCs w:val="22"/>
          <w:u w:val="single"/>
        </w:rPr>
      </w:pPr>
      <w:bookmarkStart w:id="9" w:name="_Toc164848528"/>
      <w:r w:rsidRPr="00B202A8">
        <w:rPr>
          <w:rFonts w:ascii="Arial" w:hAnsi="Arial" w:cs="Arial"/>
          <w:color w:val="000000" w:themeColor="text1"/>
        </w:rPr>
        <w:lastRenderedPageBreak/>
        <w:t>Efficiency Ratio for Walgreens Boots Alliance, Inc (2023)</w:t>
      </w:r>
      <w:bookmarkEnd w:id="9"/>
    </w:p>
    <w:p w14:paraId="69D1DC6B" w14:textId="06746D59" w:rsidR="00067F01" w:rsidRPr="004D76C4" w:rsidRDefault="00CC6602" w:rsidP="009B7B01">
      <w:pPr>
        <w:jc w:val="center"/>
        <w:rPr>
          <w:rFonts w:ascii="Arial" w:hAnsi="Arial" w:cs="Arial"/>
          <w:color w:val="000000" w:themeColor="text1"/>
          <w:sz w:val="24"/>
          <w:szCs w:val="24"/>
        </w:rPr>
      </w:pPr>
      <w:r w:rsidRPr="004D76C4">
        <w:rPr>
          <w:rFonts w:ascii="Arial" w:hAnsi="Arial" w:cs="Arial"/>
          <w:noProof/>
          <w:color w:val="000000" w:themeColor="text1"/>
          <w:sz w:val="24"/>
          <w:szCs w:val="24"/>
          <w14:ligatures w14:val="standardContextual"/>
        </w:rPr>
        <w:drawing>
          <wp:inline distT="0" distB="0" distL="0" distR="0" wp14:anchorId="3B93A727" wp14:editId="1F085FFE">
            <wp:extent cx="5820410" cy="897890"/>
            <wp:effectExtent l="0" t="0" r="0" b="3810"/>
            <wp:docPr id="215719366" name="Picture 6"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19366" name="Picture 6" descr="A table with numbers and symbols&#10;&#10;Description automatically generated"/>
                    <pic:cNvPicPr/>
                  </pic:nvPicPr>
                  <pic:blipFill rotWithShape="1">
                    <a:blip r:embed="rId11">
                      <a:extLst>
                        <a:ext uri="{28A0092B-C50C-407E-A947-70E740481C1C}">
                          <a14:useLocalDpi xmlns:a14="http://schemas.microsoft.com/office/drawing/2010/main" val="0"/>
                        </a:ext>
                      </a:extLst>
                    </a:blip>
                    <a:srcRect l="551" r="1318" b="50429"/>
                    <a:stretch/>
                  </pic:blipFill>
                  <pic:spPr bwMode="auto">
                    <a:xfrm>
                      <a:off x="0" y="0"/>
                      <a:ext cx="5861845" cy="904282"/>
                    </a:xfrm>
                    <a:prstGeom prst="rect">
                      <a:avLst/>
                    </a:prstGeom>
                    <a:ln>
                      <a:noFill/>
                    </a:ln>
                    <a:extLst>
                      <a:ext uri="{53640926-AAD7-44D8-BBD7-CCE9431645EC}">
                        <a14:shadowObscured xmlns:a14="http://schemas.microsoft.com/office/drawing/2010/main"/>
                      </a:ext>
                    </a:extLst>
                  </pic:spPr>
                </pic:pic>
              </a:graphicData>
            </a:graphic>
          </wp:inline>
        </w:drawing>
      </w:r>
    </w:p>
    <w:p w14:paraId="18635273" w14:textId="269F46A8" w:rsidR="00067F01" w:rsidRPr="00B202A8" w:rsidRDefault="00CC6602" w:rsidP="00BF0EB3">
      <w:pPr>
        <w:jc w:val="center"/>
        <w:rPr>
          <w:rFonts w:ascii="Arial" w:hAnsi="Arial" w:cs="Arial"/>
          <w:b/>
          <w:bCs/>
          <w:i/>
          <w:iCs/>
          <w:color w:val="000000" w:themeColor="text1"/>
          <w:sz w:val="24"/>
          <w:szCs w:val="24"/>
        </w:rPr>
      </w:pPr>
      <w:r w:rsidRPr="00B202A8">
        <w:rPr>
          <w:rFonts w:ascii="Arial" w:hAnsi="Arial" w:cs="Arial"/>
          <w:b/>
          <w:color w:val="000000" w:themeColor="text1"/>
        </w:rPr>
        <w:t>Table 1.3 –</w:t>
      </w:r>
      <w:r w:rsidR="00125602" w:rsidRPr="00B202A8">
        <w:rPr>
          <w:rFonts w:ascii="Arial" w:hAnsi="Arial" w:cs="Arial"/>
          <w:b/>
          <w:color w:val="000000" w:themeColor="text1"/>
        </w:rPr>
        <w:t xml:space="preserve"> Assets Turnover Ratio (Source: Author)</w:t>
      </w:r>
    </w:p>
    <w:p w14:paraId="4C42A771" w14:textId="61A38A0B" w:rsidR="00F85FDF" w:rsidRPr="00B202A8" w:rsidRDefault="00971F8F" w:rsidP="1E7BF0B9">
      <w:pPr>
        <w:rPr>
          <w:rFonts w:ascii="Arial" w:hAnsi="Arial" w:cs="Arial"/>
          <w:color w:val="000000" w:themeColor="text1"/>
          <w:sz w:val="24"/>
          <w:szCs w:val="24"/>
        </w:rPr>
      </w:pPr>
      <w:r w:rsidRPr="00B202A8">
        <w:rPr>
          <w:rFonts w:ascii="Arial" w:hAnsi="Arial" w:cs="Arial"/>
          <w:color w:val="000000" w:themeColor="text1"/>
        </w:rPr>
        <w:t>An efficiency ratio evaluates how well a business makes use of its resources to produce income. It contrasts inputs, such as expenses or assets, with outputs, such as revenue or sales. A lower ratio emphasises operational performance by showing the organisation is producing more money with less resources, indicating superior efficiency</w:t>
      </w:r>
      <w:r w:rsidR="00366B75" w:rsidRPr="00B202A8">
        <w:rPr>
          <w:rFonts w:ascii="Arial" w:hAnsi="Arial" w:cs="Arial"/>
          <w:color w:val="000000" w:themeColor="text1"/>
        </w:rPr>
        <w:t xml:space="preserve"> (</w:t>
      </w:r>
      <w:proofErr w:type="spellStart"/>
      <w:r w:rsidR="00366B75" w:rsidRPr="00B202A8">
        <w:rPr>
          <w:rFonts w:ascii="Arial" w:hAnsi="Arial" w:cs="Arial"/>
          <w:color w:val="000000" w:themeColor="text1"/>
        </w:rPr>
        <w:t>Patin</w:t>
      </w:r>
      <w:proofErr w:type="spellEnd"/>
      <w:r w:rsidR="00366B75" w:rsidRPr="00B202A8">
        <w:rPr>
          <w:rFonts w:ascii="Arial" w:hAnsi="Arial" w:cs="Arial"/>
          <w:color w:val="000000" w:themeColor="text1"/>
        </w:rPr>
        <w:t xml:space="preserve">, Rahman and Mustafa, 2020). </w:t>
      </w:r>
      <w:r w:rsidR="00334D4D" w:rsidRPr="00B202A8">
        <w:rPr>
          <w:rFonts w:ascii="Arial" w:hAnsi="Arial" w:cs="Arial"/>
          <w:color w:val="000000" w:themeColor="text1"/>
        </w:rPr>
        <w:t>The asset turnover ratio of 14</w:t>
      </w:r>
      <w:r w:rsidR="00F851CB" w:rsidRPr="00B202A8">
        <w:rPr>
          <w:rFonts w:ascii="Arial" w:hAnsi="Arial" w:cs="Arial"/>
          <w:color w:val="000000" w:themeColor="text1"/>
        </w:rPr>
        <w:t>3.93</w:t>
      </w:r>
      <w:r w:rsidR="00334D4D" w:rsidRPr="00B202A8">
        <w:rPr>
          <w:rFonts w:ascii="Arial" w:hAnsi="Arial" w:cs="Arial"/>
          <w:color w:val="000000" w:themeColor="text1"/>
        </w:rPr>
        <w:t xml:space="preserve">% </w:t>
      </w:r>
      <w:r w:rsidR="005270B0" w:rsidRPr="00B202A8">
        <w:rPr>
          <w:rFonts w:ascii="Arial" w:hAnsi="Arial" w:cs="Arial"/>
          <w:color w:val="000000" w:themeColor="text1"/>
        </w:rPr>
        <w:t xml:space="preserve">(see table 1.3) </w:t>
      </w:r>
      <w:r w:rsidR="00334D4D" w:rsidRPr="00B202A8">
        <w:rPr>
          <w:rFonts w:ascii="Arial" w:hAnsi="Arial" w:cs="Arial"/>
          <w:color w:val="000000" w:themeColor="text1"/>
        </w:rPr>
        <w:t>demonstrates a very high level of asset utilisation efficiency that leads to income generation. This shows that the corporation makes about $1.4</w:t>
      </w:r>
      <w:r w:rsidR="00B402E5" w:rsidRPr="00B202A8">
        <w:rPr>
          <w:rFonts w:ascii="Arial" w:hAnsi="Arial" w:cs="Arial"/>
          <w:color w:val="000000" w:themeColor="text1"/>
        </w:rPr>
        <w:t>3</w:t>
      </w:r>
      <w:r w:rsidR="00334D4D" w:rsidRPr="00B202A8">
        <w:rPr>
          <w:rFonts w:ascii="Arial" w:hAnsi="Arial" w:cs="Arial"/>
          <w:color w:val="000000" w:themeColor="text1"/>
        </w:rPr>
        <w:t xml:space="preserve"> in revenue for every dollar of assets, demonstrating efficient asset management and utilisation. A percentage this high points to efficient use of resources and successful sales tactics, which could boost revenue and return on investment. A strong asset turnover ratio indicates that the business can make a substantial profit from its asset base, which supports overall financial stability and operational efficacy by optimising revenue production from available resources. </w:t>
      </w:r>
      <w:r w:rsidR="00B402E5" w:rsidRPr="00B202A8">
        <w:rPr>
          <w:rFonts w:ascii="Arial" w:hAnsi="Arial" w:cs="Arial"/>
          <w:color w:val="000000" w:themeColor="text1"/>
        </w:rPr>
        <w:t xml:space="preserve">Compared to the Asset Turnover </w:t>
      </w:r>
      <w:r w:rsidR="001F598C" w:rsidRPr="00B202A8">
        <w:rPr>
          <w:rFonts w:ascii="Arial" w:hAnsi="Arial" w:cs="Arial"/>
          <w:color w:val="000000" w:themeColor="text1"/>
        </w:rPr>
        <w:t xml:space="preserve">in 2022 which was $1.47 in revenue for </w:t>
      </w:r>
      <w:r w:rsidR="007D7AC9" w:rsidRPr="00B202A8">
        <w:rPr>
          <w:rFonts w:ascii="Arial" w:hAnsi="Arial" w:cs="Arial"/>
          <w:color w:val="000000" w:themeColor="text1"/>
        </w:rPr>
        <w:t xml:space="preserve">every dollar of assets, there has not been a considerable drop which shows that WBA has been able to retain similar figures from one year to the next. </w:t>
      </w:r>
    </w:p>
    <w:p w14:paraId="3AC7766F" w14:textId="53F59496" w:rsidR="00CC6602" w:rsidRPr="00B202A8" w:rsidRDefault="00125602" w:rsidP="5C2018FF">
      <w:pPr>
        <w:pStyle w:val="Heading2"/>
        <w:rPr>
          <w:rFonts w:ascii="Arial" w:hAnsi="Arial" w:cs="Arial"/>
          <w:b/>
          <w:color w:val="000000" w:themeColor="text1"/>
          <w:sz w:val="22"/>
          <w:szCs w:val="22"/>
          <w:u w:val="single"/>
        </w:rPr>
      </w:pPr>
      <w:bookmarkStart w:id="10" w:name="_Toc164848529"/>
      <w:r w:rsidRPr="00B202A8">
        <w:rPr>
          <w:rFonts w:ascii="Arial" w:hAnsi="Arial" w:cs="Arial"/>
          <w:color w:val="000000" w:themeColor="text1"/>
        </w:rPr>
        <w:t>Gearing Ratio for Walgreens Boots Alliance, Inc (2023)</w:t>
      </w:r>
      <w:bookmarkEnd w:id="10"/>
    </w:p>
    <w:p w14:paraId="0ED8DA12" w14:textId="7D20AEDA" w:rsidR="00067F01" w:rsidRPr="00B202A8" w:rsidRDefault="00CC6602" w:rsidP="009B7B01">
      <w:pPr>
        <w:jc w:val="center"/>
        <w:rPr>
          <w:rFonts w:ascii="Arial" w:hAnsi="Arial" w:cs="Arial"/>
          <w:color w:val="000000" w:themeColor="text1"/>
          <w:sz w:val="24"/>
          <w:szCs w:val="24"/>
        </w:rPr>
      </w:pPr>
      <w:r w:rsidRPr="00B202A8">
        <w:rPr>
          <w:rFonts w:ascii="Arial" w:hAnsi="Arial" w:cs="Arial"/>
          <w:noProof/>
          <w:color w:val="000000" w:themeColor="text1"/>
          <w:sz w:val="24"/>
          <w:szCs w:val="24"/>
          <w14:ligatures w14:val="standardContextual"/>
        </w:rPr>
        <w:drawing>
          <wp:inline distT="0" distB="0" distL="0" distR="0" wp14:anchorId="69E0E5D1" wp14:editId="7E0DC9D3">
            <wp:extent cx="5793682" cy="914400"/>
            <wp:effectExtent l="0" t="0" r="0" b="0"/>
            <wp:docPr id="1171506440" name="Picture 7"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506440" name="Picture 7" descr="A table with numbers and symbols&#10;&#10;Description automatically generated"/>
                    <pic:cNvPicPr/>
                  </pic:nvPicPr>
                  <pic:blipFill rotWithShape="1">
                    <a:blip r:embed="rId12">
                      <a:extLst>
                        <a:ext uri="{28A0092B-C50C-407E-A947-70E740481C1C}">
                          <a14:useLocalDpi xmlns:a14="http://schemas.microsoft.com/office/drawing/2010/main" val="0"/>
                        </a:ext>
                      </a:extLst>
                    </a:blip>
                    <a:srcRect b="48319"/>
                    <a:stretch/>
                  </pic:blipFill>
                  <pic:spPr bwMode="auto">
                    <a:xfrm>
                      <a:off x="0" y="0"/>
                      <a:ext cx="5819672" cy="918502"/>
                    </a:xfrm>
                    <a:prstGeom prst="rect">
                      <a:avLst/>
                    </a:prstGeom>
                    <a:ln>
                      <a:noFill/>
                    </a:ln>
                    <a:extLst>
                      <a:ext uri="{53640926-AAD7-44D8-BBD7-CCE9431645EC}">
                        <a14:shadowObscured xmlns:a14="http://schemas.microsoft.com/office/drawing/2010/main"/>
                      </a:ext>
                    </a:extLst>
                  </pic:spPr>
                </pic:pic>
              </a:graphicData>
            </a:graphic>
          </wp:inline>
        </w:drawing>
      </w:r>
    </w:p>
    <w:p w14:paraId="47F92E48" w14:textId="38722D31" w:rsidR="00CC6602" w:rsidRPr="00B202A8" w:rsidRDefault="00CC6602" w:rsidP="00BF0EB3">
      <w:pPr>
        <w:jc w:val="center"/>
        <w:rPr>
          <w:rFonts w:ascii="Arial" w:hAnsi="Arial" w:cs="Arial"/>
          <w:b/>
          <w:bCs/>
          <w:i/>
          <w:iCs/>
          <w:color w:val="000000" w:themeColor="text1"/>
          <w:sz w:val="24"/>
          <w:szCs w:val="24"/>
        </w:rPr>
      </w:pPr>
      <w:r w:rsidRPr="00B202A8">
        <w:rPr>
          <w:rFonts w:ascii="Arial" w:hAnsi="Arial" w:cs="Arial"/>
          <w:b/>
          <w:color w:val="000000" w:themeColor="text1"/>
          <w:sz w:val="24"/>
          <w:szCs w:val="24"/>
        </w:rPr>
        <w:t xml:space="preserve">Table 1.4 – </w:t>
      </w:r>
      <w:r w:rsidR="00125602" w:rsidRPr="00B202A8">
        <w:rPr>
          <w:rFonts w:ascii="Arial" w:hAnsi="Arial" w:cs="Arial"/>
          <w:b/>
          <w:color w:val="000000" w:themeColor="text1"/>
          <w:sz w:val="24"/>
          <w:szCs w:val="24"/>
        </w:rPr>
        <w:t>Debt to Assets Ratio (Source: Author)</w:t>
      </w:r>
    </w:p>
    <w:p w14:paraId="22E161E4" w14:textId="266C0F88" w:rsidR="00067F01" w:rsidRPr="00B202A8" w:rsidRDefault="00811A3D" w:rsidP="0BCDE76E">
      <w:pPr>
        <w:rPr>
          <w:rFonts w:ascii="Arial" w:hAnsi="Arial" w:cs="Arial"/>
          <w:color w:val="000000" w:themeColor="text1"/>
          <w:sz w:val="24"/>
          <w:szCs w:val="24"/>
        </w:rPr>
      </w:pPr>
      <w:r w:rsidRPr="00B202A8">
        <w:rPr>
          <w:rFonts w:ascii="Arial" w:hAnsi="Arial" w:cs="Arial"/>
          <w:color w:val="000000" w:themeColor="text1"/>
          <w:sz w:val="24"/>
          <w:szCs w:val="24"/>
        </w:rPr>
        <w:t xml:space="preserve">The debt-to-assets ratio calculates the percentage of debt used to finance an organization's assets. By showing the proportion of total assets financed by borrowing, it sheds light on risk and financial leverage. A greater dependence on debt financing is indicated by a higher ratio, which could raise financial risk and have an impact on solvency and liquidity </w:t>
      </w:r>
      <w:r w:rsidR="00027C5D" w:rsidRPr="00B202A8">
        <w:rPr>
          <w:rFonts w:ascii="Arial" w:hAnsi="Arial" w:cs="Arial"/>
          <w:color w:val="000000" w:themeColor="text1"/>
          <w:sz w:val="24"/>
          <w:szCs w:val="24"/>
        </w:rPr>
        <w:t>(</w:t>
      </w:r>
      <w:proofErr w:type="spellStart"/>
      <w:r w:rsidR="00027C5D" w:rsidRPr="00B202A8">
        <w:rPr>
          <w:rFonts w:ascii="Arial" w:hAnsi="Arial" w:cs="Arial"/>
          <w:color w:val="000000" w:themeColor="text1"/>
          <w:sz w:val="24"/>
          <w:szCs w:val="24"/>
        </w:rPr>
        <w:t>Peterdy</w:t>
      </w:r>
      <w:proofErr w:type="spellEnd"/>
      <w:r w:rsidR="00027C5D" w:rsidRPr="00B202A8">
        <w:rPr>
          <w:rFonts w:ascii="Arial" w:hAnsi="Arial" w:cs="Arial"/>
          <w:color w:val="000000" w:themeColor="text1"/>
          <w:sz w:val="24"/>
          <w:szCs w:val="24"/>
        </w:rPr>
        <w:t xml:space="preserve">, 2020). </w:t>
      </w:r>
      <w:r w:rsidR="00B13AE0" w:rsidRPr="00B202A8">
        <w:rPr>
          <w:rFonts w:ascii="Arial" w:hAnsi="Arial" w:cs="Arial"/>
          <w:color w:val="000000" w:themeColor="text1"/>
          <w:sz w:val="24"/>
          <w:szCs w:val="24"/>
        </w:rPr>
        <w:t xml:space="preserve">According to the given debt-to-assets ratio of 79.11% (see table 1.4), debt is used to finance about 79.11% of the company's assets. This ratio illustrates how heavily the company's capital structure depends on debt funding. Debt can help businesses have access to capital for expansion, but a high debt-to-income ratio raises the possibility of dangers such as higher interest costs and heightened susceptibility to downturns in the economy. For financial stability to be maintained and risks associated with excessive debt levels to be minimised, effective debt management and balance with equity financing are essential. Compared to the ratio of </w:t>
      </w:r>
      <w:r w:rsidR="00E73B11" w:rsidRPr="00B202A8">
        <w:rPr>
          <w:rFonts w:ascii="Arial" w:hAnsi="Arial" w:cs="Arial"/>
          <w:color w:val="000000" w:themeColor="text1"/>
          <w:sz w:val="24"/>
          <w:szCs w:val="24"/>
        </w:rPr>
        <w:t xml:space="preserve">70.80% in 2022, this is a considerable jump which could show that there are issues being faced by </w:t>
      </w:r>
      <w:r w:rsidR="00E70E5F" w:rsidRPr="00B202A8">
        <w:rPr>
          <w:rFonts w:ascii="Arial" w:hAnsi="Arial" w:cs="Arial"/>
          <w:color w:val="000000" w:themeColor="text1"/>
          <w:sz w:val="24"/>
          <w:szCs w:val="24"/>
        </w:rPr>
        <w:t xml:space="preserve">WBA. </w:t>
      </w:r>
    </w:p>
    <w:p w14:paraId="16754EBF" w14:textId="6D2EEE5C" w:rsidR="003920C6" w:rsidRPr="00B202A8" w:rsidRDefault="00FC5A4E" w:rsidP="0BCDE76E">
      <w:pPr>
        <w:rPr>
          <w:rFonts w:ascii="Arial" w:hAnsi="Arial" w:cs="Arial"/>
          <w:color w:val="000000" w:themeColor="text1"/>
          <w:sz w:val="24"/>
          <w:szCs w:val="24"/>
        </w:rPr>
      </w:pPr>
      <w:r w:rsidRPr="00B202A8">
        <w:rPr>
          <w:rFonts w:ascii="Arial" w:hAnsi="Arial" w:cs="Arial"/>
          <w:color w:val="000000" w:themeColor="text1"/>
          <w:sz w:val="24"/>
          <w:szCs w:val="24"/>
        </w:rPr>
        <w:t xml:space="preserve">In summary, Walgreens Boots Alliance, Inc.'s (WBA) financial study shows that, in contrast to the prior year, performance varied across several important ratios in 2023. Although there has been a minor reduction from 2022, the gross margin ratio still reflects a moderate degree of profitability, suggesting a shift in financial prosperity. When the current ratio, which measures liquidity, is less than 1.0, it may be an indication of impending liquidity problems and a cause for concern regarding the company's capacity to fulfil short-term obligations. Furthermore, a notable decline from the prior year points to imminent problems with liquidity management. On the other hand, the efficiency ratio—which is best represented by the asset turnover ratio—shows a very high degree of asset utilisation efficiency, suggesting effective resource management on the part of WBA and </w:t>
      </w:r>
      <w:r w:rsidRPr="00B202A8">
        <w:rPr>
          <w:rFonts w:ascii="Arial" w:hAnsi="Arial" w:cs="Arial"/>
          <w:color w:val="000000" w:themeColor="text1"/>
          <w:sz w:val="24"/>
          <w:szCs w:val="24"/>
        </w:rPr>
        <w:lastRenderedPageBreak/>
        <w:t xml:space="preserve">supporting income production. </w:t>
      </w:r>
      <w:r w:rsidR="00D759ED" w:rsidRPr="00B202A8">
        <w:rPr>
          <w:rFonts w:ascii="Arial" w:hAnsi="Arial" w:cs="Arial"/>
          <w:color w:val="000000" w:themeColor="text1"/>
          <w:sz w:val="24"/>
          <w:szCs w:val="24"/>
        </w:rPr>
        <w:t xml:space="preserve">Lastly, the debt-to-assets ratio, which represents the gearing ratio, indicates a substantial reliance on debt financing, which may increase financial risks and have an impact on solvency. The large rise from the prior year implies that WBA would have difficulties properly controlling its debt levels. All things considered, these results highlight how crucial it is to handle finances carefully and make strategic decisions </w:t>
      </w:r>
      <w:r w:rsidR="00A878C7" w:rsidRPr="00B202A8">
        <w:rPr>
          <w:rFonts w:ascii="Arial" w:hAnsi="Arial" w:cs="Arial"/>
          <w:color w:val="000000" w:themeColor="text1"/>
          <w:sz w:val="24"/>
          <w:szCs w:val="24"/>
        </w:rPr>
        <w:t>to</w:t>
      </w:r>
      <w:r w:rsidR="00D759ED" w:rsidRPr="00B202A8">
        <w:rPr>
          <w:rFonts w:ascii="Arial" w:hAnsi="Arial" w:cs="Arial"/>
          <w:color w:val="000000" w:themeColor="text1"/>
          <w:sz w:val="24"/>
          <w:szCs w:val="24"/>
        </w:rPr>
        <w:t xml:space="preserve"> overcome obstacles and guarantee WBA's long-term success and financial stability.</w:t>
      </w:r>
      <w:r w:rsidR="00FE6595" w:rsidRPr="00B202A8">
        <w:rPr>
          <w:rFonts w:ascii="Arial" w:hAnsi="Arial" w:cs="Arial"/>
          <w:color w:val="000000" w:themeColor="text1"/>
          <w:sz w:val="24"/>
          <w:szCs w:val="24"/>
        </w:rPr>
        <w:t xml:space="preserve"> </w:t>
      </w:r>
    </w:p>
    <w:p w14:paraId="09384188" w14:textId="77777777" w:rsidR="003920C6" w:rsidRPr="004D76C4" w:rsidRDefault="003920C6" w:rsidP="00852BE5">
      <w:pPr>
        <w:rPr>
          <w:rFonts w:ascii="Arial" w:hAnsi="Arial" w:cs="Arial"/>
          <w:color w:val="000000" w:themeColor="text1"/>
          <w:sz w:val="24"/>
          <w:szCs w:val="24"/>
        </w:rPr>
      </w:pPr>
    </w:p>
    <w:p w14:paraId="22F700EA" w14:textId="77777777" w:rsidR="003920C6" w:rsidRPr="004D76C4" w:rsidRDefault="003920C6" w:rsidP="00852BE5">
      <w:pPr>
        <w:rPr>
          <w:rFonts w:ascii="Arial" w:hAnsi="Arial" w:cs="Arial"/>
          <w:color w:val="000000" w:themeColor="text1"/>
          <w:sz w:val="24"/>
          <w:szCs w:val="24"/>
        </w:rPr>
      </w:pPr>
    </w:p>
    <w:p w14:paraId="63F33E86" w14:textId="77777777" w:rsidR="003920C6" w:rsidRPr="004D76C4" w:rsidRDefault="003920C6" w:rsidP="00852BE5">
      <w:pPr>
        <w:rPr>
          <w:rFonts w:ascii="Arial" w:hAnsi="Arial" w:cs="Arial"/>
          <w:color w:val="000000" w:themeColor="text1"/>
          <w:sz w:val="24"/>
          <w:szCs w:val="24"/>
        </w:rPr>
      </w:pPr>
    </w:p>
    <w:p w14:paraId="2D743E3A" w14:textId="77777777" w:rsidR="003920C6" w:rsidRPr="004D76C4" w:rsidRDefault="003920C6" w:rsidP="00852BE5">
      <w:pPr>
        <w:rPr>
          <w:rFonts w:ascii="Arial" w:hAnsi="Arial" w:cs="Arial"/>
          <w:color w:val="000000" w:themeColor="text1"/>
          <w:sz w:val="24"/>
          <w:szCs w:val="24"/>
        </w:rPr>
      </w:pPr>
    </w:p>
    <w:p w14:paraId="665BE567" w14:textId="77777777" w:rsidR="003920C6" w:rsidRPr="004D76C4" w:rsidRDefault="003920C6" w:rsidP="00852BE5">
      <w:pPr>
        <w:rPr>
          <w:rFonts w:ascii="Arial" w:hAnsi="Arial" w:cs="Arial"/>
          <w:color w:val="000000" w:themeColor="text1"/>
          <w:sz w:val="24"/>
          <w:szCs w:val="24"/>
        </w:rPr>
      </w:pPr>
    </w:p>
    <w:p w14:paraId="3D2DD0D1" w14:textId="77777777" w:rsidR="003920C6" w:rsidRPr="004D76C4" w:rsidRDefault="003920C6" w:rsidP="00852BE5">
      <w:pPr>
        <w:rPr>
          <w:rFonts w:ascii="Arial" w:hAnsi="Arial" w:cs="Arial"/>
          <w:color w:val="000000" w:themeColor="text1"/>
          <w:sz w:val="24"/>
          <w:szCs w:val="24"/>
        </w:rPr>
      </w:pPr>
    </w:p>
    <w:p w14:paraId="10EFC49B" w14:textId="77777777" w:rsidR="003920C6" w:rsidRPr="004D76C4" w:rsidRDefault="003920C6" w:rsidP="00852BE5">
      <w:pPr>
        <w:rPr>
          <w:rFonts w:ascii="Arial" w:hAnsi="Arial" w:cs="Arial"/>
          <w:color w:val="000000" w:themeColor="text1"/>
          <w:sz w:val="24"/>
          <w:szCs w:val="24"/>
        </w:rPr>
      </w:pPr>
    </w:p>
    <w:p w14:paraId="5B350CD7" w14:textId="77777777" w:rsidR="003920C6" w:rsidRPr="004D76C4" w:rsidRDefault="003920C6" w:rsidP="00852BE5">
      <w:pPr>
        <w:rPr>
          <w:rFonts w:ascii="Arial" w:hAnsi="Arial" w:cs="Arial"/>
          <w:color w:val="000000" w:themeColor="text1"/>
          <w:sz w:val="24"/>
          <w:szCs w:val="24"/>
        </w:rPr>
      </w:pPr>
    </w:p>
    <w:p w14:paraId="69A38007" w14:textId="77777777" w:rsidR="003920C6" w:rsidRPr="004D76C4" w:rsidRDefault="003920C6" w:rsidP="00852BE5">
      <w:pPr>
        <w:rPr>
          <w:rFonts w:ascii="Arial" w:hAnsi="Arial" w:cs="Arial"/>
          <w:color w:val="000000" w:themeColor="text1"/>
          <w:sz w:val="24"/>
          <w:szCs w:val="24"/>
        </w:rPr>
      </w:pPr>
    </w:p>
    <w:p w14:paraId="27FD3A53" w14:textId="77777777" w:rsidR="003920C6" w:rsidRPr="004D76C4" w:rsidRDefault="003920C6" w:rsidP="00852BE5">
      <w:pPr>
        <w:rPr>
          <w:rFonts w:ascii="Arial" w:hAnsi="Arial" w:cs="Arial"/>
          <w:color w:val="000000" w:themeColor="text1"/>
          <w:sz w:val="24"/>
          <w:szCs w:val="24"/>
        </w:rPr>
      </w:pPr>
    </w:p>
    <w:p w14:paraId="517B8C5D" w14:textId="77777777" w:rsidR="003920C6" w:rsidRPr="004D76C4" w:rsidRDefault="003920C6" w:rsidP="00852BE5">
      <w:pPr>
        <w:rPr>
          <w:rFonts w:ascii="Arial" w:hAnsi="Arial" w:cs="Arial"/>
          <w:color w:val="000000" w:themeColor="text1"/>
          <w:sz w:val="24"/>
          <w:szCs w:val="24"/>
        </w:rPr>
      </w:pPr>
    </w:p>
    <w:p w14:paraId="10B40C94" w14:textId="77777777" w:rsidR="003920C6" w:rsidRPr="004D76C4" w:rsidRDefault="003920C6" w:rsidP="00852BE5">
      <w:pPr>
        <w:rPr>
          <w:rFonts w:ascii="Arial" w:hAnsi="Arial" w:cs="Arial"/>
          <w:color w:val="000000" w:themeColor="text1"/>
          <w:sz w:val="24"/>
          <w:szCs w:val="24"/>
        </w:rPr>
      </w:pPr>
    </w:p>
    <w:p w14:paraId="22EB3EFD" w14:textId="77777777" w:rsidR="003920C6" w:rsidRPr="004D76C4" w:rsidRDefault="003920C6" w:rsidP="00852BE5">
      <w:pPr>
        <w:rPr>
          <w:rFonts w:ascii="Arial" w:hAnsi="Arial" w:cs="Arial"/>
          <w:color w:val="000000" w:themeColor="text1"/>
          <w:sz w:val="24"/>
          <w:szCs w:val="24"/>
        </w:rPr>
      </w:pPr>
    </w:p>
    <w:p w14:paraId="5E0EE78B" w14:textId="77777777" w:rsidR="003920C6" w:rsidRPr="004D76C4" w:rsidRDefault="003920C6" w:rsidP="00852BE5">
      <w:pPr>
        <w:rPr>
          <w:rFonts w:ascii="Arial" w:hAnsi="Arial" w:cs="Arial"/>
          <w:color w:val="000000" w:themeColor="text1"/>
          <w:sz w:val="24"/>
          <w:szCs w:val="24"/>
        </w:rPr>
      </w:pPr>
    </w:p>
    <w:p w14:paraId="2AB5BAEA" w14:textId="77777777" w:rsidR="003920C6" w:rsidRPr="004D76C4" w:rsidRDefault="003920C6" w:rsidP="00852BE5">
      <w:pPr>
        <w:rPr>
          <w:rFonts w:ascii="Arial" w:hAnsi="Arial" w:cs="Arial"/>
          <w:color w:val="000000" w:themeColor="text1"/>
          <w:sz w:val="24"/>
          <w:szCs w:val="24"/>
        </w:rPr>
      </w:pPr>
    </w:p>
    <w:p w14:paraId="0EA0818C" w14:textId="77777777" w:rsidR="003920C6" w:rsidRPr="004D76C4" w:rsidRDefault="003920C6" w:rsidP="00852BE5">
      <w:pPr>
        <w:rPr>
          <w:rFonts w:ascii="Arial" w:hAnsi="Arial" w:cs="Arial"/>
          <w:color w:val="000000" w:themeColor="text1"/>
          <w:sz w:val="24"/>
          <w:szCs w:val="24"/>
        </w:rPr>
      </w:pPr>
    </w:p>
    <w:p w14:paraId="2F19032D" w14:textId="77777777" w:rsidR="003920C6" w:rsidRPr="004D76C4" w:rsidRDefault="003920C6" w:rsidP="00852BE5">
      <w:pPr>
        <w:rPr>
          <w:rFonts w:ascii="Arial" w:hAnsi="Arial" w:cs="Arial"/>
          <w:color w:val="000000" w:themeColor="text1"/>
          <w:sz w:val="24"/>
          <w:szCs w:val="24"/>
        </w:rPr>
      </w:pPr>
    </w:p>
    <w:p w14:paraId="06AE2C5B" w14:textId="77777777" w:rsidR="003920C6" w:rsidRPr="004D76C4" w:rsidRDefault="003920C6" w:rsidP="00852BE5">
      <w:pPr>
        <w:rPr>
          <w:rFonts w:ascii="Arial" w:hAnsi="Arial" w:cs="Arial"/>
          <w:color w:val="000000" w:themeColor="text1"/>
          <w:sz w:val="24"/>
          <w:szCs w:val="24"/>
        </w:rPr>
      </w:pPr>
    </w:p>
    <w:p w14:paraId="08650468" w14:textId="77777777" w:rsidR="003920C6" w:rsidRPr="004D76C4" w:rsidRDefault="003920C6" w:rsidP="00852BE5">
      <w:pPr>
        <w:rPr>
          <w:rFonts w:ascii="Arial" w:hAnsi="Arial" w:cs="Arial"/>
          <w:color w:val="000000" w:themeColor="text1"/>
          <w:sz w:val="24"/>
          <w:szCs w:val="24"/>
        </w:rPr>
      </w:pPr>
    </w:p>
    <w:p w14:paraId="4FA810F0" w14:textId="77777777" w:rsidR="003920C6" w:rsidRPr="004D76C4" w:rsidRDefault="003920C6" w:rsidP="00852BE5">
      <w:pPr>
        <w:rPr>
          <w:rFonts w:ascii="Arial" w:hAnsi="Arial" w:cs="Arial"/>
          <w:color w:val="000000" w:themeColor="text1"/>
          <w:sz w:val="24"/>
          <w:szCs w:val="24"/>
        </w:rPr>
      </w:pPr>
    </w:p>
    <w:p w14:paraId="4D09B362" w14:textId="77777777" w:rsidR="003920C6" w:rsidRPr="004D76C4" w:rsidRDefault="003920C6" w:rsidP="00852BE5">
      <w:pPr>
        <w:rPr>
          <w:rFonts w:ascii="Arial" w:hAnsi="Arial" w:cs="Arial"/>
          <w:color w:val="000000" w:themeColor="text1"/>
          <w:sz w:val="24"/>
          <w:szCs w:val="24"/>
        </w:rPr>
      </w:pPr>
    </w:p>
    <w:p w14:paraId="02DB4C14" w14:textId="77777777" w:rsidR="003920C6" w:rsidRPr="004D76C4" w:rsidRDefault="003920C6" w:rsidP="00852BE5">
      <w:pPr>
        <w:rPr>
          <w:rFonts w:ascii="Arial" w:hAnsi="Arial" w:cs="Arial"/>
          <w:color w:val="000000" w:themeColor="text1"/>
          <w:sz w:val="24"/>
          <w:szCs w:val="24"/>
        </w:rPr>
      </w:pPr>
    </w:p>
    <w:p w14:paraId="21AC2DD8" w14:textId="77777777" w:rsidR="00D00B7F" w:rsidRPr="004D76C4" w:rsidRDefault="00D00B7F" w:rsidP="00852BE5">
      <w:pPr>
        <w:rPr>
          <w:rFonts w:ascii="Arial" w:hAnsi="Arial" w:cs="Arial"/>
          <w:color w:val="000000" w:themeColor="text1"/>
          <w:sz w:val="24"/>
          <w:szCs w:val="24"/>
        </w:rPr>
      </w:pPr>
    </w:p>
    <w:p w14:paraId="4F4D0BBE" w14:textId="77777777" w:rsidR="00D00B7F" w:rsidRPr="004D76C4" w:rsidRDefault="00D00B7F" w:rsidP="00852BE5">
      <w:pPr>
        <w:rPr>
          <w:rFonts w:ascii="Arial" w:hAnsi="Arial" w:cs="Arial"/>
          <w:color w:val="000000" w:themeColor="text1"/>
          <w:sz w:val="24"/>
          <w:szCs w:val="24"/>
        </w:rPr>
      </w:pPr>
    </w:p>
    <w:p w14:paraId="328A487A" w14:textId="77777777" w:rsidR="00D61C57" w:rsidRDefault="00D61C57" w:rsidP="0BCDE76E">
      <w:pPr>
        <w:pStyle w:val="Heading2"/>
        <w:rPr>
          <w:color w:val="000000" w:themeColor="text1"/>
        </w:rPr>
      </w:pPr>
    </w:p>
    <w:p w14:paraId="2AA579B1" w14:textId="77777777" w:rsidR="00D61C57" w:rsidRDefault="00D61C57" w:rsidP="0BCDE76E">
      <w:pPr>
        <w:pStyle w:val="Heading2"/>
        <w:rPr>
          <w:color w:val="000000" w:themeColor="text1"/>
        </w:rPr>
      </w:pPr>
    </w:p>
    <w:p w14:paraId="5DFA6C99" w14:textId="77777777" w:rsidR="00D61C57" w:rsidRPr="00B202A8" w:rsidRDefault="00D61C57" w:rsidP="00D61C57">
      <w:pPr>
        <w:rPr>
          <w:rFonts w:ascii="Arial" w:hAnsi="Arial" w:cs="Arial"/>
        </w:rPr>
      </w:pPr>
    </w:p>
    <w:p w14:paraId="21F3A3BB" w14:textId="18385D93" w:rsidR="00B1608A" w:rsidRPr="00064015" w:rsidRDefault="00852BE5" w:rsidP="0BCDE76E">
      <w:pPr>
        <w:pStyle w:val="Heading2"/>
        <w:rPr>
          <w:rFonts w:ascii="Arial" w:hAnsi="Arial" w:cs="Arial"/>
          <w:b/>
          <w:bCs/>
          <w:i/>
          <w:iCs/>
          <w:color w:val="000000" w:themeColor="text1"/>
          <w:sz w:val="40"/>
          <w:szCs w:val="40"/>
        </w:rPr>
      </w:pPr>
      <w:bookmarkStart w:id="11" w:name="_Toc164848530"/>
      <w:r w:rsidRPr="00064015">
        <w:rPr>
          <w:rFonts w:ascii="Arial" w:hAnsi="Arial" w:cs="Arial"/>
          <w:b/>
          <w:bCs/>
          <w:i/>
          <w:iCs/>
          <w:color w:val="000000" w:themeColor="text1"/>
          <w:sz w:val="40"/>
          <w:szCs w:val="40"/>
        </w:rPr>
        <w:lastRenderedPageBreak/>
        <w:t>Comparison to CVS</w:t>
      </w:r>
      <w:r w:rsidR="00B1608A" w:rsidRPr="00064015">
        <w:rPr>
          <w:rFonts w:ascii="Arial" w:hAnsi="Arial" w:cs="Arial"/>
          <w:b/>
          <w:bCs/>
          <w:i/>
          <w:iCs/>
          <w:color w:val="000000" w:themeColor="text1"/>
          <w:sz w:val="40"/>
          <w:szCs w:val="40"/>
        </w:rPr>
        <w:t xml:space="preserve"> Health Corporation</w:t>
      </w:r>
      <w:r w:rsidR="00064015">
        <w:rPr>
          <w:rFonts w:ascii="Arial" w:hAnsi="Arial" w:cs="Arial"/>
          <w:b/>
          <w:bCs/>
          <w:i/>
          <w:iCs/>
          <w:color w:val="000000" w:themeColor="text1"/>
          <w:sz w:val="40"/>
          <w:szCs w:val="40"/>
        </w:rPr>
        <w:t>:</w:t>
      </w:r>
      <w:bookmarkEnd w:id="11"/>
    </w:p>
    <w:p w14:paraId="416E8EA2" w14:textId="7D768F80" w:rsidR="00204309" w:rsidRPr="00B202A8" w:rsidRDefault="00D00B7F" w:rsidP="00204309">
      <w:pPr>
        <w:rPr>
          <w:rFonts w:ascii="Arial" w:hAnsi="Arial" w:cs="Arial"/>
          <w:color w:val="000000" w:themeColor="text1"/>
          <w:sz w:val="24"/>
          <w:szCs w:val="24"/>
        </w:rPr>
      </w:pPr>
      <w:r w:rsidRPr="00B202A8">
        <w:rPr>
          <w:rFonts w:ascii="Arial" w:hAnsi="Arial" w:cs="Arial"/>
          <w:color w:val="000000" w:themeColor="text1"/>
          <w:sz w:val="24"/>
          <w:szCs w:val="24"/>
        </w:rPr>
        <w:t xml:space="preserve">All figures used within the report have been taken </w:t>
      </w:r>
      <w:r w:rsidR="00F56E29" w:rsidRPr="00B202A8">
        <w:rPr>
          <w:rFonts w:ascii="Arial" w:hAnsi="Arial" w:cs="Arial"/>
          <w:color w:val="000000" w:themeColor="text1"/>
          <w:sz w:val="24"/>
          <w:szCs w:val="24"/>
        </w:rPr>
        <w:t xml:space="preserve">directly from a credible source that displays the financial figures for CVS Health Corporation </w:t>
      </w:r>
      <w:r w:rsidR="00921802" w:rsidRPr="00B202A8">
        <w:rPr>
          <w:rFonts w:ascii="Arial" w:hAnsi="Arial" w:cs="Arial"/>
          <w:color w:val="000000" w:themeColor="text1"/>
          <w:sz w:val="24"/>
          <w:szCs w:val="24"/>
        </w:rPr>
        <w:t>(Nasda</w:t>
      </w:r>
      <w:r w:rsidR="00B87D33" w:rsidRPr="00B202A8">
        <w:rPr>
          <w:rFonts w:ascii="Arial" w:hAnsi="Arial" w:cs="Arial"/>
          <w:color w:val="000000" w:themeColor="text1"/>
          <w:sz w:val="24"/>
          <w:szCs w:val="24"/>
        </w:rPr>
        <w:t>q</w:t>
      </w:r>
      <w:r w:rsidR="00921802" w:rsidRPr="00B202A8">
        <w:rPr>
          <w:rFonts w:ascii="Arial" w:hAnsi="Arial" w:cs="Arial"/>
          <w:color w:val="000000" w:themeColor="text1"/>
          <w:sz w:val="24"/>
          <w:szCs w:val="24"/>
        </w:rPr>
        <w:t>, 2023).</w:t>
      </w:r>
      <w:r w:rsidR="00412D64" w:rsidRPr="00B202A8">
        <w:rPr>
          <w:rFonts w:ascii="Arial" w:hAnsi="Arial" w:cs="Arial"/>
          <w:color w:val="000000" w:themeColor="text1"/>
          <w:sz w:val="24"/>
          <w:szCs w:val="24"/>
        </w:rPr>
        <w:t xml:space="preserve"> CVS Health Corporation is a similar business that operates in the USA, they </w:t>
      </w:r>
      <w:r w:rsidR="00136301" w:rsidRPr="00B202A8">
        <w:rPr>
          <w:rFonts w:ascii="Arial" w:hAnsi="Arial" w:cs="Arial"/>
          <w:color w:val="000000" w:themeColor="text1"/>
          <w:sz w:val="24"/>
          <w:szCs w:val="24"/>
        </w:rPr>
        <w:t xml:space="preserve">offer similar service such as </w:t>
      </w:r>
      <w:r w:rsidR="009E3046" w:rsidRPr="00B202A8">
        <w:rPr>
          <w:rFonts w:ascii="Arial" w:hAnsi="Arial" w:cs="Arial"/>
          <w:color w:val="000000" w:themeColor="text1"/>
          <w:sz w:val="24"/>
          <w:szCs w:val="24"/>
        </w:rPr>
        <w:t xml:space="preserve">health and beauty, pharmaceutical </w:t>
      </w:r>
      <w:r w:rsidR="00FC04BF" w:rsidRPr="00B202A8">
        <w:rPr>
          <w:rFonts w:ascii="Arial" w:hAnsi="Arial" w:cs="Arial"/>
          <w:color w:val="000000" w:themeColor="text1"/>
          <w:sz w:val="24"/>
          <w:szCs w:val="24"/>
        </w:rPr>
        <w:t>items,</w:t>
      </w:r>
      <w:r w:rsidR="009E3046" w:rsidRPr="00B202A8">
        <w:rPr>
          <w:rFonts w:ascii="Arial" w:hAnsi="Arial" w:cs="Arial"/>
          <w:color w:val="000000" w:themeColor="text1"/>
          <w:sz w:val="24"/>
          <w:szCs w:val="24"/>
        </w:rPr>
        <w:t xml:space="preserve"> and wellbeing</w:t>
      </w:r>
      <w:r w:rsidR="006A56F9" w:rsidRPr="00B202A8">
        <w:rPr>
          <w:rFonts w:ascii="Arial" w:hAnsi="Arial" w:cs="Arial"/>
          <w:color w:val="000000" w:themeColor="text1"/>
          <w:sz w:val="24"/>
          <w:szCs w:val="24"/>
        </w:rPr>
        <w:t xml:space="preserve"> support. CVS is one of Walgreens biggest competitors in the market. For this part of the report, comparisons will be made to </w:t>
      </w:r>
      <w:r w:rsidR="00004499" w:rsidRPr="00B202A8">
        <w:rPr>
          <w:rFonts w:ascii="Arial" w:hAnsi="Arial" w:cs="Arial"/>
          <w:color w:val="000000" w:themeColor="text1"/>
          <w:sz w:val="24"/>
          <w:szCs w:val="24"/>
        </w:rPr>
        <w:t>critically assess the financial stru</w:t>
      </w:r>
      <w:r w:rsidR="00EF47EB" w:rsidRPr="00B202A8">
        <w:rPr>
          <w:rFonts w:ascii="Arial" w:hAnsi="Arial" w:cs="Arial"/>
          <w:color w:val="000000" w:themeColor="text1"/>
          <w:sz w:val="24"/>
          <w:szCs w:val="24"/>
        </w:rPr>
        <w:t>cture of each business</w:t>
      </w:r>
      <w:r w:rsidR="005379C3" w:rsidRPr="00B202A8">
        <w:rPr>
          <w:rFonts w:ascii="Arial" w:hAnsi="Arial" w:cs="Arial"/>
          <w:color w:val="000000" w:themeColor="text1"/>
          <w:sz w:val="24"/>
          <w:szCs w:val="24"/>
        </w:rPr>
        <w:t xml:space="preserve"> within the last </w:t>
      </w:r>
      <w:r w:rsidR="00CD5783" w:rsidRPr="00B202A8">
        <w:rPr>
          <w:rFonts w:ascii="Arial" w:hAnsi="Arial" w:cs="Arial"/>
          <w:color w:val="000000" w:themeColor="text1"/>
          <w:sz w:val="24"/>
          <w:szCs w:val="24"/>
        </w:rPr>
        <w:t>four</w:t>
      </w:r>
      <w:r w:rsidR="005379C3" w:rsidRPr="00B202A8">
        <w:rPr>
          <w:rFonts w:ascii="Arial" w:hAnsi="Arial" w:cs="Arial"/>
          <w:color w:val="000000" w:themeColor="text1"/>
          <w:sz w:val="24"/>
          <w:szCs w:val="24"/>
        </w:rPr>
        <w:t xml:space="preserve"> years</w:t>
      </w:r>
      <w:r w:rsidR="00B42B24" w:rsidRPr="00B202A8">
        <w:rPr>
          <w:rFonts w:ascii="Arial" w:hAnsi="Arial" w:cs="Arial"/>
          <w:color w:val="000000" w:themeColor="text1"/>
          <w:sz w:val="24"/>
          <w:szCs w:val="24"/>
        </w:rPr>
        <w:t>,</w:t>
      </w:r>
      <w:r w:rsidR="00EF47EB" w:rsidRPr="00B202A8">
        <w:rPr>
          <w:rFonts w:ascii="Arial" w:hAnsi="Arial" w:cs="Arial"/>
          <w:color w:val="000000" w:themeColor="text1"/>
          <w:sz w:val="24"/>
          <w:szCs w:val="24"/>
        </w:rPr>
        <w:t xml:space="preserve"> </w:t>
      </w:r>
      <w:r w:rsidR="00B42B24" w:rsidRPr="00B202A8">
        <w:rPr>
          <w:rFonts w:ascii="Arial" w:hAnsi="Arial" w:cs="Arial"/>
          <w:color w:val="000000" w:themeColor="text1"/>
          <w:sz w:val="24"/>
          <w:szCs w:val="24"/>
        </w:rPr>
        <w:t>it will also</w:t>
      </w:r>
      <w:r w:rsidR="00EF47EB" w:rsidRPr="00B202A8">
        <w:rPr>
          <w:rFonts w:ascii="Arial" w:hAnsi="Arial" w:cs="Arial"/>
          <w:color w:val="000000" w:themeColor="text1"/>
          <w:sz w:val="24"/>
          <w:szCs w:val="24"/>
        </w:rPr>
        <w:t xml:space="preserve"> conclude which </w:t>
      </w:r>
      <w:r w:rsidR="00BD5D5A" w:rsidRPr="00B202A8">
        <w:rPr>
          <w:rFonts w:ascii="Arial" w:hAnsi="Arial" w:cs="Arial"/>
          <w:color w:val="000000" w:themeColor="text1"/>
          <w:sz w:val="24"/>
          <w:szCs w:val="24"/>
        </w:rPr>
        <w:t xml:space="preserve">company is progressing </w:t>
      </w:r>
      <w:r w:rsidR="00B42B24" w:rsidRPr="00B202A8">
        <w:rPr>
          <w:rFonts w:ascii="Arial" w:hAnsi="Arial" w:cs="Arial"/>
          <w:color w:val="000000" w:themeColor="text1"/>
          <w:sz w:val="24"/>
          <w:szCs w:val="24"/>
        </w:rPr>
        <w:t xml:space="preserve">financially, utilising the same financial ratios as before. </w:t>
      </w:r>
      <w:r w:rsidR="001536C4" w:rsidRPr="00B202A8">
        <w:rPr>
          <w:rFonts w:ascii="Arial" w:hAnsi="Arial" w:cs="Arial"/>
          <w:color w:val="000000" w:themeColor="text1"/>
          <w:sz w:val="24"/>
          <w:szCs w:val="24"/>
        </w:rPr>
        <w:t xml:space="preserve">It is very important to note that both companies may have been affected positively or negatively due to economic </w:t>
      </w:r>
      <w:r w:rsidR="00E13A89" w:rsidRPr="00B202A8">
        <w:rPr>
          <w:rFonts w:ascii="Arial" w:hAnsi="Arial" w:cs="Arial"/>
          <w:color w:val="000000" w:themeColor="text1"/>
          <w:sz w:val="24"/>
          <w:szCs w:val="24"/>
        </w:rPr>
        <w:t>factors such as the COVID-19 Pandemic</w:t>
      </w:r>
      <w:r w:rsidR="00DD415A" w:rsidRPr="00B202A8">
        <w:rPr>
          <w:rFonts w:ascii="Arial" w:hAnsi="Arial" w:cs="Arial"/>
          <w:color w:val="000000" w:themeColor="text1"/>
          <w:sz w:val="24"/>
          <w:szCs w:val="24"/>
        </w:rPr>
        <w:t xml:space="preserve">, this is because both companies fall under the pharmaceutical industry and played a vital role </w:t>
      </w:r>
      <w:r w:rsidR="003564BA" w:rsidRPr="00B202A8">
        <w:rPr>
          <w:rFonts w:ascii="Arial" w:hAnsi="Arial" w:cs="Arial"/>
          <w:color w:val="000000" w:themeColor="text1"/>
          <w:sz w:val="24"/>
          <w:szCs w:val="24"/>
        </w:rPr>
        <w:t xml:space="preserve">during restrictions and changes of day-today living. </w:t>
      </w:r>
    </w:p>
    <w:p w14:paraId="63AA6B1E" w14:textId="08FFA4B5" w:rsidR="00F85FDF" w:rsidRPr="00762882" w:rsidRDefault="00762882" w:rsidP="43D37965">
      <w:pPr>
        <w:pStyle w:val="Heading2"/>
        <w:rPr>
          <w:rFonts w:ascii="Arial" w:hAnsi="Arial" w:cs="Arial"/>
          <w:b/>
          <w:color w:val="000000" w:themeColor="text1"/>
          <w:sz w:val="22"/>
          <w:szCs w:val="22"/>
          <w:u w:val="single"/>
        </w:rPr>
      </w:pPr>
      <w:bookmarkStart w:id="12" w:name="_Toc164848531"/>
      <w:r w:rsidRPr="00B202A8">
        <w:rPr>
          <w:rFonts w:ascii="Arial" w:hAnsi="Arial" w:cs="Arial"/>
          <w:noProof/>
          <w:color w:val="000000" w:themeColor="text1"/>
          <w:sz w:val="24"/>
          <w:szCs w:val="24"/>
          <w14:ligatures w14:val="standardContextual"/>
        </w:rPr>
        <w:drawing>
          <wp:anchor distT="0" distB="0" distL="114300" distR="114300" simplePos="0" relativeHeight="251658243" behindDoc="0" locked="0" layoutInCell="1" allowOverlap="1" wp14:anchorId="41ABACF2" wp14:editId="373EAB09">
            <wp:simplePos x="0" y="0"/>
            <wp:positionH relativeFrom="column">
              <wp:posOffset>5715</wp:posOffset>
            </wp:positionH>
            <wp:positionV relativeFrom="paragraph">
              <wp:posOffset>307975</wp:posOffset>
            </wp:positionV>
            <wp:extent cx="3447415" cy="2080260"/>
            <wp:effectExtent l="0" t="0" r="0" b="2540"/>
            <wp:wrapSquare wrapText="bothSides"/>
            <wp:docPr id="1414522590" name="Picture 1" descr="A graph of a profitability rati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522590" name="Picture 1" descr="A graph of a profitability rati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447415" cy="2080260"/>
                    </a:xfrm>
                    <a:prstGeom prst="rect">
                      <a:avLst/>
                    </a:prstGeom>
                  </pic:spPr>
                </pic:pic>
              </a:graphicData>
            </a:graphic>
            <wp14:sizeRelH relativeFrom="page">
              <wp14:pctWidth>0</wp14:pctWidth>
            </wp14:sizeRelH>
            <wp14:sizeRelV relativeFrom="page">
              <wp14:pctHeight>0</wp14:pctHeight>
            </wp14:sizeRelV>
          </wp:anchor>
        </w:drawing>
      </w:r>
      <w:r w:rsidR="003920C6" w:rsidRPr="00B202A8">
        <w:rPr>
          <w:rFonts w:ascii="Arial" w:hAnsi="Arial" w:cs="Arial"/>
          <w:color w:val="000000" w:themeColor="text1"/>
        </w:rPr>
        <w:t>Profitability Ratio – WBA vs CVS</w:t>
      </w:r>
      <w:r w:rsidR="004B3537" w:rsidRPr="00B202A8">
        <w:rPr>
          <w:rFonts w:ascii="Arial" w:hAnsi="Arial" w:cs="Arial"/>
          <w:color w:val="000000" w:themeColor="text1"/>
        </w:rPr>
        <w:t xml:space="preserve"> (2023</w:t>
      </w:r>
      <w:r w:rsidR="003C68C9" w:rsidRPr="00B202A8">
        <w:rPr>
          <w:rFonts w:ascii="Arial" w:hAnsi="Arial" w:cs="Arial"/>
          <w:color w:val="000000" w:themeColor="text1"/>
        </w:rPr>
        <w:t>)</w:t>
      </w:r>
      <w:bookmarkEnd w:id="12"/>
    </w:p>
    <w:p w14:paraId="5EBE00C5" w14:textId="1326137B" w:rsidR="00266E9B" w:rsidRPr="00B202A8" w:rsidRDefault="009607AA" w:rsidP="43D37965">
      <w:pPr>
        <w:rPr>
          <w:rFonts w:ascii="Arial" w:hAnsi="Arial" w:cs="Arial"/>
          <w:b/>
          <w:bCs/>
          <w:color w:val="000000" w:themeColor="text1"/>
          <w:sz w:val="24"/>
          <w:szCs w:val="24"/>
        </w:rPr>
      </w:pPr>
      <w:r w:rsidRPr="00B202A8">
        <w:rPr>
          <w:rFonts w:ascii="Arial" w:hAnsi="Arial" w:cs="Arial"/>
          <w:b/>
          <w:color w:val="000000" w:themeColor="text1"/>
          <w:sz w:val="24"/>
          <w:szCs w:val="24"/>
        </w:rPr>
        <w:t>Table 2.1 – Gross Margin for WBA and CVS (Source: Author)</w:t>
      </w:r>
    </w:p>
    <w:p w14:paraId="31EC81A1" w14:textId="0D405A20" w:rsidR="003564BA" w:rsidRPr="00B202A8" w:rsidRDefault="00847149" w:rsidP="43D37965">
      <w:pPr>
        <w:rPr>
          <w:rFonts w:ascii="Arial" w:hAnsi="Arial" w:cs="Arial"/>
          <w:color w:val="000000" w:themeColor="text1"/>
          <w:sz w:val="24"/>
          <w:szCs w:val="24"/>
        </w:rPr>
      </w:pPr>
      <w:r w:rsidRPr="00B202A8">
        <w:rPr>
          <w:rFonts w:ascii="Arial" w:hAnsi="Arial" w:cs="Arial"/>
          <w:color w:val="000000" w:themeColor="text1"/>
          <w:sz w:val="24"/>
          <w:szCs w:val="24"/>
        </w:rPr>
        <w:t xml:space="preserve">According to the table above (see table 2.1) </w:t>
      </w:r>
      <w:r w:rsidR="008C0B87" w:rsidRPr="00B202A8">
        <w:rPr>
          <w:rFonts w:ascii="Arial" w:hAnsi="Arial" w:cs="Arial"/>
          <w:color w:val="000000" w:themeColor="text1"/>
          <w:sz w:val="24"/>
          <w:szCs w:val="24"/>
        </w:rPr>
        <w:t>W</w:t>
      </w:r>
      <w:r w:rsidR="00212F74" w:rsidRPr="00B202A8">
        <w:rPr>
          <w:rFonts w:ascii="Arial" w:hAnsi="Arial" w:cs="Arial"/>
          <w:color w:val="000000" w:themeColor="text1"/>
          <w:sz w:val="24"/>
          <w:szCs w:val="24"/>
        </w:rPr>
        <w:t xml:space="preserve">algreens </w:t>
      </w:r>
      <w:r w:rsidR="008C0B87" w:rsidRPr="00B202A8">
        <w:rPr>
          <w:rFonts w:ascii="Arial" w:hAnsi="Arial" w:cs="Arial"/>
          <w:color w:val="000000" w:themeColor="text1"/>
          <w:sz w:val="24"/>
          <w:szCs w:val="24"/>
        </w:rPr>
        <w:t>B</w:t>
      </w:r>
      <w:r w:rsidR="00212F74" w:rsidRPr="00B202A8">
        <w:rPr>
          <w:rFonts w:ascii="Arial" w:hAnsi="Arial" w:cs="Arial"/>
          <w:color w:val="000000" w:themeColor="text1"/>
          <w:sz w:val="24"/>
          <w:szCs w:val="24"/>
        </w:rPr>
        <w:t xml:space="preserve">oots </w:t>
      </w:r>
      <w:r w:rsidR="008C0B87" w:rsidRPr="00B202A8">
        <w:rPr>
          <w:rFonts w:ascii="Arial" w:hAnsi="Arial" w:cs="Arial"/>
          <w:color w:val="000000" w:themeColor="text1"/>
          <w:sz w:val="24"/>
          <w:szCs w:val="24"/>
        </w:rPr>
        <w:t>A</w:t>
      </w:r>
      <w:r w:rsidR="00212F74" w:rsidRPr="00B202A8">
        <w:rPr>
          <w:rFonts w:ascii="Arial" w:hAnsi="Arial" w:cs="Arial"/>
          <w:color w:val="000000" w:themeColor="text1"/>
          <w:sz w:val="24"/>
          <w:szCs w:val="24"/>
        </w:rPr>
        <w:t>lliance</w:t>
      </w:r>
      <w:r w:rsidR="008C0B87" w:rsidRPr="00B202A8">
        <w:rPr>
          <w:rFonts w:ascii="Arial" w:hAnsi="Arial" w:cs="Arial"/>
          <w:color w:val="000000" w:themeColor="text1"/>
          <w:sz w:val="24"/>
          <w:szCs w:val="24"/>
        </w:rPr>
        <w:t xml:space="preserve"> has a 19.46% profitability ratio, but CVS </w:t>
      </w:r>
      <w:r w:rsidR="00212F74" w:rsidRPr="00B202A8">
        <w:rPr>
          <w:rFonts w:ascii="Arial" w:hAnsi="Arial" w:cs="Arial"/>
          <w:color w:val="000000" w:themeColor="text1"/>
          <w:sz w:val="24"/>
          <w:szCs w:val="24"/>
        </w:rPr>
        <w:t xml:space="preserve">Health Corporation </w:t>
      </w:r>
      <w:r w:rsidR="008C0B87" w:rsidRPr="00B202A8">
        <w:rPr>
          <w:rFonts w:ascii="Arial" w:hAnsi="Arial" w:cs="Arial"/>
          <w:color w:val="000000" w:themeColor="text1"/>
          <w:sz w:val="24"/>
          <w:szCs w:val="24"/>
        </w:rPr>
        <w:t>has a far higher percentage—39.32%</w:t>
      </w:r>
      <w:r w:rsidR="00037916" w:rsidRPr="00B202A8">
        <w:rPr>
          <w:rFonts w:ascii="Arial" w:hAnsi="Arial" w:cs="Arial"/>
          <w:color w:val="000000" w:themeColor="text1"/>
          <w:sz w:val="24"/>
          <w:szCs w:val="24"/>
        </w:rPr>
        <w:t xml:space="preserve"> in the last recent statement released</w:t>
      </w:r>
      <w:r w:rsidR="008C0B87" w:rsidRPr="00B202A8">
        <w:rPr>
          <w:rFonts w:ascii="Arial" w:hAnsi="Arial" w:cs="Arial"/>
          <w:color w:val="000000" w:themeColor="text1"/>
          <w:sz w:val="24"/>
          <w:szCs w:val="24"/>
        </w:rPr>
        <w:t>. This substantial difference indicates that CVS is more adept at making money in relation to its sales, assets, or equity—based on the underlying ratio of each.</w:t>
      </w:r>
      <w:r w:rsidR="0061568F" w:rsidRPr="00B202A8">
        <w:rPr>
          <w:rFonts w:ascii="Arial" w:hAnsi="Arial" w:cs="Arial"/>
          <w:color w:val="000000" w:themeColor="text1"/>
          <w:sz w:val="24"/>
          <w:szCs w:val="24"/>
        </w:rPr>
        <w:t xml:space="preserve"> It is important to note however, that CVS and WBA both have a consistent </w:t>
      </w:r>
      <w:r w:rsidR="000732CC" w:rsidRPr="00B202A8">
        <w:rPr>
          <w:rFonts w:ascii="Arial" w:hAnsi="Arial" w:cs="Arial"/>
          <w:color w:val="000000" w:themeColor="text1"/>
          <w:sz w:val="24"/>
          <w:szCs w:val="24"/>
        </w:rPr>
        <w:t>figure of profitability over the last 3 years</w:t>
      </w:r>
      <w:r w:rsidR="0061568F" w:rsidRPr="00B202A8">
        <w:rPr>
          <w:rFonts w:ascii="Arial" w:hAnsi="Arial" w:cs="Arial"/>
          <w:color w:val="000000" w:themeColor="text1"/>
          <w:sz w:val="24"/>
          <w:szCs w:val="24"/>
        </w:rPr>
        <w:t>,</w:t>
      </w:r>
      <w:r w:rsidR="000659B4" w:rsidRPr="00B202A8">
        <w:rPr>
          <w:rFonts w:ascii="Arial" w:hAnsi="Arial" w:cs="Arial"/>
          <w:color w:val="000000" w:themeColor="text1"/>
          <w:sz w:val="24"/>
          <w:szCs w:val="24"/>
        </w:rPr>
        <w:t xml:space="preserve"> this is a clear indication that both companies </w:t>
      </w:r>
      <w:r w:rsidR="005B076E" w:rsidRPr="00B202A8">
        <w:rPr>
          <w:rFonts w:ascii="Arial" w:hAnsi="Arial" w:cs="Arial"/>
          <w:color w:val="000000" w:themeColor="text1"/>
          <w:sz w:val="24"/>
          <w:szCs w:val="24"/>
        </w:rPr>
        <w:t>can</w:t>
      </w:r>
      <w:r w:rsidR="000659B4" w:rsidRPr="00B202A8">
        <w:rPr>
          <w:rFonts w:ascii="Arial" w:hAnsi="Arial" w:cs="Arial"/>
          <w:color w:val="000000" w:themeColor="text1"/>
          <w:sz w:val="24"/>
          <w:szCs w:val="24"/>
        </w:rPr>
        <w:t xml:space="preserve"> maintain</w:t>
      </w:r>
      <w:r w:rsidR="008D6F54" w:rsidRPr="00B202A8">
        <w:rPr>
          <w:rFonts w:ascii="Arial" w:hAnsi="Arial" w:cs="Arial"/>
          <w:color w:val="000000" w:themeColor="text1"/>
          <w:sz w:val="24"/>
          <w:szCs w:val="24"/>
        </w:rPr>
        <w:t xml:space="preserve"> their profit margins. CVS saw a</w:t>
      </w:r>
      <w:r w:rsidR="007D6C18" w:rsidRPr="00B202A8">
        <w:rPr>
          <w:rFonts w:ascii="Arial" w:hAnsi="Arial" w:cs="Arial"/>
          <w:color w:val="000000" w:themeColor="text1"/>
          <w:sz w:val="24"/>
          <w:szCs w:val="24"/>
        </w:rPr>
        <w:t>n increase from the year 2020 to 2021</w:t>
      </w:r>
      <w:r w:rsidR="005B076E" w:rsidRPr="00B202A8">
        <w:rPr>
          <w:rFonts w:ascii="Arial" w:hAnsi="Arial" w:cs="Arial"/>
          <w:color w:val="000000" w:themeColor="text1"/>
          <w:sz w:val="24"/>
          <w:szCs w:val="24"/>
        </w:rPr>
        <w:t>, this may have been due to the pandemic which may not have impacted WBA directly.</w:t>
      </w:r>
      <w:r w:rsidR="008C0B87" w:rsidRPr="00B202A8">
        <w:rPr>
          <w:rFonts w:ascii="Arial" w:hAnsi="Arial" w:cs="Arial"/>
          <w:color w:val="000000" w:themeColor="text1"/>
          <w:sz w:val="24"/>
          <w:szCs w:val="24"/>
        </w:rPr>
        <w:t xml:space="preserve"> The difference highlights CVS's higher efficiency in turning revenue into profit, which may be the result of improved operational efficacy, pricing tactics, or cost control. This comparison</w:t>
      </w:r>
      <w:r w:rsidR="00962B83" w:rsidRPr="00B202A8">
        <w:rPr>
          <w:rFonts w:ascii="Arial" w:hAnsi="Arial" w:cs="Arial"/>
          <w:color w:val="000000" w:themeColor="text1"/>
          <w:sz w:val="24"/>
          <w:szCs w:val="24"/>
        </w:rPr>
        <w:t xml:space="preserve"> </w:t>
      </w:r>
      <w:r w:rsidR="008C0B87" w:rsidRPr="00B202A8">
        <w:rPr>
          <w:rFonts w:ascii="Arial" w:hAnsi="Arial" w:cs="Arial"/>
          <w:color w:val="000000" w:themeColor="text1"/>
          <w:sz w:val="24"/>
          <w:szCs w:val="24"/>
        </w:rPr>
        <w:t>demonstrates how, in the retail pharmacy and healthcare sectors, CVS outperforms WBA in terms of financial performance and efficiency measures</w:t>
      </w:r>
      <w:r w:rsidR="0094656F" w:rsidRPr="00B202A8">
        <w:rPr>
          <w:rFonts w:ascii="Arial" w:hAnsi="Arial" w:cs="Arial"/>
          <w:color w:val="000000" w:themeColor="text1"/>
          <w:sz w:val="24"/>
          <w:szCs w:val="24"/>
        </w:rPr>
        <w:t>.</w:t>
      </w:r>
    </w:p>
    <w:p w14:paraId="6EDBC41D" w14:textId="05577497" w:rsidR="00F85FDF" w:rsidRPr="0002677B" w:rsidRDefault="003C68C9" w:rsidP="03E2EE52">
      <w:pPr>
        <w:pStyle w:val="Heading2"/>
        <w:rPr>
          <w:rFonts w:ascii="Arial" w:hAnsi="Arial" w:cs="Arial"/>
          <w:b/>
          <w:color w:val="000000" w:themeColor="text1"/>
          <w:sz w:val="22"/>
          <w:szCs w:val="22"/>
          <w:u w:val="single"/>
        </w:rPr>
      </w:pPr>
      <w:bookmarkStart w:id="13" w:name="_Toc164848532"/>
      <w:r w:rsidRPr="00B202A8">
        <w:rPr>
          <w:rFonts w:ascii="Arial" w:hAnsi="Arial" w:cs="Arial"/>
          <w:color w:val="000000" w:themeColor="text1"/>
        </w:rPr>
        <w:t>Liquidity Ratio – WBA vs CVS (2023)</w:t>
      </w:r>
      <w:r w:rsidR="3308C81B" w:rsidRPr="00B202A8">
        <w:rPr>
          <w:rFonts w:ascii="Arial" w:hAnsi="Arial" w:cs="Arial"/>
          <w:noProof/>
          <w:color w:val="000000" w:themeColor="text1"/>
        </w:rPr>
        <w:drawing>
          <wp:anchor distT="0" distB="0" distL="114300" distR="114300" simplePos="0" relativeHeight="251658242" behindDoc="0" locked="0" layoutInCell="1" allowOverlap="1" wp14:anchorId="676B8621" wp14:editId="1152FDE9">
            <wp:simplePos x="0" y="0"/>
            <wp:positionH relativeFrom="column">
              <wp:posOffset>-6350</wp:posOffset>
            </wp:positionH>
            <wp:positionV relativeFrom="paragraph">
              <wp:posOffset>309245</wp:posOffset>
            </wp:positionV>
            <wp:extent cx="3459480" cy="2037080"/>
            <wp:effectExtent l="0" t="0" r="0" b="0"/>
            <wp:wrapSquare wrapText="bothSides"/>
            <wp:docPr id="856213531" name="Picture 2" descr="A graph of a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3459480" cy="2037080"/>
                    </a:xfrm>
                    <a:prstGeom prst="rect">
                      <a:avLst/>
                    </a:prstGeom>
                  </pic:spPr>
                </pic:pic>
              </a:graphicData>
            </a:graphic>
            <wp14:sizeRelH relativeFrom="page">
              <wp14:pctWidth>0</wp14:pctWidth>
            </wp14:sizeRelH>
            <wp14:sizeRelV relativeFrom="page">
              <wp14:pctHeight>0</wp14:pctHeight>
            </wp14:sizeRelV>
          </wp:anchor>
        </w:drawing>
      </w:r>
      <w:bookmarkEnd w:id="13"/>
    </w:p>
    <w:p w14:paraId="150685EF" w14:textId="7F9E35ED" w:rsidR="0042337F" w:rsidRPr="00B202A8" w:rsidRDefault="00107F8D" w:rsidP="03E2EE52">
      <w:pPr>
        <w:rPr>
          <w:rFonts w:ascii="Arial" w:hAnsi="Arial" w:cs="Arial"/>
          <w:b/>
          <w:bCs/>
          <w:color w:val="000000" w:themeColor="text1"/>
          <w:sz w:val="24"/>
          <w:szCs w:val="24"/>
        </w:rPr>
      </w:pPr>
      <w:r w:rsidRPr="00B202A8">
        <w:rPr>
          <w:rFonts w:ascii="Arial" w:hAnsi="Arial" w:cs="Arial"/>
          <w:b/>
          <w:color w:val="000000" w:themeColor="text1"/>
          <w:sz w:val="24"/>
          <w:szCs w:val="24"/>
        </w:rPr>
        <w:t>Table 2.2 – Current Ratio for WBA and CVS (Source: Author)</w:t>
      </w:r>
    </w:p>
    <w:p w14:paraId="2969B021" w14:textId="39F4DAF1" w:rsidR="00847149" w:rsidRPr="00B202A8" w:rsidRDefault="00527807" w:rsidP="03E2EE52">
      <w:pPr>
        <w:rPr>
          <w:rFonts w:ascii="Arial" w:hAnsi="Arial" w:cs="Arial"/>
          <w:color w:val="000000" w:themeColor="text1"/>
          <w:sz w:val="24"/>
          <w:szCs w:val="24"/>
        </w:rPr>
      </w:pPr>
      <w:r w:rsidRPr="00B202A8">
        <w:rPr>
          <w:rFonts w:ascii="Arial" w:hAnsi="Arial" w:cs="Arial"/>
          <w:color w:val="000000" w:themeColor="text1"/>
          <w:sz w:val="24"/>
          <w:szCs w:val="24"/>
        </w:rPr>
        <w:t>From the statistics provided (see table 2.2</w:t>
      </w:r>
      <w:r w:rsidR="004707C6" w:rsidRPr="00B202A8">
        <w:rPr>
          <w:rFonts w:ascii="Arial" w:hAnsi="Arial" w:cs="Arial"/>
          <w:color w:val="000000" w:themeColor="text1"/>
          <w:sz w:val="24"/>
          <w:szCs w:val="24"/>
        </w:rPr>
        <w:t xml:space="preserve">), </w:t>
      </w:r>
      <w:r w:rsidR="009C1A4B" w:rsidRPr="00B202A8">
        <w:rPr>
          <w:rFonts w:ascii="Arial" w:hAnsi="Arial" w:cs="Arial"/>
          <w:color w:val="000000" w:themeColor="text1"/>
          <w:sz w:val="24"/>
          <w:szCs w:val="24"/>
        </w:rPr>
        <w:t xml:space="preserve">CVS Health Corporation </w:t>
      </w:r>
      <w:r w:rsidR="00644D52" w:rsidRPr="00B202A8">
        <w:rPr>
          <w:rFonts w:ascii="Arial" w:hAnsi="Arial" w:cs="Arial"/>
          <w:color w:val="000000" w:themeColor="text1"/>
          <w:sz w:val="24"/>
          <w:szCs w:val="24"/>
        </w:rPr>
        <w:t>liquidity ratio of 85.69</w:t>
      </w:r>
      <w:r w:rsidR="00212F74" w:rsidRPr="00B202A8">
        <w:rPr>
          <w:rFonts w:ascii="Arial" w:hAnsi="Arial" w:cs="Arial"/>
          <w:color w:val="000000" w:themeColor="text1"/>
          <w:sz w:val="24"/>
          <w:szCs w:val="24"/>
        </w:rPr>
        <w:t>% outperformed</w:t>
      </w:r>
      <w:r w:rsidR="009C1A4B" w:rsidRPr="00B202A8">
        <w:rPr>
          <w:rFonts w:ascii="Arial" w:hAnsi="Arial" w:cs="Arial"/>
          <w:color w:val="000000" w:themeColor="text1"/>
          <w:sz w:val="24"/>
          <w:szCs w:val="24"/>
        </w:rPr>
        <w:t xml:space="preserve"> Walgreens Boots Alliance, which had a ratio of 63.19%. </w:t>
      </w:r>
      <w:r w:rsidR="005E51F0" w:rsidRPr="00B202A8">
        <w:rPr>
          <w:rFonts w:ascii="Arial" w:hAnsi="Arial" w:cs="Arial"/>
          <w:color w:val="000000" w:themeColor="text1"/>
          <w:sz w:val="24"/>
          <w:szCs w:val="24"/>
        </w:rPr>
        <w:t xml:space="preserve">Furthermore, looking at past years, CVS had over 20% more </w:t>
      </w:r>
      <w:r w:rsidR="00E30688" w:rsidRPr="00B202A8">
        <w:rPr>
          <w:rFonts w:ascii="Arial" w:hAnsi="Arial" w:cs="Arial"/>
          <w:color w:val="000000" w:themeColor="text1"/>
          <w:sz w:val="24"/>
          <w:szCs w:val="24"/>
        </w:rPr>
        <w:t xml:space="preserve">each financial year. </w:t>
      </w:r>
      <w:r w:rsidR="009C1A4B" w:rsidRPr="00B202A8">
        <w:rPr>
          <w:rFonts w:ascii="Arial" w:hAnsi="Arial" w:cs="Arial"/>
          <w:color w:val="000000" w:themeColor="text1"/>
          <w:sz w:val="24"/>
          <w:szCs w:val="24"/>
        </w:rPr>
        <w:t xml:space="preserve">This shows that, in comparison to WBA, CVS is more equipped to satisfy short-term obligations using its short-term assets. In general, higher liquidity ratios signify improved flexibility and financial soundness. Individual business plans and industry standards, however, should also be </w:t>
      </w:r>
      <w:r w:rsidR="004707C6" w:rsidRPr="00B202A8">
        <w:rPr>
          <w:rFonts w:ascii="Arial" w:hAnsi="Arial" w:cs="Arial"/>
          <w:color w:val="000000" w:themeColor="text1"/>
          <w:sz w:val="24"/>
          <w:szCs w:val="24"/>
        </w:rPr>
        <w:t>considered</w:t>
      </w:r>
      <w:r w:rsidR="009C1A4B" w:rsidRPr="00B202A8">
        <w:rPr>
          <w:rFonts w:ascii="Arial" w:hAnsi="Arial" w:cs="Arial"/>
          <w:color w:val="000000" w:themeColor="text1"/>
          <w:sz w:val="24"/>
          <w:szCs w:val="24"/>
        </w:rPr>
        <w:t xml:space="preserve">. Even though CVS's higher ratio can indicate a better financial foundation, it's important to determine whether assets are being used to their fullest potential. All things </w:t>
      </w:r>
      <w:r w:rsidR="004707C6" w:rsidRPr="00B202A8">
        <w:rPr>
          <w:rFonts w:ascii="Arial" w:hAnsi="Arial" w:cs="Arial"/>
          <w:color w:val="000000" w:themeColor="text1"/>
          <w:sz w:val="24"/>
          <w:szCs w:val="24"/>
        </w:rPr>
        <w:t>considered;</w:t>
      </w:r>
      <w:r w:rsidR="009C1A4B" w:rsidRPr="00B202A8">
        <w:rPr>
          <w:rFonts w:ascii="Arial" w:hAnsi="Arial" w:cs="Arial"/>
          <w:color w:val="000000" w:themeColor="text1"/>
          <w:sz w:val="24"/>
          <w:szCs w:val="24"/>
        </w:rPr>
        <w:t xml:space="preserve"> CVS looks to be in a stronger short-term financial position than WBA in 2023 based only on liquidity ratios.</w:t>
      </w:r>
    </w:p>
    <w:p w14:paraId="295A21D9" w14:textId="74F61BB0" w:rsidR="00AA0218" w:rsidRPr="00B202A8" w:rsidRDefault="003C68C9" w:rsidP="6486EC50">
      <w:pPr>
        <w:pStyle w:val="Heading2"/>
        <w:rPr>
          <w:rFonts w:ascii="Arial" w:hAnsi="Arial" w:cs="Arial"/>
          <w:b/>
          <w:color w:val="000000" w:themeColor="text1"/>
          <w:sz w:val="22"/>
          <w:szCs w:val="22"/>
          <w:u w:val="single"/>
        </w:rPr>
      </w:pPr>
      <w:bookmarkStart w:id="14" w:name="_Toc164848533"/>
      <w:r w:rsidRPr="00B202A8">
        <w:rPr>
          <w:rFonts w:ascii="Arial" w:hAnsi="Arial" w:cs="Arial"/>
          <w:color w:val="000000" w:themeColor="text1"/>
        </w:rPr>
        <w:lastRenderedPageBreak/>
        <w:t>Efficiency Ratio – WBA vs CVS (2023)</w:t>
      </w:r>
      <w:bookmarkEnd w:id="14"/>
    </w:p>
    <w:p w14:paraId="3CFBF206" w14:textId="4CA24352" w:rsidR="00107F8D" w:rsidRPr="00B202A8" w:rsidRDefault="008605A9" w:rsidP="6486EC50">
      <w:pPr>
        <w:rPr>
          <w:rFonts w:ascii="Arial" w:hAnsi="Arial" w:cs="Arial"/>
          <w:b/>
          <w:bCs/>
          <w:color w:val="000000" w:themeColor="text1"/>
          <w:sz w:val="24"/>
          <w:szCs w:val="24"/>
        </w:rPr>
      </w:pPr>
      <w:r w:rsidRPr="00B202A8">
        <w:rPr>
          <w:rFonts w:ascii="Arial" w:hAnsi="Arial" w:cs="Arial"/>
          <w:b/>
          <w:bCs/>
          <w:noProof/>
          <w:color w:val="000000" w:themeColor="text1"/>
          <w:sz w:val="24"/>
          <w:szCs w:val="24"/>
          <w14:ligatures w14:val="standardContextual"/>
        </w:rPr>
        <w:drawing>
          <wp:anchor distT="0" distB="0" distL="114300" distR="114300" simplePos="0" relativeHeight="251658240" behindDoc="0" locked="0" layoutInCell="1" allowOverlap="1" wp14:anchorId="7A4EE46F" wp14:editId="5EE4A568">
            <wp:simplePos x="0" y="0"/>
            <wp:positionH relativeFrom="column">
              <wp:posOffset>-29146</wp:posOffset>
            </wp:positionH>
            <wp:positionV relativeFrom="paragraph">
              <wp:posOffset>-3810</wp:posOffset>
            </wp:positionV>
            <wp:extent cx="3453115" cy="2083443"/>
            <wp:effectExtent l="0" t="0" r="1905" b="0"/>
            <wp:wrapSquare wrapText="bothSides"/>
            <wp:docPr id="1570884053" name="Picture 3" descr="A graph of efficiency rati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884053" name="Picture 3" descr="A graph of efficiency ratio&#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453115" cy="2083443"/>
                    </a:xfrm>
                    <a:prstGeom prst="rect">
                      <a:avLst/>
                    </a:prstGeom>
                  </pic:spPr>
                </pic:pic>
              </a:graphicData>
            </a:graphic>
            <wp14:sizeRelH relativeFrom="page">
              <wp14:pctWidth>0</wp14:pctWidth>
            </wp14:sizeRelH>
            <wp14:sizeRelV relativeFrom="page">
              <wp14:pctHeight>0</wp14:pctHeight>
            </wp14:sizeRelV>
          </wp:anchor>
        </w:drawing>
      </w:r>
      <w:r w:rsidR="00107F8D" w:rsidRPr="00B202A8">
        <w:rPr>
          <w:rFonts w:ascii="Arial" w:hAnsi="Arial" w:cs="Arial"/>
          <w:b/>
          <w:color w:val="000000" w:themeColor="text1"/>
          <w:sz w:val="24"/>
          <w:szCs w:val="24"/>
        </w:rPr>
        <w:t xml:space="preserve">Table 2.3 – Asset Turnover for </w:t>
      </w:r>
      <w:r w:rsidR="009A1E58" w:rsidRPr="00B202A8">
        <w:rPr>
          <w:rFonts w:ascii="Arial" w:hAnsi="Arial" w:cs="Arial"/>
          <w:b/>
          <w:color w:val="000000" w:themeColor="text1"/>
          <w:sz w:val="24"/>
          <w:szCs w:val="24"/>
        </w:rPr>
        <w:t>WBA and CVS (Source: Author)</w:t>
      </w:r>
    </w:p>
    <w:p w14:paraId="58BA169C" w14:textId="23873C51" w:rsidR="00CF1B39" w:rsidRPr="00B202A8" w:rsidRDefault="00CF1B39" w:rsidP="6486EC50">
      <w:pPr>
        <w:rPr>
          <w:rFonts w:ascii="Arial" w:hAnsi="Arial" w:cs="Arial"/>
          <w:color w:val="000000" w:themeColor="text1"/>
          <w:sz w:val="24"/>
          <w:szCs w:val="24"/>
        </w:rPr>
      </w:pPr>
      <w:r w:rsidRPr="00B202A8">
        <w:rPr>
          <w:rFonts w:ascii="Arial" w:hAnsi="Arial" w:cs="Arial"/>
          <w:color w:val="000000" w:themeColor="text1"/>
          <w:sz w:val="24"/>
          <w:szCs w:val="24"/>
        </w:rPr>
        <w:t xml:space="preserve">Looking at </w:t>
      </w:r>
      <w:r w:rsidR="00253893" w:rsidRPr="00B202A8">
        <w:rPr>
          <w:rFonts w:ascii="Arial" w:hAnsi="Arial" w:cs="Arial"/>
          <w:color w:val="000000" w:themeColor="text1"/>
          <w:sz w:val="24"/>
          <w:szCs w:val="24"/>
        </w:rPr>
        <w:t>the statistics</w:t>
      </w:r>
      <w:r w:rsidR="001D21E5" w:rsidRPr="00B202A8">
        <w:rPr>
          <w:rFonts w:ascii="Arial" w:hAnsi="Arial" w:cs="Arial"/>
          <w:color w:val="000000" w:themeColor="text1"/>
          <w:sz w:val="24"/>
          <w:szCs w:val="24"/>
        </w:rPr>
        <w:t xml:space="preserve"> (see table 2.3</w:t>
      </w:r>
      <w:r w:rsidR="007819B8" w:rsidRPr="00B202A8">
        <w:rPr>
          <w:rFonts w:ascii="Arial" w:hAnsi="Arial" w:cs="Arial"/>
          <w:color w:val="000000" w:themeColor="text1"/>
          <w:sz w:val="24"/>
          <w:szCs w:val="24"/>
        </w:rPr>
        <w:t>) above</w:t>
      </w:r>
      <w:r w:rsidR="00253893" w:rsidRPr="00B202A8">
        <w:rPr>
          <w:rFonts w:ascii="Arial" w:hAnsi="Arial" w:cs="Arial"/>
          <w:color w:val="000000" w:themeColor="text1"/>
          <w:sz w:val="24"/>
          <w:szCs w:val="24"/>
        </w:rPr>
        <w:t xml:space="preserve"> for</w:t>
      </w:r>
      <w:r w:rsidR="001D21E5" w:rsidRPr="00B202A8">
        <w:rPr>
          <w:rFonts w:ascii="Arial" w:hAnsi="Arial" w:cs="Arial"/>
          <w:color w:val="000000" w:themeColor="text1"/>
          <w:sz w:val="24"/>
          <w:szCs w:val="24"/>
        </w:rPr>
        <w:t xml:space="preserve"> the efficiency ratio</w:t>
      </w:r>
      <w:r w:rsidR="003017DE" w:rsidRPr="00B202A8">
        <w:rPr>
          <w:rFonts w:ascii="Arial" w:hAnsi="Arial" w:cs="Arial"/>
          <w:color w:val="000000" w:themeColor="text1"/>
          <w:sz w:val="24"/>
          <w:szCs w:val="24"/>
        </w:rPr>
        <w:t>, c</w:t>
      </w:r>
      <w:r w:rsidRPr="00B202A8">
        <w:rPr>
          <w:rFonts w:ascii="Arial" w:hAnsi="Arial" w:cs="Arial"/>
          <w:color w:val="000000" w:themeColor="text1"/>
          <w:sz w:val="24"/>
          <w:szCs w:val="24"/>
        </w:rPr>
        <w:t>ompared to CVS Health</w:t>
      </w:r>
      <w:r w:rsidR="00162736" w:rsidRPr="00B202A8">
        <w:rPr>
          <w:rFonts w:ascii="Arial" w:hAnsi="Arial" w:cs="Arial"/>
          <w:color w:val="000000" w:themeColor="text1"/>
          <w:sz w:val="24"/>
          <w:szCs w:val="24"/>
        </w:rPr>
        <w:t xml:space="preserve"> Corporation</w:t>
      </w:r>
      <w:r w:rsidRPr="00B202A8">
        <w:rPr>
          <w:rFonts w:ascii="Arial" w:hAnsi="Arial" w:cs="Arial"/>
          <w:color w:val="000000" w:themeColor="text1"/>
          <w:sz w:val="24"/>
          <w:szCs w:val="24"/>
        </w:rPr>
        <w:t>, which had an efficiency ratio of 143.27% in 2023, Walgreens Boots Alliance</w:t>
      </w:r>
      <w:r w:rsidR="00162736" w:rsidRPr="00B202A8">
        <w:rPr>
          <w:rFonts w:ascii="Arial" w:hAnsi="Arial" w:cs="Arial"/>
          <w:color w:val="000000" w:themeColor="text1"/>
          <w:sz w:val="24"/>
          <w:szCs w:val="24"/>
        </w:rPr>
        <w:t xml:space="preserve"> </w:t>
      </w:r>
      <w:r w:rsidRPr="00B202A8">
        <w:rPr>
          <w:rFonts w:ascii="Arial" w:hAnsi="Arial" w:cs="Arial"/>
          <w:color w:val="000000" w:themeColor="text1"/>
          <w:sz w:val="24"/>
          <w:szCs w:val="24"/>
        </w:rPr>
        <w:t xml:space="preserve">demonstrated a </w:t>
      </w:r>
      <w:r w:rsidR="004A40AE" w:rsidRPr="00B202A8">
        <w:rPr>
          <w:rFonts w:ascii="Arial" w:hAnsi="Arial" w:cs="Arial"/>
          <w:color w:val="000000" w:themeColor="text1"/>
          <w:sz w:val="24"/>
          <w:szCs w:val="24"/>
        </w:rPr>
        <w:t xml:space="preserve">slightly higher </w:t>
      </w:r>
      <w:r w:rsidRPr="00B202A8">
        <w:rPr>
          <w:rFonts w:ascii="Arial" w:hAnsi="Arial" w:cs="Arial"/>
          <w:color w:val="000000" w:themeColor="text1"/>
          <w:sz w:val="24"/>
          <w:szCs w:val="24"/>
        </w:rPr>
        <w:t xml:space="preserve">ratio of 143.93%. The efficiency ratio calculates a business's revenue-generating capacity based on how well it uses its assets and liabilities. Even while WBA's higher ratio points to somewhat greater asset utilisation, </w:t>
      </w:r>
      <w:r w:rsidR="004A40AE" w:rsidRPr="00B202A8">
        <w:rPr>
          <w:rFonts w:ascii="Arial" w:hAnsi="Arial" w:cs="Arial"/>
          <w:color w:val="000000" w:themeColor="text1"/>
          <w:sz w:val="24"/>
          <w:szCs w:val="24"/>
        </w:rPr>
        <w:t xml:space="preserve">the difference between both </w:t>
      </w:r>
      <w:r w:rsidR="00A33E3E" w:rsidRPr="00B202A8">
        <w:rPr>
          <w:rFonts w:ascii="Arial" w:hAnsi="Arial" w:cs="Arial"/>
          <w:color w:val="000000" w:themeColor="text1"/>
          <w:sz w:val="24"/>
          <w:szCs w:val="24"/>
        </w:rPr>
        <w:t>companies’</w:t>
      </w:r>
      <w:r w:rsidR="000D25D0" w:rsidRPr="00B202A8">
        <w:rPr>
          <w:rFonts w:ascii="Arial" w:hAnsi="Arial" w:cs="Arial"/>
          <w:color w:val="000000" w:themeColor="text1"/>
          <w:sz w:val="24"/>
          <w:szCs w:val="24"/>
        </w:rPr>
        <w:t xml:space="preserve"> asset turnover is minimal </w:t>
      </w:r>
      <w:r w:rsidR="003B330E" w:rsidRPr="00B202A8">
        <w:rPr>
          <w:rFonts w:ascii="Arial" w:hAnsi="Arial" w:cs="Arial"/>
          <w:color w:val="000000" w:themeColor="text1"/>
          <w:sz w:val="24"/>
          <w:szCs w:val="24"/>
        </w:rPr>
        <w:t xml:space="preserve">which shows that in </w:t>
      </w:r>
      <w:r w:rsidR="00DF554E" w:rsidRPr="00B202A8">
        <w:rPr>
          <w:rFonts w:ascii="Arial" w:hAnsi="Arial" w:cs="Arial"/>
          <w:color w:val="000000" w:themeColor="text1"/>
          <w:sz w:val="24"/>
          <w:szCs w:val="24"/>
        </w:rPr>
        <w:t>this criterion</w:t>
      </w:r>
      <w:r w:rsidR="003B330E" w:rsidRPr="00B202A8">
        <w:rPr>
          <w:rFonts w:ascii="Arial" w:hAnsi="Arial" w:cs="Arial"/>
          <w:color w:val="000000" w:themeColor="text1"/>
          <w:sz w:val="24"/>
          <w:szCs w:val="24"/>
        </w:rPr>
        <w:t xml:space="preserve">, </w:t>
      </w:r>
      <w:r w:rsidR="00BE77D8" w:rsidRPr="00B202A8">
        <w:rPr>
          <w:rFonts w:ascii="Arial" w:hAnsi="Arial" w:cs="Arial"/>
          <w:color w:val="000000" w:themeColor="text1"/>
          <w:sz w:val="24"/>
          <w:szCs w:val="24"/>
        </w:rPr>
        <w:t>both companies are</w:t>
      </w:r>
      <w:r w:rsidR="002C3958" w:rsidRPr="00B202A8">
        <w:rPr>
          <w:rFonts w:ascii="Arial" w:hAnsi="Arial" w:cs="Arial"/>
          <w:color w:val="000000" w:themeColor="text1"/>
          <w:sz w:val="24"/>
          <w:szCs w:val="24"/>
        </w:rPr>
        <w:t xml:space="preserve"> most likely utilising similar strategies to keep them under control.</w:t>
      </w:r>
      <w:r w:rsidR="005A6741" w:rsidRPr="00B202A8">
        <w:rPr>
          <w:rFonts w:ascii="Arial" w:hAnsi="Arial" w:cs="Arial"/>
          <w:color w:val="000000" w:themeColor="text1"/>
          <w:sz w:val="24"/>
          <w:szCs w:val="24"/>
        </w:rPr>
        <w:t xml:space="preserve"> However, when looking at the last three consecutive years, there is a clear </w:t>
      </w:r>
      <w:r w:rsidR="00200F7F" w:rsidRPr="00B202A8">
        <w:rPr>
          <w:rFonts w:ascii="Arial" w:hAnsi="Arial" w:cs="Arial"/>
          <w:color w:val="000000" w:themeColor="text1"/>
          <w:sz w:val="24"/>
          <w:szCs w:val="24"/>
        </w:rPr>
        <w:t>spike</w:t>
      </w:r>
      <w:r w:rsidR="00F53396" w:rsidRPr="00B202A8">
        <w:rPr>
          <w:rFonts w:ascii="Arial" w:hAnsi="Arial" w:cs="Arial"/>
          <w:color w:val="000000" w:themeColor="text1"/>
          <w:sz w:val="24"/>
          <w:szCs w:val="24"/>
        </w:rPr>
        <w:t xml:space="preserve"> then drop</w:t>
      </w:r>
      <w:r w:rsidR="00200F7F" w:rsidRPr="00B202A8">
        <w:rPr>
          <w:rFonts w:ascii="Arial" w:hAnsi="Arial" w:cs="Arial"/>
          <w:color w:val="000000" w:themeColor="text1"/>
          <w:sz w:val="24"/>
          <w:szCs w:val="24"/>
        </w:rPr>
        <w:t xml:space="preserve"> </w:t>
      </w:r>
      <w:r w:rsidR="00580DA3" w:rsidRPr="00B202A8">
        <w:rPr>
          <w:rFonts w:ascii="Arial" w:hAnsi="Arial" w:cs="Arial"/>
          <w:color w:val="000000" w:themeColor="text1"/>
          <w:sz w:val="24"/>
          <w:szCs w:val="24"/>
        </w:rPr>
        <w:t>regarding</w:t>
      </w:r>
      <w:r w:rsidR="00200F7F" w:rsidRPr="00B202A8">
        <w:rPr>
          <w:rFonts w:ascii="Arial" w:hAnsi="Arial" w:cs="Arial"/>
          <w:color w:val="000000" w:themeColor="text1"/>
          <w:sz w:val="24"/>
          <w:szCs w:val="24"/>
        </w:rPr>
        <w:t xml:space="preserve"> WBA, whilst CVS is consistent with slight increases around 2022</w:t>
      </w:r>
      <w:r w:rsidR="00315CA6" w:rsidRPr="00B202A8">
        <w:rPr>
          <w:rFonts w:ascii="Arial" w:hAnsi="Arial" w:cs="Arial"/>
          <w:color w:val="000000" w:themeColor="text1"/>
          <w:sz w:val="24"/>
          <w:szCs w:val="24"/>
        </w:rPr>
        <w:t xml:space="preserve"> onwards. </w:t>
      </w:r>
    </w:p>
    <w:p w14:paraId="099622AF" w14:textId="475903A4" w:rsidR="00F85FDF" w:rsidRPr="00B202A8" w:rsidRDefault="00D2756D" w:rsidP="6486EC50">
      <w:pPr>
        <w:pStyle w:val="Heading2"/>
        <w:rPr>
          <w:rFonts w:ascii="Arial" w:hAnsi="Arial" w:cs="Arial"/>
          <w:b/>
          <w:color w:val="000000" w:themeColor="text1"/>
          <w:sz w:val="22"/>
          <w:szCs w:val="22"/>
        </w:rPr>
      </w:pPr>
      <w:bookmarkStart w:id="15" w:name="_Toc164848534"/>
      <w:r w:rsidRPr="00B202A8">
        <w:rPr>
          <w:rFonts w:ascii="Arial" w:hAnsi="Arial" w:cs="Arial"/>
          <w:noProof/>
          <w:color w:val="000000" w:themeColor="text1"/>
          <w:sz w:val="24"/>
          <w:szCs w:val="24"/>
          <w14:ligatures w14:val="standardContextual"/>
        </w:rPr>
        <w:drawing>
          <wp:anchor distT="0" distB="0" distL="114300" distR="114300" simplePos="0" relativeHeight="251658241" behindDoc="0" locked="0" layoutInCell="1" allowOverlap="1" wp14:anchorId="2FC377B3" wp14:editId="379DD214">
            <wp:simplePos x="0" y="0"/>
            <wp:positionH relativeFrom="column">
              <wp:posOffset>40005</wp:posOffset>
            </wp:positionH>
            <wp:positionV relativeFrom="paragraph">
              <wp:posOffset>313577</wp:posOffset>
            </wp:positionV>
            <wp:extent cx="3495554" cy="2109049"/>
            <wp:effectExtent l="0" t="0" r="0" b="0"/>
            <wp:wrapSquare wrapText="bothSides"/>
            <wp:docPr id="1309655314" name="Picture 4" descr="A graph with numbers and a number of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655314" name="Picture 4" descr="A graph with numbers and a number of bar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3495554" cy="2109049"/>
                    </a:xfrm>
                    <a:prstGeom prst="rect">
                      <a:avLst/>
                    </a:prstGeom>
                  </pic:spPr>
                </pic:pic>
              </a:graphicData>
            </a:graphic>
            <wp14:sizeRelH relativeFrom="page">
              <wp14:pctWidth>0</wp14:pctWidth>
            </wp14:sizeRelH>
            <wp14:sizeRelV relativeFrom="page">
              <wp14:pctHeight>0</wp14:pctHeight>
            </wp14:sizeRelV>
          </wp:anchor>
        </w:drawing>
      </w:r>
      <w:r w:rsidR="003C68C9" w:rsidRPr="00B202A8">
        <w:rPr>
          <w:rFonts w:ascii="Arial" w:hAnsi="Arial" w:cs="Arial"/>
          <w:color w:val="000000" w:themeColor="text1"/>
        </w:rPr>
        <w:t xml:space="preserve">Gearing Ratio </w:t>
      </w:r>
      <w:r w:rsidR="00A67315" w:rsidRPr="00B202A8">
        <w:rPr>
          <w:rFonts w:ascii="Arial" w:hAnsi="Arial" w:cs="Arial"/>
          <w:color w:val="000000" w:themeColor="text1"/>
        </w:rPr>
        <w:t>– WBA vs CVS (2023)</w:t>
      </w:r>
      <w:bookmarkEnd w:id="15"/>
    </w:p>
    <w:p w14:paraId="6EFD225A" w14:textId="423D7190" w:rsidR="009A1E58" w:rsidRPr="00B202A8" w:rsidRDefault="009A1E58" w:rsidP="6486EC50">
      <w:pPr>
        <w:rPr>
          <w:rFonts w:ascii="Arial" w:hAnsi="Arial" w:cs="Arial"/>
          <w:b/>
          <w:bCs/>
          <w:color w:val="000000" w:themeColor="text1"/>
          <w:sz w:val="24"/>
          <w:szCs w:val="24"/>
        </w:rPr>
      </w:pPr>
      <w:r w:rsidRPr="00B202A8">
        <w:rPr>
          <w:rFonts w:ascii="Arial" w:hAnsi="Arial" w:cs="Arial"/>
          <w:b/>
          <w:color w:val="000000" w:themeColor="text1"/>
          <w:sz w:val="24"/>
          <w:szCs w:val="24"/>
        </w:rPr>
        <w:t>Table 2.4 – Debt – To – Asset Ratio for WBA and CVS (Source: Author)</w:t>
      </w:r>
    </w:p>
    <w:p w14:paraId="6F859995" w14:textId="4AE04D63" w:rsidR="00F85FDF" w:rsidRPr="00B202A8" w:rsidRDefault="00AB308E">
      <w:pPr>
        <w:rPr>
          <w:rFonts w:ascii="Arial" w:hAnsi="Arial" w:cs="Arial"/>
          <w:color w:val="000000" w:themeColor="text1"/>
          <w:sz w:val="24"/>
          <w:szCs w:val="24"/>
        </w:rPr>
      </w:pPr>
      <w:r w:rsidRPr="00B202A8">
        <w:rPr>
          <w:rFonts w:ascii="Arial" w:hAnsi="Arial" w:cs="Arial"/>
          <w:color w:val="000000" w:themeColor="text1"/>
          <w:sz w:val="24"/>
          <w:szCs w:val="24"/>
        </w:rPr>
        <w:t>Drawing from the source provided (see table</w:t>
      </w:r>
      <w:r w:rsidR="00162736" w:rsidRPr="00B202A8">
        <w:rPr>
          <w:rFonts w:ascii="Arial" w:hAnsi="Arial" w:cs="Arial"/>
          <w:color w:val="000000" w:themeColor="text1"/>
          <w:sz w:val="24"/>
          <w:szCs w:val="24"/>
        </w:rPr>
        <w:t xml:space="preserve"> 2.4)</w:t>
      </w:r>
      <w:r w:rsidRPr="00B202A8">
        <w:rPr>
          <w:rFonts w:ascii="Arial" w:hAnsi="Arial" w:cs="Arial"/>
          <w:color w:val="000000" w:themeColor="text1"/>
          <w:sz w:val="24"/>
          <w:szCs w:val="24"/>
        </w:rPr>
        <w:t xml:space="preserve"> </w:t>
      </w:r>
      <w:r w:rsidR="00726225" w:rsidRPr="00B202A8">
        <w:rPr>
          <w:rFonts w:ascii="Arial" w:hAnsi="Arial" w:cs="Arial"/>
          <w:color w:val="000000" w:themeColor="text1"/>
          <w:sz w:val="24"/>
          <w:szCs w:val="24"/>
        </w:rPr>
        <w:t>CVS</w:t>
      </w:r>
      <w:r w:rsidRPr="00B202A8">
        <w:rPr>
          <w:rFonts w:ascii="Arial" w:hAnsi="Arial" w:cs="Arial"/>
          <w:color w:val="000000" w:themeColor="text1"/>
          <w:sz w:val="24"/>
          <w:szCs w:val="24"/>
        </w:rPr>
        <w:t xml:space="preserve"> Health Corporation</w:t>
      </w:r>
      <w:r w:rsidR="00726225" w:rsidRPr="00B202A8">
        <w:rPr>
          <w:rFonts w:ascii="Arial" w:hAnsi="Arial" w:cs="Arial"/>
          <w:color w:val="000000" w:themeColor="text1"/>
          <w:sz w:val="24"/>
          <w:szCs w:val="24"/>
        </w:rPr>
        <w:t xml:space="preserve">, which had a gearing ratio of 69.38% in 2023, </w:t>
      </w:r>
      <w:r w:rsidR="00162736" w:rsidRPr="00B202A8">
        <w:rPr>
          <w:rFonts w:ascii="Arial" w:hAnsi="Arial" w:cs="Arial"/>
          <w:color w:val="000000" w:themeColor="text1"/>
          <w:sz w:val="24"/>
          <w:szCs w:val="24"/>
        </w:rPr>
        <w:t xml:space="preserve">had a lower ration compared to </w:t>
      </w:r>
      <w:r w:rsidR="00726225" w:rsidRPr="00B202A8">
        <w:rPr>
          <w:rFonts w:ascii="Arial" w:hAnsi="Arial" w:cs="Arial"/>
          <w:color w:val="000000" w:themeColor="text1"/>
          <w:sz w:val="24"/>
          <w:szCs w:val="24"/>
        </w:rPr>
        <w:t>W</w:t>
      </w:r>
      <w:r w:rsidRPr="00B202A8">
        <w:rPr>
          <w:rFonts w:ascii="Arial" w:hAnsi="Arial" w:cs="Arial"/>
          <w:color w:val="000000" w:themeColor="text1"/>
          <w:sz w:val="24"/>
          <w:szCs w:val="24"/>
        </w:rPr>
        <w:t>algreens Boots Alliance</w:t>
      </w:r>
      <w:r w:rsidR="00726225" w:rsidRPr="00B202A8">
        <w:rPr>
          <w:rFonts w:ascii="Arial" w:hAnsi="Arial" w:cs="Arial"/>
          <w:color w:val="000000" w:themeColor="text1"/>
          <w:sz w:val="24"/>
          <w:szCs w:val="24"/>
        </w:rPr>
        <w:t xml:space="preserve"> </w:t>
      </w:r>
      <w:r w:rsidR="00162736" w:rsidRPr="00B202A8">
        <w:rPr>
          <w:rFonts w:ascii="Arial" w:hAnsi="Arial" w:cs="Arial"/>
          <w:color w:val="000000" w:themeColor="text1"/>
          <w:sz w:val="24"/>
          <w:szCs w:val="24"/>
        </w:rPr>
        <w:t xml:space="preserve">which </w:t>
      </w:r>
      <w:r w:rsidR="00726225" w:rsidRPr="00B202A8">
        <w:rPr>
          <w:rFonts w:ascii="Arial" w:hAnsi="Arial" w:cs="Arial"/>
          <w:color w:val="000000" w:themeColor="text1"/>
          <w:sz w:val="24"/>
          <w:szCs w:val="24"/>
        </w:rPr>
        <w:t xml:space="preserve">had a ratio of 79.11%, showing a larger percentage of debt in its capital structure. A greater gearing ratio implies that WBA depends more on debt financing, which could be a sign of heightened financial risk because of higher interest rates and possible difficulties repaying debt. </w:t>
      </w:r>
      <w:r w:rsidR="002B060C" w:rsidRPr="00B202A8">
        <w:rPr>
          <w:rFonts w:ascii="Arial" w:hAnsi="Arial" w:cs="Arial"/>
          <w:color w:val="000000" w:themeColor="text1"/>
          <w:sz w:val="24"/>
          <w:szCs w:val="24"/>
        </w:rPr>
        <w:t xml:space="preserve">CVS have always kept a low percentage, although, in 2020 there was a higher </w:t>
      </w:r>
      <w:r w:rsidR="005630A3" w:rsidRPr="00B202A8">
        <w:rPr>
          <w:rFonts w:ascii="Arial" w:hAnsi="Arial" w:cs="Arial"/>
          <w:color w:val="000000" w:themeColor="text1"/>
          <w:sz w:val="24"/>
          <w:szCs w:val="24"/>
        </w:rPr>
        <w:t>percentage,</w:t>
      </w:r>
      <w:r w:rsidR="002B060C" w:rsidRPr="00B202A8">
        <w:rPr>
          <w:rFonts w:ascii="Arial" w:hAnsi="Arial" w:cs="Arial"/>
          <w:color w:val="000000" w:themeColor="text1"/>
          <w:sz w:val="24"/>
          <w:szCs w:val="24"/>
        </w:rPr>
        <w:t xml:space="preserve"> but this could have been due to COVID-19</w:t>
      </w:r>
      <w:r w:rsidR="005630A3" w:rsidRPr="00B202A8">
        <w:rPr>
          <w:rFonts w:ascii="Arial" w:hAnsi="Arial" w:cs="Arial"/>
          <w:color w:val="000000" w:themeColor="text1"/>
          <w:sz w:val="24"/>
          <w:szCs w:val="24"/>
        </w:rPr>
        <w:t xml:space="preserve">. </w:t>
      </w:r>
      <w:r w:rsidR="00726225" w:rsidRPr="00B202A8">
        <w:rPr>
          <w:rFonts w:ascii="Arial" w:hAnsi="Arial" w:cs="Arial"/>
          <w:color w:val="000000" w:themeColor="text1"/>
          <w:sz w:val="24"/>
          <w:szCs w:val="24"/>
        </w:rPr>
        <w:t xml:space="preserve">The lower gearing ratio of CVS, on the other hand, </w:t>
      </w:r>
      <w:r w:rsidR="00726225" w:rsidRPr="00B202A8">
        <w:rPr>
          <w:rFonts w:ascii="Arial" w:hAnsi="Arial" w:cs="Arial"/>
          <w:color w:val="000000" w:themeColor="text1"/>
          <w:sz w:val="24"/>
          <w:szCs w:val="24"/>
        </w:rPr>
        <w:t>s</w:t>
      </w:r>
      <w:r w:rsidR="00726225" w:rsidRPr="00B202A8">
        <w:rPr>
          <w:rFonts w:ascii="Arial" w:hAnsi="Arial" w:cs="Arial"/>
          <w:color w:val="000000" w:themeColor="text1"/>
          <w:sz w:val="24"/>
          <w:szCs w:val="24"/>
        </w:rPr>
        <w:t>uggests a more cautious approach to financing and may provide more stability and flexibility in handling the company's financial responsibilities and investment choices.</w:t>
      </w:r>
      <w:r w:rsidR="004E30D4" w:rsidRPr="00B202A8">
        <w:rPr>
          <w:rFonts w:ascii="Arial" w:hAnsi="Arial" w:cs="Arial"/>
          <w:color w:val="000000" w:themeColor="text1"/>
          <w:sz w:val="24"/>
          <w:szCs w:val="24"/>
        </w:rPr>
        <w:t xml:space="preserve"> </w:t>
      </w:r>
    </w:p>
    <w:p w14:paraId="0AA0BD54" w14:textId="77777777" w:rsidR="00F85FDF" w:rsidRPr="004D76C4" w:rsidRDefault="00F85FDF">
      <w:pPr>
        <w:rPr>
          <w:rFonts w:ascii="Arial" w:hAnsi="Arial" w:cs="Arial"/>
          <w:color w:val="000000" w:themeColor="text1"/>
          <w:sz w:val="24"/>
          <w:szCs w:val="24"/>
        </w:rPr>
      </w:pPr>
    </w:p>
    <w:p w14:paraId="649D05C5" w14:textId="77777777" w:rsidR="00354CA8" w:rsidRPr="004D76C4" w:rsidRDefault="00354CA8">
      <w:pPr>
        <w:rPr>
          <w:rFonts w:ascii="Arial" w:hAnsi="Arial" w:cs="Arial"/>
          <w:b/>
          <w:bCs/>
          <w:color w:val="000000" w:themeColor="text1"/>
          <w:sz w:val="24"/>
          <w:szCs w:val="24"/>
        </w:rPr>
      </w:pPr>
    </w:p>
    <w:p w14:paraId="26823FDD" w14:textId="77777777" w:rsidR="0060007B" w:rsidRPr="004D76C4" w:rsidRDefault="0060007B">
      <w:pPr>
        <w:rPr>
          <w:rFonts w:ascii="Arial" w:hAnsi="Arial" w:cs="Arial"/>
          <w:color w:val="000000" w:themeColor="text1"/>
          <w:sz w:val="24"/>
          <w:szCs w:val="24"/>
        </w:rPr>
      </w:pPr>
    </w:p>
    <w:p w14:paraId="6ABA35C5" w14:textId="77777777" w:rsidR="00354CA8" w:rsidRPr="004D76C4" w:rsidRDefault="00354CA8">
      <w:pPr>
        <w:rPr>
          <w:rFonts w:ascii="Arial" w:hAnsi="Arial" w:cs="Arial"/>
          <w:color w:val="000000" w:themeColor="text1"/>
          <w:sz w:val="24"/>
          <w:szCs w:val="24"/>
        </w:rPr>
      </w:pPr>
    </w:p>
    <w:p w14:paraId="1EB7AEF0" w14:textId="77777777" w:rsidR="00C417AB" w:rsidRDefault="00C417AB">
      <w:pPr>
        <w:rPr>
          <w:rFonts w:ascii="Arial" w:hAnsi="Arial" w:cs="Arial"/>
          <w:color w:val="000000" w:themeColor="text1"/>
          <w:sz w:val="24"/>
          <w:szCs w:val="24"/>
        </w:rPr>
      </w:pPr>
    </w:p>
    <w:p w14:paraId="383DDC86" w14:textId="77777777" w:rsidR="00B202A8" w:rsidRPr="004D76C4" w:rsidRDefault="00B202A8">
      <w:pPr>
        <w:rPr>
          <w:rFonts w:ascii="Arial" w:hAnsi="Arial" w:cs="Arial"/>
          <w:color w:val="000000" w:themeColor="text1"/>
          <w:sz w:val="24"/>
          <w:szCs w:val="24"/>
        </w:rPr>
      </w:pPr>
    </w:p>
    <w:p w14:paraId="6D674A1E" w14:textId="3B1A0468" w:rsidR="00F85FDF" w:rsidRPr="00064015" w:rsidRDefault="00354CA8" w:rsidP="020B620D">
      <w:pPr>
        <w:pStyle w:val="Heading1"/>
        <w:rPr>
          <w:rFonts w:ascii="Arial" w:hAnsi="Arial" w:cs="Arial"/>
          <w:b/>
          <w:bCs/>
          <w:i/>
          <w:iCs/>
          <w:color w:val="000000" w:themeColor="text1"/>
          <w:sz w:val="22"/>
          <w:szCs w:val="22"/>
        </w:rPr>
      </w:pPr>
      <w:bookmarkStart w:id="16" w:name="_Toc164848535"/>
      <w:r w:rsidRPr="00064015">
        <w:rPr>
          <w:rFonts w:ascii="Arial" w:hAnsi="Arial" w:cs="Arial"/>
          <w:b/>
          <w:bCs/>
          <w:i/>
          <w:iCs/>
          <w:color w:val="000000" w:themeColor="text1"/>
        </w:rPr>
        <w:lastRenderedPageBreak/>
        <w:t>Recommendations</w:t>
      </w:r>
      <w:r w:rsidR="00FB5199" w:rsidRPr="00064015">
        <w:rPr>
          <w:rFonts w:ascii="Arial" w:hAnsi="Arial" w:cs="Arial"/>
          <w:b/>
          <w:bCs/>
          <w:i/>
          <w:iCs/>
          <w:color w:val="000000" w:themeColor="text1"/>
        </w:rPr>
        <w:t>:</w:t>
      </w:r>
      <w:bookmarkEnd w:id="16"/>
    </w:p>
    <w:p w14:paraId="3851CA56" w14:textId="02D92B46" w:rsidR="00FB5199" w:rsidRPr="00B202A8" w:rsidRDefault="0044232D" w:rsidP="00FB5199">
      <w:pPr>
        <w:rPr>
          <w:rFonts w:ascii="Arial" w:hAnsi="Arial" w:cs="Arial"/>
          <w:color w:val="000000" w:themeColor="text1"/>
          <w:sz w:val="24"/>
          <w:szCs w:val="24"/>
        </w:rPr>
      </w:pPr>
      <w:r w:rsidRPr="00B202A8">
        <w:rPr>
          <w:rFonts w:ascii="Arial" w:hAnsi="Arial" w:cs="Arial"/>
          <w:color w:val="000000" w:themeColor="text1"/>
          <w:sz w:val="24"/>
          <w:szCs w:val="24"/>
        </w:rPr>
        <w:t xml:space="preserve">For this part of the report, recommendations will be made to </w:t>
      </w:r>
      <w:r w:rsidR="00F11610" w:rsidRPr="00B202A8">
        <w:rPr>
          <w:rFonts w:ascii="Arial" w:hAnsi="Arial" w:cs="Arial"/>
          <w:color w:val="000000" w:themeColor="text1"/>
          <w:sz w:val="24"/>
          <w:szCs w:val="24"/>
        </w:rPr>
        <w:t xml:space="preserve">show how Walgreen Boots Alliance may navigate the complex </w:t>
      </w:r>
      <w:r w:rsidR="00051CA5" w:rsidRPr="00B202A8">
        <w:rPr>
          <w:rFonts w:ascii="Arial" w:hAnsi="Arial" w:cs="Arial"/>
          <w:color w:val="000000" w:themeColor="text1"/>
          <w:sz w:val="24"/>
          <w:szCs w:val="24"/>
        </w:rPr>
        <w:t xml:space="preserve">financial landscape to keep ahead of competitors such as CVS Health Corporation, </w:t>
      </w:r>
      <w:r w:rsidR="006D27CB" w:rsidRPr="00B202A8">
        <w:rPr>
          <w:rFonts w:ascii="Arial" w:hAnsi="Arial" w:cs="Arial"/>
          <w:color w:val="000000" w:themeColor="text1"/>
          <w:sz w:val="24"/>
          <w:szCs w:val="24"/>
        </w:rPr>
        <w:t>Walmart,</w:t>
      </w:r>
      <w:r w:rsidR="00051CA5" w:rsidRPr="00B202A8">
        <w:rPr>
          <w:rFonts w:ascii="Arial" w:hAnsi="Arial" w:cs="Arial"/>
          <w:color w:val="000000" w:themeColor="text1"/>
          <w:sz w:val="24"/>
          <w:szCs w:val="24"/>
        </w:rPr>
        <w:t xml:space="preserve"> and </w:t>
      </w:r>
      <w:r w:rsidR="00220116" w:rsidRPr="00B202A8">
        <w:rPr>
          <w:rFonts w:ascii="Arial" w:hAnsi="Arial" w:cs="Arial"/>
          <w:color w:val="000000" w:themeColor="text1"/>
          <w:sz w:val="24"/>
          <w:szCs w:val="24"/>
        </w:rPr>
        <w:t xml:space="preserve">Target. It is important that </w:t>
      </w:r>
      <w:r w:rsidR="00967041" w:rsidRPr="00B202A8">
        <w:rPr>
          <w:rFonts w:ascii="Arial" w:hAnsi="Arial" w:cs="Arial"/>
          <w:color w:val="000000" w:themeColor="text1"/>
          <w:sz w:val="24"/>
          <w:szCs w:val="24"/>
        </w:rPr>
        <w:t xml:space="preserve">WBA </w:t>
      </w:r>
      <w:r w:rsidR="00571E51" w:rsidRPr="00B202A8">
        <w:rPr>
          <w:rFonts w:ascii="Arial" w:hAnsi="Arial" w:cs="Arial"/>
          <w:color w:val="000000" w:themeColor="text1"/>
          <w:sz w:val="24"/>
          <w:szCs w:val="24"/>
        </w:rPr>
        <w:t xml:space="preserve">takes into consideration the most current financial year to introduce new strategies for improvement. </w:t>
      </w:r>
      <w:r w:rsidR="00270F52" w:rsidRPr="00B202A8">
        <w:rPr>
          <w:rFonts w:ascii="Arial" w:hAnsi="Arial" w:cs="Arial"/>
          <w:color w:val="000000" w:themeColor="text1"/>
          <w:sz w:val="24"/>
          <w:szCs w:val="24"/>
        </w:rPr>
        <w:t xml:space="preserve">The recommendations made should also reflect issues faced in the last 5 years within the company that could improve with a strategic change. </w:t>
      </w:r>
    </w:p>
    <w:p w14:paraId="2D67E503" w14:textId="02B08AA8" w:rsidR="00863C5E" w:rsidRPr="00B202A8" w:rsidRDefault="004439C7" w:rsidP="00A76E66">
      <w:pPr>
        <w:pStyle w:val="ListParagraph"/>
        <w:numPr>
          <w:ilvl w:val="1"/>
          <w:numId w:val="1"/>
        </w:numPr>
        <w:spacing w:after="0" w:line="276" w:lineRule="auto"/>
        <w:rPr>
          <w:rFonts w:ascii="Arial" w:hAnsi="Arial" w:cs="Arial"/>
          <w:b/>
          <w:color w:val="000000" w:themeColor="text1"/>
          <w:sz w:val="24"/>
          <w:szCs w:val="24"/>
        </w:rPr>
      </w:pPr>
      <w:r w:rsidRPr="00B202A8">
        <w:rPr>
          <w:rFonts w:ascii="Arial" w:hAnsi="Arial" w:cs="Arial"/>
          <w:b/>
          <w:color w:val="000000" w:themeColor="text1"/>
          <w:sz w:val="24"/>
          <w:szCs w:val="24"/>
        </w:rPr>
        <w:t xml:space="preserve">Profitability </w:t>
      </w:r>
      <w:r w:rsidRPr="00B202A8">
        <w:rPr>
          <w:rFonts w:ascii="Arial" w:hAnsi="Arial" w:cs="Arial"/>
          <w:color w:val="000000" w:themeColor="text1"/>
          <w:sz w:val="24"/>
          <w:szCs w:val="24"/>
        </w:rPr>
        <w:t>within a business is very important. If WBA is not able to remain profitable, it</w:t>
      </w:r>
      <w:r w:rsidR="00F90704" w:rsidRPr="00B202A8">
        <w:rPr>
          <w:rFonts w:ascii="Arial" w:hAnsi="Arial" w:cs="Arial"/>
          <w:color w:val="000000" w:themeColor="text1"/>
          <w:sz w:val="24"/>
          <w:szCs w:val="24"/>
        </w:rPr>
        <w:t xml:space="preserve"> </w:t>
      </w:r>
      <w:r w:rsidRPr="00B202A8">
        <w:rPr>
          <w:rFonts w:ascii="Arial" w:hAnsi="Arial" w:cs="Arial"/>
          <w:color w:val="000000" w:themeColor="text1"/>
          <w:sz w:val="24"/>
          <w:szCs w:val="24"/>
        </w:rPr>
        <w:t>may face issues of liquidation in the future as organisations need</w:t>
      </w:r>
      <w:r w:rsidR="003A3C87" w:rsidRPr="00B202A8">
        <w:rPr>
          <w:rFonts w:ascii="Arial" w:hAnsi="Arial" w:cs="Arial"/>
          <w:color w:val="000000" w:themeColor="text1"/>
          <w:sz w:val="24"/>
          <w:szCs w:val="24"/>
        </w:rPr>
        <w:t xml:space="preserve"> to be able to cover finances in all areas of the business. It is also important that a business has a </w:t>
      </w:r>
      <w:r w:rsidR="00363AD2" w:rsidRPr="00B202A8">
        <w:rPr>
          <w:rFonts w:ascii="Arial" w:hAnsi="Arial" w:cs="Arial"/>
          <w:color w:val="000000" w:themeColor="text1"/>
          <w:sz w:val="24"/>
          <w:szCs w:val="24"/>
        </w:rPr>
        <w:t>contingency</w:t>
      </w:r>
      <w:r w:rsidR="003A3C87" w:rsidRPr="00B202A8">
        <w:rPr>
          <w:rFonts w:ascii="Arial" w:hAnsi="Arial" w:cs="Arial"/>
          <w:color w:val="000000" w:themeColor="text1"/>
          <w:sz w:val="24"/>
          <w:szCs w:val="24"/>
        </w:rPr>
        <w:t xml:space="preserve"> fund for any issues that may arise. The first recommendation that can be made is maintaining and improving</w:t>
      </w:r>
      <w:r w:rsidR="00363AD2" w:rsidRPr="00B202A8">
        <w:rPr>
          <w:rFonts w:ascii="Arial" w:hAnsi="Arial" w:cs="Arial"/>
          <w:color w:val="000000" w:themeColor="text1"/>
          <w:sz w:val="24"/>
          <w:szCs w:val="24"/>
        </w:rPr>
        <w:t xml:space="preserve"> the strategy which allows WBA to preserve </w:t>
      </w:r>
      <w:r w:rsidR="00E51D08" w:rsidRPr="00B202A8">
        <w:rPr>
          <w:rFonts w:ascii="Arial" w:hAnsi="Arial" w:cs="Arial"/>
          <w:color w:val="000000" w:themeColor="text1"/>
          <w:sz w:val="24"/>
          <w:szCs w:val="24"/>
        </w:rPr>
        <w:t>profitability</w:t>
      </w:r>
      <w:r w:rsidR="00363AD2" w:rsidRPr="00B202A8">
        <w:rPr>
          <w:rFonts w:ascii="Arial" w:hAnsi="Arial" w:cs="Arial"/>
          <w:color w:val="000000" w:themeColor="text1"/>
          <w:sz w:val="24"/>
          <w:szCs w:val="24"/>
        </w:rPr>
        <w:t xml:space="preserve">. </w:t>
      </w:r>
      <w:r w:rsidR="0026156C" w:rsidRPr="00B202A8">
        <w:rPr>
          <w:rFonts w:ascii="Arial" w:hAnsi="Arial" w:cs="Arial"/>
          <w:color w:val="000000" w:themeColor="text1"/>
          <w:sz w:val="24"/>
          <w:szCs w:val="24"/>
        </w:rPr>
        <w:t xml:space="preserve">The way in which this can be achieved is </w:t>
      </w:r>
      <w:r w:rsidR="000D10AB" w:rsidRPr="00B202A8">
        <w:rPr>
          <w:rFonts w:ascii="Arial" w:hAnsi="Arial" w:cs="Arial"/>
          <w:color w:val="000000" w:themeColor="text1"/>
          <w:sz w:val="24"/>
          <w:szCs w:val="24"/>
        </w:rPr>
        <w:t xml:space="preserve">through bringing in more money than the business spends on operations on a regular basis. </w:t>
      </w:r>
      <w:r w:rsidR="002313EC" w:rsidRPr="00B202A8">
        <w:rPr>
          <w:rFonts w:ascii="Arial" w:hAnsi="Arial" w:cs="Arial"/>
          <w:color w:val="000000" w:themeColor="text1"/>
          <w:sz w:val="24"/>
          <w:szCs w:val="24"/>
        </w:rPr>
        <w:t>WBA should</w:t>
      </w:r>
      <w:r w:rsidR="000D10AB" w:rsidRPr="00B202A8">
        <w:rPr>
          <w:rFonts w:ascii="Arial" w:hAnsi="Arial" w:cs="Arial"/>
          <w:color w:val="000000" w:themeColor="text1"/>
          <w:sz w:val="24"/>
          <w:szCs w:val="24"/>
        </w:rPr>
        <w:t xml:space="preserve"> keep concentrating on increasing its gross margin because it's a crucial sign of profitability for the retail pharmacy sector. A variety of techniques, including efficient cost control, strategic pricing, and product mix optimisation can be used to accomplish this. </w:t>
      </w:r>
      <w:r w:rsidR="00A76E66" w:rsidRPr="00B202A8">
        <w:rPr>
          <w:rFonts w:ascii="Arial" w:hAnsi="Arial" w:cs="Arial"/>
          <w:color w:val="000000" w:themeColor="text1"/>
          <w:sz w:val="24"/>
          <w:szCs w:val="24"/>
        </w:rPr>
        <w:t>The success of W</w:t>
      </w:r>
      <w:r w:rsidR="00B00E12" w:rsidRPr="00B202A8">
        <w:rPr>
          <w:rFonts w:ascii="Arial" w:hAnsi="Arial" w:cs="Arial"/>
          <w:color w:val="000000" w:themeColor="text1"/>
          <w:sz w:val="24"/>
          <w:szCs w:val="24"/>
        </w:rPr>
        <w:t>BA could also be</w:t>
      </w:r>
      <w:r w:rsidR="00A76E66" w:rsidRPr="00B202A8">
        <w:rPr>
          <w:rFonts w:ascii="Arial" w:hAnsi="Arial" w:cs="Arial"/>
          <w:color w:val="000000" w:themeColor="text1"/>
          <w:sz w:val="24"/>
          <w:szCs w:val="24"/>
        </w:rPr>
        <w:t xml:space="preserve"> dependent on cost management. It can lower its cost of goods sold (COGS) and raise gross margin by consistently improving cost structures, the efficiency of the supply chain, and production processes. Key tactics include renegotiating supplier contracts to obtain better conditions for price, streamlining operations to reduce waste and inefficiencies, and using technology to automate human work</w:t>
      </w:r>
      <w:r w:rsidR="00637DDE" w:rsidRPr="00B202A8">
        <w:rPr>
          <w:rFonts w:ascii="Arial" w:hAnsi="Arial" w:cs="Arial"/>
          <w:color w:val="000000" w:themeColor="text1"/>
          <w:sz w:val="24"/>
          <w:szCs w:val="24"/>
        </w:rPr>
        <w:t>, this could be in the form of AI</w:t>
      </w:r>
      <w:r w:rsidR="00711856" w:rsidRPr="00B202A8">
        <w:rPr>
          <w:rFonts w:ascii="Arial" w:hAnsi="Arial" w:cs="Arial"/>
          <w:color w:val="000000" w:themeColor="text1"/>
          <w:sz w:val="24"/>
          <w:szCs w:val="24"/>
        </w:rPr>
        <w:t xml:space="preserve"> or systems that may help put provisions in place for better access and support</w:t>
      </w:r>
      <w:r w:rsidR="00A76E66" w:rsidRPr="00B202A8">
        <w:rPr>
          <w:rFonts w:ascii="Arial" w:hAnsi="Arial" w:cs="Arial"/>
          <w:color w:val="000000" w:themeColor="text1"/>
          <w:sz w:val="24"/>
          <w:szCs w:val="24"/>
        </w:rPr>
        <w:t>. Furthermore, productivity and general efficiency are increased by investing in automation and improving production processes. This all-encompassing strategy guarantees cost-effectiveness across the board, increasing WBA's competitiveness and maintaining profitability. In the ever-changing retail pharmacy sector, WBA can position itself for long-term success by aggressively controlling costs and optimising efficiency throughout its operations</w:t>
      </w:r>
      <w:r w:rsidR="00111D12">
        <w:rPr>
          <w:rFonts w:ascii="Arial" w:hAnsi="Arial" w:cs="Arial"/>
          <w:color w:val="000000" w:themeColor="text1"/>
          <w:sz w:val="24"/>
          <w:szCs w:val="24"/>
        </w:rPr>
        <w:t xml:space="preserve"> (Mc</w:t>
      </w:r>
      <w:r w:rsidR="00CA26DB">
        <w:rPr>
          <w:rFonts w:ascii="Arial" w:hAnsi="Arial" w:cs="Arial"/>
          <w:color w:val="000000" w:themeColor="text1"/>
          <w:sz w:val="24"/>
          <w:szCs w:val="24"/>
        </w:rPr>
        <w:t>K</w:t>
      </w:r>
      <w:r w:rsidR="00111D12">
        <w:rPr>
          <w:rFonts w:ascii="Arial" w:hAnsi="Arial" w:cs="Arial"/>
          <w:color w:val="000000" w:themeColor="text1"/>
          <w:sz w:val="24"/>
          <w:szCs w:val="24"/>
        </w:rPr>
        <w:t>insey &amp; company, 2022).</w:t>
      </w:r>
    </w:p>
    <w:p w14:paraId="61596E81" w14:textId="77777777" w:rsidR="00223CA7" w:rsidRPr="00B202A8" w:rsidRDefault="00223CA7" w:rsidP="00223CA7">
      <w:pPr>
        <w:spacing w:after="0" w:line="276" w:lineRule="auto"/>
        <w:rPr>
          <w:rFonts w:ascii="Arial" w:hAnsi="Arial" w:cs="Arial"/>
          <w:b/>
          <w:color w:val="000000" w:themeColor="text1"/>
          <w:sz w:val="24"/>
          <w:szCs w:val="24"/>
        </w:rPr>
      </w:pPr>
    </w:p>
    <w:p w14:paraId="5976F3CC" w14:textId="2BA234F2" w:rsidR="00336DE4" w:rsidRPr="00B202A8" w:rsidRDefault="00336DE4" w:rsidP="00A76E66">
      <w:pPr>
        <w:pStyle w:val="ListParagraph"/>
        <w:numPr>
          <w:ilvl w:val="1"/>
          <w:numId w:val="1"/>
        </w:numPr>
        <w:spacing w:after="0" w:line="276" w:lineRule="auto"/>
        <w:rPr>
          <w:rFonts w:ascii="Arial" w:hAnsi="Arial" w:cs="Arial"/>
          <w:b/>
          <w:color w:val="000000" w:themeColor="text1"/>
          <w:sz w:val="24"/>
          <w:szCs w:val="24"/>
        </w:rPr>
      </w:pPr>
      <w:r w:rsidRPr="00B202A8">
        <w:rPr>
          <w:rFonts w:ascii="Arial" w:hAnsi="Arial" w:cs="Arial"/>
          <w:b/>
          <w:color w:val="000000" w:themeColor="text1"/>
          <w:sz w:val="24"/>
          <w:szCs w:val="24"/>
        </w:rPr>
        <w:t>Liquidity</w:t>
      </w:r>
      <w:r w:rsidRPr="00B202A8">
        <w:rPr>
          <w:rFonts w:ascii="Arial" w:hAnsi="Arial" w:cs="Arial"/>
          <w:bCs/>
          <w:color w:val="000000" w:themeColor="text1"/>
          <w:sz w:val="24"/>
          <w:szCs w:val="24"/>
        </w:rPr>
        <w:t xml:space="preserve"> </w:t>
      </w:r>
      <w:r w:rsidR="007E6194" w:rsidRPr="00B202A8">
        <w:rPr>
          <w:rFonts w:ascii="Arial" w:hAnsi="Arial" w:cs="Arial"/>
          <w:bCs/>
          <w:color w:val="000000" w:themeColor="text1"/>
          <w:sz w:val="24"/>
          <w:szCs w:val="24"/>
        </w:rPr>
        <w:t>improvement</w:t>
      </w:r>
      <w:r w:rsidR="007E6194" w:rsidRPr="00B202A8">
        <w:rPr>
          <w:rFonts w:ascii="Arial" w:hAnsi="Arial" w:cs="Arial"/>
          <w:b/>
          <w:color w:val="000000" w:themeColor="text1"/>
          <w:sz w:val="24"/>
          <w:szCs w:val="24"/>
        </w:rPr>
        <w:t xml:space="preserve"> </w:t>
      </w:r>
      <w:r w:rsidR="00321C12" w:rsidRPr="00B202A8">
        <w:rPr>
          <w:rFonts w:ascii="Arial" w:hAnsi="Arial" w:cs="Arial"/>
          <w:bCs/>
          <w:color w:val="000000" w:themeColor="text1"/>
          <w:sz w:val="24"/>
          <w:szCs w:val="24"/>
        </w:rPr>
        <w:t>may require a</w:t>
      </w:r>
      <w:r w:rsidR="00385957" w:rsidRPr="00B202A8">
        <w:rPr>
          <w:rFonts w:ascii="Arial" w:hAnsi="Arial" w:cs="Arial"/>
          <w:bCs/>
          <w:color w:val="000000" w:themeColor="text1"/>
          <w:sz w:val="24"/>
          <w:szCs w:val="24"/>
        </w:rPr>
        <w:t xml:space="preserve"> comprehensive strategy to increase the company's capacity to effectively fulfil short-term obligations </w:t>
      </w:r>
      <w:r w:rsidR="00DA12F7" w:rsidRPr="00B202A8">
        <w:rPr>
          <w:rFonts w:ascii="Arial" w:hAnsi="Arial" w:cs="Arial"/>
          <w:bCs/>
          <w:color w:val="000000" w:themeColor="text1"/>
          <w:sz w:val="24"/>
          <w:szCs w:val="24"/>
        </w:rPr>
        <w:t>to</w:t>
      </w:r>
      <w:r w:rsidR="00385957" w:rsidRPr="00B202A8">
        <w:rPr>
          <w:rFonts w:ascii="Arial" w:hAnsi="Arial" w:cs="Arial"/>
          <w:bCs/>
          <w:color w:val="000000" w:themeColor="text1"/>
          <w:sz w:val="24"/>
          <w:szCs w:val="24"/>
        </w:rPr>
        <w:t xml:space="preserve"> improve liquidity ratios. First, comparing the company's liquidity position to industry benchmarks and historical performance offers important information</w:t>
      </w:r>
      <w:r w:rsidR="007D1BC5" w:rsidRPr="00B202A8">
        <w:rPr>
          <w:rFonts w:ascii="Arial" w:hAnsi="Arial" w:cs="Arial"/>
          <w:bCs/>
          <w:color w:val="000000" w:themeColor="text1"/>
          <w:sz w:val="24"/>
          <w:szCs w:val="24"/>
        </w:rPr>
        <w:t>, by looking at competing companies</w:t>
      </w:r>
      <w:r w:rsidR="00277A8D" w:rsidRPr="00B202A8">
        <w:rPr>
          <w:rFonts w:ascii="Arial" w:hAnsi="Arial" w:cs="Arial"/>
          <w:bCs/>
          <w:color w:val="000000" w:themeColor="text1"/>
          <w:sz w:val="24"/>
          <w:szCs w:val="24"/>
        </w:rPr>
        <w:t xml:space="preserve"> such as CVS, Target, and Walmart</w:t>
      </w:r>
      <w:r w:rsidR="007D1BC5" w:rsidRPr="00B202A8">
        <w:rPr>
          <w:rFonts w:ascii="Arial" w:hAnsi="Arial" w:cs="Arial"/>
          <w:bCs/>
          <w:color w:val="000000" w:themeColor="text1"/>
          <w:sz w:val="24"/>
          <w:szCs w:val="24"/>
        </w:rPr>
        <w:t xml:space="preserve">, WBA can make calculated decisions </w:t>
      </w:r>
      <w:r w:rsidR="001B73F4" w:rsidRPr="00B202A8">
        <w:rPr>
          <w:rFonts w:ascii="Arial" w:hAnsi="Arial" w:cs="Arial"/>
          <w:bCs/>
          <w:color w:val="000000" w:themeColor="text1"/>
          <w:sz w:val="24"/>
          <w:szCs w:val="24"/>
        </w:rPr>
        <w:t>regarding</w:t>
      </w:r>
      <w:r w:rsidR="00DD0B2D" w:rsidRPr="00B202A8">
        <w:rPr>
          <w:rFonts w:ascii="Arial" w:hAnsi="Arial" w:cs="Arial"/>
          <w:bCs/>
          <w:color w:val="000000" w:themeColor="text1"/>
          <w:sz w:val="24"/>
          <w:szCs w:val="24"/>
        </w:rPr>
        <w:t xml:space="preserve"> their strategy</w:t>
      </w:r>
      <w:r w:rsidR="00385957" w:rsidRPr="00B202A8">
        <w:rPr>
          <w:rFonts w:ascii="Arial" w:hAnsi="Arial" w:cs="Arial"/>
          <w:bCs/>
          <w:color w:val="000000" w:themeColor="text1"/>
          <w:sz w:val="24"/>
          <w:szCs w:val="24"/>
        </w:rPr>
        <w:t xml:space="preserve">. It's critical to comprehend the variables affecting liquidity, such as terms of accounts payable, stock levels, and receivables collection schedules. After that, management </w:t>
      </w:r>
      <w:r w:rsidR="00DA12F7" w:rsidRPr="00B202A8">
        <w:rPr>
          <w:rFonts w:ascii="Arial" w:hAnsi="Arial" w:cs="Arial"/>
          <w:bCs/>
          <w:color w:val="000000" w:themeColor="text1"/>
          <w:sz w:val="24"/>
          <w:szCs w:val="24"/>
        </w:rPr>
        <w:t>must</w:t>
      </w:r>
      <w:r w:rsidR="00385957" w:rsidRPr="00B202A8">
        <w:rPr>
          <w:rFonts w:ascii="Arial" w:hAnsi="Arial" w:cs="Arial"/>
          <w:bCs/>
          <w:color w:val="000000" w:themeColor="text1"/>
          <w:sz w:val="24"/>
          <w:szCs w:val="24"/>
        </w:rPr>
        <w:t xml:space="preserve"> put customised plans into action to increase liquidity. This could entail short-term funding or improved cash flow management to strengthen cash reserves. Liquidity can also be increased by lowering inventory levels, negotiating advantageous terms of payment with suppliers, and streamlining the accounts receivable collection process. Furthermore, examining capital expenditure plans and discretionary spending contributes to short-term cash conservation and a strong liquidity position for the business</w:t>
      </w:r>
      <w:r w:rsidR="00C85073">
        <w:rPr>
          <w:rFonts w:ascii="Arial" w:hAnsi="Arial" w:cs="Arial"/>
          <w:bCs/>
          <w:color w:val="000000" w:themeColor="text1"/>
          <w:sz w:val="24"/>
          <w:szCs w:val="24"/>
        </w:rPr>
        <w:t xml:space="preserve"> (Brigham et al, 2020).</w:t>
      </w:r>
    </w:p>
    <w:p w14:paraId="1589E65E" w14:textId="77777777" w:rsidR="00B202A8" w:rsidRPr="00B202A8" w:rsidRDefault="00B202A8" w:rsidP="00B202A8">
      <w:pPr>
        <w:spacing w:after="0" w:line="276" w:lineRule="auto"/>
        <w:rPr>
          <w:rFonts w:ascii="Arial" w:hAnsi="Arial" w:cs="Arial"/>
          <w:b/>
          <w:color w:val="000000" w:themeColor="text1"/>
          <w:sz w:val="24"/>
          <w:szCs w:val="24"/>
        </w:rPr>
      </w:pPr>
    </w:p>
    <w:p w14:paraId="524FED08" w14:textId="77777777" w:rsidR="00B202A8" w:rsidRPr="00B202A8" w:rsidRDefault="00B202A8" w:rsidP="00B202A8">
      <w:pPr>
        <w:spacing w:after="0" w:line="276" w:lineRule="auto"/>
        <w:rPr>
          <w:rFonts w:ascii="Arial" w:hAnsi="Arial" w:cs="Arial"/>
          <w:b/>
          <w:color w:val="000000" w:themeColor="text1"/>
          <w:sz w:val="24"/>
          <w:szCs w:val="24"/>
        </w:rPr>
      </w:pPr>
    </w:p>
    <w:p w14:paraId="3195EB8E" w14:textId="77777777" w:rsidR="00223CA7" w:rsidRPr="00B202A8" w:rsidRDefault="00223CA7" w:rsidP="00223CA7">
      <w:pPr>
        <w:pStyle w:val="ListParagraph"/>
        <w:rPr>
          <w:rFonts w:ascii="Arial" w:hAnsi="Arial" w:cs="Arial"/>
          <w:b/>
          <w:color w:val="000000" w:themeColor="text1"/>
          <w:sz w:val="24"/>
          <w:szCs w:val="24"/>
        </w:rPr>
      </w:pPr>
    </w:p>
    <w:p w14:paraId="5A816894" w14:textId="6A306B62" w:rsidR="00223CA7" w:rsidRPr="00B202A8" w:rsidRDefault="00B03B1E" w:rsidP="00A76E66">
      <w:pPr>
        <w:pStyle w:val="ListParagraph"/>
        <w:numPr>
          <w:ilvl w:val="1"/>
          <w:numId w:val="1"/>
        </w:numPr>
        <w:spacing w:after="0" w:line="276" w:lineRule="auto"/>
        <w:rPr>
          <w:rFonts w:ascii="Arial" w:hAnsi="Arial" w:cs="Arial"/>
          <w:bCs/>
          <w:color w:val="000000" w:themeColor="text1"/>
          <w:sz w:val="24"/>
          <w:szCs w:val="24"/>
        </w:rPr>
      </w:pPr>
      <w:r w:rsidRPr="00B202A8">
        <w:rPr>
          <w:rFonts w:ascii="Arial" w:hAnsi="Arial" w:cs="Arial"/>
          <w:b/>
          <w:color w:val="000000" w:themeColor="text1"/>
          <w:sz w:val="24"/>
          <w:szCs w:val="24"/>
        </w:rPr>
        <w:t>Efficiency</w:t>
      </w:r>
      <w:r w:rsidRPr="00B202A8">
        <w:rPr>
          <w:rFonts w:ascii="Arial" w:hAnsi="Arial" w:cs="Arial"/>
          <w:bCs/>
          <w:color w:val="000000" w:themeColor="text1"/>
          <w:sz w:val="24"/>
          <w:szCs w:val="24"/>
        </w:rPr>
        <w:t xml:space="preserve"> </w:t>
      </w:r>
      <w:r w:rsidR="007E6194" w:rsidRPr="00B202A8">
        <w:rPr>
          <w:rFonts w:ascii="Arial" w:hAnsi="Arial" w:cs="Arial"/>
          <w:bCs/>
          <w:color w:val="000000" w:themeColor="text1"/>
          <w:sz w:val="24"/>
          <w:szCs w:val="24"/>
        </w:rPr>
        <w:t>improvement</w:t>
      </w:r>
      <w:r w:rsidR="007E6194" w:rsidRPr="00B202A8">
        <w:rPr>
          <w:rFonts w:ascii="Arial" w:hAnsi="Arial" w:cs="Arial"/>
          <w:b/>
          <w:color w:val="000000" w:themeColor="text1"/>
          <w:sz w:val="24"/>
          <w:szCs w:val="24"/>
        </w:rPr>
        <w:t xml:space="preserve"> </w:t>
      </w:r>
      <w:r w:rsidR="007E6194" w:rsidRPr="00B202A8">
        <w:rPr>
          <w:rFonts w:ascii="Arial" w:hAnsi="Arial" w:cs="Arial"/>
          <w:bCs/>
          <w:color w:val="000000" w:themeColor="text1"/>
          <w:sz w:val="24"/>
          <w:szCs w:val="24"/>
        </w:rPr>
        <w:t xml:space="preserve">could require </w:t>
      </w:r>
      <w:r w:rsidRPr="00B202A8">
        <w:rPr>
          <w:rFonts w:ascii="Arial" w:hAnsi="Arial" w:cs="Arial"/>
          <w:bCs/>
          <w:color w:val="000000" w:themeColor="text1"/>
          <w:sz w:val="24"/>
          <w:szCs w:val="24"/>
        </w:rPr>
        <w:t>effort aimed at increasing operational effectiveness and optimising resource utilisation</w:t>
      </w:r>
      <w:r w:rsidR="003715B7" w:rsidRPr="00B202A8">
        <w:rPr>
          <w:rFonts w:ascii="Arial" w:hAnsi="Arial" w:cs="Arial"/>
          <w:bCs/>
          <w:color w:val="000000" w:themeColor="text1"/>
          <w:sz w:val="24"/>
          <w:szCs w:val="24"/>
        </w:rPr>
        <w:t xml:space="preserve">, this is </w:t>
      </w:r>
      <w:r w:rsidRPr="00B202A8">
        <w:rPr>
          <w:rFonts w:ascii="Arial" w:hAnsi="Arial" w:cs="Arial"/>
          <w:bCs/>
          <w:color w:val="000000" w:themeColor="text1"/>
          <w:sz w:val="24"/>
          <w:szCs w:val="24"/>
        </w:rPr>
        <w:t>needed to improve asset turnover in WBA. First and foremost, the focus ought to be on preserving this effectiveness if the asset turnover ratio is in line with or higher than industry norms. To further increase asset turnover and profitability, it is imperative to continuously optimise asset management procedures, such as inventory control, fixed asset utilisation, and accounts receivable turnover. Asset allocation and return maximisation are ensured when asset turnover ratio analysis is used to guide capital expenditure budgeting, asset acquisition, and divestment decisions. In addition, the incorporation of asset turnover analysis into strategic planning procedures facilitates the identification of prospects for operational improvements, cost containment measures, and revenue expansion endeavours, thereby augmenting the overall efficiency of asset utilisation in WBA</w:t>
      </w:r>
      <w:r w:rsidR="00F27C88">
        <w:rPr>
          <w:rFonts w:ascii="Arial" w:hAnsi="Arial" w:cs="Arial"/>
          <w:bCs/>
          <w:color w:val="000000" w:themeColor="text1"/>
          <w:sz w:val="24"/>
          <w:szCs w:val="24"/>
        </w:rPr>
        <w:t xml:space="preserve"> (Heizer, 20</w:t>
      </w:r>
      <w:r w:rsidR="00C675DC">
        <w:rPr>
          <w:rFonts w:ascii="Arial" w:hAnsi="Arial" w:cs="Arial"/>
          <w:bCs/>
          <w:color w:val="000000" w:themeColor="text1"/>
          <w:sz w:val="24"/>
          <w:szCs w:val="24"/>
        </w:rPr>
        <w:t>19</w:t>
      </w:r>
      <w:r w:rsidR="00F27C88">
        <w:rPr>
          <w:rFonts w:ascii="Arial" w:hAnsi="Arial" w:cs="Arial"/>
          <w:bCs/>
          <w:color w:val="000000" w:themeColor="text1"/>
          <w:sz w:val="24"/>
          <w:szCs w:val="24"/>
        </w:rPr>
        <w:t>).</w:t>
      </w:r>
    </w:p>
    <w:p w14:paraId="670D8FA0" w14:textId="77777777" w:rsidR="00507843" w:rsidRPr="00B202A8" w:rsidRDefault="00507843" w:rsidP="00507843">
      <w:pPr>
        <w:pStyle w:val="ListParagraph"/>
        <w:rPr>
          <w:rFonts w:ascii="Arial" w:hAnsi="Arial" w:cs="Arial"/>
          <w:bCs/>
          <w:color w:val="000000" w:themeColor="text1"/>
          <w:sz w:val="24"/>
          <w:szCs w:val="24"/>
        </w:rPr>
      </w:pPr>
    </w:p>
    <w:p w14:paraId="64E9425C" w14:textId="44F50341" w:rsidR="00F072A6" w:rsidRPr="00B202A8" w:rsidRDefault="00484744" w:rsidP="00F072A6">
      <w:pPr>
        <w:pStyle w:val="ListParagraph"/>
        <w:numPr>
          <w:ilvl w:val="1"/>
          <w:numId w:val="1"/>
        </w:numPr>
        <w:rPr>
          <w:rFonts w:ascii="Arial" w:hAnsi="Arial" w:cs="Arial"/>
          <w:bCs/>
          <w:color w:val="000000" w:themeColor="text1"/>
          <w:sz w:val="24"/>
          <w:szCs w:val="24"/>
        </w:rPr>
      </w:pPr>
      <w:r w:rsidRPr="00B202A8">
        <w:rPr>
          <w:rFonts w:ascii="Arial" w:hAnsi="Arial" w:cs="Arial"/>
          <w:b/>
          <w:color w:val="000000" w:themeColor="text1"/>
          <w:sz w:val="24"/>
          <w:szCs w:val="24"/>
        </w:rPr>
        <w:t>Gearing</w:t>
      </w:r>
      <w:r w:rsidRPr="00B202A8">
        <w:rPr>
          <w:rFonts w:ascii="Arial" w:hAnsi="Arial" w:cs="Arial"/>
          <w:bCs/>
          <w:color w:val="000000" w:themeColor="text1"/>
          <w:sz w:val="24"/>
          <w:szCs w:val="24"/>
        </w:rPr>
        <w:t xml:space="preserve"> ratio within a business is important. </w:t>
      </w:r>
      <w:r w:rsidRPr="00B202A8">
        <w:rPr>
          <w:rFonts w:ascii="Arial" w:hAnsi="Arial" w:cs="Arial"/>
          <w:bCs/>
          <w:color w:val="000000" w:themeColor="text1"/>
          <w:sz w:val="24"/>
          <w:szCs w:val="24"/>
        </w:rPr>
        <w:t xml:space="preserve">Improving the ratio of debt to assets in WBA requires a thorough strategy that maximises the capital structure of the business and reduces financial risk. First off, </w:t>
      </w:r>
      <w:r w:rsidRPr="00B202A8">
        <w:rPr>
          <w:rFonts w:ascii="Arial" w:hAnsi="Arial" w:cs="Arial"/>
          <w:bCs/>
          <w:color w:val="000000" w:themeColor="text1"/>
          <w:sz w:val="24"/>
          <w:szCs w:val="24"/>
        </w:rPr>
        <w:t>to</w:t>
      </w:r>
      <w:r w:rsidRPr="00B202A8">
        <w:rPr>
          <w:rFonts w:ascii="Arial" w:hAnsi="Arial" w:cs="Arial"/>
          <w:bCs/>
          <w:color w:val="000000" w:themeColor="text1"/>
          <w:sz w:val="24"/>
          <w:szCs w:val="24"/>
        </w:rPr>
        <w:t xml:space="preserve"> reduce financial susceptibility, it is imperative to establish a strong debt management plan </w:t>
      </w:r>
      <w:r w:rsidR="00F072A6" w:rsidRPr="00B202A8">
        <w:rPr>
          <w:rFonts w:ascii="Arial" w:hAnsi="Arial" w:cs="Arial"/>
          <w:bCs/>
          <w:color w:val="000000" w:themeColor="text1"/>
          <w:sz w:val="24"/>
          <w:szCs w:val="24"/>
        </w:rPr>
        <w:t>to</w:t>
      </w:r>
      <w:r w:rsidRPr="00B202A8">
        <w:rPr>
          <w:rFonts w:ascii="Arial" w:hAnsi="Arial" w:cs="Arial"/>
          <w:bCs/>
          <w:color w:val="000000" w:themeColor="text1"/>
          <w:sz w:val="24"/>
          <w:szCs w:val="24"/>
        </w:rPr>
        <w:t xml:space="preserve"> minimise dependency on debt financing and strike a balance with equity financing. Examining possibilities for advantageous refinancing of current debt can reduce interest costs and improve the debt-to-assets ratio. It is recommended that cost reduction measures be explored across the entire organisation </w:t>
      </w:r>
      <w:r w:rsidRPr="00B202A8">
        <w:rPr>
          <w:rFonts w:ascii="Arial" w:hAnsi="Arial" w:cs="Arial"/>
          <w:bCs/>
          <w:color w:val="000000" w:themeColor="text1"/>
          <w:sz w:val="24"/>
          <w:szCs w:val="24"/>
        </w:rPr>
        <w:t>to</w:t>
      </w:r>
      <w:r w:rsidRPr="00B202A8">
        <w:rPr>
          <w:rFonts w:ascii="Arial" w:hAnsi="Arial" w:cs="Arial"/>
          <w:bCs/>
          <w:color w:val="000000" w:themeColor="text1"/>
          <w:sz w:val="24"/>
          <w:szCs w:val="24"/>
        </w:rPr>
        <w:t xml:space="preserve"> improve cash flow for debt repayment. This may involve renegotiating supplier contracts or optimising processes. Techniques for optimising assets, such rearranging portfolios or selling non-core assets, can increase cash flow and optimise asset value. Reducing reliance on debt involves broadening the range of funding alternatives beyond conventional loans, such as equity financing or strategic alliances.</w:t>
      </w:r>
      <w:r w:rsidR="00F072A6" w:rsidRPr="00B202A8">
        <w:rPr>
          <w:rFonts w:ascii="Arial" w:hAnsi="Arial" w:cs="Arial"/>
          <w:bCs/>
          <w:color w:val="000000" w:themeColor="text1"/>
          <w:sz w:val="24"/>
          <w:szCs w:val="24"/>
        </w:rPr>
        <w:t xml:space="preserve"> </w:t>
      </w:r>
      <w:r w:rsidR="00F072A6" w:rsidRPr="00B202A8">
        <w:rPr>
          <w:rFonts w:ascii="Arial" w:hAnsi="Arial" w:cs="Arial"/>
          <w:bCs/>
          <w:color w:val="000000" w:themeColor="text1"/>
          <w:sz w:val="24"/>
          <w:szCs w:val="24"/>
        </w:rPr>
        <w:t>Strict risk management protocols are essential for proactively reducing the hazards linked to excessive debt levels, which calls for careful observation of interest rates, the state of the economy, and industry dynamics. Establishing and maintaining trust and confidence among stakeholders on the debt management plan and risk reduction initiatives is crucial for the overall financial well-being of WBA</w:t>
      </w:r>
      <w:r w:rsidR="001D33A8">
        <w:rPr>
          <w:rFonts w:ascii="Arial" w:hAnsi="Arial" w:cs="Arial"/>
          <w:bCs/>
          <w:color w:val="000000" w:themeColor="text1"/>
          <w:sz w:val="24"/>
          <w:szCs w:val="24"/>
        </w:rPr>
        <w:t xml:space="preserve"> (Ross, 2019).</w:t>
      </w:r>
    </w:p>
    <w:p w14:paraId="41AEB975" w14:textId="63A3BEFA" w:rsidR="00507843" w:rsidRPr="00B202A8" w:rsidRDefault="00507843" w:rsidP="00F072A6">
      <w:pPr>
        <w:pStyle w:val="ListParagraph"/>
        <w:spacing w:after="0" w:line="276" w:lineRule="auto"/>
        <w:ind w:left="1080"/>
        <w:rPr>
          <w:rFonts w:ascii="Arial" w:hAnsi="Arial" w:cs="Arial"/>
          <w:bCs/>
          <w:color w:val="000000" w:themeColor="text1"/>
          <w:sz w:val="24"/>
          <w:szCs w:val="24"/>
        </w:rPr>
      </w:pPr>
    </w:p>
    <w:p w14:paraId="3F5D2C2F" w14:textId="74BCCD35" w:rsidR="00B427E4" w:rsidRPr="00B202A8" w:rsidRDefault="00B427E4" w:rsidP="00CC37CB">
      <w:pPr>
        <w:spacing w:line="276" w:lineRule="auto"/>
        <w:rPr>
          <w:rFonts w:ascii="Arial" w:hAnsi="Arial" w:cs="Arial"/>
          <w:b/>
          <w:bCs/>
          <w:color w:val="000000" w:themeColor="text1"/>
          <w:sz w:val="24"/>
          <w:szCs w:val="24"/>
        </w:rPr>
      </w:pPr>
    </w:p>
    <w:p w14:paraId="431BE039" w14:textId="77777777" w:rsidR="00B427E4" w:rsidRPr="00B202A8" w:rsidRDefault="00B427E4">
      <w:pPr>
        <w:rPr>
          <w:rFonts w:ascii="Arial" w:hAnsi="Arial" w:cs="Arial"/>
          <w:b/>
          <w:bCs/>
          <w:color w:val="000000" w:themeColor="text1"/>
          <w:sz w:val="24"/>
          <w:szCs w:val="24"/>
        </w:rPr>
      </w:pPr>
    </w:p>
    <w:p w14:paraId="0FE6B43D" w14:textId="77777777" w:rsidR="00B427E4" w:rsidRDefault="00B427E4">
      <w:pPr>
        <w:rPr>
          <w:rFonts w:ascii="Arial" w:hAnsi="Arial" w:cs="Arial"/>
          <w:color w:val="000000" w:themeColor="text1"/>
          <w:sz w:val="24"/>
          <w:szCs w:val="24"/>
        </w:rPr>
      </w:pPr>
    </w:p>
    <w:p w14:paraId="73CF30BE" w14:textId="77777777" w:rsidR="00FC04BF" w:rsidRDefault="00FC04BF">
      <w:pPr>
        <w:rPr>
          <w:rFonts w:ascii="Arial" w:hAnsi="Arial" w:cs="Arial"/>
          <w:color w:val="000000" w:themeColor="text1"/>
          <w:sz w:val="24"/>
          <w:szCs w:val="24"/>
        </w:rPr>
      </w:pPr>
    </w:p>
    <w:p w14:paraId="54A68E56" w14:textId="77777777" w:rsidR="00FC04BF" w:rsidRDefault="00FC04BF">
      <w:pPr>
        <w:rPr>
          <w:rFonts w:ascii="Arial" w:hAnsi="Arial" w:cs="Arial"/>
          <w:color w:val="000000" w:themeColor="text1"/>
          <w:sz w:val="24"/>
          <w:szCs w:val="24"/>
        </w:rPr>
      </w:pPr>
    </w:p>
    <w:p w14:paraId="27C4FF44" w14:textId="77777777" w:rsidR="00FC04BF" w:rsidRDefault="00FC04BF">
      <w:pPr>
        <w:rPr>
          <w:rFonts w:ascii="Arial" w:hAnsi="Arial" w:cs="Arial"/>
          <w:color w:val="000000" w:themeColor="text1"/>
          <w:sz w:val="24"/>
          <w:szCs w:val="24"/>
        </w:rPr>
      </w:pPr>
    </w:p>
    <w:p w14:paraId="445C73AD" w14:textId="77777777" w:rsidR="00FC04BF" w:rsidRDefault="00FC04BF">
      <w:pPr>
        <w:rPr>
          <w:rFonts w:ascii="Arial" w:hAnsi="Arial" w:cs="Arial"/>
          <w:color w:val="000000" w:themeColor="text1"/>
          <w:sz w:val="24"/>
          <w:szCs w:val="24"/>
        </w:rPr>
      </w:pPr>
    </w:p>
    <w:p w14:paraId="71D404FD" w14:textId="77777777" w:rsidR="00FC04BF" w:rsidRDefault="00FC04BF">
      <w:pPr>
        <w:rPr>
          <w:rFonts w:ascii="Arial" w:hAnsi="Arial" w:cs="Arial"/>
          <w:color w:val="000000" w:themeColor="text1"/>
          <w:sz w:val="24"/>
          <w:szCs w:val="24"/>
        </w:rPr>
      </w:pPr>
    </w:p>
    <w:p w14:paraId="6D2796BF" w14:textId="77777777" w:rsidR="00FC04BF" w:rsidRDefault="00FC04BF">
      <w:pPr>
        <w:rPr>
          <w:rFonts w:ascii="Arial" w:hAnsi="Arial" w:cs="Arial"/>
          <w:color w:val="000000" w:themeColor="text1"/>
          <w:sz w:val="24"/>
          <w:szCs w:val="24"/>
        </w:rPr>
      </w:pPr>
    </w:p>
    <w:p w14:paraId="483B7296" w14:textId="77777777" w:rsidR="00B427E4" w:rsidRPr="00B202A8" w:rsidRDefault="00B427E4">
      <w:pPr>
        <w:rPr>
          <w:rFonts w:ascii="Arial" w:hAnsi="Arial" w:cs="Arial"/>
          <w:color w:val="000000" w:themeColor="text1"/>
          <w:sz w:val="24"/>
          <w:szCs w:val="24"/>
        </w:rPr>
      </w:pPr>
    </w:p>
    <w:p w14:paraId="15E1D470" w14:textId="750A181B" w:rsidR="00F85FDF" w:rsidRPr="00064015" w:rsidRDefault="00064015" w:rsidP="00064015">
      <w:pPr>
        <w:pStyle w:val="Heading1"/>
        <w:rPr>
          <w:rFonts w:ascii="Arial" w:eastAsiaTheme="minorHAnsi" w:hAnsi="Arial" w:cs="Arial"/>
          <w:b/>
          <w:bCs/>
          <w:i/>
          <w:iCs/>
          <w:color w:val="000000" w:themeColor="text1"/>
          <w:sz w:val="32"/>
          <w:szCs w:val="32"/>
        </w:rPr>
      </w:pPr>
      <w:bookmarkStart w:id="17" w:name="_Toc164848536"/>
      <w:r w:rsidRPr="00064015">
        <w:rPr>
          <w:rFonts w:ascii="Arial" w:eastAsiaTheme="minorHAnsi" w:hAnsi="Arial" w:cs="Arial"/>
          <w:b/>
          <w:bCs/>
          <w:i/>
          <w:iCs/>
          <w:color w:val="000000" w:themeColor="text1"/>
          <w:sz w:val="36"/>
          <w:szCs w:val="36"/>
        </w:rPr>
        <w:lastRenderedPageBreak/>
        <w:t>P</w:t>
      </w:r>
      <w:r w:rsidRPr="00064015">
        <w:rPr>
          <w:rFonts w:ascii="Arial" w:eastAsiaTheme="minorHAnsi" w:hAnsi="Arial" w:cs="Arial"/>
          <w:b/>
          <w:bCs/>
          <w:i/>
          <w:iCs/>
          <w:color w:val="000000" w:themeColor="text1"/>
          <w:sz w:val="36"/>
          <w:szCs w:val="36"/>
        </w:rPr>
        <w:t>rospects for a range of new investment</w:t>
      </w:r>
      <w:r w:rsidRPr="00064015">
        <w:rPr>
          <w:rFonts w:ascii="Arial" w:eastAsiaTheme="minorHAnsi" w:hAnsi="Arial" w:cs="Arial"/>
          <w:b/>
          <w:bCs/>
          <w:i/>
          <w:iCs/>
          <w:color w:val="000000" w:themeColor="text1"/>
          <w:sz w:val="36"/>
          <w:szCs w:val="36"/>
        </w:rPr>
        <w:t xml:space="preserve"> </w:t>
      </w:r>
      <w:r w:rsidRPr="00064015">
        <w:rPr>
          <w:rFonts w:ascii="Arial" w:eastAsiaTheme="minorHAnsi" w:hAnsi="Arial" w:cs="Arial"/>
          <w:b/>
          <w:bCs/>
          <w:i/>
          <w:iCs/>
          <w:color w:val="000000" w:themeColor="text1"/>
          <w:sz w:val="36"/>
          <w:szCs w:val="36"/>
        </w:rPr>
        <w:t>opportunities</w:t>
      </w:r>
      <w:r w:rsidRPr="00064015">
        <w:rPr>
          <w:rFonts w:ascii="Arial" w:eastAsiaTheme="minorHAnsi" w:hAnsi="Arial" w:cs="Arial"/>
          <w:b/>
          <w:bCs/>
          <w:i/>
          <w:iCs/>
          <w:color w:val="000000" w:themeColor="text1"/>
          <w:sz w:val="36"/>
          <w:szCs w:val="36"/>
        </w:rPr>
        <w:t>:</w:t>
      </w:r>
      <w:bookmarkEnd w:id="17"/>
    </w:p>
    <w:p w14:paraId="6C65D600" w14:textId="2AA0394E" w:rsidR="00F85FDF" w:rsidRDefault="005B3BC4">
      <w:pPr>
        <w:rPr>
          <w:rFonts w:ascii="Arial" w:hAnsi="Arial" w:cs="Arial"/>
          <w:color w:val="000000" w:themeColor="text1"/>
          <w:sz w:val="24"/>
          <w:szCs w:val="24"/>
        </w:rPr>
      </w:pPr>
      <w:r>
        <w:rPr>
          <w:rFonts w:ascii="Arial" w:hAnsi="Arial" w:cs="Arial"/>
          <w:color w:val="000000" w:themeColor="text1"/>
          <w:sz w:val="24"/>
          <w:szCs w:val="24"/>
        </w:rPr>
        <w:t xml:space="preserve">Below are two new projects that have been presented </w:t>
      </w:r>
      <w:r w:rsidR="00053B65">
        <w:rPr>
          <w:rFonts w:ascii="Arial" w:hAnsi="Arial" w:cs="Arial"/>
          <w:color w:val="000000" w:themeColor="text1"/>
          <w:sz w:val="24"/>
          <w:szCs w:val="24"/>
        </w:rPr>
        <w:t xml:space="preserve">as new opportunities, this part of the report will </w:t>
      </w:r>
      <w:r w:rsidR="0076659A">
        <w:rPr>
          <w:rFonts w:ascii="Arial" w:hAnsi="Arial" w:cs="Arial"/>
          <w:color w:val="000000" w:themeColor="text1"/>
          <w:sz w:val="24"/>
          <w:szCs w:val="24"/>
        </w:rPr>
        <w:t>require some calculations that should conclude Pay Back Periods</w:t>
      </w:r>
      <w:r w:rsidR="00634A5C">
        <w:rPr>
          <w:rFonts w:ascii="Arial" w:hAnsi="Arial" w:cs="Arial"/>
          <w:color w:val="000000" w:themeColor="text1"/>
          <w:sz w:val="24"/>
          <w:szCs w:val="24"/>
        </w:rPr>
        <w:t xml:space="preserve"> (</w:t>
      </w:r>
      <w:r w:rsidR="00B41FF8">
        <w:rPr>
          <w:rFonts w:ascii="Arial" w:hAnsi="Arial" w:cs="Arial"/>
          <w:color w:val="000000" w:themeColor="text1"/>
          <w:sz w:val="24"/>
          <w:szCs w:val="24"/>
        </w:rPr>
        <w:t>PBP)</w:t>
      </w:r>
      <w:r w:rsidR="0076659A">
        <w:rPr>
          <w:rFonts w:ascii="Arial" w:hAnsi="Arial" w:cs="Arial"/>
          <w:color w:val="000000" w:themeColor="text1"/>
          <w:sz w:val="24"/>
          <w:szCs w:val="24"/>
        </w:rPr>
        <w:t xml:space="preserve">, </w:t>
      </w:r>
      <w:r w:rsidR="00B41FF8">
        <w:rPr>
          <w:rFonts w:ascii="Arial" w:hAnsi="Arial" w:cs="Arial"/>
          <w:color w:val="000000" w:themeColor="text1"/>
          <w:sz w:val="24"/>
          <w:szCs w:val="24"/>
        </w:rPr>
        <w:t xml:space="preserve">Accounting Rate </w:t>
      </w:r>
      <w:r w:rsidR="00C11DB3">
        <w:rPr>
          <w:rFonts w:ascii="Arial" w:hAnsi="Arial" w:cs="Arial"/>
          <w:color w:val="000000" w:themeColor="text1"/>
          <w:sz w:val="24"/>
          <w:szCs w:val="24"/>
        </w:rPr>
        <w:t>of</w:t>
      </w:r>
      <w:r w:rsidR="00B41FF8">
        <w:rPr>
          <w:rFonts w:ascii="Arial" w:hAnsi="Arial" w:cs="Arial"/>
          <w:color w:val="000000" w:themeColor="text1"/>
          <w:sz w:val="24"/>
          <w:szCs w:val="24"/>
        </w:rPr>
        <w:t xml:space="preserve"> Return (ARR), and the Net Present Value</w:t>
      </w:r>
      <w:r w:rsidR="006E2746">
        <w:rPr>
          <w:rFonts w:ascii="Arial" w:hAnsi="Arial" w:cs="Arial"/>
          <w:color w:val="000000" w:themeColor="text1"/>
          <w:sz w:val="24"/>
          <w:szCs w:val="24"/>
        </w:rPr>
        <w:t xml:space="preserve"> (</w:t>
      </w:r>
      <w:r w:rsidR="006225DD">
        <w:rPr>
          <w:rFonts w:ascii="Arial" w:hAnsi="Arial" w:cs="Arial"/>
          <w:color w:val="000000" w:themeColor="text1"/>
          <w:sz w:val="24"/>
          <w:szCs w:val="24"/>
        </w:rPr>
        <w:t>NPV)</w:t>
      </w:r>
      <w:r w:rsidR="00752368">
        <w:rPr>
          <w:rFonts w:ascii="Arial" w:hAnsi="Arial" w:cs="Arial"/>
          <w:color w:val="000000" w:themeColor="text1"/>
          <w:sz w:val="24"/>
          <w:szCs w:val="24"/>
        </w:rPr>
        <w:t xml:space="preserve"> with the </w:t>
      </w:r>
      <w:r w:rsidR="00B843FF">
        <w:rPr>
          <w:rFonts w:ascii="Arial" w:hAnsi="Arial" w:cs="Arial"/>
          <w:color w:val="000000" w:themeColor="text1"/>
          <w:sz w:val="24"/>
          <w:szCs w:val="24"/>
        </w:rPr>
        <w:t>company’s</w:t>
      </w:r>
      <w:r w:rsidR="00752368">
        <w:rPr>
          <w:rFonts w:ascii="Arial" w:hAnsi="Arial" w:cs="Arial"/>
          <w:color w:val="000000" w:themeColor="text1"/>
          <w:sz w:val="24"/>
          <w:szCs w:val="24"/>
        </w:rPr>
        <w:t xml:space="preserve"> current </w:t>
      </w:r>
      <w:r w:rsidR="001070BD">
        <w:rPr>
          <w:rFonts w:ascii="Arial" w:hAnsi="Arial" w:cs="Arial"/>
          <w:color w:val="000000" w:themeColor="text1"/>
          <w:sz w:val="24"/>
          <w:szCs w:val="24"/>
        </w:rPr>
        <w:t>cost of capital at 0.75 per cent</w:t>
      </w:r>
      <w:r w:rsidR="00B843FF">
        <w:rPr>
          <w:rFonts w:ascii="Arial" w:hAnsi="Arial" w:cs="Arial"/>
          <w:color w:val="000000" w:themeColor="text1"/>
          <w:sz w:val="24"/>
          <w:szCs w:val="24"/>
        </w:rPr>
        <w:t xml:space="preserve">. Then, </w:t>
      </w:r>
      <w:r w:rsidR="008D301A">
        <w:rPr>
          <w:rFonts w:ascii="Arial" w:hAnsi="Arial" w:cs="Arial"/>
          <w:color w:val="000000" w:themeColor="text1"/>
          <w:sz w:val="24"/>
          <w:szCs w:val="24"/>
        </w:rPr>
        <w:t xml:space="preserve">for the second half of the calculations, </w:t>
      </w:r>
      <w:r w:rsidR="00625E39">
        <w:rPr>
          <w:rFonts w:ascii="Arial" w:hAnsi="Arial" w:cs="Arial"/>
          <w:color w:val="000000" w:themeColor="text1"/>
          <w:sz w:val="24"/>
          <w:szCs w:val="24"/>
        </w:rPr>
        <w:t xml:space="preserve">all initial investments will increase by 10% and cashflows will decrease by 10%, the report should then include </w:t>
      </w:r>
      <w:r w:rsidR="00E05674">
        <w:rPr>
          <w:rFonts w:ascii="Arial" w:hAnsi="Arial" w:cs="Arial"/>
          <w:color w:val="000000" w:themeColor="text1"/>
          <w:sz w:val="24"/>
          <w:szCs w:val="24"/>
        </w:rPr>
        <w:t>a new NPV</w:t>
      </w:r>
      <w:r w:rsidR="00F56603">
        <w:rPr>
          <w:rFonts w:ascii="Arial" w:hAnsi="Arial" w:cs="Arial"/>
          <w:color w:val="000000" w:themeColor="text1"/>
          <w:sz w:val="24"/>
          <w:szCs w:val="24"/>
        </w:rPr>
        <w:t xml:space="preserve"> and make comments accordingly. </w:t>
      </w:r>
      <w:r w:rsidR="001C6AD7">
        <w:rPr>
          <w:rFonts w:ascii="Arial" w:hAnsi="Arial" w:cs="Arial"/>
          <w:color w:val="000000" w:themeColor="text1"/>
          <w:sz w:val="24"/>
          <w:szCs w:val="24"/>
        </w:rPr>
        <w:t xml:space="preserve">Lastly, </w:t>
      </w:r>
      <w:r w:rsidR="00223E1A">
        <w:rPr>
          <w:rFonts w:ascii="Arial" w:hAnsi="Arial" w:cs="Arial"/>
          <w:color w:val="000000" w:themeColor="text1"/>
          <w:sz w:val="24"/>
          <w:szCs w:val="24"/>
        </w:rPr>
        <w:t xml:space="preserve">the </w:t>
      </w:r>
      <w:r w:rsidR="00B76F83">
        <w:rPr>
          <w:rFonts w:ascii="Arial" w:hAnsi="Arial" w:cs="Arial"/>
          <w:color w:val="000000" w:themeColor="text1"/>
          <w:sz w:val="24"/>
          <w:szCs w:val="24"/>
        </w:rPr>
        <w:t>advantages</w:t>
      </w:r>
      <w:r w:rsidR="0088605B">
        <w:rPr>
          <w:rFonts w:ascii="Arial" w:hAnsi="Arial" w:cs="Arial"/>
          <w:color w:val="000000" w:themeColor="text1"/>
          <w:sz w:val="24"/>
          <w:szCs w:val="24"/>
        </w:rPr>
        <w:t xml:space="preserve"> and disadvantages</w:t>
      </w:r>
      <w:r w:rsidR="00223E1A">
        <w:rPr>
          <w:rFonts w:ascii="Arial" w:hAnsi="Arial" w:cs="Arial"/>
          <w:color w:val="000000" w:themeColor="text1"/>
          <w:sz w:val="24"/>
          <w:szCs w:val="24"/>
        </w:rPr>
        <w:t xml:space="preserve"> of the PBP, ARR, and NPV </w:t>
      </w:r>
      <w:r w:rsidR="00B4222C">
        <w:rPr>
          <w:rFonts w:ascii="Arial" w:hAnsi="Arial" w:cs="Arial"/>
          <w:color w:val="000000" w:themeColor="text1"/>
          <w:sz w:val="24"/>
          <w:szCs w:val="24"/>
        </w:rPr>
        <w:t>will be</w:t>
      </w:r>
      <w:r w:rsidR="0088605B">
        <w:rPr>
          <w:rFonts w:ascii="Arial" w:hAnsi="Arial" w:cs="Arial"/>
          <w:color w:val="000000" w:themeColor="text1"/>
          <w:sz w:val="24"/>
          <w:szCs w:val="24"/>
        </w:rPr>
        <w:t xml:space="preserve"> critically assessed</w:t>
      </w:r>
      <w:r w:rsidR="003A51ED">
        <w:rPr>
          <w:rFonts w:ascii="Arial" w:hAnsi="Arial" w:cs="Arial"/>
          <w:color w:val="000000" w:themeColor="text1"/>
          <w:sz w:val="24"/>
          <w:szCs w:val="24"/>
        </w:rPr>
        <w:t xml:space="preserve"> with the non-financial </w:t>
      </w:r>
      <w:r w:rsidR="006352F2">
        <w:rPr>
          <w:rFonts w:ascii="Arial" w:hAnsi="Arial" w:cs="Arial"/>
          <w:color w:val="000000" w:themeColor="text1"/>
          <w:sz w:val="24"/>
          <w:szCs w:val="24"/>
        </w:rPr>
        <w:t xml:space="preserve">factors that management must consider. </w:t>
      </w:r>
    </w:p>
    <w:p w14:paraId="34EB2574" w14:textId="480B603B" w:rsidR="008C3142" w:rsidRPr="005B3BC4" w:rsidRDefault="008C3142" w:rsidP="00224E0F">
      <w:pPr>
        <w:pStyle w:val="Heading2"/>
        <w:rPr>
          <w:rFonts w:ascii="Arial" w:hAnsi="Arial" w:cs="Arial"/>
          <w:color w:val="000000" w:themeColor="text1"/>
          <w:sz w:val="28"/>
          <w:szCs w:val="28"/>
        </w:rPr>
      </w:pPr>
      <w:bookmarkStart w:id="18" w:name="_Toc164848537"/>
      <w:r w:rsidRPr="005B3BC4">
        <w:rPr>
          <w:rFonts w:ascii="Arial" w:hAnsi="Arial" w:cs="Arial"/>
          <w:color w:val="000000" w:themeColor="text1"/>
          <w:sz w:val="28"/>
          <w:szCs w:val="28"/>
        </w:rPr>
        <w:t>Pay Back Period</w:t>
      </w:r>
      <w:r w:rsidR="00224E0F" w:rsidRPr="005B3BC4">
        <w:rPr>
          <w:rFonts w:ascii="Arial" w:hAnsi="Arial" w:cs="Arial"/>
          <w:color w:val="000000" w:themeColor="text1"/>
          <w:sz w:val="28"/>
          <w:szCs w:val="28"/>
        </w:rPr>
        <w:t>:</w:t>
      </w:r>
      <w:bookmarkEnd w:id="18"/>
    </w:p>
    <w:p w14:paraId="41E77246" w14:textId="0C971097" w:rsidR="00224E0F" w:rsidRPr="005B3BC4" w:rsidRDefault="00741D89" w:rsidP="00224E0F">
      <w:pPr>
        <w:rPr>
          <w:rFonts w:ascii="Arial" w:hAnsi="Arial" w:cs="Arial"/>
          <w:sz w:val="24"/>
          <w:szCs w:val="24"/>
        </w:rPr>
      </w:pPr>
      <w:r w:rsidRPr="005B3BC4">
        <w:rPr>
          <w:rFonts w:ascii="Arial" w:hAnsi="Arial" w:cs="Arial"/>
          <w:sz w:val="24"/>
          <w:szCs w:val="24"/>
        </w:rPr>
        <w:t>The PBP approach is predicated on the notion of how long the project will take to produce enough cash flows to pay the cost of its inputs. It can also be used as a criterion to distinguish between projects and determine whether to approve or reject them based on whether the PBP is higher or lower than a predetermined number of years</w:t>
      </w:r>
      <w:r w:rsidR="00901501">
        <w:rPr>
          <w:rFonts w:ascii="Arial" w:hAnsi="Arial" w:cs="Arial"/>
          <w:sz w:val="24"/>
          <w:szCs w:val="24"/>
        </w:rPr>
        <w:t xml:space="preserve"> </w:t>
      </w:r>
      <w:r w:rsidR="00901501" w:rsidRPr="00901501">
        <w:rPr>
          <w:rFonts w:ascii="Arial" w:hAnsi="Arial" w:cs="Arial"/>
          <w:sz w:val="24"/>
          <w:szCs w:val="24"/>
        </w:rPr>
        <w:t>(Kareem Al-Ani, 2024)</w:t>
      </w:r>
      <w:r w:rsidR="00901501">
        <w:rPr>
          <w:rFonts w:ascii="Arial" w:hAnsi="Arial" w:cs="Arial"/>
          <w:sz w:val="24"/>
          <w:szCs w:val="24"/>
        </w:rPr>
        <w:t>.</w:t>
      </w:r>
    </w:p>
    <w:tbl>
      <w:tblPr>
        <w:tblStyle w:val="TableGrid"/>
        <w:tblW w:w="0" w:type="auto"/>
        <w:tblLook w:val="04A0" w:firstRow="1" w:lastRow="0" w:firstColumn="1" w:lastColumn="0" w:noHBand="0" w:noVBand="1"/>
      </w:tblPr>
      <w:tblGrid>
        <w:gridCol w:w="3485"/>
        <w:gridCol w:w="3485"/>
        <w:gridCol w:w="3486"/>
      </w:tblGrid>
      <w:tr w:rsidR="000E6A66" w14:paraId="6D2E57FC" w14:textId="77777777" w:rsidTr="000E6A66">
        <w:tc>
          <w:tcPr>
            <w:tcW w:w="3485" w:type="dxa"/>
          </w:tcPr>
          <w:p w14:paraId="07E4D799" w14:textId="5B0D1715" w:rsidR="000E6A66" w:rsidRDefault="000E6A66" w:rsidP="009C7303">
            <w:pPr>
              <w:jc w:val="center"/>
              <w:rPr>
                <w:rFonts w:ascii="Arial" w:hAnsi="Arial" w:cs="Arial"/>
                <w:color w:val="000000" w:themeColor="text1"/>
                <w:sz w:val="24"/>
                <w:szCs w:val="24"/>
              </w:rPr>
            </w:pPr>
            <w:r>
              <w:rPr>
                <w:rFonts w:ascii="Arial" w:hAnsi="Arial" w:cs="Arial"/>
                <w:color w:val="000000" w:themeColor="text1"/>
                <w:sz w:val="24"/>
                <w:szCs w:val="24"/>
              </w:rPr>
              <w:t>Years</w:t>
            </w:r>
          </w:p>
        </w:tc>
        <w:tc>
          <w:tcPr>
            <w:tcW w:w="3485" w:type="dxa"/>
          </w:tcPr>
          <w:p w14:paraId="712FAE1E" w14:textId="508CF77D" w:rsidR="000E6A66" w:rsidRDefault="000E6A66" w:rsidP="009C7303">
            <w:pPr>
              <w:jc w:val="center"/>
              <w:rPr>
                <w:rFonts w:ascii="Arial" w:hAnsi="Arial" w:cs="Arial"/>
                <w:color w:val="000000" w:themeColor="text1"/>
                <w:sz w:val="24"/>
                <w:szCs w:val="24"/>
              </w:rPr>
            </w:pPr>
            <w:r>
              <w:rPr>
                <w:rFonts w:ascii="Arial" w:hAnsi="Arial" w:cs="Arial"/>
                <w:color w:val="000000" w:themeColor="text1"/>
                <w:sz w:val="24"/>
                <w:szCs w:val="24"/>
              </w:rPr>
              <w:t>Project A</w:t>
            </w:r>
          </w:p>
        </w:tc>
        <w:tc>
          <w:tcPr>
            <w:tcW w:w="3486" w:type="dxa"/>
          </w:tcPr>
          <w:p w14:paraId="4D37B52D" w14:textId="56529E6D" w:rsidR="000E6A66" w:rsidRDefault="000E6A66" w:rsidP="009C7303">
            <w:pPr>
              <w:jc w:val="center"/>
              <w:rPr>
                <w:rFonts w:ascii="Arial" w:hAnsi="Arial" w:cs="Arial"/>
                <w:color w:val="000000" w:themeColor="text1"/>
                <w:sz w:val="24"/>
                <w:szCs w:val="24"/>
              </w:rPr>
            </w:pPr>
            <w:r>
              <w:rPr>
                <w:rFonts w:ascii="Arial" w:hAnsi="Arial" w:cs="Arial"/>
                <w:color w:val="000000" w:themeColor="text1"/>
                <w:sz w:val="24"/>
                <w:szCs w:val="24"/>
              </w:rPr>
              <w:t>Project B</w:t>
            </w:r>
          </w:p>
        </w:tc>
      </w:tr>
      <w:tr w:rsidR="000E6A66" w14:paraId="198CCCC4" w14:textId="77777777" w:rsidTr="000E6A66">
        <w:tc>
          <w:tcPr>
            <w:tcW w:w="3485" w:type="dxa"/>
          </w:tcPr>
          <w:p w14:paraId="25F25A2E" w14:textId="203B7897" w:rsidR="000E6A66" w:rsidRDefault="000E6A66" w:rsidP="009C7303">
            <w:pPr>
              <w:jc w:val="center"/>
              <w:rPr>
                <w:rFonts w:ascii="Arial" w:hAnsi="Arial" w:cs="Arial"/>
                <w:color w:val="000000" w:themeColor="text1"/>
                <w:sz w:val="24"/>
                <w:szCs w:val="24"/>
              </w:rPr>
            </w:pPr>
            <w:r>
              <w:rPr>
                <w:rFonts w:ascii="Arial" w:hAnsi="Arial" w:cs="Arial"/>
                <w:color w:val="000000" w:themeColor="text1"/>
                <w:sz w:val="24"/>
                <w:szCs w:val="24"/>
              </w:rPr>
              <w:t>0</w:t>
            </w:r>
          </w:p>
        </w:tc>
        <w:tc>
          <w:tcPr>
            <w:tcW w:w="3485" w:type="dxa"/>
          </w:tcPr>
          <w:p w14:paraId="5D7A6576" w14:textId="6130E8D5" w:rsidR="002735D3" w:rsidRPr="002F64E3" w:rsidRDefault="00AF75F9" w:rsidP="009C7303">
            <w:pPr>
              <w:jc w:val="center"/>
              <w:rPr>
                <w:rFonts w:ascii="Arial" w:hAnsi="Arial" w:cs="Arial"/>
                <w:color w:val="FF0000"/>
                <w:sz w:val="24"/>
                <w:szCs w:val="24"/>
              </w:rPr>
            </w:pPr>
            <w:r w:rsidRPr="002F64E3">
              <w:rPr>
                <w:rFonts w:ascii="Arial" w:hAnsi="Arial" w:cs="Arial"/>
                <w:color w:val="FF0000"/>
                <w:sz w:val="24"/>
                <w:szCs w:val="24"/>
              </w:rPr>
              <w:t>-</w:t>
            </w:r>
            <w:r w:rsidR="002735D3" w:rsidRPr="002F64E3">
              <w:rPr>
                <w:rFonts w:ascii="Arial" w:hAnsi="Arial" w:cs="Arial"/>
                <w:color w:val="FF0000"/>
                <w:sz w:val="24"/>
                <w:szCs w:val="24"/>
              </w:rPr>
              <w:t>£5000</w:t>
            </w:r>
            <w:r w:rsidR="00C345BB">
              <w:rPr>
                <w:rFonts w:ascii="Arial" w:hAnsi="Arial" w:cs="Arial"/>
                <w:color w:val="FF0000"/>
                <w:sz w:val="24"/>
                <w:szCs w:val="24"/>
              </w:rPr>
              <w:t>M</w:t>
            </w:r>
          </w:p>
        </w:tc>
        <w:tc>
          <w:tcPr>
            <w:tcW w:w="3486" w:type="dxa"/>
          </w:tcPr>
          <w:p w14:paraId="3B933609" w14:textId="0CD961BC" w:rsidR="000E6A66" w:rsidRPr="002F64E3" w:rsidRDefault="002735D3" w:rsidP="009C7303">
            <w:pPr>
              <w:jc w:val="center"/>
              <w:rPr>
                <w:rFonts w:ascii="Arial" w:hAnsi="Arial" w:cs="Arial"/>
                <w:color w:val="FF0000"/>
                <w:sz w:val="24"/>
                <w:szCs w:val="24"/>
              </w:rPr>
            </w:pPr>
            <w:r w:rsidRPr="002F64E3">
              <w:rPr>
                <w:rFonts w:ascii="Arial" w:hAnsi="Arial" w:cs="Arial"/>
                <w:color w:val="FF0000"/>
                <w:sz w:val="24"/>
                <w:szCs w:val="24"/>
              </w:rPr>
              <w:t>-£1000</w:t>
            </w:r>
            <w:r w:rsidR="00C345BB">
              <w:rPr>
                <w:rFonts w:ascii="Arial" w:hAnsi="Arial" w:cs="Arial"/>
                <w:color w:val="FF0000"/>
                <w:sz w:val="24"/>
                <w:szCs w:val="24"/>
              </w:rPr>
              <w:t>M</w:t>
            </w:r>
          </w:p>
        </w:tc>
      </w:tr>
      <w:tr w:rsidR="000E6A66" w14:paraId="757C7F4D" w14:textId="77777777" w:rsidTr="000E6A66">
        <w:tc>
          <w:tcPr>
            <w:tcW w:w="3485" w:type="dxa"/>
          </w:tcPr>
          <w:p w14:paraId="49983858" w14:textId="248E0B47" w:rsidR="000E6A66" w:rsidRDefault="000E6A66" w:rsidP="009C7303">
            <w:pPr>
              <w:jc w:val="center"/>
              <w:rPr>
                <w:rFonts w:ascii="Arial" w:hAnsi="Arial" w:cs="Arial"/>
                <w:color w:val="000000" w:themeColor="text1"/>
                <w:sz w:val="24"/>
                <w:szCs w:val="24"/>
              </w:rPr>
            </w:pPr>
            <w:r>
              <w:rPr>
                <w:rFonts w:ascii="Arial" w:hAnsi="Arial" w:cs="Arial"/>
                <w:color w:val="000000" w:themeColor="text1"/>
                <w:sz w:val="24"/>
                <w:szCs w:val="24"/>
              </w:rPr>
              <w:t>1</w:t>
            </w:r>
          </w:p>
        </w:tc>
        <w:tc>
          <w:tcPr>
            <w:tcW w:w="3485" w:type="dxa"/>
          </w:tcPr>
          <w:p w14:paraId="6FB66A32" w14:textId="2749D535" w:rsidR="002735D3" w:rsidRPr="002F64E3" w:rsidRDefault="002735D3" w:rsidP="009C7303">
            <w:pPr>
              <w:jc w:val="center"/>
              <w:rPr>
                <w:rFonts w:ascii="Arial" w:hAnsi="Arial" w:cs="Arial"/>
                <w:color w:val="4EA72E" w:themeColor="accent6"/>
                <w:sz w:val="24"/>
                <w:szCs w:val="24"/>
              </w:rPr>
            </w:pPr>
            <w:r w:rsidRPr="002F64E3">
              <w:rPr>
                <w:rFonts w:ascii="Arial" w:hAnsi="Arial" w:cs="Arial"/>
                <w:color w:val="4EA72E" w:themeColor="accent6"/>
                <w:sz w:val="24"/>
                <w:szCs w:val="24"/>
              </w:rPr>
              <w:t>£2500</w:t>
            </w:r>
            <w:r w:rsidR="00C345BB">
              <w:rPr>
                <w:rFonts w:ascii="Arial" w:hAnsi="Arial" w:cs="Arial"/>
                <w:color w:val="4EA72E" w:themeColor="accent6"/>
                <w:sz w:val="24"/>
                <w:szCs w:val="24"/>
              </w:rPr>
              <w:t>M</w:t>
            </w:r>
          </w:p>
        </w:tc>
        <w:tc>
          <w:tcPr>
            <w:tcW w:w="3486" w:type="dxa"/>
          </w:tcPr>
          <w:p w14:paraId="44150563" w14:textId="7CE0642B" w:rsidR="000E6A66" w:rsidRPr="002F64E3" w:rsidRDefault="00AF75F9" w:rsidP="009C7303">
            <w:pPr>
              <w:jc w:val="center"/>
              <w:rPr>
                <w:rFonts w:ascii="Arial" w:hAnsi="Arial" w:cs="Arial"/>
                <w:color w:val="4EA72E" w:themeColor="accent6"/>
                <w:sz w:val="24"/>
                <w:szCs w:val="24"/>
              </w:rPr>
            </w:pPr>
            <w:r w:rsidRPr="002F64E3">
              <w:rPr>
                <w:rFonts w:ascii="Arial" w:hAnsi="Arial" w:cs="Arial"/>
                <w:color w:val="4EA72E" w:themeColor="accent6"/>
                <w:sz w:val="24"/>
                <w:szCs w:val="24"/>
              </w:rPr>
              <w:t>£1500</w:t>
            </w:r>
            <w:r w:rsidR="00C345BB">
              <w:rPr>
                <w:rFonts w:ascii="Arial" w:hAnsi="Arial" w:cs="Arial"/>
                <w:color w:val="4EA72E" w:themeColor="accent6"/>
                <w:sz w:val="24"/>
                <w:szCs w:val="24"/>
              </w:rPr>
              <w:t>M</w:t>
            </w:r>
          </w:p>
        </w:tc>
      </w:tr>
      <w:tr w:rsidR="000E6A66" w14:paraId="4B885948" w14:textId="77777777" w:rsidTr="000E6A66">
        <w:tc>
          <w:tcPr>
            <w:tcW w:w="3485" w:type="dxa"/>
          </w:tcPr>
          <w:p w14:paraId="442CB318" w14:textId="78537523" w:rsidR="000E6A66" w:rsidRDefault="000E6A66" w:rsidP="009C7303">
            <w:pPr>
              <w:jc w:val="center"/>
              <w:rPr>
                <w:rFonts w:ascii="Arial" w:hAnsi="Arial" w:cs="Arial"/>
                <w:color w:val="000000" w:themeColor="text1"/>
                <w:sz w:val="24"/>
                <w:szCs w:val="24"/>
              </w:rPr>
            </w:pPr>
            <w:r>
              <w:rPr>
                <w:rFonts w:ascii="Arial" w:hAnsi="Arial" w:cs="Arial"/>
                <w:color w:val="000000" w:themeColor="text1"/>
                <w:sz w:val="24"/>
                <w:szCs w:val="24"/>
              </w:rPr>
              <w:t>2</w:t>
            </w:r>
          </w:p>
        </w:tc>
        <w:tc>
          <w:tcPr>
            <w:tcW w:w="3485" w:type="dxa"/>
          </w:tcPr>
          <w:p w14:paraId="01DF7EF5" w14:textId="4DCE4854" w:rsidR="000E6A66" w:rsidRPr="002F64E3" w:rsidRDefault="00AF75F9" w:rsidP="009C7303">
            <w:pPr>
              <w:jc w:val="center"/>
              <w:rPr>
                <w:rFonts w:ascii="Arial" w:hAnsi="Arial" w:cs="Arial"/>
                <w:color w:val="4EA72E" w:themeColor="accent6"/>
                <w:sz w:val="24"/>
                <w:szCs w:val="24"/>
              </w:rPr>
            </w:pPr>
            <w:r w:rsidRPr="002F64E3">
              <w:rPr>
                <w:rFonts w:ascii="Arial" w:hAnsi="Arial" w:cs="Arial"/>
                <w:color w:val="4EA72E" w:themeColor="accent6"/>
                <w:sz w:val="24"/>
                <w:szCs w:val="24"/>
              </w:rPr>
              <w:t>£2000</w:t>
            </w:r>
            <w:r w:rsidR="00C345BB">
              <w:rPr>
                <w:rFonts w:ascii="Arial" w:hAnsi="Arial" w:cs="Arial"/>
                <w:color w:val="4EA72E" w:themeColor="accent6"/>
                <w:sz w:val="24"/>
                <w:szCs w:val="24"/>
              </w:rPr>
              <w:t>M</w:t>
            </w:r>
          </w:p>
        </w:tc>
        <w:tc>
          <w:tcPr>
            <w:tcW w:w="3486" w:type="dxa"/>
          </w:tcPr>
          <w:p w14:paraId="76162B4E" w14:textId="2302A40F" w:rsidR="000E6A66" w:rsidRPr="002F64E3" w:rsidRDefault="00AF75F9" w:rsidP="009C7303">
            <w:pPr>
              <w:jc w:val="center"/>
              <w:rPr>
                <w:rFonts w:ascii="Arial" w:hAnsi="Arial" w:cs="Arial"/>
                <w:color w:val="4EA72E" w:themeColor="accent6"/>
                <w:sz w:val="24"/>
                <w:szCs w:val="24"/>
              </w:rPr>
            </w:pPr>
            <w:r w:rsidRPr="002F64E3">
              <w:rPr>
                <w:rFonts w:ascii="Arial" w:hAnsi="Arial" w:cs="Arial"/>
                <w:color w:val="4EA72E" w:themeColor="accent6"/>
                <w:sz w:val="24"/>
                <w:szCs w:val="24"/>
              </w:rPr>
              <w:t>£1000</w:t>
            </w:r>
            <w:r w:rsidR="00C345BB">
              <w:rPr>
                <w:rFonts w:ascii="Arial" w:hAnsi="Arial" w:cs="Arial"/>
                <w:color w:val="4EA72E" w:themeColor="accent6"/>
                <w:sz w:val="24"/>
                <w:szCs w:val="24"/>
              </w:rPr>
              <w:t>M</w:t>
            </w:r>
          </w:p>
        </w:tc>
      </w:tr>
      <w:tr w:rsidR="000E6A66" w14:paraId="1B0F5095" w14:textId="77777777" w:rsidTr="000E6A66">
        <w:tc>
          <w:tcPr>
            <w:tcW w:w="3485" w:type="dxa"/>
          </w:tcPr>
          <w:p w14:paraId="48D5F8FF" w14:textId="34C1B175" w:rsidR="000E6A66" w:rsidRDefault="000E6A66" w:rsidP="009C7303">
            <w:pPr>
              <w:jc w:val="center"/>
              <w:rPr>
                <w:rFonts w:ascii="Arial" w:hAnsi="Arial" w:cs="Arial"/>
                <w:color w:val="000000" w:themeColor="text1"/>
                <w:sz w:val="24"/>
                <w:szCs w:val="24"/>
              </w:rPr>
            </w:pPr>
            <w:r>
              <w:rPr>
                <w:rFonts w:ascii="Arial" w:hAnsi="Arial" w:cs="Arial"/>
                <w:color w:val="000000" w:themeColor="text1"/>
                <w:sz w:val="24"/>
                <w:szCs w:val="24"/>
              </w:rPr>
              <w:t>3</w:t>
            </w:r>
          </w:p>
        </w:tc>
        <w:tc>
          <w:tcPr>
            <w:tcW w:w="3485" w:type="dxa"/>
          </w:tcPr>
          <w:p w14:paraId="53BE204F" w14:textId="57892507" w:rsidR="000E6A66" w:rsidRPr="002F64E3" w:rsidRDefault="00AF75F9" w:rsidP="009C7303">
            <w:pPr>
              <w:jc w:val="center"/>
              <w:rPr>
                <w:rFonts w:ascii="Arial" w:hAnsi="Arial" w:cs="Arial"/>
                <w:color w:val="4EA72E" w:themeColor="accent6"/>
                <w:sz w:val="24"/>
                <w:szCs w:val="24"/>
              </w:rPr>
            </w:pPr>
            <w:r w:rsidRPr="002F64E3">
              <w:rPr>
                <w:rFonts w:ascii="Arial" w:hAnsi="Arial" w:cs="Arial"/>
                <w:color w:val="4EA72E" w:themeColor="accent6"/>
                <w:sz w:val="24"/>
                <w:szCs w:val="24"/>
              </w:rPr>
              <w:t>£1000</w:t>
            </w:r>
            <w:r w:rsidR="00C345BB">
              <w:rPr>
                <w:rFonts w:ascii="Arial" w:hAnsi="Arial" w:cs="Arial"/>
                <w:color w:val="4EA72E" w:themeColor="accent6"/>
                <w:sz w:val="24"/>
                <w:szCs w:val="24"/>
              </w:rPr>
              <w:t>M</w:t>
            </w:r>
          </w:p>
        </w:tc>
        <w:tc>
          <w:tcPr>
            <w:tcW w:w="3486" w:type="dxa"/>
          </w:tcPr>
          <w:p w14:paraId="3FEA5017" w14:textId="79346444" w:rsidR="000E6A66" w:rsidRPr="002F64E3" w:rsidRDefault="00AF75F9" w:rsidP="009C7303">
            <w:pPr>
              <w:jc w:val="center"/>
              <w:rPr>
                <w:rFonts w:ascii="Arial" w:hAnsi="Arial" w:cs="Arial"/>
                <w:color w:val="4EA72E" w:themeColor="accent6"/>
                <w:sz w:val="24"/>
                <w:szCs w:val="24"/>
              </w:rPr>
            </w:pPr>
            <w:r w:rsidRPr="002F64E3">
              <w:rPr>
                <w:rFonts w:ascii="Arial" w:hAnsi="Arial" w:cs="Arial"/>
                <w:color w:val="4EA72E" w:themeColor="accent6"/>
                <w:sz w:val="24"/>
                <w:szCs w:val="24"/>
              </w:rPr>
              <w:t>£1000</w:t>
            </w:r>
            <w:r w:rsidR="00C345BB">
              <w:rPr>
                <w:rFonts w:ascii="Arial" w:hAnsi="Arial" w:cs="Arial"/>
                <w:color w:val="4EA72E" w:themeColor="accent6"/>
                <w:sz w:val="24"/>
                <w:szCs w:val="24"/>
              </w:rPr>
              <w:t>M</w:t>
            </w:r>
          </w:p>
        </w:tc>
      </w:tr>
      <w:tr w:rsidR="000E6A66" w14:paraId="31D44B53" w14:textId="77777777" w:rsidTr="000E6A66">
        <w:tc>
          <w:tcPr>
            <w:tcW w:w="3485" w:type="dxa"/>
          </w:tcPr>
          <w:p w14:paraId="35932FE2" w14:textId="05C1A528" w:rsidR="000E6A66" w:rsidRDefault="000E6A66" w:rsidP="009C7303">
            <w:pPr>
              <w:jc w:val="center"/>
              <w:rPr>
                <w:rFonts w:ascii="Arial" w:hAnsi="Arial" w:cs="Arial"/>
                <w:color w:val="000000" w:themeColor="text1"/>
                <w:sz w:val="24"/>
                <w:szCs w:val="24"/>
              </w:rPr>
            </w:pPr>
            <w:r>
              <w:rPr>
                <w:rFonts w:ascii="Arial" w:hAnsi="Arial" w:cs="Arial"/>
                <w:color w:val="000000" w:themeColor="text1"/>
                <w:sz w:val="24"/>
                <w:szCs w:val="24"/>
              </w:rPr>
              <w:t>4</w:t>
            </w:r>
          </w:p>
        </w:tc>
        <w:tc>
          <w:tcPr>
            <w:tcW w:w="3485" w:type="dxa"/>
          </w:tcPr>
          <w:p w14:paraId="6AA0BD14" w14:textId="155C5B80" w:rsidR="000E6A66" w:rsidRPr="002F64E3" w:rsidRDefault="00AD290C" w:rsidP="009C7303">
            <w:pPr>
              <w:jc w:val="center"/>
              <w:rPr>
                <w:rFonts w:ascii="Arial" w:hAnsi="Arial" w:cs="Arial"/>
                <w:color w:val="FF0000"/>
                <w:sz w:val="24"/>
                <w:szCs w:val="24"/>
              </w:rPr>
            </w:pPr>
            <w:r w:rsidRPr="002F64E3">
              <w:rPr>
                <w:rFonts w:ascii="Arial" w:hAnsi="Arial" w:cs="Arial"/>
                <w:color w:val="FF0000"/>
                <w:sz w:val="24"/>
                <w:szCs w:val="24"/>
              </w:rPr>
              <w:t>-£442</w:t>
            </w:r>
            <w:r w:rsidR="00C345BB">
              <w:rPr>
                <w:rFonts w:ascii="Arial" w:hAnsi="Arial" w:cs="Arial"/>
                <w:color w:val="FF0000"/>
                <w:sz w:val="24"/>
                <w:szCs w:val="24"/>
              </w:rPr>
              <w:t>M</w:t>
            </w:r>
          </w:p>
        </w:tc>
        <w:tc>
          <w:tcPr>
            <w:tcW w:w="3486" w:type="dxa"/>
          </w:tcPr>
          <w:p w14:paraId="33828926" w14:textId="5919D9C9" w:rsidR="000E6A66" w:rsidRPr="002F64E3" w:rsidRDefault="0099391A" w:rsidP="009C7303">
            <w:pPr>
              <w:jc w:val="center"/>
              <w:rPr>
                <w:rFonts w:ascii="Arial" w:hAnsi="Arial" w:cs="Arial"/>
                <w:color w:val="FF0000"/>
                <w:sz w:val="24"/>
                <w:szCs w:val="24"/>
              </w:rPr>
            </w:pPr>
            <w:r w:rsidRPr="002F64E3">
              <w:rPr>
                <w:rFonts w:ascii="Arial" w:hAnsi="Arial" w:cs="Arial"/>
                <w:color w:val="FF0000"/>
                <w:sz w:val="24"/>
                <w:szCs w:val="24"/>
              </w:rPr>
              <w:t>-£470</w:t>
            </w:r>
            <w:r w:rsidR="00C345BB">
              <w:rPr>
                <w:rFonts w:ascii="Arial" w:hAnsi="Arial" w:cs="Arial"/>
                <w:color w:val="FF0000"/>
                <w:sz w:val="24"/>
                <w:szCs w:val="24"/>
              </w:rPr>
              <w:t>M</w:t>
            </w:r>
          </w:p>
        </w:tc>
      </w:tr>
    </w:tbl>
    <w:p w14:paraId="4FC3D99A" w14:textId="7D7B6788" w:rsidR="00F85FDF" w:rsidRPr="00003C4A" w:rsidRDefault="00003C4A" w:rsidP="00003C4A">
      <w:pPr>
        <w:jc w:val="center"/>
        <w:rPr>
          <w:rFonts w:ascii="Arial" w:hAnsi="Arial" w:cs="Arial"/>
          <w:b/>
          <w:bCs/>
          <w:color w:val="000000" w:themeColor="text1"/>
          <w:sz w:val="24"/>
          <w:szCs w:val="24"/>
        </w:rPr>
      </w:pPr>
      <w:r>
        <w:rPr>
          <w:rFonts w:ascii="Arial" w:hAnsi="Arial" w:cs="Arial"/>
          <w:b/>
          <w:bCs/>
          <w:color w:val="000000" w:themeColor="text1"/>
          <w:sz w:val="24"/>
          <w:szCs w:val="24"/>
        </w:rPr>
        <w:t xml:space="preserve">Table 3.1 </w:t>
      </w:r>
      <w:r w:rsidRPr="00003C4A">
        <w:rPr>
          <w:rFonts w:ascii="Arial" w:hAnsi="Arial" w:cs="Arial"/>
          <w:b/>
          <w:bCs/>
          <w:color w:val="000000" w:themeColor="text1"/>
          <w:sz w:val="24"/>
          <w:szCs w:val="24"/>
        </w:rPr>
        <w:t>(Source: Author)</w:t>
      </w:r>
    </w:p>
    <w:p w14:paraId="0885A199" w14:textId="7FAA2401" w:rsidR="00914E5B" w:rsidRDefault="00582895">
      <w:pPr>
        <w:rPr>
          <w:rFonts w:ascii="Arial" w:hAnsi="Arial" w:cs="Arial"/>
          <w:color w:val="000000" w:themeColor="text1"/>
          <w:sz w:val="24"/>
          <w:szCs w:val="24"/>
        </w:rPr>
      </w:pPr>
      <w:r>
        <w:rPr>
          <w:rFonts w:ascii="Arial" w:hAnsi="Arial" w:cs="Arial"/>
          <w:color w:val="000000" w:themeColor="text1"/>
          <w:sz w:val="24"/>
          <w:szCs w:val="24"/>
        </w:rPr>
        <w:t>According to the table above, the calculations is as</w:t>
      </w:r>
      <w:r w:rsidR="00DC0412">
        <w:rPr>
          <w:rFonts w:ascii="Arial" w:hAnsi="Arial" w:cs="Arial"/>
          <w:color w:val="000000" w:themeColor="text1"/>
          <w:sz w:val="24"/>
          <w:szCs w:val="24"/>
        </w:rPr>
        <w:t xml:space="preserve"> follows:</w:t>
      </w:r>
    </w:p>
    <w:p w14:paraId="294CE331" w14:textId="7C5228CB" w:rsidR="00781F10" w:rsidRDefault="00DC0412">
      <w:pPr>
        <w:rPr>
          <w:rFonts w:ascii="Arial" w:hAnsi="Arial" w:cs="Arial"/>
          <w:color w:val="000000" w:themeColor="text1"/>
          <w:sz w:val="24"/>
          <w:szCs w:val="24"/>
        </w:rPr>
      </w:pPr>
      <w:r>
        <w:rPr>
          <w:rFonts w:ascii="Arial" w:hAnsi="Arial" w:cs="Arial"/>
          <w:color w:val="000000" w:themeColor="text1"/>
          <w:sz w:val="24"/>
          <w:szCs w:val="24"/>
        </w:rPr>
        <w:t xml:space="preserve">Project A: </w:t>
      </w:r>
      <w:r w:rsidR="00F903CA">
        <w:rPr>
          <w:rFonts w:ascii="Arial" w:hAnsi="Arial" w:cs="Arial"/>
          <w:color w:val="000000" w:themeColor="text1"/>
          <w:sz w:val="24"/>
          <w:szCs w:val="24"/>
        </w:rPr>
        <w:t>An initial investment of £5000</w:t>
      </w:r>
      <w:r w:rsidR="00105800">
        <w:rPr>
          <w:rFonts w:ascii="Arial" w:hAnsi="Arial" w:cs="Arial"/>
          <w:color w:val="000000" w:themeColor="text1"/>
          <w:sz w:val="24"/>
          <w:szCs w:val="24"/>
        </w:rPr>
        <w:t>M</w:t>
      </w:r>
      <w:r w:rsidR="00F903CA">
        <w:rPr>
          <w:rFonts w:ascii="Arial" w:hAnsi="Arial" w:cs="Arial"/>
          <w:color w:val="000000" w:themeColor="text1"/>
          <w:sz w:val="24"/>
          <w:szCs w:val="24"/>
        </w:rPr>
        <w:t xml:space="preserve"> will be made</w:t>
      </w:r>
      <w:r w:rsidR="00EB56D7">
        <w:rPr>
          <w:rFonts w:ascii="Arial" w:hAnsi="Arial" w:cs="Arial"/>
          <w:color w:val="000000" w:themeColor="text1"/>
          <w:sz w:val="24"/>
          <w:szCs w:val="24"/>
        </w:rPr>
        <w:t xml:space="preserve">. Then the calculations will be as followed </w:t>
      </w:r>
      <w:r w:rsidR="00781F10">
        <w:rPr>
          <w:rFonts w:ascii="Arial" w:hAnsi="Arial" w:cs="Arial"/>
          <w:color w:val="000000" w:themeColor="text1"/>
          <w:sz w:val="24"/>
          <w:szCs w:val="24"/>
        </w:rPr>
        <w:t>–</w:t>
      </w:r>
    </w:p>
    <w:p w14:paraId="0D6F55D1" w14:textId="086BC40D" w:rsidR="00EB56D7" w:rsidRDefault="00105800">
      <w:pPr>
        <w:rPr>
          <w:rFonts w:ascii="Arial" w:hAnsi="Arial" w:cs="Arial"/>
          <w:color w:val="000000" w:themeColor="text1"/>
          <w:sz w:val="24"/>
          <w:szCs w:val="24"/>
        </w:rPr>
      </w:pPr>
      <w:r>
        <w:rPr>
          <w:rFonts w:ascii="Arial" w:hAnsi="Arial" w:cs="Arial"/>
          <w:color w:val="000000" w:themeColor="text1"/>
          <w:sz w:val="24"/>
          <w:szCs w:val="24"/>
        </w:rPr>
        <w:t>-£500M + £2500</w:t>
      </w:r>
      <w:r w:rsidR="00896667">
        <w:rPr>
          <w:rFonts w:ascii="Arial" w:hAnsi="Arial" w:cs="Arial"/>
          <w:color w:val="000000" w:themeColor="text1"/>
          <w:sz w:val="24"/>
          <w:szCs w:val="24"/>
        </w:rPr>
        <w:t>M</w:t>
      </w:r>
      <w:r w:rsidR="002E6BBE">
        <w:rPr>
          <w:rFonts w:ascii="Arial" w:hAnsi="Arial" w:cs="Arial"/>
          <w:color w:val="000000" w:themeColor="text1"/>
          <w:sz w:val="24"/>
          <w:szCs w:val="24"/>
        </w:rPr>
        <w:t xml:space="preserve"> = </w:t>
      </w:r>
      <w:r w:rsidR="00896667">
        <w:rPr>
          <w:rFonts w:ascii="Arial" w:hAnsi="Arial" w:cs="Arial"/>
          <w:color w:val="000000" w:themeColor="text1"/>
          <w:sz w:val="24"/>
          <w:szCs w:val="24"/>
        </w:rPr>
        <w:t>-</w:t>
      </w:r>
      <w:r w:rsidR="002E6BBE">
        <w:rPr>
          <w:rFonts w:ascii="Arial" w:hAnsi="Arial" w:cs="Arial"/>
          <w:color w:val="000000" w:themeColor="text1"/>
          <w:sz w:val="24"/>
          <w:szCs w:val="24"/>
        </w:rPr>
        <w:t>£</w:t>
      </w:r>
      <w:r w:rsidR="00896667">
        <w:rPr>
          <w:rFonts w:ascii="Arial" w:hAnsi="Arial" w:cs="Arial"/>
          <w:color w:val="000000" w:themeColor="text1"/>
          <w:sz w:val="24"/>
          <w:szCs w:val="24"/>
        </w:rPr>
        <w:t>2500M (Year 1)</w:t>
      </w:r>
    </w:p>
    <w:p w14:paraId="00EFDFEF" w14:textId="3D6A4781" w:rsidR="00896667" w:rsidRDefault="00896667">
      <w:pPr>
        <w:rPr>
          <w:rFonts w:ascii="Arial" w:hAnsi="Arial" w:cs="Arial"/>
          <w:color w:val="000000" w:themeColor="text1"/>
          <w:sz w:val="24"/>
          <w:szCs w:val="24"/>
        </w:rPr>
      </w:pPr>
      <w:r>
        <w:rPr>
          <w:rFonts w:ascii="Arial" w:hAnsi="Arial" w:cs="Arial"/>
          <w:color w:val="000000" w:themeColor="text1"/>
          <w:sz w:val="24"/>
          <w:szCs w:val="24"/>
        </w:rPr>
        <w:t>-£2500 + £2000M = -£500M (Year 2)</w:t>
      </w:r>
    </w:p>
    <w:p w14:paraId="66386CA9" w14:textId="6BB46549" w:rsidR="00896667" w:rsidRDefault="00896667">
      <w:pPr>
        <w:rPr>
          <w:rFonts w:ascii="Arial" w:hAnsi="Arial" w:cs="Arial"/>
          <w:color w:val="000000" w:themeColor="text1"/>
          <w:sz w:val="24"/>
          <w:szCs w:val="24"/>
        </w:rPr>
      </w:pPr>
      <w:r>
        <w:rPr>
          <w:rFonts w:ascii="Arial" w:hAnsi="Arial" w:cs="Arial"/>
          <w:color w:val="000000" w:themeColor="text1"/>
          <w:sz w:val="24"/>
          <w:szCs w:val="24"/>
        </w:rPr>
        <w:t>-£500M + £1000M = £500M (Year 3)</w:t>
      </w:r>
    </w:p>
    <w:p w14:paraId="46288F0F" w14:textId="48163B84" w:rsidR="00896667" w:rsidRDefault="00896667">
      <w:pPr>
        <w:rPr>
          <w:rFonts w:ascii="Arial" w:hAnsi="Arial" w:cs="Arial"/>
          <w:color w:val="000000" w:themeColor="text1"/>
          <w:sz w:val="24"/>
          <w:szCs w:val="24"/>
        </w:rPr>
      </w:pPr>
      <w:r>
        <w:rPr>
          <w:rFonts w:ascii="Arial" w:hAnsi="Arial" w:cs="Arial"/>
          <w:color w:val="000000" w:themeColor="text1"/>
          <w:sz w:val="24"/>
          <w:szCs w:val="24"/>
        </w:rPr>
        <w:t xml:space="preserve">This concludes that the PBP for Project A is </w:t>
      </w:r>
      <w:r w:rsidRPr="00896667">
        <w:rPr>
          <w:rFonts w:ascii="Arial" w:hAnsi="Arial" w:cs="Arial"/>
          <w:b/>
          <w:bCs/>
          <w:color w:val="000000" w:themeColor="text1"/>
          <w:sz w:val="24"/>
          <w:szCs w:val="24"/>
        </w:rPr>
        <w:t>3 years</w:t>
      </w:r>
      <w:r>
        <w:rPr>
          <w:rFonts w:ascii="Arial" w:hAnsi="Arial" w:cs="Arial"/>
          <w:color w:val="000000" w:themeColor="text1"/>
          <w:sz w:val="24"/>
          <w:szCs w:val="24"/>
        </w:rPr>
        <w:t>.</w:t>
      </w:r>
    </w:p>
    <w:p w14:paraId="53684A84" w14:textId="6A43973D" w:rsidR="00896667" w:rsidRDefault="00896667">
      <w:pPr>
        <w:rPr>
          <w:rFonts w:ascii="Arial" w:hAnsi="Arial" w:cs="Arial"/>
          <w:color w:val="000000" w:themeColor="text1"/>
          <w:sz w:val="24"/>
          <w:szCs w:val="24"/>
        </w:rPr>
      </w:pPr>
      <w:r>
        <w:rPr>
          <w:rFonts w:ascii="Arial" w:hAnsi="Arial" w:cs="Arial"/>
          <w:color w:val="000000" w:themeColor="text1"/>
          <w:sz w:val="24"/>
          <w:szCs w:val="24"/>
        </w:rPr>
        <w:t xml:space="preserve">Project B: </w:t>
      </w:r>
      <w:r w:rsidR="00781F10">
        <w:rPr>
          <w:rFonts w:ascii="Arial" w:hAnsi="Arial" w:cs="Arial"/>
          <w:color w:val="000000" w:themeColor="text1"/>
          <w:sz w:val="24"/>
          <w:szCs w:val="24"/>
        </w:rPr>
        <w:t xml:space="preserve">An initial investment of £1000M will be made. Then the calculations will be as followed – </w:t>
      </w:r>
    </w:p>
    <w:p w14:paraId="1A247FD9" w14:textId="41D36BAA" w:rsidR="00781F10" w:rsidRDefault="00781F10">
      <w:pPr>
        <w:rPr>
          <w:rFonts w:ascii="Arial" w:hAnsi="Arial" w:cs="Arial"/>
          <w:color w:val="000000" w:themeColor="text1"/>
          <w:sz w:val="24"/>
          <w:szCs w:val="24"/>
        </w:rPr>
      </w:pPr>
      <w:r>
        <w:rPr>
          <w:rFonts w:ascii="Arial" w:hAnsi="Arial" w:cs="Arial"/>
          <w:color w:val="000000" w:themeColor="text1"/>
          <w:sz w:val="24"/>
          <w:szCs w:val="24"/>
        </w:rPr>
        <w:t>-£1000</w:t>
      </w:r>
      <w:r w:rsidR="00EA184E">
        <w:rPr>
          <w:rFonts w:ascii="Arial" w:hAnsi="Arial" w:cs="Arial"/>
          <w:color w:val="000000" w:themeColor="text1"/>
          <w:sz w:val="24"/>
          <w:szCs w:val="24"/>
        </w:rPr>
        <w:t>M + £1500M = £500M</w:t>
      </w:r>
      <w:r w:rsidR="00545FC7">
        <w:rPr>
          <w:rFonts w:ascii="Arial" w:hAnsi="Arial" w:cs="Arial"/>
          <w:color w:val="000000" w:themeColor="text1"/>
          <w:sz w:val="24"/>
          <w:szCs w:val="24"/>
        </w:rPr>
        <w:t xml:space="preserve"> (Year 1)</w:t>
      </w:r>
    </w:p>
    <w:p w14:paraId="0DBCB27D" w14:textId="1DBCE890" w:rsidR="007D7892" w:rsidRDefault="007D7892">
      <w:pPr>
        <w:rPr>
          <w:rFonts w:ascii="Arial" w:hAnsi="Arial" w:cs="Arial"/>
          <w:color w:val="000000" w:themeColor="text1"/>
          <w:sz w:val="24"/>
          <w:szCs w:val="24"/>
        </w:rPr>
      </w:pPr>
      <w:r>
        <w:rPr>
          <w:rFonts w:ascii="Arial" w:hAnsi="Arial" w:cs="Arial"/>
          <w:color w:val="000000" w:themeColor="text1"/>
          <w:sz w:val="24"/>
          <w:szCs w:val="24"/>
        </w:rPr>
        <w:t xml:space="preserve">This concludes that the </w:t>
      </w:r>
      <w:r w:rsidR="00F23E4F">
        <w:rPr>
          <w:rFonts w:ascii="Arial" w:hAnsi="Arial" w:cs="Arial"/>
          <w:color w:val="000000" w:themeColor="text1"/>
          <w:sz w:val="24"/>
          <w:szCs w:val="24"/>
        </w:rPr>
        <w:t xml:space="preserve">PBP for Project B is </w:t>
      </w:r>
      <w:r w:rsidR="00F23E4F" w:rsidRPr="00F23E4F">
        <w:rPr>
          <w:rFonts w:ascii="Arial" w:hAnsi="Arial" w:cs="Arial"/>
          <w:b/>
          <w:bCs/>
          <w:color w:val="000000" w:themeColor="text1"/>
          <w:sz w:val="24"/>
          <w:szCs w:val="24"/>
        </w:rPr>
        <w:t>1 year</w:t>
      </w:r>
      <w:r w:rsidR="00F23E4F">
        <w:rPr>
          <w:rFonts w:ascii="Arial" w:hAnsi="Arial" w:cs="Arial"/>
          <w:color w:val="000000" w:themeColor="text1"/>
          <w:sz w:val="24"/>
          <w:szCs w:val="24"/>
        </w:rPr>
        <w:t xml:space="preserve">. </w:t>
      </w:r>
    </w:p>
    <w:p w14:paraId="54F37650" w14:textId="2811ED3A" w:rsidR="00B5037E" w:rsidRDefault="00A909B1">
      <w:pPr>
        <w:rPr>
          <w:rFonts w:ascii="Arial" w:hAnsi="Arial" w:cs="Arial"/>
          <w:color w:val="000000" w:themeColor="text1"/>
          <w:sz w:val="24"/>
          <w:szCs w:val="24"/>
        </w:rPr>
      </w:pPr>
      <w:r w:rsidRPr="00A909B1">
        <w:rPr>
          <w:rFonts w:ascii="Arial" w:hAnsi="Arial" w:cs="Arial"/>
          <w:color w:val="000000" w:themeColor="text1"/>
          <w:sz w:val="24"/>
          <w:szCs w:val="24"/>
        </w:rPr>
        <w:t xml:space="preserve">Project B appears to have a shorter Payback Period (PBP) than Project A, according to the estimates given. Project A has a </w:t>
      </w:r>
      <w:r w:rsidR="00D43576">
        <w:rPr>
          <w:rFonts w:ascii="Arial" w:hAnsi="Arial" w:cs="Arial"/>
          <w:color w:val="000000" w:themeColor="text1"/>
          <w:sz w:val="24"/>
          <w:szCs w:val="24"/>
        </w:rPr>
        <w:t>3-year</w:t>
      </w:r>
      <w:r w:rsidR="00C23D55">
        <w:rPr>
          <w:rFonts w:ascii="Arial" w:hAnsi="Arial" w:cs="Arial"/>
          <w:color w:val="000000" w:themeColor="text1"/>
          <w:sz w:val="24"/>
          <w:szCs w:val="24"/>
        </w:rPr>
        <w:t xml:space="preserve"> </w:t>
      </w:r>
      <w:r w:rsidRPr="00A909B1">
        <w:rPr>
          <w:rFonts w:ascii="Arial" w:hAnsi="Arial" w:cs="Arial"/>
          <w:color w:val="000000" w:themeColor="text1"/>
          <w:sz w:val="24"/>
          <w:szCs w:val="24"/>
        </w:rPr>
        <w:t xml:space="preserve">PBP, whereas Project B has a </w:t>
      </w:r>
      <w:r w:rsidR="00C23D55">
        <w:rPr>
          <w:rFonts w:ascii="Arial" w:hAnsi="Arial" w:cs="Arial"/>
          <w:color w:val="000000" w:themeColor="text1"/>
          <w:sz w:val="24"/>
          <w:szCs w:val="24"/>
        </w:rPr>
        <w:t>1</w:t>
      </w:r>
      <w:r w:rsidR="00D43576">
        <w:rPr>
          <w:rFonts w:ascii="Arial" w:hAnsi="Arial" w:cs="Arial"/>
          <w:color w:val="000000" w:themeColor="text1"/>
          <w:sz w:val="24"/>
          <w:szCs w:val="24"/>
        </w:rPr>
        <w:t>-</w:t>
      </w:r>
      <w:r w:rsidR="00C23D55">
        <w:rPr>
          <w:rFonts w:ascii="Arial" w:hAnsi="Arial" w:cs="Arial"/>
          <w:color w:val="000000" w:themeColor="text1"/>
          <w:sz w:val="24"/>
          <w:szCs w:val="24"/>
        </w:rPr>
        <w:t>year</w:t>
      </w:r>
      <w:r w:rsidRPr="00A909B1">
        <w:rPr>
          <w:rFonts w:ascii="Arial" w:hAnsi="Arial" w:cs="Arial"/>
          <w:color w:val="000000" w:themeColor="text1"/>
          <w:sz w:val="24"/>
          <w:szCs w:val="24"/>
        </w:rPr>
        <w:t xml:space="preserve"> PBP. In general, a shorter payback period means that the investment will return its initial cost more quickly. This can be helpful because it shortens the time needed to repay the initial investment and begin making a profit. Project B may therefore be deemed to be the superior choice if the Payback Period is the only factor taken into consideration, as it provides a speedier return on investment</w:t>
      </w:r>
      <w:r w:rsidR="00B5037E">
        <w:rPr>
          <w:rFonts w:ascii="Arial" w:hAnsi="Arial" w:cs="Arial"/>
          <w:color w:val="000000" w:themeColor="text1"/>
          <w:sz w:val="24"/>
          <w:szCs w:val="24"/>
        </w:rPr>
        <w:t>.</w:t>
      </w:r>
    </w:p>
    <w:p w14:paraId="1A4CC279" w14:textId="21289C79" w:rsidR="007E601A" w:rsidRDefault="00FB5BA9" w:rsidP="00FB5BA9">
      <w:pPr>
        <w:pStyle w:val="Heading2"/>
        <w:rPr>
          <w:rFonts w:ascii="Arial" w:hAnsi="Arial" w:cs="Arial"/>
          <w:color w:val="000000" w:themeColor="text1"/>
          <w:sz w:val="28"/>
          <w:szCs w:val="28"/>
        </w:rPr>
      </w:pPr>
      <w:bookmarkStart w:id="19" w:name="_Toc164848538"/>
      <w:r w:rsidRPr="00FB5BA9">
        <w:rPr>
          <w:rFonts w:ascii="Arial" w:hAnsi="Arial" w:cs="Arial"/>
          <w:color w:val="000000" w:themeColor="text1"/>
          <w:sz w:val="28"/>
          <w:szCs w:val="28"/>
        </w:rPr>
        <w:lastRenderedPageBreak/>
        <w:t>Account</w:t>
      </w:r>
      <w:r>
        <w:rPr>
          <w:rFonts w:ascii="Arial" w:hAnsi="Arial" w:cs="Arial"/>
          <w:color w:val="000000" w:themeColor="text1"/>
          <w:sz w:val="28"/>
          <w:szCs w:val="28"/>
        </w:rPr>
        <w:t>ing</w:t>
      </w:r>
      <w:r w:rsidRPr="00FB5BA9">
        <w:rPr>
          <w:rFonts w:ascii="Arial" w:hAnsi="Arial" w:cs="Arial"/>
          <w:color w:val="000000" w:themeColor="text1"/>
          <w:sz w:val="28"/>
          <w:szCs w:val="28"/>
        </w:rPr>
        <w:t xml:space="preserve"> Rate of Return</w:t>
      </w:r>
      <w:r w:rsidR="008C1DF9">
        <w:rPr>
          <w:rFonts w:ascii="Arial" w:hAnsi="Arial" w:cs="Arial"/>
          <w:color w:val="000000" w:themeColor="text1"/>
          <w:sz w:val="28"/>
          <w:szCs w:val="28"/>
        </w:rPr>
        <w:t>:</w:t>
      </w:r>
      <w:bookmarkEnd w:id="19"/>
    </w:p>
    <w:p w14:paraId="4ACC1692" w14:textId="105FB70B" w:rsidR="007E7D53" w:rsidRPr="007E7D53" w:rsidRDefault="00AB6642" w:rsidP="007E7D53">
      <w:pPr>
        <w:rPr>
          <w:rFonts w:ascii="Arial" w:hAnsi="Arial" w:cs="Arial"/>
          <w:sz w:val="24"/>
          <w:szCs w:val="24"/>
        </w:rPr>
      </w:pPr>
      <w:r w:rsidRPr="001119E2">
        <w:rPr>
          <w:rFonts w:ascii="Arial" w:hAnsi="Arial" w:cs="Arial"/>
          <w:sz w:val="24"/>
          <w:szCs w:val="24"/>
        </w:rPr>
        <w:t xml:space="preserve">For this part, </w:t>
      </w:r>
      <w:r w:rsidR="001119E2" w:rsidRPr="001119E2">
        <w:rPr>
          <w:rFonts w:ascii="Arial" w:hAnsi="Arial" w:cs="Arial"/>
          <w:sz w:val="24"/>
          <w:szCs w:val="24"/>
        </w:rPr>
        <w:t xml:space="preserve">the ARR will be calculated for each </w:t>
      </w:r>
      <w:r w:rsidR="004C4276">
        <w:rPr>
          <w:rFonts w:ascii="Arial" w:hAnsi="Arial" w:cs="Arial"/>
          <w:sz w:val="24"/>
          <w:szCs w:val="24"/>
        </w:rPr>
        <w:t>p</w:t>
      </w:r>
      <w:r w:rsidR="001119E2" w:rsidRPr="001119E2">
        <w:rPr>
          <w:rFonts w:ascii="Arial" w:hAnsi="Arial" w:cs="Arial"/>
          <w:sz w:val="24"/>
          <w:szCs w:val="24"/>
        </w:rPr>
        <w:t>roject.</w:t>
      </w:r>
      <w:r w:rsidR="006A04CE">
        <w:rPr>
          <w:rFonts w:ascii="Arial" w:hAnsi="Arial" w:cs="Arial"/>
          <w:sz w:val="24"/>
          <w:szCs w:val="24"/>
        </w:rPr>
        <w:t xml:space="preserve"> </w:t>
      </w:r>
      <w:r w:rsidR="007E7D53" w:rsidRPr="007E7D53">
        <w:rPr>
          <w:rFonts w:ascii="Arial" w:hAnsi="Arial" w:cs="Arial"/>
          <w:sz w:val="24"/>
          <w:szCs w:val="24"/>
        </w:rPr>
        <w:t>The average net income an asset is predicted to provide divided by its average capital cost, presented as an annual percentage, is the Accounting Rate of Return (ARR). One formula used to determine capital budgeting is the ARR. It is applied when businesses are debating whether to invest in a project, purchase, or other asset based on the anticipated future net earnings relative to the capital cost</w:t>
      </w:r>
      <w:r w:rsidR="00682106">
        <w:rPr>
          <w:rFonts w:ascii="Arial" w:hAnsi="Arial" w:cs="Arial"/>
          <w:sz w:val="24"/>
          <w:szCs w:val="24"/>
        </w:rPr>
        <w:t xml:space="preserve"> </w:t>
      </w:r>
      <w:r w:rsidR="00682106" w:rsidRPr="00682106">
        <w:rPr>
          <w:rFonts w:ascii="Arial" w:hAnsi="Arial" w:cs="Arial"/>
          <w:sz w:val="24"/>
          <w:szCs w:val="24"/>
        </w:rPr>
        <w:t>(Vipond, 2023)</w:t>
      </w:r>
      <w:r w:rsidR="00682106">
        <w:rPr>
          <w:rFonts w:ascii="Arial" w:hAnsi="Arial" w:cs="Arial"/>
          <w:sz w:val="24"/>
          <w:szCs w:val="24"/>
        </w:rPr>
        <w:t>.</w:t>
      </w:r>
    </w:p>
    <w:p w14:paraId="27990DED" w14:textId="7DBA9E62" w:rsidR="008C1DF9" w:rsidRDefault="00AF4EA3" w:rsidP="00AF4EA3">
      <w:pPr>
        <w:jc w:val="center"/>
        <w:rPr>
          <w:rFonts w:ascii="Arial" w:hAnsi="Arial" w:cs="Arial"/>
          <w:sz w:val="24"/>
          <w:szCs w:val="24"/>
        </w:rPr>
      </w:pPr>
      <w:r w:rsidRPr="00AF4EA3">
        <w:rPr>
          <w:rFonts w:ascii="Arial" w:hAnsi="Arial" w:cs="Arial"/>
          <w:sz w:val="24"/>
          <w:szCs w:val="24"/>
        </w:rPr>
        <w:drawing>
          <wp:inline distT="0" distB="0" distL="0" distR="0" wp14:anchorId="7B5B03AB" wp14:editId="2560B0E9">
            <wp:extent cx="5675874" cy="2071868"/>
            <wp:effectExtent l="0" t="0" r="1270" b="0"/>
            <wp:docPr id="19659415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94157" name="Picture 1" descr="A screenshot of a graph&#10;&#10;Description automatically generated"/>
                    <pic:cNvPicPr/>
                  </pic:nvPicPr>
                  <pic:blipFill>
                    <a:blip r:embed="rId17"/>
                    <a:stretch>
                      <a:fillRect/>
                    </a:stretch>
                  </pic:blipFill>
                  <pic:spPr>
                    <a:xfrm>
                      <a:off x="0" y="0"/>
                      <a:ext cx="5700031" cy="2080686"/>
                    </a:xfrm>
                    <a:prstGeom prst="rect">
                      <a:avLst/>
                    </a:prstGeom>
                  </pic:spPr>
                </pic:pic>
              </a:graphicData>
            </a:graphic>
          </wp:inline>
        </w:drawing>
      </w:r>
      <w:r w:rsidR="004F4FB6">
        <w:rPr>
          <w:rFonts w:ascii="Arial" w:hAnsi="Arial" w:cs="Arial"/>
          <w:sz w:val="24"/>
          <w:szCs w:val="24"/>
        </w:rPr>
        <w:br w:type="textWrapping" w:clear="all"/>
      </w:r>
    </w:p>
    <w:p w14:paraId="4AB6594A" w14:textId="77475D1F" w:rsidR="00E96B3D" w:rsidRPr="00E96B3D" w:rsidRDefault="00E96B3D" w:rsidP="00E96B3D">
      <w:pPr>
        <w:jc w:val="center"/>
        <w:rPr>
          <w:rFonts w:ascii="Arial" w:hAnsi="Arial" w:cs="Arial"/>
          <w:b/>
          <w:bCs/>
          <w:sz w:val="24"/>
          <w:szCs w:val="24"/>
        </w:rPr>
      </w:pPr>
      <w:r w:rsidRPr="00E96B3D">
        <w:rPr>
          <w:rFonts w:ascii="Arial" w:hAnsi="Arial" w:cs="Arial"/>
          <w:b/>
          <w:bCs/>
          <w:sz w:val="24"/>
          <w:szCs w:val="24"/>
        </w:rPr>
        <w:t xml:space="preserve">Table 3.2 – ARR </w:t>
      </w:r>
      <w:r w:rsidR="000A31B2">
        <w:rPr>
          <w:rFonts w:ascii="Arial" w:hAnsi="Arial" w:cs="Arial"/>
          <w:b/>
          <w:bCs/>
          <w:sz w:val="24"/>
          <w:szCs w:val="24"/>
        </w:rPr>
        <w:t xml:space="preserve">(M) </w:t>
      </w:r>
      <w:r w:rsidRPr="00E96B3D">
        <w:rPr>
          <w:rFonts w:ascii="Arial" w:hAnsi="Arial" w:cs="Arial"/>
          <w:b/>
          <w:bCs/>
          <w:sz w:val="24"/>
          <w:szCs w:val="24"/>
        </w:rPr>
        <w:t>(Source: Author)</w:t>
      </w:r>
    </w:p>
    <w:p w14:paraId="46D397D0" w14:textId="4E9980BF" w:rsidR="00A85900" w:rsidRDefault="00E96B3D" w:rsidP="00E96B3D">
      <w:pPr>
        <w:rPr>
          <w:rFonts w:ascii="Arial" w:hAnsi="Arial" w:cs="Arial"/>
          <w:sz w:val="24"/>
          <w:szCs w:val="24"/>
        </w:rPr>
      </w:pPr>
      <w:r w:rsidRPr="00E96B3D">
        <w:rPr>
          <w:rFonts w:ascii="Arial" w:hAnsi="Arial" w:cs="Arial"/>
          <w:sz w:val="24"/>
          <w:szCs w:val="24"/>
        </w:rPr>
        <w:t xml:space="preserve">The calculations </w:t>
      </w:r>
      <w:r>
        <w:rPr>
          <w:rFonts w:ascii="Arial" w:hAnsi="Arial" w:cs="Arial"/>
          <w:sz w:val="24"/>
          <w:szCs w:val="24"/>
        </w:rPr>
        <w:t>above were made as followed.</w:t>
      </w:r>
    </w:p>
    <w:p w14:paraId="29CBE722" w14:textId="1DF1D255" w:rsidR="00E96B3D" w:rsidRDefault="00A51B73" w:rsidP="00E96B3D">
      <w:pPr>
        <w:rPr>
          <w:rFonts w:ascii="Arial" w:hAnsi="Arial" w:cs="Arial"/>
          <w:sz w:val="24"/>
          <w:szCs w:val="24"/>
        </w:rPr>
      </w:pPr>
      <w:r>
        <w:rPr>
          <w:rFonts w:ascii="Arial" w:hAnsi="Arial" w:cs="Arial"/>
          <w:sz w:val="24"/>
          <w:szCs w:val="24"/>
        </w:rPr>
        <w:t>Project A:</w:t>
      </w:r>
      <w:r w:rsidR="00681426">
        <w:rPr>
          <w:rFonts w:ascii="Arial" w:hAnsi="Arial" w:cs="Arial"/>
          <w:sz w:val="24"/>
          <w:szCs w:val="24"/>
        </w:rPr>
        <w:t xml:space="preserve"> </w:t>
      </w:r>
      <w:r>
        <w:rPr>
          <w:rFonts w:ascii="Arial" w:hAnsi="Arial" w:cs="Arial"/>
          <w:sz w:val="24"/>
          <w:szCs w:val="24"/>
        </w:rPr>
        <w:t>(£2,500+</w:t>
      </w:r>
      <w:r w:rsidR="000718E7">
        <w:rPr>
          <w:rFonts w:ascii="Arial" w:hAnsi="Arial" w:cs="Arial"/>
          <w:sz w:val="24"/>
          <w:szCs w:val="24"/>
        </w:rPr>
        <w:t>£2,000+£1,000+-£442)</w:t>
      </w:r>
      <w:r w:rsidR="00C477F8">
        <w:rPr>
          <w:rFonts w:ascii="Arial" w:hAnsi="Arial" w:cs="Arial"/>
          <w:sz w:val="24"/>
          <w:szCs w:val="24"/>
        </w:rPr>
        <w:t xml:space="preserve"> / 4 = £1,264</w:t>
      </w:r>
      <w:r w:rsidR="00DB1683">
        <w:rPr>
          <w:rFonts w:ascii="Arial" w:hAnsi="Arial" w:cs="Arial"/>
          <w:sz w:val="24"/>
          <w:szCs w:val="24"/>
        </w:rPr>
        <w:t>.</w:t>
      </w:r>
      <w:r w:rsidR="00C477F8">
        <w:rPr>
          <w:rFonts w:ascii="Arial" w:hAnsi="Arial" w:cs="Arial"/>
          <w:sz w:val="24"/>
          <w:szCs w:val="24"/>
        </w:rPr>
        <w:t>5</w:t>
      </w:r>
    </w:p>
    <w:p w14:paraId="00688BA8" w14:textId="36216A70" w:rsidR="00E24209" w:rsidRDefault="00E24209" w:rsidP="00E96B3D">
      <w:pPr>
        <w:rPr>
          <w:rFonts w:ascii="Arial" w:hAnsi="Arial" w:cs="Arial"/>
          <w:sz w:val="24"/>
          <w:szCs w:val="24"/>
        </w:rPr>
      </w:pPr>
      <w:r>
        <w:rPr>
          <w:rFonts w:ascii="Arial" w:hAnsi="Arial" w:cs="Arial"/>
          <w:sz w:val="24"/>
          <w:szCs w:val="24"/>
        </w:rPr>
        <w:t xml:space="preserve">1,264.5 / </w:t>
      </w:r>
      <w:r w:rsidR="004F4FB6">
        <w:rPr>
          <w:rFonts w:ascii="Arial" w:hAnsi="Arial" w:cs="Arial"/>
          <w:sz w:val="24"/>
          <w:szCs w:val="24"/>
        </w:rPr>
        <w:t>5000</w:t>
      </w:r>
      <w:r w:rsidR="00DB1683">
        <w:rPr>
          <w:rFonts w:ascii="Arial" w:hAnsi="Arial" w:cs="Arial"/>
          <w:sz w:val="24"/>
          <w:szCs w:val="24"/>
        </w:rPr>
        <w:t xml:space="preserve"> = </w:t>
      </w:r>
      <w:r w:rsidR="00136680">
        <w:rPr>
          <w:rFonts w:ascii="Arial" w:hAnsi="Arial" w:cs="Arial"/>
          <w:sz w:val="24"/>
          <w:szCs w:val="24"/>
        </w:rPr>
        <w:t>0.2529</w:t>
      </w:r>
    </w:p>
    <w:p w14:paraId="1986A236" w14:textId="20C437EF" w:rsidR="00136680" w:rsidRDefault="00136680" w:rsidP="00E96B3D">
      <w:pPr>
        <w:rPr>
          <w:rFonts w:ascii="Arial" w:hAnsi="Arial" w:cs="Arial"/>
          <w:sz w:val="24"/>
          <w:szCs w:val="24"/>
        </w:rPr>
      </w:pPr>
      <w:r>
        <w:rPr>
          <w:rFonts w:ascii="Arial" w:hAnsi="Arial" w:cs="Arial"/>
          <w:sz w:val="24"/>
          <w:szCs w:val="24"/>
        </w:rPr>
        <w:t>0.2529 x 100 = 25.29%</w:t>
      </w:r>
    </w:p>
    <w:p w14:paraId="592F9063" w14:textId="3B1E95B6" w:rsidR="00E81271" w:rsidRDefault="00E81271" w:rsidP="00E96B3D">
      <w:pPr>
        <w:rPr>
          <w:rFonts w:ascii="Arial" w:hAnsi="Arial" w:cs="Arial"/>
          <w:sz w:val="24"/>
          <w:szCs w:val="24"/>
        </w:rPr>
      </w:pPr>
      <w:r>
        <w:rPr>
          <w:rFonts w:ascii="Arial" w:hAnsi="Arial" w:cs="Arial"/>
          <w:sz w:val="24"/>
          <w:szCs w:val="24"/>
        </w:rPr>
        <w:t>Project B</w:t>
      </w:r>
      <w:r w:rsidR="00681426">
        <w:rPr>
          <w:rFonts w:ascii="Arial" w:hAnsi="Arial" w:cs="Arial"/>
          <w:sz w:val="24"/>
          <w:szCs w:val="24"/>
        </w:rPr>
        <w:t>:</w:t>
      </w:r>
      <w:r w:rsidR="002B0026">
        <w:rPr>
          <w:rFonts w:ascii="Arial" w:hAnsi="Arial" w:cs="Arial"/>
          <w:sz w:val="24"/>
          <w:szCs w:val="24"/>
        </w:rPr>
        <w:t xml:space="preserve"> (£1,500+£1,000+£1,000+</w:t>
      </w:r>
      <w:r w:rsidR="00BE3091">
        <w:rPr>
          <w:rFonts w:ascii="Arial" w:hAnsi="Arial" w:cs="Arial"/>
          <w:sz w:val="24"/>
          <w:szCs w:val="24"/>
        </w:rPr>
        <w:t>-£470) / 4 = 75</w:t>
      </w:r>
      <w:r w:rsidR="008A063F">
        <w:rPr>
          <w:rFonts w:ascii="Arial" w:hAnsi="Arial" w:cs="Arial"/>
          <w:sz w:val="24"/>
          <w:szCs w:val="24"/>
        </w:rPr>
        <w:t>.75</w:t>
      </w:r>
    </w:p>
    <w:p w14:paraId="398767B7" w14:textId="49E9F0A5" w:rsidR="00BE3091" w:rsidRDefault="00BE3091" w:rsidP="00E96B3D">
      <w:pPr>
        <w:rPr>
          <w:rFonts w:ascii="Arial" w:hAnsi="Arial" w:cs="Arial"/>
          <w:sz w:val="24"/>
          <w:szCs w:val="24"/>
        </w:rPr>
      </w:pPr>
      <w:r>
        <w:rPr>
          <w:rFonts w:ascii="Arial" w:hAnsi="Arial" w:cs="Arial"/>
          <w:sz w:val="24"/>
          <w:szCs w:val="24"/>
        </w:rPr>
        <w:t>75</w:t>
      </w:r>
      <w:r w:rsidR="008A063F">
        <w:rPr>
          <w:rFonts w:ascii="Arial" w:hAnsi="Arial" w:cs="Arial"/>
          <w:sz w:val="24"/>
          <w:szCs w:val="24"/>
        </w:rPr>
        <w:t>.75 / 1,000 = 0.75</w:t>
      </w:r>
      <w:r w:rsidR="00684588">
        <w:rPr>
          <w:rFonts w:ascii="Arial" w:hAnsi="Arial" w:cs="Arial"/>
          <w:sz w:val="24"/>
          <w:szCs w:val="24"/>
        </w:rPr>
        <w:t>75</w:t>
      </w:r>
    </w:p>
    <w:p w14:paraId="5983ACB5" w14:textId="5F3E81B5" w:rsidR="00684588" w:rsidRDefault="00684588" w:rsidP="00E96B3D">
      <w:pPr>
        <w:rPr>
          <w:rFonts w:ascii="Arial" w:hAnsi="Arial" w:cs="Arial"/>
          <w:sz w:val="24"/>
          <w:szCs w:val="24"/>
        </w:rPr>
      </w:pPr>
      <w:r>
        <w:rPr>
          <w:rFonts w:ascii="Arial" w:hAnsi="Arial" w:cs="Arial"/>
          <w:sz w:val="24"/>
          <w:szCs w:val="24"/>
        </w:rPr>
        <w:t>0.7575 x 100 = 75.75%</w:t>
      </w:r>
    </w:p>
    <w:p w14:paraId="2CB38A3D" w14:textId="3B9095F7" w:rsidR="00C46F2E" w:rsidRPr="00C46F2E" w:rsidRDefault="00F00366" w:rsidP="00C46F2E">
      <w:pPr>
        <w:rPr>
          <w:rFonts w:ascii="Arial" w:hAnsi="Arial" w:cs="Arial"/>
          <w:sz w:val="24"/>
          <w:szCs w:val="24"/>
        </w:rPr>
      </w:pPr>
      <w:r>
        <w:rPr>
          <w:rFonts w:ascii="Arial" w:hAnsi="Arial" w:cs="Arial"/>
          <w:sz w:val="24"/>
          <w:szCs w:val="24"/>
        </w:rPr>
        <w:t xml:space="preserve">Looking at the percentages for ARR, </w:t>
      </w:r>
      <w:r w:rsidR="00C46F2E">
        <w:rPr>
          <w:rFonts w:ascii="Arial" w:hAnsi="Arial" w:cs="Arial"/>
          <w:sz w:val="24"/>
          <w:szCs w:val="24"/>
        </w:rPr>
        <w:t>Project</w:t>
      </w:r>
      <w:r>
        <w:rPr>
          <w:rFonts w:ascii="Arial" w:hAnsi="Arial" w:cs="Arial"/>
          <w:sz w:val="24"/>
          <w:szCs w:val="24"/>
        </w:rPr>
        <w:t xml:space="preserve"> B </w:t>
      </w:r>
      <w:r w:rsidR="00C46F2E">
        <w:rPr>
          <w:rFonts w:ascii="Arial" w:hAnsi="Arial" w:cs="Arial"/>
          <w:sz w:val="24"/>
          <w:szCs w:val="24"/>
        </w:rPr>
        <w:t xml:space="preserve">is higher than Project A. Therefore, </w:t>
      </w:r>
      <w:r w:rsidR="00C46F2E" w:rsidRPr="00C46F2E">
        <w:rPr>
          <w:rFonts w:ascii="Arial" w:hAnsi="Arial" w:cs="Arial"/>
          <w:sz w:val="24"/>
          <w:szCs w:val="24"/>
        </w:rPr>
        <w:t>Project B, with an Accounting Rate of Return (ARR) of 75.75%, is the better investment option when compared to Project A, which has an ARR of 25.29%. There are various factors that influence this choice. First off, compared to Project A, Project B delivers a substantially larger return on investment, suggesting more profitability. Project B's annual rate of return (ARR) of 75.75% indicates that it has the potential to yield higher profits than its initial investment. Higher return investments are usually given preference by investors, which makes Project B a more alluring investment option. Because Project B has better accounting profitability than Project A, even when looking at the percentages of ARR alone, it is a more appealing investment prospect.</w:t>
      </w:r>
    </w:p>
    <w:p w14:paraId="6CA22C3E" w14:textId="7ECB113C" w:rsidR="00F00366" w:rsidRDefault="00F00366" w:rsidP="00E96B3D">
      <w:pPr>
        <w:rPr>
          <w:rFonts w:ascii="Arial" w:hAnsi="Arial" w:cs="Arial"/>
          <w:sz w:val="24"/>
          <w:szCs w:val="24"/>
        </w:rPr>
      </w:pPr>
    </w:p>
    <w:p w14:paraId="19A0A8A0" w14:textId="77777777" w:rsidR="00E63DDB" w:rsidRDefault="00E63DDB" w:rsidP="00E96B3D">
      <w:pPr>
        <w:rPr>
          <w:rFonts w:ascii="Arial" w:hAnsi="Arial" w:cs="Arial"/>
          <w:sz w:val="24"/>
          <w:szCs w:val="24"/>
        </w:rPr>
      </w:pPr>
    </w:p>
    <w:p w14:paraId="55165E7D" w14:textId="77777777" w:rsidR="00D11951" w:rsidRDefault="00D11951" w:rsidP="00E96B3D">
      <w:pPr>
        <w:rPr>
          <w:rFonts w:ascii="Arial" w:hAnsi="Arial" w:cs="Arial"/>
          <w:sz w:val="24"/>
          <w:szCs w:val="24"/>
        </w:rPr>
      </w:pPr>
    </w:p>
    <w:p w14:paraId="719A01B5" w14:textId="77777777" w:rsidR="00E63DDB" w:rsidRPr="00E96B3D" w:rsidRDefault="00E63DDB" w:rsidP="00E96B3D">
      <w:pPr>
        <w:rPr>
          <w:rFonts w:ascii="Arial" w:hAnsi="Arial" w:cs="Arial"/>
          <w:sz w:val="24"/>
          <w:szCs w:val="24"/>
        </w:rPr>
      </w:pPr>
    </w:p>
    <w:p w14:paraId="3F18430D" w14:textId="56C0FF26" w:rsidR="00825749" w:rsidRDefault="008C1DF9" w:rsidP="007507D2">
      <w:pPr>
        <w:pStyle w:val="Heading2"/>
        <w:rPr>
          <w:rFonts w:ascii="Arial" w:hAnsi="Arial" w:cs="Arial"/>
          <w:color w:val="000000" w:themeColor="text1"/>
          <w:sz w:val="28"/>
          <w:szCs w:val="28"/>
        </w:rPr>
      </w:pPr>
      <w:bookmarkStart w:id="20" w:name="_Toc164848539"/>
      <w:r w:rsidRPr="008C1DF9">
        <w:rPr>
          <w:rFonts w:ascii="Arial" w:hAnsi="Arial" w:cs="Arial"/>
          <w:color w:val="000000" w:themeColor="text1"/>
          <w:sz w:val="28"/>
          <w:szCs w:val="28"/>
        </w:rPr>
        <w:lastRenderedPageBreak/>
        <w:t>Net Present Value:</w:t>
      </w:r>
      <w:bookmarkEnd w:id="20"/>
    </w:p>
    <w:p w14:paraId="502D4349" w14:textId="3D71D05C" w:rsidR="00E63DDB" w:rsidRPr="00E63DDB" w:rsidRDefault="00E63DDB" w:rsidP="00E63DDB">
      <w:pPr>
        <w:rPr>
          <w:rFonts w:ascii="Arial" w:hAnsi="Arial" w:cs="Arial"/>
          <w:sz w:val="24"/>
          <w:szCs w:val="24"/>
        </w:rPr>
      </w:pPr>
      <w:r w:rsidRPr="00E63DDB">
        <w:rPr>
          <w:rFonts w:ascii="Arial" w:hAnsi="Arial" w:cs="Arial"/>
          <w:sz w:val="24"/>
          <w:szCs w:val="24"/>
        </w:rPr>
        <w:t>The value of all future cash flows, both positive and negative, discounted to the present over the course of an investment's lifetime is known as net present value, or NPV. A common technique in accounting and finance to ascertain the value of a firm, investment security, capital project, new endeavour, cost-reduction plan, or anything else involving cash flow is net present value (NPV) analysis</w:t>
      </w:r>
      <w:r w:rsidR="00BF2AE4">
        <w:rPr>
          <w:rFonts w:ascii="Arial" w:hAnsi="Arial" w:cs="Arial"/>
          <w:sz w:val="24"/>
          <w:szCs w:val="24"/>
        </w:rPr>
        <w:t xml:space="preserve"> </w:t>
      </w:r>
      <w:r w:rsidR="00BF2AE4" w:rsidRPr="00BF2AE4">
        <w:rPr>
          <w:rFonts w:ascii="Arial" w:hAnsi="Arial" w:cs="Arial"/>
          <w:sz w:val="24"/>
          <w:szCs w:val="24"/>
        </w:rPr>
        <w:t>(Corporate Finance Institute, 2023)</w:t>
      </w:r>
      <w:r w:rsidR="00BF2AE4">
        <w:rPr>
          <w:rFonts w:ascii="Arial" w:hAnsi="Arial" w:cs="Arial"/>
          <w:sz w:val="24"/>
          <w:szCs w:val="24"/>
        </w:rPr>
        <w:t>.</w:t>
      </w:r>
    </w:p>
    <w:p w14:paraId="4D82B26D" w14:textId="4E8027B7" w:rsidR="008C1DF9" w:rsidRDefault="00825749" w:rsidP="009D6009">
      <w:pPr>
        <w:jc w:val="center"/>
      </w:pPr>
      <w:r>
        <w:rPr>
          <w:noProof/>
          <w14:ligatures w14:val="standardContextual"/>
        </w:rPr>
        <w:drawing>
          <wp:inline distT="0" distB="0" distL="0" distR="0" wp14:anchorId="25807D76" wp14:editId="122A82E1">
            <wp:extent cx="6559201" cy="1643605"/>
            <wp:effectExtent l="0" t="0" r="0" b="0"/>
            <wp:docPr id="391973946" name="Picture 5" descr="A table with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973946" name="Picture 5" descr="A table with numbers and symbols&#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6627296" cy="1660668"/>
                    </a:xfrm>
                    <a:prstGeom prst="rect">
                      <a:avLst/>
                    </a:prstGeom>
                  </pic:spPr>
                </pic:pic>
              </a:graphicData>
            </a:graphic>
          </wp:inline>
        </w:drawing>
      </w:r>
    </w:p>
    <w:p w14:paraId="5626211E" w14:textId="0E1824EB" w:rsidR="00003C4A" w:rsidRDefault="00003C4A" w:rsidP="009D6009">
      <w:pPr>
        <w:jc w:val="center"/>
        <w:rPr>
          <w:rFonts w:ascii="Arial" w:hAnsi="Arial" w:cs="Arial"/>
          <w:b/>
          <w:bCs/>
          <w:sz w:val="24"/>
          <w:szCs w:val="24"/>
        </w:rPr>
      </w:pPr>
      <w:r>
        <w:rPr>
          <w:rFonts w:ascii="Arial" w:hAnsi="Arial" w:cs="Arial"/>
          <w:b/>
          <w:bCs/>
          <w:sz w:val="24"/>
          <w:szCs w:val="24"/>
        </w:rPr>
        <w:t>Table</w:t>
      </w:r>
      <w:r w:rsidR="009D6009">
        <w:rPr>
          <w:rFonts w:ascii="Arial" w:hAnsi="Arial" w:cs="Arial"/>
          <w:b/>
          <w:bCs/>
          <w:sz w:val="24"/>
          <w:szCs w:val="24"/>
        </w:rPr>
        <w:t xml:space="preserve"> 3.</w:t>
      </w:r>
      <w:r w:rsidR="00E96B3D">
        <w:rPr>
          <w:rFonts w:ascii="Arial" w:hAnsi="Arial" w:cs="Arial"/>
          <w:b/>
          <w:bCs/>
          <w:sz w:val="24"/>
          <w:szCs w:val="24"/>
        </w:rPr>
        <w:t>3</w:t>
      </w:r>
      <w:r w:rsidR="009D6009">
        <w:rPr>
          <w:rFonts w:ascii="Arial" w:hAnsi="Arial" w:cs="Arial"/>
          <w:b/>
          <w:bCs/>
          <w:sz w:val="24"/>
          <w:szCs w:val="24"/>
        </w:rPr>
        <w:t xml:space="preserve"> - NPV</w:t>
      </w:r>
      <w:r>
        <w:rPr>
          <w:rFonts w:ascii="Arial" w:hAnsi="Arial" w:cs="Arial"/>
          <w:b/>
          <w:bCs/>
          <w:sz w:val="24"/>
          <w:szCs w:val="24"/>
        </w:rPr>
        <w:t xml:space="preserve"> </w:t>
      </w:r>
      <w:r w:rsidRPr="00003C4A">
        <w:rPr>
          <w:rFonts w:ascii="Arial" w:hAnsi="Arial" w:cs="Arial"/>
          <w:b/>
          <w:bCs/>
          <w:sz w:val="24"/>
          <w:szCs w:val="24"/>
        </w:rPr>
        <w:t>(Source: Author)</w:t>
      </w:r>
    </w:p>
    <w:p w14:paraId="0FCA5987" w14:textId="04B6FA6C" w:rsidR="007507D2" w:rsidRDefault="007507D2" w:rsidP="009D6009">
      <w:pPr>
        <w:jc w:val="center"/>
        <w:rPr>
          <w:rFonts w:ascii="Arial" w:hAnsi="Arial" w:cs="Arial"/>
          <w:b/>
          <w:bCs/>
          <w:sz w:val="24"/>
          <w:szCs w:val="24"/>
        </w:rPr>
      </w:pPr>
      <w:r>
        <w:rPr>
          <w:rFonts w:ascii="Arial" w:hAnsi="Arial" w:cs="Arial"/>
          <w:b/>
          <w:bCs/>
          <w:sz w:val="24"/>
          <w:szCs w:val="24"/>
        </w:rPr>
        <w:t>The NPV was calculated using the specific formula incorporated into Excel.</w:t>
      </w:r>
    </w:p>
    <w:p w14:paraId="7259950C" w14:textId="6E39DC72" w:rsidR="0019586B" w:rsidRPr="0019586B" w:rsidRDefault="0019586B" w:rsidP="0019586B">
      <w:pPr>
        <w:rPr>
          <w:rFonts w:ascii="Arial" w:hAnsi="Arial" w:cs="Arial"/>
          <w:sz w:val="24"/>
          <w:szCs w:val="24"/>
        </w:rPr>
      </w:pPr>
      <w:r w:rsidRPr="0019586B">
        <w:rPr>
          <w:rFonts w:ascii="Arial" w:hAnsi="Arial" w:cs="Arial"/>
          <w:sz w:val="24"/>
          <w:szCs w:val="24"/>
        </w:rPr>
        <w:t xml:space="preserve">The Net Present Value (NPV) analysis shows that Project B is the better investment choice than Project A based on the data that was provided. With a net present value (NPV) of £1,980,817,560.78, Project B has a far higher NPV than Project A, which is £567,859.80. When making investment decisions, net present value (NPV) is a crucial indicator that shows the current value of all future cash flows related to a project, reduced at the value of capital (0.75% in this example) for the company. NPV compensates for the time value of money by discounting future earnings back to their present value. This ensures that all cash flows are assessed consistently and accurately reflect their true economic worth. </w:t>
      </w:r>
      <w:r w:rsidR="00517B21" w:rsidRPr="00517B21">
        <w:rPr>
          <w:rFonts w:ascii="Arial" w:hAnsi="Arial" w:cs="Arial"/>
          <w:sz w:val="24"/>
          <w:szCs w:val="24"/>
        </w:rPr>
        <w:t>Even if the cash flows from both projects are steady in the latter years (Years 2, 3, and 4), Project B stands out since it had larger early inflows, especially in Year 1, which greatly increased its NPV. As a result, Project B is the better investment option because it provides a significantly larger return on investment than Project A.</w:t>
      </w:r>
    </w:p>
    <w:p w14:paraId="0BBF7AB4" w14:textId="77777777" w:rsidR="007507D2" w:rsidRDefault="007507D2" w:rsidP="007507D2">
      <w:pPr>
        <w:rPr>
          <w:rFonts w:ascii="Arial" w:hAnsi="Arial" w:cs="Arial"/>
          <w:sz w:val="24"/>
          <w:szCs w:val="24"/>
        </w:rPr>
      </w:pPr>
    </w:p>
    <w:p w14:paraId="00F4AEC1" w14:textId="77777777" w:rsidR="00E63DDB" w:rsidRDefault="00E63DDB" w:rsidP="007507D2">
      <w:pPr>
        <w:rPr>
          <w:rFonts w:ascii="Arial" w:hAnsi="Arial" w:cs="Arial"/>
          <w:sz w:val="24"/>
          <w:szCs w:val="24"/>
        </w:rPr>
      </w:pPr>
    </w:p>
    <w:p w14:paraId="5BB14793" w14:textId="77777777" w:rsidR="00E63DDB" w:rsidRDefault="00E63DDB" w:rsidP="007507D2">
      <w:pPr>
        <w:rPr>
          <w:rFonts w:ascii="Arial" w:hAnsi="Arial" w:cs="Arial"/>
          <w:sz w:val="24"/>
          <w:szCs w:val="24"/>
        </w:rPr>
      </w:pPr>
    </w:p>
    <w:p w14:paraId="7C679C55" w14:textId="77777777" w:rsidR="00E63DDB" w:rsidRDefault="00E63DDB" w:rsidP="007507D2">
      <w:pPr>
        <w:rPr>
          <w:rFonts w:ascii="Arial" w:hAnsi="Arial" w:cs="Arial"/>
          <w:sz w:val="24"/>
          <w:szCs w:val="24"/>
        </w:rPr>
      </w:pPr>
    </w:p>
    <w:p w14:paraId="51B00266" w14:textId="77777777" w:rsidR="00E63DDB" w:rsidRDefault="00E63DDB" w:rsidP="007507D2">
      <w:pPr>
        <w:rPr>
          <w:rFonts w:ascii="Arial" w:hAnsi="Arial" w:cs="Arial"/>
          <w:sz w:val="24"/>
          <w:szCs w:val="24"/>
        </w:rPr>
      </w:pPr>
    </w:p>
    <w:p w14:paraId="32B1FF4A" w14:textId="77777777" w:rsidR="00E63DDB" w:rsidRDefault="00E63DDB" w:rsidP="007507D2">
      <w:pPr>
        <w:rPr>
          <w:rFonts w:ascii="Arial" w:hAnsi="Arial" w:cs="Arial"/>
          <w:sz w:val="24"/>
          <w:szCs w:val="24"/>
        </w:rPr>
      </w:pPr>
    </w:p>
    <w:p w14:paraId="17C64FD7" w14:textId="77777777" w:rsidR="00E63DDB" w:rsidRDefault="00E63DDB" w:rsidP="007507D2">
      <w:pPr>
        <w:rPr>
          <w:rFonts w:ascii="Arial" w:hAnsi="Arial" w:cs="Arial"/>
          <w:sz w:val="24"/>
          <w:szCs w:val="24"/>
        </w:rPr>
      </w:pPr>
    </w:p>
    <w:p w14:paraId="2C618826" w14:textId="77777777" w:rsidR="00CC05C8" w:rsidRDefault="00CC05C8" w:rsidP="007507D2">
      <w:pPr>
        <w:rPr>
          <w:rFonts w:ascii="Arial" w:hAnsi="Arial" w:cs="Arial"/>
          <w:sz w:val="24"/>
          <w:szCs w:val="24"/>
        </w:rPr>
      </w:pPr>
    </w:p>
    <w:p w14:paraId="0301584F" w14:textId="77777777" w:rsidR="00CC05C8" w:rsidRDefault="00CC05C8" w:rsidP="007507D2">
      <w:pPr>
        <w:rPr>
          <w:rFonts w:ascii="Arial" w:hAnsi="Arial" w:cs="Arial"/>
          <w:sz w:val="24"/>
          <w:szCs w:val="24"/>
        </w:rPr>
      </w:pPr>
    </w:p>
    <w:p w14:paraId="17DC1CE8" w14:textId="77777777" w:rsidR="00CC05C8" w:rsidRDefault="00CC05C8" w:rsidP="007507D2">
      <w:pPr>
        <w:rPr>
          <w:rFonts w:ascii="Arial" w:hAnsi="Arial" w:cs="Arial"/>
          <w:sz w:val="24"/>
          <w:szCs w:val="24"/>
        </w:rPr>
      </w:pPr>
    </w:p>
    <w:p w14:paraId="7F7E7D70" w14:textId="77777777" w:rsidR="00302452" w:rsidRDefault="00302452" w:rsidP="007507D2">
      <w:pPr>
        <w:rPr>
          <w:rFonts w:ascii="Arial" w:hAnsi="Arial" w:cs="Arial"/>
          <w:sz w:val="24"/>
          <w:szCs w:val="24"/>
        </w:rPr>
      </w:pPr>
    </w:p>
    <w:p w14:paraId="064A6E9F" w14:textId="77777777" w:rsidR="00D11951" w:rsidRDefault="00D11951" w:rsidP="007507D2">
      <w:pPr>
        <w:rPr>
          <w:rFonts w:ascii="Arial" w:hAnsi="Arial" w:cs="Arial"/>
          <w:sz w:val="24"/>
          <w:szCs w:val="24"/>
        </w:rPr>
      </w:pPr>
    </w:p>
    <w:p w14:paraId="1D082F15" w14:textId="77777777" w:rsidR="00302452" w:rsidRPr="007507D2" w:rsidRDefault="00302452" w:rsidP="007507D2">
      <w:pPr>
        <w:rPr>
          <w:rFonts w:ascii="Arial" w:hAnsi="Arial" w:cs="Arial"/>
          <w:sz w:val="24"/>
          <w:szCs w:val="24"/>
        </w:rPr>
      </w:pPr>
    </w:p>
    <w:p w14:paraId="5954E3E2" w14:textId="5B3FF821" w:rsidR="00147775" w:rsidRDefault="00302CAD" w:rsidP="00302CAD">
      <w:pPr>
        <w:pStyle w:val="Heading2"/>
        <w:rPr>
          <w:rFonts w:ascii="Arial" w:hAnsi="Arial" w:cs="Arial"/>
          <w:color w:val="000000" w:themeColor="text1"/>
          <w:sz w:val="28"/>
          <w:szCs w:val="28"/>
        </w:rPr>
      </w:pPr>
      <w:bookmarkStart w:id="21" w:name="_Toc164848540"/>
      <w:r w:rsidRPr="00302CAD">
        <w:rPr>
          <w:rFonts w:ascii="Arial" w:hAnsi="Arial" w:cs="Arial"/>
          <w:color w:val="000000" w:themeColor="text1"/>
          <w:sz w:val="28"/>
          <w:szCs w:val="28"/>
        </w:rPr>
        <w:t>Net Present Value (Recalculated with adjustments):</w:t>
      </w:r>
      <w:bookmarkEnd w:id="21"/>
    </w:p>
    <w:p w14:paraId="1116C1B8" w14:textId="628DA25A" w:rsidR="00CC05C8" w:rsidRPr="00CC05C8" w:rsidRDefault="00CC05C8" w:rsidP="00CC05C8">
      <w:pPr>
        <w:rPr>
          <w:rFonts w:ascii="Arial" w:hAnsi="Arial" w:cs="Arial"/>
          <w:sz w:val="24"/>
          <w:szCs w:val="24"/>
        </w:rPr>
      </w:pPr>
      <w:r w:rsidRPr="00CC05C8">
        <w:rPr>
          <w:rFonts w:ascii="Arial" w:hAnsi="Arial" w:cs="Arial"/>
          <w:sz w:val="24"/>
          <w:szCs w:val="24"/>
        </w:rPr>
        <w:t>The next part of the report requires a recalculation of the NPV with the investments raised by 10% and the cashflows decreased by 10%. The calculations are as followed:</w:t>
      </w:r>
    </w:p>
    <w:p w14:paraId="5B007FF4" w14:textId="6FC4E4FE" w:rsidR="00302CAD" w:rsidRDefault="00FD4EC2" w:rsidP="00FD4EC2">
      <w:pPr>
        <w:jc w:val="center"/>
      </w:pPr>
      <w:r>
        <w:rPr>
          <w:noProof/>
          <w14:ligatures w14:val="standardContextual"/>
        </w:rPr>
        <w:drawing>
          <wp:inline distT="0" distB="0" distL="0" distR="0" wp14:anchorId="6F91CA79" wp14:editId="6DD99FF9">
            <wp:extent cx="6882543" cy="1724628"/>
            <wp:effectExtent l="0" t="0" r="1270" b="3175"/>
            <wp:docPr id="1464001269" name="Picture 6" descr="A table with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001269" name="Picture 6" descr="A table with numbers and symbols&#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6918863" cy="1733729"/>
                    </a:xfrm>
                    <a:prstGeom prst="rect">
                      <a:avLst/>
                    </a:prstGeom>
                  </pic:spPr>
                </pic:pic>
              </a:graphicData>
            </a:graphic>
          </wp:inline>
        </w:drawing>
      </w:r>
    </w:p>
    <w:p w14:paraId="562B77A6" w14:textId="55F0F27D" w:rsidR="005833C8" w:rsidRDefault="00732366" w:rsidP="00FD4EC2">
      <w:pPr>
        <w:jc w:val="center"/>
        <w:rPr>
          <w:rFonts w:ascii="Arial" w:hAnsi="Arial" w:cs="Arial"/>
          <w:b/>
          <w:bCs/>
          <w:sz w:val="24"/>
          <w:szCs w:val="24"/>
        </w:rPr>
      </w:pPr>
      <w:r w:rsidRPr="00732366">
        <w:rPr>
          <w:rFonts w:ascii="Arial" w:hAnsi="Arial" w:cs="Arial"/>
          <w:b/>
          <w:bCs/>
          <w:sz w:val="24"/>
          <w:szCs w:val="24"/>
        </w:rPr>
        <w:t>Table 3.</w:t>
      </w:r>
      <w:r w:rsidR="00E96B3D">
        <w:rPr>
          <w:rFonts w:ascii="Arial" w:hAnsi="Arial" w:cs="Arial"/>
          <w:b/>
          <w:bCs/>
          <w:sz w:val="24"/>
          <w:szCs w:val="24"/>
        </w:rPr>
        <w:t>4</w:t>
      </w:r>
      <w:r w:rsidRPr="00732366">
        <w:rPr>
          <w:rFonts w:ascii="Arial" w:hAnsi="Arial" w:cs="Arial"/>
          <w:b/>
          <w:bCs/>
          <w:sz w:val="24"/>
          <w:szCs w:val="24"/>
        </w:rPr>
        <w:t xml:space="preserve"> – NPV recalculated (Source: Author)</w:t>
      </w:r>
    </w:p>
    <w:p w14:paraId="7AC685D8" w14:textId="275554A2" w:rsidR="00C36281" w:rsidRPr="004D2D89" w:rsidRDefault="00732366" w:rsidP="004D2D89">
      <w:pPr>
        <w:jc w:val="center"/>
        <w:rPr>
          <w:rFonts w:ascii="Arial" w:hAnsi="Arial" w:cs="Arial"/>
          <w:b/>
          <w:bCs/>
          <w:sz w:val="24"/>
          <w:szCs w:val="24"/>
        </w:rPr>
      </w:pPr>
      <w:r>
        <w:rPr>
          <w:rFonts w:ascii="Arial" w:hAnsi="Arial" w:cs="Arial"/>
          <w:b/>
          <w:bCs/>
          <w:sz w:val="24"/>
          <w:szCs w:val="24"/>
        </w:rPr>
        <w:t>The NPV was calculated using the specific formula incorporated into Excel.</w:t>
      </w:r>
    </w:p>
    <w:p w14:paraId="083A0D5D" w14:textId="68E7C318" w:rsidR="00C36281" w:rsidRPr="000F29D4" w:rsidRDefault="00AA4E3D" w:rsidP="00302CAD">
      <w:pPr>
        <w:rPr>
          <w:rFonts w:ascii="Arial" w:hAnsi="Arial" w:cs="Arial"/>
          <w:sz w:val="24"/>
          <w:szCs w:val="24"/>
        </w:rPr>
      </w:pPr>
      <w:r w:rsidRPr="004D2D89">
        <w:rPr>
          <w:rFonts w:ascii="Arial" w:hAnsi="Arial" w:cs="Arial"/>
          <w:sz w:val="24"/>
          <w:szCs w:val="24"/>
        </w:rPr>
        <w:t xml:space="preserve">Based on the </w:t>
      </w:r>
      <w:r w:rsidR="004D2D89">
        <w:rPr>
          <w:rFonts w:ascii="Arial" w:hAnsi="Arial" w:cs="Arial"/>
          <w:sz w:val="24"/>
          <w:szCs w:val="24"/>
        </w:rPr>
        <w:t xml:space="preserve">recalculated </w:t>
      </w:r>
      <w:r w:rsidRPr="004D2D89">
        <w:rPr>
          <w:rFonts w:ascii="Arial" w:hAnsi="Arial" w:cs="Arial"/>
          <w:sz w:val="24"/>
          <w:szCs w:val="24"/>
        </w:rPr>
        <w:t>cash flow data and NPV estimates, the analysis now shows a different result:</w:t>
      </w:r>
      <w:r w:rsidRPr="004D2D89">
        <w:rPr>
          <w:rFonts w:ascii="Arial" w:hAnsi="Arial" w:cs="Arial"/>
          <w:sz w:val="24"/>
          <w:szCs w:val="24"/>
        </w:rPr>
        <w:t xml:space="preserve"> </w:t>
      </w:r>
      <w:r w:rsidR="00D2506E">
        <w:rPr>
          <w:rFonts w:ascii="Arial" w:hAnsi="Arial" w:cs="Arial"/>
          <w:sz w:val="24"/>
          <w:szCs w:val="24"/>
        </w:rPr>
        <w:t>e</w:t>
      </w:r>
      <w:r w:rsidRPr="004D2D89">
        <w:rPr>
          <w:rFonts w:ascii="Arial" w:hAnsi="Arial" w:cs="Arial"/>
          <w:sz w:val="24"/>
          <w:szCs w:val="24"/>
        </w:rPr>
        <w:t>ven though Project A's initial investment was £500 million more than Project B's, Project A's net present value is negative—it is -£992,044,757.45. Even after accounting for the time worth of money at a 0.75% discount rate, Project A's negative net present value (NPV) indicates that it is not producing enough value to recover its initial investment.</w:t>
      </w:r>
      <w:r w:rsidR="00004BDA" w:rsidRPr="004D2D89">
        <w:rPr>
          <w:rFonts w:ascii="Arial" w:hAnsi="Arial" w:cs="Arial"/>
          <w:sz w:val="24"/>
          <w:szCs w:val="24"/>
        </w:rPr>
        <w:t xml:space="preserve"> </w:t>
      </w:r>
      <w:r w:rsidRPr="004D2D89">
        <w:rPr>
          <w:rFonts w:ascii="Arial" w:hAnsi="Arial" w:cs="Arial"/>
          <w:sz w:val="24"/>
          <w:szCs w:val="24"/>
        </w:rPr>
        <w:t>Project B, on the other hand, shows a notably positive NPV of £1,584,224,638.45, showing excellent profitability and potential for value generation. Project B has a positive net present value because of its steady cash flows over the course of the project, even though its beginning cash inflows were less than those of Project A.</w:t>
      </w:r>
      <w:r w:rsidR="00221B38">
        <w:rPr>
          <w:rFonts w:ascii="Arial" w:hAnsi="Arial" w:cs="Arial"/>
          <w:sz w:val="24"/>
          <w:szCs w:val="24"/>
        </w:rPr>
        <w:t xml:space="preserve"> </w:t>
      </w:r>
      <w:r w:rsidR="00221B38" w:rsidRPr="00221B38">
        <w:rPr>
          <w:rFonts w:ascii="Arial" w:hAnsi="Arial" w:cs="Arial"/>
          <w:sz w:val="24"/>
          <w:szCs w:val="24"/>
        </w:rPr>
        <w:t>Project B therefore stands out as the better investment choice when the NPV analysis is performed using the most recent cash flow data. In comparison to Project A, it presents a significant opportunity for value generation and ought to be chosen for investment.</w:t>
      </w:r>
    </w:p>
    <w:p w14:paraId="068A12E5" w14:textId="77777777" w:rsidR="003F434C" w:rsidRDefault="003F434C" w:rsidP="0011587F">
      <w:pPr>
        <w:pStyle w:val="Heading2"/>
        <w:rPr>
          <w:rFonts w:ascii="Arial" w:hAnsi="Arial" w:cs="Arial"/>
          <w:color w:val="000000" w:themeColor="text1"/>
          <w:sz w:val="28"/>
          <w:szCs w:val="28"/>
        </w:rPr>
      </w:pPr>
    </w:p>
    <w:p w14:paraId="7D3DE6C7" w14:textId="77777777" w:rsidR="00E63DDB" w:rsidRDefault="00E63DDB" w:rsidP="00E63DDB"/>
    <w:p w14:paraId="78F98605" w14:textId="77777777" w:rsidR="00E63DDB" w:rsidRDefault="00E63DDB" w:rsidP="00E63DDB"/>
    <w:p w14:paraId="24D24541" w14:textId="77777777" w:rsidR="00E63DDB" w:rsidRDefault="00E63DDB" w:rsidP="00E63DDB"/>
    <w:p w14:paraId="6D7E5F0B" w14:textId="77777777" w:rsidR="00E63DDB" w:rsidRDefault="00E63DDB" w:rsidP="00E63DDB"/>
    <w:p w14:paraId="3F8650CC" w14:textId="77777777" w:rsidR="00E63DDB" w:rsidRDefault="00E63DDB" w:rsidP="00E63DDB"/>
    <w:p w14:paraId="24F38FBC" w14:textId="77777777" w:rsidR="00E63DDB" w:rsidRDefault="00E63DDB" w:rsidP="00E63DDB"/>
    <w:p w14:paraId="1474E7D9" w14:textId="77777777" w:rsidR="00E63DDB" w:rsidRDefault="00E63DDB" w:rsidP="00E63DDB"/>
    <w:p w14:paraId="68557D6E" w14:textId="77777777" w:rsidR="00E63DDB" w:rsidRDefault="00E63DDB" w:rsidP="00E63DDB"/>
    <w:p w14:paraId="1D045730" w14:textId="77777777" w:rsidR="00E63DDB" w:rsidRDefault="00E63DDB" w:rsidP="00E63DDB"/>
    <w:p w14:paraId="4C5D94BD" w14:textId="77777777" w:rsidR="00E63DDB" w:rsidRDefault="00E63DDB" w:rsidP="00E63DDB"/>
    <w:p w14:paraId="0CDE95BC" w14:textId="77777777" w:rsidR="00E63DDB" w:rsidRDefault="00E63DDB" w:rsidP="00E63DDB"/>
    <w:p w14:paraId="5D245C36" w14:textId="77777777" w:rsidR="00E63DDB" w:rsidRPr="00E63DDB" w:rsidRDefault="00E63DDB" w:rsidP="00E63DDB"/>
    <w:p w14:paraId="0F5824CC" w14:textId="029E1B4D" w:rsidR="0011587F" w:rsidRDefault="0011587F" w:rsidP="0011587F">
      <w:pPr>
        <w:pStyle w:val="Heading2"/>
        <w:rPr>
          <w:rFonts w:ascii="Arial" w:hAnsi="Arial" w:cs="Arial"/>
          <w:color w:val="000000" w:themeColor="text1"/>
          <w:sz w:val="28"/>
          <w:szCs w:val="28"/>
        </w:rPr>
      </w:pPr>
      <w:bookmarkStart w:id="22" w:name="_Toc164848541"/>
      <w:r w:rsidRPr="0011587F">
        <w:rPr>
          <w:rFonts w:ascii="Arial" w:hAnsi="Arial" w:cs="Arial"/>
          <w:color w:val="000000" w:themeColor="text1"/>
          <w:sz w:val="28"/>
          <w:szCs w:val="28"/>
        </w:rPr>
        <w:lastRenderedPageBreak/>
        <w:t>Advantages and Shortcomings of the PBP, ARR, and NPV:</w:t>
      </w:r>
      <w:bookmarkEnd w:id="22"/>
    </w:p>
    <w:p w14:paraId="2F727EDE" w14:textId="77777777" w:rsidR="0011587F" w:rsidRDefault="0011587F" w:rsidP="0011587F"/>
    <w:p w14:paraId="4DC0C74A" w14:textId="77777777" w:rsidR="001B1F36" w:rsidRPr="002E1BCF" w:rsidRDefault="0011587F" w:rsidP="002E1BCF">
      <w:pPr>
        <w:pStyle w:val="Heading3"/>
        <w:rPr>
          <w:rFonts w:ascii="Arial" w:hAnsi="Arial" w:cs="Arial"/>
          <w:color w:val="000000" w:themeColor="text1"/>
        </w:rPr>
      </w:pPr>
      <w:bookmarkStart w:id="23" w:name="_Toc164848542"/>
      <w:r w:rsidRPr="002E1BCF">
        <w:rPr>
          <w:rFonts w:ascii="Arial" w:hAnsi="Arial" w:cs="Arial"/>
          <w:color w:val="000000" w:themeColor="text1"/>
        </w:rPr>
        <w:t>Pay Back Period:</w:t>
      </w:r>
      <w:bookmarkEnd w:id="23"/>
    </w:p>
    <w:tbl>
      <w:tblPr>
        <w:tblStyle w:val="TableGrid"/>
        <w:tblW w:w="0" w:type="auto"/>
        <w:tblLook w:val="04A0" w:firstRow="1" w:lastRow="0" w:firstColumn="1" w:lastColumn="0" w:noHBand="0" w:noVBand="1"/>
      </w:tblPr>
      <w:tblGrid>
        <w:gridCol w:w="5228"/>
        <w:gridCol w:w="5228"/>
      </w:tblGrid>
      <w:tr w:rsidR="001B1F36" w14:paraId="76F4E0F3" w14:textId="77777777" w:rsidTr="001B1F36">
        <w:tc>
          <w:tcPr>
            <w:tcW w:w="5228" w:type="dxa"/>
          </w:tcPr>
          <w:p w14:paraId="0B27C2A9" w14:textId="268A321B" w:rsidR="001B1F36" w:rsidRPr="001B1F36" w:rsidRDefault="001B1F36" w:rsidP="001B1F36">
            <w:pPr>
              <w:jc w:val="center"/>
              <w:rPr>
                <w:rFonts w:ascii="Arial" w:hAnsi="Arial" w:cs="Arial"/>
                <w:b/>
                <w:bCs/>
                <w:sz w:val="24"/>
                <w:szCs w:val="24"/>
              </w:rPr>
            </w:pPr>
            <w:r w:rsidRPr="001B1F36">
              <w:rPr>
                <w:rFonts w:ascii="Arial" w:hAnsi="Arial" w:cs="Arial"/>
                <w:b/>
                <w:bCs/>
                <w:sz w:val="24"/>
                <w:szCs w:val="24"/>
              </w:rPr>
              <w:t>Advantages</w:t>
            </w:r>
          </w:p>
        </w:tc>
        <w:tc>
          <w:tcPr>
            <w:tcW w:w="5228" w:type="dxa"/>
          </w:tcPr>
          <w:p w14:paraId="0F637E67" w14:textId="4B533501" w:rsidR="001B1F36" w:rsidRPr="001B1F36" w:rsidRDefault="001B1F36" w:rsidP="001B1F36">
            <w:pPr>
              <w:jc w:val="center"/>
              <w:rPr>
                <w:rFonts w:ascii="Arial" w:hAnsi="Arial" w:cs="Arial"/>
                <w:b/>
                <w:bCs/>
                <w:sz w:val="24"/>
                <w:szCs w:val="24"/>
              </w:rPr>
            </w:pPr>
            <w:r w:rsidRPr="001B1F36">
              <w:rPr>
                <w:rFonts w:ascii="Arial" w:hAnsi="Arial" w:cs="Arial"/>
                <w:b/>
                <w:bCs/>
                <w:sz w:val="24"/>
                <w:szCs w:val="24"/>
              </w:rPr>
              <w:t>Shortcomings</w:t>
            </w:r>
          </w:p>
        </w:tc>
      </w:tr>
      <w:tr w:rsidR="001B1F36" w14:paraId="520E7A94" w14:textId="77777777" w:rsidTr="001B1F36">
        <w:tc>
          <w:tcPr>
            <w:tcW w:w="5228" w:type="dxa"/>
          </w:tcPr>
          <w:p w14:paraId="488967EF" w14:textId="48158390" w:rsidR="001B1F36" w:rsidRDefault="00CB6527" w:rsidP="00CB6527">
            <w:pPr>
              <w:pStyle w:val="ListParagraph"/>
              <w:numPr>
                <w:ilvl w:val="0"/>
                <w:numId w:val="7"/>
              </w:numPr>
              <w:rPr>
                <w:rFonts w:ascii="Arial" w:hAnsi="Arial" w:cs="Arial"/>
                <w:sz w:val="24"/>
                <w:szCs w:val="24"/>
              </w:rPr>
            </w:pPr>
            <w:r w:rsidRPr="00CB6527">
              <w:rPr>
                <w:rFonts w:ascii="Arial" w:hAnsi="Arial" w:cs="Arial"/>
                <w:b/>
                <w:bCs/>
                <w:sz w:val="24"/>
                <w:szCs w:val="24"/>
              </w:rPr>
              <w:t>Simple and Easy to Understand</w:t>
            </w:r>
            <w:r w:rsidRPr="00CB6527">
              <w:rPr>
                <w:rFonts w:ascii="Arial" w:hAnsi="Arial" w:cs="Arial"/>
                <w:sz w:val="24"/>
                <w:szCs w:val="24"/>
              </w:rPr>
              <w:t>: Managers and stakeholders with different levels of financial competence can use PBP because it is easy to calculate and understand.</w:t>
            </w:r>
            <w:r w:rsidR="00DD3FCF">
              <w:rPr>
                <w:rFonts w:ascii="Arial" w:hAnsi="Arial" w:cs="Arial"/>
                <w:sz w:val="24"/>
                <w:szCs w:val="24"/>
              </w:rPr>
              <w:t xml:space="preserve"> It is especially ideal for small business’ due to the nature of the calculation.</w:t>
            </w:r>
          </w:p>
          <w:p w14:paraId="256DC339" w14:textId="3489710E" w:rsidR="00CB6527" w:rsidRPr="00CB6527" w:rsidRDefault="00C65764" w:rsidP="00CB6527">
            <w:pPr>
              <w:pStyle w:val="ListParagraph"/>
              <w:numPr>
                <w:ilvl w:val="0"/>
                <w:numId w:val="7"/>
              </w:numPr>
              <w:rPr>
                <w:rFonts w:ascii="Arial" w:hAnsi="Arial" w:cs="Arial"/>
                <w:sz w:val="24"/>
                <w:szCs w:val="24"/>
              </w:rPr>
            </w:pPr>
            <w:r w:rsidRPr="00C65764">
              <w:rPr>
                <w:rFonts w:ascii="Arial" w:hAnsi="Arial" w:cs="Arial"/>
                <w:b/>
                <w:bCs/>
                <w:sz w:val="24"/>
                <w:szCs w:val="24"/>
              </w:rPr>
              <w:t>Pay</w:t>
            </w:r>
            <w:r w:rsidRPr="00C65764">
              <w:rPr>
                <w:rFonts w:ascii="Arial" w:hAnsi="Arial" w:cs="Arial"/>
                <w:b/>
                <w:bCs/>
                <w:sz w:val="24"/>
                <w:szCs w:val="24"/>
              </w:rPr>
              <w:t>s</w:t>
            </w:r>
            <w:r w:rsidRPr="00C65764">
              <w:rPr>
                <w:rFonts w:ascii="Arial" w:hAnsi="Arial" w:cs="Arial"/>
                <w:b/>
                <w:bCs/>
                <w:sz w:val="24"/>
                <w:szCs w:val="24"/>
              </w:rPr>
              <w:t xml:space="preserve"> Attention to Risk and Liquidity:</w:t>
            </w:r>
            <w:r w:rsidRPr="00C65764">
              <w:rPr>
                <w:rFonts w:ascii="Arial" w:hAnsi="Arial" w:cs="Arial"/>
                <w:sz w:val="24"/>
                <w:szCs w:val="24"/>
              </w:rPr>
              <w:t xml:space="preserve"> PBP shows how quickly the initial investment can be recovered, which serves as a measure of liquidity. Because shorter payback periods result in quicker returns and less exposure to erratic future cash flows, it also provides insights into project risk.</w:t>
            </w:r>
          </w:p>
          <w:p w14:paraId="2B66B893" w14:textId="4D3F777C" w:rsidR="00CB6527" w:rsidRPr="00CB6527" w:rsidRDefault="00CB6527" w:rsidP="0011587F">
            <w:pPr>
              <w:rPr>
                <w:rFonts w:ascii="Arial" w:hAnsi="Arial" w:cs="Arial"/>
                <w:sz w:val="24"/>
                <w:szCs w:val="24"/>
              </w:rPr>
            </w:pPr>
          </w:p>
        </w:tc>
        <w:tc>
          <w:tcPr>
            <w:tcW w:w="5228" w:type="dxa"/>
          </w:tcPr>
          <w:p w14:paraId="1F5C81E3" w14:textId="77777777" w:rsidR="001B1F36" w:rsidRDefault="00BB37C3" w:rsidP="00BB37C3">
            <w:pPr>
              <w:pStyle w:val="ListParagraph"/>
              <w:numPr>
                <w:ilvl w:val="0"/>
                <w:numId w:val="7"/>
              </w:numPr>
              <w:rPr>
                <w:rFonts w:ascii="Arial" w:hAnsi="Arial" w:cs="Arial"/>
                <w:sz w:val="24"/>
                <w:szCs w:val="24"/>
              </w:rPr>
            </w:pPr>
            <w:r w:rsidRPr="00BB37C3">
              <w:rPr>
                <w:rFonts w:ascii="Arial" w:hAnsi="Arial" w:cs="Arial"/>
                <w:b/>
                <w:bCs/>
                <w:sz w:val="24"/>
                <w:szCs w:val="24"/>
              </w:rPr>
              <w:t>Ignores Time Value of Money:</w:t>
            </w:r>
            <w:r w:rsidRPr="00BB37C3">
              <w:rPr>
                <w:rFonts w:ascii="Arial" w:hAnsi="Arial" w:cs="Arial"/>
                <w:sz w:val="24"/>
                <w:szCs w:val="24"/>
              </w:rPr>
              <w:t xml:space="preserve"> PBP regards cash flows received across a range of time periods equally because it does not take time value of money into consideration. It thus overlooks the potential associated with capital and may result in less-than-ideal investment choices.</w:t>
            </w:r>
          </w:p>
          <w:p w14:paraId="1EC3A144" w14:textId="7B883E7B" w:rsidR="00BB37C3" w:rsidRPr="00BB37C3" w:rsidRDefault="002E1BCF" w:rsidP="00BB37C3">
            <w:pPr>
              <w:pStyle w:val="ListParagraph"/>
              <w:numPr>
                <w:ilvl w:val="0"/>
                <w:numId w:val="7"/>
              </w:numPr>
              <w:rPr>
                <w:rFonts w:ascii="Arial" w:hAnsi="Arial" w:cs="Arial"/>
                <w:sz w:val="24"/>
                <w:szCs w:val="24"/>
              </w:rPr>
            </w:pPr>
            <w:r w:rsidRPr="002E1BCF">
              <w:rPr>
                <w:rFonts w:ascii="Arial" w:hAnsi="Arial" w:cs="Arial"/>
                <w:b/>
                <w:bCs/>
                <w:sz w:val="24"/>
                <w:szCs w:val="24"/>
              </w:rPr>
              <w:t>Ignores Cash Flows After Payback Period:</w:t>
            </w:r>
            <w:r w:rsidRPr="002E1BCF">
              <w:rPr>
                <w:rFonts w:ascii="Arial" w:hAnsi="Arial" w:cs="Arial"/>
                <w:sz w:val="24"/>
                <w:szCs w:val="24"/>
              </w:rPr>
              <w:t xml:space="preserve"> PBP only considers the time needed to recover the initial investment, ignoring any cash flows that take place after the payback period. The potential worth and long-term profitability of initiatives with many revenue streams may be overlooked by this restriction</w:t>
            </w:r>
            <w:r w:rsidR="00CC58F7">
              <w:rPr>
                <w:rFonts w:ascii="Arial" w:hAnsi="Arial" w:cs="Arial"/>
                <w:sz w:val="24"/>
                <w:szCs w:val="24"/>
              </w:rPr>
              <w:t xml:space="preserve"> </w:t>
            </w:r>
            <w:r w:rsidR="00CC58F7" w:rsidRPr="00CC58F7">
              <w:rPr>
                <w:rFonts w:ascii="Arial" w:hAnsi="Arial" w:cs="Arial"/>
                <w:sz w:val="24"/>
                <w:szCs w:val="24"/>
              </w:rPr>
              <w:t>(Team, 2024)</w:t>
            </w:r>
            <w:r w:rsidR="00CC58F7">
              <w:rPr>
                <w:rFonts w:ascii="Arial" w:hAnsi="Arial" w:cs="Arial"/>
                <w:sz w:val="24"/>
                <w:szCs w:val="24"/>
              </w:rPr>
              <w:t>.</w:t>
            </w:r>
          </w:p>
        </w:tc>
      </w:tr>
    </w:tbl>
    <w:p w14:paraId="1C312D3E" w14:textId="1755B300" w:rsidR="0011587F" w:rsidRPr="0011587F" w:rsidRDefault="0011587F" w:rsidP="0011587F"/>
    <w:p w14:paraId="483367AF" w14:textId="1D119C46" w:rsidR="009C3448" w:rsidRPr="009C3448" w:rsidRDefault="009C3448" w:rsidP="009C3448">
      <w:pPr>
        <w:pStyle w:val="Heading3"/>
        <w:rPr>
          <w:rFonts w:ascii="Arial" w:hAnsi="Arial" w:cs="Arial"/>
          <w:color w:val="000000" w:themeColor="text1"/>
        </w:rPr>
      </w:pPr>
      <w:bookmarkStart w:id="24" w:name="_Toc164848543"/>
      <w:r w:rsidRPr="009C3448">
        <w:rPr>
          <w:rFonts w:ascii="Arial" w:hAnsi="Arial" w:cs="Arial"/>
          <w:color w:val="000000" w:themeColor="text1"/>
        </w:rPr>
        <w:t>Accounting Rate of Return:</w:t>
      </w:r>
      <w:bookmarkEnd w:id="24"/>
    </w:p>
    <w:tbl>
      <w:tblPr>
        <w:tblStyle w:val="TableGrid"/>
        <w:tblW w:w="0" w:type="auto"/>
        <w:tblLook w:val="04A0" w:firstRow="1" w:lastRow="0" w:firstColumn="1" w:lastColumn="0" w:noHBand="0" w:noVBand="1"/>
      </w:tblPr>
      <w:tblGrid>
        <w:gridCol w:w="5228"/>
        <w:gridCol w:w="5228"/>
      </w:tblGrid>
      <w:tr w:rsidR="009C3448" w14:paraId="56689EA5" w14:textId="77777777" w:rsidTr="00350F4A">
        <w:tc>
          <w:tcPr>
            <w:tcW w:w="5228" w:type="dxa"/>
          </w:tcPr>
          <w:p w14:paraId="23259021" w14:textId="77777777" w:rsidR="009C3448" w:rsidRPr="001B1F36" w:rsidRDefault="009C3448" w:rsidP="00350F4A">
            <w:pPr>
              <w:jc w:val="center"/>
              <w:rPr>
                <w:rFonts w:ascii="Arial" w:hAnsi="Arial" w:cs="Arial"/>
                <w:b/>
                <w:bCs/>
                <w:sz w:val="24"/>
                <w:szCs w:val="24"/>
              </w:rPr>
            </w:pPr>
            <w:r w:rsidRPr="001B1F36">
              <w:rPr>
                <w:rFonts w:ascii="Arial" w:hAnsi="Arial" w:cs="Arial"/>
                <w:b/>
                <w:bCs/>
                <w:sz w:val="24"/>
                <w:szCs w:val="24"/>
              </w:rPr>
              <w:t>Advantages</w:t>
            </w:r>
          </w:p>
        </w:tc>
        <w:tc>
          <w:tcPr>
            <w:tcW w:w="5228" w:type="dxa"/>
          </w:tcPr>
          <w:p w14:paraId="73170D5D" w14:textId="77777777" w:rsidR="009C3448" w:rsidRPr="001B1F36" w:rsidRDefault="009C3448" w:rsidP="00350F4A">
            <w:pPr>
              <w:jc w:val="center"/>
              <w:rPr>
                <w:rFonts w:ascii="Arial" w:hAnsi="Arial" w:cs="Arial"/>
                <w:b/>
                <w:bCs/>
                <w:sz w:val="24"/>
                <w:szCs w:val="24"/>
              </w:rPr>
            </w:pPr>
            <w:r w:rsidRPr="001B1F36">
              <w:rPr>
                <w:rFonts w:ascii="Arial" w:hAnsi="Arial" w:cs="Arial"/>
                <w:b/>
                <w:bCs/>
                <w:sz w:val="24"/>
                <w:szCs w:val="24"/>
              </w:rPr>
              <w:t>Shortcomings</w:t>
            </w:r>
          </w:p>
        </w:tc>
      </w:tr>
      <w:tr w:rsidR="009C3448" w14:paraId="7C00C68A" w14:textId="77777777" w:rsidTr="00350F4A">
        <w:tc>
          <w:tcPr>
            <w:tcW w:w="5228" w:type="dxa"/>
          </w:tcPr>
          <w:p w14:paraId="7BD31071" w14:textId="77777777" w:rsidR="004A61B0" w:rsidRPr="004A61B0" w:rsidRDefault="004A61B0" w:rsidP="00350F4A">
            <w:pPr>
              <w:pStyle w:val="ListParagraph"/>
              <w:numPr>
                <w:ilvl w:val="0"/>
                <w:numId w:val="7"/>
              </w:numPr>
              <w:rPr>
                <w:rFonts w:ascii="Arial" w:hAnsi="Arial" w:cs="Arial"/>
                <w:sz w:val="24"/>
                <w:szCs w:val="24"/>
              </w:rPr>
            </w:pPr>
            <w:r w:rsidRPr="004A61B0">
              <w:rPr>
                <w:rFonts w:ascii="Arial" w:hAnsi="Arial" w:cs="Arial"/>
                <w:b/>
                <w:bCs/>
                <w:sz w:val="24"/>
                <w:szCs w:val="24"/>
              </w:rPr>
              <w:t xml:space="preserve">Ease of Calculation and Interpretation: </w:t>
            </w:r>
            <w:r w:rsidRPr="004A61B0">
              <w:rPr>
                <w:rFonts w:ascii="Arial" w:hAnsi="Arial" w:cs="Arial"/>
                <w:sz w:val="24"/>
                <w:szCs w:val="24"/>
              </w:rPr>
              <w:t>Managers and stakeholders without specialised financial understanding can easily calculate and comprehend ARR due to its relative simplicity.</w:t>
            </w:r>
          </w:p>
          <w:p w14:paraId="15E85E74" w14:textId="63EB5A98" w:rsidR="009C3448" w:rsidRPr="00E1411A" w:rsidRDefault="00E1411A" w:rsidP="00E1411A">
            <w:pPr>
              <w:pStyle w:val="ListParagraph"/>
              <w:numPr>
                <w:ilvl w:val="0"/>
                <w:numId w:val="7"/>
              </w:numPr>
              <w:rPr>
                <w:rFonts w:ascii="Arial" w:hAnsi="Arial" w:cs="Arial"/>
                <w:sz w:val="24"/>
                <w:szCs w:val="24"/>
              </w:rPr>
            </w:pPr>
            <w:r w:rsidRPr="00E1411A">
              <w:rPr>
                <w:rFonts w:ascii="Arial" w:hAnsi="Arial" w:cs="Arial"/>
                <w:b/>
                <w:bCs/>
                <w:sz w:val="24"/>
                <w:szCs w:val="24"/>
              </w:rPr>
              <w:t>Considers</w:t>
            </w:r>
            <w:r w:rsidRPr="00E1411A">
              <w:rPr>
                <w:rFonts w:ascii="Arial" w:hAnsi="Arial" w:cs="Arial"/>
                <w:b/>
                <w:bCs/>
                <w:sz w:val="24"/>
                <w:szCs w:val="24"/>
              </w:rPr>
              <w:t xml:space="preserve"> Average Profitability: </w:t>
            </w:r>
            <w:r w:rsidRPr="00E1411A">
              <w:rPr>
                <w:rFonts w:ascii="Arial" w:hAnsi="Arial" w:cs="Arial"/>
                <w:sz w:val="24"/>
                <w:szCs w:val="24"/>
              </w:rPr>
              <w:t>The average annual accounting profit produced by a project in relation to the average investment is determined by the ARR. It helps stakeholders evaluate the project's financial performance by giving them a measure of profitability over the course of the project.</w:t>
            </w:r>
          </w:p>
        </w:tc>
        <w:tc>
          <w:tcPr>
            <w:tcW w:w="5228" w:type="dxa"/>
          </w:tcPr>
          <w:p w14:paraId="699B7411" w14:textId="7A66746E" w:rsidR="00803082" w:rsidRPr="00803082" w:rsidRDefault="00803082" w:rsidP="00350F4A">
            <w:pPr>
              <w:pStyle w:val="ListParagraph"/>
              <w:numPr>
                <w:ilvl w:val="0"/>
                <w:numId w:val="7"/>
              </w:numPr>
              <w:rPr>
                <w:rFonts w:ascii="Arial" w:hAnsi="Arial" w:cs="Arial"/>
                <w:sz w:val="24"/>
                <w:szCs w:val="24"/>
              </w:rPr>
            </w:pPr>
            <w:r w:rsidRPr="00803082">
              <w:rPr>
                <w:rFonts w:ascii="Arial" w:hAnsi="Arial" w:cs="Arial"/>
                <w:b/>
                <w:bCs/>
                <w:sz w:val="24"/>
                <w:szCs w:val="24"/>
              </w:rPr>
              <w:t xml:space="preserve">Ignores Time Value of Money: </w:t>
            </w:r>
            <w:r w:rsidRPr="00803082">
              <w:rPr>
                <w:rFonts w:ascii="Arial" w:hAnsi="Arial" w:cs="Arial"/>
                <w:sz w:val="24"/>
                <w:szCs w:val="24"/>
              </w:rPr>
              <w:t xml:space="preserve">By treating cash flows equally regardless of when they occur, ARR, like PBP, ignores the time value of money. This may cause judgements of profitability to be </w:t>
            </w:r>
            <w:r w:rsidRPr="00803082">
              <w:rPr>
                <w:rFonts w:ascii="Arial" w:hAnsi="Arial" w:cs="Arial"/>
                <w:sz w:val="24"/>
                <w:szCs w:val="24"/>
              </w:rPr>
              <w:t>biased</w:t>
            </w:r>
            <w:r w:rsidRPr="00803082">
              <w:rPr>
                <w:rFonts w:ascii="Arial" w:hAnsi="Arial" w:cs="Arial"/>
                <w:sz w:val="24"/>
                <w:szCs w:val="24"/>
              </w:rPr>
              <w:t>, particularly in the case of projects whose cash flows fluctuate over time.</w:t>
            </w:r>
          </w:p>
          <w:p w14:paraId="50D0F982" w14:textId="30AD8A9A" w:rsidR="009C3448" w:rsidRPr="00BB37C3" w:rsidRDefault="00357168" w:rsidP="00350F4A">
            <w:pPr>
              <w:pStyle w:val="ListParagraph"/>
              <w:numPr>
                <w:ilvl w:val="0"/>
                <w:numId w:val="7"/>
              </w:numPr>
              <w:rPr>
                <w:rFonts w:ascii="Arial" w:hAnsi="Arial" w:cs="Arial"/>
                <w:sz w:val="24"/>
                <w:szCs w:val="24"/>
              </w:rPr>
            </w:pPr>
            <w:r w:rsidRPr="00357168">
              <w:rPr>
                <w:rFonts w:ascii="Arial" w:hAnsi="Arial" w:cs="Arial"/>
                <w:b/>
                <w:bCs/>
                <w:sz w:val="24"/>
                <w:szCs w:val="24"/>
              </w:rPr>
              <w:t xml:space="preserve">Leaves Out Cash Flows Over Average duration: </w:t>
            </w:r>
            <w:r w:rsidRPr="00357168">
              <w:rPr>
                <w:rFonts w:ascii="Arial" w:hAnsi="Arial" w:cs="Arial"/>
                <w:sz w:val="24"/>
                <w:szCs w:val="24"/>
              </w:rPr>
              <w:t xml:space="preserve">ARR only </w:t>
            </w:r>
            <w:r w:rsidR="005B32A9" w:rsidRPr="00357168">
              <w:rPr>
                <w:rFonts w:ascii="Arial" w:hAnsi="Arial" w:cs="Arial"/>
                <w:sz w:val="24"/>
                <w:szCs w:val="24"/>
              </w:rPr>
              <w:t>considers</w:t>
            </w:r>
            <w:r w:rsidRPr="00357168">
              <w:rPr>
                <w:rFonts w:ascii="Arial" w:hAnsi="Arial" w:cs="Arial"/>
                <w:sz w:val="24"/>
                <w:szCs w:val="24"/>
              </w:rPr>
              <w:t xml:space="preserve"> a project's average profitability; it makes no allowances for cash flows that happen over the project's typical duration. As a result, it can ignore the potential and long-term worth of projects with sustained revenue sources</w:t>
            </w:r>
            <w:r w:rsidR="00A76B35">
              <w:rPr>
                <w:rFonts w:ascii="Arial" w:hAnsi="Arial" w:cs="Arial"/>
                <w:sz w:val="24"/>
                <w:szCs w:val="24"/>
              </w:rPr>
              <w:t xml:space="preserve"> </w:t>
            </w:r>
            <w:r w:rsidR="00A76B35" w:rsidRPr="00A76B35">
              <w:rPr>
                <w:rFonts w:ascii="Arial" w:hAnsi="Arial" w:cs="Arial"/>
                <w:sz w:val="24"/>
                <w:szCs w:val="24"/>
              </w:rPr>
              <w:t>(Naik, 2021)</w:t>
            </w:r>
            <w:r w:rsidR="00A76B35">
              <w:rPr>
                <w:rFonts w:ascii="Arial" w:hAnsi="Arial" w:cs="Arial"/>
                <w:sz w:val="24"/>
                <w:szCs w:val="24"/>
              </w:rPr>
              <w:t>.</w:t>
            </w:r>
          </w:p>
        </w:tc>
      </w:tr>
    </w:tbl>
    <w:p w14:paraId="6B73C7CC" w14:textId="77777777" w:rsidR="009C3448" w:rsidRDefault="009C3448" w:rsidP="009C3448"/>
    <w:p w14:paraId="14F96A73" w14:textId="77777777" w:rsidR="00CC05C8" w:rsidRDefault="00CC05C8" w:rsidP="009C3448"/>
    <w:p w14:paraId="162DABCF" w14:textId="77777777" w:rsidR="00CC05C8" w:rsidRPr="009C3448" w:rsidRDefault="00CC05C8" w:rsidP="009C3448"/>
    <w:p w14:paraId="2E89F93A" w14:textId="3F7E012F" w:rsidR="00064015" w:rsidRDefault="009635E2" w:rsidP="009635E2">
      <w:pPr>
        <w:pStyle w:val="Heading3"/>
        <w:rPr>
          <w:rFonts w:ascii="Arial" w:hAnsi="Arial" w:cs="Arial"/>
          <w:color w:val="000000" w:themeColor="text1"/>
        </w:rPr>
      </w:pPr>
      <w:bookmarkStart w:id="25" w:name="_Toc164848544"/>
      <w:r w:rsidRPr="009635E2">
        <w:rPr>
          <w:rFonts w:ascii="Arial" w:hAnsi="Arial" w:cs="Arial"/>
          <w:color w:val="000000" w:themeColor="text1"/>
        </w:rPr>
        <w:lastRenderedPageBreak/>
        <w:t>Net Present Value</w:t>
      </w:r>
      <w:r>
        <w:rPr>
          <w:rFonts w:ascii="Arial" w:hAnsi="Arial" w:cs="Arial"/>
          <w:color w:val="000000" w:themeColor="text1"/>
        </w:rPr>
        <w:t>:</w:t>
      </w:r>
      <w:bookmarkEnd w:id="25"/>
    </w:p>
    <w:tbl>
      <w:tblPr>
        <w:tblStyle w:val="TableGrid"/>
        <w:tblW w:w="0" w:type="auto"/>
        <w:tblLook w:val="04A0" w:firstRow="1" w:lastRow="0" w:firstColumn="1" w:lastColumn="0" w:noHBand="0" w:noVBand="1"/>
      </w:tblPr>
      <w:tblGrid>
        <w:gridCol w:w="5228"/>
        <w:gridCol w:w="5228"/>
      </w:tblGrid>
      <w:tr w:rsidR="009635E2" w14:paraId="30928224" w14:textId="77777777" w:rsidTr="00350F4A">
        <w:tc>
          <w:tcPr>
            <w:tcW w:w="5228" w:type="dxa"/>
          </w:tcPr>
          <w:p w14:paraId="5F2F2A9A" w14:textId="77777777" w:rsidR="009635E2" w:rsidRPr="001B1F36" w:rsidRDefault="009635E2" w:rsidP="00350F4A">
            <w:pPr>
              <w:jc w:val="center"/>
              <w:rPr>
                <w:rFonts w:ascii="Arial" w:hAnsi="Arial" w:cs="Arial"/>
                <w:b/>
                <w:bCs/>
                <w:sz w:val="24"/>
                <w:szCs w:val="24"/>
              </w:rPr>
            </w:pPr>
            <w:r w:rsidRPr="001B1F36">
              <w:rPr>
                <w:rFonts w:ascii="Arial" w:hAnsi="Arial" w:cs="Arial"/>
                <w:b/>
                <w:bCs/>
                <w:sz w:val="24"/>
                <w:szCs w:val="24"/>
              </w:rPr>
              <w:t>Advantages</w:t>
            </w:r>
          </w:p>
        </w:tc>
        <w:tc>
          <w:tcPr>
            <w:tcW w:w="5228" w:type="dxa"/>
          </w:tcPr>
          <w:p w14:paraId="2F8230AF" w14:textId="77777777" w:rsidR="009635E2" w:rsidRPr="001B1F36" w:rsidRDefault="009635E2" w:rsidP="00350F4A">
            <w:pPr>
              <w:jc w:val="center"/>
              <w:rPr>
                <w:rFonts w:ascii="Arial" w:hAnsi="Arial" w:cs="Arial"/>
                <w:b/>
                <w:bCs/>
                <w:sz w:val="24"/>
                <w:szCs w:val="24"/>
              </w:rPr>
            </w:pPr>
            <w:r w:rsidRPr="001B1F36">
              <w:rPr>
                <w:rFonts w:ascii="Arial" w:hAnsi="Arial" w:cs="Arial"/>
                <w:b/>
                <w:bCs/>
                <w:sz w:val="24"/>
                <w:szCs w:val="24"/>
              </w:rPr>
              <w:t>Shortcomings</w:t>
            </w:r>
          </w:p>
        </w:tc>
      </w:tr>
      <w:tr w:rsidR="009635E2" w14:paraId="5AC5E499" w14:textId="77777777" w:rsidTr="00350F4A">
        <w:tc>
          <w:tcPr>
            <w:tcW w:w="5228" w:type="dxa"/>
          </w:tcPr>
          <w:p w14:paraId="7F976D60" w14:textId="69480A0D" w:rsidR="009635E2" w:rsidRPr="00860E29" w:rsidRDefault="00860E29" w:rsidP="00860E29">
            <w:pPr>
              <w:pStyle w:val="ListParagraph"/>
              <w:numPr>
                <w:ilvl w:val="0"/>
                <w:numId w:val="7"/>
              </w:numPr>
              <w:rPr>
                <w:rFonts w:ascii="Arial" w:hAnsi="Arial" w:cs="Arial"/>
                <w:sz w:val="24"/>
                <w:szCs w:val="24"/>
              </w:rPr>
            </w:pPr>
            <w:r w:rsidRPr="00860E29">
              <w:rPr>
                <w:rFonts w:ascii="Arial" w:hAnsi="Arial" w:cs="Arial"/>
                <w:b/>
                <w:bCs/>
                <w:sz w:val="24"/>
                <w:szCs w:val="24"/>
              </w:rPr>
              <w:t xml:space="preserve">Time Value of Money is </w:t>
            </w:r>
            <w:r w:rsidRPr="00860E29">
              <w:rPr>
                <w:rFonts w:ascii="Arial" w:hAnsi="Arial" w:cs="Arial"/>
                <w:b/>
                <w:bCs/>
                <w:sz w:val="24"/>
                <w:szCs w:val="24"/>
              </w:rPr>
              <w:t>considered</w:t>
            </w:r>
            <w:r w:rsidRPr="00860E29">
              <w:rPr>
                <w:rFonts w:ascii="Arial" w:hAnsi="Arial" w:cs="Arial"/>
                <w:b/>
                <w:bCs/>
                <w:sz w:val="24"/>
                <w:szCs w:val="24"/>
              </w:rPr>
              <w:t>:</w:t>
            </w:r>
            <w:r w:rsidRPr="00860E29">
              <w:rPr>
                <w:rFonts w:ascii="Arial" w:hAnsi="Arial" w:cs="Arial"/>
                <w:sz w:val="24"/>
                <w:szCs w:val="24"/>
              </w:rPr>
              <w:t xml:space="preserve"> By applying a selected discount rate to future cash flows, net present value (NPV) accounts for the time value of money. This makes it possible to evaluate project profitability and investment returns with more accuracy.</w:t>
            </w:r>
          </w:p>
          <w:p w14:paraId="6F4BF4F5" w14:textId="48117F86" w:rsidR="009635E2" w:rsidRPr="00E1411A" w:rsidRDefault="000C2C83" w:rsidP="00350F4A">
            <w:pPr>
              <w:pStyle w:val="ListParagraph"/>
              <w:numPr>
                <w:ilvl w:val="0"/>
                <w:numId w:val="7"/>
              </w:numPr>
              <w:rPr>
                <w:rFonts w:ascii="Arial" w:hAnsi="Arial" w:cs="Arial"/>
                <w:sz w:val="24"/>
                <w:szCs w:val="24"/>
              </w:rPr>
            </w:pPr>
            <w:r w:rsidRPr="00EF55E2">
              <w:rPr>
                <w:rFonts w:ascii="Arial" w:hAnsi="Arial" w:cs="Arial"/>
                <w:b/>
                <w:bCs/>
                <w:sz w:val="24"/>
                <w:szCs w:val="24"/>
              </w:rPr>
              <w:t>Considers</w:t>
            </w:r>
            <w:r w:rsidR="00EF55E2" w:rsidRPr="00EF55E2">
              <w:rPr>
                <w:rFonts w:ascii="Arial" w:hAnsi="Arial" w:cs="Arial"/>
                <w:b/>
                <w:bCs/>
                <w:sz w:val="24"/>
                <w:szCs w:val="24"/>
              </w:rPr>
              <w:t xml:space="preserve"> All Cash Flows: </w:t>
            </w:r>
            <w:r w:rsidR="00EF55E2" w:rsidRPr="000C2C83">
              <w:rPr>
                <w:rFonts w:ascii="Arial" w:hAnsi="Arial" w:cs="Arial"/>
                <w:sz w:val="24"/>
                <w:szCs w:val="24"/>
              </w:rPr>
              <w:t xml:space="preserve">Over the course of a project, net present value (NPV) accounts for all cash flows produced by the project, including both inflows and outflows. Better decision-making is made possible by NPV, which offers a thorough assessment of project value by </w:t>
            </w:r>
            <w:r w:rsidR="00FF16DA" w:rsidRPr="000C2C83">
              <w:rPr>
                <w:rFonts w:ascii="Arial" w:hAnsi="Arial" w:cs="Arial"/>
                <w:sz w:val="24"/>
                <w:szCs w:val="24"/>
              </w:rPr>
              <w:t>considering</w:t>
            </w:r>
            <w:r w:rsidR="00EF55E2" w:rsidRPr="000C2C83">
              <w:rPr>
                <w:rFonts w:ascii="Arial" w:hAnsi="Arial" w:cs="Arial"/>
                <w:sz w:val="24"/>
                <w:szCs w:val="24"/>
              </w:rPr>
              <w:t xml:space="preserve"> the entire cash flow profile.</w:t>
            </w:r>
          </w:p>
        </w:tc>
        <w:tc>
          <w:tcPr>
            <w:tcW w:w="5228" w:type="dxa"/>
          </w:tcPr>
          <w:p w14:paraId="2177D2FD" w14:textId="77777777" w:rsidR="001B61AB" w:rsidRPr="001B61AB" w:rsidRDefault="001B61AB" w:rsidP="00350F4A">
            <w:pPr>
              <w:pStyle w:val="ListParagraph"/>
              <w:numPr>
                <w:ilvl w:val="0"/>
                <w:numId w:val="7"/>
              </w:numPr>
              <w:rPr>
                <w:rFonts w:ascii="Arial" w:hAnsi="Arial" w:cs="Arial"/>
                <w:sz w:val="24"/>
                <w:szCs w:val="24"/>
              </w:rPr>
            </w:pPr>
            <w:r w:rsidRPr="001B61AB">
              <w:rPr>
                <w:rFonts w:ascii="Arial" w:hAnsi="Arial" w:cs="Arial"/>
                <w:b/>
                <w:bCs/>
                <w:sz w:val="24"/>
                <w:szCs w:val="24"/>
              </w:rPr>
              <w:t xml:space="preserve">Depends on Estimates and Assumptions: </w:t>
            </w:r>
            <w:r w:rsidRPr="001B61AB">
              <w:rPr>
                <w:rFonts w:ascii="Arial" w:hAnsi="Arial" w:cs="Arial"/>
                <w:sz w:val="24"/>
                <w:szCs w:val="24"/>
              </w:rPr>
              <w:t>The determination of the discount rate and the cash flow predictions are just two of the estimates and assumptions that go into NPV calculations. Inputs that are too optimistic or inaccurate can result in inaccurate NPV calculations and poorly informed decisions.</w:t>
            </w:r>
            <w:r w:rsidRPr="001B61AB">
              <w:rPr>
                <w:rFonts w:ascii="Arial" w:hAnsi="Arial" w:cs="Arial"/>
                <w:b/>
                <w:bCs/>
                <w:sz w:val="24"/>
                <w:szCs w:val="24"/>
              </w:rPr>
              <w:t xml:space="preserve"> </w:t>
            </w:r>
          </w:p>
          <w:p w14:paraId="5C62F10A" w14:textId="3395241B" w:rsidR="009635E2" w:rsidRPr="00BB37C3" w:rsidRDefault="00A5489A" w:rsidP="00350F4A">
            <w:pPr>
              <w:pStyle w:val="ListParagraph"/>
              <w:numPr>
                <w:ilvl w:val="0"/>
                <w:numId w:val="7"/>
              </w:numPr>
              <w:rPr>
                <w:rFonts w:ascii="Arial" w:hAnsi="Arial" w:cs="Arial"/>
                <w:sz w:val="24"/>
                <w:szCs w:val="24"/>
              </w:rPr>
            </w:pPr>
            <w:r w:rsidRPr="00A5489A">
              <w:rPr>
                <w:rFonts w:ascii="Arial" w:hAnsi="Arial" w:cs="Arial"/>
                <w:b/>
                <w:bCs/>
                <w:sz w:val="24"/>
                <w:szCs w:val="24"/>
              </w:rPr>
              <w:t xml:space="preserve">Choosing the Right Discount Rate: </w:t>
            </w:r>
            <w:r w:rsidRPr="00A5489A">
              <w:rPr>
                <w:rFonts w:ascii="Arial" w:hAnsi="Arial" w:cs="Arial"/>
                <w:sz w:val="24"/>
                <w:szCs w:val="24"/>
              </w:rPr>
              <w:t>Choosing the right discount rate for the analysis of NPV can be difficult and random.  It is vital to properly explain and verify the chosen discount rate because different rates can produce NPV values that are noticeably different from one another</w:t>
            </w:r>
            <w:r w:rsidR="003E093C">
              <w:rPr>
                <w:rFonts w:ascii="Arial" w:hAnsi="Arial" w:cs="Arial"/>
                <w:sz w:val="24"/>
                <w:szCs w:val="24"/>
              </w:rPr>
              <w:t xml:space="preserve"> </w:t>
            </w:r>
            <w:r w:rsidR="003E093C" w:rsidRPr="003E093C">
              <w:rPr>
                <w:rFonts w:ascii="Arial" w:hAnsi="Arial" w:cs="Arial"/>
                <w:sz w:val="24"/>
                <w:szCs w:val="24"/>
              </w:rPr>
              <w:t>(NASDAQ, 2015)</w:t>
            </w:r>
            <w:r w:rsidR="003E093C">
              <w:rPr>
                <w:rFonts w:ascii="Arial" w:hAnsi="Arial" w:cs="Arial"/>
                <w:sz w:val="24"/>
                <w:szCs w:val="24"/>
              </w:rPr>
              <w:t>.</w:t>
            </w:r>
          </w:p>
        </w:tc>
      </w:tr>
    </w:tbl>
    <w:p w14:paraId="03D3CC5C" w14:textId="60F8EC00" w:rsidR="009635E2" w:rsidRDefault="009635E2" w:rsidP="009635E2"/>
    <w:p w14:paraId="1517193F" w14:textId="77777777" w:rsidR="00437494" w:rsidRDefault="00437494" w:rsidP="009635E2"/>
    <w:p w14:paraId="008565E8" w14:textId="77777777" w:rsidR="00437494" w:rsidRDefault="00437494" w:rsidP="009635E2"/>
    <w:p w14:paraId="47BE1C5F" w14:textId="77777777" w:rsidR="00437494" w:rsidRDefault="00437494" w:rsidP="009635E2"/>
    <w:p w14:paraId="0D320C51" w14:textId="77777777" w:rsidR="00437494" w:rsidRDefault="00437494" w:rsidP="009635E2"/>
    <w:p w14:paraId="66545743" w14:textId="77777777" w:rsidR="00437494" w:rsidRDefault="00437494" w:rsidP="009635E2"/>
    <w:p w14:paraId="5E0055C3" w14:textId="77777777" w:rsidR="00437494" w:rsidRDefault="00437494" w:rsidP="009635E2"/>
    <w:p w14:paraId="30026D2D" w14:textId="77777777" w:rsidR="00437494" w:rsidRDefault="00437494" w:rsidP="009635E2"/>
    <w:p w14:paraId="297ECBF9" w14:textId="77777777" w:rsidR="00437494" w:rsidRDefault="00437494" w:rsidP="009635E2"/>
    <w:p w14:paraId="1164B808" w14:textId="77777777" w:rsidR="00437494" w:rsidRDefault="00437494" w:rsidP="009635E2"/>
    <w:p w14:paraId="497829D1" w14:textId="77777777" w:rsidR="00437494" w:rsidRDefault="00437494" w:rsidP="009635E2"/>
    <w:p w14:paraId="04352C64" w14:textId="77777777" w:rsidR="00437494" w:rsidRDefault="00437494" w:rsidP="009635E2"/>
    <w:p w14:paraId="70D7CD61" w14:textId="77777777" w:rsidR="00437494" w:rsidRDefault="00437494" w:rsidP="009635E2"/>
    <w:p w14:paraId="681B27EF" w14:textId="77777777" w:rsidR="00437494" w:rsidRDefault="00437494" w:rsidP="009635E2"/>
    <w:p w14:paraId="1854BF1D" w14:textId="77777777" w:rsidR="00437494" w:rsidRDefault="00437494" w:rsidP="009635E2"/>
    <w:p w14:paraId="24265CAE" w14:textId="77777777" w:rsidR="00437494" w:rsidRDefault="00437494" w:rsidP="009635E2"/>
    <w:p w14:paraId="1212D6F5" w14:textId="77777777" w:rsidR="00437494" w:rsidRDefault="00437494" w:rsidP="009635E2"/>
    <w:p w14:paraId="154EC015" w14:textId="77777777" w:rsidR="00437494" w:rsidRPr="009635E2" w:rsidRDefault="00437494" w:rsidP="009635E2"/>
    <w:p w14:paraId="7E501629" w14:textId="05955496" w:rsidR="79D0B81F" w:rsidRPr="007A6DB2" w:rsidRDefault="00E1581C" w:rsidP="00E1581C">
      <w:pPr>
        <w:pStyle w:val="Heading2"/>
        <w:rPr>
          <w:rFonts w:ascii="Arial" w:hAnsi="Arial" w:cs="Arial"/>
          <w:color w:val="000000" w:themeColor="text1"/>
          <w:sz w:val="28"/>
          <w:szCs w:val="28"/>
        </w:rPr>
      </w:pPr>
      <w:bookmarkStart w:id="26" w:name="_Toc164848545"/>
      <w:r w:rsidRPr="007A6DB2">
        <w:rPr>
          <w:rFonts w:ascii="Arial" w:hAnsi="Arial" w:cs="Arial"/>
          <w:color w:val="000000" w:themeColor="text1"/>
          <w:sz w:val="28"/>
          <w:szCs w:val="28"/>
        </w:rPr>
        <w:lastRenderedPageBreak/>
        <w:t>Non-Financial Factors:</w:t>
      </w:r>
      <w:bookmarkEnd w:id="26"/>
    </w:p>
    <w:p w14:paraId="43A48557" w14:textId="28C8E256" w:rsidR="000836AA" w:rsidRDefault="007039C0" w:rsidP="01CCBA3D">
      <w:pPr>
        <w:rPr>
          <w:rFonts w:ascii="Arial" w:hAnsi="Arial" w:cs="Arial"/>
          <w:color w:val="000000" w:themeColor="text1"/>
          <w:sz w:val="24"/>
          <w:szCs w:val="24"/>
        </w:rPr>
      </w:pPr>
      <w:r>
        <w:rPr>
          <w:rFonts w:ascii="Arial" w:hAnsi="Arial" w:cs="Arial"/>
          <w:color w:val="000000" w:themeColor="text1"/>
          <w:sz w:val="24"/>
          <w:szCs w:val="24"/>
        </w:rPr>
        <w:t>Within every business, m</w:t>
      </w:r>
      <w:r w:rsidR="00BE0462" w:rsidRPr="007039C0">
        <w:rPr>
          <w:rFonts w:ascii="Arial" w:hAnsi="Arial" w:cs="Arial"/>
          <w:color w:val="000000" w:themeColor="text1"/>
          <w:sz w:val="24"/>
          <w:szCs w:val="24"/>
        </w:rPr>
        <w:t>anagement</w:t>
      </w:r>
      <w:r w:rsidR="00E73C70" w:rsidRPr="007039C0">
        <w:rPr>
          <w:rFonts w:ascii="Arial" w:hAnsi="Arial" w:cs="Arial"/>
          <w:color w:val="000000" w:themeColor="text1"/>
          <w:sz w:val="24"/>
          <w:szCs w:val="24"/>
        </w:rPr>
        <w:t xml:space="preserve"> </w:t>
      </w:r>
      <w:r w:rsidRPr="007039C0">
        <w:rPr>
          <w:rFonts w:ascii="Arial" w:hAnsi="Arial" w:cs="Arial"/>
          <w:color w:val="000000" w:themeColor="text1"/>
          <w:sz w:val="24"/>
          <w:szCs w:val="24"/>
        </w:rPr>
        <w:t>needs</w:t>
      </w:r>
      <w:r w:rsidR="00E73C70" w:rsidRPr="007039C0">
        <w:rPr>
          <w:rFonts w:ascii="Arial" w:hAnsi="Arial" w:cs="Arial"/>
          <w:color w:val="000000" w:themeColor="text1"/>
          <w:sz w:val="24"/>
          <w:szCs w:val="24"/>
        </w:rPr>
        <w:t xml:space="preserve"> to consider which non-financial factors could affect them in a non-monetary way. Below are </w:t>
      </w:r>
      <w:r w:rsidR="004F19DF">
        <w:rPr>
          <w:rFonts w:ascii="Arial" w:hAnsi="Arial" w:cs="Arial"/>
          <w:color w:val="000000" w:themeColor="text1"/>
          <w:sz w:val="24"/>
          <w:szCs w:val="24"/>
        </w:rPr>
        <w:t xml:space="preserve">three factors that were believed to be the upmost important </w:t>
      </w:r>
      <w:r w:rsidR="003E5396">
        <w:rPr>
          <w:rFonts w:ascii="Arial" w:hAnsi="Arial" w:cs="Arial"/>
          <w:color w:val="000000" w:themeColor="text1"/>
          <w:sz w:val="24"/>
          <w:szCs w:val="24"/>
        </w:rPr>
        <w:t xml:space="preserve">before considering </w:t>
      </w:r>
      <w:r w:rsidRPr="007039C0">
        <w:rPr>
          <w:rFonts w:ascii="Arial" w:hAnsi="Arial" w:cs="Arial"/>
          <w:color w:val="000000" w:themeColor="text1"/>
          <w:sz w:val="24"/>
          <w:szCs w:val="24"/>
        </w:rPr>
        <w:t>starting on Project A or B:</w:t>
      </w:r>
    </w:p>
    <w:p w14:paraId="05373643" w14:textId="2EFEF0A9" w:rsidR="00DF7724" w:rsidRPr="007039C0" w:rsidRDefault="00F320FD" w:rsidP="01CCBA3D">
      <w:pPr>
        <w:rPr>
          <w:rFonts w:ascii="Arial" w:hAnsi="Arial" w:cs="Arial"/>
          <w:color w:val="000000" w:themeColor="text1"/>
          <w:sz w:val="24"/>
          <w:szCs w:val="24"/>
        </w:rPr>
      </w:pPr>
      <w:r>
        <w:rPr>
          <w:rFonts w:ascii="Arial" w:hAnsi="Arial" w:cs="Arial"/>
          <w:color w:val="000000" w:themeColor="text1"/>
          <w:sz w:val="24"/>
          <w:szCs w:val="24"/>
        </w:rPr>
        <w:t xml:space="preserve">Factor 1: Employee Well-Being, Diversity, Inclusion and </w:t>
      </w:r>
      <w:r w:rsidR="00CE7E62">
        <w:rPr>
          <w:rFonts w:ascii="Arial" w:hAnsi="Arial" w:cs="Arial"/>
          <w:color w:val="000000" w:themeColor="text1"/>
          <w:sz w:val="24"/>
          <w:szCs w:val="24"/>
        </w:rPr>
        <w:t xml:space="preserve">Opportunity </w:t>
      </w:r>
    </w:p>
    <w:p w14:paraId="4FA82218" w14:textId="051D437F" w:rsidR="00DF7724" w:rsidRDefault="00230E7A" w:rsidP="00DF7724">
      <w:pPr>
        <w:rPr>
          <w:rFonts w:ascii="Arial" w:hAnsi="Arial" w:cs="Arial"/>
          <w:color w:val="000000" w:themeColor="text1"/>
          <w:sz w:val="24"/>
          <w:szCs w:val="24"/>
        </w:rPr>
      </w:pPr>
      <w:r w:rsidRPr="00230E7A">
        <w:rPr>
          <w:rFonts w:ascii="Arial" w:hAnsi="Arial" w:cs="Arial"/>
          <w:color w:val="000000" w:themeColor="text1"/>
          <w:sz w:val="24"/>
          <w:szCs w:val="24"/>
        </w:rPr>
        <w:t>The success of an organi</w:t>
      </w:r>
      <w:r>
        <w:rPr>
          <w:rFonts w:ascii="Arial" w:hAnsi="Arial" w:cs="Arial"/>
          <w:color w:val="000000" w:themeColor="text1"/>
          <w:sz w:val="24"/>
          <w:szCs w:val="24"/>
        </w:rPr>
        <w:t>s</w:t>
      </w:r>
      <w:r w:rsidRPr="00230E7A">
        <w:rPr>
          <w:rFonts w:ascii="Arial" w:hAnsi="Arial" w:cs="Arial"/>
          <w:color w:val="000000" w:themeColor="text1"/>
          <w:sz w:val="24"/>
          <w:szCs w:val="24"/>
        </w:rPr>
        <w:t>ation hinges on its workforce, as contented workers are more dedicated, productive, and engaged. Establishing a healthy work atmosphere with open communication, teamwork, and acknowledgment of achievements is crucial. Providing work-life balance initiatives, like flexible schedules, reduces burnout and boosts job satisfaction. Offering professional development opportunities demonstrates valuing employees' growth. Cultivating an inclusive and diverse workplace ensures every staff member feels valued. Addressing these aspects fosters a positive environment, promoting employee retention and organi</w:t>
      </w:r>
      <w:r w:rsidR="0007721D">
        <w:rPr>
          <w:rFonts w:ascii="Arial" w:hAnsi="Arial" w:cs="Arial"/>
          <w:color w:val="000000" w:themeColor="text1"/>
          <w:sz w:val="24"/>
          <w:szCs w:val="24"/>
        </w:rPr>
        <w:t>s</w:t>
      </w:r>
      <w:r w:rsidRPr="00230E7A">
        <w:rPr>
          <w:rFonts w:ascii="Arial" w:hAnsi="Arial" w:cs="Arial"/>
          <w:color w:val="000000" w:themeColor="text1"/>
          <w:sz w:val="24"/>
          <w:szCs w:val="24"/>
        </w:rPr>
        <w:t>ational performance</w:t>
      </w:r>
      <w:r w:rsidRPr="00230E7A">
        <w:rPr>
          <w:rFonts w:ascii="Arial" w:hAnsi="Arial" w:cs="Arial"/>
          <w:color w:val="000000" w:themeColor="text1"/>
          <w:sz w:val="24"/>
          <w:szCs w:val="24"/>
        </w:rPr>
        <w:t xml:space="preserve"> </w:t>
      </w:r>
      <w:r w:rsidR="00DF7724" w:rsidRPr="000836AA">
        <w:rPr>
          <w:rFonts w:ascii="Arial" w:hAnsi="Arial" w:cs="Arial"/>
          <w:color w:val="000000" w:themeColor="text1"/>
          <w:sz w:val="24"/>
          <w:szCs w:val="24"/>
        </w:rPr>
        <w:t>(Moss, 2023)</w:t>
      </w:r>
      <w:r w:rsidR="00DF7724">
        <w:rPr>
          <w:rFonts w:ascii="Arial" w:hAnsi="Arial" w:cs="Arial"/>
          <w:color w:val="000000" w:themeColor="text1"/>
          <w:sz w:val="24"/>
          <w:szCs w:val="24"/>
        </w:rPr>
        <w:t>.</w:t>
      </w:r>
    </w:p>
    <w:p w14:paraId="02D7BCCE" w14:textId="310A2D72" w:rsidR="00DF7724" w:rsidRDefault="004F19DF" w:rsidP="00DF7724">
      <w:pPr>
        <w:rPr>
          <w:rFonts w:ascii="Arial" w:hAnsi="Arial" w:cs="Arial"/>
          <w:color w:val="000000" w:themeColor="text1"/>
          <w:sz w:val="24"/>
          <w:szCs w:val="24"/>
        </w:rPr>
      </w:pPr>
      <w:r>
        <w:rPr>
          <w:rFonts w:ascii="Arial" w:hAnsi="Arial" w:cs="Arial"/>
          <w:color w:val="000000" w:themeColor="text1"/>
          <w:sz w:val="24"/>
          <w:szCs w:val="24"/>
        </w:rPr>
        <w:t>Factor 2:</w:t>
      </w:r>
      <w:r w:rsidR="00D65305">
        <w:rPr>
          <w:rFonts w:ascii="Arial" w:hAnsi="Arial" w:cs="Arial"/>
          <w:color w:val="000000" w:themeColor="text1"/>
          <w:sz w:val="24"/>
          <w:szCs w:val="24"/>
        </w:rPr>
        <w:t xml:space="preserve"> Customer Satisfaction</w:t>
      </w:r>
    </w:p>
    <w:p w14:paraId="375E0721" w14:textId="78A73A2F" w:rsidR="00437494" w:rsidRDefault="00D65305" w:rsidP="00DF7724">
      <w:pPr>
        <w:rPr>
          <w:rFonts w:ascii="Arial" w:hAnsi="Arial" w:cs="Arial"/>
          <w:color w:val="000000" w:themeColor="text1"/>
          <w:sz w:val="24"/>
          <w:szCs w:val="24"/>
        </w:rPr>
      </w:pPr>
      <w:r w:rsidRPr="00D65305">
        <w:rPr>
          <w:rFonts w:ascii="Arial" w:hAnsi="Arial" w:cs="Arial"/>
          <w:color w:val="000000" w:themeColor="text1"/>
          <w:sz w:val="24"/>
          <w:szCs w:val="24"/>
        </w:rPr>
        <w:t xml:space="preserve">Gaining customer satisfaction is essential to fostering advocacy and brand loyalty. It is critical to comprehend client demands and to provide superior products or services together with first-rate customer support. </w:t>
      </w:r>
      <w:r w:rsidRPr="00D65305">
        <w:rPr>
          <w:rFonts w:ascii="Arial" w:hAnsi="Arial" w:cs="Arial"/>
          <w:color w:val="000000" w:themeColor="text1"/>
          <w:sz w:val="24"/>
          <w:szCs w:val="24"/>
        </w:rPr>
        <w:t>To</w:t>
      </w:r>
      <w:r w:rsidRPr="00D65305">
        <w:rPr>
          <w:rFonts w:ascii="Arial" w:hAnsi="Arial" w:cs="Arial"/>
          <w:color w:val="000000" w:themeColor="text1"/>
          <w:sz w:val="24"/>
          <w:szCs w:val="24"/>
        </w:rPr>
        <w:t xml:space="preserve"> fulfil changing customer expectations, management should implement techniques to collect feedback and insights and use them to continuously develop products or services. Personalised experiences and careful attention to detail promote enduring connections, and swift problem-solving shows a dedication to client happiness. Prioritising client-centric processes helps firms build a devoted customer base that fuels long-term growth and success in addition to improving their reputation</w:t>
      </w:r>
      <w:r w:rsidR="005E6249">
        <w:rPr>
          <w:rFonts w:ascii="Arial" w:hAnsi="Arial" w:cs="Arial"/>
          <w:color w:val="000000" w:themeColor="text1"/>
          <w:sz w:val="24"/>
          <w:szCs w:val="24"/>
        </w:rPr>
        <w:t xml:space="preserve"> </w:t>
      </w:r>
      <w:r w:rsidR="005E6249" w:rsidRPr="005E6249">
        <w:rPr>
          <w:rFonts w:ascii="Arial" w:hAnsi="Arial" w:cs="Arial"/>
          <w:color w:val="000000" w:themeColor="text1"/>
          <w:sz w:val="24"/>
          <w:szCs w:val="24"/>
        </w:rPr>
        <w:t>(</w:t>
      </w:r>
      <w:proofErr w:type="spellStart"/>
      <w:r w:rsidR="005E6249" w:rsidRPr="005E6249">
        <w:rPr>
          <w:rFonts w:ascii="Arial" w:hAnsi="Arial" w:cs="Arial"/>
          <w:color w:val="000000" w:themeColor="text1"/>
          <w:sz w:val="24"/>
          <w:szCs w:val="24"/>
        </w:rPr>
        <w:t>Hult</w:t>
      </w:r>
      <w:proofErr w:type="spellEnd"/>
      <w:r w:rsidR="005E6249" w:rsidRPr="005E6249">
        <w:rPr>
          <w:rFonts w:ascii="Arial" w:hAnsi="Arial" w:cs="Arial"/>
          <w:color w:val="000000" w:themeColor="text1"/>
          <w:sz w:val="24"/>
          <w:szCs w:val="24"/>
        </w:rPr>
        <w:t xml:space="preserve"> and </w:t>
      </w:r>
      <w:proofErr w:type="spellStart"/>
      <w:r w:rsidR="005E6249" w:rsidRPr="005E6249">
        <w:rPr>
          <w:rFonts w:ascii="Arial" w:hAnsi="Arial" w:cs="Arial"/>
          <w:color w:val="000000" w:themeColor="text1"/>
          <w:sz w:val="24"/>
          <w:szCs w:val="24"/>
        </w:rPr>
        <w:t>Morgeson</w:t>
      </w:r>
      <w:proofErr w:type="spellEnd"/>
      <w:r w:rsidR="005E6249" w:rsidRPr="005E6249">
        <w:rPr>
          <w:rFonts w:ascii="Arial" w:hAnsi="Arial" w:cs="Arial"/>
          <w:color w:val="000000" w:themeColor="text1"/>
          <w:sz w:val="24"/>
          <w:szCs w:val="24"/>
        </w:rPr>
        <w:t>, 2023)</w:t>
      </w:r>
      <w:r w:rsidR="00437494">
        <w:rPr>
          <w:rFonts w:ascii="Arial" w:hAnsi="Arial" w:cs="Arial"/>
          <w:color w:val="000000" w:themeColor="text1"/>
          <w:sz w:val="24"/>
          <w:szCs w:val="24"/>
        </w:rPr>
        <w:t>.</w:t>
      </w:r>
    </w:p>
    <w:p w14:paraId="313F9AA3" w14:textId="2046421F" w:rsidR="00437494" w:rsidRDefault="00437494" w:rsidP="00DF7724">
      <w:pPr>
        <w:rPr>
          <w:rFonts w:ascii="Arial" w:hAnsi="Arial" w:cs="Arial"/>
          <w:color w:val="000000" w:themeColor="text1"/>
          <w:sz w:val="24"/>
          <w:szCs w:val="24"/>
        </w:rPr>
      </w:pPr>
      <w:r>
        <w:rPr>
          <w:rFonts w:ascii="Arial" w:hAnsi="Arial" w:cs="Arial"/>
          <w:color w:val="000000" w:themeColor="text1"/>
          <w:sz w:val="24"/>
          <w:szCs w:val="24"/>
        </w:rPr>
        <w:t xml:space="preserve">Factor 3: Innovation and </w:t>
      </w:r>
      <w:r w:rsidR="00A2654A">
        <w:rPr>
          <w:rFonts w:ascii="Arial" w:hAnsi="Arial" w:cs="Arial"/>
          <w:color w:val="000000" w:themeColor="text1"/>
          <w:sz w:val="24"/>
          <w:szCs w:val="24"/>
        </w:rPr>
        <w:t>Adaptability</w:t>
      </w:r>
    </w:p>
    <w:p w14:paraId="36B92B88" w14:textId="16C141D3" w:rsidR="005A4903" w:rsidRDefault="00A2654A" w:rsidP="00DF7724">
      <w:pPr>
        <w:rPr>
          <w:rFonts w:ascii="Arial" w:hAnsi="Arial" w:cs="Arial"/>
          <w:color w:val="000000" w:themeColor="text1"/>
          <w:sz w:val="24"/>
          <w:szCs w:val="24"/>
        </w:rPr>
      </w:pPr>
      <w:r w:rsidRPr="00A2654A">
        <w:rPr>
          <w:rFonts w:ascii="Arial" w:hAnsi="Arial" w:cs="Arial"/>
          <w:color w:val="000000" w:themeColor="text1"/>
          <w:sz w:val="24"/>
          <w:szCs w:val="24"/>
        </w:rPr>
        <w:t>For</w:t>
      </w:r>
      <w:r w:rsidRPr="00A2654A">
        <w:rPr>
          <w:rFonts w:ascii="Arial" w:hAnsi="Arial" w:cs="Arial"/>
          <w:color w:val="000000" w:themeColor="text1"/>
          <w:sz w:val="24"/>
          <w:szCs w:val="24"/>
        </w:rPr>
        <w:t xml:space="preserve"> an organisation to remain relevant and competitive in fast-paced marketplaces, innovation and adaptability are essential. To spur innovation, management needs to foster an environment that values experimentation, risk-taking, and creative thinking. Research &amp; development spending makes it possible to investigate novel concepts and create state-of-the-art solutions to satisfy changing client demands. Companies may take advantage of opportunities and overcome obstacles quickly by staying flexible and sensitive to new trends and technological developments. Businesses may foresee changes in the market, establish themselves as leaders in their field, and maintain long-term growth in a constantly shifting environment by embracing innovation and adaptation</w:t>
      </w:r>
      <w:r w:rsidR="00EF3F37">
        <w:rPr>
          <w:rFonts w:ascii="Arial" w:hAnsi="Arial" w:cs="Arial"/>
          <w:color w:val="000000" w:themeColor="text1"/>
          <w:sz w:val="24"/>
          <w:szCs w:val="24"/>
        </w:rPr>
        <w:t xml:space="preserve"> </w:t>
      </w:r>
      <w:r w:rsidR="00EF3F37" w:rsidRPr="00EF3F37">
        <w:rPr>
          <w:rFonts w:ascii="Arial" w:hAnsi="Arial" w:cs="Arial"/>
          <w:color w:val="000000" w:themeColor="text1"/>
          <w:sz w:val="24"/>
          <w:szCs w:val="24"/>
        </w:rPr>
        <w:t>(Hamel, 2006)</w:t>
      </w:r>
      <w:r w:rsidR="00EF3F37">
        <w:rPr>
          <w:rFonts w:ascii="Arial" w:hAnsi="Arial" w:cs="Arial"/>
          <w:color w:val="000000" w:themeColor="text1"/>
          <w:sz w:val="24"/>
          <w:szCs w:val="24"/>
        </w:rPr>
        <w:t>.</w:t>
      </w:r>
    </w:p>
    <w:p w14:paraId="3F146969" w14:textId="77777777" w:rsidR="00437494" w:rsidRDefault="00437494" w:rsidP="00DF7724">
      <w:pPr>
        <w:rPr>
          <w:rFonts w:ascii="Arial" w:hAnsi="Arial" w:cs="Arial"/>
          <w:color w:val="000000" w:themeColor="text1"/>
          <w:sz w:val="24"/>
          <w:szCs w:val="24"/>
        </w:rPr>
      </w:pPr>
    </w:p>
    <w:p w14:paraId="213B72DC" w14:textId="77777777" w:rsidR="00437494" w:rsidRPr="007039C0" w:rsidRDefault="00437494" w:rsidP="00DF7724">
      <w:pPr>
        <w:rPr>
          <w:rFonts w:ascii="Arial" w:hAnsi="Arial" w:cs="Arial"/>
          <w:color w:val="000000" w:themeColor="text1"/>
          <w:sz w:val="24"/>
          <w:szCs w:val="24"/>
        </w:rPr>
      </w:pPr>
    </w:p>
    <w:p w14:paraId="4280B867" w14:textId="08E5E446" w:rsidR="79D0B81F" w:rsidRDefault="79D0B81F" w:rsidP="79D0B81F"/>
    <w:p w14:paraId="4D1AC65B" w14:textId="77777777" w:rsidR="001251BC" w:rsidRDefault="001251BC" w:rsidP="00D61C57">
      <w:pPr>
        <w:pStyle w:val="Heading1"/>
        <w:rPr>
          <w:color w:val="000000" w:themeColor="text1"/>
        </w:rPr>
      </w:pPr>
    </w:p>
    <w:p w14:paraId="6D08854C" w14:textId="77777777" w:rsidR="001251BC" w:rsidRDefault="001251BC" w:rsidP="001251BC"/>
    <w:p w14:paraId="59DB9646" w14:textId="77777777" w:rsidR="00D11951" w:rsidRDefault="00D11951" w:rsidP="001251BC"/>
    <w:p w14:paraId="00577616" w14:textId="77777777" w:rsidR="00D11951" w:rsidRPr="001251BC" w:rsidRDefault="00D11951" w:rsidP="001251BC"/>
    <w:p w14:paraId="693DD69A" w14:textId="6CF34E96" w:rsidR="00B8144C" w:rsidRPr="00D61C57" w:rsidRDefault="00FA2E6F" w:rsidP="00D61C57">
      <w:pPr>
        <w:pStyle w:val="Heading1"/>
        <w:rPr>
          <w:color w:val="000000" w:themeColor="text1"/>
        </w:rPr>
      </w:pPr>
      <w:bookmarkStart w:id="27" w:name="_Toc164848546"/>
      <w:r w:rsidRPr="00D61C57">
        <w:rPr>
          <w:color w:val="000000" w:themeColor="text1"/>
        </w:rPr>
        <w:lastRenderedPageBreak/>
        <w:t>References:</w:t>
      </w:r>
      <w:bookmarkEnd w:id="27"/>
    </w:p>
    <w:p w14:paraId="6D9869F5"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Brigham, E. F., &amp; Ehrhardt, M. C. (2020). Financial Management: Theory &amp; Practice. Cengage Learning.</w:t>
      </w:r>
      <w:r w:rsidRPr="00C226B7">
        <w:rPr>
          <w:rStyle w:val="apple-converted-space"/>
          <w:rFonts w:ascii="Arial" w:eastAsiaTheme="majorEastAsia" w:hAnsi="Arial" w:cs="Arial"/>
          <w:color w:val="000000"/>
          <w:sz w:val="22"/>
          <w:szCs w:val="22"/>
        </w:rPr>
        <w:t> </w:t>
      </w:r>
    </w:p>
    <w:p w14:paraId="0B25C9ED"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Corporate Finance Institute (2023).</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Net Present Value (NPV)</w:t>
      </w:r>
      <w:r w:rsidRPr="00C226B7">
        <w:rPr>
          <w:rFonts w:ascii="Arial" w:hAnsi="Arial" w:cs="Arial"/>
          <w:color w:val="000000"/>
          <w:sz w:val="22"/>
          <w:szCs w:val="22"/>
        </w:rPr>
        <w:t>. [online] Corporate Finance Institute. Available at: https://corporatefinanceinstitute.com/resources/valuation/net-present-value-npv/ [Accessed 18 Apr. 2024].</w:t>
      </w:r>
    </w:p>
    <w:p w14:paraId="43C04E8E" w14:textId="77777777" w:rsidR="00C226B7" w:rsidRPr="00C226B7" w:rsidRDefault="00C226B7" w:rsidP="00C226B7">
      <w:pPr>
        <w:rPr>
          <w:rFonts w:ascii="Arial" w:hAnsi="Arial" w:cs="Arial"/>
          <w:color w:val="000000"/>
        </w:rPr>
      </w:pPr>
      <w:r w:rsidRPr="00C226B7">
        <w:rPr>
          <w:rFonts w:ascii="Arial" w:hAnsi="Arial" w:cs="Arial"/>
          <w:color w:val="000000"/>
        </w:rPr>
        <w:t>Heizer, J., &amp; Render, B. (2019). Operations Management: Sustainability and Supply Chain Management. Pearson Education.</w:t>
      </w:r>
    </w:p>
    <w:p w14:paraId="43928609" w14:textId="77777777" w:rsidR="00C226B7" w:rsidRPr="00C226B7" w:rsidRDefault="00C226B7" w:rsidP="00C226B7">
      <w:pPr>
        <w:rPr>
          <w:rFonts w:ascii="Arial" w:hAnsi="Arial" w:cs="Arial"/>
          <w:color w:val="000000"/>
        </w:rPr>
      </w:pPr>
      <w:r w:rsidRPr="00C226B7">
        <w:rPr>
          <w:rFonts w:ascii="Arial" w:hAnsi="Arial" w:cs="Arial"/>
          <w:color w:val="000000"/>
        </w:rPr>
        <w:t>Kalish, I. (2022) </w:t>
      </w:r>
      <w:r w:rsidRPr="00C226B7">
        <w:rPr>
          <w:rFonts w:ascii="Arial" w:hAnsi="Arial" w:cs="Arial"/>
          <w:i/>
          <w:iCs/>
          <w:color w:val="000000"/>
        </w:rPr>
        <w:t>Global Powers of retailing 2022</w:t>
      </w:r>
      <w:r w:rsidRPr="00C226B7">
        <w:rPr>
          <w:rFonts w:ascii="Arial" w:hAnsi="Arial" w:cs="Arial"/>
          <w:color w:val="000000"/>
        </w:rPr>
        <w:t>, </w:t>
      </w:r>
      <w:r w:rsidRPr="00C226B7">
        <w:rPr>
          <w:rFonts w:ascii="Arial" w:hAnsi="Arial" w:cs="Arial"/>
          <w:i/>
          <w:iCs/>
          <w:color w:val="000000"/>
        </w:rPr>
        <w:t>Global Economic Outlook</w:t>
      </w:r>
      <w:r w:rsidRPr="00C226B7">
        <w:rPr>
          <w:rFonts w:ascii="Arial" w:hAnsi="Arial" w:cs="Arial"/>
          <w:color w:val="000000"/>
        </w:rPr>
        <w:t>. Available at: https://www2.deloitte.com/content/dam/Deloitte/at/Documents/consumer-business/at-global-powers-retailing-2022.pdf (Accessed: 08 April 2024).</w:t>
      </w:r>
    </w:p>
    <w:p w14:paraId="672CE90D"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Hamel, G. (2006).</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 xml:space="preserve">The Why, </w:t>
      </w:r>
      <w:proofErr w:type="gramStart"/>
      <w:r w:rsidRPr="00C226B7">
        <w:rPr>
          <w:rFonts w:ascii="Arial" w:hAnsi="Arial" w:cs="Arial"/>
          <w:i/>
          <w:iCs/>
          <w:color w:val="000000"/>
          <w:sz w:val="22"/>
          <w:szCs w:val="22"/>
        </w:rPr>
        <w:t>What</w:t>
      </w:r>
      <w:proofErr w:type="gramEnd"/>
      <w:r w:rsidRPr="00C226B7">
        <w:rPr>
          <w:rFonts w:ascii="Arial" w:hAnsi="Arial" w:cs="Arial"/>
          <w:i/>
          <w:iCs/>
          <w:color w:val="000000"/>
          <w:sz w:val="22"/>
          <w:szCs w:val="22"/>
        </w:rPr>
        <w:t>, and How of Management Innovation</w:t>
      </w:r>
      <w:r w:rsidRPr="00C226B7">
        <w:rPr>
          <w:rFonts w:ascii="Arial" w:hAnsi="Arial" w:cs="Arial"/>
          <w:color w:val="000000"/>
          <w:sz w:val="22"/>
          <w:szCs w:val="22"/>
        </w:rPr>
        <w:t>. [online] Harvard Business Review. Available at: https://hbr.org/2006/02/the-why-what-and-how-of-management-innovation?registration=success [Accessed 22 Apr. 2024].</w:t>
      </w:r>
    </w:p>
    <w:p w14:paraId="40F57323"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proofErr w:type="spellStart"/>
      <w:r w:rsidRPr="00C226B7">
        <w:rPr>
          <w:rFonts w:ascii="Arial" w:hAnsi="Arial" w:cs="Arial"/>
          <w:color w:val="000000"/>
          <w:sz w:val="22"/>
          <w:szCs w:val="22"/>
        </w:rPr>
        <w:t>Hult</w:t>
      </w:r>
      <w:proofErr w:type="spellEnd"/>
      <w:r w:rsidRPr="00C226B7">
        <w:rPr>
          <w:rFonts w:ascii="Arial" w:hAnsi="Arial" w:cs="Arial"/>
          <w:color w:val="000000"/>
          <w:sz w:val="22"/>
          <w:szCs w:val="22"/>
        </w:rPr>
        <w:t xml:space="preserve">, G.T.M. and </w:t>
      </w:r>
      <w:proofErr w:type="spellStart"/>
      <w:r w:rsidRPr="00C226B7">
        <w:rPr>
          <w:rFonts w:ascii="Arial" w:hAnsi="Arial" w:cs="Arial"/>
          <w:color w:val="000000"/>
          <w:sz w:val="22"/>
          <w:szCs w:val="22"/>
        </w:rPr>
        <w:t>Morgeson</w:t>
      </w:r>
      <w:proofErr w:type="spellEnd"/>
      <w:r w:rsidRPr="00C226B7">
        <w:rPr>
          <w:rFonts w:ascii="Arial" w:hAnsi="Arial" w:cs="Arial"/>
          <w:color w:val="000000"/>
          <w:sz w:val="22"/>
          <w:szCs w:val="22"/>
        </w:rPr>
        <w:t>, F. (2023).</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10 Ways to Boost Customer Satisfaction</w:t>
      </w:r>
      <w:r w:rsidRPr="00C226B7">
        <w:rPr>
          <w:rFonts w:ascii="Arial" w:hAnsi="Arial" w:cs="Arial"/>
          <w:color w:val="000000"/>
          <w:sz w:val="22"/>
          <w:szCs w:val="22"/>
        </w:rPr>
        <w:t>. [online] Harvard Business Review. Available at: https://hbr.org/2023/01/10-ways-to-boost-customer-satisfaction [Accessed 20 Apr. 2024].</w:t>
      </w:r>
    </w:p>
    <w:p w14:paraId="234ED045"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 xml:space="preserve">Ivanova, I. and </w:t>
      </w:r>
      <w:proofErr w:type="spellStart"/>
      <w:r w:rsidRPr="00C226B7">
        <w:rPr>
          <w:rFonts w:ascii="Arial" w:hAnsi="Arial" w:cs="Arial"/>
          <w:color w:val="000000"/>
          <w:sz w:val="22"/>
          <w:szCs w:val="22"/>
        </w:rPr>
        <w:t>Weicher</w:t>
      </w:r>
      <w:proofErr w:type="spellEnd"/>
      <w:r w:rsidRPr="00C226B7">
        <w:rPr>
          <w:rFonts w:ascii="Arial" w:hAnsi="Arial" w:cs="Arial"/>
          <w:color w:val="000000"/>
          <w:sz w:val="22"/>
          <w:szCs w:val="22"/>
        </w:rPr>
        <w:t>, C. (2023) </w:t>
      </w:r>
      <w:r w:rsidRPr="00C226B7">
        <w:rPr>
          <w:rFonts w:ascii="Arial" w:hAnsi="Arial" w:cs="Arial"/>
          <w:i/>
          <w:iCs/>
          <w:color w:val="000000"/>
          <w:sz w:val="22"/>
          <w:szCs w:val="22"/>
        </w:rPr>
        <w:t>Walgreens to pay San Francisco $229 million over opioid crisis</w:t>
      </w:r>
      <w:r w:rsidRPr="00C226B7">
        <w:rPr>
          <w:rFonts w:ascii="Arial" w:hAnsi="Arial" w:cs="Arial"/>
          <w:color w:val="000000"/>
          <w:sz w:val="22"/>
          <w:szCs w:val="22"/>
        </w:rPr>
        <w:t>, </w:t>
      </w:r>
      <w:r w:rsidRPr="00C226B7">
        <w:rPr>
          <w:rFonts w:ascii="Arial" w:hAnsi="Arial" w:cs="Arial"/>
          <w:i/>
          <w:iCs/>
          <w:color w:val="000000"/>
          <w:sz w:val="22"/>
          <w:szCs w:val="22"/>
        </w:rPr>
        <w:t>CBS News</w:t>
      </w:r>
      <w:r w:rsidRPr="00C226B7">
        <w:rPr>
          <w:rFonts w:ascii="Arial" w:hAnsi="Arial" w:cs="Arial"/>
          <w:color w:val="000000"/>
          <w:sz w:val="22"/>
          <w:szCs w:val="22"/>
        </w:rPr>
        <w:t>. Available at: https://www.cbsnews.com/news/san-francisco-opioid-settlement-walgreens-229-million/ (Accessed: 08 April 2024).</w:t>
      </w:r>
      <w:r w:rsidRPr="00C226B7">
        <w:rPr>
          <w:rStyle w:val="apple-converted-space"/>
          <w:rFonts w:ascii="Arial" w:eastAsiaTheme="majorEastAsia" w:hAnsi="Arial" w:cs="Arial"/>
          <w:color w:val="000000"/>
          <w:sz w:val="22"/>
          <w:szCs w:val="22"/>
        </w:rPr>
        <w:t> </w:t>
      </w:r>
    </w:p>
    <w:p w14:paraId="2198B6A4"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Kareem Al-Ani, M. (2024).</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A Strategic Framework to Use Payback Period in Evaluating the Capital Budgeting in Energy and Oil and Gas Sectors in Oman</w:t>
      </w:r>
      <w:r w:rsidRPr="00C226B7">
        <w:rPr>
          <w:rFonts w:ascii="Arial" w:hAnsi="Arial" w:cs="Arial"/>
          <w:color w:val="000000"/>
          <w:sz w:val="22"/>
          <w:szCs w:val="22"/>
        </w:rPr>
        <w:t>. [online] Google.com. Available at: https://www.google.com/url?sa=t&amp;source=web&amp;rct=j&amp;opi=89978449&amp;url=https://www.econjournals.com/index.php/ijefi/article/view/1127/pdf&amp;ved=2ahUKEwixrI_fyNmFAxWyywIHHdMdCdkQFnoECC8QAQ&amp;usg=AOvVaw10x3QeLg9ckTki6AHsMSWu [Accessed 16 Apr. 2024].</w:t>
      </w:r>
    </w:p>
    <w:p w14:paraId="7AA387AB"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McKinsey &amp; Company. (2022). "Pharmacy Retail: Navigating Cost Pressures and Driving Profitability." McKinsey &amp; Company.</w:t>
      </w:r>
      <w:r w:rsidRPr="00C226B7">
        <w:rPr>
          <w:rStyle w:val="apple-converted-space"/>
          <w:rFonts w:ascii="Arial" w:eastAsiaTheme="majorEastAsia" w:hAnsi="Arial" w:cs="Arial"/>
          <w:color w:val="000000"/>
          <w:sz w:val="22"/>
          <w:szCs w:val="22"/>
        </w:rPr>
        <w:t> </w:t>
      </w:r>
    </w:p>
    <w:p w14:paraId="6E98A002"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Moss, J. (2023).</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Creating a Happier Workplace Is Possible — and Worth It</w:t>
      </w:r>
      <w:r w:rsidRPr="00C226B7">
        <w:rPr>
          <w:rFonts w:ascii="Arial" w:hAnsi="Arial" w:cs="Arial"/>
          <w:color w:val="000000"/>
          <w:sz w:val="22"/>
          <w:szCs w:val="22"/>
        </w:rPr>
        <w:t>. [online] Harvard Business Review. Available at: https://hbr.org/2023/10/creating-a-happier-workplace-is-possible-and-worth-it.</w:t>
      </w:r>
    </w:p>
    <w:p w14:paraId="703F545A"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Naik, S. (2021).</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ARR: Accounting Rate of Return-Advantages and Drawbacks</w:t>
      </w:r>
      <w:r w:rsidRPr="00C226B7">
        <w:rPr>
          <w:rFonts w:ascii="Arial" w:hAnsi="Arial" w:cs="Arial"/>
          <w:color w:val="000000"/>
          <w:sz w:val="22"/>
          <w:szCs w:val="22"/>
        </w:rPr>
        <w:t>. [online] Banking School. Available at: https://bankingschool.co.in/accounting/arr-accounting-rate-of-return-advantages-and-drawbacks/ [Accessed 22 Apr. 2024].</w:t>
      </w:r>
    </w:p>
    <w:p w14:paraId="4893E2A0"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NASDAQ (2015).</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Advantages and Disadvantages of Net Present Value Method</w:t>
      </w:r>
      <w:r w:rsidRPr="00C226B7">
        <w:rPr>
          <w:rFonts w:ascii="Arial" w:hAnsi="Arial" w:cs="Arial"/>
          <w:color w:val="000000"/>
          <w:sz w:val="22"/>
          <w:szCs w:val="22"/>
        </w:rPr>
        <w:t>. [online] www.nasdaq.com. Available at: https://www.nasdaq.com/articles/advantages-and-disadvantages-net-present-value-method-2015-11-14 [Accessed 22 Apr. 2024].</w:t>
      </w:r>
    </w:p>
    <w:p w14:paraId="6C69FD8C"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lastRenderedPageBreak/>
        <w:t>Nasdaq.com. (2023a).</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CVS Health Corporation Common Stock (CVS) Financials</w:t>
      </w:r>
      <w:r w:rsidRPr="00C226B7">
        <w:rPr>
          <w:rFonts w:ascii="Arial" w:hAnsi="Arial" w:cs="Arial"/>
          <w:color w:val="000000"/>
          <w:sz w:val="22"/>
          <w:szCs w:val="22"/>
        </w:rPr>
        <w:t>. [online] Available at: https://www.nasdaq.com/market-activity/stocks/cvs/financials [Accessed 13 Apr. 2024].</w:t>
      </w:r>
    </w:p>
    <w:p w14:paraId="3930D381"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Nasdaq.com. (2023b).</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Walgreens Boots Alliance, Inc. Common Stock (WBA) Financials | Nasdaq</w:t>
      </w:r>
      <w:r w:rsidRPr="00C226B7">
        <w:rPr>
          <w:rFonts w:ascii="Arial" w:hAnsi="Arial" w:cs="Arial"/>
          <w:color w:val="000000"/>
          <w:sz w:val="22"/>
          <w:szCs w:val="22"/>
        </w:rPr>
        <w:t>. [online] Available at: https://www.nasdaq.com/market-activity/stocks/wba/financials [Accessed 13 Apr. 2024].</w:t>
      </w:r>
    </w:p>
    <w:p w14:paraId="212EC838"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proofErr w:type="spellStart"/>
      <w:r w:rsidRPr="00C226B7">
        <w:rPr>
          <w:rFonts w:ascii="Arial" w:hAnsi="Arial" w:cs="Arial"/>
          <w:color w:val="000000"/>
          <w:sz w:val="22"/>
          <w:szCs w:val="22"/>
        </w:rPr>
        <w:t>Patin</w:t>
      </w:r>
      <w:proofErr w:type="spellEnd"/>
      <w:r w:rsidRPr="00C226B7">
        <w:rPr>
          <w:rFonts w:ascii="Arial" w:hAnsi="Arial" w:cs="Arial"/>
          <w:color w:val="000000"/>
          <w:sz w:val="22"/>
          <w:szCs w:val="22"/>
        </w:rPr>
        <w:t>, J.-C., Rahman, M. and Mustafa, M. (2020). Impact of Total Asset Turnover Ratios on Equity Returns: Dynamic Panel Data Analyses.</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Journal of Accounting, Business and Management (JABM)</w:t>
      </w:r>
      <w:r w:rsidRPr="00C226B7">
        <w:rPr>
          <w:rFonts w:ascii="Arial" w:hAnsi="Arial" w:cs="Arial"/>
          <w:color w:val="000000"/>
          <w:sz w:val="22"/>
          <w:szCs w:val="22"/>
        </w:rPr>
        <w:t xml:space="preserve">, [online] 27(1), p.19. </w:t>
      </w:r>
      <w:proofErr w:type="spellStart"/>
      <w:proofErr w:type="gramStart"/>
      <w:r w:rsidRPr="00C226B7">
        <w:rPr>
          <w:rFonts w:ascii="Arial" w:hAnsi="Arial" w:cs="Arial"/>
          <w:color w:val="000000"/>
          <w:sz w:val="22"/>
          <w:szCs w:val="22"/>
        </w:rPr>
        <w:t>doi:https</w:t>
      </w:r>
      <w:proofErr w:type="spellEnd"/>
      <w:r w:rsidRPr="00C226B7">
        <w:rPr>
          <w:rFonts w:ascii="Arial" w:hAnsi="Arial" w:cs="Arial"/>
          <w:color w:val="000000"/>
          <w:sz w:val="22"/>
          <w:szCs w:val="22"/>
        </w:rPr>
        <w:t>://doi.org/10.31966/jabminternational.v27i1.559</w:t>
      </w:r>
      <w:proofErr w:type="gramEnd"/>
      <w:r w:rsidRPr="00C226B7">
        <w:rPr>
          <w:rFonts w:ascii="Arial" w:hAnsi="Arial" w:cs="Arial"/>
          <w:color w:val="000000"/>
          <w:sz w:val="22"/>
          <w:szCs w:val="22"/>
        </w:rPr>
        <w:t>.</w:t>
      </w:r>
    </w:p>
    <w:p w14:paraId="1AC3C358"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proofErr w:type="spellStart"/>
      <w:r w:rsidRPr="00C226B7">
        <w:rPr>
          <w:rFonts w:ascii="Arial" w:hAnsi="Arial" w:cs="Arial"/>
          <w:color w:val="000000"/>
          <w:sz w:val="22"/>
          <w:szCs w:val="22"/>
        </w:rPr>
        <w:t>Peterdy</w:t>
      </w:r>
      <w:proofErr w:type="spellEnd"/>
      <w:r w:rsidRPr="00C226B7">
        <w:rPr>
          <w:rFonts w:ascii="Arial" w:hAnsi="Arial" w:cs="Arial"/>
          <w:color w:val="000000"/>
          <w:sz w:val="22"/>
          <w:szCs w:val="22"/>
        </w:rPr>
        <w:t>, K. (2020).</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Debt to Asset Ratio</w:t>
      </w:r>
      <w:r w:rsidRPr="00C226B7">
        <w:rPr>
          <w:rFonts w:ascii="Arial" w:hAnsi="Arial" w:cs="Arial"/>
          <w:color w:val="000000"/>
          <w:sz w:val="22"/>
          <w:szCs w:val="22"/>
        </w:rPr>
        <w:t>. [online] Corporate Finance Institute. Available at: https://corporatefinanceinstitute.com/resources/commercial-lending/debt-to-asset-ratio/ [Accessed 13 Apr. 2024].</w:t>
      </w:r>
    </w:p>
    <w:p w14:paraId="6329C6E1"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Ross, S. A., Westerfield, R. W., &amp; Jordan, B. D. (2019). Fundamentals of Corporate Finance. New York, NY: McGraw-Hill Education.</w:t>
      </w:r>
      <w:r w:rsidRPr="00C226B7">
        <w:rPr>
          <w:rStyle w:val="apple-converted-space"/>
          <w:rFonts w:ascii="Arial" w:eastAsiaTheme="majorEastAsia" w:hAnsi="Arial" w:cs="Arial"/>
          <w:color w:val="000000"/>
          <w:sz w:val="22"/>
          <w:szCs w:val="22"/>
        </w:rPr>
        <w:t> </w:t>
      </w:r>
    </w:p>
    <w:p w14:paraId="54BFA39E"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Samuel, S. (2021) </w:t>
      </w:r>
      <w:r w:rsidRPr="00C226B7">
        <w:rPr>
          <w:rFonts w:ascii="Arial" w:hAnsi="Arial" w:cs="Arial"/>
          <w:i/>
          <w:iCs/>
          <w:color w:val="000000"/>
          <w:sz w:val="22"/>
          <w:szCs w:val="22"/>
        </w:rPr>
        <w:t>Walgreens Boots Alliance divests wholesale business</w:t>
      </w:r>
      <w:r w:rsidRPr="00C226B7">
        <w:rPr>
          <w:rFonts w:ascii="Arial" w:hAnsi="Arial" w:cs="Arial"/>
          <w:color w:val="000000"/>
          <w:sz w:val="22"/>
          <w:szCs w:val="22"/>
        </w:rPr>
        <w:t>, </w:t>
      </w:r>
      <w:r w:rsidRPr="00C226B7">
        <w:rPr>
          <w:rFonts w:ascii="Arial" w:hAnsi="Arial" w:cs="Arial"/>
          <w:i/>
          <w:iCs/>
          <w:color w:val="000000"/>
          <w:sz w:val="22"/>
          <w:szCs w:val="22"/>
        </w:rPr>
        <w:t xml:space="preserve">The Institute of Grocery </w:t>
      </w:r>
      <w:proofErr w:type="gramStart"/>
      <w:r w:rsidRPr="00C226B7">
        <w:rPr>
          <w:rFonts w:ascii="Arial" w:hAnsi="Arial" w:cs="Arial"/>
          <w:i/>
          <w:iCs/>
          <w:color w:val="000000"/>
          <w:sz w:val="22"/>
          <w:szCs w:val="22"/>
        </w:rPr>
        <w:t>Distribution </w:t>
      </w:r>
      <w:r w:rsidRPr="00C226B7">
        <w:rPr>
          <w:rFonts w:ascii="Arial" w:hAnsi="Arial" w:cs="Arial"/>
          <w:color w:val="000000"/>
          <w:sz w:val="22"/>
          <w:szCs w:val="22"/>
        </w:rPr>
        <w:t>.</w:t>
      </w:r>
      <w:proofErr w:type="gramEnd"/>
      <w:r w:rsidRPr="00C226B7">
        <w:rPr>
          <w:rFonts w:ascii="Arial" w:hAnsi="Arial" w:cs="Arial"/>
          <w:color w:val="000000"/>
          <w:sz w:val="22"/>
          <w:szCs w:val="22"/>
        </w:rPr>
        <w:t xml:space="preserve"> Available at: https://www.igd.com/Commercial-Insight/Retail-Analysis/Markets/Articles/Walgreens-Boots-Alliance-divests-wholesale-business/33471#:~:text=Walgreens%20Boots%20Alliance%20(Walgreens)%20is,in%20a%20%246.5bn%20deal. (Accessed: 08 April 2024).</w:t>
      </w:r>
      <w:r w:rsidRPr="00C226B7">
        <w:rPr>
          <w:rStyle w:val="apple-converted-space"/>
          <w:rFonts w:ascii="Arial" w:eastAsiaTheme="majorEastAsia" w:hAnsi="Arial" w:cs="Arial"/>
          <w:color w:val="000000"/>
          <w:sz w:val="22"/>
          <w:szCs w:val="22"/>
        </w:rPr>
        <w:t> </w:t>
      </w:r>
    </w:p>
    <w:p w14:paraId="56F4C43B"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Team, C. (2024).</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Payback Period</w:t>
      </w:r>
      <w:r w:rsidRPr="00C226B7">
        <w:rPr>
          <w:rFonts w:ascii="Arial" w:hAnsi="Arial" w:cs="Arial"/>
          <w:color w:val="000000"/>
          <w:sz w:val="22"/>
          <w:szCs w:val="22"/>
        </w:rPr>
        <w:t>. [online] Corporate Finance Institute. Available at: https://corporatefinanceinstitute.com/resources/financial-modeling/payback-period/?utm_source=google&amp;utm_medium=cpc&amp;utm_term=&amp;utm_content=&amp;utm_campaign=&amp;utm_adgroup=&amp;utm_funnel=&amp;gad_source=1&amp;gclid=CjwKCAjw26KxBhBDEiwAu6KXt21_Fym2Mi_AR0op3gmRov0jYNUIoDBfds0bF9usTDNkzLSRntCtvRoCpSwQAvD_BwE [Accessed 22 Apr. 2024].</w:t>
      </w:r>
    </w:p>
    <w:p w14:paraId="0718F17D"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Vipond, T. (2023).</w:t>
      </w:r>
      <w:r w:rsidRPr="00C226B7">
        <w:rPr>
          <w:rStyle w:val="apple-converted-space"/>
          <w:rFonts w:ascii="Arial" w:eastAsiaTheme="majorEastAsia" w:hAnsi="Arial" w:cs="Arial"/>
          <w:color w:val="000000"/>
          <w:sz w:val="22"/>
          <w:szCs w:val="22"/>
        </w:rPr>
        <w:t> </w:t>
      </w:r>
      <w:r w:rsidRPr="00C226B7">
        <w:rPr>
          <w:rFonts w:ascii="Arial" w:hAnsi="Arial" w:cs="Arial"/>
          <w:i/>
          <w:iCs/>
          <w:color w:val="000000"/>
          <w:sz w:val="22"/>
          <w:szCs w:val="22"/>
        </w:rPr>
        <w:t>ARR - Accounting Rate of Return</w:t>
      </w:r>
      <w:r w:rsidRPr="00C226B7">
        <w:rPr>
          <w:rFonts w:ascii="Arial" w:hAnsi="Arial" w:cs="Arial"/>
          <w:color w:val="000000"/>
          <w:sz w:val="22"/>
          <w:szCs w:val="22"/>
        </w:rPr>
        <w:t>. [online] Corporate Finance Institute. Available at: https://corporatefinanceinstitute.com/resources/accounting/arr-accounting-rate-of-return/.</w:t>
      </w:r>
    </w:p>
    <w:p w14:paraId="62F50B05"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r w:rsidRPr="00C226B7">
        <w:rPr>
          <w:rFonts w:ascii="Arial" w:hAnsi="Arial" w:cs="Arial"/>
          <w:color w:val="000000"/>
          <w:sz w:val="22"/>
          <w:szCs w:val="22"/>
        </w:rPr>
        <w:t xml:space="preserve">Walsh, C (2009), Key Management Ratios, Pearson Education, Limited, Harlow. Available from: ProQuest </w:t>
      </w:r>
      <w:proofErr w:type="spellStart"/>
      <w:r w:rsidRPr="00C226B7">
        <w:rPr>
          <w:rFonts w:ascii="Arial" w:hAnsi="Arial" w:cs="Arial"/>
          <w:color w:val="000000"/>
          <w:sz w:val="22"/>
          <w:szCs w:val="22"/>
        </w:rPr>
        <w:t>Ebook</w:t>
      </w:r>
      <w:proofErr w:type="spellEnd"/>
      <w:r w:rsidRPr="00C226B7">
        <w:rPr>
          <w:rFonts w:ascii="Arial" w:hAnsi="Arial" w:cs="Arial"/>
          <w:color w:val="000000"/>
          <w:sz w:val="22"/>
          <w:szCs w:val="22"/>
        </w:rPr>
        <w:t xml:space="preserve"> Central. [13 April 2024].</w:t>
      </w:r>
      <w:r w:rsidRPr="00C226B7">
        <w:rPr>
          <w:rStyle w:val="apple-converted-space"/>
          <w:rFonts w:ascii="Arial" w:eastAsiaTheme="majorEastAsia" w:hAnsi="Arial" w:cs="Arial"/>
          <w:color w:val="000000"/>
          <w:sz w:val="22"/>
          <w:szCs w:val="22"/>
        </w:rPr>
        <w:t> </w:t>
      </w:r>
    </w:p>
    <w:p w14:paraId="6DB4AB03" w14:textId="77777777" w:rsidR="00C226B7" w:rsidRPr="00C226B7" w:rsidRDefault="00C226B7" w:rsidP="00C226B7">
      <w:pPr>
        <w:pStyle w:val="NormalWeb"/>
        <w:spacing w:before="0" w:beforeAutospacing="0" w:after="240" w:afterAutospacing="0" w:line="360" w:lineRule="atLeast"/>
        <w:rPr>
          <w:rFonts w:ascii="Arial" w:hAnsi="Arial" w:cs="Arial"/>
          <w:color w:val="000000"/>
          <w:sz w:val="22"/>
          <w:szCs w:val="22"/>
        </w:rPr>
      </w:pPr>
      <w:proofErr w:type="spellStart"/>
      <w:r w:rsidRPr="00C226B7">
        <w:rPr>
          <w:rFonts w:ascii="Arial" w:hAnsi="Arial" w:cs="Arial"/>
          <w:color w:val="000000"/>
          <w:sz w:val="22"/>
          <w:szCs w:val="22"/>
        </w:rPr>
        <w:t>Wickware</w:t>
      </w:r>
      <w:proofErr w:type="spellEnd"/>
      <w:r w:rsidRPr="00C226B7">
        <w:rPr>
          <w:rFonts w:ascii="Arial" w:hAnsi="Arial" w:cs="Arial"/>
          <w:color w:val="000000"/>
          <w:sz w:val="22"/>
          <w:szCs w:val="22"/>
        </w:rPr>
        <w:t>, C. (2019) </w:t>
      </w:r>
      <w:r w:rsidRPr="00C226B7">
        <w:rPr>
          <w:rFonts w:ascii="Arial" w:hAnsi="Arial" w:cs="Arial"/>
          <w:i/>
          <w:iCs/>
          <w:color w:val="000000"/>
          <w:sz w:val="22"/>
          <w:szCs w:val="22"/>
        </w:rPr>
        <w:t>Walgreens Boots Alliance partners with Microsoft to develop ‘new healthcare delivery models’</w:t>
      </w:r>
      <w:r w:rsidRPr="00C226B7">
        <w:rPr>
          <w:rFonts w:ascii="Arial" w:hAnsi="Arial" w:cs="Arial"/>
          <w:color w:val="000000"/>
          <w:sz w:val="22"/>
          <w:szCs w:val="22"/>
        </w:rPr>
        <w:t>, </w:t>
      </w:r>
      <w:r w:rsidRPr="00C226B7">
        <w:rPr>
          <w:rFonts w:ascii="Arial" w:hAnsi="Arial" w:cs="Arial"/>
          <w:i/>
          <w:iCs/>
          <w:color w:val="000000"/>
          <w:sz w:val="22"/>
          <w:szCs w:val="22"/>
        </w:rPr>
        <w:t>The Pharmaceutical Journal</w:t>
      </w:r>
      <w:r w:rsidRPr="00C226B7">
        <w:rPr>
          <w:rFonts w:ascii="Arial" w:hAnsi="Arial" w:cs="Arial"/>
          <w:color w:val="000000"/>
          <w:sz w:val="22"/>
          <w:szCs w:val="22"/>
        </w:rPr>
        <w:t>. Available at: https://pharmaceutical-journal.com/article/news/walgreens-boots-alliance-partners-with-microsoft-to-develop-new-healthcare-delivery-models (Accessed: 08 April 2024).</w:t>
      </w:r>
      <w:r w:rsidRPr="00C226B7">
        <w:rPr>
          <w:rStyle w:val="apple-converted-space"/>
          <w:rFonts w:ascii="Arial" w:eastAsiaTheme="majorEastAsia" w:hAnsi="Arial" w:cs="Arial"/>
          <w:color w:val="000000"/>
          <w:sz w:val="22"/>
          <w:szCs w:val="22"/>
        </w:rPr>
        <w:t> </w:t>
      </w:r>
    </w:p>
    <w:p w14:paraId="201C8EA6" w14:textId="77777777" w:rsidR="005F1C39" w:rsidRDefault="005F1C39">
      <w:pPr>
        <w:rPr>
          <w:color w:val="000000" w:themeColor="text1"/>
        </w:rPr>
      </w:pPr>
    </w:p>
    <w:p w14:paraId="4DA4989F" w14:textId="77777777" w:rsidR="005F1C39" w:rsidRDefault="005F1C39">
      <w:pPr>
        <w:rPr>
          <w:color w:val="000000" w:themeColor="text1"/>
        </w:rPr>
      </w:pPr>
    </w:p>
    <w:p w14:paraId="4EBFE947" w14:textId="77777777" w:rsidR="005F1C39" w:rsidRDefault="005F1C39">
      <w:pPr>
        <w:rPr>
          <w:color w:val="000000" w:themeColor="text1"/>
        </w:rPr>
      </w:pPr>
    </w:p>
    <w:p w14:paraId="4D300D05" w14:textId="77777777" w:rsidR="005F1C39" w:rsidRDefault="005F1C39">
      <w:pPr>
        <w:rPr>
          <w:color w:val="000000" w:themeColor="text1"/>
        </w:rPr>
      </w:pPr>
    </w:p>
    <w:p w14:paraId="600F2C3D" w14:textId="43B6F3DE" w:rsidR="005F1C39" w:rsidRDefault="005F1C39" w:rsidP="00BD28C1">
      <w:pPr>
        <w:pStyle w:val="Heading1"/>
        <w:rPr>
          <w:b/>
          <w:bCs/>
          <w:i/>
          <w:iCs/>
          <w:color w:val="000000" w:themeColor="text1"/>
        </w:rPr>
      </w:pPr>
      <w:bookmarkStart w:id="28" w:name="_Toc164848547"/>
      <w:r w:rsidRPr="00BD28C1">
        <w:rPr>
          <w:b/>
          <w:bCs/>
          <w:i/>
          <w:iCs/>
          <w:color w:val="000000" w:themeColor="text1"/>
        </w:rPr>
        <w:lastRenderedPageBreak/>
        <w:t>Appendix</w:t>
      </w:r>
      <w:r w:rsidR="00BD28C1">
        <w:rPr>
          <w:b/>
          <w:bCs/>
          <w:i/>
          <w:iCs/>
          <w:color w:val="000000" w:themeColor="text1"/>
        </w:rPr>
        <w:t>:</w:t>
      </w:r>
      <w:bookmarkEnd w:id="28"/>
    </w:p>
    <w:p w14:paraId="6A71A3D3" w14:textId="0ACB1384" w:rsidR="00EA2662" w:rsidRPr="00251EF0" w:rsidRDefault="00BD28C1" w:rsidP="00251EF0">
      <w:pPr>
        <w:pStyle w:val="ListParagraph"/>
        <w:numPr>
          <w:ilvl w:val="0"/>
          <w:numId w:val="9"/>
        </w:numPr>
        <w:rPr>
          <w:rFonts w:ascii="Arial" w:hAnsi="Arial" w:cs="Arial"/>
          <w:sz w:val="24"/>
          <w:szCs w:val="24"/>
        </w:rPr>
      </w:pPr>
      <w:r w:rsidRPr="00251EF0">
        <w:rPr>
          <w:rFonts w:ascii="Arial" w:hAnsi="Arial" w:cs="Arial"/>
          <w:sz w:val="24"/>
          <w:szCs w:val="24"/>
        </w:rPr>
        <w:t>The following formulas were used throughout the report:</w:t>
      </w:r>
      <w:r w:rsidR="003E37D0" w:rsidRPr="00251EF0">
        <w:rPr>
          <w:rFonts w:ascii="Arial" w:hAnsi="Arial" w:cs="Arial"/>
          <w:sz w:val="24"/>
          <w:szCs w:val="24"/>
        </w:rPr>
        <w:t xml:space="preserve"> Part B</w:t>
      </w:r>
      <w:r w:rsidR="00EE102D" w:rsidRPr="00251EF0">
        <w:rPr>
          <w:rFonts w:ascii="Arial" w:hAnsi="Arial" w:cs="Arial"/>
          <w:sz w:val="24"/>
          <w:szCs w:val="24"/>
        </w:rPr>
        <w:t xml:space="preserve"> (Ratios)</w:t>
      </w:r>
    </w:p>
    <w:p w14:paraId="4468D6CE" w14:textId="77777777" w:rsidR="00EA2662" w:rsidRDefault="00F0291D" w:rsidP="00BD28C1">
      <w:r>
        <w:rPr>
          <w:noProof/>
          <w14:ligatures w14:val="standardContextual"/>
        </w:rPr>
        <w:drawing>
          <wp:inline distT="0" distB="0" distL="0" distR="0" wp14:anchorId="656F7F10" wp14:editId="6E7ED6FA">
            <wp:extent cx="2463800" cy="596900"/>
            <wp:effectExtent l="0" t="0" r="0" b="0"/>
            <wp:docPr id="63857589" name="Picture 9" descr="A yellow and black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7589" name="Picture 9" descr="A yellow and black sign with black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463800" cy="596900"/>
                    </a:xfrm>
                    <a:prstGeom prst="rect">
                      <a:avLst/>
                    </a:prstGeom>
                  </pic:spPr>
                </pic:pic>
              </a:graphicData>
            </a:graphic>
          </wp:inline>
        </w:drawing>
      </w:r>
      <w:r w:rsidR="00EA2662">
        <w:t xml:space="preserve"> </w:t>
      </w:r>
    </w:p>
    <w:p w14:paraId="13359509" w14:textId="4C4D1699" w:rsidR="00BD28C1" w:rsidRDefault="00EA2662" w:rsidP="00BD28C1">
      <w:r>
        <w:rPr>
          <w:noProof/>
          <w14:ligatures w14:val="standardContextual"/>
        </w:rPr>
        <w:drawing>
          <wp:inline distT="0" distB="0" distL="0" distR="0" wp14:anchorId="549A8DA3" wp14:editId="48387E2E">
            <wp:extent cx="2489200" cy="812800"/>
            <wp:effectExtent l="0" t="0" r="0" b="0"/>
            <wp:docPr id="1777488266" name="Picture 10" descr="A yellow and black math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488266" name="Picture 10" descr="A yellow and black math 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489200" cy="812800"/>
                    </a:xfrm>
                    <a:prstGeom prst="rect">
                      <a:avLst/>
                    </a:prstGeom>
                  </pic:spPr>
                </pic:pic>
              </a:graphicData>
            </a:graphic>
          </wp:inline>
        </w:drawing>
      </w:r>
    </w:p>
    <w:p w14:paraId="6AFB4FA6" w14:textId="22D11753" w:rsidR="003E37D0" w:rsidRDefault="003E37D0" w:rsidP="00BD28C1">
      <w:r>
        <w:rPr>
          <w:noProof/>
          <w14:ligatures w14:val="standardContextual"/>
        </w:rPr>
        <w:drawing>
          <wp:inline distT="0" distB="0" distL="0" distR="0" wp14:anchorId="4A7891E2" wp14:editId="17BC2430">
            <wp:extent cx="3314700" cy="635000"/>
            <wp:effectExtent l="0" t="0" r="0" b="0"/>
            <wp:docPr id="423480773" name="Picture 11" descr="A yellow and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80773" name="Picture 11" descr="A yellow and black li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314700" cy="635000"/>
                    </a:xfrm>
                    <a:prstGeom prst="rect">
                      <a:avLst/>
                    </a:prstGeom>
                  </pic:spPr>
                </pic:pic>
              </a:graphicData>
            </a:graphic>
          </wp:inline>
        </w:drawing>
      </w:r>
    </w:p>
    <w:p w14:paraId="4BBEACF9" w14:textId="3506BB1F" w:rsidR="003E37D0" w:rsidRDefault="003E37D0" w:rsidP="00BD28C1">
      <w:r>
        <w:rPr>
          <w:noProof/>
          <w14:ligatures w14:val="standardContextual"/>
        </w:rPr>
        <w:drawing>
          <wp:inline distT="0" distB="0" distL="0" distR="0" wp14:anchorId="5E4572BF" wp14:editId="7914D681">
            <wp:extent cx="3314700" cy="635000"/>
            <wp:effectExtent l="0" t="0" r="0" b="0"/>
            <wp:docPr id="576211656" name="Picture 12" descr="A yellow and white gri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211656" name="Picture 12" descr="A yellow and white grid with black number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314700" cy="635000"/>
                    </a:xfrm>
                    <a:prstGeom prst="rect">
                      <a:avLst/>
                    </a:prstGeom>
                  </pic:spPr>
                </pic:pic>
              </a:graphicData>
            </a:graphic>
          </wp:inline>
        </w:drawing>
      </w:r>
    </w:p>
    <w:p w14:paraId="6183D0F3" w14:textId="77777777" w:rsidR="003E37D0" w:rsidRDefault="003E37D0" w:rsidP="00BD28C1"/>
    <w:p w14:paraId="61254624" w14:textId="77777777" w:rsidR="003E37D0" w:rsidRDefault="003E37D0" w:rsidP="00BD28C1"/>
    <w:p w14:paraId="7BCE2C18" w14:textId="77777777" w:rsidR="00EE102D" w:rsidRDefault="00EE102D" w:rsidP="00BD28C1"/>
    <w:p w14:paraId="250D201A" w14:textId="77777777" w:rsidR="00EE102D" w:rsidRDefault="00EE102D" w:rsidP="00BD28C1"/>
    <w:p w14:paraId="1324F453" w14:textId="77777777" w:rsidR="00EE102D" w:rsidRDefault="00EE102D" w:rsidP="00BD28C1"/>
    <w:p w14:paraId="0DD3784E" w14:textId="77777777" w:rsidR="00EE102D" w:rsidRDefault="00EE102D" w:rsidP="00BD28C1"/>
    <w:p w14:paraId="16803389" w14:textId="77777777" w:rsidR="00EE102D" w:rsidRDefault="00EE102D" w:rsidP="00BD28C1"/>
    <w:p w14:paraId="44EE7D64" w14:textId="77777777" w:rsidR="00EE102D" w:rsidRDefault="00EE102D" w:rsidP="00BD28C1"/>
    <w:p w14:paraId="0B0FBFB3" w14:textId="77777777" w:rsidR="00EE102D" w:rsidRDefault="00EE102D" w:rsidP="00BD28C1"/>
    <w:p w14:paraId="29AE09C8" w14:textId="77777777" w:rsidR="00EE102D" w:rsidRDefault="00EE102D" w:rsidP="00BD28C1"/>
    <w:p w14:paraId="41DF37EA" w14:textId="77777777" w:rsidR="00EE102D" w:rsidRDefault="00EE102D" w:rsidP="00BD28C1"/>
    <w:p w14:paraId="22B06437" w14:textId="77777777" w:rsidR="00EE102D" w:rsidRDefault="00EE102D" w:rsidP="00BD28C1"/>
    <w:p w14:paraId="24A0B3D4" w14:textId="77777777" w:rsidR="00EE102D" w:rsidRDefault="00EE102D" w:rsidP="00BD28C1"/>
    <w:p w14:paraId="077C15AC" w14:textId="77777777" w:rsidR="00EE102D" w:rsidRDefault="00EE102D" w:rsidP="00BD28C1"/>
    <w:p w14:paraId="57090A47" w14:textId="77777777" w:rsidR="00EE102D" w:rsidRDefault="00EE102D" w:rsidP="00BD28C1"/>
    <w:p w14:paraId="682F1617" w14:textId="77777777" w:rsidR="00EE102D" w:rsidRDefault="00EE102D" w:rsidP="00BD28C1"/>
    <w:p w14:paraId="583B9247" w14:textId="77777777" w:rsidR="00EE102D" w:rsidRDefault="00EE102D" w:rsidP="00BD28C1"/>
    <w:p w14:paraId="2348EFCC" w14:textId="77777777" w:rsidR="00EE102D" w:rsidRDefault="00EE102D" w:rsidP="00BD28C1"/>
    <w:p w14:paraId="43ECD142" w14:textId="77777777" w:rsidR="00EE102D" w:rsidRDefault="00EE102D" w:rsidP="00BD28C1"/>
    <w:p w14:paraId="6B837390" w14:textId="58B928F9" w:rsidR="00EE102D" w:rsidRPr="00251EF0" w:rsidRDefault="00EE102D" w:rsidP="00251EF0">
      <w:pPr>
        <w:pStyle w:val="ListParagraph"/>
        <w:numPr>
          <w:ilvl w:val="0"/>
          <w:numId w:val="9"/>
        </w:numPr>
        <w:rPr>
          <w:rFonts w:ascii="Arial" w:hAnsi="Arial" w:cs="Arial"/>
          <w:b/>
          <w:bCs/>
          <w:sz w:val="24"/>
          <w:szCs w:val="24"/>
        </w:rPr>
      </w:pPr>
      <w:r w:rsidRPr="00251EF0">
        <w:rPr>
          <w:rFonts w:ascii="Arial" w:hAnsi="Arial" w:cs="Arial"/>
          <w:b/>
          <w:bCs/>
          <w:sz w:val="24"/>
          <w:szCs w:val="24"/>
        </w:rPr>
        <w:lastRenderedPageBreak/>
        <w:t>WBA Income Statement:</w:t>
      </w:r>
    </w:p>
    <w:tbl>
      <w:tblPr>
        <w:tblW w:w="10354" w:type="dxa"/>
        <w:tblCellMar>
          <w:left w:w="0" w:type="dxa"/>
          <w:right w:w="0" w:type="dxa"/>
        </w:tblCellMar>
        <w:tblLook w:val="04A0" w:firstRow="1" w:lastRow="0" w:firstColumn="1" w:lastColumn="0" w:noHBand="0" w:noVBand="1"/>
      </w:tblPr>
      <w:tblGrid>
        <w:gridCol w:w="4690"/>
        <w:gridCol w:w="1416"/>
        <w:gridCol w:w="1416"/>
        <w:gridCol w:w="1416"/>
        <w:gridCol w:w="1416"/>
      </w:tblGrid>
      <w:tr w:rsidR="00480197" w:rsidRPr="00480197" w14:paraId="7222635C" w14:textId="77777777" w:rsidTr="00480197">
        <w:trPr>
          <w:tblHeader/>
        </w:trPr>
        <w:tc>
          <w:tcPr>
            <w:tcW w:w="0" w:type="auto"/>
            <w:tcBorders>
              <w:top w:val="single" w:sz="24" w:space="0" w:color="auto"/>
              <w:left w:val="nil"/>
              <w:bottom w:val="single" w:sz="24" w:space="0" w:color="auto"/>
              <w:right w:val="nil"/>
            </w:tcBorders>
            <w:vAlign w:val="center"/>
            <w:hideMark/>
          </w:tcPr>
          <w:p w14:paraId="27D68696"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Period Ending:</w:t>
            </w:r>
          </w:p>
        </w:tc>
        <w:tc>
          <w:tcPr>
            <w:tcW w:w="0" w:type="auto"/>
            <w:tcBorders>
              <w:top w:val="single" w:sz="24" w:space="0" w:color="auto"/>
              <w:left w:val="nil"/>
              <w:bottom w:val="single" w:sz="24" w:space="0" w:color="auto"/>
              <w:right w:val="nil"/>
            </w:tcBorders>
            <w:vAlign w:val="center"/>
            <w:hideMark/>
          </w:tcPr>
          <w:p w14:paraId="6BF5F392" w14:textId="77777777" w:rsidR="00480197" w:rsidRPr="00480197" w:rsidRDefault="00480197" w:rsidP="00480197">
            <w:pPr>
              <w:spacing w:after="0" w:line="240" w:lineRule="auto"/>
              <w:jc w:val="right"/>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8/31/2023</w:t>
            </w:r>
          </w:p>
        </w:tc>
        <w:tc>
          <w:tcPr>
            <w:tcW w:w="0" w:type="auto"/>
            <w:tcBorders>
              <w:top w:val="single" w:sz="24" w:space="0" w:color="auto"/>
              <w:left w:val="nil"/>
              <w:bottom w:val="single" w:sz="24" w:space="0" w:color="auto"/>
              <w:right w:val="nil"/>
            </w:tcBorders>
            <w:vAlign w:val="center"/>
            <w:hideMark/>
          </w:tcPr>
          <w:p w14:paraId="558E0D87" w14:textId="77777777" w:rsidR="00480197" w:rsidRPr="00480197" w:rsidRDefault="00480197" w:rsidP="00480197">
            <w:pPr>
              <w:spacing w:after="0" w:line="240" w:lineRule="auto"/>
              <w:jc w:val="right"/>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8/31/2022</w:t>
            </w:r>
          </w:p>
        </w:tc>
        <w:tc>
          <w:tcPr>
            <w:tcW w:w="0" w:type="auto"/>
            <w:tcBorders>
              <w:top w:val="single" w:sz="24" w:space="0" w:color="auto"/>
              <w:left w:val="nil"/>
              <w:bottom w:val="single" w:sz="24" w:space="0" w:color="auto"/>
              <w:right w:val="nil"/>
            </w:tcBorders>
            <w:vAlign w:val="center"/>
            <w:hideMark/>
          </w:tcPr>
          <w:p w14:paraId="45A9E26A" w14:textId="77777777" w:rsidR="00480197" w:rsidRPr="00480197" w:rsidRDefault="00480197" w:rsidP="00480197">
            <w:pPr>
              <w:spacing w:after="0" w:line="240" w:lineRule="auto"/>
              <w:jc w:val="right"/>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8/31/2021</w:t>
            </w:r>
          </w:p>
        </w:tc>
        <w:tc>
          <w:tcPr>
            <w:tcW w:w="0" w:type="auto"/>
            <w:tcBorders>
              <w:top w:val="single" w:sz="24" w:space="0" w:color="auto"/>
              <w:left w:val="nil"/>
              <w:bottom w:val="single" w:sz="24" w:space="0" w:color="auto"/>
              <w:right w:val="nil"/>
            </w:tcBorders>
            <w:vAlign w:val="center"/>
            <w:hideMark/>
          </w:tcPr>
          <w:p w14:paraId="215FC557" w14:textId="77777777" w:rsidR="00480197" w:rsidRPr="00480197" w:rsidRDefault="00480197" w:rsidP="00480197">
            <w:pPr>
              <w:spacing w:after="0" w:line="240" w:lineRule="auto"/>
              <w:jc w:val="right"/>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8/31/2020</w:t>
            </w:r>
          </w:p>
        </w:tc>
      </w:tr>
      <w:tr w:rsidR="00480197" w:rsidRPr="00480197" w14:paraId="15CD92E7" w14:textId="77777777" w:rsidTr="00480197">
        <w:tc>
          <w:tcPr>
            <w:tcW w:w="0" w:type="auto"/>
            <w:tcBorders>
              <w:top w:val="nil"/>
              <w:left w:val="nil"/>
              <w:bottom w:val="single" w:sz="24" w:space="0" w:color="auto"/>
              <w:right w:val="nil"/>
            </w:tcBorders>
            <w:vAlign w:val="center"/>
            <w:hideMark/>
          </w:tcPr>
          <w:p w14:paraId="2C4AA893"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Total Revenue</w:t>
            </w:r>
          </w:p>
        </w:tc>
        <w:tc>
          <w:tcPr>
            <w:tcW w:w="0" w:type="auto"/>
            <w:tcBorders>
              <w:top w:val="nil"/>
              <w:left w:val="nil"/>
              <w:bottom w:val="single" w:sz="24" w:space="0" w:color="auto"/>
              <w:right w:val="nil"/>
            </w:tcBorders>
            <w:vAlign w:val="center"/>
            <w:hideMark/>
          </w:tcPr>
          <w:p w14:paraId="4731D576"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$139,081,000</w:t>
            </w:r>
          </w:p>
        </w:tc>
        <w:tc>
          <w:tcPr>
            <w:tcW w:w="0" w:type="auto"/>
            <w:tcBorders>
              <w:top w:val="nil"/>
              <w:left w:val="nil"/>
              <w:bottom w:val="single" w:sz="24" w:space="0" w:color="auto"/>
              <w:right w:val="nil"/>
            </w:tcBorders>
            <w:vAlign w:val="center"/>
            <w:hideMark/>
          </w:tcPr>
          <w:p w14:paraId="5DD6E356"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$132,703,000</w:t>
            </w:r>
          </w:p>
        </w:tc>
        <w:tc>
          <w:tcPr>
            <w:tcW w:w="0" w:type="auto"/>
            <w:tcBorders>
              <w:top w:val="nil"/>
              <w:left w:val="nil"/>
              <w:bottom w:val="single" w:sz="24" w:space="0" w:color="auto"/>
              <w:right w:val="nil"/>
            </w:tcBorders>
            <w:vAlign w:val="center"/>
            <w:hideMark/>
          </w:tcPr>
          <w:p w14:paraId="17DC416C"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$132,509,000</w:t>
            </w:r>
          </w:p>
        </w:tc>
        <w:tc>
          <w:tcPr>
            <w:tcW w:w="0" w:type="auto"/>
            <w:tcBorders>
              <w:top w:val="nil"/>
              <w:left w:val="nil"/>
              <w:bottom w:val="single" w:sz="24" w:space="0" w:color="auto"/>
              <w:right w:val="nil"/>
            </w:tcBorders>
            <w:vAlign w:val="center"/>
            <w:hideMark/>
          </w:tcPr>
          <w:p w14:paraId="77C68447"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$121,982,000</w:t>
            </w:r>
          </w:p>
        </w:tc>
      </w:tr>
      <w:tr w:rsidR="00480197" w:rsidRPr="00480197" w14:paraId="1AC4488E" w14:textId="77777777" w:rsidTr="00480197">
        <w:tc>
          <w:tcPr>
            <w:tcW w:w="0" w:type="auto"/>
            <w:tcBorders>
              <w:top w:val="nil"/>
              <w:left w:val="nil"/>
              <w:bottom w:val="single" w:sz="24" w:space="0" w:color="auto"/>
              <w:right w:val="nil"/>
            </w:tcBorders>
            <w:vAlign w:val="center"/>
            <w:hideMark/>
          </w:tcPr>
          <w:p w14:paraId="0A896C2E"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Cost of Revenue</w:t>
            </w:r>
          </w:p>
        </w:tc>
        <w:tc>
          <w:tcPr>
            <w:tcW w:w="0" w:type="auto"/>
            <w:tcBorders>
              <w:top w:val="nil"/>
              <w:left w:val="nil"/>
              <w:bottom w:val="single" w:sz="24" w:space="0" w:color="auto"/>
              <w:right w:val="nil"/>
            </w:tcBorders>
            <w:vAlign w:val="center"/>
            <w:hideMark/>
          </w:tcPr>
          <w:p w14:paraId="5507E665"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$112,009,000</w:t>
            </w:r>
          </w:p>
        </w:tc>
        <w:tc>
          <w:tcPr>
            <w:tcW w:w="0" w:type="auto"/>
            <w:tcBorders>
              <w:top w:val="nil"/>
              <w:left w:val="nil"/>
              <w:bottom w:val="single" w:sz="24" w:space="0" w:color="auto"/>
              <w:right w:val="nil"/>
            </w:tcBorders>
            <w:vAlign w:val="center"/>
            <w:hideMark/>
          </w:tcPr>
          <w:p w14:paraId="2B1E87AF"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$104,437,000</w:t>
            </w:r>
          </w:p>
        </w:tc>
        <w:tc>
          <w:tcPr>
            <w:tcW w:w="0" w:type="auto"/>
            <w:tcBorders>
              <w:top w:val="nil"/>
              <w:left w:val="nil"/>
              <w:bottom w:val="single" w:sz="24" w:space="0" w:color="auto"/>
              <w:right w:val="nil"/>
            </w:tcBorders>
            <w:vAlign w:val="center"/>
            <w:hideMark/>
          </w:tcPr>
          <w:p w14:paraId="4D4819FE"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$104,442,000</w:t>
            </w:r>
          </w:p>
        </w:tc>
        <w:tc>
          <w:tcPr>
            <w:tcW w:w="0" w:type="auto"/>
            <w:tcBorders>
              <w:top w:val="nil"/>
              <w:left w:val="nil"/>
              <w:bottom w:val="single" w:sz="24" w:space="0" w:color="auto"/>
              <w:right w:val="nil"/>
            </w:tcBorders>
            <w:vAlign w:val="center"/>
            <w:hideMark/>
          </w:tcPr>
          <w:p w14:paraId="621A01CF"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$95,905,000</w:t>
            </w:r>
          </w:p>
        </w:tc>
      </w:tr>
      <w:tr w:rsidR="00480197" w:rsidRPr="00480197" w14:paraId="2D805F05" w14:textId="77777777" w:rsidTr="00480197">
        <w:tc>
          <w:tcPr>
            <w:tcW w:w="0" w:type="auto"/>
            <w:tcBorders>
              <w:top w:val="nil"/>
              <w:left w:val="nil"/>
              <w:bottom w:val="single" w:sz="24" w:space="0" w:color="auto"/>
              <w:right w:val="nil"/>
            </w:tcBorders>
            <w:vAlign w:val="center"/>
            <w:hideMark/>
          </w:tcPr>
          <w:p w14:paraId="772027B4" w14:textId="77777777" w:rsidR="00480197" w:rsidRPr="00480197" w:rsidRDefault="00480197" w:rsidP="00480197">
            <w:pPr>
              <w:spacing w:after="0" w:line="240" w:lineRule="auto"/>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Gross Profit</w:t>
            </w:r>
          </w:p>
        </w:tc>
        <w:tc>
          <w:tcPr>
            <w:tcW w:w="0" w:type="auto"/>
            <w:tcBorders>
              <w:top w:val="nil"/>
              <w:left w:val="nil"/>
              <w:bottom w:val="single" w:sz="24" w:space="0" w:color="auto"/>
              <w:right w:val="nil"/>
            </w:tcBorders>
            <w:vAlign w:val="center"/>
            <w:hideMark/>
          </w:tcPr>
          <w:p w14:paraId="27A02678"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$27,072,000</w:t>
            </w:r>
          </w:p>
        </w:tc>
        <w:tc>
          <w:tcPr>
            <w:tcW w:w="0" w:type="auto"/>
            <w:tcBorders>
              <w:top w:val="nil"/>
              <w:left w:val="nil"/>
              <w:bottom w:val="single" w:sz="24" w:space="0" w:color="auto"/>
              <w:right w:val="nil"/>
            </w:tcBorders>
            <w:vAlign w:val="center"/>
            <w:hideMark/>
          </w:tcPr>
          <w:p w14:paraId="45F089A8"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$28,265,000</w:t>
            </w:r>
          </w:p>
        </w:tc>
        <w:tc>
          <w:tcPr>
            <w:tcW w:w="0" w:type="auto"/>
            <w:tcBorders>
              <w:top w:val="nil"/>
              <w:left w:val="nil"/>
              <w:bottom w:val="single" w:sz="24" w:space="0" w:color="auto"/>
              <w:right w:val="nil"/>
            </w:tcBorders>
            <w:vAlign w:val="center"/>
            <w:hideMark/>
          </w:tcPr>
          <w:p w14:paraId="37DDD77C"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$28,067,000</w:t>
            </w:r>
          </w:p>
        </w:tc>
        <w:tc>
          <w:tcPr>
            <w:tcW w:w="0" w:type="auto"/>
            <w:tcBorders>
              <w:top w:val="nil"/>
              <w:left w:val="nil"/>
              <w:bottom w:val="single" w:sz="24" w:space="0" w:color="auto"/>
              <w:right w:val="nil"/>
            </w:tcBorders>
            <w:vAlign w:val="center"/>
            <w:hideMark/>
          </w:tcPr>
          <w:p w14:paraId="54A087A3"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$26,078,000</w:t>
            </w:r>
          </w:p>
        </w:tc>
      </w:tr>
      <w:tr w:rsidR="00480197" w:rsidRPr="00480197" w14:paraId="56524668" w14:textId="77777777" w:rsidTr="00480197">
        <w:tc>
          <w:tcPr>
            <w:tcW w:w="0" w:type="auto"/>
            <w:tcBorders>
              <w:top w:val="nil"/>
              <w:left w:val="nil"/>
              <w:bottom w:val="single" w:sz="24" w:space="0" w:color="auto"/>
              <w:right w:val="nil"/>
            </w:tcBorders>
            <w:vAlign w:val="center"/>
            <w:hideMark/>
          </w:tcPr>
          <w:p w14:paraId="30C9FE63"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color w:val="2B2B2B"/>
                <w:sz w:val="24"/>
                <w:szCs w:val="24"/>
                <w:bdr w:val="none" w:sz="0" w:space="0" w:color="auto" w:frame="1"/>
                <w:lang w:eastAsia="en-GB"/>
              </w:rPr>
              <w:t>Operating Expenses</w:t>
            </w:r>
          </w:p>
        </w:tc>
        <w:tc>
          <w:tcPr>
            <w:tcW w:w="0" w:type="auto"/>
            <w:tcBorders>
              <w:top w:val="nil"/>
              <w:left w:val="nil"/>
              <w:bottom w:val="single" w:sz="24" w:space="0" w:color="auto"/>
              <w:right w:val="nil"/>
            </w:tcBorders>
            <w:vAlign w:val="center"/>
            <w:hideMark/>
          </w:tcPr>
          <w:p w14:paraId="5030DEF3"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p>
        </w:tc>
        <w:tc>
          <w:tcPr>
            <w:tcW w:w="0" w:type="auto"/>
            <w:tcBorders>
              <w:top w:val="nil"/>
              <w:left w:val="nil"/>
              <w:bottom w:val="single" w:sz="24" w:space="0" w:color="auto"/>
              <w:right w:val="nil"/>
            </w:tcBorders>
            <w:vAlign w:val="center"/>
            <w:hideMark/>
          </w:tcPr>
          <w:p w14:paraId="7DE5F8F3" w14:textId="77777777" w:rsidR="00480197" w:rsidRPr="00480197" w:rsidRDefault="00480197" w:rsidP="00480197">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7A8C78F6" w14:textId="77777777" w:rsidR="00480197" w:rsidRPr="00480197" w:rsidRDefault="00480197" w:rsidP="00480197">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7A096AC7" w14:textId="77777777" w:rsidR="00480197" w:rsidRPr="00480197" w:rsidRDefault="00480197" w:rsidP="00480197">
            <w:pPr>
              <w:spacing w:after="0" w:line="240" w:lineRule="auto"/>
              <w:jc w:val="right"/>
              <w:rPr>
                <w:rFonts w:ascii="Times New Roman" w:eastAsia="Times New Roman" w:hAnsi="Times New Roman" w:cs="Times New Roman"/>
                <w:sz w:val="20"/>
                <w:szCs w:val="20"/>
                <w:lang w:eastAsia="en-GB"/>
              </w:rPr>
            </w:pPr>
          </w:p>
        </w:tc>
      </w:tr>
      <w:tr w:rsidR="00480197" w:rsidRPr="00480197" w14:paraId="6BF1E847" w14:textId="77777777" w:rsidTr="00480197">
        <w:tc>
          <w:tcPr>
            <w:tcW w:w="0" w:type="auto"/>
            <w:tcBorders>
              <w:top w:val="nil"/>
              <w:left w:val="nil"/>
              <w:bottom w:val="single" w:sz="24" w:space="0" w:color="auto"/>
              <w:right w:val="nil"/>
            </w:tcBorders>
            <w:vAlign w:val="center"/>
            <w:hideMark/>
          </w:tcPr>
          <w:p w14:paraId="2D63F633"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Research and Development</w:t>
            </w:r>
          </w:p>
        </w:tc>
        <w:tc>
          <w:tcPr>
            <w:tcW w:w="0" w:type="auto"/>
            <w:tcBorders>
              <w:top w:val="nil"/>
              <w:left w:val="nil"/>
              <w:bottom w:val="single" w:sz="24" w:space="0" w:color="auto"/>
              <w:right w:val="nil"/>
            </w:tcBorders>
            <w:vAlign w:val="center"/>
            <w:hideMark/>
          </w:tcPr>
          <w:p w14:paraId="6EE8C403"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72B49DD9"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16188A4A"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467E077C"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r>
      <w:tr w:rsidR="00480197" w:rsidRPr="00480197" w14:paraId="1300527D" w14:textId="77777777" w:rsidTr="00480197">
        <w:tc>
          <w:tcPr>
            <w:tcW w:w="0" w:type="auto"/>
            <w:tcBorders>
              <w:top w:val="nil"/>
              <w:left w:val="nil"/>
              <w:bottom w:val="single" w:sz="24" w:space="0" w:color="auto"/>
              <w:right w:val="nil"/>
            </w:tcBorders>
            <w:vAlign w:val="center"/>
            <w:hideMark/>
          </w:tcPr>
          <w:p w14:paraId="3A68C987"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Sales, General and Admin.</w:t>
            </w:r>
          </w:p>
        </w:tc>
        <w:tc>
          <w:tcPr>
            <w:tcW w:w="0" w:type="auto"/>
            <w:tcBorders>
              <w:top w:val="nil"/>
              <w:left w:val="nil"/>
              <w:bottom w:val="single" w:sz="24" w:space="0" w:color="auto"/>
              <w:right w:val="nil"/>
            </w:tcBorders>
            <w:vAlign w:val="center"/>
            <w:hideMark/>
          </w:tcPr>
          <w:p w14:paraId="610822DF"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$33,953,000</w:t>
            </w:r>
          </w:p>
        </w:tc>
        <w:tc>
          <w:tcPr>
            <w:tcW w:w="0" w:type="auto"/>
            <w:tcBorders>
              <w:top w:val="nil"/>
              <w:left w:val="nil"/>
              <w:bottom w:val="single" w:sz="24" w:space="0" w:color="auto"/>
              <w:right w:val="nil"/>
            </w:tcBorders>
            <w:vAlign w:val="center"/>
            <w:hideMark/>
          </w:tcPr>
          <w:p w14:paraId="102EB542"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$26,877,000</w:t>
            </w:r>
          </w:p>
        </w:tc>
        <w:tc>
          <w:tcPr>
            <w:tcW w:w="0" w:type="auto"/>
            <w:tcBorders>
              <w:top w:val="nil"/>
              <w:left w:val="nil"/>
              <w:bottom w:val="single" w:sz="24" w:space="0" w:color="auto"/>
              <w:right w:val="nil"/>
            </w:tcBorders>
            <w:vAlign w:val="center"/>
            <w:hideMark/>
          </w:tcPr>
          <w:p w14:paraId="6AEC5C32"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$25,725,000</w:t>
            </w:r>
          </w:p>
        </w:tc>
        <w:tc>
          <w:tcPr>
            <w:tcW w:w="0" w:type="auto"/>
            <w:tcBorders>
              <w:top w:val="nil"/>
              <w:left w:val="nil"/>
              <w:bottom w:val="single" w:sz="24" w:space="0" w:color="auto"/>
              <w:right w:val="nil"/>
            </w:tcBorders>
            <w:vAlign w:val="center"/>
            <w:hideMark/>
          </w:tcPr>
          <w:p w14:paraId="0899E55A"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$25,095,000</w:t>
            </w:r>
          </w:p>
        </w:tc>
      </w:tr>
      <w:tr w:rsidR="00480197" w:rsidRPr="00480197" w14:paraId="25C92745" w14:textId="77777777" w:rsidTr="00480197">
        <w:tc>
          <w:tcPr>
            <w:tcW w:w="0" w:type="auto"/>
            <w:tcBorders>
              <w:top w:val="nil"/>
              <w:left w:val="nil"/>
              <w:bottom w:val="single" w:sz="24" w:space="0" w:color="auto"/>
              <w:right w:val="nil"/>
            </w:tcBorders>
            <w:vAlign w:val="center"/>
            <w:hideMark/>
          </w:tcPr>
          <w:p w14:paraId="0E694002"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Non-Recurring Items</w:t>
            </w:r>
          </w:p>
        </w:tc>
        <w:tc>
          <w:tcPr>
            <w:tcW w:w="0" w:type="auto"/>
            <w:tcBorders>
              <w:top w:val="nil"/>
              <w:left w:val="nil"/>
              <w:bottom w:val="single" w:sz="24" w:space="0" w:color="auto"/>
              <w:right w:val="nil"/>
            </w:tcBorders>
            <w:vAlign w:val="center"/>
            <w:hideMark/>
          </w:tcPr>
          <w:p w14:paraId="76C941D9"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21F019B8"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1317734D"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05AF0115"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r>
      <w:tr w:rsidR="00480197" w:rsidRPr="00480197" w14:paraId="4669A24D" w14:textId="77777777" w:rsidTr="00480197">
        <w:tc>
          <w:tcPr>
            <w:tcW w:w="0" w:type="auto"/>
            <w:tcBorders>
              <w:top w:val="nil"/>
              <w:left w:val="nil"/>
              <w:bottom w:val="single" w:sz="24" w:space="0" w:color="auto"/>
              <w:right w:val="nil"/>
            </w:tcBorders>
            <w:vAlign w:val="center"/>
            <w:hideMark/>
          </w:tcPr>
          <w:p w14:paraId="30F45517"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Other Operating Items</w:t>
            </w:r>
          </w:p>
        </w:tc>
        <w:tc>
          <w:tcPr>
            <w:tcW w:w="0" w:type="auto"/>
            <w:tcBorders>
              <w:top w:val="nil"/>
              <w:left w:val="nil"/>
              <w:bottom w:val="single" w:sz="24" w:space="0" w:color="auto"/>
              <w:right w:val="nil"/>
            </w:tcBorders>
            <w:vAlign w:val="center"/>
            <w:hideMark/>
          </w:tcPr>
          <w:p w14:paraId="287110B9"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149B59FC"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26D7C4AE"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3EA12087"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r>
      <w:tr w:rsidR="00480197" w:rsidRPr="00480197" w14:paraId="446D2C29" w14:textId="77777777" w:rsidTr="00480197">
        <w:tc>
          <w:tcPr>
            <w:tcW w:w="0" w:type="auto"/>
            <w:tcBorders>
              <w:top w:val="nil"/>
              <w:left w:val="nil"/>
              <w:bottom w:val="single" w:sz="24" w:space="0" w:color="auto"/>
              <w:right w:val="nil"/>
            </w:tcBorders>
            <w:vAlign w:val="center"/>
            <w:hideMark/>
          </w:tcPr>
          <w:p w14:paraId="5D8433D8" w14:textId="77777777" w:rsidR="00480197" w:rsidRPr="00480197" w:rsidRDefault="00480197" w:rsidP="00480197">
            <w:pPr>
              <w:spacing w:after="0" w:line="240" w:lineRule="auto"/>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Operating Income</w:t>
            </w:r>
          </w:p>
        </w:tc>
        <w:tc>
          <w:tcPr>
            <w:tcW w:w="0" w:type="auto"/>
            <w:tcBorders>
              <w:top w:val="nil"/>
              <w:left w:val="nil"/>
              <w:bottom w:val="single" w:sz="24" w:space="0" w:color="auto"/>
              <w:right w:val="nil"/>
            </w:tcBorders>
            <w:vAlign w:val="center"/>
            <w:hideMark/>
          </w:tcPr>
          <w:p w14:paraId="33C5D770"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-$6,882,000</w:t>
            </w:r>
          </w:p>
        </w:tc>
        <w:tc>
          <w:tcPr>
            <w:tcW w:w="0" w:type="auto"/>
            <w:tcBorders>
              <w:top w:val="nil"/>
              <w:left w:val="nil"/>
              <w:bottom w:val="single" w:sz="24" w:space="0" w:color="auto"/>
              <w:right w:val="nil"/>
            </w:tcBorders>
            <w:vAlign w:val="center"/>
            <w:hideMark/>
          </w:tcPr>
          <w:p w14:paraId="47E6A1BA"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$1,387,000</w:t>
            </w:r>
          </w:p>
        </w:tc>
        <w:tc>
          <w:tcPr>
            <w:tcW w:w="0" w:type="auto"/>
            <w:tcBorders>
              <w:top w:val="nil"/>
              <w:left w:val="nil"/>
              <w:bottom w:val="single" w:sz="24" w:space="0" w:color="auto"/>
              <w:right w:val="nil"/>
            </w:tcBorders>
            <w:vAlign w:val="center"/>
            <w:hideMark/>
          </w:tcPr>
          <w:p w14:paraId="75D745B1"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$2,342,000</w:t>
            </w:r>
          </w:p>
        </w:tc>
        <w:tc>
          <w:tcPr>
            <w:tcW w:w="0" w:type="auto"/>
            <w:tcBorders>
              <w:top w:val="nil"/>
              <w:left w:val="nil"/>
              <w:bottom w:val="single" w:sz="24" w:space="0" w:color="auto"/>
              <w:right w:val="nil"/>
            </w:tcBorders>
            <w:vAlign w:val="center"/>
            <w:hideMark/>
          </w:tcPr>
          <w:p w14:paraId="5E99916F"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$982,000</w:t>
            </w:r>
          </w:p>
        </w:tc>
      </w:tr>
      <w:tr w:rsidR="00480197" w:rsidRPr="00480197" w14:paraId="21FE3387" w14:textId="77777777" w:rsidTr="00480197">
        <w:tc>
          <w:tcPr>
            <w:tcW w:w="0" w:type="auto"/>
            <w:tcBorders>
              <w:top w:val="nil"/>
              <w:left w:val="nil"/>
              <w:bottom w:val="single" w:sz="24" w:space="0" w:color="auto"/>
              <w:right w:val="nil"/>
            </w:tcBorders>
            <w:vAlign w:val="center"/>
            <w:hideMark/>
          </w:tcPr>
          <w:p w14:paraId="2B43FCC2"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proofErr w:type="spellStart"/>
            <w:r w:rsidRPr="00480197">
              <w:rPr>
                <w:rFonts w:ascii="inherit" w:eastAsia="Times New Roman" w:hAnsi="inherit" w:cs="Times New Roman"/>
                <w:b/>
                <w:bCs/>
                <w:color w:val="2B2B2B"/>
                <w:sz w:val="24"/>
                <w:szCs w:val="24"/>
                <w:lang w:eastAsia="en-GB"/>
              </w:rPr>
              <w:t>Add'l</w:t>
            </w:r>
            <w:proofErr w:type="spellEnd"/>
            <w:r w:rsidRPr="00480197">
              <w:rPr>
                <w:rFonts w:ascii="inherit" w:eastAsia="Times New Roman" w:hAnsi="inherit" w:cs="Times New Roman"/>
                <w:b/>
                <w:bCs/>
                <w:color w:val="2B2B2B"/>
                <w:sz w:val="24"/>
                <w:szCs w:val="24"/>
                <w:lang w:eastAsia="en-GB"/>
              </w:rPr>
              <w:t xml:space="preserve"> income/expense items</w:t>
            </w:r>
          </w:p>
        </w:tc>
        <w:tc>
          <w:tcPr>
            <w:tcW w:w="0" w:type="auto"/>
            <w:tcBorders>
              <w:top w:val="nil"/>
              <w:left w:val="nil"/>
              <w:bottom w:val="single" w:sz="24" w:space="0" w:color="auto"/>
              <w:right w:val="nil"/>
            </w:tcBorders>
            <w:vAlign w:val="center"/>
            <w:hideMark/>
          </w:tcPr>
          <w:p w14:paraId="6A446C7A"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$2,043,000</w:t>
            </w:r>
          </w:p>
        </w:tc>
        <w:tc>
          <w:tcPr>
            <w:tcW w:w="0" w:type="auto"/>
            <w:tcBorders>
              <w:top w:val="nil"/>
              <w:left w:val="nil"/>
              <w:bottom w:val="single" w:sz="24" w:space="0" w:color="auto"/>
              <w:right w:val="nil"/>
            </w:tcBorders>
            <w:vAlign w:val="center"/>
            <w:hideMark/>
          </w:tcPr>
          <w:p w14:paraId="5E026188"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$2,998,000</w:t>
            </w:r>
          </w:p>
        </w:tc>
        <w:tc>
          <w:tcPr>
            <w:tcW w:w="0" w:type="auto"/>
            <w:tcBorders>
              <w:top w:val="nil"/>
              <w:left w:val="nil"/>
              <w:bottom w:val="single" w:sz="24" w:space="0" w:color="auto"/>
              <w:right w:val="nil"/>
            </w:tcBorders>
            <w:vAlign w:val="center"/>
            <w:hideMark/>
          </w:tcPr>
          <w:p w14:paraId="1C6476C0"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$558,000</w:t>
            </w:r>
          </w:p>
        </w:tc>
        <w:tc>
          <w:tcPr>
            <w:tcW w:w="0" w:type="auto"/>
            <w:tcBorders>
              <w:top w:val="nil"/>
              <w:left w:val="nil"/>
              <w:bottom w:val="single" w:sz="24" w:space="0" w:color="auto"/>
              <w:right w:val="nil"/>
            </w:tcBorders>
            <w:vAlign w:val="center"/>
            <w:hideMark/>
          </w:tcPr>
          <w:p w14:paraId="552C5D25"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$77,000</w:t>
            </w:r>
          </w:p>
        </w:tc>
      </w:tr>
      <w:tr w:rsidR="00480197" w:rsidRPr="00480197" w14:paraId="1654A398" w14:textId="77777777" w:rsidTr="00480197">
        <w:tc>
          <w:tcPr>
            <w:tcW w:w="0" w:type="auto"/>
            <w:tcBorders>
              <w:top w:val="nil"/>
              <w:left w:val="nil"/>
              <w:bottom w:val="single" w:sz="24" w:space="0" w:color="auto"/>
              <w:right w:val="nil"/>
            </w:tcBorders>
            <w:vAlign w:val="center"/>
            <w:hideMark/>
          </w:tcPr>
          <w:p w14:paraId="300B88C7"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Earnings Before Interest and Tax</w:t>
            </w:r>
          </w:p>
        </w:tc>
        <w:tc>
          <w:tcPr>
            <w:tcW w:w="0" w:type="auto"/>
            <w:tcBorders>
              <w:top w:val="nil"/>
              <w:left w:val="nil"/>
              <w:bottom w:val="single" w:sz="24" w:space="0" w:color="auto"/>
              <w:right w:val="nil"/>
            </w:tcBorders>
            <w:vAlign w:val="center"/>
            <w:hideMark/>
          </w:tcPr>
          <w:p w14:paraId="458AFFC0"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-$4,839,000</w:t>
            </w:r>
          </w:p>
        </w:tc>
        <w:tc>
          <w:tcPr>
            <w:tcW w:w="0" w:type="auto"/>
            <w:tcBorders>
              <w:top w:val="nil"/>
              <w:left w:val="nil"/>
              <w:bottom w:val="single" w:sz="24" w:space="0" w:color="auto"/>
              <w:right w:val="nil"/>
            </w:tcBorders>
            <w:vAlign w:val="center"/>
            <w:hideMark/>
          </w:tcPr>
          <w:p w14:paraId="00825134"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$4,385,000</w:t>
            </w:r>
          </w:p>
        </w:tc>
        <w:tc>
          <w:tcPr>
            <w:tcW w:w="0" w:type="auto"/>
            <w:tcBorders>
              <w:top w:val="nil"/>
              <w:left w:val="nil"/>
              <w:bottom w:val="single" w:sz="24" w:space="0" w:color="auto"/>
              <w:right w:val="nil"/>
            </w:tcBorders>
            <w:vAlign w:val="center"/>
            <w:hideMark/>
          </w:tcPr>
          <w:p w14:paraId="2271F350"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$2,900,000</w:t>
            </w:r>
          </w:p>
        </w:tc>
        <w:tc>
          <w:tcPr>
            <w:tcW w:w="0" w:type="auto"/>
            <w:tcBorders>
              <w:top w:val="nil"/>
              <w:left w:val="nil"/>
              <w:bottom w:val="single" w:sz="24" w:space="0" w:color="auto"/>
              <w:right w:val="nil"/>
            </w:tcBorders>
            <w:vAlign w:val="center"/>
            <w:hideMark/>
          </w:tcPr>
          <w:p w14:paraId="088FF91E"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$1,060,000</w:t>
            </w:r>
          </w:p>
        </w:tc>
      </w:tr>
      <w:tr w:rsidR="00480197" w:rsidRPr="00480197" w14:paraId="110680CC" w14:textId="77777777" w:rsidTr="00480197">
        <w:tc>
          <w:tcPr>
            <w:tcW w:w="0" w:type="auto"/>
            <w:tcBorders>
              <w:top w:val="nil"/>
              <w:left w:val="nil"/>
              <w:bottom w:val="single" w:sz="24" w:space="0" w:color="auto"/>
              <w:right w:val="nil"/>
            </w:tcBorders>
            <w:vAlign w:val="center"/>
            <w:hideMark/>
          </w:tcPr>
          <w:p w14:paraId="4814B614"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Interest Expense</w:t>
            </w:r>
          </w:p>
        </w:tc>
        <w:tc>
          <w:tcPr>
            <w:tcW w:w="0" w:type="auto"/>
            <w:tcBorders>
              <w:top w:val="nil"/>
              <w:left w:val="nil"/>
              <w:bottom w:val="single" w:sz="24" w:space="0" w:color="auto"/>
              <w:right w:val="nil"/>
            </w:tcBorders>
            <w:vAlign w:val="center"/>
            <w:hideMark/>
          </w:tcPr>
          <w:p w14:paraId="5D99F3C5"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$580,000</w:t>
            </w:r>
          </w:p>
        </w:tc>
        <w:tc>
          <w:tcPr>
            <w:tcW w:w="0" w:type="auto"/>
            <w:tcBorders>
              <w:top w:val="nil"/>
              <w:left w:val="nil"/>
              <w:bottom w:val="single" w:sz="24" w:space="0" w:color="auto"/>
              <w:right w:val="nil"/>
            </w:tcBorders>
            <w:vAlign w:val="center"/>
            <w:hideMark/>
          </w:tcPr>
          <w:p w14:paraId="7629AE45"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$400,000</w:t>
            </w:r>
          </w:p>
        </w:tc>
        <w:tc>
          <w:tcPr>
            <w:tcW w:w="0" w:type="auto"/>
            <w:tcBorders>
              <w:top w:val="nil"/>
              <w:left w:val="nil"/>
              <w:bottom w:val="single" w:sz="24" w:space="0" w:color="auto"/>
              <w:right w:val="nil"/>
            </w:tcBorders>
            <w:vAlign w:val="center"/>
            <w:hideMark/>
          </w:tcPr>
          <w:p w14:paraId="380F87E0"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$905,000</w:t>
            </w:r>
          </w:p>
        </w:tc>
        <w:tc>
          <w:tcPr>
            <w:tcW w:w="0" w:type="auto"/>
            <w:tcBorders>
              <w:top w:val="nil"/>
              <w:left w:val="nil"/>
              <w:bottom w:val="single" w:sz="24" w:space="0" w:color="auto"/>
              <w:right w:val="nil"/>
            </w:tcBorders>
            <w:vAlign w:val="center"/>
            <w:hideMark/>
          </w:tcPr>
          <w:p w14:paraId="46DC6B20"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$613,000</w:t>
            </w:r>
          </w:p>
        </w:tc>
      </w:tr>
      <w:tr w:rsidR="00480197" w:rsidRPr="00480197" w14:paraId="37F0E04D" w14:textId="77777777" w:rsidTr="00480197">
        <w:tc>
          <w:tcPr>
            <w:tcW w:w="0" w:type="auto"/>
            <w:tcBorders>
              <w:top w:val="nil"/>
              <w:left w:val="nil"/>
              <w:bottom w:val="single" w:sz="24" w:space="0" w:color="auto"/>
              <w:right w:val="nil"/>
            </w:tcBorders>
            <w:vAlign w:val="center"/>
            <w:hideMark/>
          </w:tcPr>
          <w:p w14:paraId="4187C13D"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Earnings Before Tax</w:t>
            </w:r>
          </w:p>
        </w:tc>
        <w:tc>
          <w:tcPr>
            <w:tcW w:w="0" w:type="auto"/>
            <w:tcBorders>
              <w:top w:val="nil"/>
              <w:left w:val="nil"/>
              <w:bottom w:val="single" w:sz="24" w:space="0" w:color="auto"/>
              <w:right w:val="nil"/>
            </w:tcBorders>
            <w:vAlign w:val="center"/>
            <w:hideMark/>
          </w:tcPr>
          <w:p w14:paraId="100D24AB"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-$5,419,000</w:t>
            </w:r>
          </w:p>
        </w:tc>
        <w:tc>
          <w:tcPr>
            <w:tcW w:w="0" w:type="auto"/>
            <w:tcBorders>
              <w:top w:val="nil"/>
              <w:left w:val="nil"/>
              <w:bottom w:val="single" w:sz="24" w:space="0" w:color="auto"/>
              <w:right w:val="nil"/>
            </w:tcBorders>
            <w:vAlign w:val="center"/>
            <w:hideMark/>
          </w:tcPr>
          <w:p w14:paraId="63446FFD"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$3,985,000</w:t>
            </w:r>
          </w:p>
        </w:tc>
        <w:tc>
          <w:tcPr>
            <w:tcW w:w="0" w:type="auto"/>
            <w:tcBorders>
              <w:top w:val="nil"/>
              <w:left w:val="nil"/>
              <w:bottom w:val="single" w:sz="24" w:space="0" w:color="auto"/>
              <w:right w:val="nil"/>
            </w:tcBorders>
            <w:vAlign w:val="center"/>
            <w:hideMark/>
          </w:tcPr>
          <w:p w14:paraId="53891BC5"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$1,995,000</w:t>
            </w:r>
          </w:p>
        </w:tc>
        <w:tc>
          <w:tcPr>
            <w:tcW w:w="0" w:type="auto"/>
            <w:tcBorders>
              <w:top w:val="nil"/>
              <w:left w:val="nil"/>
              <w:bottom w:val="single" w:sz="24" w:space="0" w:color="auto"/>
              <w:right w:val="nil"/>
            </w:tcBorders>
            <w:vAlign w:val="center"/>
            <w:hideMark/>
          </w:tcPr>
          <w:p w14:paraId="4DFB2CC2"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$446,000</w:t>
            </w:r>
          </w:p>
        </w:tc>
      </w:tr>
      <w:tr w:rsidR="00480197" w:rsidRPr="00480197" w14:paraId="19CAA186" w14:textId="77777777" w:rsidTr="00480197">
        <w:tc>
          <w:tcPr>
            <w:tcW w:w="0" w:type="auto"/>
            <w:tcBorders>
              <w:top w:val="nil"/>
              <w:left w:val="nil"/>
              <w:bottom w:val="single" w:sz="24" w:space="0" w:color="auto"/>
              <w:right w:val="nil"/>
            </w:tcBorders>
            <w:shd w:val="clear" w:color="auto" w:fill="EFEFEF"/>
            <w:vAlign w:val="center"/>
            <w:hideMark/>
          </w:tcPr>
          <w:p w14:paraId="2ED9AAF0"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Income Tax</w:t>
            </w:r>
          </w:p>
        </w:tc>
        <w:tc>
          <w:tcPr>
            <w:tcW w:w="0" w:type="auto"/>
            <w:tcBorders>
              <w:top w:val="nil"/>
              <w:left w:val="nil"/>
              <w:bottom w:val="single" w:sz="24" w:space="0" w:color="auto"/>
              <w:right w:val="nil"/>
            </w:tcBorders>
            <w:shd w:val="clear" w:color="auto" w:fill="EFEFEF"/>
            <w:vAlign w:val="center"/>
            <w:hideMark/>
          </w:tcPr>
          <w:p w14:paraId="6F7F7F2B"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-$1,891,000</w:t>
            </w:r>
          </w:p>
        </w:tc>
        <w:tc>
          <w:tcPr>
            <w:tcW w:w="0" w:type="auto"/>
            <w:tcBorders>
              <w:top w:val="nil"/>
              <w:left w:val="nil"/>
              <w:bottom w:val="single" w:sz="24" w:space="0" w:color="auto"/>
              <w:right w:val="nil"/>
            </w:tcBorders>
            <w:shd w:val="clear" w:color="auto" w:fill="EFEFEF"/>
            <w:vAlign w:val="center"/>
            <w:hideMark/>
          </w:tcPr>
          <w:p w14:paraId="093E877D"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-$80,000</w:t>
            </w:r>
          </w:p>
        </w:tc>
        <w:tc>
          <w:tcPr>
            <w:tcW w:w="0" w:type="auto"/>
            <w:tcBorders>
              <w:top w:val="nil"/>
              <w:left w:val="nil"/>
              <w:bottom w:val="single" w:sz="24" w:space="0" w:color="auto"/>
              <w:right w:val="nil"/>
            </w:tcBorders>
            <w:shd w:val="clear" w:color="auto" w:fill="EFEFEF"/>
            <w:vAlign w:val="center"/>
            <w:hideMark/>
          </w:tcPr>
          <w:p w14:paraId="3EE08B6B"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$40,000</w:t>
            </w:r>
          </w:p>
        </w:tc>
        <w:tc>
          <w:tcPr>
            <w:tcW w:w="0" w:type="auto"/>
            <w:tcBorders>
              <w:top w:val="nil"/>
              <w:left w:val="nil"/>
              <w:bottom w:val="single" w:sz="24" w:space="0" w:color="auto"/>
              <w:right w:val="nil"/>
            </w:tcBorders>
            <w:shd w:val="clear" w:color="auto" w:fill="EFEFEF"/>
            <w:vAlign w:val="center"/>
            <w:hideMark/>
          </w:tcPr>
          <w:p w14:paraId="47516CE0"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$308,000</w:t>
            </w:r>
          </w:p>
        </w:tc>
      </w:tr>
      <w:tr w:rsidR="00480197" w:rsidRPr="00480197" w14:paraId="01E400E2" w14:textId="77777777" w:rsidTr="00480197">
        <w:tc>
          <w:tcPr>
            <w:tcW w:w="0" w:type="auto"/>
            <w:tcBorders>
              <w:top w:val="nil"/>
              <w:left w:val="nil"/>
              <w:bottom w:val="single" w:sz="24" w:space="0" w:color="auto"/>
              <w:right w:val="nil"/>
            </w:tcBorders>
            <w:vAlign w:val="center"/>
            <w:hideMark/>
          </w:tcPr>
          <w:p w14:paraId="0DA3447C"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Minority Interest</w:t>
            </w:r>
          </w:p>
        </w:tc>
        <w:tc>
          <w:tcPr>
            <w:tcW w:w="0" w:type="auto"/>
            <w:tcBorders>
              <w:top w:val="nil"/>
              <w:left w:val="nil"/>
              <w:bottom w:val="single" w:sz="24" w:space="0" w:color="auto"/>
              <w:right w:val="nil"/>
            </w:tcBorders>
            <w:vAlign w:val="center"/>
            <w:hideMark/>
          </w:tcPr>
          <w:p w14:paraId="4B87025E"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1572A844"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6AAE038E"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30CB4A09"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w:t>
            </w:r>
          </w:p>
        </w:tc>
      </w:tr>
      <w:tr w:rsidR="00480197" w:rsidRPr="00480197" w14:paraId="186D5C87" w14:textId="77777777" w:rsidTr="00480197">
        <w:tc>
          <w:tcPr>
            <w:tcW w:w="0" w:type="auto"/>
            <w:tcBorders>
              <w:top w:val="nil"/>
              <w:left w:val="nil"/>
              <w:bottom w:val="single" w:sz="24" w:space="0" w:color="auto"/>
              <w:right w:val="nil"/>
            </w:tcBorders>
            <w:vAlign w:val="center"/>
            <w:hideMark/>
          </w:tcPr>
          <w:p w14:paraId="230287C4"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Equity Earnings/Loss Unconsolidated Subsidiary</w:t>
            </w:r>
          </w:p>
        </w:tc>
        <w:tc>
          <w:tcPr>
            <w:tcW w:w="0" w:type="auto"/>
            <w:tcBorders>
              <w:top w:val="nil"/>
              <w:left w:val="nil"/>
              <w:bottom w:val="single" w:sz="24" w:space="0" w:color="auto"/>
              <w:right w:val="nil"/>
            </w:tcBorders>
            <w:vAlign w:val="center"/>
            <w:hideMark/>
          </w:tcPr>
          <w:p w14:paraId="331F1D62"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$448,000</w:t>
            </w:r>
          </w:p>
        </w:tc>
        <w:tc>
          <w:tcPr>
            <w:tcW w:w="0" w:type="auto"/>
            <w:tcBorders>
              <w:top w:val="nil"/>
              <w:left w:val="nil"/>
              <w:bottom w:val="single" w:sz="24" w:space="0" w:color="auto"/>
              <w:right w:val="nil"/>
            </w:tcBorders>
            <w:vAlign w:val="center"/>
            <w:hideMark/>
          </w:tcPr>
          <w:p w14:paraId="4BB70567"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$271,000</w:t>
            </w:r>
          </w:p>
        </w:tc>
        <w:tc>
          <w:tcPr>
            <w:tcW w:w="0" w:type="auto"/>
            <w:tcBorders>
              <w:top w:val="nil"/>
              <w:left w:val="nil"/>
              <w:bottom w:val="single" w:sz="24" w:space="0" w:color="auto"/>
              <w:right w:val="nil"/>
            </w:tcBorders>
            <w:vAlign w:val="center"/>
            <w:hideMark/>
          </w:tcPr>
          <w:p w14:paraId="4757213A"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$30,000</w:t>
            </w:r>
          </w:p>
        </w:tc>
        <w:tc>
          <w:tcPr>
            <w:tcW w:w="0" w:type="auto"/>
            <w:tcBorders>
              <w:top w:val="nil"/>
              <w:left w:val="nil"/>
              <w:bottom w:val="single" w:sz="24" w:space="0" w:color="auto"/>
              <w:right w:val="nil"/>
            </w:tcBorders>
            <w:vAlign w:val="center"/>
            <w:hideMark/>
          </w:tcPr>
          <w:p w14:paraId="74A27B9E"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$33,000</w:t>
            </w:r>
          </w:p>
        </w:tc>
      </w:tr>
      <w:tr w:rsidR="00480197" w:rsidRPr="00480197" w14:paraId="41BE62D5" w14:textId="77777777" w:rsidTr="00480197">
        <w:tc>
          <w:tcPr>
            <w:tcW w:w="0" w:type="auto"/>
            <w:tcBorders>
              <w:top w:val="nil"/>
              <w:left w:val="nil"/>
              <w:bottom w:val="single" w:sz="24" w:space="0" w:color="auto"/>
              <w:right w:val="nil"/>
            </w:tcBorders>
            <w:vAlign w:val="center"/>
            <w:hideMark/>
          </w:tcPr>
          <w:p w14:paraId="368371E6" w14:textId="77777777" w:rsidR="00480197" w:rsidRPr="00480197" w:rsidRDefault="00480197" w:rsidP="00480197">
            <w:pPr>
              <w:spacing w:after="0" w:line="240" w:lineRule="auto"/>
              <w:rPr>
                <w:rFonts w:ascii="inherit" w:eastAsia="Times New Roman" w:hAnsi="inherit" w:cs="Times New Roman"/>
                <w:b/>
                <w:bCs/>
                <w:color w:val="2B2B2B"/>
                <w:sz w:val="24"/>
                <w:szCs w:val="24"/>
                <w:lang w:eastAsia="en-GB"/>
              </w:rPr>
            </w:pPr>
            <w:r w:rsidRPr="00480197">
              <w:rPr>
                <w:rFonts w:ascii="inherit" w:eastAsia="Times New Roman" w:hAnsi="inherit" w:cs="Times New Roman"/>
                <w:b/>
                <w:bCs/>
                <w:color w:val="2B2B2B"/>
                <w:sz w:val="24"/>
                <w:szCs w:val="24"/>
                <w:lang w:eastAsia="en-GB"/>
              </w:rPr>
              <w:t>Net Income-Cont. Operations</w:t>
            </w:r>
          </w:p>
        </w:tc>
        <w:tc>
          <w:tcPr>
            <w:tcW w:w="0" w:type="auto"/>
            <w:tcBorders>
              <w:top w:val="nil"/>
              <w:left w:val="nil"/>
              <w:bottom w:val="single" w:sz="24" w:space="0" w:color="auto"/>
              <w:right w:val="nil"/>
            </w:tcBorders>
            <w:vAlign w:val="center"/>
            <w:hideMark/>
          </w:tcPr>
          <w:p w14:paraId="6BB549A3"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-$3,528,000</w:t>
            </w:r>
          </w:p>
        </w:tc>
        <w:tc>
          <w:tcPr>
            <w:tcW w:w="0" w:type="auto"/>
            <w:tcBorders>
              <w:top w:val="nil"/>
              <w:left w:val="nil"/>
              <w:bottom w:val="single" w:sz="24" w:space="0" w:color="auto"/>
              <w:right w:val="nil"/>
            </w:tcBorders>
            <w:vAlign w:val="center"/>
            <w:hideMark/>
          </w:tcPr>
          <w:p w14:paraId="24D6DE30"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$4,065,000</w:t>
            </w:r>
          </w:p>
        </w:tc>
        <w:tc>
          <w:tcPr>
            <w:tcW w:w="0" w:type="auto"/>
            <w:tcBorders>
              <w:top w:val="nil"/>
              <w:left w:val="nil"/>
              <w:bottom w:val="single" w:sz="24" w:space="0" w:color="auto"/>
              <w:right w:val="nil"/>
            </w:tcBorders>
            <w:vAlign w:val="center"/>
            <w:hideMark/>
          </w:tcPr>
          <w:p w14:paraId="6216A789"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$1,955,000</w:t>
            </w:r>
          </w:p>
        </w:tc>
        <w:tc>
          <w:tcPr>
            <w:tcW w:w="0" w:type="auto"/>
            <w:tcBorders>
              <w:top w:val="nil"/>
              <w:left w:val="nil"/>
              <w:bottom w:val="single" w:sz="24" w:space="0" w:color="auto"/>
              <w:right w:val="nil"/>
            </w:tcBorders>
            <w:vAlign w:val="center"/>
            <w:hideMark/>
          </w:tcPr>
          <w:p w14:paraId="1A261348"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$138,000</w:t>
            </w:r>
          </w:p>
        </w:tc>
      </w:tr>
      <w:tr w:rsidR="00480197" w:rsidRPr="00480197" w14:paraId="1F66785C" w14:textId="77777777" w:rsidTr="00480197">
        <w:tc>
          <w:tcPr>
            <w:tcW w:w="0" w:type="auto"/>
            <w:tcBorders>
              <w:top w:val="nil"/>
              <w:left w:val="nil"/>
              <w:bottom w:val="single" w:sz="24" w:space="0" w:color="auto"/>
              <w:right w:val="nil"/>
            </w:tcBorders>
            <w:shd w:val="clear" w:color="auto" w:fill="EFEFEF"/>
            <w:vAlign w:val="center"/>
            <w:hideMark/>
          </w:tcPr>
          <w:p w14:paraId="3FE26FA1" w14:textId="77777777" w:rsidR="00480197" w:rsidRPr="00480197" w:rsidRDefault="00480197" w:rsidP="00480197">
            <w:pPr>
              <w:spacing w:after="0" w:line="240" w:lineRule="auto"/>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Net Income</w:t>
            </w:r>
          </w:p>
        </w:tc>
        <w:tc>
          <w:tcPr>
            <w:tcW w:w="0" w:type="auto"/>
            <w:tcBorders>
              <w:top w:val="nil"/>
              <w:left w:val="nil"/>
              <w:bottom w:val="single" w:sz="24" w:space="0" w:color="auto"/>
              <w:right w:val="nil"/>
            </w:tcBorders>
            <w:shd w:val="clear" w:color="auto" w:fill="EFEFEF"/>
            <w:vAlign w:val="center"/>
            <w:hideMark/>
          </w:tcPr>
          <w:p w14:paraId="6CE13CB1"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-$3,080,000</w:t>
            </w:r>
          </w:p>
        </w:tc>
        <w:tc>
          <w:tcPr>
            <w:tcW w:w="0" w:type="auto"/>
            <w:tcBorders>
              <w:top w:val="nil"/>
              <w:left w:val="nil"/>
              <w:bottom w:val="single" w:sz="24" w:space="0" w:color="auto"/>
              <w:right w:val="nil"/>
            </w:tcBorders>
            <w:shd w:val="clear" w:color="auto" w:fill="EFEFEF"/>
            <w:vAlign w:val="center"/>
            <w:hideMark/>
          </w:tcPr>
          <w:p w14:paraId="17E23DE7"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$4,337,000</w:t>
            </w:r>
          </w:p>
        </w:tc>
        <w:tc>
          <w:tcPr>
            <w:tcW w:w="0" w:type="auto"/>
            <w:tcBorders>
              <w:top w:val="nil"/>
              <w:left w:val="nil"/>
              <w:bottom w:val="single" w:sz="24" w:space="0" w:color="auto"/>
              <w:right w:val="nil"/>
            </w:tcBorders>
            <w:shd w:val="clear" w:color="auto" w:fill="EFEFEF"/>
            <w:vAlign w:val="center"/>
            <w:hideMark/>
          </w:tcPr>
          <w:p w14:paraId="5D6D7419"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$2,542,000</w:t>
            </w:r>
          </w:p>
        </w:tc>
        <w:tc>
          <w:tcPr>
            <w:tcW w:w="0" w:type="auto"/>
            <w:tcBorders>
              <w:top w:val="nil"/>
              <w:left w:val="nil"/>
              <w:bottom w:val="single" w:sz="24" w:space="0" w:color="auto"/>
              <w:right w:val="nil"/>
            </w:tcBorders>
            <w:shd w:val="clear" w:color="auto" w:fill="EFEFEF"/>
            <w:vAlign w:val="center"/>
            <w:hideMark/>
          </w:tcPr>
          <w:p w14:paraId="4B0BD13A"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$456,000</w:t>
            </w:r>
          </w:p>
        </w:tc>
      </w:tr>
      <w:tr w:rsidR="00480197" w:rsidRPr="00480197" w14:paraId="58CB8EED" w14:textId="77777777" w:rsidTr="00480197">
        <w:tc>
          <w:tcPr>
            <w:tcW w:w="0" w:type="auto"/>
            <w:tcBorders>
              <w:top w:val="nil"/>
              <w:left w:val="nil"/>
              <w:bottom w:val="single" w:sz="24" w:space="0" w:color="auto"/>
              <w:right w:val="nil"/>
            </w:tcBorders>
            <w:vAlign w:val="center"/>
            <w:hideMark/>
          </w:tcPr>
          <w:p w14:paraId="3924368B" w14:textId="77777777" w:rsidR="00480197" w:rsidRPr="00480197" w:rsidRDefault="00480197" w:rsidP="00480197">
            <w:pPr>
              <w:spacing w:after="0" w:line="240" w:lineRule="auto"/>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Net Income Applicable to Common Shareholders</w:t>
            </w:r>
          </w:p>
        </w:tc>
        <w:tc>
          <w:tcPr>
            <w:tcW w:w="0" w:type="auto"/>
            <w:tcBorders>
              <w:top w:val="nil"/>
              <w:left w:val="nil"/>
              <w:bottom w:val="single" w:sz="24" w:space="0" w:color="auto"/>
              <w:right w:val="nil"/>
            </w:tcBorders>
            <w:vAlign w:val="center"/>
            <w:hideMark/>
          </w:tcPr>
          <w:p w14:paraId="3D4D3329"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-$3,080,000</w:t>
            </w:r>
          </w:p>
        </w:tc>
        <w:tc>
          <w:tcPr>
            <w:tcW w:w="0" w:type="auto"/>
            <w:tcBorders>
              <w:top w:val="nil"/>
              <w:left w:val="nil"/>
              <w:bottom w:val="single" w:sz="24" w:space="0" w:color="auto"/>
              <w:right w:val="nil"/>
            </w:tcBorders>
            <w:vAlign w:val="center"/>
            <w:hideMark/>
          </w:tcPr>
          <w:p w14:paraId="55B07C5E"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$4,337,000</w:t>
            </w:r>
          </w:p>
        </w:tc>
        <w:tc>
          <w:tcPr>
            <w:tcW w:w="0" w:type="auto"/>
            <w:tcBorders>
              <w:top w:val="nil"/>
              <w:left w:val="nil"/>
              <w:bottom w:val="single" w:sz="24" w:space="0" w:color="auto"/>
              <w:right w:val="nil"/>
            </w:tcBorders>
            <w:vAlign w:val="center"/>
            <w:hideMark/>
          </w:tcPr>
          <w:p w14:paraId="6E9FFF22"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$2,542,000</w:t>
            </w:r>
          </w:p>
        </w:tc>
        <w:tc>
          <w:tcPr>
            <w:tcW w:w="0" w:type="auto"/>
            <w:tcBorders>
              <w:top w:val="nil"/>
              <w:left w:val="nil"/>
              <w:bottom w:val="single" w:sz="24" w:space="0" w:color="auto"/>
              <w:right w:val="nil"/>
            </w:tcBorders>
            <w:vAlign w:val="center"/>
            <w:hideMark/>
          </w:tcPr>
          <w:p w14:paraId="0B0BA527" w14:textId="77777777" w:rsidR="00480197" w:rsidRPr="00480197" w:rsidRDefault="00480197" w:rsidP="00480197">
            <w:pPr>
              <w:spacing w:after="0" w:line="240" w:lineRule="auto"/>
              <w:jc w:val="right"/>
              <w:rPr>
                <w:rFonts w:ascii="inherit" w:eastAsia="Times New Roman" w:hAnsi="inherit" w:cs="Times New Roman"/>
                <w:color w:val="2B2B2B"/>
                <w:sz w:val="24"/>
                <w:szCs w:val="24"/>
                <w:lang w:eastAsia="en-GB"/>
              </w:rPr>
            </w:pPr>
            <w:r w:rsidRPr="00480197">
              <w:rPr>
                <w:rFonts w:ascii="inherit" w:eastAsia="Times New Roman" w:hAnsi="inherit" w:cs="Times New Roman"/>
                <w:color w:val="2B2B2B"/>
                <w:sz w:val="24"/>
                <w:szCs w:val="24"/>
                <w:lang w:eastAsia="en-GB"/>
              </w:rPr>
              <w:t>$456,000</w:t>
            </w:r>
          </w:p>
        </w:tc>
      </w:tr>
    </w:tbl>
    <w:p w14:paraId="1436F810" w14:textId="77777777" w:rsidR="00480197" w:rsidRPr="00480197" w:rsidRDefault="00480197" w:rsidP="00480197">
      <w:pPr>
        <w:spacing w:after="0" w:line="240" w:lineRule="auto"/>
        <w:rPr>
          <w:rFonts w:ascii="Times New Roman" w:eastAsia="Times New Roman" w:hAnsi="Times New Roman" w:cs="Times New Roman"/>
          <w:sz w:val="24"/>
          <w:szCs w:val="24"/>
          <w:lang w:eastAsia="en-GB"/>
        </w:rPr>
      </w:pPr>
    </w:p>
    <w:p w14:paraId="27BDCCC6" w14:textId="77777777" w:rsidR="00EE102D" w:rsidRDefault="00EE102D" w:rsidP="00BD28C1">
      <w:pPr>
        <w:rPr>
          <w:b/>
          <w:bCs/>
        </w:rPr>
      </w:pPr>
    </w:p>
    <w:p w14:paraId="5CCC50BE" w14:textId="77777777" w:rsidR="00480197" w:rsidRDefault="00480197" w:rsidP="00BD28C1">
      <w:pPr>
        <w:rPr>
          <w:b/>
          <w:bCs/>
        </w:rPr>
      </w:pPr>
    </w:p>
    <w:p w14:paraId="03CE10CD" w14:textId="77777777" w:rsidR="00480197" w:rsidRDefault="00480197" w:rsidP="00BD28C1">
      <w:pPr>
        <w:rPr>
          <w:b/>
          <w:bCs/>
        </w:rPr>
      </w:pPr>
    </w:p>
    <w:p w14:paraId="779F4B89" w14:textId="77777777" w:rsidR="00480197" w:rsidRDefault="00480197" w:rsidP="00BD28C1">
      <w:pPr>
        <w:rPr>
          <w:b/>
          <w:bCs/>
        </w:rPr>
      </w:pPr>
    </w:p>
    <w:p w14:paraId="6C314C52" w14:textId="77777777" w:rsidR="00480197" w:rsidRDefault="00480197" w:rsidP="00BD28C1">
      <w:pPr>
        <w:rPr>
          <w:b/>
          <w:bCs/>
        </w:rPr>
      </w:pPr>
    </w:p>
    <w:p w14:paraId="3FBB7670" w14:textId="77777777" w:rsidR="00480197" w:rsidRDefault="00480197" w:rsidP="00BD28C1">
      <w:pPr>
        <w:rPr>
          <w:b/>
          <w:bCs/>
        </w:rPr>
      </w:pPr>
    </w:p>
    <w:p w14:paraId="549AB416" w14:textId="77777777" w:rsidR="00480197" w:rsidRDefault="00480197" w:rsidP="00BD28C1">
      <w:pPr>
        <w:rPr>
          <w:b/>
          <w:bCs/>
        </w:rPr>
      </w:pPr>
    </w:p>
    <w:p w14:paraId="46875AAE" w14:textId="77777777" w:rsidR="00480197" w:rsidRDefault="00480197" w:rsidP="00BD28C1">
      <w:pPr>
        <w:rPr>
          <w:b/>
          <w:bCs/>
        </w:rPr>
      </w:pPr>
    </w:p>
    <w:p w14:paraId="32523052" w14:textId="77777777" w:rsidR="00480197" w:rsidRDefault="00480197" w:rsidP="00BD28C1">
      <w:pPr>
        <w:rPr>
          <w:b/>
          <w:bCs/>
        </w:rPr>
      </w:pPr>
    </w:p>
    <w:p w14:paraId="2AFDE0DD" w14:textId="77777777" w:rsidR="00480197" w:rsidRDefault="00480197" w:rsidP="00BD28C1">
      <w:pPr>
        <w:rPr>
          <w:b/>
          <w:bCs/>
        </w:rPr>
      </w:pPr>
    </w:p>
    <w:p w14:paraId="1D18B77F" w14:textId="77777777" w:rsidR="00480197" w:rsidRDefault="00480197" w:rsidP="00BD28C1">
      <w:pPr>
        <w:rPr>
          <w:b/>
          <w:bCs/>
        </w:rPr>
      </w:pPr>
    </w:p>
    <w:p w14:paraId="509EA0C7" w14:textId="77777777" w:rsidR="00480197" w:rsidRDefault="00480197" w:rsidP="00BD28C1">
      <w:pPr>
        <w:rPr>
          <w:b/>
          <w:bCs/>
        </w:rPr>
      </w:pPr>
    </w:p>
    <w:p w14:paraId="18E29939" w14:textId="77777777" w:rsidR="00480197" w:rsidRDefault="00480197" w:rsidP="00BD28C1">
      <w:pPr>
        <w:rPr>
          <w:b/>
          <w:bCs/>
        </w:rPr>
      </w:pPr>
    </w:p>
    <w:p w14:paraId="5FB8186C" w14:textId="77777777" w:rsidR="00480197" w:rsidRDefault="00480197" w:rsidP="00BD28C1">
      <w:pPr>
        <w:rPr>
          <w:b/>
          <w:bCs/>
        </w:rPr>
      </w:pPr>
    </w:p>
    <w:p w14:paraId="251DF145" w14:textId="023FEED6" w:rsidR="00480197" w:rsidRPr="00251EF0" w:rsidRDefault="00480197" w:rsidP="00251EF0">
      <w:pPr>
        <w:pStyle w:val="ListParagraph"/>
        <w:numPr>
          <w:ilvl w:val="0"/>
          <w:numId w:val="9"/>
        </w:numPr>
        <w:rPr>
          <w:rFonts w:ascii="Arial" w:hAnsi="Arial" w:cs="Arial"/>
          <w:b/>
          <w:bCs/>
          <w:sz w:val="24"/>
          <w:szCs w:val="24"/>
        </w:rPr>
      </w:pPr>
      <w:r w:rsidRPr="00251EF0">
        <w:rPr>
          <w:rFonts w:ascii="Arial" w:hAnsi="Arial" w:cs="Arial"/>
          <w:b/>
          <w:bCs/>
          <w:sz w:val="24"/>
          <w:szCs w:val="24"/>
        </w:rPr>
        <w:lastRenderedPageBreak/>
        <w:t>WBA Balance Sheet:</w:t>
      </w:r>
    </w:p>
    <w:tbl>
      <w:tblPr>
        <w:tblW w:w="10354" w:type="dxa"/>
        <w:tblCellMar>
          <w:left w:w="0" w:type="dxa"/>
          <w:right w:w="0" w:type="dxa"/>
        </w:tblCellMar>
        <w:tblLook w:val="04A0" w:firstRow="1" w:lastRow="0" w:firstColumn="1" w:lastColumn="0" w:noHBand="0" w:noVBand="1"/>
      </w:tblPr>
      <w:tblGrid>
        <w:gridCol w:w="4970"/>
        <w:gridCol w:w="1346"/>
        <w:gridCol w:w="1346"/>
        <w:gridCol w:w="1346"/>
        <w:gridCol w:w="1346"/>
      </w:tblGrid>
      <w:tr w:rsidR="008661EA" w:rsidRPr="008661EA" w14:paraId="1135DCC8" w14:textId="77777777" w:rsidTr="008661EA">
        <w:trPr>
          <w:tblHeader/>
        </w:trPr>
        <w:tc>
          <w:tcPr>
            <w:tcW w:w="0" w:type="auto"/>
            <w:tcBorders>
              <w:top w:val="single" w:sz="24" w:space="0" w:color="auto"/>
              <w:left w:val="nil"/>
              <w:bottom w:val="single" w:sz="24" w:space="0" w:color="auto"/>
              <w:right w:val="nil"/>
            </w:tcBorders>
            <w:vAlign w:val="center"/>
            <w:hideMark/>
          </w:tcPr>
          <w:p w14:paraId="42184E2E"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Period Ending:</w:t>
            </w:r>
          </w:p>
        </w:tc>
        <w:tc>
          <w:tcPr>
            <w:tcW w:w="0" w:type="auto"/>
            <w:tcBorders>
              <w:top w:val="single" w:sz="24" w:space="0" w:color="auto"/>
              <w:left w:val="nil"/>
              <w:bottom w:val="single" w:sz="24" w:space="0" w:color="auto"/>
              <w:right w:val="nil"/>
            </w:tcBorders>
            <w:vAlign w:val="center"/>
            <w:hideMark/>
          </w:tcPr>
          <w:p w14:paraId="397C1048" w14:textId="77777777" w:rsidR="008661EA" w:rsidRPr="008661EA" w:rsidRDefault="008661EA" w:rsidP="008661EA">
            <w:pPr>
              <w:spacing w:after="0" w:line="240" w:lineRule="auto"/>
              <w:jc w:val="right"/>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8/31/2023</w:t>
            </w:r>
          </w:p>
        </w:tc>
        <w:tc>
          <w:tcPr>
            <w:tcW w:w="0" w:type="auto"/>
            <w:tcBorders>
              <w:top w:val="single" w:sz="24" w:space="0" w:color="auto"/>
              <w:left w:val="nil"/>
              <w:bottom w:val="single" w:sz="24" w:space="0" w:color="auto"/>
              <w:right w:val="nil"/>
            </w:tcBorders>
            <w:vAlign w:val="center"/>
            <w:hideMark/>
          </w:tcPr>
          <w:p w14:paraId="67895E44" w14:textId="77777777" w:rsidR="008661EA" w:rsidRPr="008661EA" w:rsidRDefault="008661EA" w:rsidP="008661EA">
            <w:pPr>
              <w:spacing w:after="0" w:line="240" w:lineRule="auto"/>
              <w:jc w:val="right"/>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8/31/2022</w:t>
            </w:r>
          </w:p>
        </w:tc>
        <w:tc>
          <w:tcPr>
            <w:tcW w:w="0" w:type="auto"/>
            <w:tcBorders>
              <w:top w:val="single" w:sz="24" w:space="0" w:color="auto"/>
              <w:left w:val="nil"/>
              <w:bottom w:val="single" w:sz="24" w:space="0" w:color="auto"/>
              <w:right w:val="nil"/>
            </w:tcBorders>
            <w:vAlign w:val="center"/>
            <w:hideMark/>
          </w:tcPr>
          <w:p w14:paraId="1BF234D1" w14:textId="77777777" w:rsidR="008661EA" w:rsidRPr="008661EA" w:rsidRDefault="008661EA" w:rsidP="008661EA">
            <w:pPr>
              <w:spacing w:after="0" w:line="240" w:lineRule="auto"/>
              <w:jc w:val="right"/>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8/31/2021</w:t>
            </w:r>
          </w:p>
        </w:tc>
        <w:tc>
          <w:tcPr>
            <w:tcW w:w="0" w:type="auto"/>
            <w:tcBorders>
              <w:top w:val="single" w:sz="24" w:space="0" w:color="auto"/>
              <w:left w:val="nil"/>
              <w:bottom w:val="single" w:sz="24" w:space="0" w:color="auto"/>
              <w:right w:val="nil"/>
            </w:tcBorders>
            <w:vAlign w:val="center"/>
            <w:hideMark/>
          </w:tcPr>
          <w:p w14:paraId="35E0EECC" w14:textId="77777777" w:rsidR="008661EA" w:rsidRPr="008661EA" w:rsidRDefault="008661EA" w:rsidP="008661EA">
            <w:pPr>
              <w:spacing w:after="0" w:line="240" w:lineRule="auto"/>
              <w:jc w:val="right"/>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8/31/2020</w:t>
            </w:r>
          </w:p>
        </w:tc>
      </w:tr>
      <w:tr w:rsidR="008661EA" w:rsidRPr="008661EA" w14:paraId="7C52C9D1" w14:textId="77777777" w:rsidTr="008661EA">
        <w:tc>
          <w:tcPr>
            <w:tcW w:w="0" w:type="auto"/>
            <w:tcBorders>
              <w:top w:val="nil"/>
              <w:left w:val="nil"/>
              <w:bottom w:val="single" w:sz="24" w:space="0" w:color="auto"/>
              <w:right w:val="nil"/>
            </w:tcBorders>
            <w:vAlign w:val="center"/>
            <w:hideMark/>
          </w:tcPr>
          <w:p w14:paraId="5A63A1DF"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color w:val="2B2B2B"/>
                <w:sz w:val="24"/>
                <w:szCs w:val="24"/>
                <w:bdr w:val="none" w:sz="0" w:space="0" w:color="auto" w:frame="1"/>
                <w:lang w:eastAsia="en-GB"/>
              </w:rPr>
              <w:t>Current Assets</w:t>
            </w:r>
          </w:p>
        </w:tc>
        <w:tc>
          <w:tcPr>
            <w:tcW w:w="0" w:type="auto"/>
            <w:tcBorders>
              <w:top w:val="nil"/>
              <w:left w:val="nil"/>
              <w:bottom w:val="single" w:sz="24" w:space="0" w:color="auto"/>
              <w:right w:val="nil"/>
            </w:tcBorders>
            <w:vAlign w:val="center"/>
            <w:hideMark/>
          </w:tcPr>
          <w:p w14:paraId="3B45D136"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p>
        </w:tc>
        <w:tc>
          <w:tcPr>
            <w:tcW w:w="0" w:type="auto"/>
            <w:tcBorders>
              <w:top w:val="nil"/>
              <w:left w:val="nil"/>
              <w:bottom w:val="single" w:sz="24" w:space="0" w:color="auto"/>
              <w:right w:val="nil"/>
            </w:tcBorders>
            <w:vAlign w:val="center"/>
            <w:hideMark/>
          </w:tcPr>
          <w:p w14:paraId="0077DF5C"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11C07EA1"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20C68E6E"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r>
      <w:tr w:rsidR="008661EA" w:rsidRPr="008661EA" w14:paraId="0DB27C6D" w14:textId="77777777" w:rsidTr="008661EA">
        <w:tc>
          <w:tcPr>
            <w:tcW w:w="0" w:type="auto"/>
            <w:tcBorders>
              <w:top w:val="nil"/>
              <w:left w:val="nil"/>
              <w:bottom w:val="single" w:sz="24" w:space="0" w:color="auto"/>
              <w:right w:val="nil"/>
            </w:tcBorders>
            <w:vAlign w:val="center"/>
            <w:hideMark/>
          </w:tcPr>
          <w:p w14:paraId="0F1553CC"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Cash and Cash Equivalents</w:t>
            </w:r>
          </w:p>
        </w:tc>
        <w:tc>
          <w:tcPr>
            <w:tcW w:w="0" w:type="auto"/>
            <w:tcBorders>
              <w:top w:val="nil"/>
              <w:left w:val="nil"/>
              <w:bottom w:val="single" w:sz="24" w:space="0" w:color="auto"/>
              <w:right w:val="nil"/>
            </w:tcBorders>
            <w:vAlign w:val="center"/>
            <w:hideMark/>
          </w:tcPr>
          <w:p w14:paraId="403C748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$728,000</w:t>
            </w:r>
          </w:p>
        </w:tc>
        <w:tc>
          <w:tcPr>
            <w:tcW w:w="0" w:type="auto"/>
            <w:tcBorders>
              <w:top w:val="nil"/>
              <w:left w:val="nil"/>
              <w:bottom w:val="single" w:sz="24" w:space="0" w:color="auto"/>
              <w:right w:val="nil"/>
            </w:tcBorders>
            <w:vAlign w:val="center"/>
            <w:hideMark/>
          </w:tcPr>
          <w:p w14:paraId="6A4F3A74"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$1,358,000</w:t>
            </w:r>
          </w:p>
        </w:tc>
        <w:tc>
          <w:tcPr>
            <w:tcW w:w="0" w:type="auto"/>
            <w:tcBorders>
              <w:top w:val="nil"/>
              <w:left w:val="nil"/>
              <w:bottom w:val="single" w:sz="24" w:space="0" w:color="auto"/>
              <w:right w:val="nil"/>
            </w:tcBorders>
            <w:vAlign w:val="center"/>
            <w:hideMark/>
          </w:tcPr>
          <w:p w14:paraId="7C82650E"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$559,000</w:t>
            </w:r>
          </w:p>
        </w:tc>
        <w:tc>
          <w:tcPr>
            <w:tcW w:w="0" w:type="auto"/>
            <w:tcBorders>
              <w:top w:val="nil"/>
              <w:left w:val="nil"/>
              <w:bottom w:val="single" w:sz="24" w:space="0" w:color="auto"/>
              <w:right w:val="nil"/>
            </w:tcBorders>
            <w:vAlign w:val="center"/>
            <w:hideMark/>
          </w:tcPr>
          <w:p w14:paraId="316BC006"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$469,000</w:t>
            </w:r>
          </w:p>
        </w:tc>
      </w:tr>
      <w:tr w:rsidR="008661EA" w:rsidRPr="008661EA" w14:paraId="74FA9151" w14:textId="77777777" w:rsidTr="008661EA">
        <w:tc>
          <w:tcPr>
            <w:tcW w:w="0" w:type="auto"/>
            <w:tcBorders>
              <w:top w:val="nil"/>
              <w:left w:val="nil"/>
              <w:bottom w:val="single" w:sz="24" w:space="0" w:color="auto"/>
              <w:right w:val="nil"/>
            </w:tcBorders>
            <w:vAlign w:val="center"/>
            <w:hideMark/>
          </w:tcPr>
          <w:p w14:paraId="135C17B3"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Short-Term Investments</w:t>
            </w:r>
          </w:p>
        </w:tc>
        <w:tc>
          <w:tcPr>
            <w:tcW w:w="0" w:type="auto"/>
            <w:tcBorders>
              <w:top w:val="nil"/>
              <w:left w:val="nil"/>
              <w:bottom w:val="single" w:sz="24" w:space="0" w:color="auto"/>
              <w:right w:val="nil"/>
            </w:tcBorders>
            <w:vAlign w:val="center"/>
            <w:hideMark/>
          </w:tcPr>
          <w:p w14:paraId="4F05E70C"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$11,000</w:t>
            </w:r>
          </w:p>
        </w:tc>
        <w:tc>
          <w:tcPr>
            <w:tcW w:w="0" w:type="auto"/>
            <w:tcBorders>
              <w:top w:val="nil"/>
              <w:left w:val="nil"/>
              <w:bottom w:val="single" w:sz="24" w:space="0" w:color="auto"/>
              <w:right w:val="nil"/>
            </w:tcBorders>
            <w:vAlign w:val="center"/>
            <w:hideMark/>
          </w:tcPr>
          <w:p w14:paraId="307D99F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$1,114,000</w:t>
            </w:r>
          </w:p>
        </w:tc>
        <w:tc>
          <w:tcPr>
            <w:tcW w:w="0" w:type="auto"/>
            <w:tcBorders>
              <w:top w:val="nil"/>
              <w:left w:val="nil"/>
              <w:bottom w:val="single" w:sz="24" w:space="0" w:color="auto"/>
              <w:right w:val="nil"/>
            </w:tcBorders>
            <w:vAlign w:val="center"/>
            <w:hideMark/>
          </w:tcPr>
          <w:p w14:paraId="5D887411"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$634,000</w:t>
            </w:r>
          </w:p>
        </w:tc>
        <w:tc>
          <w:tcPr>
            <w:tcW w:w="0" w:type="auto"/>
            <w:tcBorders>
              <w:top w:val="nil"/>
              <w:left w:val="nil"/>
              <w:bottom w:val="single" w:sz="24" w:space="0" w:color="auto"/>
              <w:right w:val="nil"/>
            </w:tcBorders>
            <w:vAlign w:val="center"/>
            <w:hideMark/>
          </w:tcPr>
          <w:p w14:paraId="56D99A20"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w:t>
            </w:r>
          </w:p>
        </w:tc>
      </w:tr>
      <w:tr w:rsidR="008661EA" w:rsidRPr="008661EA" w14:paraId="4B89F633" w14:textId="77777777" w:rsidTr="008661EA">
        <w:tc>
          <w:tcPr>
            <w:tcW w:w="0" w:type="auto"/>
            <w:tcBorders>
              <w:top w:val="nil"/>
              <w:left w:val="nil"/>
              <w:bottom w:val="single" w:sz="24" w:space="0" w:color="auto"/>
              <w:right w:val="nil"/>
            </w:tcBorders>
            <w:vAlign w:val="center"/>
            <w:hideMark/>
          </w:tcPr>
          <w:p w14:paraId="4BA5CC82"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Net Receivables</w:t>
            </w:r>
          </w:p>
        </w:tc>
        <w:tc>
          <w:tcPr>
            <w:tcW w:w="0" w:type="auto"/>
            <w:tcBorders>
              <w:top w:val="nil"/>
              <w:left w:val="nil"/>
              <w:bottom w:val="single" w:sz="24" w:space="0" w:color="auto"/>
              <w:right w:val="nil"/>
            </w:tcBorders>
            <w:vAlign w:val="center"/>
            <w:hideMark/>
          </w:tcPr>
          <w:p w14:paraId="32A36946"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$5,381,000</w:t>
            </w:r>
          </w:p>
        </w:tc>
        <w:tc>
          <w:tcPr>
            <w:tcW w:w="0" w:type="auto"/>
            <w:tcBorders>
              <w:top w:val="nil"/>
              <w:left w:val="nil"/>
              <w:bottom w:val="single" w:sz="24" w:space="0" w:color="auto"/>
              <w:right w:val="nil"/>
            </w:tcBorders>
            <w:vAlign w:val="center"/>
            <w:hideMark/>
          </w:tcPr>
          <w:p w14:paraId="420A784C"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$5,017,000</w:t>
            </w:r>
          </w:p>
        </w:tc>
        <w:tc>
          <w:tcPr>
            <w:tcW w:w="0" w:type="auto"/>
            <w:tcBorders>
              <w:top w:val="nil"/>
              <w:left w:val="nil"/>
              <w:bottom w:val="single" w:sz="24" w:space="0" w:color="auto"/>
              <w:right w:val="nil"/>
            </w:tcBorders>
            <w:vAlign w:val="center"/>
            <w:hideMark/>
          </w:tcPr>
          <w:p w14:paraId="26B5DB98"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$5,663,000</w:t>
            </w:r>
          </w:p>
        </w:tc>
        <w:tc>
          <w:tcPr>
            <w:tcW w:w="0" w:type="auto"/>
            <w:tcBorders>
              <w:top w:val="nil"/>
              <w:left w:val="nil"/>
              <w:bottom w:val="single" w:sz="24" w:space="0" w:color="auto"/>
              <w:right w:val="nil"/>
            </w:tcBorders>
            <w:vAlign w:val="center"/>
            <w:hideMark/>
          </w:tcPr>
          <w:p w14:paraId="29B623D9"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$4,110,000</w:t>
            </w:r>
          </w:p>
        </w:tc>
      </w:tr>
      <w:tr w:rsidR="008661EA" w:rsidRPr="008661EA" w14:paraId="223BA52C" w14:textId="77777777" w:rsidTr="008661EA">
        <w:tc>
          <w:tcPr>
            <w:tcW w:w="0" w:type="auto"/>
            <w:tcBorders>
              <w:top w:val="nil"/>
              <w:left w:val="nil"/>
              <w:bottom w:val="single" w:sz="24" w:space="0" w:color="auto"/>
              <w:right w:val="nil"/>
            </w:tcBorders>
            <w:vAlign w:val="center"/>
            <w:hideMark/>
          </w:tcPr>
          <w:p w14:paraId="06B6EF7A"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Inventory</w:t>
            </w:r>
          </w:p>
        </w:tc>
        <w:tc>
          <w:tcPr>
            <w:tcW w:w="0" w:type="auto"/>
            <w:tcBorders>
              <w:top w:val="nil"/>
              <w:left w:val="nil"/>
              <w:bottom w:val="single" w:sz="24" w:space="0" w:color="auto"/>
              <w:right w:val="nil"/>
            </w:tcBorders>
            <w:vAlign w:val="center"/>
            <w:hideMark/>
          </w:tcPr>
          <w:p w14:paraId="330DD2D8"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$8,257,000</w:t>
            </w:r>
          </w:p>
        </w:tc>
        <w:tc>
          <w:tcPr>
            <w:tcW w:w="0" w:type="auto"/>
            <w:tcBorders>
              <w:top w:val="nil"/>
              <w:left w:val="nil"/>
              <w:bottom w:val="single" w:sz="24" w:space="0" w:color="auto"/>
              <w:right w:val="nil"/>
            </w:tcBorders>
            <w:vAlign w:val="center"/>
            <w:hideMark/>
          </w:tcPr>
          <w:p w14:paraId="345E72CC"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$8,353,000</w:t>
            </w:r>
          </w:p>
        </w:tc>
        <w:tc>
          <w:tcPr>
            <w:tcW w:w="0" w:type="auto"/>
            <w:tcBorders>
              <w:top w:val="nil"/>
              <w:left w:val="nil"/>
              <w:bottom w:val="single" w:sz="24" w:space="0" w:color="auto"/>
              <w:right w:val="nil"/>
            </w:tcBorders>
            <w:vAlign w:val="center"/>
            <w:hideMark/>
          </w:tcPr>
          <w:p w14:paraId="2666DD25"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$8,159,000</w:t>
            </w:r>
          </w:p>
        </w:tc>
        <w:tc>
          <w:tcPr>
            <w:tcW w:w="0" w:type="auto"/>
            <w:tcBorders>
              <w:top w:val="nil"/>
              <w:left w:val="nil"/>
              <w:bottom w:val="single" w:sz="24" w:space="0" w:color="auto"/>
              <w:right w:val="nil"/>
            </w:tcBorders>
            <w:vAlign w:val="center"/>
            <w:hideMark/>
          </w:tcPr>
          <w:p w14:paraId="533E9088"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$7,917,000</w:t>
            </w:r>
          </w:p>
        </w:tc>
      </w:tr>
      <w:tr w:rsidR="008661EA" w:rsidRPr="008661EA" w14:paraId="4A8D86D7" w14:textId="77777777" w:rsidTr="008661EA">
        <w:tc>
          <w:tcPr>
            <w:tcW w:w="0" w:type="auto"/>
            <w:tcBorders>
              <w:top w:val="nil"/>
              <w:left w:val="nil"/>
              <w:bottom w:val="single" w:sz="24" w:space="0" w:color="auto"/>
              <w:right w:val="nil"/>
            </w:tcBorders>
            <w:vAlign w:val="center"/>
            <w:hideMark/>
          </w:tcPr>
          <w:p w14:paraId="653C54CF"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Other Current Assets</w:t>
            </w:r>
          </w:p>
        </w:tc>
        <w:tc>
          <w:tcPr>
            <w:tcW w:w="0" w:type="auto"/>
            <w:tcBorders>
              <w:top w:val="nil"/>
              <w:left w:val="nil"/>
              <w:bottom w:val="single" w:sz="24" w:space="0" w:color="auto"/>
              <w:right w:val="nil"/>
            </w:tcBorders>
            <w:vAlign w:val="center"/>
            <w:hideMark/>
          </w:tcPr>
          <w:p w14:paraId="568E8282"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$1,127,000</w:t>
            </w:r>
          </w:p>
        </w:tc>
        <w:tc>
          <w:tcPr>
            <w:tcW w:w="0" w:type="auto"/>
            <w:tcBorders>
              <w:top w:val="nil"/>
              <w:left w:val="nil"/>
              <w:bottom w:val="single" w:sz="24" w:space="0" w:color="auto"/>
              <w:right w:val="nil"/>
            </w:tcBorders>
            <w:vAlign w:val="center"/>
            <w:hideMark/>
          </w:tcPr>
          <w:p w14:paraId="343191FD"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$1,059,000</w:t>
            </w:r>
          </w:p>
        </w:tc>
        <w:tc>
          <w:tcPr>
            <w:tcW w:w="0" w:type="auto"/>
            <w:tcBorders>
              <w:top w:val="nil"/>
              <w:left w:val="nil"/>
              <w:bottom w:val="single" w:sz="24" w:space="0" w:color="auto"/>
              <w:right w:val="nil"/>
            </w:tcBorders>
            <w:vAlign w:val="center"/>
            <w:hideMark/>
          </w:tcPr>
          <w:p w14:paraId="6CBA6BCD"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$800,000</w:t>
            </w:r>
          </w:p>
        </w:tc>
        <w:tc>
          <w:tcPr>
            <w:tcW w:w="0" w:type="auto"/>
            <w:tcBorders>
              <w:top w:val="nil"/>
              <w:left w:val="nil"/>
              <w:bottom w:val="single" w:sz="24" w:space="0" w:color="auto"/>
              <w:right w:val="nil"/>
            </w:tcBorders>
            <w:vAlign w:val="center"/>
            <w:hideMark/>
          </w:tcPr>
          <w:p w14:paraId="46C68FF5"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$5,577,000</w:t>
            </w:r>
          </w:p>
        </w:tc>
      </w:tr>
      <w:tr w:rsidR="008661EA" w:rsidRPr="008661EA" w14:paraId="493A6E84" w14:textId="77777777" w:rsidTr="008661EA">
        <w:tc>
          <w:tcPr>
            <w:tcW w:w="0" w:type="auto"/>
            <w:tcBorders>
              <w:top w:val="nil"/>
              <w:left w:val="nil"/>
              <w:bottom w:val="single" w:sz="24" w:space="0" w:color="auto"/>
              <w:right w:val="nil"/>
            </w:tcBorders>
            <w:vAlign w:val="center"/>
            <w:hideMark/>
          </w:tcPr>
          <w:p w14:paraId="327AC1F8"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Total Current Assets</w:t>
            </w:r>
          </w:p>
        </w:tc>
        <w:tc>
          <w:tcPr>
            <w:tcW w:w="0" w:type="auto"/>
            <w:tcBorders>
              <w:top w:val="nil"/>
              <w:left w:val="nil"/>
              <w:bottom w:val="single" w:sz="24" w:space="0" w:color="auto"/>
              <w:right w:val="nil"/>
            </w:tcBorders>
            <w:vAlign w:val="center"/>
            <w:hideMark/>
          </w:tcPr>
          <w:p w14:paraId="2A701519"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$15,503,000</w:t>
            </w:r>
          </w:p>
        </w:tc>
        <w:tc>
          <w:tcPr>
            <w:tcW w:w="0" w:type="auto"/>
            <w:tcBorders>
              <w:top w:val="nil"/>
              <w:left w:val="nil"/>
              <w:bottom w:val="single" w:sz="24" w:space="0" w:color="auto"/>
              <w:right w:val="nil"/>
            </w:tcBorders>
            <w:vAlign w:val="center"/>
            <w:hideMark/>
          </w:tcPr>
          <w:p w14:paraId="28E616EE"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$16,902,000</w:t>
            </w:r>
          </w:p>
        </w:tc>
        <w:tc>
          <w:tcPr>
            <w:tcW w:w="0" w:type="auto"/>
            <w:tcBorders>
              <w:top w:val="nil"/>
              <w:left w:val="nil"/>
              <w:bottom w:val="single" w:sz="24" w:space="0" w:color="auto"/>
              <w:right w:val="nil"/>
            </w:tcBorders>
            <w:vAlign w:val="center"/>
            <w:hideMark/>
          </w:tcPr>
          <w:p w14:paraId="1E0A80CE"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$15,814,000</w:t>
            </w:r>
          </w:p>
        </w:tc>
        <w:tc>
          <w:tcPr>
            <w:tcW w:w="0" w:type="auto"/>
            <w:tcBorders>
              <w:top w:val="nil"/>
              <w:left w:val="nil"/>
              <w:bottom w:val="single" w:sz="24" w:space="0" w:color="auto"/>
              <w:right w:val="nil"/>
            </w:tcBorders>
            <w:vAlign w:val="center"/>
            <w:hideMark/>
          </w:tcPr>
          <w:p w14:paraId="13FC183C"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$18,073,000</w:t>
            </w:r>
          </w:p>
        </w:tc>
      </w:tr>
      <w:tr w:rsidR="008661EA" w:rsidRPr="008661EA" w14:paraId="691ABAE4" w14:textId="77777777" w:rsidTr="008661EA">
        <w:tc>
          <w:tcPr>
            <w:tcW w:w="0" w:type="auto"/>
            <w:tcBorders>
              <w:top w:val="nil"/>
              <w:left w:val="nil"/>
              <w:bottom w:val="single" w:sz="24" w:space="0" w:color="auto"/>
              <w:right w:val="nil"/>
            </w:tcBorders>
            <w:vAlign w:val="center"/>
            <w:hideMark/>
          </w:tcPr>
          <w:p w14:paraId="61AEAB0C"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color w:val="2B2B2B"/>
                <w:sz w:val="24"/>
                <w:szCs w:val="24"/>
                <w:bdr w:val="none" w:sz="0" w:space="0" w:color="auto" w:frame="1"/>
                <w:lang w:eastAsia="en-GB"/>
              </w:rPr>
              <w:t>Long-Term Assets</w:t>
            </w:r>
          </w:p>
        </w:tc>
        <w:tc>
          <w:tcPr>
            <w:tcW w:w="0" w:type="auto"/>
            <w:tcBorders>
              <w:top w:val="nil"/>
              <w:left w:val="nil"/>
              <w:bottom w:val="single" w:sz="24" w:space="0" w:color="auto"/>
              <w:right w:val="nil"/>
            </w:tcBorders>
            <w:vAlign w:val="center"/>
            <w:hideMark/>
          </w:tcPr>
          <w:p w14:paraId="04E4D72F"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p>
        </w:tc>
        <w:tc>
          <w:tcPr>
            <w:tcW w:w="0" w:type="auto"/>
            <w:tcBorders>
              <w:top w:val="nil"/>
              <w:left w:val="nil"/>
              <w:bottom w:val="single" w:sz="24" w:space="0" w:color="auto"/>
              <w:right w:val="nil"/>
            </w:tcBorders>
            <w:vAlign w:val="center"/>
            <w:hideMark/>
          </w:tcPr>
          <w:p w14:paraId="5A1FE829"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151A4EAE"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2D491E43"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r>
      <w:tr w:rsidR="008661EA" w:rsidRPr="008661EA" w14:paraId="52D0932F" w14:textId="77777777" w:rsidTr="008661EA">
        <w:tc>
          <w:tcPr>
            <w:tcW w:w="0" w:type="auto"/>
            <w:tcBorders>
              <w:top w:val="nil"/>
              <w:left w:val="nil"/>
              <w:bottom w:val="single" w:sz="24" w:space="0" w:color="auto"/>
              <w:right w:val="nil"/>
            </w:tcBorders>
            <w:vAlign w:val="center"/>
            <w:hideMark/>
          </w:tcPr>
          <w:p w14:paraId="4180B2C4"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Long-Term Investments</w:t>
            </w:r>
          </w:p>
        </w:tc>
        <w:tc>
          <w:tcPr>
            <w:tcW w:w="0" w:type="auto"/>
            <w:tcBorders>
              <w:top w:val="nil"/>
              <w:left w:val="nil"/>
              <w:bottom w:val="single" w:sz="24" w:space="0" w:color="auto"/>
              <w:right w:val="nil"/>
            </w:tcBorders>
            <w:vAlign w:val="center"/>
            <w:hideMark/>
          </w:tcPr>
          <w:p w14:paraId="0156DF4D"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$3,497,000</w:t>
            </w:r>
          </w:p>
        </w:tc>
        <w:tc>
          <w:tcPr>
            <w:tcW w:w="0" w:type="auto"/>
            <w:tcBorders>
              <w:top w:val="nil"/>
              <w:left w:val="nil"/>
              <w:bottom w:val="single" w:sz="24" w:space="0" w:color="auto"/>
              <w:right w:val="nil"/>
            </w:tcBorders>
            <w:vAlign w:val="center"/>
            <w:hideMark/>
          </w:tcPr>
          <w:p w14:paraId="7CC13521"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$5,495,000</w:t>
            </w:r>
          </w:p>
        </w:tc>
        <w:tc>
          <w:tcPr>
            <w:tcW w:w="0" w:type="auto"/>
            <w:tcBorders>
              <w:top w:val="nil"/>
              <w:left w:val="nil"/>
              <w:bottom w:val="single" w:sz="24" w:space="0" w:color="auto"/>
              <w:right w:val="nil"/>
            </w:tcBorders>
            <w:vAlign w:val="center"/>
            <w:hideMark/>
          </w:tcPr>
          <w:p w14:paraId="1B2040FB"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$6,987,000</w:t>
            </w:r>
          </w:p>
        </w:tc>
        <w:tc>
          <w:tcPr>
            <w:tcW w:w="0" w:type="auto"/>
            <w:tcBorders>
              <w:top w:val="nil"/>
              <w:left w:val="nil"/>
              <w:bottom w:val="single" w:sz="24" w:space="0" w:color="auto"/>
              <w:right w:val="nil"/>
            </w:tcBorders>
            <w:vAlign w:val="center"/>
            <w:hideMark/>
          </w:tcPr>
          <w:p w14:paraId="3F69A44A"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$7,204,000</w:t>
            </w:r>
          </w:p>
        </w:tc>
      </w:tr>
      <w:tr w:rsidR="008661EA" w:rsidRPr="008661EA" w14:paraId="58C82C32" w14:textId="77777777" w:rsidTr="008661EA">
        <w:tc>
          <w:tcPr>
            <w:tcW w:w="0" w:type="auto"/>
            <w:tcBorders>
              <w:top w:val="nil"/>
              <w:left w:val="nil"/>
              <w:bottom w:val="single" w:sz="24" w:space="0" w:color="auto"/>
              <w:right w:val="nil"/>
            </w:tcBorders>
            <w:vAlign w:val="center"/>
            <w:hideMark/>
          </w:tcPr>
          <w:p w14:paraId="26AB45EC"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Fixed Assets</w:t>
            </w:r>
          </w:p>
        </w:tc>
        <w:tc>
          <w:tcPr>
            <w:tcW w:w="0" w:type="auto"/>
            <w:tcBorders>
              <w:top w:val="nil"/>
              <w:left w:val="nil"/>
              <w:bottom w:val="single" w:sz="24" w:space="0" w:color="auto"/>
              <w:right w:val="nil"/>
            </w:tcBorders>
            <w:vAlign w:val="center"/>
            <w:hideMark/>
          </w:tcPr>
          <w:p w14:paraId="13A62C0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$33,254,000</w:t>
            </w:r>
          </w:p>
        </w:tc>
        <w:tc>
          <w:tcPr>
            <w:tcW w:w="0" w:type="auto"/>
            <w:tcBorders>
              <w:top w:val="nil"/>
              <w:left w:val="nil"/>
              <w:bottom w:val="single" w:sz="24" w:space="0" w:color="auto"/>
              <w:right w:val="nil"/>
            </w:tcBorders>
            <w:vAlign w:val="center"/>
            <w:hideMark/>
          </w:tcPr>
          <w:p w14:paraId="68F3D258"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$32,988,000</w:t>
            </w:r>
          </w:p>
        </w:tc>
        <w:tc>
          <w:tcPr>
            <w:tcW w:w="0" w:type="auto"/>
            <w:tcBorders>
              <w:top w:val="nil"/>
              <w:left w:val="nil"/>
              <w:bottom w:val="single" w:sz="24" w:space="0" w:color="auto"/>
              <w:right w:val="nil"/>
            </w:tcBorders>
            <w:vAlign w:val="center"/>
            <w:hideMark/>
          </w:tcPr>
          <w:p w14:paraId="6CD976F2"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$34,140,000</w:t>
            </w:r>
          </w:p>
        </w:tc>
        <w:tc>
          <w:tcPr>
            <w:tcW w:w="0" w:type="auto"/>
            <w:tcBorders>
              <w:top w:val="nil"/>
              <w:left w:val="nil"/>
              <w:bottom w:val="single" w:sz="24" w:space="0" w:color="auto"/>
              <w:right w:val="nil"/>
            </w:tcBorders>
            <w:vAlign w:val="center"/>
            <w:hideMark/>
          </w:tcPr>
          <w:p w14:paraId="6DB5213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$34,249,000</w:t>
            </w:r>
          </w:p>
        </w:tc>
      </w:tr>
      <w:tr w:rsidR="008661EA" w:rsidRPr="008661EA" w14:paraId="5B1223D9" w14:textId="77777777" w:rsidTr="008661EA">
        <w:tc>
          <w:tcPr>
            <w:tcW w:w="0" w:type="auto"/>
            <w:tcBorders>
              <w:top w:val="nil"/>
              <w:left w:val="nil"/>
              <w:bottom w:val="single" w:sz="24" w:space="0" w:color="auto"/>
              <w:right w:val="nil"/>
            </w:tcBorders>
            <w:vAlign w:val="center"/>
            <w:hideMark/>
          </w:tcPr>
          <w:p w14:paraId="125465B0"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Goodwill</w:t>
            </w:r>
          </w:p>
        </w:tc>
        <w:tc>
          <w:tcPr>
            <w:tcW w:w="0" w:type="auto"/>
            <w:tcBorders>
              <w:top w:val="nil"/>
              <w:left w:val="nil"/>
              <w:bottom w:val="single" w:sz="24" w:space="0" w:color="auto"/>
              <w:right w:val="nil"/>
            </w:tcBorders>
            <w:vAlign w:val="center"/>
            <w:hideMark/>
          </w:tcPr>
          <w:p w14:paraId="4ACDDD84"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$28,188,000</w:t>
            </w:r>
          </w:p>
        </w:tc>
        <w:tc>
          <w:tcPr>
            <w:tcW w:w="0" w:type="auto"/>
            <w:tcBorders>
              <w:top w:val="nil"/>
              <w:left w:val="nil"/>
              <w:bottom w:val="single" w:sz="24" w:space="0" w:color="auto"/>
              <w:right w:val="nil"/>
            </w:tcBorders>
            <w:vAlign w:val="center"/>
            <w:hideMark/>
          </w:tcPr>
          <w:p w14:paraId="56B7DCDB"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$22,280,000</w:t>
            </w:r>
          </w:p>
        </w:tc>
        <w:tc>
          <w:tcPr>
            <w:tcW w:w="0" w:type="auto"/>
            <w:tcBorders>
              <w:top w:val="nil"/>
              <w:left w:val="nil"/>
              <w:bottom w:val="single" w:sz="24" w:space="0" w:color="auto"/>
              <w:right w:val="nil"/>
            </w:tcBorders>
            <w:vAlign w:val="center"/>
            <w:hideMark/>
          </w:tcPr>
          <w:p w14:paraId="66A09778"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$12,421,000</w:t>
            </w:r>
          </w:p>
        </w:tc>
        <w:tc>
          <w:tcPr>
            <w:tcW w:w="0" w:type="auto"/>
            <w:tcBorders>
              <w:top w:val="nil"/>
              <w:left w:val="nil"/>
              <w:bottom w:val="single" w:sz="24" w:space="0" w:color="auto"/>
              <w:right w:val="nil"/>
            </w:tcBorders>
            <w:vAlign w:val="center"/>
            <w:hideMark/>
          </w:tcPr>
          <w:p w14:paraId="39DFD599"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$12,013,000</w:t>
            </w:r>
          </w:p>
        </w:tc>
      </w:tr>
      <w:tr w:rsidR="008661EA" w:rsidRPr="008661EA" w14:paraId="0D9AF160" w14:textId="77777777" w:rsidTr="008661EA">
        <w:tc>
          <w:tcPr>
            <w:tcW w:w="0" w:type="auto"/>
            <w:tcBorders>
              <w:top w:val="nil"/>
              <w:left w:val="nil"/>
              <w:bottom w:val="single" w:sz="24" w:space="0" w:color="auto"/>
              <w:right w:val="nil"/>
            </w:tcBorders>
            <w:vAlign w:val="center"/>
            <w:hideMark/>
          </w:tcPr>
          <w:p w14:paraId="61F630CB"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Intangible Assets</w:t>
            </w:r>
          </w:p>
        </w:tc>
        <w:tc>
          <w:tcPr>
            <w:tcW w:w="0" w:type="auto"/>
            <w:tcBorders>
              <w:top w:val="nil"/>
              <w:left w:val="nil"/>
              <w:bottom w:val="single" w:sz="24" w:space="0" w:color="auto"/>
              <w:right w:val="nil"/>
            </w:tcBorders>
            <w:vAlign w:val="center"/>
            <w:hideMark/>
          </w:tcPr>
          <w:p w14:paraId="3CBACA5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$13,635,000</w:t>
            </w:r>
          </w:p>
        </w:tc>
        <w:tc>
          <w:tcPr>
            <w:tcW w:w="0" w:type="auto"/>
            <w:tcBorders>
              <w:top w:val="nil"/>
              <w:left w:val="nil"/>
              <w:bottom w:val="single" w:sz="24" w:space="0" w:color="auto"/>
              <w:right w:val="nil"/>
            </w:tcBorders>
            <w:vAlign w:val="center"/>
            <w:hideMark/>
          </w:tcPr>
          <w:p w14:paraId="64F1495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$10,730,000</w:t>
            </w:r>
          </w:p>
        </w:tc>
        <w:tc>
          <w:tcPr>
            <w:tcW w:w="0" w:type="auto"/>
            <w:tcBorders>
              <w:top w:val="nil"/>
              <w:left w:val="nil"/>
              <w:bottom w:val="single" w:sz="24" w:space="0" w:color="auto"/>
              <w:right w:val="nil"/>
            </w:tcBorders>
            <w:vAlign w:val="center"/>
            <w:hideMark/>
          </w:tcPr>
          <w:p w14:paraId="1797715D"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$9,936,000</w:t>
            </w:r>
          </w:p>
        </w:tc>
        <w:tc>
          <w:tcPr>
            <w:tcW w:w="0" w:type="auto"/>
            <w:tcBorders>
              <w:top w:val="nil"/>
              <w:left w:val="nil"/>
              <w:bottom w:val="single" w:sz="24" w:space="0" w:color="auto"/>
              <w:right w:val="nil"/>
            </w:tcBorders>
            <w:vAlign w:val="center"/>
            <w:hideMark/>
          </w:tcPr>
          <w:p w14:paraId="27E4BFB3"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$10,072,000</w:t>
            </w:r>
          </w:p>
        </w:tc>
      </w:tr>
      <w:tr w:rsidR="008661EA" w:rsidRPr="008661EA" w14:paraId="7534760F" w14:textId="77777777" w:rsidTr="008661EA">
        <w:tc>
          <w:tcPr>
            <w:tcW w:w="0" w:type="auto"/>
            <w:tcBorders>
              <w:top w:val="nil"/>
              <w:left w:val="nil"/>
              <w:bottom w:val="single" w:sz="24" w:space="0" w:color="auto"/>
              <w:right w:val="nil"/>
            </w:tcBorders>
            <w:vAlign w:val="center"/>
            <w:hideMark/>
          </w:tcPr>
          <w:p w14:paraId="0C2A9DF6"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Other Assets</w:t>
            </w:r>
          </w:p>
        </w:tc>
        <w:tc>
          <w:tcPr>
            <w:tcW w:w="0" w:type="auto"/>
            <w:tcBorders>
              <w:top w:val="nil"/>
              <w:left w:val="nil"/>
              <w:bottom w:val="single" w:sz="24" w:space="0" w:color="auto"/>
              <w:right w:val="nil"/>
            </w:tcBorders>
            <w:vAlign w:val="center"/>
            <w:hideMark/>
          </w:tcPr>
          <w:p w14:paraId="59FA8EAD"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$2,550,000</w:t>
            </w:r>
          </w:p>
        </w:tc>
        <w:tc>
          <w:tcPr>
            <w:tcW w:w="0" w:type="auto"/>
            <w:tcBorders>
              <w:top w:val="nil"/>
              <w:left w:val="nil"/>
              <w:bottom w:val="single" w:sz="24" w:space="0" w:color="auto"/>
              <w:right w:val="nil"/>
            </w:tcBorders>
            <w:vAlign w:val="center"/>
            <w:hideMark/>
          </w:tcPr>
          <w:p w14:paraId="7C407868"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$1,730,000</w:t>
            </w:r>
          </w:p>
        </w:tc>
        <w:tc>
          <w:tcPr>
            <w:tcW w:w="0" w:type="auto"/>
            <w:tcBorders>
              <w:top w:val="nil"/>
              <w:left w:val="nil"/>
              <w:bottom w:val="single" w:sz="24" w:space="0" w:color="auto"/>
              <w:right w:val="nil"/>
            </w:tcBorders>
            <w:vAlign w:val="center"/>
            <w:hideMark/>
          </w:tcPr>
          <w:p w14:paraId="50582DC2"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$1,987,000</w:t>
            </w:r>
          </w:p>
        </w:tc>
        <w:tc>
          <w:tcPr>
            <w:tcW w:w="0" w:type="auto"/>
            <w:tcBorders>
              <w:top w:val="nil"/>
              <w:left w:val="nil"/>
              <w:bottom w:val="single" w:sz="24" w:space="0" w:color="auto"/>
              <w:right w:val="nil"/>
            </w:tcBorders>
            <w:vAlign w:val="center"/>
            <w:hideMark/>
          </w:tcPr>
          <w:p w14:paraId="61E04E9B"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$5,564,000</w:t>
            </w:r>
          </w:p>
        </w:tc>
      </w:tr>
      <w:tr w:rsidR="008661EA" w:rsidRPr="008661EA" w14:paraId="0C052FFB" w14:textId="77777777" w:rsidTr="008661EA">
        <w:tc>
          <w:tcPr>
            <w:tcW w:w="0" w:type="auto"/>
            <w:tcBorders>
              <w:top w:val="nil"/>
              <w:left w:val="nil"/>
              <w:bottom w:val="single" w:sz="24" w:space="0" w:color="auto"/>
              <w:right w:val="nil"/>
            </w:tcBorders>
            <w:vAlign w:val="center"/>
            <w:hideMark/>
          </w:tcPr>
          <w:p w14:paraId="78A210E9"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Deferred Asset Charges</w:t>
            </w:r>
          </w:p>
        </w:tc>
        <w:tc>
          <w:tcPr>
            <w:tcW w:w="0" w:type="auto"/>
            <w:tcBorders>
              <w:top w:val="nil"/>
              <w:left w:val="nil"/>
              <w:bottom w:val="single" w:sz="24" w:space="0" w:color="auto"/>
              <w:right w:val="nil"/>
            </w:tcBorders>
            <w:vAlign w:val="center"/>
            <w:hideMark/>
          </w:tcPr>
          <w:p w14:paraId="7C6FB766"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64DBAE8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5AC34F3A"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w:t>
            </w:r>
          </w:p>
        </w:tc>
        <w:tc>
          <w:tcPr>
            <w:tcW w:w="0" w:type="auto"/>
            <w:tcBorders>
              <w:top w:val="nil"/>
              <w:left w:val="nil"/>
              <w:bottom w:val="single" w:sz="24" w:space="0" w:color="auto"/>
              <w:right w:val="nil"/>
            </w:tcBorders>
            <w:vAlign w:val="center"/>
            <w:hideMark/>
          </w:tcPr>
          <w:p w14:paraId="11C34A4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w:t>
            </w:r>
          </w:p>
        </w:tc>
      </w:tr>
      <w:tr w:rsidR="008661EA" w:rsidRPr="008661EA" w14:paraId="35AC7CB4" w14:textId="77777777" w:rsidTr="008661EA">
        <w:tc>
          <w:tcPr>
            <w:tcW w:w="0" w:type="auto"/>
            <w:tcBorders>
              <w:top w:val="nil"/>
              <w:left w:val="nil"/>
              <w:bottom w:val="single" w:sz="24" w:space="0" w:color="auto"/>
              <w:right w:val="nil"/>
            </w:tcBorders>
            <w:vAlign w:val="center"/>
            <w:hideMark/>
          </w:tcPr>
          <w:p w14:paraId="3E0E6DC6"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Total Assets</w:t>
            </w:r>
          </w:p>
        </w:tc>
        <w:tc>
          <w:tcPr>
            <w:tcW w:w="0" w:type="auto"/>
            <w:tcBorders>
              <w:top w:val="nil"/>
              <w:left w:val="nil"/>
              <w:bottom w:val="single" w:sz="24" w:space="0" w:color="auto"/>
              <w:right w:val="nil"/>
            </w:tcBorders>
            <w:vAlign w:val="center"/>
            <w:hideMark/>
          </w:tcPr>
          <w:p w14:paraId="4A962A9B"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$96,628,000</w:t>
            </w:r>
          </w:p>
        </w:tc>
        <w:tc>
          <w:tcPr>
            <w:tcW w:w="0" w:type="auto"/>
            <w:tcBorders>
              <w:top w:val="nil"/>
              <w:left w:val="nil"/>
              <w:bottom w:val="single" w:sz="24" w:space="0" w:color="auto"/>
              <w:right w:val="nil"/>
            </w:tcBorders>
            <w:vAlign w:val="center"/>
            <w:hideMark/>
          </w:tcPr>
          <w:p w14:paraId="7DED68CD"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$90,124,000</w:t>
            </w:r>
          </w:p>
        </w:tc>
        <w:tc>
          <w:tcPr>
            <w:tcW w:w="0" w:type="auto"/>
            <w:tcBorders>
              <w:top w:val="nil"/>
              <w:left w:val="nil"/>
              <w:bottom w:val="single" w:sz="24" w:space="0" w:color="auto"/>
              <w:right w:val="nil"/>
            </w:tcBorders>
            <w:vAlign w:val="center"/>
            <w:hideMark/>
          </w:tcPr>
          <w:p w14:paraId="17DA814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$81,285,000</w:t>
            </w:r>
          </w:p>
        </w:tc>
        <w:tc>
          <w:tcPr>
            <w:tcW w:w="0" w:type="auto"/>
            <w:tcBorders>
              <w:top w:val="nil"/>
              <w:left w:val="nil"/>
              <w:bottom w:val="single" w:sz="24" w:space="0" w:color="auto"/>
              <w:right w:val="nil"/>
            </w:tcBorders>
            <w:vAlign w:val="center"/>
            <w:hideMark/>
          </w:tcPr>
          <w:p w14:paraId="349E3D90"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$87,174,000</w:t>
            </w:r>
          </w:p>
        </w:tc>
      </w:tr>
      <w:tr w:rsidR="008661EA" w:rsidRPr="008661EA" w14:paraId="08238489" w14:textId="77777777" w:rsidTr="008661EA">
        <w:tc>
          <w:tcPr>
            <w:tcW w:w="0" w:type="auto"/>
            <w:tcBorders>
              <w:top w:val="nil"/>
              <w:left w:val="nil"/>
              <w:bottom w:val="single" w:sz="24" w:space="0" w:color="auto"/>
              <w:right w:val="nil"/>
            </w:tcBorders>
            <w:vAlign w:val="center"/>
            <w:hideMark/>
          </w:tcPr>
          <w:p w14:paraId="3538D27E"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color w:val="2B2B2B"/>
                <w:sz w:val="24"/>
                <w:szCs w:val="24"/>
                <w:bdr w:val="none" w:sz="0" w:space="0" w:color="auto" w:frame="1"/>
                <w:lang w:eastAsia="en-GB"/>
              </w:rPr>
              <w:t>Current Liabilities</w:t>
            </w:r>
          </w:p>
        </w:tc>
        <w:tc>
          <w:tcPr>
            <w:tcW w:w="0" w:type="auto"/>
            <w:tcBorders>
              <w:top w:val="nil"/>
              <w:left w:val="nil"/>
              <w:bottom w:val="single" w:sz="24" w:space="0" w:color="auto"/>
              <w:right w:val="nil"/>
            </w:tcBorders>
            <w:vAlign w:val="center"/>
            <w:hideMark/>
          </w:tcPr>
          <w:p w14:paraId="5FF00217"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p>
        </w:tc>
        <w:tc>
          <w:tcPr>
            <w:tcW w:w="0" w:type="auto"/>
            <w:tcBorders>
              <w:top w:val="nil"/>
              <w:left w:val="nil"/>
              <w:bottom w:val="single" w:sz="24" w:space="0" w:color="auto"/>
              <w:right w:val="nil"/>
            </w:tcBorders>
            <w:vAlign w:val="center"/>
            <w:hideMark/>
          </w:tcPr>
          <w:p w14:paraId="158D0FCA"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5FA36D48"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1BA44624"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r>
      <w:tr w:rsidR="008661EA" w:rsidRPr="008661EA" w14:paraId="577D91B4" w14:textId="77777777" w:rsidTr="008661EA">
        <w:tc>
          <w:tcPr>
            <w:tcW w:w="0" w:type="auto"/>
            <w:tcBorders>
              <w:top w:val="nil"/>
              <w:left w:val="nil"/>
              <w:bottom w:val="single" w:sz="24" w:space="0" w:color="auto"/>
              <w:right w:val="nil"/>
            </w:tcBorders>
            <w:vAlign w:val="center"/>
            <w:hideMark/>
          </w:tcPr>
          <w:p w14:paraId="55A02AC0"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Accounts Payable</w:t>
            </w:r>
          </w:p>
        </w:tc>
        <w:tc>
          <w:tcPr>
            <w:tcW w:w="0" w:type="auto"/>
            <w:tcBorders>
              <w:top w:val="nil"/>
              <w:left w:val="nil"/>
              <w:bottom w:val="single" w:sz="24" w:space="0" w:color="auto"/>
              <w:right w:val="nil"/>
            </w:tcBorders>
            <w:vAlign w:val="center"/>
            <w:hideMark/>
          </w:tcPr>
          <w:p w14:paraId="7C94DD51"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$21,270,000</w:t>
            </w:r>
          </w:p>
        </w:tc>
        <w:tc>
          <w:tcPr>
            <w:tcW w:w="0" w:type="auto"/>
            <w:tcBorders>
              <w:top w:val="nil"/>
              <w:left w:val="nil"/>
              <w:bottom w:val="single" w:sz="24" w:space="0" w:color="auto"/>
              <w:right w:val="nil"/>
            </w:tcBorders>
            <w:vAlign w:val="center"/>
            <w:hideMark/>
          </w:tcPr>
          <w:p w14:paraId="75FB56E5"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$19,238,000</w:t>
            </w:r>
          </w:p>
        </w:tc>
        <w:tc>
          <w:tcPr>
            <w:tcW w:w="0" w:type="auto"/>
            <w:tcBorders>
              <w:top w:val="nil"/>
              <w:left w:val="nil"/>
              <w:bottom w:val="single" w:sz="24" w:space="0" w:color="auto"/>
              <w:right w:val="nil"/>
            </w:tcBorders>
            <w:vAlign w:val="center"/>
            <w:hideMark/>
          </w:tcPr>
          <w:p w14:paraId="464193BD"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$18,490,000</w:t>
            </w:r>
          </w:p>
        </w:tc>
        <w:tc>
          <w:tcPr>
            <w:tcW w:w="0" w:type="auto"/>
            <w:tcBorders>
              <w:top w:val="nil"/>
              <w:left w:val="nil"/>
              <w:bottom w:val="single" w:sz="24" w:space="0" w:color="auto"/>
              <w:right w:val="nil"/>
            </w:tcBorders>
            <w:vAlign w:val="center"/>
            <w:hideMark/>
          </w:tcPr>
          <w:p w14:paraId="5CCD9FF0"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$16,101,000</w:t>
            </w:r>
          </w:p>
        </w:tc>
      </w:tr>
      <w:tr w:rsidR="008661EA" w:rsidRPr="008661EA" w14:paraId="41C25208" w14:textId="77777777" w:rsidTr="008661EA">
        <w:tc>
          <w:tcPr>
            <w:tcW w:w="0" w:type="auto"/>
            <w:tcBorders>
              <w:top w:val="nil"/>
              <w:left w:val="nil"/>
              <w:bottom w:val="single" w:sz="24" w:space="0" w:color="auto"/>
              <w:right w:val="nil"/>
            </w:tcBorders>
            <w:vAlign w:val="center"/>
            <w:hideMark/>
          </w:tcPr>
          <w:p w14:paraId="074B863A"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Short-Term Debt / Current Portion of Long-Term Debt</w:t>
            </w:r>
          </w:p>
        </w:tc>
        <w:tc>
          <w:tcPr>
            <w:tcW w:w="0" w:type="auto"/>
            <w:tcBorders>
              <w:top w:val="nil"/>
              <w:left w:val="nil"/>
              <w:bottom w:val="single" w:sz="24" w:space="0" w:color="auto"/>
              <w:right w:val="nil"/>
            </w:tcBorders>
            <w:vAlign w:val="center"/>
            <w:hideMark/>
          </w:tcPr>
          <w:p w14:paraId="77691EC2"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$917,000</w:t>
            </w:r>
          </w:p>
        </w:tc>
        <w:tc>
          <w:tcPr>
            <w:tcW w:w="0" w:type="auto"/>
            <w:tcBorders>
              <w:top w:val="nil"/>
              <w:left w:val="nil"/>
              <w:bottom w:val="single" w:sz="24" w:space="0" w:color="auto"/>
              <w:right w:val="nil"/>
            </w:tcBorders>
            <w:vAlign w:val="center"/>
            <w:hideMark/>
          </w:tcPr>
          <w:p w14:paraId="16CDE174"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$1,059,000</w:t>
            </w:r>
          </w:p>
        </w:tc>
        <w:tc>
          <w:tcPr>
            <w:tcW w:w="0" w:type="auto"/>
            <w:tcBorders>
              <w:top w:val="nil"/>
              <w:left w:val="nil"/>
              <w:bottom w:val="single" w:sz="24" w:space="0" w:color="auto"/>
              <w:right w:val="nil"/>
            </w:tcBorders>
            <w:vAlign w:val="center"/>
            <w:hideMark/>
          </w:tcPr>
          <w:p w14:paraId="734EE50C"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$1,305,000</w:t>
            </w:r>
          </w:p>
        </w:tc>
        <w:tc>
          <w:tcPr>
            <w:tcW w:w="0" w:type="auto"/>
            <w:tcBorders>
              <w:top w:val="nil"/>
              <w:left w:val="nil"/>
              <w:bottom w:val="single" w:sz="24" w:space="0" w:color="auto"/>
              <w:right w:val="nil"/>
            </w:tcBorders>
            <w:vAlign w:val="center"/>
            <w:hideMark/>
          </w:tcPr>
          <w:p w14:paraId="34B5E942"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$3,265,000</w:t>
            </w:r>
          </w:p>
        </w:tc>
      </w:tr>
      <w:tr w:rsidR="008661EA" w:rsidRPr="008661EA" w14:paraId="38855C0F" w14:textId="77777777" w:rsidTr="008661EA">
        <w:tc>
          <w:tcPr>
            <w:tcW w:w="0" w:type="auto"/>
            <w:tcBorders>
              <w:top w:val="nil"/>
              <w:left w:val="nil"/>
              <w:bottom w:val="single" w:sz="24" w:space="0" w:color="auto"/>
              <w:right w:val="nil"/>
            </w:tcBorders>
            <w:vAlign w:val="center"/>
            <w:hideMark/>
          </w:tcPr>
          <w:p w14:paraId="56D1DA91"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Other Current Liabilities</w:t>
            </w:r>
          </w:p>
        </w:tc>
        <w:tc>
          <w:tcPr>
            <w:tcW w:w="0" w:type="auto"/>
            <w:tcBorders>
              <w:top w:val="nil"/>
              <w:left w:val="nil"/>
              <w:bottom w:val="single" w:sz="24" w:space="0" w:color="auto"/>
              <w:right w:val="nil"/>
            </w:tcBorders>
            <w:vAlign w:val="center"/>
            <w:hideMark/>
          </w:tcPr>
          <w:p w14:paraId="4BBAC876"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$2,347,000</w:t>
            </w:r>
          </w:p>
        </w:tc>
        <w:tc>
          <w:tcPr>
            <w:tcW w:w="0" w:type="auto"/>
            <w:tcBorders>
              <w:top w:val="nil"/>
              <w:left w:val="nil"/>
              <w:bottom w:val="single" w:sz="24" w:space="0" w:color="auto"/>
              <w:right w:val="nil"/>
            </w:tcBorders>
            <w:vAlign w:val="center"/>
            <w:hideMark/>
          </w:tcPr>
          <w:p w14:paraId="57A94443"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$2,286,000</w:t>
            </w:r>
          </w:p>
        </w:tc>
        <w:tc>
          <w:tcPr>
            <w:tcW w:w="0" w:type="auto"/>
            <w:tcBorders>
              <w:top w:val="nil"/>
              <w:left w:val="nil"/>
              <w:bottom w:val="single" w:sz="24" w:space="0" w:color="auto"/>
              <w:right w:val="nil"/>
            </w:tcBorders>
            <w:vAlign w:val="center"/>
            <w:hideMark/>
          </w:tcPr>
          <w:p w14:paraId="13AC9FAD"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$2,259,000</w:t>
            </w:r>
          </w:p>
        </w:tc>
        <w:tc>
          <w:tcPr>
            <w:tcW w:w="0" w:type="auto"/>
            <w:tcBorders>
              <w:top w:val="nil"/>
              <w:left w:val="nil"/>
              <w:bottom w:val="single" w:sz="24" w:space="0" w:color="auto"/>
              <w:right w:val="nil"/>
            </w:tcBorders>
            <w:vAlign w:val="center"/>
            <w:hideMark/>
          </w:tcPr>
          <w:p w14:paraId="60766173"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$7,705,000</w:t>
            </w:r>
          </w:p>
        </w:tc>
      </w:tr>
      <w:tr w:rsidR="008661EA" w:rsidRPr="008661EA" w14:paraId="6F915D56" w14:textId="77777777" w:rsidTr="008661EA">
        <w:tc>
          <w:tcPr>
            <w:tcW w:w="0" w:type="auto"/>
            <w:tcBorders>
              <w:top w:val="nil"/>
              <w:left w:val="nil"/>
              <w:bottom w:val="single" w:sz="24" w:space="0" w:color="auto"/>
              <w:right w:val="nil"/>
            </w:tcBorders>
            <w:vAlign w:val="center"/>
            <w:hideMark/>
          </w:tcPr>
          <w:p w14:paraId="6F2978C6"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Total Current Liabilities</w:t>
            </w:r>
          </w:p>
        </w:tc>
        <w:tc>
          <w:tcPr>
            <w:tcW w:w="0" w:type="auto"/>
            <w:tcBorders>
              <w:top w:val="nil"/>
              <w:left w:val="nil"/>
              <w:bottom w:val="single" w:sz="24" w:space="0" w:color="auto"/>
              <w:right w:val="nil"/>
            </w:tcBorders>
            <w:vAlign w:val="center"/>
            <w:hideMark/>
          </w:tcPr>
          <w:p w14:paraId="250B2F2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$24,535,000</w:t>
            </w:r>
          </w:p>
        </w:tc>
        <w:tc>
          <w:tcPr>
            <w:tcW w:w="0" w:type="auto"/>
            <w:tcBorders>
              <w:top w:val="nil"/>
              <w:left w:val="nil"/>
              <w:bottom w:val="single" w:sz="24" w:space="0" w:color="auto"/>
              <w:right w:val="nil"/>
            </w:tcBorders>
            <w:vAlign w:val="center"/>
            <w:hideMark/>
          </w:tcPr>
          <w:p w14:paraId="391CC24F"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$22,583,000</w:t>
            </w:r>
          </w:p>
        </w:tc>
        <w:tc>
          <w:tcPr>
            <w:tcW w:w="0" w:type="auto"/>
            <w:tcBorders>
              <w:top w:val="nil"/>
              <w:left w:val="nil"/>
              <w:bottom w:val="single" w:sz="24" w:space="0" w:color="auto"/>
              <w:right w:val="nil"/>
            </w:tcBorders>
            <w:vAlign w:val="center"/>
            <w:hideMark/>
          </w:tcPr>
          <w:p w14:paraId="1F57340E"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$22,054,000</w:t>
            </w:r>
          </w:p>
        </w:tc>
        <w:tc>
          <w:tcPr>
            <w:tcW w:w="0" w:type="auto"/>
            <w:tcBorders>
              <w:top w:val="nil"/>
              <w:left w:val="nil"/>
              <w:bottom w:val="single" w:sz="24" w:space="0" w:color="auto"/>
              <w:right w:val="nil"/>
            </w:tcBorders>
            <w:vAlign w:val="center"/>
            <w:hideMark/>
          </w:tcPr>
          <w:p w14:paraId="6F74D161"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$27,070,000</w:t>
            </w:r>
          </w:p>
        </w:tc>
      </w:tr>
      <w:tr w:rsidR="008661EA" w:rsidRPr="008661EA" w14:paraId="4C71CCE8" w14:textId="77777777" w:rsidTr="008661EA">
        <w:tc>
          <w:tcPr>
            <w:tcW w:w="0" w:type="auto"/>
            <w:tcBorders>
              <w:top w:val="nil"/>
              <w:left w:val="nil"/>
              <w:bottom w:val="single" w:sz="24" w:space="0" w:color="auto"/>
              <w:right w:val="nil"/>
            </w:tcBorders>
            <w:vAlign w:val="center"/>
            <w:hideMark/>
          </w:tcPr>
          <w:p w14:paraId="36B6AA0C"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Long-Term Debt</w:t>
            </w:r>
          </w:p>
        </w:tc>
        <w:tc>
          <w:tcPr>
            <w:tcW w:w="0" w:type="auto"/>
            <w:tcBorders>
              <w:top w:val="nil"/>
              <w:left w:val="nil"/>
              <w:bottom w:val="single" w:sz="24" w:space="0" w:color="auto"/>
              <w:right w:val="nil"/>
            </w:tcBorders>
            <w:vAlign w:val="center"/>
            <w:hideMark/>
          </w:tcPr>
          <w:p w14:paraId="18A6674D"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$8,145,000</w:t>
            </w:r>
          </w:p>
        </w:tc>
        <w:tc>
          <w:tcPr>
            <w:tcW w:w="0" w:type="auto"/>
            <w:tcBorders>
              <w:top w:val="nil"/>
              <w:left w:val="nil"/>
              <w:bottom w:val="single" w:sz="24" w:space="0" w:color="auto"/>
              <w:right w:val="nil"/>
            </w:tcBorders>
            <w:vAlign w:val="center"/>
            <w:hideMark/>
          </w:tcPr>
          <w:p w14:paraId="42D5BFC0"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$10,615,000</w:t>
            </w:r>
          </w:p>
        </w:tc>
        <w:tc>
          <w:tcPr>
            <w:tcW w:w="0" w:type="auto"/>
            <w:tcBorders>
              <w:top w:val="nil"/>
              <w:left w:val="nil"/>
              <w:bottom w:val="single" w:sz="24" w:space="0" w:color="auto"/>
              <w:right w:val="nil"/>
            </w:tcBorders>
            <w:vAlign w:val="center"/>
            <w:hideMark/>
          </w:tcPr>
          <w:p w14:paraId="1D2A0D3B"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$7,675,000</w:t>
            </w:r>
          </w:p>
        </w:tc>
        <w:tc>
          <w:tcPr>
            <w:tcW w:w="0" w:type="auto"/>
            <w:tcBorders>
              <w:top w:val="nil"/>
              <w:left w:val="nil"/>
              <w:bottom w:val="single" w:sz="24" w:space="0" w:color="auto"/>
              <w:right w:val="nil"/>
            </w:tcBorders>
            <w:vAlign w:val="center"/>
            <w:hideMark/>
          </w:tcPr>
          <w:p w14:paraId="714A5A29"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$12,203,000</w:t>
            </w:r>
          </w:p>
        </w:tc>
      </w:tr>
      <w:tr w:rsidR="008661EA" w:rsidRPr="008661EA" w14:paraId="33128797" w14:textId="77777777" w:rsidTr="008661EA">
        <w:tc>
          <w:tcPr>
            <w:tcW w:w="0" w:type="auto"/>
            <w:tcBorders>
              <w:top w:val="nil"/>
              <w:left w:val="nil"/>
              <w:bottom w:val="single" w:sz="24" w:space="0" w:color="auto"/>
              <w:right w:val="nil"/>
            </w:tcBorders>
            <w:vAlign w:val="center"/>
            <w:hideMark/>
          </w:tcPr>
          <w:p w14:paraId="44CEBD6B"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Other Liabilities</w:t>
            </w:r>
          </w:p>
        </w:tc>
        <w:tc>
          <w:tcPr>
            <w:tcW w:w="0" w:type="auto"/>
            <w:tcBorders>
              <w:top w:val="nil"/>
              <w:left w:val="nil"/>
              <w:bottom w:val="single" w:sz="24" w:space="0" w:color="auto"/>
              <w:right w:val="nil"/>
            </w:tcBorders>
            <w:vAlign w:val="center"/>
            <w:hideMark/>
          </w:tcPr>
          <w:p w14:paraId="4A45833E"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$34,142,000</w:t>
            </w:r>
          </w:p>
        </w:tc>
        <w:tc>
          <w:tcPr>
            <w:tcW w:w="0" w:type="auto"/>
            <w:tcBorders>
              <w:top w:val="nil"/>
              <w:left w:val="nil"/>
              <w:bottom w:val="single" w:sz="24" w:space="0" w:color="auto"/>
              <w:right w:val="nil"/>
            </w:tcBorders>
            <w:vAlign w:val="center"/>
            <w:hideMark/>
          </w:tcPr>
          <w:p w14:paraId="67C8C56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$25,077,000</w:t>
            </w:r>
          </w:p>
        </w:tc>
        <w:tc>
          <w:tcPr>
            <w:tcW w:w="0" w:type="auto"/>
            <w:tcBorders>
              <w:top w:val="nil"/>
              <w:left w:val="nil"/>
              <w:bottom w:val="single" w:sz="24" w:space="0" w:color="auto"/>
              <w:right w:val="nil"/>
            </w:tcBorders>
            <w:vAlign w:val="center"/>
            <w:hideMark/>
          </w:tcPr>
          <w:p w14:paraId="1C49DF21"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$25,566,000</w:t>
            </w:r>
          </w:p>
        </w:tc>
        <w:tc>
          <w:tcPr>
            <w:tcW w:w="0" w:type="auto"/>
            <w:tcBorders>
              <w:top w:val="nil"/>
              <w:left w:val="nil"/>
              <w:bottom w:val="single" w:sz="24" w:space="0" w:color="auto"/>
              <w:right w:val="nil"/>
            </w:tcBorders>
            <w:vAlign w:val="center"/>
            <w:hideMark/>
          </w:tcPr>
          <w:p w14:paraId="5901BF3E"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$25,399,000</w:t>
            </w:r>
          </w:p>
        </w:tc>
      </w:tr>
      <w:tr w:rsidR="008661EA" w:rsidRPr="008661EA" w14:paraId="172D10CB" w14:textId="77777777" w:rsidTr="008661EA">
        <w:tc>
          <w:tcPr>
            <w:tcW w:w="0" w:type="auto"/>
            <w:tcBorders>
              <w:top w:val="nil"/>
              <w:left w:val="nil"/>
              <w:bottom w:val="single" w:sz="24" w:space="0" w:color="auto"/>
              <w:right w:val="nil"/>
            </w:tcBorders>
            <w:vAlign w:val="center"/>
            <w:hideMark/>
          </w:tcPr>
          <w:p w14:paraId="68E86C11"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Deferred Liability Charges</w:t>
            </w:r>
          </w:p>
        </w:tc>
        <w:tc>
          <w:tcPr>
            <w:tcW w:w="0" w:type="auto"/>
            <w:tcBorders>
              <w:top w:val="nil"/>
              <w:left w:val="nil"/>
              <w:bottom w:val="single" w:sz="24" w:space="0" w:color="auto"/>
              <w:right w:val="nil"/>
            </w:tcBorders>
            <w:vAlign w:val="center"/>
            <w:hideMark/>
          </w:tcPr>
          <w:p w14:paraId="3786BB91"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$1,318,000</w:t>
            </w:r>
          </w:p>
        </w:tc>
        <w:tc>
          <w:tcPr>
            <w:tcW w:w="0" w:type="auto"/>
            <w:tcBorders>
              <w:top w:val="nil"/>
              <w:left w:val="nil"/>
              <w:bottom w:val="single" w:sz="24" w:space="0" w:color="auto"/>
              <w:right w:val="nil"/>
            </w:tcBorders>
            <w:vAlign w:val="center"/>
            <w:hideMark/>
          </w:tcPr>
          <w:p w14:paraId="46D67906"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$1,442,000</w:t>
            </w:r>
          </w:p>
        </w:tc>
        <w:tc>
          <w:tcPr>
            <w:tcW w:w="0" w:type="auto"/>
            <w:tcBorders>
              <w:top w:val="nil"/>
              <w:left w:val="nil"/>
              <w:bottom w:val="single" w:sz="24" w:space="0" w:color="auto"/>
              <w:right w:val="nil"/>
            </w:tcBorders>
            <w:vAlign w:val="center"/>
            <w:hideMark/>
          </w:tcPr>
          <w:p w14:paraId="2CEDC2BB"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$1,850,000</w:t>
            </w:r>
          </w:p>
        </w:tc>
        <w:tc>
          <w:tcPr>
            <w:tcW w:w="0" w:type="auto"/>
            <w:tcBorders>
              <w:top w:val="nil"/>
              <w:left w:val="nil"/>
              <w:bottom w:val="single" w:sz="24" w:space="0" w:color="auto"/>
              <w:right w:val="nil"/>
            </w:tcBorders>
            <w:vAlign w:val="center"/>
            <w:hideMark/>
          </w:tcPr>
          <w:p w14:paraId="38545AD3"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$1,367,000</w:t>
            </w:r>
          </w:p>
        </w:tc>
      </w:tr>
      <w:tr w:rsidR="008661EA" w:rsidRPr="008661EA" w14:paraId="346B1993" w14:textId="77777777" w:rsidTr="008661EA">
        <w:tc>
          <w:tcPr>
            <w:tcW w:w="0" w:type="auto"/>
            <w:tcBorders>
              <w:top w:val="nil"/>
              <w:left w:val="nil"/>
              <w:bottom w:val="single" w:sz="24" w:space="0" w:color="auto"/>
              <w:right w:val="nil"/>
            </w:tcBorders>
            <w:vAlign w:val="center"/>
            <w:hideMark/>
          </w:tcPr>
          <w:p w14:paraId="36EA01CE"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Misc. Stocks</w:t>
            </w:r>
          </w:p>
        </w:tc>
        <w:tc>
          <w:tcPr>
            <w:tcW w:w="0" w:type="auto"/>
            <w:tcBorders>
              <w:top w:val="nil"/>
              <w:left w:val="nil"/>
              <w:bottom w:val="single" w:sz="24" w:space="0" w:color="auto"/>
              <w:right w:val="nil"/>
            </w:tcBorders>
            <w:vAlign w:val="center"/>
            <w:hideMark/>
          </w:tcPr>
          <w:p w14:paraId="4A540F4E"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$8,302,000</w:t>
            </w:r>
          </w:p>
        </w:tc>
        <w:tc>
          <w:tcPr>
            <w:tcW w:w="0" w:type="auto"/>
            <w:tcBorders>
              <w:top w:val="nil"/>
              <w:left w:val="nil"/>
              <w:bottom w:val="single" w:sz="24" w:space="0" w:color="auto"/>
              <w:right w:val="nil"/>
            </w:tcBorders>
            <w:vAlign w:val="center"/>
            <w:hideMark/>
          </w:tcPr>
          <w:p w14:paraId="15DC0A84"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$4,091,000</w:t>
            </w:r>
          </w:p>
        </w:tc>
        <w:tc>
          <w:tcPr>
            <w:tcW w:w="0" w:type="auto"/>
            <w:tcBorders>
              <w:top w:val="nil"/>
              <w:left w:val="nil"/>
              <w:bottom w:val="single" w:sz="24" w:space="0" w:color="auto"/>
              <w:right w:val="nil"/>
            </w:tcBorders>
            <w:vAlign w:val="center"/>
            <w:hideMark/>
          </w:tcPr>
          <w:p w14:paraId="358C2200"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$402,000</w:t>
            </w:r>
          </w:p>
        </w:tc>
        <w:tc>
          <w:tcPr>
            <w:tcW w:w="0" w:type="auto"/>
            <w:tcBorders>
              <w:top w:val="nil"/>
              <w:left w:val="nil"/>
              <w:bottom w:val="single" w:sz="24" w:space="0" w:color="auto"/>
              <w:right w:val="nil"/>
            </w:tcBorders>
            <w:vAlign w:val="center"/>
            <w:hideMark/>
          </w:tcPr>
          <w:p w14:paraId="5C012EBE"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$498,000</w:t>
            </w:r>
          </w:p>
        </w:tc>
      </w:tr>
      <w:tr w:rsidR="008661EA" w:rsidRPr="008661EA" w14:paraId="3117E66E" w14:textId="77777777" w:rsidTr="008661EA">
        <w:tc>
          <w:tcPr>
            <w:tcW w:w="0" w:type="auto"/>
            <w:tcBorders>
              <w:top w:val="nil"/>
              <w:left w:val="nil"/>
              <w:bottom w:val="single" w:sz="24" w:space="0" w:color="auto"/>
              <w:right w:val="nil"/>
            </w:tcBorders>
            <w:vAlign w:val="center"/>
            <w:hideMark/>
          </w:tcPr>
          <w:p w14:paraId="0BC0DB1F"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Minority Interest</w:t>
            </w:r>
          </w:p>
        </w:tc>
        <w:tc>
          <w:tcPr>
            <w:tcW w:w="0" w:type="auto"/>
            <w:tcBorders>
              <w:top w:val="nil"/>
              <w:left w:val="nil"/>
              <w:bottom w:val="single" w:sz="24" w:space="0" w:color="auto"/>
              <w:right w:val="nil"/>
            </w:tcBorders>
            <w:vAlign w:val="center"/>
            <w:hideMark/>
          </w:tcPr>
          <w:p w14:paraId="00A2E904"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$167,000</w:t>
            </w:r>
          </w:p>
        </w:tc>
        <w:tc>
          <w:tcPr>
            <w:tcW w:w="0" w:type="auto"/>
            <w:tcBorders>
              <w:top w:val="nil"/>
              <w:left w:val="nil"/>
              <w:bottom w:val="single" w:sz="24" w:space="0" w:color="auto"/>
              <w:right w:val="nil"/>
            </w:tcBorders>
            <w:vAlign w:val="center"/>
            <w:hideMark/>
          </w:tcPr>
          <w:p w14:paraId="04D1ED23"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$1,042,000</w:t>
            </w:r>
          </w:p>
        </w:tc>
        <w:tc>
          <w:tcPr>
            <w:tcW w:w="0" w:type="auto"/>
            <w:tcBorders>
              <w:top w:val="nil"/>
              <w:left w:val="nil"/>
              <w:bottom w:val="single" w:sz="24" w:space="0" w:color="auto"/>
              <w:right w:val="nil"/>
            </w:tcBorders>
            <w:vAlign w:val="center"/>
            <w:hideMark/>
          </w:tcPr>
          <w:p w14:paraId="0483116A"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$319,000</w:t>
            </w:r>
          </w:p>
        </w:tc>
        <w:tc>
          <w:tcPr>
            <w:tcW w:w="0" w:type="auto"/>
            <w:tcBorders>
              <w:top w:val="nil"/>
              <w:left w:val="nil"/>
              <w:bottom w:val="single" w:sz="24" w:space="0" w:color="auto"/>
              <w:right w:val="nil"/>
            </w:tcBorders>
            <w:vAlign w:val="center"/>
            <w:hideMark/>
          </w:tcPr>
          <w:p w14:paraId="333FC93D"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w:t>
            </w:r>
          </w:p>
        </w:tc>
      </w:tr>
      <w:tr w:rsidR="008661EA" w:rsidRPr="008661EA" w14:paraId="6C1590BB" w14:textId="77777777" w:rsidTr="008661EA">
        <w:tc>
          <w:tcPr>
            <w:tcW w:w="0" w:type="auto"/>
            <w:tcBorders>
              <w:top w:val="nil"/>
              <w:left w:val="nil"/>
              <w:bottom w:val="single" w:sz="24" w:space="0" w:color="auto"/>
              <w:right w:val="nil"/>
            </w:tcBorders>
            <w:vAlign w:val="center"/>
            <w:hideMark/>
          </w:tcPr>
          <w:p w14:paraId="7CEFD3FD"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Total Liabilities</w:t>
            </w:r>
          </w:p>
        </w:tc>
        <w:tc>
          <w:tcPr>
            <w:tcW w:w="0" w:type="auto"/>
            <w:tcBorders>
              <w:top w:val="nil"/>
              <w:left w:val="nil"/>
              <w:bottom w:val="single" w:sz="24" w:space="0" w:color="auto"/>
              <w:right w:val="nil"/>
            </w:tcBorders>
            <w:vAlign w:val="center"/>
            <w:hideMark/>
          </w:tcPr>
          <w:p w14:paraId="17A47C6F"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$76,442,000</w:t>
            </w:r>
          </w:p>
        </w:tc>
        <w:tc>
          <w:tcPr>
            <w:tcW w:w="0" w:type="auto"/>
            <w:tcBorders>
              <w:top w:val="nil"/>
              <w:left w:val="nil"/>
              <w:bottom w:val="single" w:sz="24" w:space="0" w:color="auto"/>
              <w:right w:val="nil"/>
            </w:tcBorders>
            <w:vAlign w:val="center"/>
            <w:hideMark/>
          </w:tcPr>
          <w:p w14:paraId="1C467AFA"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$63,808,000</w:t>
            </w:r>
          </w:p>
        </w:tc>
        <w:tc>
          <w:tcPr>
            <w:tcW w:w="0" w:type="auto"/>
            <w:tcBorders>
              <w:top w:val="nil"/>
              <w:left w:val="nil"/>
              <w:bottom w:val="single" w:sz="24" w:space="0" w:color="auto"/>
              <w:right w:val="nil"/>
            </w:tcBorders>
            <w:vAlign w:val="center"/>
            <w:hideMark/>
          </w:tcPr>
          <w:p w14:paraId="56E89BB1"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$57,547,000</w:t>
            </w:r>
          </w:p>
        </w:tc>
        <w:tc>
          <w:tcPr>
            <w:tcW w:w="0" w:type="auto"/>
            <w:tcBorders>
              <w:top w:val="nil"/>
              <w:left w:val="nil"/>
              <w:bottom w:val="single" w:sz="24" w:space="0" w:color="auto"/>
              <w:right w:val="nil"/>
            </w:tcBorders>
            <w:vAlign w:val="center"/>
            <w:hideMark/>
          </w:tcPr>
          <w:p w14:paraId="34A9AB18"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$66,536,000</w:t>
            </w:r>
          </w:p>
        </w:tc>
      </w:tr>
      <w:tr w:rsidR="008661EA" w:rsidRPr="008661EA" w14:paraId="103A04E2" w14:textId="77777777" w:rsidTr="008661EA">
        <w:tc>
          <w:tcPr>
            <w:tcW w:w="0" w:type="auto"/>
            <w:tcBorders>
              <w:top w:val="nil"/>
              <w:left w:val="nil"/>
              <w:bottom w:val="single" w:sz="24" w:space="0" w:color="auto"/>
              <w:right w:val="nil"/>
            </w:tcBorders>
            <w:vAlign w:val="center"/>
            <w:hideMark/>
          </w:tcPr>
          <w:p w14:paraId="125E4E0C"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proofErr w:type="gramStart"/>
            <w:r w:rsidRPr="008661EA">
              <w:rPr>
                <w:rFonts w:ascii="inherit" w:eastAsia="Times New Roman" w:hAnsi="inherit" w:cs="Times New Roman"/>
                <w:color w:val="2B2B2B"/>
                <w:sz w:val="24"/>
                <w:szCs w:val="24"/>
                <w:bdr w:val="none" w:sz="0" w:space="0" w:color="auto" w:frame="1"/>
                <w:lang w:eastAsia="en-GB"/>
              </w:rPr>
              <w:t xml:space="preserve">Stock </w:t>
            </w:r>
            <w:proofErr w:type="spellStart"/>
            <w:r w:rsidRPr="008661EA">
              <w:rPr>
                <w:rFonts w:ascii="inherit" w:eastAsia="Times New Roman" w:hAnsi="inherit" w:cs="Times New Roman"/>
                <w:color w:val="2B2B2B"/>
                <w:sz w:val="24"/>
                <w:szCs w:val="24"/>
                <w:bdr w:val="none" w:sz="0" w:space="0" w:color="auto" w:frame="1"/>
                <w:lang w:eastAsia="en-GB"/>
              </w:rPr>
              <w:t>Holders</w:t>
            </w:r>
            <w:proofErr w:type="spellEnd"/>
            <w:proofErr w:type="gramEnd"/>
            <w:r w:rsidRPr="008661EA">
              <w:rPr>
                <w:rFonts w:ascii="inherit" w:eastAsia="Times New Roman" w:hAnsi="inherit" w:cs="Times New Roman"/>
                <w:color w:val="2B2B2B"/>
                <w:sz w:val="24"/>
                <w:szCs w:val="24"/>
                <w:bdr w:val="none" w:sz="0" w:space="0" w:color="auto" w:frame="1"/>
                <w:lang w:eastAsia="en-GB"/>
              </w:rPr>
              <w:t xml:space="preserve"> Equity</w:t>
            </w:r>
          </w:p>
        </w:tc>
        <w:tc>
          <w:tcPr>
            <w:tcW w:w="0" w:type="auto"/>
            <w:tcBorders>
              <w:top w:val="nil"/>
              <w:left w:val="nil"/>
              <w:bottom w:val="single" w:sz="24" w:space="0" w:color="auto"/>
              <w:right w:val="nil"/>
            </w:tcBorders>
            <w:vAlign w:val="center"/>
            <w:hideMark/>
          </w:tcPr>
          <w:p w14:paraId="46E4DC6E"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p>
        </w:tc>
        <w:tc>
          <w:tcPr>
            <w:tcW w:w="0" w:type="auto"/>
            <w:tcBorders>
              <w:top w:val="nil"/>
              <w:left w:val="nil"/>
              <w:bottom w:val="single" w:sz="24" w:space="0" w:color="auto"/>
              <w:right w:val="nil"/>
            </w:tcBorders>
            <w:vAlign w:val="center"/>
            <w:hideMark/>
          </w:tcPr>
          <w:p w14:paraId="54E93908"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123DD647"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69522A9F" w14:textId="77777777" w:rsidR="008661EA" w:rsidRPr="008661EA" w:rsidRDefault="008661EA" w:rsidP="008661EA">
            <w:pPr>
              <w:spacing w:after="0" w:line="240" w:lineRule="auto"/>
              <w:jc w:val="right"/>
              <w:rPr>
                <w:rFonts w:ascii="Times New Roman" w:eastAsia="Times New Roman" w:hAnsi="Times New Roman" w:cs="Times New Roman"/>
                <w:sz w:val="20"/>
                <w:szCs w:val="20"/>
                <w:lang w:eastAsia="en-GB"/>
              </w:rPr>
            </w:pPr>
          </w:p>
        </w:tc>
      </w:tr>
      <w:tr w:rsidR="008661EA" w:rsidRPr="008661EA" w14:paraId="122FBA27" w14:textId="77777777" w:rsidTr="008661EA">
        <w:tc>
          <w:tcPr>
            <w:tcW w:w="0" w:type="auto"/>
            <w:tcBorders>
              <w:top w:val="nil"/>
              <w:left w:val="nil"/>
              <w:bottom w:val="single" w:sz="24" w:space="0" w:color="auto"/>
              <w:right w:val="nil"/>
            </w:tcBorders>
            <w:vAlign w:val="center"/>
            <w:hideMark/>
          </w:tcPr>
          <w:p w14:paraId="1CDA13E4"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Common Stocks</w:t>
            </w:r>
          </w:p>
        </w:tc>
        <w:tc>
          <w:tcPr>
            <w:tcW w:w="0" w:type="auto"/>
            <w:tcBorders>
              <w:top w:val="nil"/>
              <w:left w:val="nil"/>
              <w:bottom w:val="single" w:sz="24" w:space="0" w:color="auto"/>
              <w:right w:val="nil"/>
            </w:tcBorders>
            <w:vAlign w:val="center"/>
            <w:hideMark/>
          </w:tcPr>
          <w:p w14:paraId="7539D7BC"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$12,000</w:t>
            </w:r>
          </w:p>
        </w:tc>
        <w:tc>
          <w:tcPr>
            <w:tcW w:w="0" w:type="auto"/>
            <w:tcBorders>
              <w:top w:val="nil"/>
              <w:left w:val="nil"/>
              <w:bottom w:val="single" w:sz="24" w:space="0" w:color="auto"/>
              <w:right w:val="nil"/>
            </w:tcBorders>
            <w:vAlign w:val="center"/>
            <w:hideMark/>
          </w:tcPr>
          <w:p w14:paraId="47163332"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$12,000</w:t>
            </w:r>
          </w:p>
        </w:tc>
        <w:tc>
          <w:tcPr>
            <w:tcW w:w="0" w:type="auto"/>
            <w:tcBorders>
              <w:top w:val="nil"/>
              <w:left w:val="nil"/>
              <w:bottom w:val="single" w:sz="24" w:space="0" w:color="auto"/>
              <w:right w:val="nil"/>
            </w:tcBorders>
            <w:vAlign w:val="center"/>
            <w:hideMark/>
          </w:tcPr>
          <w:p w14:paraId="39B6CE38"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$12,000</w:t>
            </w:r>
          </w:p>
        </w:tc>
        <w:tc>
          <w:tcPr>
            <w:tcW w:w="0" w:type="auto"/>
            <w:tcBorders>
              <w:top w:val="nil"/>
              <w:left w:val="nil"/>
              <w:bottom w:val="single" w:sz="24" w:space="0" w:color="auto"/>
              <w:right w:val="nil"/>
            </w:tcBorders>
            <w:vAlign w:val="center"/>
            <w:hideMark/>
          </w:tcPr>
          <w:p w14:paraId="35121801"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$12,000</w:t>
            </w:r>
          </w:p>
        </w:tc>
      </w:tr>
      <w:tr w:rsidR="008661EA" w:rsidRPr="008661EA" w14:paraId="37D29D1F" w14:textId="77777777" w:rsidTr="008661EA">
        <w:tc>
          <w:tcPr>
            <w:tcW w:w="0" w:type="auto"/>
            <w:tcBorders>
              <w:top w:val="nil"/>
              <w:left w:val="nil"/>
              <w:bottom w:val="single" w:sz="24" w:space="0" w:color="auto"/>
              <w:right w:val="nil"/>
            </w:tcBorders>
            <w:vAlign w:val="center"/>
            <w:hideMark/>
          </w:tcPr>
          <w:p w14:paraId="4C053133"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Capital Surplus</w:t>
            </w:r>
          </w:p>
        </w:tc>
        <w:tc>
          <w:tcPr>
            <w:tcW w:w="0" w:type="auto"/>
            <w:tcBorders>
              <w:top w:val="nil"/>
              <w:left w:val="nil"/>
              <w:bottom w:val="single" w:sz="24" w:space="0" w:color="auto"/>
              <w:right w:val="nil"/>
            </w:tcBorders>
            <w:vAlign w:val="center"/>
            <w:hideMark/>
          </w:tcPr>
          <w:p w14:paraId="7E3D52DB"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$33,058,000</w:t>
            </w:r>
          </w:p>
        </w:tc>
        <w:tc>
          <w:tcPr>
            <w:tcW w:w="0" w:type="auto"/>
            <w:tcBorders>
              <w:top w:val="nil"/>
              <w:left w:val="nil"/>
              <w:bottom w:val="single" w:sz="24" w:space="0" w:color="auto"/>
              <w:right w:val="nil"/>
            </w:tcBorders>
            <w:vAlign w:val="center"/>
            <w:hideMark/>
          </w:tcPr>
          <w:p w14:paraId="11A099E4"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$37,801,000</w:t>
            </w:r>
          </w:p>
        </w:tc>
        <w:tc>
          <w:tcPr>
            <w:tcW w:w="0" w:type="auto"/>
            <w:tcBorders>
              <w:top w:val="nil"/>
              <w:left w:val="nil"/>
              <w:bottom w:val="single" w:sz="24" w:space="0" w:color="auto"/>
              <w:right w:val="nil"/>
            </w:tcBorders>
            <w:vAlign w:val="center"/>
            <w:hideMark/>
          </w:tcPr>
          <w:p w14:paraId="593C7CE5"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$35,121,000</w:t>
            </w:r>
          </w:p>
        </w:tc>
        <w:tc>
          <w:tcPr>
            <w:tcW w:w="0" w:type="auto"/>
            <w:tcBorders>
              <w:top w:val="nil"/>
              <w:left w:val="nil"/>
              <w:bottom w:val="single" w:sz="24" w:space="0" w:color="auto"/>
              <w:right w:val="nil"/>
            </w:tcBorders>
            <w:vAlign w:val="center"/>
            <w:hideMark/>
          </w:tcPr>
          <w:p w14:paraId="00903875"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$34,210,000</w:t>
            </w:r>
          </w:p>
        </w:tc>
      </w:tr>
      <w:tr w:rsidR="008661EA" w:rsidRPr="008661EA" w14:paraId="29511FF4" w14:textId="77777777" w:rsidTr="008661EA">
        <w:tc>
          <w:tcPr>
            <w:tcW w:w="0" w:type="auto"/>
            <w:tcBorders>
              <w:top w:val="nil"/>
              <w:left w:val="nil"/>
              <w:bottom w:val="single" w:sz="24" w:space="0" w:color="auto"/>
              <w:right w:val="nil"/>
            </w:tcBorders>
            <w:vAlign w:val="center"/>
            <w:hideMark/>
          </w:tcPr>
          <w:p w14:paraId="25E28615"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Retained Earnings</w:t>
            </w:r>
          </w:p>
        </w:tc>
        <w:tc>
          <w:tcPr>
            <w:tcW w:w="0" w:type="auto"/>
            <w:tcBorders>
              <w:top w:val="nil"/>
              <w:left w:val="nil"/>
              <w:bottom w:val="single" w:sz="24" w:space="0" w:color="auto"/>
              <w:right w:val="nil"/>
            </w:tcBorders>
            <w:vAlign w:val="center"/>
            <w:hideMark/>
          </w:tcPr>
          <w:p w14:paraId="7E3E8E12"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-$20,717,000</w:t>
            </w:r>
          </w:p>
        </w:tc>
        <w:tc>
          <w:tcPr>
            <w:tcW w:w="0" w:type="auto"/>
            <w:tcBorders>
              <w:top w:val="nil"/>
              <w:left w:val="nil"/>
              <w:bottom w:val="single" w:sz="24" w:space="0" w:color="auto"/>
              <w:right w:val="nil"/>
            </w:tcBorders>
            <w:vAlign w:val="center"/>
            <w:hideMark/>
          </w:tcPr>
          <w:p w14:paraId="40DD3C74"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-$20,683,000</w:t>
            </w:r>
          </w:p>
        </w:tc>
        <w:tc>
          <w:tcPr>
            <w:tcW w:w="0" w:type="auto"/>
            <w:tcBorders>
              <w:top w:val="nil"/>
              <w:left w:val="nil"/>
              <w:bottom w:val="single" w:sz="24" w:space="0" w:color="auto"/>
              <w:right w:val="nil"/>
            </w:tcBorders>
            <w:vAlign w:val="center"/>
            <w:hideMark/>
          </w:tcPr>
          <w:p w14:paraId="026507FC"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-$20,593,000</w:t>
            </w:r>
          </w:p>
        </w:tc>
        <w:tc>
          <w:tcPr>
            <w:tcW w:w="0" w:type="auto"/>
            <w:tcBorders>
              <w:top w:val="nil"/>
              <w:left w:val="nil"/>
              <w:bottom w:val="single" w:sz="24" w:space="0" w:color="auto"/>
              <w:right w:val="nil"/>
            </w:tcBorders>
            <w:vAlign w:val="center"/>
            <w:hideMark/>
          </w:tcPr>
          <w:p w14:paraId="78EFF9DA"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-$20,575,000</w:t>
            </w:r>
          </w:p>
        </w:tc>
      </w:tr>
      <w:tr w:rsidR="008661EA" w:rsidRPr="008661EA" w14:paraId="2C35CD8F" w14:textId="77777777" w:rsidTr="008661EA">
        <w:tc>
          <w:tcPr>
            <w:tcW w:w="0" w:type="auto"/>
            <w:tcBorders>
              <w:top w:val="nil"/>
              <w:left w:val="nil"/>
              <w:bottom w:val="single" w:sz="24" w:space="0" w:color="auto"/>
              <w:right w:val="nil"/>
            </w:tcBorders>
            <w:vAlign w:val="center"/>
            <w:hideMark/>
          </w:tcPr>
          <w:p w14:paraId="28439282"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Treasury Stock</w:t>
            </w:r>
          </w:p>
        </w:tc>
        <w:tc>
          <w:tcPr>
            <w:tcW w:w="0" w:type="auto"/>
            <w:tcBorders>
              <w:top w:val="nil"/>
              <w:left w:val="nil"/>
              <w:bottom w:val="single" w:sz="24" w:space="0" w:color="auto"/>
              <w:right w:val="nil"/>
            </w:tcBorders>
            <w:vAlign w:val="center"/>
            <w:hideMark/>
          </w:tcPr>
          <w:p w14:paraId="435847EA"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$10,661,000</w:t>
            </w:r>
          </w:p>
        </w:tc>
        <w:tc>
          <w:tcPr>
            <w:tcW w:w="0" w:type="auto"/>
            <w:tcBorders>
              <w:top w:val="nil"/>
              <w:left w:val="nil"/>
              <w:bottom w:val="single" w:sz="24" w:space="0" w:color="auto"/>
              <w:right w:val="nil"/>
            </w:tcBorders>
            <w:vAlign w:val="center"/>
            <w:hideMark/>
          </w:tcPr>
          <w:p w14:paraId="2CCBA8D0"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$10,950,000</w:t>
            </w:r>
          </w:p>
        </w:tc>
        <w:tc>
          <w:tcPr>
            <w:tcW w:w="0" w:type="auto"/>
            <w:tcBorders>
              <w:top w:val="nil"/>
              <w:left w:val="nil"/>
              <w:bottom w:val="single" w:sz="24" w:space="0" w:color="auto"/>
              <w:right w:val="nil"/>
            </w:tcBorders>
            <w:vAlign w:val="center"/>
            <w:hideMark/>
          </w:tcPr>
          <w:p w14:paraId="1C17EE02"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$10,988,000</w:t>
            </w:r>
          </w:p>
        </w:tc>
        <w:tc>
          <w:tcPr>
            <w:tcW w:w="0" w:type="auto"/>
            <w:tcBorders>
              <w:top w:val="nil"/>
              <w:left w:val="nil"/>
              <w:bottom w:val="single" w:sz="24" w:space="0" w:color="auto"/>
              <w:right w:val="nil"/>
            </w:tcBorders>
            <w:vAlign w:val="center"/>
            <w:hideMark/>
          </w:tcPr>
          <w:p w14:paraId="5D129047"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$10,761,000</w:t>
            </w:r>
          </w:p>
        </w:tc>
      </w:tr>
      <w:tr w:rsidR="008661EA" w:rsidRPr="008661EA" w14:paraId="148366CE" w14:textId="77777777" w:rsidTr="008661EA">
        <w:tc>
          <w:tcPr>
            <w:tcW w:w="0" w:type="auto"/>
            <w:tcBorders>
              <w:top w:val="nil"/>
              <w:left w:val="nil"/>
              <w:bottom w:val="single" w:sz="24" w:space="0" w:color="auto"/>
              <w:right w:val="nil"/>
            </w:tcBorders>
            <w:vAlign w:val="center"/>
            <w:hideMark/>
          </w:tcPr>
          <w:p w14:paraId="271BB1A8"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Other Equity</w:t>
            </w:r>
          </w:p>
        </w:tc>
        <w:tc>
          <w:tcPr>
            <w:tcW w:w="0" w:type="auto"/>
            <w:tcBorders>
              <w:top w:val="nil"/>
              <w:left w:val="nil"/>
              <w:bottom w:val="single" w:sz="24" w:space="0" w:color="auto"/>
              <w:right w:val="nil"/>
            </w:tcBorders>
            <w:vAlign w:val="center"/>
            <w:hideMark/>
          </w:tcPr>
          <w:p w14:paraId="6C7B312D"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-$2,993,000</w:t>
            </w:r>
          </w:p>
        </w:tc>
        <w:tc>
          <w:tcPr>
            <w:tcW w:w="0" w:type="auto"/>
            <w:tcBorders>
              <w:top w:val="nil"/>
              <w:left w:val="nil"/>
              <w:bottom w:val="single" w:sz="24" w:space="0" w:color="auto"/>
              <w:right w:val="nil"/>
            </w:tcBorders>
            <w:vAlign w:val="center"/>
            <w:hideMark/>
          </w:tcPr>
          <w:p w14:paraId="4D1A7F90"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-$2,805,000</w:t>
            </w:r>
          </w:p>
        </w:tc>
        <w:tc>
          <w:tcPr>
            <w:tcW w:w="0" w:type="auto"/>
            <w:tcBorders>
              <w:top w:val="nil"/>
              <w:left w:val="nil"/>
              <w:bottom w:val="single" w:sz="24" w:space="0" w:color="auto"/>
              <w:right w:val="nil"/>
            </w:tcBorders>
            <w:vAlign w:val="center"/>
            <w:hideMark/>
          </w:tcPr>
          <w:p w14:paraId="0C9C86AA"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-$2,109,000</w:t>
            </w:r>
          </w:p>
        </w:tc>
        <w:tc>
          <w:tcPr>
            <w:tcW w:w="0" w:type="auto"/>
            <w:tcBorders>
              <w:top w:val="nil"/>
              <w:left w:val="nil"/>
              <w:bottom w:val="single" w:sz="24" w:space="0" w:color="auto"/>
              <w:right w:val="nil"/>
            </w:tcBorders>
            <w:vAlign w:val="center"/>
            <w:hideMark/>
          </w:tcPr>
          <w:p w14:paraId="6BE6E8F1"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-$3,771,000</w:t>
            </w:r>
          </w:p>
        </w:tc>
      </w:tr>
      <w:tr w:rsidR="008661EA" w:rsidRPr="008661EA" w14:paraId="1C228D2A" w14:textId="77777777" w:rsidTr="008661EA">
        <w:tc>
          <w:tcPr>
            <w:tcW w:w="0" w:type="auto"/>
            <w:tcBorders>
              <w:top w:val="nil"/>
              <w:left w:val="nil"/>
              <w:bottom w:val="single" w:sz="24" w:space="0" w:color="auto"/>
              <w:right w:val="nil"/>
            </w:tcBorders>
            <w:vAlign w:val="center"/>
            <w:hideMark/>
          </w:tcPr>
          <w:p w14:paraId="100BAD0E"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Total Equity</w:t>
            </w:r>
          </w:p>
        </w:tc>
        <w:tc>
          <w:tcPr>
            <w:tcW w:w="0" w:type="auto"/>
            <w:tcBorders>
              <w:top w:val="nil"/>
              <w:left w:val="nil"/>
              <w:bottom w:val="single" w:sz="24" w:space="0" w:color="auto"/>
              <w:right w:val="nil"/>
            </w:tcBorders>
            <w:vAlign w:val="center"/>
            <w:hideMark/>
          </w:tcPr>
          <w:p w14:paraId="2AFA98C0"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$20,020,000</w:t>
            </w:r>
          </w:p>
        </w:tc>
        <w:tc>
          <w:tcPr>
            <w:tcW w:w="0" w:type="auto"/>
            <w:tcBorders>
              <w:top w:val="nil"/>
              <w:left w:val="nil"/>
              <w:bottom w:val="single" w:sz="24" w:space="0" w:color="auto"/>
              <w:right w:val="nil"/>
            </w:tcBorders>
            <w:vAlign w:val="center"/>
            <w:hideMark/>
          </w:tcPr>
          <w:p w14:paraId="6AC2CD19"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$25,275,000</w:t>
            </w:r>
          </w:p>
        </w:tc>
        <w:tc>
          <w:tcPr>
            <w:tcW w:w="0" w:type="auto"/>
            <w:tcBorders>
              <w:top w:val="nil"/>
              <w:left w:val="nil"/>
              <w:bottom w:val="single" w:sz="24" w:space="0" w:color="auto"/>
              <w:right w:val="nil"/>
            </w:tcBorders>
            <w:vAlign w:val="center"/>
            <w:hideMark/>
          </w:tcPr>
          <w:p w14:paraId="4E431FA2"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$23,419,000</w:t>
            </w:r>
          </w:p>
        </w:tc>
        <w:tc>
          <w:tcPr>
            <w:tcW w:w="0" w:type="auto"/>
            <w:tcBorders>
              <w:top w:val="nil"/>
              <w:left w:val="nil"/>
              <w:bottom w:val="single" w:sz="24" w:space="0" w:color="auto"/>
              <w:right w:val="nil"/>
            </w:tcBorders>
            <w:vAlign w:val="center"/>
            <w:hideMark/>
          </w:tcPr>
          <w:p w14:paraId="002164BE"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$20,637,000</w:t>
            </w:r>
          </w:p>
        </w:tc>
      </w:tr>
      <w:tr w:rsidR="008661EA" w:rsidRPr="008661EA" w14:paraId="760C55D7" w14:textId="77777777" w:rsidTr="008661EA">
        <w:tc>
          <w:tcPr>
            <w:tcW w:w="0" w:type="auto"/>
            <w:tcBorders>
              <w:top w:val="nil"/>
              <w:left w:val="nil"/>
              <w:bottom w:val="single" w:sz="24" w:space="0" w:color="auto"/>
              <w:right w:val="nil"/>
            </w:tcBorders>
            <w:vAlign w:val="center"/>
            <w:hideMark/>
          </w:tcPr>
          <w:p w14:paraId="748E4A50" w14:textId="77777777" w:rsidR="008661EA" w:rsidRPr="008661EA" w:rsidRDefault="008661EA" w:rsidP="008661EA">
            <w:pPr>
              <w:spacing w:after="0" w:line="240" w:lineRule="auto"/>
              <w:rPr>
                <w:rFonts w:ascii="inherit" w:eastAsia="Times New Roman" w:hAnsi="inherit" w:cs="Times New Roman"/>
                <w:b/>
                <w:bCs/>
                <w:color w:val="2B2B2B"/>
                <w:sz w:val="24"/>
                <w:szCs w:val="24"/>
                <w:lang w:eastAsia="en-GB"/>
              </w:rPr>
            </w:pPr>
            <w:r w:rsidRPr="008661EA">
              <w:rPr>
                <w:rFonts w:ascii="inherit" w:eastAsia="Times New Roman" w:hAnsi="inherit" w:cs="Times New Roman"/>
                <w:b/>
                <w:bCs/>
                <w:color w:val="2B2B2B"/>
                <w:sz w:val="24"/>
                <w:szCs w:val="24"/>
                <w:lang w:eastAsia="en-GB"/>
              </w:rPr>
              <w:t>Total Liabilities &amp; Equity</w:t>
            </w:r>
          </w:p>
        </w:tc>
        <w:tc>
          <w:tcPr>
            <w:tcW w:w="0" w:type="auto"/>
            <w:tcBorders>
              <w:top w:val="nil"/>
              <w:left w:val="nil"/>
              <w:bottom w:val="single" w:sz="24" w:space="0" w:color="auto"/>
              <w:right w:val="nil"/>
            </w:tcBorders>
            <w:vAlign w:val="center"/>
            <w:hideMark/>
          </w:tcPr>
          <w:p w14:paraId="11C5E749"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$96,628,000</w:t>
            </w:r>
          </w:p>
        </w:tc>
        <w:tc>
          <w:tcPr>
            <w:tcW w:w="0" w:type="auto"/>
            <w:tcBorders>
              <w:top w:val="nil"/>
              <w:left w:val="nil"/>
              <w:bottom w:val="single" w:sz="24" w:space="0" w:color="auto"/>
              <w:right w:val="nil"/>
            </w:tcBorders>
            <w:vAlign w:val="center"/>
            <w:hideMark/>
          </w:tcPr>
          <w:p w14:paraId="704697AF"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$90,124,000</w:t>
            </w:r>
          </w:p>
        </w:tc>
        <w:tc>
          <w:tcPr>
            <w:tcW w:w="0" w:type="auto"/>
            <w:tcBorders>
              <w:top w:val="nil"/>
              <w:left w:val="nil"/>
              <w:bottom w:val="single" w:sz="24" w:space="0" w:color="auto"/>
              <w:right w:val="nil"/>
            </w:tcBorders>
            <w:vAlign w:val="center"/>
            <w:hideMark/>
          </w:tcPr>
          <w:p w14:paraId="5F360F4E"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$81,285,000</w:t>
            </w:r>
          </w:p>
        </w:tc>
        <w:tc>
          <w:tcPr>
            <w:tcW w:w="0" w:type="auto"/>
            <w:tcBorders>
              <w:top w:val="nil"/>
              <w:left w:val="nil"/>
              <w:bottom w:val="single" w:sz="24" w:space="0" w:color="auto"/>
              <w:right w:val="nil"/>
            </w:tcBorders>
            <w:vAlign w:val="center"/>
            <w:hideMark/>
          </w:tcPr>
          <w:p w14:paraId="37F6118E" w14:textId="77777777" w:rsidR="008661EA" w:rsidRPr="008661EA" w:rsidRDefault="008661EA" w:rsidP="008661EA">
            <w:pPr>
              <w:spacing w:after="0" w:line="240" w:lineRule="auto"/>
              <w:jc w:val="right"/>
              <w:rPr>
                <w:rFonts w:ascii="inherit" w:eastAsia="Times New Roman" w:hAnsi="inherit" w:cs="Times New Roman"/>
                <w:color w:val="2B2B2B"/>
                <w:sz w:val="24"/>
                <w:szCs w:val="24"/>
                <w:lang w:eastAsia="en-GB"/>
              </w:rPr>
            </w:pPr>
            <w:r w:rsidRPr="008661EA">
              <w:rPr>
                <w:rFonts w:ascii="inherit" w:eastAsia="Times New Roman" w:hAnsi="inherit" w:cs="Times New Roman"/>
                <w:color w:val="2B2B2B"/>
                <w:sz w:val="24"/>
                <w:szCs w:val="24"/>
                <w:lang w:eastAsia="en-GB"/>
              </w:rPr>
              <w:t>$87,174,000</w:t>
            </w:r>
          </w:p>
        </w:tc>
      </w:tr>
    </w:tbl>
    <w:p w14:paraId="52461077" w14:textId="77777777" w:rsidR="008661EA" w:rsidRPr="008661EA" w:rsidRDefault="008661EA" w:rsidP="008661EA">
      <w:pPr>
        <w:spacing w:after="0" w:line="240" w:lineRule="auto"/>
        <w:rPr>
          <w:rFonts w:ascii="Times New Roman" w:eastAsia="Times New Roman" w:hAnsi="Times New Roman" w:cs="Times New Roman"/>
          <w:sz w:val="24"/>
          <w:szCs w:val="24"/>
          <w:lang w:eastAsia="en-GB"/>
        </w:rPr>
      </w:pPr>
    </w:p>
    <w:p w14:paraId="39A5E625" w14:textId="77777777" w:rsidR="008661EA" w:rsidRDefault="008661EA" w:rsidP="00BD28C1">
      <w:pPr>
        <w:rPr>
          <w:b/>
          <w:bCs/>
        </w:rPr>
      </w:pPr>
    </w:p>
    <w:p w14:paraId="5AB1F9CF" w14:textId="77777777" w:rsidR="008661EA" w:rsidRDefault="008661EA" w:rsidP="00BD28C1">
      <w:pPr>
        <w:rPr>
          <w:b/>
          <w:bCs/>
        </w:rPr>
      </w:pPr>
    </w:p>
    <w:p w14:paraId="5F561F8A" w14:textId="77777777" w:rsidR="008661EA" w:rsidRDefault="008661EA" w:rsidP="00BD28C1">
      <w:pPr>
        <w:rPr>
          <w:b/>
          <w:bCs/>
        </w:rPr>
      </w:pPr>
    </w:p>
    <w:p w14:paraId="01028319" w14:textId="77777777" w:rsidR="008661EA" w:rsidRDefault="008661EA" w:rsidP="00BD28C1">
      <w:pPr>
        <w:rPr>
          <w:b/>
          <w:bCs/>
        </w:rPr>
      </w:pPr>
    </w:p>
    <w:p w14:paraId="68029CFD" w14:textId="549B127C" w:rsidR="008661EA" w:rsidRPr="00251EF0" w:rsidRDefault="008661EA" w:rsidP="00251EF0">
      <w:pPr>
        <w:pStyle w:val="ListParagraph"/>
        <w:numPr>
          <w:ilvl w:val="0"/>
          <w:numId w:val="9"/>
        </w:numPr>
        <w:rPr>
          <w:rFonts w:ascii="Arial" w:hAnsi="Arial" w:cs="Arial"/>
          <w:b/>
          <w:bCs/>
          <w:sz w:val="24"/>
          <w:szCs w:val="24"/>
        </w:rPr>
      </w:pPr>
      <w:r w:rsidRPr="00251EF0">
        <w:rPr>
          <w:rFonts w:ascii="Arial" w:hAnsi="Arial" w:cs="Arial"/>
          <w:b/>
          <w:bCs/>
          <w:sz w:val="24"/>
          <w:szCs w:val="24"/>
        </w:rPr>
        <w:lastRenderedPageBreak/>
        <w:t>CVS Income Statement:</w:t>
      </w:r>
    </w:p>
    <w:tbl>
      <w:tblPr>
        <w:tblW w:w="10354" w:type="dxa"/>
        <w:tblCellMar>
          <w:left w:w="0" w:type="dxa"/>
          <w:right w:w="0" w:type="dxa"/>
        </w:tblCellMar>
        <w:tblLook w:val="04A0" w:firstRow="1" w:lastRow="0" w:firstColumn="1" w:lastColumn="0" w:noHBand="0" w:noVBand="1"/>
      </w:tblPr>
      <w:tblGrid>
        <w:gridCol w:w="4930"/>
        <w:gridCol w:w="1356"/>
        <w:gridCol w:w="1356"/>
        <w:gridCol w:w="1356"/>
        <w:gridCol w:w="1356"/>
      </w:tblGrid>
      <w:tr w:rsidR="00F26715" w:rsidRPr="00F26715" w14:paraId="07D8CCBC" w14:textId="77777777" w:rsidTr="00F26715">
        <w:trPr>
          <w:tblHeader/>
        </w:trPr>
        <w:tc>
          <w:tcPr>
            <w:tcW w:w="0" w:type="auto"/>
            <w:tcBorders>
              <w:top w:val="single" w:sz="24" w:space="0" w:color="auto"/>
              <w:left w:val="nil"/>
              <w:bottom w:val="single" w:sz="24" w:space="0" w:color="auto"/>
              <w:right w:val="nil"/>
            </w:tcBorders>
            <w:vAlign w:val="center"/>
            <w:hideMark/>
          </w:tcPr>
          <w:p w14:paraId="6715F1E6"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Period Ending:</w:t>
            </w:r>
          </w:p>
        </w:tc>
        <w:tc>
          <w:tcPr>
            <w:tcW w:w="0" w:type="auto"/>
            <w:tcBorders>
              <w:top w:val="single" w:sz="24" w:space="0" w:color="auto"/>
              <w:left w:val="nil"/>
              <w:bottom w:val="single" w:sz="24" w:space="0" w:color="auto"/>
              <w:right w:val="nil"/>
            </w:tcBorders>
            <w:vAlign w:val="center"/>
            <w:hideMark/>
          </w:tcPr>
          <w:p w14:paraId="4FEDEB5B" w14:textId="77777777" w:rsidR="00F26715" w:rsidRPr="00F26715" w:rsidRDefault="00F26715" w:rsidP="00F26715">
            <w:pPr>
              <w:spacing w:after="0" w:line="240" w:lineRule="auto"/>
              <w:jc w:val="right"/>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12/31/2023</w:t>
            </w:r>
          </w:p>
        </w:tc>
        <w:tc>
          <w:tcPr>
            <w:tcW w:w="0" w:type="auto"/>
            <w:tcBorders>
              <w:top w:val="single" w:sz="24" w:space="0" w:color="auto"/>
              <w:left w:val="nil"/>
              <w:bottom w:val="single" w:sz="24" w:space="0" w:color="auto"/>
              <w:right w:val="nil"/>
            </w:tcBorders>
            <w:vAlign w:val="center"/>
            <w:hideMark/>
          </w:tcPr>
          <w:p w14:paraId="756AE3FD" w14:textId="77777777" w:rsidR="00F26715" w:rsidRPr="00F26715" w:rsidRDefault="00F26715" w:rsidP="00F26715">
            <w:pPr>
              <w:spacing w:after="0" w:line="240" w:lineRule="auto"/>
              <w:jc w:val="right"/>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12/31/2022</w:t>
            </w:r>
          </w:p>
        </w:tc>
        <w:tc>
          <w:tcPr>
            <w:tcW w:w="0" w:type="auto"/>
            <w:tcBorders>
              <w:top w:val="single" w:sz="24" w:space="0" w:color="auto"/>
              <w:left w:val="nil"/>
              <w:bottom w:val="single" w:sz="24" w:space="0" w:color="auto"/>
              <w:right w:val="nil"/>
            </w:tcBorders>
            <w:vAlign w:val="center"/>
            <w:hideMark/>
          </w:tcPr>
          <w:p w14:paraId="20B94A43" w14:textId="77777777" w:rsidR="00F26715" w:rsidRPr="00F26715" w:rsidRDefault="00F26715" w:rsidP="00F26715">
            <w:pPr>
              <w:spacing w:after="0" w:line="240" w:lineRule="auto"/>
              <w:jc w:val="right"/>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12/31/2021</w:t>
            </w:r>
          </w:p>
        </w:tc>
        <w:tc>
          <w:tcPr>
            <w:tcW w:w="0" w:type="auto"/>
            <w:tcBorders>
              <w:top w:val="single" w:sz="24" w:space="0" w:color="auto"/>
              <w:left w:val="nil"/>
              <w:bottom w:val="single" w:sz="24" w:space="0" w:color="auto"/>
              <w:right w:val="nil"/>
            </w:tcBorders>
            <w:vAlign w:val="center"/>
            <w:hideMark/>
          </w:tcPr>
          <w:p w14:paraId="7F62AECC" w14:textId="77777777" w:rsidR="00F26715" w:rsidRPr="00F26715" w:rsidRDefault="00F26715" w:rsidP="00F26715">
            <w:pPr>
              <w:spacing w:after="0" w:line="240" w:lineRule="auto"/>
              <w:jc w:val="right"/>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12/31/2020</w:t>
            </w:r>
          </w:p>
        </w:tc>
      </w:tr>
      <w:tr w:rsidR="00F26715" w:rsidRPr="00F26715" w14:paraId="412AD0E0" w14:textId="77777777" w:rsidTr="00F26715">
        <w:tc>
          <w:tcPr>
            <w:tcW w:w="0" w:type="auto"/>
            <w:tcBorders>
              <w:top w:val="nil"/>
              <w:left w:val="nil"/>
              <w:bottom w:val="single" w:sz="24" w:space="0" w:color="auto"/>
              <w:right w:val="nil"/>
            </w:tcBorders>
            <w:vAlign w:val="center"/>
            <w:hideMark/>
          </w:tcPr>
          <w:p w14:paraId="23330F42"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Total Revenue</w:t>
            </w:r>
          </w:p>
        </w:tc>
        <w:tc>
          <w:tcPr>
            <w:tcW w:w="0" w:type="auto"/>
            <w:tcBorders>
              <w:top w:val="nil"/>
              <w:left w:val="nil"/>
              <w:bottom w:val="single" w:sz="24" w:space="0" w:color="auto"/>
              <w:right w:val="nil"/>
            </w:tcBorders>
            <w:vAlign w:val="center"/>
            <w:hideMark/>
          </w:tcPr>
          <w:p w14:paraId="78DD0AF9"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$357,776,000</w:t>
            </w:r>
          </w:p>
        </w:tc>
        <w:tc>
          <w:tcPr>
            <w:tcW w:w="0" w:type="auto"/>
            <w:tcBorders>
              <w:top w:val="nil"/>
              <w:left w:val="nil"/>
              <w:bottom w:val="single" w:sz="24" w:space="0" w:color="auto"/>
              <w:right w:val="nil"/>
            </w:tcBorders>
            <w:vAlign w:val="center"/>
            <w:hideMark/>
          </w:tcPr>
          <w:p w14:paraId="52FAF4E8"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$322,467,000</w:t>
            </w:r>
          </w:p>
        </w:tc>
        <w:tc>
          <w:tcPr>
            <w:tcW w:w="0" w:type="auto"/>
            <w:tcBorders>
              <w:top w:val="nil"/>
              <w:left w:val="nil"/>
              <w:bottom w:val="single" w:sz="24" w:space="0" w:color="auto"/>
              <w:right w:val="nil"/>
            </w:tcBorders>
            <w:vAlign w:val="center"/>
            <w:hideMark/>
          </w:tcPr>
          <w:p w14:paraId="00924B44"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$292,111,000</w:t>
            </w:r>
          </w:p>
        </w:tc>
        <w:tc>
          <w:tcPr>
            <w:tcW w:w="0" w:type="auto"/>
            <w:tcBorders>
              <w:top w:val="nil"/>
              <w:left w:val="nil"/>
              <w:bottom w:val="single" w:sz="24" w:space="0" w:color="auto"/>
              <w:right w:val="nil"/>
            </w:tcBorders>
            <w:vAlign w:val="center"/>
            <w:hideMark/>
          </w:tcPr>
          <w:p w14:paraId="075E2129"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$268,706,000</w:t>
            </w:r>
          </w:p>
        </w:tc>
      </w:tr>
      <w:tr w:rsidR="00F26715" w:rsidRPr="00F26715" w14:paraId="71DDB7B5" w14:textId="77777777" w:rsidTr="00F26715">
        <w:tc>
          <w:tcPr>
            <w:tcW w:w="0" w:type="auto"/>
            <w:tcBorders>
              <w:top w:val="nil"/>
              <w:left w:val="nil"/>
              <w:bottom w:val="single" w:sz="24" w:space="0" w:color="auto"/>
              <w:right w:val="nil"/>
            </w:tcBorders>
            <w:vAlign w:val="center"/>
            <w:hideMark/>
          </w:tcPr>
          <w:p w14:paraId="229C0272"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Cost of Revenue</w:t>
            </w:r>
          </w:p>
        </w:tc>
        <w:tc>
          <w:tcPr>
            <w:tcW w:w="0" w:type="auto"/>
            <w:tcBorders>
              <w:top w:val="nil"/>
              <w:left w:val="nil"/>
              <w:bottom w:val="single" w:sz="24" w:space="0" w:color="auto"/>
              <w:right w:val="nil"/>
            </w:tcBorders>
            <w:vAlign w:val="center"/>
            <w:hideMark/>
          </w:tcPr>
          <w:p w14:paraId="5616A222"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$217,098,000</w:t>
            </w:r>
          </w:p>
        </w:tc>
        <w:tc>
          <w:tcPr>
            <w:tcW w:w="0" w:type="auto"/>
            <w:tcBorders>
              <w:top w:val="nil"/>
              <w:left w:val="nil"/>
              <w:bottom w:val="single" w:sz="24" w:space="0" w:color="auto"/>
              <w:right w:val="nil"/>
            </w:tcBorders>
            <w:vAlign w:val="center"/>
            <w:hideMark/>
          </w:tcPr>
          <w:p w14:paraId="3D56E092"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$196,892,000</w:t>
            </w:r>
          </w:p>
        </w:tc>
        <w:tc>
          <w:tcPr>
            <w:tcW w:w="0" w:type="auto"/>
            <w:tcBorders>
              <w:top w:val="nil"/>
              <w:left w:val="nil"/>
              <w:bottom w:val="single" w:sz="24" w:space="0" w:color="auto"/>
              <w:right w:val="nil"/>
            </w:tcBorders>
            <w:vAlign w:val="center"/>
            <w:hideMark/>
          </w:tcPr>
          <w:p w14:paraId="48F2224C"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$175,803,000</w:t>
            </w:r>
          </w:p>
        </w:tc>
        <w:tc>
          <w:tcPr>
            <w:tcW w:w="0" w:type="auto"/>
            <w:tcBorders>
              <w:top w:val="nil"/>
              <w:left w:val="nil"/>
              <w:bottom w:val="single" w:sz="24" w:space="0" w:color="auto"/>
              <w:right w:val="nil"/>
            </w:tcBorders>
            <w:vAlign w:val="center"/>
            <w:hideMark/>
          </w:tcPr>
          <w:p w14:paraId="0C1A8E9C"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$219,660,000</w:t>
            </w:r>
          </w:p>
        </w:tc>
      </w:tr>
      <w:tr w:rsidR="00F26715" w:rsidRPr="00F26715" w14:paraId="1EC23949" w14:textId="77777777" w:rsidTr="00F26715">
        <w:tc>
          <w:tcPr>
            <w:tcW w:w="0" w:type="auto"/>
            <w:tcBorders>
              <w:top w:val="nil"/>
              <w:left w:val="nil"/>
              <w:bottom w:val="single" w:sz="24" w:space="0" w:color="auto"/>
              <w:right w:val="nil"/>
            </w:tcBorders>
            <w:vAlign w:val="center"/>
            <w:hideMark/>
          </w:tcPr>
          <w:p w14:paraId="61DD8E11" w14:textId="77777777" w:rsidR="00F26715" w:rsidRPr="00F26715" w:rsidRDefault="00F26715" w:rsidP="00F26715">
            <w:pPr>
              <w:spacing w:after="0" w:line="240" w:lineRule="auto"/>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Gross Profit</w:t>
            </w:r>
          </w:p>
        </w:tc>
        <w:tc>
          <w:tcPr>
            <w:tcW w:w="0" w:type="auto"/>
            <w:tcBorders>
              <w:top w:val="nil"/>
              <w:left w:val="nil"/>
              <w:bottom w:val="single" w:sz="24" w:space="0" w:color="auto"/>
              <w:right w:val="nil"/>
            </w:tcBorders>
            <w:vAlign w:val="center"/>
            <w:hideMark/>
          </w:tcPr>
          <w:p w14:paraId="0BA01100"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$140,678,000</w:t>
            </w:r>
          </w:p>
        </w:tc>
        <w:tc>
          <w:tcPr>
            <w:tcW w:w="0" w:type="auto"/>
            <w:tcBorders>
              <w:top w:val="nil"/>
              <w:left w:val="nil"/>
              <w:bottom w:val="single" w:sz="24" w:space="0" w:color="auto"/>
              <w:right w:val="nil"/>
            </w:tcBorders>
            <w:vAlign w:val="center"/>
            <w:hideMark/>
          </w:tcPr>
          <w:p w14:paraId="16B8D2EB"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$125,575,000</w:t>
            </w:r>
          </w:p>
        </w:tc>
        <w:tc>
          <w:tcPr>
            <w:tcW w:w="0" w:type="auto"/>
            <w:tcBorders>
              <w:top w:val="nil"/>
              <w:left w:val="nil"/>
              <w:bottom w:val="single" w:sz="24" w:space="0" w:color="auto"/>
              <w:right w:val="nil"/>
            </w:tcBorders>
            <w:vAlign w:val="center"/>
            <w:hideMark/>
          </w:tcPr>
          <w:p w14:paraId="4B803166"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$116,308,000</w:t>
            </w:r>
          </w:p>
        </w:tc>
        <w:tc>
          <w:tcPr>
            <w:tcW w:w="0" w:type="auto"/>
            <w:tcBorders>
              <w:top w:val="nil"/>
              <w:left w:val="nil"/>
              <w:bottom w:val="single" w:sz="24" w:space="0" w:color="auto"/>
              <w:right w:val="nil"/>
            </w:tcBorders>
            <w:vAlign w:val="center"/>
            <w:hideMark/>
          </w:tcPr>
          <w:p w14:paraId="0FF40075"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$49,046,000</w:t>
            </w:r>
          </w:p>
        </w:tc>
      </w:tr>
      <w:tr w:rsidR="00F26715" w:rsidRPr="00F26715" w14:paraId="5C05AE24" w14:textId="77777777" w:rsidTr="00F26715">
        <w:tc>
          <w:tcPr>
            <w:tcW w:w="0" w:type="auto"/>
            <w:tcBorders>
              <w:top w:val="nil"/>
              <w:left w:val="nil"/>
              <w:bottom w:val="single" w:sz="24" w:space="0" w:color="auto"/>
              <w:right w:val="nil"/>
            </w:tcBorders>
            <w:vAlign w:val="center"/>
            <w:hideMark/>
          </w:tcPr>
          <w:p w14:paraId="1C1C6284"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color w:val="2B2B2B"/>
                <w:spacing w:val="-5"/>
                <w:sz w:val="24"/>
                <w:szCs w:val="24"/>
                <w:bdr w:val="none" w:sz="0" w:space="0" w:color="auto" w:frame="1"/>
                <w:lang w:eastAsia="en-GB"/>
              </w:rPr>
              <w:t>Operating Expenses</w:t>
            </w:r>
          </w:p>
        </w:tc>
        <w:tc>
          <w:tcPr>
            <w:tcW w:w="0" w:type="auto"/>
            <w:tcBorders>
              <w:top w:val="nil"/>
              <w:left w:val="nil"/>
              <w:bottom w:val="single" w:sz="24" w:space="0" w:color="auto"/>
              <w:right w:val="nil"/>
            </w:tcBorders>
            <w:vAlign w:val="center"/>
            <w:hideMark/>
          </w:tcPr>
          <w:p w14:paraId="07FC0FE3"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p>
        </w:tc>
        <w:tc>
          <w:tcPr>
            <w:tcW w:w="0" w:type="auto"/>
            <w:tcBorders>
              <w:top w:val="nil"/>
              <w:left w:val="nil"/>
              <w:bottom w:val="single" w:sz="24" w:space="0" w:color="auto"/>
              <w:right w:val="nil"/>
            </w:tcBorders>
            <w:vAlign w:val="center"/>
            <w:hideMark/>
          </w:tcPr>
          <w:p w14:paraId="6BFA3833" w14:textId="77777777" w:rsidR="00F26715" w:rsidRPr="00F26715" w:rsidRDefault="00F26715" w:rsidP="00F26715">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794AFA54" w14:textId="77777777" w:rsidR="00F26715" w:rsidRPr="00F26715" w:rsidRDefault="00F26715" w:rsidP="00F26715">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4C7267D2" w14:textId="77777777" w:rsidR="00F26715" w:rsidRPr="00F26715" w:rsidRDefault="00F26715" w:rsidP="00F26715">
            <w:pPr>
              <w:spacing w:after="0" w:line="240" w:lineRule="auto"/>
              <w:jc w:val="right"/>
              <w:rPr>
                <w:rFonts w:ascii="Times New Roman" w:eastAsia="Times New Roman" w:hAnsi="Times New Roman" w:cs="Times New Roman"/>
                <w:sz w:val="20"/>
                <w:szCs w:val="20"/>
                <w:lang w:eastAsia="en-GB"/>
              </w:rPr>
            </w:pPr>
          </w:p>
        </w:tc>
      </w:tr>
      <w:tr w:rsidR="00F26715" w:rsidRPr="00F26715" w14:paraId="37FF1173" w14:textId="77777777" w:rsidTr="00F26715">
        <w:tc>
          <w:tcPr>
            <w:tcW w:w="0" w:type="auto"/>
            <w:tcBorders>
              <w:top w:val="nil"/>
              <w:left w:val="nil"/>
              <w:bottom w:val="single" w:sz="24" w:space="0" w:color="auto"/>
              <w:right w:val="nil"/>
            </w:tcBorders>
            <w:vAlign w:val="center"/>
            <w:hideMark/>
          </w:tcPr>
          <w:p w14:paraId="60F68686"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Research and Development</w:t>
            </w:r>
          </w:p>
        </w:tc>
        <w:tc>
          <w:tcPr>
            <w:tcW w:w="0" w:type="auto"/>
            <w:tcBorders>
              <w:top w:val="nil"/>
              <w:left w:val="nil"/>
              <w:bottom w:val="single" w:sz="24" w:space="0" w:color="auto"/>
              <w:right w:val="nil"/>
            </w:tcBorders>
            <w:vAlign w:val="center"/>
            <w:hideMark/>
          </w:tcPr>
          <w:p w14:paraId="6C93AEA6"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78A00CB0"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2F13BBD7"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231A0358"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r>
      <w:tr w:rsidR="00F26715" w:rsidRPr="00F26715" w14:paraId="5E528CCC" w14:textId="77777777" w:rsidTr="00F26715">
        <w:tc>
          <w:tcPr>
            <w:tcW w:w="0" w:type="auto"/>
            <w:tcBorders>
              <w:top w:val="nil"/>
              <w:left w:val="nil"/>
              <w:bottom w:val="single" w:sz="24" w:space="0" w:color="auto"/>
              <w:right w:val="nil"/>
            </w:tcBorders>
            <w:vAlign w:val="center"/>
            <w:hideMark/>
          </w:tcPr>
          <w:p w14:paraId="4F4D3162"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Sales, General and Admin.</w:t>
            </w:r>
          </w:p>
        </w:tc>
        <w:tc>
          <w:tcPr>
            <w:tcW w:w="0" w:type="auto"/>
            <w:tcBorders>
              <w:top w:val="nil"/>
              <w:left w:val="nil"/>
              <w:bottom w:val="single" w:sz="24" w:space="0" w:color="auto"/>
              <w:right w:val="nil"/>
            </w:tcBorders>
            <w:vAlign w:val="center"/>
            <w:hideMark/>
          </w:tcPr>
          <w:p w14:paraId="5F6C56D0"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$126,079,000</w:t>
            </w:r>
          </w:p>
        </w:tc>
        <w:tc>
          <w:tcPr>
            <w:tcW w:w="0" w:type="auto"/>
            <w:tcBorders>
              <w:top w:val="nil"/>
              <w:left w:val="nil"/>
              <w:bottom w:val="single" w:sz="24" w:space="0" w:color="auto"/>
              <w:right w:val="nil"/>
            </w:tcBorders>
            <w:vAlign w:val="center"/>
            <w:hideMark/>
          </w:tcPr>
          <w:p w14:paraId="5A4B5E13"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$109,285,000</w:t>
            </w:r>
          </w:p>
        </w:tc>
        <w:tc>
          <w:tcPr>
            <w:tcW w:w="0" w:type="auto"/>
            <w:tcBorders>
              <w:top w:val="nil"/>
              <w:left w:val="nil"/>
              <w:bottom w:val="single" w:sz="24" w:space="0" w:color="auto"/>
              <w:right w:val="nil"/>
            </w:tcBorders>
            <w:vAlign w:val="center"/>
            <w:hideMark/>
          </w:tcPr>
          <w:p w14:paraId="1864EA0D"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$101,209,000</w:t>
            </w:r>
          </w:p>
        </w:tc>
        <w:tc>
          <w:tcPr>
            <w:tcW w:w="0" w:type="auto"/>
            <w:tcBorders>
              <w:top w:val="nil"/>
              <w:left w:val="nil"/>
              <w:bottom w:val="single" w:sz="24" w:space="0" w:color="auto"/>
              <w:right w:val="nil"/>
            </w:tcBorders>
            <w:vAlign w:val="center"/>
            <w:hideMark/>
          </w:tcPr>
          <w:p w14:paraId="7273C4D1"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$35,135,000</w:t>
            </w:r>
          </w:p>
        </w:tc>
      </w:tr>
      <w:tr w:rsidR="00F26715" w:rsidRPr="00F26715" w14:paraId="3438BF37" w14:textId="77777777" w:rsidTr="00F26715">
        <w:tc>
          <w:tcPr>
            <w:tcW w:w="0" w:type="auto"/>
            <w:tcBorders>
              <w:top w:val="nil"/>
              <w:left w:val="nil"/>
              <w:bottom w:val="single" w:sz="24" w:space="0" w:color="auto"/>
              <w:right w:val="nil"/>
            </w:tcBorders>
            <w:vAlign w:val="center"/>
            <w:hideMark/>
          </w:tcPr>
          <w:p w14:paraId="1FF04627"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Non-Recurring Items</w:t>
            </w:r>
          </w:p>
        </w:tc>
        <w:tc>
          <w:tcPr>
            <w:tcW w:w="0" w:type="auto"/>
            <w:tcBorders>
              <w:top w:val="nil"/>
              <w:left w:val="nil"/>
              <w:bottom w:val="single" w:sz="24" w:space="0" w:color="auto"/>
              <w:right w:val="nil"/>
            </w:tcBorders>
            <w:vAlign w:val="center"/>
            <w:hideMark/>
          </w:tcPr>
          <w:p w14:paraId="5FC00A0D"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$507,000</w:t>
            </w:r>
          </w:p>
        </w:tc>
        <w:tc>
          <w:tcPr>
            <w:tcW w:w="0" w:type="auto"/>
            <w:tcBorders>
              <w:top w:val="nil"/>
              <w:left w:val="nil"/>
              <w:bottom w:val="single" w:sz="24" w:space="0" w:color="auto"/>
              <w:right w:val="nil"/>
            </w:tcBorders>
            <w:vAlign w:val="center"/>
            <w:hideMark/>
          </w:tcPr>
          <w:p w14:paraId="654E844A"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$5,803,000</w:t>
            </w:r>
          </w:p>
        </w:tc>
        <w:tc>
          <w:tcPr>
            <w:tcW w:w="0" w:type="auto"/>
            <w:tcBorders>
              <w:top w:val="nil"/>
              <w:left w:val="nil"/>
              <w:bottom w:val="single" w:sz="24" w:space="0" w:color="auto"/>
              <w:right w:val="nil"/>
            </w:tcBorders>
            <w:vAlign w:val="center"/>
            <w:hideMark/>
          </w:tcPr>
          <w:p w14:paraId="1035F67C"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$1,789,000</w:t>
            </w:r>
          </w:p>
        </w:tc>
        <w:tc>
          <w:tcPr>
            <w:tcW w:w="0" w:type="auto"/>
            <w:tcBorders>
              <w:top w:val="nil"/>
              <w:left w:val="nil"/>
              <w:bottom w:val="single" w:sz="24" w:space="0" w:color="auto"/>
              <w:right w:val="nil"/>
            </w:tcBorders>
            <w:vAlign w:val="center"/>
            <w:hideMark/>
          </w:tcPr>
          <w:p w14:paraId="013DA03C"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r>
      <w:tr w:rsidR="00F26715" w:rsidRPr="00F26715" w14:paraId="17277CF0" w14:textId="77777777" w:rsidTr="00F26715">
        <w:tc>
          <w:tcPr>
            <w:tcW w:w="0" w:type="auto"/>
            <w:tcBorders>
              <w:top w:val="nil"/>
              <w:left w:val="nil"/>
              <w:bottom w:val="single" w:sz="24" w:space="0" w:color="auto"/>
              <w:right w:val="nil"/>
            </w:tcBorders>
            <w:vAlign w:val="center"/>
            <w:hideMark/>
          </w:tcPr>
          <w:p w14:paraId="000C7B46"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Other Operating Items</w:t>
            </w:r>
          </w:p>
        </w:tc>
        <w:tc>
          <w:tcPr>
            <w:tcW w:w="0" w:type="auto"/>
            <w:tcBorders>
              <w:top w:val="nil"/>
              <w:left w:val="nil"/>
              <w:bottom w:val="single" w:sz="24" w:space="0" w:color="auto"/>
              <w:right w:val="nil"/>
            </w:tcBorders>
            <w:vAlign w:val="center"/>
            <w:hideMark/>
          </w:tcPr>
          <w:p w14:paraId="79E1E6AF"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6A5BBD40"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5C781EE2"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0745ADC1"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r>
      <w:tr w:rsidR="00F26715" w:rsidRPr="00F26715" w14:paraId="5DCF07F3" w14:textId="77777777" w:rsidTr="00F26715">
        <w:tc>
          <w:tcPr>
            <w:tcW w:w="0" w:type="auto"/>
            <w:tcBorders>
              <w:top w:val="nil"/>
              <w:left w:val="nil"/>
              <w:bottom w:val="single" w:sz="24" w:space="0" w:color="auto"/>
              <w:right w:val="nil"/>
            </w:tcBorders>
            <w:vAlign w:val="center"/>
            <w:hideMark/>
          </w:tcPr>
          <w:p w14:paraId="60F0C306" w14:textId="77777777" w:rsidR="00F26715" w:rsidRPr="00F26715" w:rsidRDefault="00F26715" w:rsidP="00F26715">
            <w:pPr>
              <w:spacing w:after="0" w:line="240" w:lineRule="auto"/>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Operating Income</w:t>
            </w:r>
          </w:p>
        </w:tc>
        <w:tc>
          <w:tcPr>
            <w:tcW w:w="0" w:type="auto"/>
            <w:tcBorders>
              <w:top w:val="nil"/>
              <w:left w:val="nil"/>
              <w:bottom w:val="single" w:sz="24" w:space="0" w:color="auto"/>
              <w:right w:val="nil"/>
            </w:tcBorders>
            <w:vAlign w:val="center"/>
            <w:hideMark/>
          </w:tcPr>
          <w:p w14:paraId="0F76B418"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$13,743,000</w:t>
            </w:r>
          </w:p>
        </w:tc>
        <w:tc>
          <w:tcPr>
            <w:tcW w:w="0" w:type="auto"/>
            <w:tcBorders>
              <w:top w:val="nil"/>
              <w:left w:val="nil"/>
              <w:bottom w:val="single" w:sz="24" w:space="0" w:color="auto"/>
              <w:right w:val="nil"/>
            </w:tcBorders>
            <w:vAlign w:val="center"/>
            <w:hideMark/>
          </w:tcPr>
          <w:p w14:paraId="57E7BA4F"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$7,954,000</w:t>
            </w:r>
          </w:p>
        </w:tc>
        <w:tc>
          <w:tcPr>
            <w:tcW w:w="0" w:type="auto"/>
            <w:tcBorders>
              <w:top w:val="nil"/>
              <w:left w:val="nil"/>
              <w:bottom w:val="single" w:sz="24" w:space="0" w:color="auto"/>
              <w:right w:val="nil"/>
            </w:tcBorders>
            <w:vAlign w:val="center"/>
            <w:hideMark/>
          </w:tcPr>
          <w:p w14:paraId="6FE34E60"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$13,310,000</w:t>
            </w:r>
          </w:p>
        </w:tc>
        <w:tc>
          <w:tcPr>
            <w:tcW w:w="0" w:type="auto"/>
            <w:tcBorders>
              <w:top w:val="nil"/>
              <w:left w:val="nil"/>
              <w:bottom w:val="single" w:sz="24" w:space="0" w:color="auto"/>
              <w:right w:val="nil"/>
            </w:tcBorders>
            <w:vAlign w:val="center"/>
            <w:hideMark/>
          </w:tcPr>
          <w:p w14:paraId="7E42A55E"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$13,911,000</w:t>
            </w:r>
          </w:p>
        </w:tc>
      </w:tr>
      <w:tr w:rsidR="00F26715" w:rsidRPr="00F26715" w14:paraId="35D2242D" w14:textId="77777777" w:rsidTr="00F26715">
        <w:tc>
          <w:tcPr>
            <w:tcW w:w="0" w:type="auto"/>
            <w:tcBorders>
              <w:top w:val="nil"/>
              <w:left w:val="nil"/>
              <w:bottom w:val="single" w:sz="24" w:space="0" w:color="auto"/>
              <w:right w:val="nil"/>
            </w:tcBorders>
            <w:vAlign w:val="center"/>
            <w:hideMark/>
          </w:tcPr>
          <w:p w14:paraId="6A70D868"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proofErr w:type="spellStart"/>
            <w:r w:rsidRPr="00F26715">
              <w:rPr>
                <w:rFonts w:ascii="inherit" w:eastAsia="Times New Roman" w:hAnsi="inherit" w:cs="Times New Roman"/>
                <w:b/>
                <w:bCs/>
                <w:color w:val="2B2B2B"/>
                <w:spacing w:val="-5"/>
                <w:sz w:val="24"/>
                <w:szCs w:val="24"/>
                <w:lang w:eastAsia="en-GB"/>
              </w:rPr>
              <w:t>Add'l</w:t>
            </w:r>
            <w:proofErr w:type="spellEnd"/>
            <w:r w:rsidRPr="00F26715">
              <w:rPr>
                <w:rFonts w:ascii="inherit" w:eastAsia="Times New Roman" w:hAnsi="inherit" w:cs="Times New Roman"/>
                <w:b/>
                <w:bCs/>
                <w:color w:val="2B2B2B"/>
                <w:spacing w:val="-5"/>
                <w:sz w:val="24"/>
                <w:szCs w:val="24"/>
                <w:lang w:eastAsia="en-GB"/>
              </w:rPr>
              <w:t xml:space="preserve"> income/expense items</w:t>
            </w:r>
          </w:p>
        </w:tc>
        <w:tc>
          <w:tcPr>
            <w:tcW w:w="0" w:type="auto"/>
            <w:tcBorders>
              <w:top w:val="nil"/>
              <w:left w:val="nil"/>
              <w:bottom w:val="single" w:sz="24" w:space="0" w:color="auto"/>
              <w:right w:val="nil"/>
            </w:tcBorders>
            <w:vAlign w:val="center"/>
            <w:hideMark/>
          </w:tcPr>
          <w:p w14:paraId="062AF38A"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-$261,000</w:t>
            </w:r>
          </w:p>
        </w:tc>
        <w:tc>
          <w:tcPr>
            <w:tcW w:w="0" w:type="auto"/>
            <w:tcBorders>
              <w:top w:val="nil"/>
              <w:left w:val="nil"/>
              <w:bottom w:val="single" w:sz="24" w:space="0" w:color="auto"/>
              <w:right w:val="nil"/>
            </w:tcBorders>
            <w:vAlign w:val="center"/>
            <w:hideMark/>
          </w:tcPr>
          <w:p w14:paraId="38CD9BDF"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-$2,364,000</w:t>
            </w:r>
          </w:p>
        </w:tc>
        <w:tc>
          <w:tcPr>
            <w:tcW w:w="0" w:type="auto"/>
            <w:tcBorders>
              <w:top w:val="nil"/>
              <w:left w:val="nil"/>
              <w:bottom w:val="single" w:sz="24" w:space="0" w:color="auto"/>
              <w:right w:val="nil"/>
            </w:tcBorders>
            <w:vAlign w:val="center"/>
            <w:hideMark/>
          </w:tcPr>
          <w:p w14:paraId="42E19054"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-$270,000</w:t>
            </w:r>
          </w:p>
        </w:tc>
        <w:tc>
          <w:tcPr>
            <w:tcW w:w="0" w:type="auto"/>
            <w:tcBorders>
              <w:top w:val="nil"/>
              <w:left w:val="nil"/>
              <w:bottom w:val="single" w:sz="24" w:space="0" w:color="auto"/>
              <w:right w:val="nil"/>
            </w:tcBorders>
            <w:vAlign w:val="center"/>
            <w:hideMark/>
          </w:tcPr>
          <w:p w14:paraId="626AC9F2"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-$1,234,000</w:t>
            </w:r>
          </w:p>
        </w:tc>
      </w:tr>
      <w:tr w:rsidR="00F26715" w:rsidRPr="00F26715" w14:paraId="266A3FD9" w14:textId="77777777" w:rsidTr="00F26715">
        <w:tc>
          <w:tcPr>
            <w:tcW w:w="0" w:type="auto"/>
            <w:tcBorders>
              <w:top w:val="nil"/>
              <w:left w:val="nil"/>
              <w:bottom w:val="single" w:sz="24" w:space="0" w:color="auto"/>
              <w:right w:val="nil"/>
            </w:tcBorders>
            <w:vAlign w:val="center"/>
            <w:hideMark/>
          </w:tcPr>
          <w:p w14:paraId="59C2B554"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Earnings Before Interest and Tax</w:t>
            </w:r>
          </w:p>
        </w:tc>
        <w:tc>
          <w:tcPr>
            <w:tcW w:w="0" w:type="auto"/>
            <w:tcBorders>
              <w:top w:val="nil"/>
              <w:left w:val="nil"/>
              <w:bottom w:val="single" w:sz="24" w:space="0" w:color="auto"/>
              <w:right w:val="nil"/>
            </w:tcBorders>
            <w:vAlign w:val="center"/>
            <w:hideMark/>
          </w:tcPr>
          <w:p w14:paraId="1DB32F56"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$13,831,000</w:t>
            </w:r>
          </w:p>
        </w:tc>
        <w:tc>
          <w:tcPr>
            <w:tcW w:w="0" w:type="auto"/>
            <w:tcBorders>
              <w:top w:val="nil"/>
              <w:left w:val="nil"/>
              <w:bottom w:val="single" w:sz="24" w:space="0" w:color="auto"/>
              <w:right w:val="nil"/>
            </w:tcBorders>
            <w:vAlign w:val="center"/>
            <w:hideMark/>
          </w:tcPr>
          <w:p w14:paraId="7E2BA538"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$8,123,000</w:t>
            </w:r>
          </w:p>
        </w:tc>
        <w:tc>
          <w:tcPr>
            <w:tcW w:w="0" w:type="auto"/>
            <w:tcBorders>
              <w:top w:val="nil"/>
              <w:left w:val="nil"/>
              <w:bottom w:val="single" w:sz="24" w:space="0" w:color="auto"/>
              <w:right w:val="nil"/>
            </w:tcBorders>
            <w:vAlign w:val="center"/>
            <w:hideMark/>
          </w:tcPr>
          <w:p w14:paraId="6B6E5146"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$13,040,000</w:t>
            </w:r>
          </w:p>
        </w:tc>
        <w:tc>
          <w:tcPr>
            <w:tcW w:w="0" w:type="auto"/>
            <w:tcBorders>
              <w:top w:val="nil"/>
              <w:left w:val="nil"/>
              <w:bottom w:val="single" w:sz="24" w:space="0" w:color="auto"/>
              <w:right w:val="nil"/>
            </w:tcBorders>
            <w:vAlign w:val="center"/>
            <w:hideMark/>
          </w:tcPr>
          <w:p w14:paraId="0230D50F"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$12,677,000</w:t>
            </w:r>
          </w:p>
        </w:tc>
      </w:tr>
      <w:tr w:rsidR="00F26715" w:rsidRPr="00F26715" w14:paraId="5FB5A704" w14:textId="77777777" w:rsidTr="00F26715">
        <w:tc>
          <w:tcPr>
            <w:tcW w:w="0" w:type="auto"/>
            <w:tcBorders>
              <w:top w:val="nil"/>
              <w:left w:val="nil"/>
              <w:bottom w:val="single" w:sz="24" w:space="0" w:color="auto"/>
              <w:right w:val="nil"/>
            </w:tcBorders>
            <w:vAlign w:val="center"/>
            <w:hideMark/>
          </w:tcPr>
          <w:p w14:paraId="55201F6E"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Interest Expense</w:t>
            </w:r>
          </w:p>
        </w:tc>
        <w:tc>
          <w:tcPr>
            <w:tcW w:w="0" w:type="auto"/>
            <w:tcBorders>
              <w:top w:val="nil"/>
              <w:left w:val="nil"/>
              <w:bottom w:val="single" w:sz="24" w:space="0" w:color="auto"/>
              <w:right w:val="nil"/>
            </w:tcBorders>
            <w:vAlign w:val="center"/>
            <w:hideMark/>
          </w:tcPr>
          <w:p w14:paraId="4C62A743"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$2,658,000</w:t>
            </w:r>
          </w:p>
        </w:tc>
        <w:tc>
          <w:tcPr>
            <w:tcW w:w="0" w:type="auto"/>
            <w:tcBorders>
              <w:top w:val="nil"/>
              <w:left w:val="nil"/>
              <w:bottom w:val="single" w:sz="24" w:space="0" w:color="auto"/>
              <w:right w:val="nil"/>
            </w:tcBorders>
            <w:vAlign w:val="center"/>
            <w:hideMark/>
          </w:tcPr>
          <w:p w14:paraId="7FB7892E"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$2,287,000</w:t>
            </w:r>
          </w:p>
        </w:tc>
        <w:tc>
          <w:tcPr>
            <w:tcW w:w="0" w:type="auto"/>
            <w:tcBorders>
              <w:top w:val="nil"/>
              <w:left w:val="nil"/>
              <w:bottom w:val="single" w:sz="24" w:space="0" w:color="auto"/>
              <w:right w:val="nil"/>
            </w:tcBorders>
            <w:vAlign w:val="center"/>
            <w:hideMark/>
          </w:tcPr>
          <w:p w14:paraId="3F16B3BB"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$2,503,000</w:t>
            </w:r>
          </w:p>
        </w:tc>
        <w:tc>
          <w:tcPr>
            <w:tcW w:w="0" w:type="auto"/>
            <w:tcBorders>
              <w:top w:val="nil"/>
              <w:left w:val="nil"/>
              <w:bottom w:val="single" w:sz="24" w:space="0" w:color="auto"/>
              <w:right w:val="nil"/>
            </w:tcBorders>
            <w:vAlign w:val="center"/>
            <w:hideMark/>
          </w:tcPr>
          <w:p w14:paraId="64F9D6E3"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$2,907,000</w:t>
            </w:r>
          </w:p>
        </w:tc>
      </w:tr>
      <w:tr w:rsidR="00F26715" w:rsidRPr="00F26715" w14:paraId="30AC01F4" w14:textId="77777777" w:rsidTr="00F26715">
        <w:tc>
          <w:tcPr>
            <w:tcW w:w="0" w:type="auto"/>
            <w:tcBorders>
              <w:top w:val="nil"/>
              <w:left w:val="nil"/>
              <w:bottom w:val="single" w:sz="24" w:space="0" w:color="auto"/>
              <w:right w:val="nil"/>
            </w:tcBorders>
            <w:vAlign w:val="center"/>
            <w:hideMark/>
          </w:tcPr>
          <w:p w14:paraId="56D53B83"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Earnings Before Tax</w:t>
            </w:r>
          </w:p>
        </w:tc>
        <w:tc>
          <w:tcPr>
            <w:tcW w:w="0" w:type="auto"/>
            <w:tcBorders>
              <w:top w:val="nil"/>
              <w:left w:val="nil"/>
              <w:bottom w:val="single" w:sz="24" w:space="0" w:color="auto"/>
              <w:right w:val="nil"/>
            </w:tcBorders>
            <w:vAlign w:val="center"/>
            <w:hideMark/>
          </w:tcPr>
          <w:p w14:paraId="4D59027B"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$11,173,000</w:t>
            </w:r>
          </w:p>
        </w:tc>
        <w:tc>
          <w:tcPr>
            <w:tcW w:w="0" w:type="auto"/>
            <w:tcBorders>
              <w:top w:val="nil"/>
              <w:left w:val="nil"/>
              <w:bottom w:val="single" w:sz="24" w:space="0" w:color="auto"/>
              <w:right w:val="nil"/>
            </w:tcBorders>
            <w:vAlign w:val="center"/>
            <w:hideMark/>
          </w:tcPr>
          <w:p w14:paraId="6AC1061E"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$5,836,000</w:t>
            </w:r>
          </w:p>
        </w:tc>
        <w:tc>
          <w:tcPr>
            <w:tcW w:w="0" w:type="auto"/>
            <w:tcBorders>
              <w:top w:val="nil"/>
              <w:left w:val="nil"/>
              <w:bottom w:val="single" w:sz="24" w:space="0" w:color="auto"/>
              <w:right w:val="nil"/>
            </w:tcBorders>
            <w:vAlign w:val="center"/>
            <w:hideMark/>
          </w:tcPr>
          <w:p w14:paraId="0A149A26"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$10,537,000</w:t>
            </w:r>
          </w:p>
        </w:tc>
        <w:tc>
          <w:tcPr>
            <w:tcW w:w="0" w:type="auto"/>
            <w:tcBorders>
              <w:top w:val="nil"/>
              <w:left w:val="nil"/>
              <w:bottom w:val="single" w:sz="24" w:space="0" w:color="auto"/>
              <w:right w:val="nil"/>
            </w:tcBorders>
            <w:vAlign w:val="center"/>
            <w:hideMark/>
          </w:tcPr>
          <w:p w14:paraId="536A50D6"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$9,770,000</w:t>
            </w:r>
          </w:p>
        </w:tc>
      </w:tr>
      <w:tr w:rsidR="00F26715" w:rsidRPr="00F26715" w14:paraId="775476FF" w14:textId="77777777" w:rsidTr="00F26715">
        <w:tc>
          <w:tcPr>
            <w:tcW w:w="0" w:type="auto"/>
            <w:tcBorders>
              <w:top w:val="nil"/>
              <w:left w:val="nil"/>
              <w:bottom w:val="single" w:sz="24" w:space="0" w:color="auto"/>
              <w:right w:val="nil"/>
            </w:tcBorders>
            <w:vAlign w:val="center"/>
            <w:hideMark/>
          </w:tcPr>
          <w:p w14:paraId="51D3A9CF"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Income Tax</w:t>
            </w:r>
          </w:p>
        </w:tc>
        <w:tc>
          <w:tcPr>
            <w:tcW w:w="0" w:type="auto"/>
            <w:tcBorders>
              <w:top w:val="nil"/>
              <w:left w:val="nil"/>
              <w:bottom w:val="single" w:sz="24" w:space="0" w:color="auto"/>
              <w:right w:val="nil"/>
            </w:tcBorders>
            <w:vAlign w:val="center"/>
            <w:hideMark/>
          </w:tcPr>
          <w:p w14:paraId="40263E92"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$2,805,000</w:t>
            </w:r>
          </w:p>
        </w:tc>
        <w:tc>
          <w:tcPr>
            <w:tcW w:w="0" w:type="auto"/>
            <w:tcBorders>
              <w:top w:val="nil"/>
              <w:left w:val="nil"/>
              <w:bottom w:val="single" w:sz="24" w:space="0" w:color="auto"/>
              <w:right w:val="nil"/>
            </w:tcBorders>
            <w:vAlign w:val="center"/>
            <w:hideMark/>
          </w:tcPr>
          <w:p w14:paraId="163B2EC0"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$1,509,000</w:t>
            </w:r>
          </w:p>
        </w:tc>
        <w:tc>
          <w:tcPr>
            <w:tcW w:w="0" w:type="auto"/>
            <w:tcBorders>
              <w:top w:val="nil"/>
              <w:left w:val="nil"/>
              <w:bottom w:val="single" w:sz="24" w:space="0" w:color="auto"/>
              <w:right w:val="nil"/>
            </w:tcBorders>
            <w:vAlign w:val="center"/>
            <w:hideMark/>
          </w:tcPr>
          <w:p w14:paraId="777D28B4"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$2,548,000</w:t>
            </w:r>
          </w:p>
        </w:tc>
        <w:tc>
          <w:tcPr>
            <w:tcW w:w="0" w:type="auto"/>
            <w:tcBorders>
              <w:top w:val="nil"/>
              <w:left w:val="nil"/>
              <w:bottom w:val="single" w:sz="24" w:space="0" w:color="auto"/>
              <w:right w:val="nil"/>
            </w:tcBorders>
            <w:vAlign w:val="center"/>
            <w:hideMark/>
          </w:tcPr>
          <w:p w14:paraId="178F80FF"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$2,569,000</w:t>
            </w:r>
          </w:p>
        </w:tc>
      </w:tr>
      <w:tr w:rsidR="00F26715" w:rsidRPr="00F26715" w14:paraId="68D90E95" w14:textId="77777777" w:rsidTr="00F26715">
        <w:tc>
          <w:tcPr>
            <w:tcW w:w="0" w:type="auto"/>
            <w:tcBorders>
              <w:top w:val="nil"/>
              <w:left w:val="nil"/>
              <w:bottom w:val="single" w:sz="24" w:space="0" w:color="auto"/>
              <w:right w:val="nil"/>
            </w:tcBorders>
            <w:vAlign w:val="center"/>
            <w:hideMark/>
          </w:tcPr>
          <w:p w14:paraId="7E6615F6"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Minority Interest</w:t>
            </w:r>
          </w:p>
        </w:tc>
        <w:tc>
          <w:tcPr>
            <w:tcW w:w="0" w:type="auto"/>
            <w:tcBorders>
              <w:top w:val="nil"/>
              <w:left w:val="nil"/>
              <w:bottom w:val="single" w:sz="24" w:space="0" w:color="auto"/>
              <w:right w:val="nil"/>
            </w:tcBorders>
            <w:vAlign w:val="center"/>
            <w:hideMark/>
          </w:tcPr>
          <w:p w14:paraId="2D656BFD"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26EC98DC"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5DB1027E"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6AB97C0E"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w:t>
            </w:r>
          </w:p>
        </w:tc>
      </w:tr>
      <w:tr w:rsidR="00F26715" w:rsidRPr="00F26715" w14:paraId="01365DC0" w14:textId="77777777" w:rsidTr="00F26715">
        <w:tc>
          <w:tcPr>
            <w:tcW w:w="0" w:type="auto"/>
            <w:tcBorders>
              <w:top w:val="nil"/>
              <w:left w:val="nil"/>
              <w:bottom w:val="single" w:sz="24" w:space="0" w:color="auto"/>
              <w:right w:val="nil"/>
            </w:tcBorders>
            <w:vAlign w:val="center"/>
            <w:hideMark/>
          </w:tcPr>
          <w:p w14:paraId="6A1160BD"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Equity Earnings/Loss Unconsolidated Subsidiary</w:t>
            </w:r>
          </w:p>
        </w:tc>
        <w:tc>
          <w:tcPr>
            <w:tcW w:w="0" w:type="auto"/>
            <w:tcBorders>
              <w:top w:val="nil"/>
              <w:left w:val="nil"/>
              <w:bottom w:val="single" w:sz="24" w:space="0" w:color="auto"/>
              <w:right w:val="nil"/>
            </w:tcBorders>
            <w:vAlign w:val="center"/>
            <w:hideMark/>
          </w:tcPr>
          <w:p w14:paraId="37B9211B"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-$24,000</w:t>
            </w:r>
          </w:p>
        </w:tc>
        <w:tc>
          <w:tcPr>
            <w:tcW w:w="0" w:type="auto"/>
            <w:tcBorders>
              <w:top w:val="nil"/>
              <w:left w:val="nil"/>
              <w:bottom w:val="single" w:sz="24" w:space="0" w:color="auto"/>
              <w:right w:val="nil"/>
            </w:tcBorders>
            <w:vAlign w:val="center"/>
            <w:hideMark/>
          </w:tcPr>
          <w:p w14:paraId="5437D89B"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-$16,000</w:t>
            </w:r>
          </w:p>
        </w:tc>
        <w:tc>
          <w:tcPr>
            <w:tcW w:w="0" w:type="auto"/>
            <w:tcBorders>
              <w:top w:val="nil"/>
              <w:left w:val="nil"/>
              <w:bottom w:val="single" w:sz="24" w:space="0" w:color="auto"/>
              <w:right w:val="nil"/>
            </w:tcBorders>
            <w:vAlign w:val="center"/>
            <w:hideMark/>
          </w:tcPr>
          <w:p w14:paraId="7D7D9D4E"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$12,000</w:t>
            </w:r>
          </w:p>
        </w:tc>
        <w:tc>
          <w:tcPr>
            <w:tcW w:w="0" w:type="auto"/>
            <w:tcBorders>
              <w:top w:val="nil"/>
              <w:left w:val="nil"/>
              <w:bottom w:val="single" w:sz="24" w:space="0" w:color="auto"/>
              <w:right w:val="nil"/>
            </w:tcBorders>
            <w:vAlign w:val="center"/>
            <w:hideMark/>
          </w:tcPr>
          <w:p w14:paraId="5708A1DC"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-$13,000</w:t>
            </w:r>
          </w:p>
        </w:tc>
      </w:tr>
      <w:tr w:rsidR="00F26715" w:rsidRPr="00F26715" w14:paraId="1BEAAF1D" w14:textId="77777777" w:rsidTr="00F26715">
        <w:tc>
          <w:tcPr>
            <w:tcW w:w="0" w:type="auto"/>
            <w:tcBorders>
              <w:top w:val="nil"/>
              <w:left w:val="nil"/>
              <w:bottom w:val="single" w:sz="24" w:space="0" w:color="auto"/>
              <w:right w:val="nil"/>
            </w:tcBorders>
            <w:vAlign w:val="center"/>
            <w:hideMark/>
          </w:tcPr>
          <w:p w14:paraId="1DB746A6" w14:textId="77777777" w:rsidR="00F26715" w:rsidRPr="00F26715" w:rsidRDefault="00F26715" w:rsidP="00F26715">
            <w:pPr>
              <w:spacing w:after="0" w:line="240" w:lineRule="auto"/>
              <w:rPr>
                <w:rFonts w:ascii="inherit" w:eastAsia="Times New Roman" w:hAnsi="inherit" w:cs="Times New Roman"/>
                <w:b/>
                <w:bCs/>
                <w:color w:val="2B2B2B"/>
                <w:spacing w:val="-5"/>
                <w:sz w:val="24"/>
                <w:szCs w:val="24"/>
                <w:lang w:eastAsia="en-GB"/>
              </w:rPr>
            </w:pPr>
            <w:r w:rsidRPr="00F26715">
              <w:rPr>
                <w:rFonts w:ascii="inherit" w:eastAsia="Times New Roman" w:hAnsi="inherit" w:cs="Times New Roman"/>
                <w:b/>
                <w:bCs/>
                <w:color w:val="2B2B2B"/>
                <w:spacing w:val="-5"/>
                <w:sz w:val="24"/>
                <w:szCs w:val="24"/>
                <w:lang w:eastAsia="en-GB"/>
              </w:rPr>
              <w:t>Net Income-Cont. Operations</w:t>
            </w:r>
          </w:p>
        </w:tc>
        <w:tc>
          <w:tcPr>
            <w:tcW w:w="0" w:type="auto"/>
            <w:tcBorders>
              <w:top w:val="nil"/>
              <w:left w:val="nil"/>
              <w:bottom w:val="single" w:sz="24" w:space="0" w:color="auto"/>
              <w:right w:val="nil"/>
            </w:tcBorders>
            <w:vAlign w:val="center"/>
            <w:hideMark/>
          </w:tcPr>
          <w:p w14:paraId="1B1E151E"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$8,344,000</w:t>
            </w:r>
          </w:p>
        </w:tc>
        <w:tc>
          <w:tcPr>
            <w:tcW w:w="0" w:type="auto"/>
            <w:tcBorders>
              <w:top w:val="nil"/>
              <w:left w:val="nil"/>
              <w:bottom w:val="single" w:sz="24" w:space="0" w:color="auto"/>
              <w:right w:val="nil"/>
            </w:tcBorders>
            <w:vAlign w:val="center"/>
            <w:hideMark/>
          </w:tcPr>
          <w:p w14:paraId="6C1CD176"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$4,311,000</w:t>
            </w:r>
          </w:p>
        </w:tc>
        <w:tc>
          <w:tcPr>
            <w:tcW w:w="0" w:type="auto"/>
            <w:tcBorders>
              <w:top w:val="nil"/>
              <w:left w:val="nil"/>
              <w:bottom w:val="single" w:sz="24" w:space="0" w:color="auto"/>
              <w:right w:val="nil"/>
            </w:tcBorders>
            <w:vAlign w:val="center"/>
            <w:hideMark/>
          </w:tcPr>
          <w:p w14:paraId="289C8ED9"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$8,001,000</w:t>
            </w:r>
          </w:p>
        </w:tc>
        <w:tc>
          <w:tcPr>
            <w:tcW w:w="0" w:type="auto"/>
            <w:tcBorders>
              <w:top w:val="nil"/>
              <w:left w:val="nil"/>
              <w:bottom w:val="single" w:sz="24" w:space="0" w:color="auto"/>
              <w:right w:val="nil"/>
            </w:tcBorders>
            <w:vAlign w:val="center"/>
            <w:hideMark/>
          </w:tcPr>
          <w:p w14:paraId="1920D727"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$7,201,000</w:t>
            </w:r>
          </w:p>
        </w:tc>
      </w:tr>
      <w:tr w:rsidR="00F26715" w:rsidRPr="00F26715" w14:paraId="71052FCF" w14:textId="77777777" w:rsidTr="00F26715">
        <w:tc>
          <w:tcPr>
            <w:tcW w:w="0" w:type="auto"/>
            <w:tcBorders>
              <w:top w:val="nil"/>
              <w:left w:val="nil"/>
              <w:bottom w:val="single" w:sz="24" w:space="0" w:color="auto"/>
              <w:right w:val="nil"/>
            </w:tcBorders>
            <w:vAlign w:val="center"/>
            <w:hideMark/>
          </w:tcPr>
          <w:p w14:paraId="154CAB01" w14:textId="77777777" w:rsidR="00F26715" w:rsidRPr="00F26715" w:rsidRDefault="00F26715" w:rsidP="00F26715">
            <w:pPr>
              <w:spacing w:after="0" w:line="240" w:lineRule="auto"/>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Net Income</w:t>
            </w:r>
          </w:p>
        </w:tc>
        <w:tc>
          <w:tcPr>
            <w:tcW w:w="0" w:type="auto"/>
            <w:tcBorders>
              <w:top w:val="nil"/>
              <w:left w:val="nil"/>
              <w:bottom w:val="single" w:sz="24" w:space="0" w:color="auto"/>
              <w:right w:val="nil"/>
            </w:tcBorders>
            <w:vAlign w:val="center"/>
            <w:hideMark/>
          </w:tcPr>
          <w:p w14:paraId="3948F312"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$8,344,000</w:t>
            </w:r>
          </w:p>
        </w:tc>
        <w:tc>
          <w:tcPr>
            <w:tcW w:w="0" w:type="auto"/>
            <w:tcBorders>
              <w:top w:val="nil"/>
              <w:left w:val="nil"/>
              <w:bottom w:val="single" w:sz="24" w:space="0" w:color="auto"/>
              <w:right w:val="nil"/>
            </w:tcBorders>
            <w:vAlign w:val="center"/>
            <w:hideMark/>
          </w:tcPr>
          <w:p w14:paraId="3EA1CBBC"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$4,311,000</w:t>
            </w:r>
          </w:p>
        </w:tc>
        <w:tc>
          <w:tcPr>
            <w:tcW w:w="0" w:type="auto"/>
            <w:tcBorders>
              <w:top w:val="nil"/>
              <w:left w:val="nil"/>
              <w:bottom w:val="single" w:sz="24" w:space="0" w:color="auto"/>
              <w:right w:val="nil"/>
            </w:tcBorders>
            <w:vAlign w:val="center"/>
            <w:hideMark/>
          </w:tcPr>
          <w:p w14:paraId="6011CF1A"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$8,001,000</w:t>
            </w:r>
          </w:p>
        </w:tc>
        <w:tc>
          <w:tcPr>
            <w:tcW w:w="0" w:type="auto"/>
            <w:tcBorders>
              <w:top w:val="nil"/>
              <w:left w:val="nil"/>
              <w:bottom w:val="single" w:sz="24" w:space="0" w:color="auto"/>
              <w:right w:val="nil"/>
            </w:tcBorders>
            <w:vAlign w:val="center"/>
            <w:hideMark/>
          </w:tcPr>
          <w:p w14:paraId="2642F030"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$7,179,000</w:t>
            </w:r>
          </w:p>
        </w:tc>
      </w:tr>
      <w:tr w:rsidR="00F26715" w:rsidRPr="00F26715" w14:paraId="4FE8D21E" w14:textId="77777777" w:rsidTr="00F26715">
        <w:tc>
          <w:tcPr>
            <w:tcW w:w="0" w:type="auto"/>
            <w:tcBorders>
              <w:top w:val="nil"/>
              <w:left w:val="nil"/>
              <w:bottom w:val="single" w:sz="24" w:space="0" w:color="auto"/>
              <w:right w:val="nil"/>
            </w:tcBorders>
            <w:vAlign w:val="center"/>
            <w:hideMark/>
          </w:tcPr>
          <w:p w14:paraId="6F081840" w14:textId="77777777" w:rsidR="00F26715" w:rsidRPr="00F26715" w:rsidRDefault="00F26715" w:rsidP="00F26715">
            <w:pPr>
              <w:spacing w:after="0" w:line="240" w:lineRule="auto"/>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Net Income Applicable to Common Shareholders</w:t>
            </w:r>
          </w:p>
        </w:tc>
        <w:tc>
          <w:tcPr>
            <w:tcW w:w="0" w:type="auto"/>
            <w:tcBorders>
              <w:top w:val="nil"/>
              <w:left w:val="nil"/>
              <w:bottom w:val="single" w:sz="24" w:space="0" w:color="auto"/>
              <w:right w:val="nil"/>
            </w:tcBorders>
            <w:vAlign w:val="center"/>
            <w:hideMark/>
          </w:tcPr>
          <w:p w14:paraId="2497396D"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$8,344,000</w:t>
            </w:r>
          </w:p>
        </w:tc>
        <w:tc>
          <w:tcPr>
            <w:tcW w:w="0" w:type="auto"/>
            <w:tcBorders>
              <w:top w:val="nil"/>
              <w:left w:val="nil"/>
              <w:bottom w:val="single" w:sz="24" w:space="0" w:color="auto"/>
              <w:right w:val="nil"/>
            </w:tcBorders>
            <w:vAlign w:val="center"/>
            <w:hideMark/>
          </w:tcPr>
          <w:p w14:paraId="5882CCE8"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$4,311,000</w:t>
            </w:r>
          </w:p>
        </w:tc>
        <w:tc>
          <w:tcPr>
            <w:tcW w:w="0" w:type="auto"/>
            <w:tcBorders>
              <w:top w:val="nil"/>
              <w:left w:val="nil"/>
              <w:bottom w:val="single" w:sz="24" w:space="0" w:color="auto"/>
              <w:right w:val="nil"/>
            </w:tcBorders>
            <w:vAlign w:val="center"/>
            <w:hideMark/>
          </w:tcPr>
          <w:p w14:paraId="2CFBD6F8"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$8,001,000</w:t>
            </w:r>
          </w:p>
        </w:tc>
        <w:tc>
          <w:tcPr>
            <w:tcW w:w="0" w:type="auto"/>
            <w:tcBorders>
              <w:top w:val="nil"/>
              <w:left w:val="nil"/>
              <w:bottom w:val="single" w:sz="24" w:space="0" w:color="auto"/>
              <w:right w:val="nil"/>
            </w:tcBorders>
            <w:vAlign w:val="center"/>
            <w:hideMark/>
          </w:tcPr>
          <w:p w14:paraId="5472B724" w14:textId="77777777" w:rsidR="00F26715" w:rsidRPr="00F26715" w:rsidRDefault="00F26715" w:rsidP="00F26715">
            <w:pPr>
              <w:spacing w:after="0" w:line="240" w:lineRule="auto"/>
              <w:jc w:val="right"/>
              <w:rPr>
                <w:rFonts w:ascii="inherit" w:eastAsia="Times New Roman" w:hAnsi="inherit" w:cs="Times New Roman"/>
                <w:color w:val="2B2B2B"/>
                <w:spacing w:val="-5"/>
                <w:sz w:val="24"/>
                <w:szCs w:val="24"/>
                <w:lang w:eastAsia="en-GB"/>
              </w:rPr>
            </w:pPr>
            <w:r w:rsidRPr="00F26715">
              <w:rPr>
                <w:rFonts w:ascii="inherit" w:eastAsia="Times New Roman" w:hAnsi="inherit" w:cs="Times New Roman"/>
                <w:color w:val="2B2B2B"/>
                <w:spacing w:val="-5"/>
                <w:sz w:val="24"/>
                <w:szCs w:val="24"/>
                <w:lang w:eastAsia="en-GB"/>
              </w:rPr>
              <w:t>$7,179,000</w:t>
            </w:r>
          </w:p>
        </w:tc>
      </w:tr>
    </w:tbl>
    <w:p w14:paraId="4EE87DB3" w14:textId="77777777" w:rsidR="00F26715" w:rsidRDefault="00F26715" w:rsidP="00BD28C1">
      <w:pPr>
        <w:rPr>
          <w:b/>
          <w:bCs/>
        </w:rPr>
      </w:pPr>
    </w:p>
    <w:p w14:paraId="35C9FDB8" w14:textId="77777777" w:rsidR="00F26715" w:rsidRDefault="00F26715" w:rsidP="00BD28C1">
      <w:pPr>
        <w:rPr>
          <w:b/>
          <w:bCs/>
        </w:rPr>
      </w:pPr>
    </w:p>
    <w:p w14:paraId="04883502" w14:textId="77777777" w:rsidR="00F26715" w:rsidRDefault="00F26715" w:rsidP="00BD28C1">
      <w:pPr>
        <w:rPr>
          <w:b/>
          <w:bCs/>
        </w:rPr>
      </w:pPr>
    </w:p>
    <w:p w14:paraId="0647B4E9" w14:textId="77777777" w:rsidR="00F26715" w:rsidRDefault="00F26715" w:rsidP="00BD28C1">
      <w:pPr>
        <w:rPr>
          <w:b/>
          <w:bCs/>
        </w:rPr>
      </w:pPr>
    </w:p>
    <w:p w14:paraId="37BA28A8" w14:textId="77777777" w:rsidR="00F26715" w:rsidRDefault="00F26715" w:rsidP="00BD28C1">
      <w:pPr>
        <w:rPr>
          <w:b/>
          <w:bCs/>
        </w:rPr>
      </w:pPr>
    </w:p>
    <w:p w14:paraId="263A8B2F" w14:textId="77777777" w:rsidR="00F26715" w:rsidRDefault="00F26715" w:rsidP="00BD28C1">
      <w:pPr>
        <w:rPr>
          <w:b/>
          <w:bCs/>
        </w:rPr>
      </w:pPr>
    </w:p>
    <w:p w14:paraId="557369B7" w14:textId="77777777" w:rsidR="00F26715" w:rsidRDefault="00F26715" w:rsidP="00BD28C1">
      <w:pPr>
        <w:rPr>
          <w:b/>
          <w:bCs/>
        </w:rPr>
      </w:pPr>
    </w:p>
    <w:p w14:paraId="18072608" w14:textId="77777777" w:rsidR="00F26715" w:rsidRDefault="00F26715" w:rsidP="00BD28C1">
      <w:pPr>
        <w:rPr>
          <w:b/>
          <w:bCs/>
        </w:rPr>
      </w:pPr>
    </w:p>
    <w:p w14:paraId="7E0DE43C" w14:textId="77777777" w:rsidR="00F26715" w:rsidRDefault="00F26715" w:rsidP="00BD28C1">
      <w:pPr>
        <w:rPr>
          <w:b/>
          <w:bCs/>
        </w:rPr>
      </w:pPr>
    </w:p>
    <w:p w14:paraId="0CB7D337" w14:textId="77777777" w:rsidR="00F26715" w:rsidRDefault="00F26715" w:rsidP="00BD28C1">
      <w:pPr>
        <w:rPr>
          <w:b/>
          <w:bCs/>
        </w:rPr>
      </w:pPr>
    </w:p>
    <w:p w14:paraId="2E144CBF" w14:textId="77777777" w:rsidR="00F26715" w:rsidRDefault="00F26715" w:rsidP="00BD28C1">
      <w:pPr>
        <w:rPr>
          <w:b/>
          <w:bCs/>
        </w:rPr>
      </w:pPr>
    </w:p>
    <w:p w14:paraId="7C25DD67" w14:textId="77777777" w:rsidR="00F26715" w:rsidRDefault="00F26715" w:rsidP="00BD28C1">
      <w:pPr>
        <w:rPr>
          <w:b/>
          <w:bCs/>
        </w:rPr>
      </w:pPr>
    </w:p>
    <w:p w14:paraId="7B32FBD2" w14:textId="77777777" w:rsidR="00F26715" w:rsidRDefault="00F26715" w:rsidP="00BD28C1">
      <w:pPr>
        <w:rPr>
          <w:b/>
          <w:bCs/>
        </w:rPr>
      </w:pPr>
    </w:p>
    <w:p w14:paraId="38C36F35" w14:textId="77777777" w:rsidR="00F26715" w:rsidRDefault="00F26715" w:rsidP="00BD28C1">
      <w:pPr>
        <w:rPr>
          <w:b/>
          <w:bCs/>
        </w:rPr>
      </w:pPr>
    </w:p>
    <w:p w14:paraId="30ACECD8" w14:textId="77777777" w:rsidR="00F26715" w:rsidRDefault="00F26715" w:rsidP="00BD28C1">
      <w:pPr>
        <w:rPr>
          <w:b/>
          <w:bCs/>
        </w:rPr>
      </w:pPr>
    </w:p>
    <w:p w14:paraId="1F75F1CF" w14:textId="18C70372" w:rsidR="00F26715" w:rsidRPr="00251EF0" w:rsidRDefault="00F26715" w:rsidP="00251EF0">
      <w:pPr>
        <w:pStyle w:val="ListParagraph"/>
        <w:numPr>
          <w:ilvl w:val="0"/>
          <w:numId w:val="9"/>
        </w:numPr>
        <w:rPr>
          <w:rFonts w:ascii="Arial" w:hAnsi="Arial" w:cs="Arial"/>
          <w:b/>
          <w:bCs/>
          <w:sz w:val="24"/>
          <w:szCs w:val="24"/>
        </w:rPr>
      </w:pPr>
      <w:r w:rsidRPr="00251EF0">
        <w:rPr>
          <w:rFonts w:ascii="Arial" w:hAnsi="Arial" w:cs="Arial"/>
          <w:b/>
          <w:bCs/>
          <w:sz w:val="24"/>
          <w:szCs w:val="24"/>
        </w:rPr>
        <w:lastRenderedPageBreak/>
        <w:t>CVS Balance Sheet:</w:t>
      </w:r>
    </w:p>
    <w:tbl>
      <w:tblPr>
        <w:tblW w:w="10354" w:type="dxa"/>
        <w:tblCellMar>
          <w:left w:w="0" w:type="dxa"/>
          <w:right w:w="0" w:type="dxa"/>
        </w:tblCellMar>
        <w:tblLook w:val="04A0" w:firstRow="1" w:lastRow="0" w:firstColumn="1" w:lastColumn="0" w:noHBand="0" w:noVBand="1"/>
      </w:tblPr>
      <w:tblGrid>
        <w:gridCol w:w="4930"/>
        <w:gridCol w:w="1356"/>
        <w:gridCol w:w="1356"/>
        <w:gridCol w:w="1356"/>
        <w:gridCol w:w="1356"/>
      </w:tblGrid>
      <w:tr w:rsidR="00106BAA" w:rsidRPr="00106BAA" w14:paraId="27DEEF05" w14:textId="77777777" w:rsidTr="00106BAA">
        <w:trPr>
          <w:tblHeader/>
        </w:trPr>
        <w:tc>
          <w:tcPr>
            <w:tcW w:w="0" w:type="auto"/>
            <w:tcBorders>
              <w:top w:val="single" w:sz="24" w:space="0" w:color="auto"/>
              <w:left w:val="nil"/>
              <w:bottom w:val="single" w:sz="24" w:space="0" w:color="auto"/>
              <w:right w:val="nil"/>
            </w:tcBorders>
            <w:vAlign w:val="center"/>
            <w:hideMark/>
          </w:tcPr>
          <w:p w14:paraId="3A617B2C"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Period Ending:</w:t>
            </w:r>
          </w:p>
        </w:tc>
        <w:tc>
          <w:tcPr>
            <w:tcW w:w="0" w:type="auto"/>
            <w:tcBorders>
              <w:top w:val="single" w:sz="24" w:space="0" w:color="auto"/>
              <w:left w:val="nil"/>
              <w:bottom w:val="single" w:sz="24" w:space="0" w:color="auto"/>
              <w:right w:val="nil"/>
            </w:tcBorders>
            <w:vAlign w:val="center"/>
            <w:hideMark/>
          </w:tcPr>
          <w:p w14:paraId="48BF13A3" w14:textId="77777777" w:rsidR="00106BAA" w:rsidRPr="00106BAA" w:rsidRDefault="00106BAA" w:rsidP="00106BAA">
            <w:pPr>
              <w:spacing w:after="0" w:line="240" w:lineRule="auto"/>
              <w:jc w:val="right"/>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12/31/2023</w:t>
            </w:r>
          </w:p>
        </w:tc>
        <w:tc>
          <w:tcPr>
            <w:tcW w:w="0" w:type="auto"/>
            <w:tcBorders>
              <w:top w:val="single" w:sz="24" w:space="0" w:color="auto"/>
              <w:left w:val="nil"/>
              <w:bottom w:val="single" w:sz="24" w:space="0" w:color="auto"/>
              <w:right w:val="nil"/>
            </w:tcBorders>
            <w:vAlign w:val="center"/>
            <w:hideMark/>
          </w:tcPr>
          <w:p w14:paraId="65612715" w14:textId="77777777" w:rsidR="00106BAA" w:rsidRPr="00106BAA" w:rsidRDefault="00106BAA" w:rsidP="00106BAA">
            <w:pPr>
              <w:spacing w:after="0" w:line="240" w:lineRule="auto"/>
              <w:jc w:val="right"/>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12/31/2022</w:t>
            </w:r>
          </w:p>
        </w:tc>
        <w:tc>
          <w:tcPr>
            <w:tcW w:w="0" w:type="auto"/>
            <w:tcBorders>
              <w:top w:val="single" w:sz="24" w:space="0" w:color="auto"/>
              <w:left w:val="nil"/>
              <w:bottom w:val="single" w:sz="24" w:space="0" w:color="auto"/>
              <w:right w:val="nil"/>
            </w:tcBorders>
            <w:vAlign w:val="center"/>
            <w:hideMark/>
          </w:tcPr>
          <w:p w14:paraId="5B254CC9" w14:textId="77777777" w:rsidR="00106BAA" w:rsidRPr="00106BAA" w:rsidRDefault="00106BAA" w:rsidP="00106BAA">
            <w:pPr>
              <w:spacing w:after="0" w:line="240" w:lineRule="auto"/>
              <w:jc w:val="right"/>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12/31/2021</w:t>
            </w:r>
          </w:p>
        </w:tc>
        <w:tc>
          <w:tcPr>
            <w:tcW w:w="0" w:type="auto"/>
            <w:tcBorders>
              <w:top w:val="single" w:sz="24" w:space="0" w:color="auto"/>
              <w:left w:val="nil"/>
              <w:bottom w:val="single" w:sz="24" w:space="0" w:color="auto"/>
              <w:right w:val="nil"/>
            </w:tcBorders>
            <w:vAlign w:val="center"/>
            <w:hideMark/>
          </w:tcPr>
          <w:p w14:paraId="40FF9409" w14:textId="77777777" w:rsidR="00106BAA" w:rsidRPr="00106BAA" w:rsidRDefault="00106BAA" w:rsidP="00106BAA">
            <w:pPr>
              <w:spacing w:after="0" w:line="240" w:lineRule="auto"/>
              <w:jc w:val="right"/>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12/31/2020</w:t>
            </w:r>
          </w:p>
        </w:tc>
      </w:tr>
      <w:tr w:rsidR="00106BAA" w:rsidRPr="00106BAA" w14:paraId="7E2AD94C" w14:textId="77777777" w:rsidTr="00106BAA">
        <w:tc>
          <w:tcPr>
            <w:tcW w:w="0" w:type="auto"/>
            <w:tcBorders>
              <w:top w:val="nil"/>
              <w:left w:val="nil"/>
              <w:bottom w:val="single" w:sz="24" w:space="0" w:color="auto"/>
              <w:right w:val="nil"/>
            </w:tcBorders>
            <w:vAlign w:val="center"/>
            <w:hideMark/>
          </w:tcPr>
          <w:p w14:paraId="2E844CD0"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color w:val="2B2B2B"/>
                <w:spacing w:val="-5"/>
                <w:sz w:val="24"/>
                <w:szCs w:val="24"/>
                <w:bdr w:val="none" w:sz="0" w:space="0" w:color="auto" w:frame="1"/>
                <w:lang w:eastAsia="en-GB"/>
              </w:rPr>
              <w:t>Current Assets</w:t>
            </w:r>
          </w:p>
        </w:tc>
        <w:tc>
          <w:tcPr>
            <w:tcW w:w="0" w:type="auto"/>
            <w:tcBorders>
              <w:top w:val="nil"/>
              <w:left w:val="nil"/>
              <w:bottom w:val="single" w:sz="24" w:space="0" w:color="auto"/>
              <w:right w:val="nil"/>
            </w:tcBorders>
            <w:vAlign w:val="center"/>
            <w:hideMark/>
          </w:tcPr>
          <w:p w14:paraId="248391AB"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p>
        </w:tc>
        <w:tc>
          <w:tcPr>
            <w:tcW w:w="0" w:type="auto"/>
            <w:tcBorders>
              <w:top w:val="nil"/>
              <w:left w:val="nil"/>
              <w:bottom w:val="single" w:sz="24" w:space="0" w:color="auto"/>
              <w:right w:val="nil"/>
            </w:tcBorders>
            <w:vAlign w:val="center"/>
            <w:hideMark/>
          </w:tcPr>
          <w:p w14:paraId="6678193F"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286D74B5"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0A231009"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r>
      <w:tr w:rsidR="00106BAA" w:rsidRPr="00106BAA" w14:paraId="16DE3FCC" w14:textId="77777777" w:rsidTr="00106BAA">
        <w:tc>
          <w:tcPr>
            <w:tcW w:w="0" w:type="auto"/>
            <w:tcBorders>
              <w:top w:val="nil"/>
              <w:left w:val="nil"/>
              <w:bottom w:val="single" w:sz="24" w:space="0" w:color="auto"/>
              <w:right w:val="nil"/>
            </w:tcBorders>
            <w:vAlign w:val="center"/>
            <w:hideMark/>
          </w:tcPr>
          <w:p w14:paraId="4CDF2302"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Cash and Cash Equivalents</w:t>
            </w:r>
          </w:p>
        </w:tc>
        <w:tc>
          <w:tcPr>
            <w:tcW w:w="0" w:type="auto"/>
            <w:tcBorders>
              <w:top w:val="nil"/>
              <w:left w:val="nil"/>
              <w:bottom w:val="single" w:sz="24" w:space="0" w:color="auto"/>
              <w:right w:val="nil"/>
            </w:tcBorders>
            <w:vAlign w:val="center"/>
            <w:hideMark/>
          </w:tcPr>
          <w:p w14:paraId="274EDADF"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$8,196,000</w:t>
            </w:r>
          </w:p>
        </w:tc>
        <w:tc>
          <w:tcPr>
            <w:tcW w:w="0" w:type="auto"/>
            <w:tcBorders>
              <w:top w:val="nil"/>
              <w:left w:val="nil"/>
              <w:bottom w:val="single" w:sz="24" w:space="0" w:color="auto"/>
              <w:right w:val="nil"/>
            </w:tcBorders>
            <w:vAlign w:val="center"/>
            <w:hideMark/>
          </w:tcPr>
          <w:p w14:paraId="172F5A02"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$12,945,000</w:t>
            </w:r>
          </w:p>
        </w:tc>
        <w:tc>
          <w:tcPr>
            <w:tcW w:w="0" w:type="auto"/>
            <w:tcBorders>
              <w:top w:val="nil"/>
              <w:left w:val="nil"/>
              <w:bottom w:val="single" w:sz="24" w:space="0" w:color="auto"/>
              <w:right w:val="nil"/>
            </w:tcBorders>
            <w:vAlign w:val="center"/>
            <w:hideMark/>
          </w:tcPr>
          <w:p w14:paraId="0E9CACA9"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$9,408,000</w:t>
            </w:r>
          </w:p>
        </w:tc>
        <w:tc>
          <w:tcPr>
            <w:tcW w:w="0" w:type="auto"/>
            <w:tcBorders>
              <w:top w:val="nil"/>
              <w:left w:val="nil"/>
              <w:bottom w:val="single" w:sz="24" w:space="0" w:color="auto"/>
              <w:right w:val="nil"/>
            </w:tcBorders>
            <w:vAlign w:val="center"/>
            <w:hideMark/>
          </w:tcPr>
          <w:p w14:paraId="2B989022"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$7,854,000</w:t>
            </w:r>
          </w:p>
        </w:tc>
      </w:tr>
      <w:tr w:rsidR="00106BAA" w:rsidRPr="00106BAA" w14:paraId="0A2C4A17" w14:textId="77777777" w:rsidTr="00106BAA">
        <w:tc>
          <w:tcPr>
            <w:tcW w:w="0" w:type="auto"/>
            <w:tcBorders>
              <w:top w:val="nil"/>
              <w:left w:val="nil"/>
              <w:bottom w:val="single" w:sz="24" w:space="0" w:color="auto"/>
              <w:right w:val="nil"/>
            </w:tcBorders>
            <w:vAlign w:val="center"/>
            <w:hideMark/>
          </w:tcPr>
          <w:p w14:paraId="6742279C"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Short-Term Investments</w:t>
            </w:r>
          </w:p>
        </w:tc>
        <w:tc>
          <w:tcPr>
            <w:tcW w:w="0" w:type="auto"/>
            <w:tcBorders>
              <w:top w:val="nil"/>
              <w:left w:val="nil"/>
              <w:bottom w:val="single" w:sz="24" w:space="0" w:color="auto"/>
              <w:right w:val="nil"/>
            </w:tcBorders>
            <w:vAlign w:val="center"/>
            <w:hideMark/>
          </w:tcPr>
          <w:p w14:paraId="6FF675D8"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$3,259,000</w:t>
            </w:r>
          </w:p>
        </w:tc>
        <w:tc>
          <w:tcPr>
            <w:tcW w:w="0" w:type="auto"/>
            <w:tcBorders>
              <w:top w:val="nil"/>
              <w:left w:val="nil"/>
              <w:bottom w:val="single" w:sz="24" w:space="0" w:color="auto"/>
              <w:right w:val="nil"/>
            </w:tcBorders>
            <w:vAlign w:val="center"/>
            <w:hideMark/>
          </w:tcPr>
          <w:p w14:paraId="5D13C811"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$2,778,000</w:t>
            </w:r>
          </w:p>
        </w:tc>
        <w:tc>
          <w:tcPr>
            <w:tcW w:w="0" w:type="auto"/>
            <w:tcBorders>
              <w:top w:val="nil"/>
              <w:left w:val="nil"/>
              <w:bottom w:val="single" w:sz="24" w:space="0" w:color="auto"/>
              <w:right w:val="nil"/>
            </w:tcBorders>
            <w:vAlign w:val="center"/>
            <w:hideMark/>
          </w:tcPr>
          <w:p w14:paraId="5AEF23E4"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$3,117,000</w:t>
            </w:r>
          </w:p>
        </w:tc>
        <w:tc>
          <w:tcPr>
            <w:tcW w:w="0" w:type="auto"/>
            <w:tcBorders>
              <w:top w:val="nil"/>
              <w:left w:val="nil"/>
              <w:bottom w:val="single" w:sz="24" w:space="0" w:color="auto"/>
              <w:right w:val="nil"/>
            </w:tcBorders>
            <w:vAlign w:val="center"/>
            <w:hideMark/>
          </w:tcPr>
          <w:p w14:paraId="2340DB5D"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$3,000,000</w:t>
            </w:r>
          </w:p>
        </w:tc>
      </w:tr>
      <w:tr w:rsidR="00106BAA" w:rsidRPr="00106BAA" w14:paraId="779011E7" w14:textId="77777777" w:rsidTr="00106BAA">
        <w:tc>
          <w:tcPr>
            <w:tcW w:w="0" w:type="auto"/>
            <w:tcBorders>
              <w:top w:val="nil"/>
              <w:left w:val="nil"/>
              <w:bottom w:val="single" w:sz="24" w:space="0" w:color="auto"/>
              <w:right w:val="nil"/>
            </w:tcBorders>
            <w:vAlign w:val="center"/>
            <w:hideMark/>
          </w:tcPr>
          <w:p w14:paraId="60231CE2"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Net Receivables</w:t>
            </w:r>
          </w:p>
        </w:tc>
        <w:tc>
          <w:tcPr>
            <w:tcW w:w="0" w:type="auto"/>
            <w:tcBorders>
              <w:top w:val="nil"/>
              <w:left w:val="nil"/>
              <w:bottom w:val="single" w:sz="24" w:space="0" w:color="auto"/>
              <w:right w:val="nil"/>
            </w:tcBorders>
            <w:vAlign w:val="center"/>
            <w:hideMark/>
          </w:tcPr>
          <w:p w14:paraId="3E1803B6"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$35,227,000</w:t>
            </w:r>
          </w:p>
        </w:tc>
        <w:tc>
          <w:tcPr>
            <w:tcW w:w="0" w:type="auto"/>
            <w:tcBorders>
              <w:top w:val="nil"/>
              <w:left w:val="nil"/>
              <w:bottom w:val="single" w:sz="24" w:space="0" w:color="auto"/>
              <w:right w:val="nil"/>
            </w:tcBorders>
            <w:vAlign w:val="center"/>
            <w:hideMark/>
          </w:tcPr>
          <w:p w14:paraId="3A532F64"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$27,276,000</w:t>
            </w:r>
          </w:p>
        </w:tc>
        <w:tc>
          <w:tcPr>
            <w:tcW w:w="0" w:type="auto"/>
            <w:tcBorders>
              <w:top w:val="nil"/>
              <w:left w:val="nil"/>
              <w:bottom w:val="single" w:sz="24" w:space="0" w:color="auto"/>
              <w:right w:val="nil"/>
            </w:tcBorders>
            <w:vAlign w:val="center"/>
            <w:hideMark/>
          </w:tcPr>
          <w:p w14:paraId="244DD3BD"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$24,431,000</w:t>
            </w:r>
          </w:p>
        </w:tc>
        <w:tc>
          <w:tcPr>
            <w:tcW w:w="0" w:type="auto"/>
            <w:tcBorders>
              <w:top w:val="nil"/>
              <w:left w:val="nil"/>
              <w:bottom w:val="single" w:sz="24" w:space="0" w:color="auto"/>
              <w:right w:val="nil"/>
            </w:tcBorders>
            <w:vAlign w:val="center"/>
            <w:hideMark/>
          </w:tcPr>
          <w:p w14:paraId="58C0CD4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$21,742,000</w:t>
            </w:r>
          </w:p>
        </w:tc>
      </w:tr>
      <w:tr w:rsidR="00106BAA" w:rsidRPr="00106BAA" w14:paraId="0BC55F20" w14:textId="77777777" w:rsidTr="00106BAA">
        <w:tc>
          <w:tcPr>
            <w:tcW w:w="0" w:type="auto"/>
            <w:tcBorders>
              <w:top w:val="nil"/>
              <w:left w:val="nil"/>
              <w:bottom w:val="single" w:sz="24" w:space="0" w:color="auto"/>
              <w:right w:val="nil"/>
            </w:tcBorders>
            <w:vAlign w:val="center"/>
            <w:hideMark/>
          </w:tcPr>
          <w:p w14:paraId="6D0BC772"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Inventory</w:t>
            </w:r>
          </w:p>
        </w:tc>
        <w:tc>
          <w:tcPr>
            <w:tcW w:w="0" w:type="auto"/>
            <w:tcBorders>
              <w:top w:val="nil"/>
              <w:left w:val="nil"/>
              <w:bottom w:val="single" w:sz="24" w:space="0" w:color="auto"/>
              <w:right w:val="nil"/>
            </w:tcBorders>
            <w:vAlign w:val="center"/>
            <w:hideMark/>
          </w:tcPr>
          <w:p w14:paraId="77EF5C6B"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$18,025,000</w:t>
            </w:r>
          </w:p>
        </w:tc>
        <w:tc>
          <w:tcPr>
            <w:tcW w:w="0" w:type="auto"/>
            <w:tcBorders>
              <w:top w:val="nil"/>
              <w:left w:val="nil"/>
              <w:bottom w:val="single" w:sz="24" w:space="0" w:color="auto"/>
              <w:right w:val="nil"/>
            </w:tcBorders>
            <w:vAlign w:val="center"/>
            <w:hideMark/>
          </w:tcPr>
          <w:p w14:paraId="34B96663"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$19,090,000</w:t>
            </w:r>
          </w:p>
        </w:tc>
        <w:tc>
          <w:tcPr>
            <w:tcW w:w="0" w:type="auto"/>
            <w:tcBorders>
              <w:top w:val="nil"/>
              <w:left w:val="nil"/>
              <w:bottom w:val="single" w:sz="24" w:space="0" w:color="auto"/>
              <w:right w:val="nil"/>
            </w:tcBorders>
            <w:vAlign w:val="center"/>
            <w:hideMark/>
          </w:tcPr>
          <w:p w14:paraId="4799C4FF"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$17,760,000</w:t>
            </w:r>
          </w:p>
        </w:tc>
        <w:tc>
          <w:tcPr>
            <w:tcW w:w="0" w:type="auto"/>
            <w:tcBorders>
              <w:top w:val="nil"/>
              <w:left w:val="nil"/>
              <w:bottom w:val="single" w:sz="24" w:space="0" w:color="auto"/>
              <w:right w:val="nil"/>
            </w:tcBorders>
            <w:vAlign w:val="center"/>
            <w:hideMark/>
          </w:tcPr>
          <w:p w14:paraId="71274D1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$18,496,000</w:t>
            </w:r>
          </w:p>
        </w:tc>
      </w:tr>
      <w:tr w:rsidR="00106BAA" w:rsidRPr="00106BAA" w14:paraId="07C12239" w14:textId="77777777" w:rsidTr="00106BAA">
        <w:tc>
          <w:tcPr>
            <w:tcW w:w="0" w:type="auto"/>
            <w:tcBorders>
              <w:top w:val="nil"/>
              <w:left w:val="nil"/>
              <w:bottom w:val="single" w:sz="24" w:space="0" w:color="auto"/>
              <w:right w:val="nil"/>
            </w:tcBorders>
            <w:vAlign w:val="center"/>
            <w:hideMark/>
          </w:tcPr>
          <w:p w14:paraId="2DDEF42A"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Other Current Assets</w:t>
            </w:r>
          </w:p>
        </w:tc>
        <w:tc>
          <w:tcPr>
            <w:tcW w:w="0" w:type="auto"/>
            <w:tcBorders>
              <w:top w:val="nil"/>
              <w:left w:val="nil"/>
              <w:bottom w:val="single" w:sz="24" w:space="0" w:color="auto"/>
              <w:right w:val="nil"/>
            </w:tcBorders>
            <w:vAlign w:val="center"/>
            <w:hideMark/>
          </w:tcPr>
          <w:p w14:paraId="5D49C92C"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$3,151,000</w:t>
            </w:r>
          </w:p>
        </w:tc>
        <w:tc>
          <w:tcPr>
            <w:tcW w:w="0" w:type="auto"/>
            <w:tcBorders>
              <w:top w:val="nil"/>
              <w:left w:val="nil"/>
              <w:bottom w:val="single" w:sz="24" w:space="0" w:color="auto"/>
              <w:right w:val="nil"/>
            </w:tcBorders>
            <w:vAlign w:val="center"/>
            <w:hideMark/>
          </w:tcPr>
          <w:p w14:paraId="72B7759F"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$3,544,000</w:t>
            </w:r>
          </w:p>
        </w:tc>
        <w:tc>
          <w:tcPr>
            <w:tcW w:w="0" w:type="auto"/>
            <w:tcBorders>
              <w:top w:val="nil"/>
              <w:left w:val="nil"/>
              <w:bottom w:val="single" w:sz="24" w:space="0" w:color="auto"/>
              <w:right w:val="nil"/>
            </w:tcBorders>
            <w:vAlign w:val="center"/>
            <w:hideMark/>
          </w:tcPr>
          <w:p w14:paraId="03285066"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$5,292,000</w:t>
            </w:r>
          </w:p>
        </w:tc>
        <w:tc>
          <w:tcPr>
            <w:tcW w:w="0" w:type="auto"/>
            <w:tcBorders>
              <w:top w:val="nil"/>
              <w:left w:val="nil"/>
              <w:bottom w:val="single" w:sz="24" w:space="0" w:color="auto"/>
              <w:right w:val="nil"/>
            </w:tcBorders>
            <w:vAlign w:val="center"/>
            <w:hideMark/>
          </w:tcPr>
          <w:p w14:paraId="3CA10171"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$5,277,000</w:t>
            </w:r>
          </w:p>
        </w:tc>
      </w:tr>
      <w:tr w:rsidR="00106BAA" w:rsidRPr="00106BAA" w14:paraId="7F967037" w14:textId="77777777" w:rsidTr="00106BAA">
        <w:tc>
          <w:tcPr>
            <w:tcW w:w="0" w:type="auto"/>
            <w:tcBorders>
              <w:top w:val="nil"/>
              <w:left w:val="nil"/>
              <w:bottom w:val="single" w:sz="24" w:space="0" w:color="auto"/>
              <w:right w:val="nil"/>
            </w:tcBorders>
            <w:vAlign w:val="center"/>
            <w:hideMark/>
          </w:tcPr>
          <w:p w14:paraId="174AAAD8"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Total Current Assets</w:t>
            </w:r>
          </w:p>
        </w:tc>
        <w:tc>
          <w:tcPr>
            <w:tcW w:w="0" w:type="auto"/>
            <w:tcBorders>
              <w:top w:val="nil"/>
              <w:left w:val="nil"/>
              <w:bottom w:val="single" w:sz="24" w:space="0" w:color="auto"/>
              <w:right w:val="nil"/>
            </w:tcBorders>
            <w:vAlign w:val="center"/>
            <w:hideMark/>
          </w:tcPr>
          <w:p w14:paraId="2688D48C"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$67,858,000</w:t>
            </w:r>
          </w:p>
        </w:tc>
        <w:tc>
          <w:tcPr>
            <w:tcW w:w="0" w:type="auto"/>
            <w:tcBorders>
              <w:top w:val="nil"/>
              <w:left w:val="nil"/>
              <w:bottom w:val="single" w:sz="24" w:space="0" w:color="auto"/>
              <w:right w:val="nil"/>
            </w:tcBorders>
            <w:vAlign w:val="center"/>
            <w:hideMark/>
          </w:tcPr>
          <w:p w14:paraId="6A4EBB8D"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$65,633,000</w:t>
            </w:r>
          </w:p>
        </w:tc>
        <w:tc>
          <w:tcPr>
            <w:tcW w:w="0" w:type="auto"/>
            <w:tcBorders>
              <w:top w:val="nil"/>
              <w:left w:val="nil"/>
              <w:bottom w:val="single" w:sz="24" w:space="0" w:color="auto"/>
              <w:right w:val="nil"/>
            </w:tcBorders>
            <w:vAlign w:val="center"/>
            <w:hideMark/>
          </w:tcPr>
          <w:p w14:paraId="697DEF01"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$60,008,000</w:t>
            </w:r>
          </w:p>
        </w:tc>
        <w:tc>
          <w:tcPr>
            <w:tcW w:w="0" w:type="auto"/>
            <w:tcBorders>
              <w:top w:val="nil"/>
              <w:left w:val="nil"/>
              <w:bottom w:val="single" w:sz="24" w:space="0" w:color="auto"/>
              <w:right w:val="nil"/>
            </w:tcBorders>
            <w:vAlign w:val="center"/>
            <w:hideMark/>
          </w:tcPr>
          <w:p w14:paraId="1F46F0F3"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$56,369,000</w:t>
            </w:r>
          </w:p>
        </w:tc>
      </w:tr>
      <w:tr w:rsidR="00106BAA" w:rsidRPr="00106BAA" w14:paraId="287D65E2" w14:textId="77777777" w:rsidTr="00106BAA">
        <w:tc>
          <w:tcPr>
            <w:tcW w:w="0" w:type="auto"/>
            <w:tcBorders>
              <w:top w:val="nil"/>
              <w:left w:val="nil"/>
              <w:bottom w:val="single" w:sz="24" w:space="0" w:color="auto"/>
              <w:right w:val="nil"/>
            </w:tcBorders>
            <w:vAlign w:val="center"/>
            <w:hideMark/>
          </w:tcPr>
          <w:p w14:paraId="495BFB4C"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color w:val="2B2B2B"/>
                <w:spacing w:val="-5"/>
                <w:sz w:val="24"/>
                <w:szCs w:val="24"/>
                <w:bdr w:val="none" w:sz="0" w:space="0" w:color="auto" w:frame="1"/>
                <w:lang w:eastAsia="en-GB"/>
              </w:rPr>
              <w:t>Long-Term Assets</w:t>
            </w:r>
          </w:p>
        </w:tc>
        <w:tc>
          <w:tcPr>
            <w:tcW w:w="0" w:type="auto"/>
            <w:tcBorders>
              <w:top w:val="nil"/>
              <w:left w:val="nil"/>
              <w:bottom w:val="single" w:sz="24" w:space="0" w:color="auto"/>
              <w:right w:val="nil"/>
            </w:tcBorders>
            <w:vAlign w:val="center"/>
            <w:hideMark/>
          </w:tcPr>
          <w:p w14:paraId="68C45C43"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p>
        </w:tc>
        <w:tc>
          <w:tcPr>
            <w:tcW w:w="0" w:type="auto"/>
            <w:tcBorders>
              <w:top w:val="nil"/>
              <w:left w:val="nil"/>
              <w:bottom w:val="single" w:sz="24" w:space="0" w:color="auto"/>
              <w:right w:val="nil"/>
            </w:tcBorders>
            <w:vAlign w:val="center"/>
            <w:hideMark/>
          </w:tcPr>
          <w:p w14:paraId="50146562"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398241C9"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5522860C"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r>
      <w:tr w:rsidR="00106BAA" w:rsidRPr="00106BAA" w14:paraId="516625E1" w14:textId="77777777" w:rsidTr="00106BAA">
        <w:tc>
          <w:tcPr>
            <w:tcW w:w="0" w:type="auto"/>
            <w:tcBorders>
              <w:top w:val="nil"/>
              <w:left w:val="nil"/>
              <w:bottom w:val="single" w:sz="24" w:space="0" w:color="auto"/>
              <w:right w:val="nil"/>
            </w:tcBorders>
            <w:vAlign w:val="center"/>
            <w:hideMark/>
          </w:tcPr>
          <w:p w14:paraId="6DBA5BAD"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Long-Term Investments</w:t>
            </w:r>
          </w:p>
        </w:tc>
        <w:tc>
          <w:tcPr>
            <w:tcW w:w="0" w:type="auto"/>
            <w:tcBorders>
              <w:top w:val="nil"/>
              <w:left w:val="nil"/>
              <w:bottom w:val="single" w:sz="24" w:space="0" w:color="auto"/>
              <w:right w:val="nil"/>
            </w:tcBorders>
            <w:vAlign w:val="center"/>
            <w:hideMark/>
          </w:tcPr>
          <w:p w14:paraId="215BEE1E"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$23,019,000</w:t>
            </w:r>
          </w:p>
        </w:tc>
        <w:tc>
          <w:tcPr>
            <w:tcW w:w="0" w:type="auto"/>
            <w:tcBorders>
              <w:top w:val="nil"/>
              <w:left w:val="nil"/>
              <w:bottom w:val="single" w:sz="24" w:space="0" w:color="auto"/>
              <w:right w:val="nil"/>
            </w:tcBorders>
            <w:vAlign w:val="center"/>
            <w:hideMark/>
          </w:tcPr>
          <w:p w14:paraId="5ECAA886"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$21,096,000</w:t>
            </w:r>
          </w:p>
        </w:tc>
        <w:tc>
          <w:tcPr>
            <w:tcW w:w="0" w:type="auto"/>
            <w:tcBorders>
              <w:top w:val="nil"/>
              <w:left w:val="nil"/>
              <w:bottom w:val="single" w:sz="24" w:space="0" w:color="auto"/>
              <w:right w:val="nil"/>
            </w:tcBorders>
            <w:vAlign w:val="center"/>
            <w:hideMark/>
          </w:tcPr>
          <w:p w14:paraId="1FAFFC4A"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$23,025,000</w:t>
            </w:r>
          </w:p>
        </w:tc>
        <w:tc>
          <w:tcPr>
            <w:tcW w:w="0" w:type="auto"/>
            <w:tcBorders>
              <w:top w:val="nil"/>
              <w:left w:val="nil"/>
              <w:bottom w:val="single" w:sz="24" w:space="0" w:color="auto"/>
              <w:right w:val="nil"/>
            </w:tcBorders>
            <w:vAlign w:val="center"/>
            <w:hideMark/>
          </w:tcPr>
          <w:p w14:paraId="3D6E7408"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$20,812,000</w:t>
            </w:r>
          </w:p>
        </w:tc>
      </w:tr>
      <w:tr w:rsidR="00106BAA" w:rsidRPr="00106BAA" w14:paraId="76E32480" w14:textId="77777777" w:rsidTr="00106BAA">
        <w:tc>
          <w:tcPr>
            <w:tcW w:w="0" w:type="auto"/>
            <w:tcBorders>
              <w:top w:val="nil"/>
              <w:left w:val="nil"/>
              <w:bottom w:val="single" w:sz="24" w:space="0" w:color="auto"/>
              <w:right w:val="nil"/>
            </w:tcBorders>
            <w:vAlign w:val="center"/>
            <w:hideMark/>
          </w:tcPr>
          <w:p w14:paraId="56C813CF"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Fixed Assets</w:t>
            </w:r>
          </w:p>
        </w:tc>
        <w:tc>
          <w:tcPr>
            <w:tcW w:w="0" w:type="auto"/>
            <w:tcBorders>
              <w:top w:val="nil"/>
              <w:left w:val="nil"/>
              <w:bottom w:val="single" w:sz="24" w:space="0" w:color="auto"/>
              <w:right w:val="nil"/>
            </w:tcBorders>
            <w:vAlign w:val="center"/>
            <w:hideMark/>
          </w:tcPr>
          <w:p w14:paraId="54ACDBB1"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$30,435,000</w:t>
            </w:r>
          </w:p>
        </w:tc>
        <w:tc>
          <w:tcPr>
            <w:tcW w:w="0" w:type="auto"/>
            <w:tcBorders>
              <w:top w:val="nil"/>
              <w:left w:val="nil"/>
              <w:bottom w:val="single" w:sz="24" w:space="0" w:color="auto"/>
              <w:right w:val="nil"/>
            </w:tcBorders>
            <w:vAlign w:val="center"/>
            <w:hideMark/>
          </w:tcPr>
          <w:p w14:paraId="0674F9EF"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$30,745,000</w:t>
            </w:r>
          </w:p>
        </w:tc>
        <w:tc>
          <w:tcPr>
            <w:tcW w:w="0" w:type="auto"/>
            <w:tcBorders>
              <w:top w:val="nil"/>
              <w:left w:val="nil"/>
              <w:bottom w:val="single" w:sz="24" w:space="0" w:color="auto"/>
              <w:right w:val="nil"/>
            </w:tcBorders>
            <w:vAlign w:val="center"/>
            <w:hideMark/>
          </w:tcPr>
          <w:p w14:paraId="50A4F720"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$32,018,000</w:t>
            </w:r>
          </w:p>
        </w:tc>
        <w:tc>
          <w:tcPr>
            <w:tcW w:w="0" w:type="auto"/>
            <w:tcBorders>
              <w:top w:val="nil"/>
              <w:left w:val="nil"/>
              <w:bottom w:val="single" w:sz="24" w:space="0" w:color="auto"/>
              <w:right w:val="nil"/>
            </w:tcBorders>
            <w:vAlign w:val="center"/>
            <w:hideMark/>
          </w:tcPr>
          <w:p w14:paraId="63A97465"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$33,335,000</w:t>
            </w:r>
          </w:p>
        </w:tc>
      </w:tr>
      <w:tr w:rsidR="00106BAA" w:rsidRPr="00106BAA" w14:paraId="59755197" w14:textId="77777777" w:rsidTr="00106BAA">
        <w:tc>
          <w:tcPr>
            <w:tcW w:w="0" w:type="auto"/>
            <w:tcBorders>
              <w:top w:val="nil"/>
              <w:left w:val="nil"/>
              <w:bottom w:val="single" w:sz="24" w:space="0" w:color="auto"/>
              <w:right w:val="nil"/>
            </w:tcBorders>
            <w:vAlign w:val="center"/>
            <w:hideMark/>
          </w:tcPr>
          <w:p w14:paraId="02FC2C3A"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Goodwill</w:t>
            </w:r>
          </w:p>
        </w:tc>
        <w:tc>
          <w:tcPr>
            <w:tcW w:w="0" w:type="auto"/>
            <w:tcBorders>
              <w:top w:val="nil"/>
              <w:left w:val="nil"/>
              <w:bottom w:val="single" w:sz="24" w:space="0" w:color="auto"/>
              <w:right w:val="nil"/>
            </w:tcBorders>
            <w:vAlign w:val="center"/>
            <w:hideMark/>
          </w:tcPr>
          <w:p w14:paraId="1F396BF0"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$91,272,000</w:t>
            </w:r>
          </w:p>
        </w:tc>
        <w:tc>
          <w:tcPr>
            <w:tcW w:w="0" w:type="auto"/>
            <w:tcBorders>
              <w:top w:val="nil"/>
              <w:left w:val="nil"/>
              <w:bottom w:val="single" w:sz="24" w:space="0" w:color="auto"/>
              <w:right w:val="nil"/>
            </w:tcBorders>
            <w:vAlign w:val="center"/>
            <w:hideMark/>
          </w:tcPr>
          <w:p w14:paraId="78EE98DF"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$78,150,000</w:t>
            </w:r>
          </w:p>
        </w:tc>
        <w:tc>
          <w:tcPr>
            <w:tcW w:w="0" w:type="auto"/>
            <w:tcBorders>
              <w:top w:val="nil"/>
              <w:left w:val="nil"/>
              <w:bottom w:val="single" w:sz="24" w:space="0" w:color="auto"/>
              <w:right w:val="nil"/>
            </w:tcBorders>
            <w:vAlign w:val="center"/>
            <w:hideMark/>
          </w:tcPr>
          <w:p w14:paraId="746BAD2D"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$79,121,000</w:t>
            </w:r>
          </w:p>
        </w:tc>
        <w:tc>
          <w:tcPr>
            <w:tcW w:w="0" w:type="auto"/>
            <w:tcBorders>
              <w:top w:val="nil"/>
              <w:left w:val="nil"/>
              <w:bottom w:val="single" w:sz="24" w:space="0" w:color="auto"/>
              <w:right w:val="nil"/>
            </w:tcBorders>
            <w:vAlign w:val="center"/>
            <w:hideMark/>
          </w:tcPr>
          <w:p w14:paraId="61DF9573"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$79,552,000</w:t>
            </w:r>
          </w:p>
        </w:tc>
      </w:tr>
      <w:tr w:rsidR="00106BAA" w:rsidRPr="00106BAA" w14:paraId="01E9F549" w14:textId="77777777" w:rsidTr="00106BAA">
        <w:tc>
          <w:tcPr>
            <w:tcW w:w="0" w:type="auto"/>
            <w:tcBorders>
              <w:top w:val="nil"/>
              <w:left w:val="nil"/>
              <w:bottom w:val="single" w:sz="24" w:space="0" w:color="auto"/>
              <w:right w:val="nil"/>
            </w:tcBorders>
            <w:shd w:val="clear" w:color="auto" w:fill="EFEFEF"/>
            <w:vAlign w:val="center"/>
            <w:hideMark/>
          </w:tcPr>
          <w:p w14:paraId="04C7EE84"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Intangible Assets</w:t>
            </w:r>
          </w:p>
        </w:tc>
        <w:tc>
          <w:tcPr>
            <w:tcW w:w="0" w:type="auto"/>
            <w:tcBorders>
              <w:top w:val="nil"/>
              <w:left w:val="nil"/>
              <w:bottom w:val="single" w:sz="24" w:space="0" w:color="auto"/>
              <w:right w:val="nil"/>
            </w:tcBorders>
            <w:shd w:val="clear" w:color="auto" w:fill="EFEFEF"/>
            <w:vAlign w:val="center"/>
            <w:hideMark/>
          </w:tcPr>
          <w:p w14:paraId="0515FD92"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$29,234,000</w:t>
            </w:r>
          </w:p>
        </w:tc>
        <w:tc>
          <w:tcPr>
            <w:tcW w:w="0" w:type="auto"/>
            <w:tcBorders>
              <w:top w:val="nil"/>
              <w:left w:val="nil"/>
              <w:bottom w:val="single" w:sz="24" w:space="0" w:color="auto"/>
              <w:right w:val="nil"/>
            </w:tcBorders>
            <w:shd w:val="clear" w:color="auto" w:fill="EFEFEF"/>
            <w:vAlign w:val="center"/>
            <w:hideMark/>
          </w:tcPr>
          <w:p w14:paraId="37AD85AF"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$24,803,000</w:t>
            </w:r>
          </w:p>
        </w:tc>
        <w:tc>
          <w:tcPr>
            <w:tcW w:w="0" w:type="auto"/>
            <w:tcBorders>
              <w:top w:val="nil"/>
              <w:left w:val="nil"/>
              <w:bottom w:val="single" w:sz="24" w:space="0" w:color="auto"/>
              <w:right w:val="nil"/>
            </w:tcBorders>
            <w:shd w:val="clear" w:color="auto" w:fill="EFEFEF"/>
            <w:vAlign w:val="center"/>
            <w:hideMark/>
          </w:tcPr>
          <w:p w14:paraId="16EE5488"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$29,026,000</w:t>
            </w:r>
          </w:p>
        </w:tc>
        <w:tc>
          <w:tcPr>
            <w:tcW w:w="0" w:type="auto"/>
            <w:tcBorders>
              <w:top w:val="nil"/>
              <w:left w:val="nil"/>
              <w:bottom w:val="single" w:sz="24" w:space="0" w:color="auto"/>
              <w:right w:val="nil"/>
            </w:tcBorders>
            <w:shd w:val="clear" w:color="auto" w:fill="EFEFEF"/>
            <w:vAlign w:val="center"/>
            <w:hideMark/>
          </w:tcPr>
          <w:p w14:paraId="502DA399"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$31,142,000</w:t>
            </w:r>
          </w:p>
        </w:tc>
      </w:tr>
      <w:tr w:rsidR="00106BAA" w:rsidRPr="00106BAA" w14:paraId="79A3B45A" w14:textId="77777777" w:rsidTr="00106BAA">
        <w:tc>
          <w:tcPr>
            <w:tcW w:w="0" w:type="auto"/>
            <w:tcBorders>
              <w:top w:val="nil"/>
              <w:left w:val="nil"/>
              <w:bottom w:val="single" w:sz="24" w:space="0" w:color="auto"/>
              <w:right w:val="nil"/>
            </w:tcBorders>
            <w:vAlign w:val="center"/>
            <w:hideMark/>
          </w:tcPr>
          <w:p w14:paraId="077396B0"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Other Assets</w:t>
            </w:r>
          </w:p>
        </w:tc>
        <w:tc>
          <w:tcPr>
            <w:tcW w:w="0" w:type="auto"/>
            <w:tcBorders>
              <w:top w:val="nil"/>
              <w:left w:val="nil"/>
              <w:bottom w:val="single" w:sz="24" w:space="0" w:color="auto"/>
              <w:right w:val="nil"/>
            </w:tcBorders>
            <w:vAlign w:val="center"/>
            <w:hideMark/>
          </w:tcPr>
          <w:p w14:paraId="78689502"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$7,910,000</w:t>
            </w:r>
          </w:p>
        </w:tc>
        <w:tc>
          <w:tcPr>
            <w:tcW w:w="0" w:type="auto"/>
            <w:tcBorders>
              <w:top w:val="nil"/>
              <w:left w:val="nil"/>
              <w:bottom w:val="single" w:sz="24" w:space="0" w:color="auto"/>
              <w:right w:val="nil"/>
            </w:tcBorders>
            <w:vAlign w:val="center"/>
            <w:hideMark/>
          </w:tcPr>
          <w:p w14:paraId="5F2971F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$7,848,000</w:t>
            </w:r>
          </w:p>
        </w:tc>
        <w:tc>
          <w:tcPr>
            <w:tcW w:w="0" w:type="auto"/>
            <w:tcBorders>
              <w:top w:val="nil"/>
              <w:left w:val="nil"/>
              <w:bottom w:val="single" w:sz="24" w:space="0" w:color="auto"/>
              <w:right w:val="nil"/>
            </w:tcBorders>
            <w:vAlign w:val="center"/>
            <w:hideMark/>
          </w:tcPr>
          <w:p w14:paraId="5405F236"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$9,801,000</w:t>
            </w:r>
          </w:p>
        </w:tc>
        <w:tc>
          <w:tcPr>
            <w:tcW w:w="0" w:type="auto"/>
            <w:tcBorders>
              <w:top w:val="nil"/>
              <w:left w:val="nil"/>
              <w:bottom w:val="single" w:sz="24" w:space="0" w:color="auto"/>
              <w:right w:val="nil"/>
            </w:tcBorders>
            <w:vAlign w:val="center"/>
            <w:hideMark/>
          </w:tcPr>
          <w:p w14:paraId="0329E786"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$9,505,000</w:t>
            </w:r>
          </w:p>
        </w:tc>
      </w:tr>
      <w:tr w:rsidR="00106BAA" w:rsidRPr="00106BAA" w14:paraId="2CF72746" w14:textId="77777777" w:rsidTr="00106BAA">
        <w:tc>
          <w:tcPr>
            <w:tcW w:w="0" w:type="auto"/>
            <w:tcBorders>
              <w:top w:val="nil"/>
              <w:left w:val="nil"/>
              <w:bottom w:val="single" w:sz="24" w:space="0" w:color="auto"/>
              <w:right w:val="nil"/>
            </w:tcBorders>
            <w:shd w:val="clear" w:color="auto" w:fill="EFEFEF"/>
            <w:vAlign w:val="center"/>
            <w:hideMark/>
          </w:tcPr>
          <w:p w14:paraId="184AD524"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Deferred Asset Charges</w:t>
            </w:r>
          </w:p>
        </w:tc>
        <w:tc>
          <w:tcPr>
            <w:tcW w:w="0" w:type="auto"/>
            <w:tcBorders>
              <w:top w:val="nil"/>
              <w:left w:val="nil"/>
              <w:bottom w:val="single" w:sz="24" w:space="0" w:color="auto"/>
              <w:right w:val="nil"/>
            </w:tcBorders>
            <w:shd w:val="clear" w:color="auto" w:fill="EFEFEF"/>
            <w:vAlign w:val="center"/>
            <w:hideMark/>
          </w:tcPr>
          <w:p w14:paraId="09DF749D"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shd w:val="clear" w:color="auto" w:fill="EFEFEF"/>
            <w:vAlign w:val="center"/>
            <w:hideMark/>
          </w:tcPr>
          <w:p w14:paraId="5C8956CB"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shd w:val="clear" w:color="auto" w:fill="EFEFEF"/>
            <w:vAlign w:val="center"/>
            <w:hideMark/>
          </w:tcPr>
          <w:p w14:paraId="1BD38696"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shd w:val="clear" w:color="auto" w:fill="EFEFEF"/>
            <w:vAlign w:val="center"/>
            <w:hideMark/>
          </w:tcPr>
          <w:p w14:paraId="1CDEDDFE"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r>
      <w:tr w:rsidR="00106BAA" w:rsidRPr="00106BAA" w14:paraId="1CC0FDAD" w14:textId="77777777" w:rsidTr="00106BAA">
        <w:tc>
          <w:tcPr>
            <w:tcW w:w="0" w:type="auto"/>
            <w:tcBorders>
              <w:top w:val="nil"/>
              <w:left w:val="nil"/>
              <w:bottom w:val="single" w:sz="24" w:space="0" w:color="auto"/>
              <w:right w:val="nil"/>
            </w:tcBorders>
            <w:vAlign w:val="center"/>
            <w:hideMark/>
          </w:tcPr>
          <w:p w14:paraId="20AA85A5"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Total Assets</w:t>
            </w:r>
          </w:p>
        </w:tc>
        <w:tc>
          <w:tcPr>
            <w:tcW w:w="0" w:type="auto"/>
            <w:tcBorders>
              <w:top w:val="nil"/>
              <w:left w:val="nil"/>
              <w:bottom w:val="single" w:sz="24" w:space="0" w:color="auto"/>
              <w:right w:val="nil"/>
            </w:tcBorders>
            <w:vAlign w:val="center"/>
            <w:hideMark/>
          </w:tcPr>
          <w:p w14:paraId="48D5BCEB"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$249,728,000</w:t>
            </w:r>
          </w:p>
        </w:tc>
        <w:tc>
          <w:tcPr>
            <w:tcW w:w="0" w:type="auto"/>
            <w:tcBorders>
              <w:top w:val="nil"/>
              <w:left w:val="nil"/>
              <w:bottom w:val="single" w:sz="24" w:space="0" w:color="auto"/>
              <w:right w:val="nil"/>
            </w:tcBorders>
            <w:vAlign w:val="center"/>
            <w:hideMark/>
          </w:tcPr>
          <w:p w14:paraId="4ABD6321"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$228,275,000</w:t>
            </w:r>
          </w:p>
        </w:tc>
        <w:tc>
          <w:tcPr>
            <w:tcW w:w="0" w:type="auto"/>
            <w:tcBorders>
              <w:top w:val="nil"/>
              <w:left w:val="nil"/>
              <w:bottom w:val="single" w:sz="24" w:space="0" w:color="auto"/>
              <w:right w:val="nil"/>
            </w:tcBorders>
            <w:vAlign w:val="center"/>
            <w:hideMark/>
          </w:tcPr>
          <w:p w14:paraId="5E90C812"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$232,999,000</w:t>
            </w:r>
          </w:p>
        </w:tc>
        <w:tc>
          <w:tcPr>
            <w:tcW w:w="0" w:type="auto"/>
            <w:tcBorders>
              <w:top w:val="nil"/>
              <w:left w:val="nil"/>
              <w:bottom w:val="single" w:sz="24" w:space="0" w:color="auto"/>
              <w:right w:val="nil"/>
            </w:tcBorders>
            <w:vAlign w:val="center"/>
            <w:hideMark/>
          </w:tcPr>
          <w:p w14:paraId="735847A2"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$230,715,000</w:t>
            </w:r>
          </w:p>
        </w:tc>
      </w:tr>
      <w:tr w:rsidR="00106BAA" w:rsidRPr="00106BAA" w14:paraId="64F94481" w14:textId="77777777" w:rsidTr="00106BAA">
        <w:tc>
          <w:tcPr>
            <w:tcW w:w="0" w:type="auto"/>
            <w:tcBorders>
              <w:top w:val="nil"/>
              <w:left w:val="nil"/>
              <w:bottom w:val="single" w:sz="24" w:space="0" w:color="auto"/>
              <w:right w:val="nil"/>
            </w:tcBorders>
            <w:vAlign w:val="center"/>
            <w:hideMark/>
          </w:tcPr>
          <w:p w14:paraId="32D09803"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color w:val="2B2B2B"/>
                <w:spacing w:val="-5"/>
                <w:sz w:val="24"/>
                <w:szCs w:val="24"/>
                <w:bdr w:val="none" w:sz="0" w:space="0" w:color="auto" w:frame="1"/>
                <w:lang w:eastAsia="en-GB"/>
              </w:rPr>
              <w:t>Current Liabilities</w:t>
            </w:r>
          </w:p>
        </w:tc>
        <w:tc>
          <w:tcPr>
            <w:tcW w:w="0" w:type="auto"/>
            <w:tcBorders>
              <w:top w:val="nil"/>
              <w:left w:val="nil"/>
              <w:bottom w:val="single" w:sz="24" w:space="0" w:color="auto"/>
              <w:right w:val="nil"/>
            </w:tcBorders>
            <w:vAlign w:val="center"/>
            <w:hideMark/>
          </w:tcPr>
          <w:p w14:paraId="07646D7B"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p>
        </w:tc>
        <w:tc>
          <w:tcPr>
            <w:tcW w:w="0" w:type="auto"/>
            <w:tcBorders>
              <w:top w:val="nil"/>
              <w:left w:val="nil"/>
              <w:bottom w:val="single" w:sz="24" w:space="0" w:color="auto"/>
              <w:right w:val="nil"/>
            </w:tcBorders>
            <w:vAlign w:val="center"/>
            <w:hideMark/>
          </w:tcPr>
          <w:p w14:paraId="32C8B89D"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595F29F6"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32D9B4C9"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r>
      <w:tr w:rsidR="00106BAA" w:rsidRPr="00106BAA" w14:paraId="7093E787" w14:textId="77777777" w:rsidTr="00106BAA">
        <w:tc>
          <w:tcPr>
            <w:tcW w:w="0" w:type="auto"/>
            <w:tcBorders>
              <w:top w:val="nil"/>
              <w:left w:val="nil"/>
              <w:bottom w:val="single" w:sz="24" w:space="0" w:color="auto"/>
              <w:right w:val="nil"/>
            </w:tcBorders>
            <w:vAlign w:val="center"/>
            <w:hideMark/>
          </w:tcPr>
          <w:p w14:paraId="49C5FFA0"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Accounts Payable</w:t>
            </w:r>
          </w:p>
        </w:tc>
        <w:tc>
          <w:tcPr>
            <w:tcW w:w="0" w:type="auto"/>
            <w:tcBorders>
              <w:top w:val="nil"/>
              <w:left w:val="nil"/>
              <w:bottom w:val="single" w:sz="24" w:space="0" w:color="auto"/>
              <w:right w:val="nil"/>
            </w:tcBorders>
            <w:vAlign w:val="center"/>
            <w:hideMark/>
          </w:tcPr>
          <w:p w14:paraId="4BEC7324"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$37,086,000</w:t>
            </w:r>
          </w:p>
        </w:tc>
        <w:tc>
          <w:tcPr>
            <w:tcW w:w="0" w:type="auto"/>
            <w:tcBorders>
              <w:top w:val="nil"/>
              <w:left w:val="nil"/>
              <w:bottom w:val="single" w:sz="24" w:space="0" w:color="auto"/>
              <w:right w:val="nil"/>
            </w:tcBorders>
            <w:vAlign w:val="center"/>
            <w:hideMark/>
          </w:tcPr>
          <w:p w14:paraId="490A19FF"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$33,583,000</w:t>
            </w:r>
          </w:p>
        </w:tc>
        <w:tc>
          <w:tcPr>
            <w:tcW w:w="0" w:type="auto"/>
            <w:tcBorders>
              <w:top w:val="nil"/>
              <w:left w:val="nil"/>
              <w:bottom w:val="single" w:sz="24" w:space="0" w:color="auto"/>
              <w:right w:val="nil"/>
            </w:tcBorders>
            <w:vAlign w:val="center"/>
            <w:hideMark/>
          </w:tcPr>
          <w:p w14:paraId="23943763"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$30,214,000</w:t>
            </w:r>
          </w:p>
        </w:tc>
        <w:tc>
          <w:tcPr>
            <w:tcW w:w="0" w:type="auto"/>
            <w:tcBorders>
              <w:top w:val="nil"/>
              <w:left w:val="nil"/>
              <w:bottom w:val="single" w:sz="24" w:space="0" w:color="auto"/>
              <w:right w:val="nil"/>
            </w:tcBorders>
            <w:vAlign w:val="center"/>
            <w:hideMark/>
          </w:tcPr>
          <w:p w14:paraId="081D8C16"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$25,381,000</w:t>
            </w:r>
          </w:p>
        </w:tc>
      </w:tr>
      <w:tr w:rsidR="00106BAA" w:rsidRPr="00106BAA" w14:paraId="63E6F767" w14:textId="77777777" w:rsidTr="00106BAA">
        <w:tc>
          <w:tcPr>
            <w:tcW w:w="0" w:type="auto"/>
            <w:tcBorders>
              <w:top w:val="nil"/>
              <w:left w:val="nil"/>
              <w:bottom w:val="single" w:sz="24" w:space="0" w:color="auto"/>
              <w:right w:val="nil"/>
            </w:tcBorders>
            <w:vAlign w:val="center"/>
            <w:hideMark/>
          </w:tcPr>
          <w:p w14:paraId="75262771"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Short-Term Debt / Current Portion of Long-Term Debt</w:t>
            </w:r>
          </w:p>
        </w:tc>
        <w:tc>
          <w:tcPr>
            <w:tcW w:w="0" w:type="auto"/>
            <w:tcBorders>
              <w:top w:val="nil"/>
              <w:left w:val="nil"/>
              <w:bottom w:val="single" w:sz="24" w:space="0" w:color="auto"/>
              <w:right w:val="nil"/>
            </w:tcBorders>
            <w:vAlign w:val="center"/>
            <w:hideMark/>
          </w:tcPr>
          <w:p w14:paraId="53C40E90"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$37,895,000</w:t>
            </w:r>
          </w:p>
        </w:tc>
        <w:tc>
          <w:tcPr>
            <w:tcW w:w="0" w:type="auto"/>
            <w:tcBorders>
              <w:top w:val="nil"/>
              <w:left w:val="nil"/>
              <w:bottom w:val="single" w:sz="24" w:space="0" w:color="auto"/>
              <w:right w:val="nil"/>
            </w:tcBorders>
            <w:vAlign w:val="center"/>
            <w:hideMark/>
          </w:tcPr>
          <w:p w14:paraId="236F9589"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$31,343,000</w:t>
            </w:r>
          </w:p>
        </w:tc>
        <w:tc>
          <w:tcPr>
            <w:tcW w:w="0" w:type="auto"/>
            <w:tcBorders>
              <w:top w:val="nil"/>
              <w:left w:val="nil"/>
              <w:bottom w:val="single" w:sz="24" w:space="0" w:color="auto"/>
              <w:right w:val="nil"/>
            </w:tcBorders>
            <w:vAlign w:val="center"/>
            <w:hideMark/>
          </w:tcPr>
          <w:p w14:paraId="0AC87FD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$30,343,000</w:t>
            </w:r>
          </w:p>
        </w:tc>
        <w:tc>
          <w:tcPr>
            <w:tcW w:w="0" w:type="auto"/>
            <w:tcBorders>
              <w:top w:val="nil"/>
              <w:left w:val="nil"/>
              <w:bottom w:val="single" w:sz="24" w:space="0" w:color="auto"/>
              <w:right w:val="nil"/>
            </w:tcBorders>
            <w:vAlign w:val="center"/>
            <w:hideMark/>
          </w:tcPr>
          <w:p w14:paraId="48DD1121"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$29,171,000</w:t>
            </w:r>
          </w:p>
        </w:tc>
      </w:tr>
      <w:tr w:rsidR="00106BAA" w:rsidRPr="00106BAA" w14:paraId="2B275204" w14:textId="77777777" w:rsidTr="00106BAA">
        <w:tc>
          <w:tcPr>
            <w:tcW w:w="0" w:type="auto"/>
            <w:tcBorders>
              <w:top w:val="nil"/>
              <w:left w:val="nil"/>
              <w:bottom w:val="single" w:sz="24" w:space="0" w:color="auto"/>
              <w:right w:val="nil"/>
            </w:tcBorders>
            <w:vAlign w:val="center"/>
            <w:hideMark/>
          </w:tcPr>
          <w:p w14:paraId="2EAE1125"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Other Current Liabilities</w:t>
            </w:r>
          </w:p>
        </w:tc>
        <w:tc>
          <w:tcPr>
            <w:tcW w:w="0" w:type="auto"/>
            <w:tcBorders>
              <w:top w:val="nil"/>
              <w:left w:val="nil"/>
              <w:bottom w:val="single" w:sz="24" w:space="0" w:color="auto"/>
              <w:right w:val="nil"/>
            </w:tcBorders>
            <w:vAlign w:val="center"/>
            <w:hideMark/>
          </w:tcPr>
          <w:p w14:paraId="66D4936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$4,208,000</w:t>
            </w:r>
          </w:p>
        </w:tc>
        <w:tc>
          <w:tcPr>
            <w:tcW w:w="0" w:type="auto"/>
            <w:tcBorders>
              <w:top w:val="nil"/>
              <w:left w:val="nil"/>
              <w:bottom w:val="single" w:sz="24" w:space="0" w:color="auto"/>
              <w:right w:val="nil"/>
            </w:tcBorders>
            <w:vAlign w:val="center"/>
            <w:hideMark/>
          </w:tcPr>
          <w:p w14:paraId="0427C3E4"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$4,495,000</w:t>
            </w:r>
          </w:p>
        </w:tc>
        <w:tc>
          <w:tcPr>
            <w:tcW w:w="0" w:type="auto"/>
            <w:tcBorders>
              <w:top w:val="nil"/>
              <w:left w:val="nil"/>
              <w:bottom w:val="single" w:sz="24" w:space="0" w:color="auto"/>
              <w:right w:val="nil"/>
            </w:tcBorders>
            <w:vAlign w:val="center"/>
            <w:hideMark/>
          </w:tcPr>
          <w:p w14:paraId="0492C3C5"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$7,250,000</w:t>
            </w:r>
          </w:p>
        </w:tc>
        <w:tc>
          <w:tcPr>
            <w:tcW w:w="0" w:type="auto"/>
            <w:tcBorders>
              <w:top w:val="nil"/>
              <w:left w:val="nil"/>
              <w:bottom w:val="single" w:sz="24" w:space="0" w:color="auto"/>
              <w:right w:val="nil"/>
            </w:tcBorders>
            <w:vAlign w:val="center"/>
            <w:hideMark/>
          </w:tcPr>
          <w:p w14:paraId="0D6D0A0D"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$7,465,000</w:t>
            </w:r>
          </w:p>
        </w:tc>
      </w:tr>
      <w:tr w:rsidR="00106BAA" w:rsidRPr="00106BAA" w14:paraId="72E531B3" w14:textId="77777777" w:rsidTr="00106BAA">
        <w:tc>
          <w:tcPr>
            <w:tcW w:w="0" w:type="auto"/>
            <w:tcBorders>
              <w:top w:val="nil"/>
              <w:left w:val="nil"/>
              <w:bottom w:val="single" w:sz="24" w:space="0" w:color="auto"/>
              <w:right w:val="nil"/>
            </w:tcBorders>
            <w:vAlign w:val="center"/>
            <w:hideMark/>
          </w:tcPr>
          <w:p w14:paraId="1E822D43"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Total Current Liabilities</w:t>
            </w:r>
          </w:p>
        </w:tc>
        <w:tc>
          <w:tcPr>
            <w:tcW w:w="0" w:type="auto"/>
            <w:tcBorders>
              <w:top w:val="nil"/>
              <w:left w:val="nil"/>
              <w:bottom w:val="single" w:sz="24" w:space="0" w:color="auto"/>
              <w:right w:val="nil"/>
            </w:tcBorders>
            <w:vAlign w:val="center"/>
            <w:hideMark/>
          </w:tcPr>
          <w:p w14:paraId="030F1399"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$79,189,000</w:t>
            </w:r>
          </w:p>
        </w:tc>
        <w:tc>
          <w:tcPr>
            <w:tcW w:w="0" w:type="auto"/>
            <w:tcBorders>
              <w:top w:val="nil"/>
              <w:left w:val="nil"/>
              <w:bottom w:val="single" w:sz="24" w:space="0" w:color="auto"/>
              <w:right w:val="nil"/>
            </w:tcBorders>
            <w:vAlign w:val="center"/>
            <w:hideMark/>
          </w:tcPr>
          <w:p w14:paraId="746F8728"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$69,421,000</w:t>
            </w:r>
          </w:p>
        </w:tc>
        <w:tc>
          <w:tcPr>
            <w:tcW w:w="0" w:type="auto"/>
            <w:tcBorders>
              <w:top w:val="nil"/>
              <w:left w:val="nil"/>
              <w:bottom w:val="single" w:sz="24" w:space="0" w:color="auto"/>
              <w:right w:val="nil"/>
            </w:tcBorders>
            <w:vAlign w:val="center"/>
            <w:hideMark/>
          </w:tcPr>
          <w:p w14:paraId="75A0FAAC"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$67,807,000</w:t>
            </w:r>
          </w:p>
        </w:tc>
        <w:tc>
          <w:tcPr>
            <w:tcW w:w="0" w:type="auto"/>
            <w:tcBorders>
              <w:top w:val="nil"/>
              <w:left w:val="nil"/>
              <w:bottom w:val="single" w:sz="24" w:space="0" w:color="auto"/>
              <w:right w:val="nil"/>
            </w:tcBorders>
            <w:vAlign w:val="center"/>
            <w:hideMark/>
          </w:tcPr>
          <w:p w14:paraId="3BBD940B"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$62,017,000</w:t>
            </w:r>
          </w:p>
        </w:tc>
      </w:tr>
      <w:tr w:rsidR="00106BAA" w:rsidRPr="00106BAA" w14:paraId="17E4E2C5" w14:textId="77777777" w:rsidTr="00106BAA">
        <w:tc>
          <w:tcPr>
            <w:tcW w:w="0" w:type="auto"/>
            <w:tcBorders>
              <w:top w:val="nil"/>
              <w:left w:val="nil"/>
              <w:bottom w:val="single" w:sz="24" w:space="0" w:color="auto"/>
              <w:right w:val="nil"/>
            </w:tcBorders>
            <w:vAlign w:val="center"/>
            <w:hideMark/>
          </w:tcPr>
          <w:p w14:paraId="5DB099B6"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Long-Term Debt</w:t>
            </w:r>
          </w:p>
        </w:tc>
        <w:tc>
          <w:tcPr>
            <w:tcW w:w="0" w:type="auto"/>
            <w:tcBorders>
              <w:top w:val="nil"/>
              <w:left w:val="nil"/>
              <w:bottom w:val="single" w:sz="24" w:space="0" w:color="auto"/>
              <w:right w:val="nil"/>
            </w:tcBorders>
            <w:vAlign w:val="center"/>
            <w:hideMark/>
          </w:tcPr>
          <w:p w14:paraId="5B05B45B"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$58,638,000</w:t>
            </w:r>
          </w:p>
        </w:tc>
        <w:tc>
          <w:tcPr>
            <w:tcW w:w="0" w:type="auto"/>
            <w:tcBorders>
              <w:top w:val="nil"/>
              <w:left w:val="nil"/>
              <w:bottom w:val="single" w:sz="24" w:space="0" w:color="auto"/>
              <w:right w:val="nil"/>
            </w:tcBorders>
            <w:vAlign w:val="center"/>
            <w:hideMark/>
          </w:tcPr>
          <w:p w14:paraId="04E4EDB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$50,476,000</w:t>
            </w:r>
          </w:p>
        </w:tc>
        <w:tc>
          <w:tcPr>
            <w:tcW w:w="0" w:type="auto"/>
            <w:tcBorders>
              <w:top w:val="nil"/>
              <w:left w:val="nil"/>
              <w:bottom w:val="single" w:sz="24" w:space="0" w:color="auto"/>
              <w:right w:val="nil"/>
            </w:tcBorders>
            <w:vAlign w:val="center"/>
            <w:hideMark/>
          </w:tcPr>
          <w:p w14:paraId="5D80331C"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$51,971,000</w:t>
            </w:r>
          </w:p>
        </w:tc>
        <w:tc>
          <w:tcPr>
            <w:tcW w:w="0" w:type="auto"/>
            <w:tcBorders>
              <w:top w:val="nil"/>
              <w:left w:val="nil"/>
              <w:bottom w:val="single" w:sz="24" w:space="0" w:color="auto"/>
              <w:right w:val="nil"/>
            </w:tcBorders>
            <w:vAlign w:val="center"/>
            <w:hideMark/>
          </w:tcPr>
          <w:p w14:paraId="1A35AAC4"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$59,207,000</w:t>
            </w:r>
          </w:p>
        </w:tc>
      </w:tr>
      <w:tr w:rsidR="00106BAA" w:rsidRPr="00106BAA" w14:paraId="779F2A25" w14:textId="77777777" w:rsidTr="00106BAA">
        <w:tc>
          <w:tcPr>
            <w:tcW w:w="0" w:type="auto"/>
            <w:tcBorders>
              <w:top w:val="nil"/>
              <w:left w:val="nil"/>
              <w:bottom w:val="single" w:sz="24" w:space="0" w:color="auto"/>
              <w:right w:val="nil"/>
            </w:tcBorders>
            <w:vAlign w:val="center"/>
            <w:hideMark/>
          </w:tcPr>
          <w:p w14:paraId="42DC5092"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Other Liabilities</w:t>
            </w:r>
          </w:p>
        </w:tc>
        <w:tc>
          <w:tcPr>
            <w:tcW w:w="0" w:type="auto"/>
            <w:tcBorders>
              <w:top w:val="nil"/>
              <w:left w:val="nil"/>
              <w:bottom w:val="single" w:sz="24" w:space="0" w:color="auto"/>
              <w:right w:val="nil"/>
            </w:tcBorders>
            <w:vAlign w:val="center"/>
            <w:hideMark/>
          </w:tcPr>
          <w:p w14:paraId="190BC2F0"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$30,954,000</w:t>
            </w:r>
          </w:p>
        </w:tc>
        <w:tc>
          <w:tcPr>
            <w:tcW w:w="0" w:type="auto"/>
            <w:tcBorders>
              <w:top w:val="nil"/>
              <w:left w:val="nil"/>
              <w:bottom w:val="single" w:sz="24" w:space="0" w:color="auto"/>
              <w:right w:val="nil"/>
            </w:tcBorders>
            <w:vAlign w:val="center"/>
            <w:hideMark/>
          </w:tcPr>
          <w:p w14:paraId="7342391E"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$32,593,000</w:t>
            </w:r>
          </w:p>
        </w:tc>
        <w:tc>
          <w:tcPr>
            <w:tcW w:w="0" w:type="auto"/>
            <w:tcBorders>
              <w:top w:val="nil"/>
              <w:left w:val="nil"/>
              <w:bottom w:val="single" w:sz="24" w:space="0" w:color="auto"/>
              <w:right w:val="nil"/>
            </w:tcBorders>
            <w:vAlign w:val="center"/>
            <w:hideMark/>
          </w:tcPr>
          <w:p w14:paraId="4E961C20"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$31,570,000</w:t>
            </w:r>
          </w:p>
        </w:tc>
        <w:tc>
          <w:tcPr>
            <w:tcW w:w="0" w:type="auto"/>
            <w:tcBorders>
              <w:top w:val="nil"/>
              <w:left w:val="nil"/>
              <w:bottom w:val="single" w:sz="24" w:space="0" w:color="auto"/>
              <w:right w:val="nil"/>
            </w:tcBorders>
            <w:vAlign w:val="center"/>
            <w:hideMark/>
          </w:tcPr>
          <w:p w14:paraId="6FC1C493"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$32,996,000</w:t>
            </w:r>
          </w:p>
        </w:tc>
      </w:tr>
      <w:tr w:rsidR="00106BAA" w:rsidRPr="00106BAA" w14:paraId="246C175C" w14:textId="77777777" w:rsidTr="00106BAA">
        <w:tc>
          <w:tcPr>
            <w:tcW w:w="0" w:type="auto"/>
            <w:tcBorders>
              <w:top w:val="nil"/>
              <w:left w:val="nil"/>
              <w:bottom w:val="single" w:sz="24" w:space="0" w:color="auto"/>
              <w:right w:val="nil"/>
            </w:tcBorders>
            <w:vAlign w:val="center"/>
            <w:hideMark/>
          </w:tcPr>
          <w:p w14:paraId="3020B944"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Deferred Liability Charges</w:t>
            </w:r>
          </w:p>
        </w:tc>
        <w:tc>
          <w:tcPr>
            <w:tcW w:w="0" w:type="auto"/>
            <w:tcBorders>
              <w:top w:val="nil"/>
              <w:left w:val="nil"/>
              <w:bottom w:val="single" w:sz="24" w:space="0" w:color="auto"/>
              <w:right w:val="nil"/>
            </w:tcBorders>
            <w:vAlign w:val="center"/>
            <w:hideMark/>
          </w:tcPr>
          <w:p w14:paraId="727027DD"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$4,311,000</w:t>
            </w:r>
          </w:p>
        </w:tc>
        <w:tc>
          <w:tcPr>
            <w:tcW w:w="0" w:type="auto"/>
            <w:tcBorders>
              <w:top w:val="nil"/>
              <w:left w:val="nil"/>
              <w:bottom w:val="single" w:sz="24" w:space="0" w:color="auto"/>
              <w:right w:val="nil"/>
            </w:tcBorders>
            <w:vAlign w:val="center"/>
            <w:hideMark/>
          </w:tcPr>
          <w:p w14:paraId="53B63209"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$4,016,000</w:t>
            </w:r>
          </w:p>
        </w:tc>
        <w:tc>
          <w:tcPr>
            <w:tcW w:w="0" w:type="auto"/>
            <w:tcBorders>
              <w:top w:val="nil"/>
              <w:left w:val="nil"/>
              <w:bottom w:val="single" w:sz="24" w:space="0" w:color="auto"/>
              <w:right w:val="nil"/>
            </w:tcBorders>
            <w:vAlign w:val="center"/>
            <w:hideMark/>
          </w:tcPr>
          <w:p w14:paraId="0FAA5AB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$6,270,000</w:t>
            </w:r>
          </w:p>
        </w:tc>
        <w:tc>
          <w:tcPr>
            <w:tcW w:w="0" w:type="auto"/>
            <w:tcBorders>
              <w:top w:val="nil"/>
              <w:left w:val="nil"/>
              <w:bottom w:val="single" w:sz="24" w:space="0" w:color="auto"/>
              <w:right w:val="nil"/>
            </w:tcBorders>
            <w:vAlign w:val="center"/>
            <w:hideMark/>
          </w:tcPr>
          <w:p w14:paraId="1566D0FC"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$6,794,000</w:t>
            </w:r>
          </w:p>
        </w:tc>
      </w:tr>
      <w:tr w:rsidR="00106BAA" w:rsidRPr="00106BAA" w14:paraId="1A6B0D70" w14:textId="77777777" w:rsidTr="00106BAA">
        <w:tc>
          <w:tcPr>
            <w:tcW w:w="0" w:type="auto"/>
            <w:tcBorders>
              <w:top w:val="nil"/>
              <w:left w:val="nil"/>
              <w:bottom w:val="single" w:sz="24" w:space="0" w:color="auto"/>
              <w:right w:val="nil"/>
            </w:tcBorders>
            <w:vAlign w:val="center"/>
            <w:hideMark/>
          </w:tcPr>
          <w:p w14:paraId="61C8E6A8"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Misc. Stocks</w:t>
            </w:r>
          </w:p>
        </w:tc>
        <w:tc>
          <w:tcPr>
            <w:tcW w:w="0" w:type="auto"/>
            <w:tcBorders>
              <w:top w:val="nil"/>
              <w:left w:val="nil"/>
              <w:bottom w:val="single" w:sz="24" w:space="0" w:color="auto"/>
              <w:right w:val="nil"/>
            </w:tcBorders>
            <w:vAlign w:val="center"/>
            <w:hideMark/>
          </w:tcPr>
          <w:p w14:paraId="7345AABF"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$175,000</w:t>
            </w:r>
          </w:p>
        </w:tc>
        <w:tc>
          <w:tcPr>
            <w:tcW w:w="0" w:type="auto"/>
            <w:tcBorders>
              <w:top w:val="nil"/>
              <w:left w:val="nil"/>
              <w:bottom w:val="single" w:sz="24" w:space="0" w:color="auto"/>
              <w:right w:val="nil"/>
            </w:tcBorders>
            <w:vAlign w:val="center"/>
            <w:hideMark/>
          </w:tcPr>
          <w:p w14:paraId="52B45AEB"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$300,000</w:t>
            </w:r>
          </w:p>
        </w:tc>
        <w:tc>
          <w:tcPr>
            <w:tcW w:w="0" w:type="auto"/>
            <w:tcBorders>
              <w:top w:val="nil"/>
              <w:left w:val="nil"/>
              <w:bottom w:val="single" w:sz="24" w:space="0" w:color="auto"/>
              <w:right w:val="nil"/>
            </w:tcBorders>
            <w:vAlign w:val="center"/>
            <w:hideMark/>
          </w:tcPr>
          <w:p w14:paraId="6C10DB2F"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$306,000</w:t>
            </w:r>
          </w:p>
        </w:tc>
        <w:tc>
          <w:tcPr>
            <w:tcW w:w="0" w:type="auto"/>
            <w:tcBorders>
              <w:top w:val="nil"/>
              <w:left w:val="nil"/>
              <w:bottom w:val="single" w:sz="24" w:space="0" w:color="auto"/>
              <w:right w:val="nil"/>
            </w:tcBorders>
            <w:vAlign w:val="center"/>
            <w:hideMark/>
          </w:tcPr>
          <w:p w14:paraId="5DB596E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$312,000</w:t>
            </w:r>
          </w:p>
        </w:tc>
      </w:tr>
      <w:tr w:rsidR="00106BAA" w:rsidRPr="00106BAA" w14:paraId="5B59D8FF" w14:textId="77777777" w:rsidTr="00106BAA">
        <w:tc>
          <w:tcPr>
            <w:tcW w:w="0" w:type="auto"/>
            <w:tcBorders>
              <w:top w:val="nil"/>
              <w:left w:val="nil"/>
              <w:bottom w:val="single" w:sz="24" w:space="0" w:color="auto"/>
              <w:right w:val="nil"/>
            </w:tcBorders>
            <w:vAlign w:val="center"/>
            <w:hideMark/>
          </w:tcPr>
          <w:p w14:paraId="17EF3C49"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Minority Interest</w:t>
            </w:r>
          </w:p>
        </w:tc>
        <w:tc>
          <w:tcPr>
            <w:tcW w:w="0" w:type="auto"/>
            <w:tcBorders>
              <w:top w:val="nil"/>
              <w:left w:val="nil"/>
              <w:bottom w:val="single" w:sz="24" w:space="0" w:color="auto"/>
              <w:right w:val="nil"/>
            </w:tcBorders>
            <w:vAlign w:val="center"/>
            <w:hideMark/>
          </w:tcPr>
          <w:p w14:paraId="4FE871A5"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235C987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3251D8AF"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08F2880C"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r>
      <w:tr w:rsidR="00106BAA" w:rsidRPr="00106BAA" w14:paraId="6C1CCD6E" w14:textId="77777777" w:rsidTr="00106BAA">
        <w:tc>
          <w:tcPr>
            <w:tcW w:w="0" w:type="auto"/>
            <w:tcBorders>
              <w:top w:val="nil"/>
              <w:left w:val="nil"/>
              <w:bottom w:val="single" w:sz="24" w:space="0" w:color="auto"/>
              <w:right w:val="nil"/>
            </w:tcBorders>
            <w:vAlign w:val="center"/>
            <w:hideMark/>
          </w:tcPr>
          <w:p w14:paraId="20E6A806"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Total Liabilities</w:t>
            </w:r>
          </w:p>
        </w:tc>
        <w:tc>
          <w:tcPr>
            <w:tcW w:w="0" w:type="auto"/>
            <w:tcBorders>
              <w:top w:val="nil"/>
              <w:left w:val="nil"/>
              <w:bottom w:val="single" w:sz="24" w:space="0" w:color="auto"/>
              <w:right w:val="nil"/>
            </w:tcBorders>
            <w:vAlign w:val="center"/>
            <w:hideMark/>
          </w:tcPr>
          <w:p w14:paraId="4BC8AB8C"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$173,267,000</w:t>
            </w:r>
          </w:p>
        </w:tc>
        <w:tc>
          <w:tcPr>
            <w:tcW w:w="0" w:type="auto"/>
            <w:tcBorders>
              <w:top w:val="nil"/>
              <w:left w:val="nil"/>
              <w:bottom w:val="single" w:sz="24" w:space="0" w:color="auto"/>
              <w:right w:val="nil"/>
            </w:tcBorders>
            <w:vAlign w:val="center"/>
            <w:hideMark/>
          </w:tcPr>
          <w:p w14:paraId="6C69EAA1"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$156,806,000</w:t>
            </w:r>
          </w:p>
        </w:tc>
        <w:tc>
          <w:tcPr>
            <w:tcW w:w="0" w:type="auto"/>
            <w:tcBorders>
              <w:top w:val="nil"/>
              <w:left w:val="nil"/>
              <w:bottom w:val="single" w:sz="24" w:space="0" w:color="auto"/>
              <w:right w:val="nil"/>
            </w:tcBorders>
            <w:vAlign w:val="center"/>
            <w:hideMark/>
          </w:tcPr>
          <w:p w14:paraId="365B1B59"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$157,924,000</w:t>
            </w:r>
          </w:p>
        </w:tc>
        <w:tc>
          <w:tcPr>
            <w:tcW w:w="0" w:type="auto"/>
            <w:tcBorders>
              <w:top w:val="nil"/>
              <w:left w:val="nil"/>
              <w:bottom w:val="single" w:sz="24" w:space="0" w:color="auto"/>
              <w:right w:val="nil"/>
            </w:tcBorders>
            <w:vAlign w:val="center"/>
            <w:hideMark/>
          </w:tcPr>
          <w:p w14:paraId="6034FEB8"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$161,326,000</w:t>
            </w:r>
          </w:p>
        </w:tc>
      </w:tr>
      <w:tr w:rsidR="00106BAA" w:rsidRPr="00106BAA" w14:paraId="5BDA2D7F" w14:textId="77777777" w:rsidTr="00106BAA">
        <w:tc>
          <w:tcPr>
            <w:tcW w:w="0" w:type="auto"/>
            <w:tcBorders>
              <w:top w:val="nil"/>
              <w:left w:val="nil"/>
              <w:bottom w:val="single" w:sz="24" w:space="0" w:color="auto"/>
              <w:right w:val="nil"/>
            </w:tcBorders>
            <w:vAlign w:val="center"/>
            <w:hideMark/>
          </w:tcPr>
          <w:p w14:paraId="2801E714"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proofErr w:type="gramStart"/>
            <w:r w:rsidRPr="00106BAA">
              <w:rPr>
                <w:rFonts w:ascii="inherit" w:eastAsia="Times New Roman" w:hAnsi="inherit" w:cs="Times New Roman"/>
                <w:color w:val="2B2B2B"/>
                <w:spacing w:val="-5"/>
                <w:sz w:val="24"/>
                <w:szCs w:val="24"/>
                <w:bdr w:val="none" w:sz="0" w:space="0" w:color="auto" w:frame="1"/>
                <w:lang w:eastAsia="en-GB"/>
              </w:rPr>
              <w:t xml:space="preserve">Stock </w:t>
            </w:r>
            <w:proofErr w:type="spellStart"/>
            <w:r w:rsidRPr="00106BAA">
              <w:rPr>
                <w:rFonts w:ascii="inherit" w:eastAsia="Times New Roman" w:hAnsi="inherit" w:cs="Times New Roman"/>
                <w:color w:val="2B2B2B"/>
                <w:spacing w:val="-5"/>
                <w:sz w:val="24"/>
                <w:szCs w:val="24"/>
                <w:bdr w:val="none" w:sz="0" w:space="0" w:color="auto" w:frame="1"/>
                <w:lang w:eastAsia="en-GB"/>
              </w:rPr>
              <w:t>Holders</w:t>
            </w:r>
            <w:proofErr w:type="spellEnd"/>
            <w:proofErr w:type="gramEnd"/>
            <w:r w:rsidRPr="00106BAA">
              <w:rPr>
                <w:rFonts w:ascii="inherit" w:eastAsia="Times New Roman" w:hAnsi="inherit" w:cs="Times New Roman"/>
                <w:color w:val="2B2B2B"/>
                <w:spacing w:val="-5"/>
                <w:sz w:val="24"/>
                <w:szCs w:val="24"/>
                <w:bdr w:val="none" w:sz="0" w:space="0" w:color="auto" w:frame="1"/>
                <w:lang w:eastAsia="en-GB"/>
              </w:rPr>
              <w:t xml:space="preserve"> Equity</w:t>
            </w:r>
          </w:p>
        </w:tc>
        <w:tc>
          <w:tcPr>
            <w:tcW w:w="0" w:type="auto"/>
            <w:tcBorders>
              <w:top w:val="nil"/>
              <w:left w:val="nil"/>
              <w:bottom w:val="single" w:sz="24" w:space="0" w:color="auto"/>
              <w:right w:val="nil"/>
            </w:tcBorders>
            <w:vAlign w:val="center"/>
            <w:hideMark/>
          </w:tcPr>
          <w:p w14:paraId="6C0AB651"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p>
        </w:tc>
        <w:tc>
          <w:tcPr>
            <w:tcW w:w="0" w:type="auto"/>
            <w:tcBorders>
              <w:top w:val="nil"/>
              <w:left w:val="nil"/>
              <w:bottom w:val="single" w:sz="24" w:space="0" w:color="auto"/>
              <w:right w:val="nil"/>
            </w:tcBorders>
            <w:vAlign w:val="center"/>
            <w:hideMark/>
          </w:tcPr>
          <w:p w14:paraId="72012946"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31995958"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c>
          <w:tcPr>
            <w:tcW w:w="0" w:type="auto"/>
            <w:tcBorders>
              <w:top w:val="nil"/>
              <w:left w:val="nil"/>
              <w:bottom w:val="single" w:sz="24" w:space="0" w:color="auto"/>
              <w:right w:val="nil"/>
            </w:tcBorders>
            <w:vAlign w:val="center"/>
            <w:hideMark/>
          </w:tcPr>
          <w:p w14:paraId="630542A2" w14:textId="77777777" w:rsidR="00106BAA" w:rsidRPr="00106BAA" w:rsidRDefault="00106BAA" w:rsidP="00106BAA">
            <w:pPr>
              <w:spacing w:after="0" w:line="240" w:lineRule="auto"/>
              <w:jc w:val="right"/>
              <w:rPr>
                <w:rFonts w:ascii="Times New Roman" w:eastAsia="Times New Roman" w:hAnsi="Times New Roman" w:cs="Times New Roman"/>
                <w:sz w:val="20"/>
                <w:szCs w:val="20"/>
                <w:lang w:eastAsia="en-GB"/>
              </w:rPr>
            </w:pPr>
          </w:p>
        </w:tc>
      </w:tr>
      <w:tr w:rsidR="00106BAA" w:rsidRPr="00106BAA" w14:paraId="5F634430" w14:textId="77777777" w:rsidTr="00106BAA">
        <w:tc>
          <w:tcPr>
            <w:tcW w:w="0" w:type="auto"/>
            <w:tcBorders>
              <w:top w:val="nil"/>
              <w:left w:val="nil"/>
              <w:bottom w:val="single" w:sz="24" w:space="0" w:color="auto"/>
              <w:right w:val="nil"/>
            </w:tcBorders>
            <w:vAlign w:val="center"/>
            <w:hideMark/>
          </w:tcPr>
          <w:p w14:paraId="5C104983"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Common Stocks</w:t>
            </w:r>
          </w:p>
        </w:tc>
        <w:tc>
          <w:tcPr>
            <w:tcW w:w="0" w:type="auto"/>
            <w:tcBorders>
              <w:top w:val="nil"/>
              <w:left w:val="nil"/>
              <w:bottom w:val="single" w:sz="24" w:space="0" w:color="auto"/>
              <w:right w:val="nil"/>
            </w:tcBorders>
            <w:vAlign w:val="center"/>
            <w:hideMark/>
          </w:tcPr>
          <w:p w14:paraId="77E10166"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$48,992,000</w:t>
            </w:r>
          </w:p>
        </w:tc>
        <w:tc>
          <w:tcPr>
            <w:tcW w:w="0" w:type="auto"/>
            <w:tcBorders>
              <w:top w:val="nil"/>
              <w:left w:val="nil"/>
              <w:bottom w:val="single" w:sz="24" w:space="0" w:color="auto"/>
              <w:right w:val="nil"/>
            </w:tcBorders>
            <w:vAlign w:val="center"/>
            <w:hideMark/>
          </w:tcPr>
          <w:p w14:paraId="0DFFABF4"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$48,193,000</w:t>
            </w:r>
          </w:p>
        </w:tc>
        <w:tc>
          <w:tcPr>
            <w:tcW w:w="0" w:type="auto"/>
            <w:tcBorders>
              <w:top w:val="nil"/>
              <w:left w:val="nil"/>
              <w:bottom w:val="single" w:sz="24" w:space="0" w:color="auto"/>
              <w:right w:val="nil"/>
            </w:tcBorders>
            <w:vAlign w:val="center"/>
            <w:hideMark/>
          </w:tcPr>
          <w:p w14:paraId="247479E6"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$47,377,000</w:t>
            </w:r>
          </w:p>
        </w:tc>
        <w:tc>
          <w:tcPr>
            <w:tcW w:w="0" w:type="auto"/>
            <w:tcBorders>
              <w:top w:val="nil"/>
              <w:left w:val="nil"/>
              <w:bottom w:val="single" w:sz="24" w:space="0" w:color="auto"/>
              <w:right w:val="nil"/>
            </w:tcBorders>
            <w:vAlign w:val="center"/>
            <w:hideMark/>
          </w:tcPr>
          <w:p w14:paraId="23752042"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$46,513,000</w:t>
            </w:r>
          </w:p>
        </w:tc>
      </w:tr>
      <w:tr w:rsidR="00106BAA" w:rsidRPr="00106BAA" w14:paraId="17E99D09" w14:textId="77777777" w:rsidTr="00106BAA">
        <w:tc>
          <w:tcPr>
            <w:tcW w:w="0" w:type="auto"/>
            <w:tcBorders>
              <w:top w:val="nil"/>
              <w:left w:val="nil"/>
              <w:bottom w:val="single" w:sz="24" w:space="0" w:color="auto"/>
              <w:right w:val="nil"/>
            </w:tcBorders>
            <w:vAlign w:val="center"/>
            <w:hideMark/>
          </w:tcPr>
          <w:p w14:paraId="7E3BD8D3"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Capital Surplus</w:t>
            </w:r>
          </w:p>
        </w:tc>
        <w:tc>
          <w:tcPr>
            <w:tcW w:w="0" w:type="auto"/>
            <w:tcBorders>
              <w:top w:val="nil"/>
              <w:left w:val="nil"/>
              <w:bottom w:val="single" w:sz="24" w:space="0" w:color="auto"/>
              <w:right w:val="nil"/>
            </w:tcBorders>
            <w:vAlign w:val="center"/>
            <w:hideMark/>
          </w:tcPr>
          <w:p w14:paraId="58FA0C5D"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$61,604,000</w:t>
            </w:r>
          </w:p>
        </w:tc>
        <w:tc>
          <w:tcPr>
            <w:tcW w:w="0" w:type="auto"/>
            <w:tcBorders>
              <w:top w:val="nil"/>
              <w:left w:val="nil"/>
              <w:bottom w:val="single" w:sz="24" w:space="0" w:color="auto"/>
              <w:right w:val="nil"/>
            </w:tcBorders>
            <w:vAlign w:val="center"/>
            <w:hideMark/>
          </w:tcPr>
          <w:p w14:paraId="0BB9336A"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$56,398,000</w:t>
            </w:r>
          </w:p>
        </w:tc>
        <w:tc>
          <w:tcPr>
            <w:tcW w:w="0" w:type="auto"/>
            <w:tcBorders>
              <w:top w:val="nil"/>
              <w:left w:val="nil"/>
              <w:bottom w:val="single" w:sz="24" w:space="0" w:color="auto"/>
              <w:right w:val="nil"/>
            </w:tcBorders>
            <w:vAlign w:val="center"/>
            <w:hideMark/>
          </w:tcPr>
          <w:p w14:paraId="5AF62500"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$54,906,000</w:t>
            </w:r>
          </w:p>
        </w:tc>
        <w:tc>
          <w:tcPr>
            <w:tcW w:w="0" w:type="auto"/>
            <w:tcBorders>
              <w:top w:val="nil"/>
              <w:left w:val="nil"/>
              <w:bottom w:val="single" w:sz="24" w:space="0" w:color="auto"/>
              <w:right w:val="nil"/>
            </w:tcBorders>
            <w:vAlign w:val="center"/>
            <w:hideMark/>
          </w:tcPr>
          <w:p w14:paraId="2FF65362"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$49,640,000</w:t>
            </w:r>
          </w:p>
        </w:tc>
      </w:tr>
      <w:tr w:rsidR="00106BAA" w:rsidRPr="00106BAA" w14:paraId="0696B594" w14:textId="77777777" w:rsidTr="00106BAA">
        <w:tc>
          <w:tcPr>
            <w:tcW w:w="0" w:type="auto"/>
            <w:tcBorders>
              <w:top w:val="nil"/>
              <w:left w:val="nil"/>
              <w:bottom w:val="single" w:sz="24" w:space="0" w:color="auto"/>
              <w:right w:val="nil"/>
            </w:tcBorders>
            <w:vAlign w:val="center"/>
            <w:hideMark/>
          </w:tcPr>
          <w:p w14:paraId="783A3237"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Retained Earnings</w:t>
            </w:r>
          </w:p>
        </w:tc>
        <w:tc>
          <w:tcPr>
            <w:tcW w:w="0" w:type="auto"/>
            <w:tcBorders>
              <w:top w:val="nil"/>
              <w:left w:val="nil"/>
              <w:bottom w:val="single" w:sz="24" w:space="0" w:color="auto"/>
              <w:right w:val="nil"/>
            </w:tcBorders>
            <w:vAlign w:val="center"/>
            <w:hideMark/>
          </w:tcPr>
          <w:p w14:paraId="6BA560EA"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-$33,838,000</w:t>
            </w:r>
          </w:p>
        </w:tc>
        <w:tc>
          <w:tcPr>
            <w:tcW w:w="0" w:type="auto"/>
            <w:tcBorders>
              <w:top w:val="nil"/>
              <w:left w:val="nil"/>
              <w:bottom w:val="single" w:sz="24" w:space="0" w:color="auto"/>
              <w:right w:val="nil"/>
            </w:tcBorders>
            <w:vAlign w:val="center"/>
            <w:hideMark/>
          </w:tcPr>
          <w:p w14:paraId="4283D171"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-$31,858,000</w:t>
            </w:r>
          </w:p>
        </w:tc>
        <w:tc>
          <w:tcPr>
            <w:tcW w:w="0" w:type="auto"/>
            <w:tcBorders>
              <w:top w:val="nil"/>
              <w:left w:val="nil"/>
              <w:bottom w:val="single" w:sz="24" w:space="0" w:color="auto"/>
              <w:right w:val="nil"/>
            </w:tcBorders>
            <w:vAlign w:val="center"/>
            <w:hideMark/>
          </w:tcPr>
          <w:p w14:paraId="5606AD32"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-$28,173,000</w:t>
            </w:r>
          </w:p>
        </w:tc>
        <w:tc>
          <w:tcPr>
            <w:tcW w:w="0" w:type="auto"/>
            <w:tcBorders>
              <w:top w:val="nil"/>
              <w:left w:val="nil"/>
              <w:bottom w:val="single" w:sz="24" w:space="0" w:color="auto"/>
              <w:right w:val="nil"/>
            </w:tcBorders>
            <w:vAlign w:val="center"/>
            <w:hideMark/>
          </w:tcPr>
          <w:p w14:paraId="592F4C80"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-$28,178,000</w:t>
            </w:r>
          </w:p>
        </w:tc>
      </w:tr>
      <w:tr w:rsidR="00106BAA" w:rsidRPr="00106BAA" w14:paraId="7FE76843" w14:textId="77777777" w:rsidTr="00106BAA">
        <w:tc>
          <w:tcPr>
            <w:tcW w:w="0" w:type="auto"/>
            <w:tcBorders>
              <w:top w:val="nil"/>
              <w:left w:val="nil"/>
              <w:bottom w:val="single" w:sz="24" w:space="0" w:color="auto"/>
              <w:right w:val="nil"/>
            </w:tcBorders>
            <w:vAlign w:val="center"/>
            <w:hideMark/>
          </w:tcPr>
          <w:p w14:paraId="5EC09188"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Treasury Stock</w:t>
            </w:r>
          </w:p>
        </w:tc>
        <w:tc>
          <w:tcPr>
            <w:tcW w:w="0" w:type="auto"/>
            <w:tcBorders>
              <w:top w:val="nil"/>
              <w:left w:val="nil"/>
              <w:bottom w:val="single" w:sz="24" w:space="0" w:color="auto"/>
              <w:right w:val="nil"/>
            </w:tcBorders>
            <w:vAlign w:val="center"/>
            <w:hideMark/>
          </w:tcPr>
          <w:p w14:paraId="1C9BF30A"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25C777F0"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7050F99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c>
          <w:tcPr>
            <w:tcW w:w="0" w:type="auto"/>
            <w:tcBorders>
              <w:top w:val="nil"/>
              <w:left w:val="nil"/>
              <w:bottom w:val="single" w:sz="24" w:space="0" w:color="auto"/>
              <w:right w:val="nil"/>
            </w:tcBorders>
            <w:vAlign w:val="center"/>
            <w:hideMark/>
          </w:tcPr>
          <w:p w14:paraId="6D841A0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w:t>
            </w:r>
          </w:p>
        </w:tc>
      </w:tr>
      <w:tr w:rsidR="00106BAA" w:rsidRPr="00106BAA" w14:paraId="63A6D51D" w14:textId="77777777" w:rsidTr="00106BAA">
        <w:tc>
          <w:tcPr>
            <w:tcW w:w="0" w:type="auto"/>
            <w:tcBorders>
              <w:top w:val="nil"/>
              <w:left w:val="nil"/>
              <w:bottom w:val="single" w:sz="24" w:space="0" w:color="auto"/>
              <w:right w:val="nil"/>
            </w:tcBorders>
            <w:vAlign w:val="center"/>
            <w:hideMark/>
          </w:tcPr>
          <w:p w14:paraId="6B97DDEE"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Other Equity</w:t>
            </w:r>
          </w:p>
        </w:tc>
        <w:tc>
          <w:tcPr>
            <w:tcW w:w="0" w:type="auto"/>
            <w:tcBorders>
              <w:top w:val="nil"/>
              <w:left w:val="nil"/>
              <w:bottom w:val="single" w:sz="24" w:space="0" w:color="auto"/>
              <w:right w:val="nil"/>
            </w:tcBorders>
            <w:vAlign w:val="center"/>
            <w:hideMark/>
          </w:tcPr>
          <w:p w14:paraId="3C29DC96"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-$297,000</w:t>
            </w:r>
          </w:p>
        </w:tc>
        <w:tc>
          <w:tcPr>
            <w:tcW w:w="0" w:type="auto"/>
            <w:tcBorders>
              <w:top w:val="nil"/>
              <w:left w:val="nil"/>
              <w:bottom w:val="single" w:sz="24" w:space="0" w:color="auto"/>
              <w:right w:val="nil"/>
            </w:tcBorders>
            <w:vAlign w:val="center"/>
            <w:hideMark/>
          </w:tcPr>
          <w:p w14:paraId="2D003A57"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-$1,264,000</w:t>
            </w:r>
          </w:p>
        </w:tc>
        <w:tc>
          <w:tcPr>
            <w:tcW w:w="0" w:type="auto"/>
            <w:tcBorders>
              <w:top w:val="nil"/>
              <w:left w:val="nil"/>
              <w:bottom w:val="single" w:sz="24" w:space="0" w:color="auto"/>
              <w:right w:val="nil"/>
            </w:tcBorders>
            <w:vAlign w:val="center"/>
            <w:hideMark/>
          </w:tcPr>
          <w:p w14:paraId="7CCAD8E5"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$965,000</w:t>
            </w:r>
          </w:p>
        </w:tc>
        <w:tc>
          <w:tcPr>
            <w:tcW w:w="0" w:type="auto"/>
            <w:tcBorders>
              <w:top w:val="nil"/>
              <w:left w:val="nil"/>
              <w:bottom w:val="single" w:sz="24" w:space="0" w:color="auto"/>
              <w:right w:val="nil"/>
            </w:tcBorders>
            <w:vAlign w:val="center"/>
            <w:hideMark/>
          </w:tcPr>
          <w:p w14:paraId="0CEFB95D"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$1,414,000</w:t>
            </w:r>
          </w:p>
        </w:tc>
      </w:tr>
      <w:tr w:rsidR="00106BAA" w:rsidRPr="00106BAA" w14:paraId="043EF040" w14:textId="77777777" w:rsidTr="00106BAA">
        <w:tc>
          <w:tcPr>
            <w:tcW w:w="0" w:type="auto"/>
            <w:tcBorders>
              <w:top w:val="nil"/>
              <w:left w:val="nil"/>
              <w:bottom w:val="single" w:sz="24" w:space="0" w:color="auto"/>
              <w:right w:val="nil"/>
            </w:tcBorders>
            <w:vAlign w:val="center"/>
            <w:hideMark/>
          </w:tcPr>
          <w:p w14:paraId="124A9972"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Total Equity</w:t>
            </w:r>
          </w:p>
        </w:tc>
        <w:tc>
          <w:tcPr>
            <w:tcW w:w="0" w:type="auto"/>
            <w:tcBorders>
              <w:top w:val="nil"/>
              <w:left w:val="nil"/>
              <w:bottom w:val="single" w:sz="24" w:space="0" w:color="auto"/>
              <w:right w:val="nil"/>
            </w:tcBorders>
            <w:vAlign w:val="center"/>
            <w:hideMark/>
          </w:tcPr>
          <w:p w14:paraId="52ED7112"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$76,461,000</w:t>
            </w:r>
          </w:p>
        </w:tc>
        <w:tc>
          <w:tcPr>
            <w:tcW w:w="0" w:type="auto"/>
            <w:tcBorders>
              <w:top w:val="nil"/>
              <w:left w:val="nil"/>
              <w:bottom w:val="single" w:sz="24" w:space="0" w:color="auto"/>
              <w:right w:val="nil"/>
            </w:tcBorders>
            <w:vAlign w:val="center"/>
            <w:hideMark/>
          </w:tcPr>
          <w:p w14:paraId="7A17A464"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$71,469,000</w:t>
            </w:r>
          </w:p>
        </w:tc>
        <w:tc>
          <w:tcPr>
            <w:tcW w:w="0" w:type="auto"/>
            <w:tcBorders>
              <w:top w:val="nil"/>
              <w:left w:val="nil"/>
              <w:bottom w:val="single" w:sz="24" w:space="0" w:color="auto"/>
              <w:right w:val="nil"/>
            </w:tcBorders>
            <w:vAlign w:val="center"/>
            <w:hideMark/>
          </w:tcPr>
          <w:p w14:paraId="780A7CE5"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$75,075,000</w:t>
            </w:r>
          </w:p>
        </w:tc>
        <w:tc>
          <w:tcPr>
            <w:tcW w:w="0" w:type="auto"/>
            <w:tcBorders>
              <w:top w:val="nil"/>
              <w:left w:val="nil"/>
              <w:bottom w:val="single" w:sz="24" w:space="0" w:color="auto"/>
              <w:right w:val="nil"/>
            </w:tcBorders>
            <w:vAlign w:val="center"/>
            <w:hideMark/>
          </w:tcPr>
          <w:p w14:paraId="45666509"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$69,389,000</w:t>
            </w:r>
          </w:p>
        </w:tc>
      </w:tr>
      <w:tr w:rsidR="00106BAA" w:rsidRPr="00106BAA" w14:paraId="684DB7F2" w14:textId="77777777" w:rsidTr="00106BAA">
        <w:tc>
          <w:tcPr>
            <w:tcW w:w="0" w:type="auto"/>
            <w:tcBorders>
              <w:top w:val="nil"/>
              <w:left w:val="nil"/>
              <w:bottom w:val="single" w:sz="24" w:space="0" w:color="auto"/>
              <w:right w:val="nil"/>
            </w:tcBorders>
            <w:vAlign w:val="center"/>
            <w:hideMark/>
          </w:tcPr>
          <w:p w14:paraId="7D9382E4" w14:textId="77777777" w:rsidR="00106BAA" w:rsidRPr="00106BAA" w:rsidRDefault="00106BAA" w:rsidP="00106BAA">
            <w:pPr>
              <w:spacing w:after="0" w:line="240" w:lineRule="auto"/>
              <w:rPr>
                <w:rFonts w:ascii="inherit" w:eastAsia="Times New Roman" w:hAnsi="inherit" w:cs="Times New Roman"/>
                <w:b/>
                <w:bCs/>
                <w:color w:val="2B2B2B"/>
                <w:spacing w:val="-5"/>
                <w:sz w:val="24"/>
                <w:szCs w:val="24"/>
                <w:lang w:eastAsia="en-GB"/>
              </w:rPr>
            </w:pPr>
            <w:r w:rsidRPr="00106BAA">
              <w:rPr>
                <w:rFonts w:ascii="inherit" w:eastAsia="Times New Roman" w:hAnsi="inherit" w:cs="Times New Roman"/>
                <w:b/>
                <w:bCs/>
                <w:color w:val="2B2B2B"/>
                <w:spacing w:val="-5"/>
                <w:sz w:val="24"/>
                <w:szCs w:val="24"/>
                <w:lang w:eastAsia="en-GB"/>
              </w:rPr>
              <w:t>Total Liabilities &amp; Equity</w:t>
            </w:r>
          </w:p>
        </w:tc>
        <w:tc>
          <w:tcPr>
            <w:tcW w:w="0" w:type="auto"/>
            <w:tcBorders>
              <w:top w:val="nil"/>
              <w:left w:val="nil"/>
              <w:bottom w:val="single" w:sz="24" w:space="0" w:color="auto"/>
              <w:right w:val="nil"/>
            </w:tcBorders>
            <w:vAlign w:val="center"/>
            <w:hideMark/>
          </w:tcPr>
          <w:p w14:paraId="1F115526"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$249,728,000</w:t>
            </w:r>
          </w:p>
        </w:tc>
        <w:tc>
          <w:tcPr>
            <w:tcW w:w="0" w:type="auto"/>
            <w:tcBorders>
              <w:top w:val="nil"/>
              <w:left w:val="nil"/>
              <w:bottom w:val="single" w:sz="24" w:space="0" w:color="auto"/>
              <w:right w:val="nil"/>
            </w:tcBorders>
            <w:vAlign w:val="center"/>
            <w:hideMark/>
          </w:tcPr>
          <w:p w14:paraId="76FC5111"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$228,275,000</w:t>
            </w:r>
          </w:p>
        </w:tc>
        <w:tc>
          <w:tcPr>
            <w:tcW w:w="0" w:type="auto"/>
            <w:tcBorders>
              <w:top w:val="nil"/>
              <w:left w:val="nil"/>
              <w:bottom w:val="single" w:sz="24" w:space="0" w:color="auto"/>
              <w:right w:val="nil"/>
            </w:tcBorders>
            <w:vAlign w:val="center"/>
            <w:hideMark/>
          </w:tcPr>
          <w:p w14:paraId="48BEF734"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$232,999,000</w:t>
            </w:r>
          </w:p>
        </w:tc>
        <w:tc>
          <w:tcPr>
            <w:tcW w:w="0" w:type="auto"/>
            <w:tcBorders>
              <w:top w:val="nil"/>
              <w:left w:val="nil"/>
              <w:bottom w:val="single" w:sz="24" w:space="0" w:color="auto"/>
              <w:right w:val="nil"/>
            </w:tcBorders>
            <w:vAlign w:val="center"/>
            <w:hideMark/>
          </w:tcPr>
          <w:p w14:paraId="611E73CF" w14:textId="77777777" w:rsidR="00106BAA" w:rsidRPr="00106BAA" w:rsidRDefault="00106BAA" w:rsidP="00106BAA">
            <w:pPr>
              <w:spacing w:after="0" w:line="240" w:lineRule="auto"/>
              <w:jc w:val="right"/>
              <w:rPr>
                <w:rFonts w:ascii="inherit" w:eastAsia="Times New Roman" w:hAnsi="inherit" w:cs="Times New Roman"/>
                <w:color w:val="2B2B2B"/>
                <w:spacing w:val="-5"/>
                <w:sz w:val="24"/>
                <w:szCs w:val="24"/>
                <w:lang w:eastAsia="en-GB"/>
              </w:rPr>
            </w:pPr>
            <w:r w:rsidRPr="00106BAA">
              <w:rPr>
                <w:rFonts w:ascii="inherit" w:eastAsia="Times New Roman" w:hAnsi="inherit" w:cs="Times New Roman"/>
                <w:color w:val="2B2B2B"/>
                <w:spacing w:val="-5"/>
                <w:sz w:val="24"/>
                <w:szCs w:val="24"/>
                <w:lang w:eastAsia="en-GB"/>
              </w:rPr>
              <w:t>$230,715,000</w:t>
            </w:r>
          </w:p>
        </w:tc>
      </w:tr>
    </w:tbl>
    <w:p w14:paraId="1CEB3C8E" w14:textId="77777777" w:rsidR="00F26715" w:rsidRDefault="00F26715" w:rsidP="00BD28C1">
      <w:pPr>
        <w:rPr>
          <w:b/>
          <w:bCs/>
        </w:rPr>
      </w:pPr>
    </w:p>
    <w:p w14:paraId="4883B323" w14:textId="77777777" w:rsidR="00106BAA" w:rsidRDefault="00106BAA" w:rsidP="00BD28C1">
      <w:pPr>
        <w:rPr>
          <w:b/>
          <w:bCs/>
        </w:rPr>
      </w:pPr>
    </w:p>
    <w:p w14:paraId="566EEC4B" w14:textId="77777777" w:rsidR="00106BAA" w:rsidRDefault="00106BAA" w:rsidP="00BD28C1">
      <w:pPr>
        <w:rPr>
          <w:b/>
          <w:bCs/>
        </w:rPr>
      </w:pPr>
    </w:p>
    <w:p w14:paraId="5D59AFF8" w14:textId="77777777" w:rsidR="00106BAA" w:rsidRDefault="00106BAA" w:rsidP="00BD28C1">
      <w:pPr>
        <w:rPr>
          <w:b/>
          <w:bCs/>
        </w:rPr>
      </w:pPr>
    </w:p>
    <w:p w14:paraId="000B6B38" w14:textId="77777777" w:rsidR="00106BAA" w:rsidRDefault="00106BAA" w:rsidP="00BD28C1">
      <w:pPr>
        <w:rPr>
          <w:b/>
          <w:bCs/>
        </w:rPr>
      </w:pPr>
    </w:p>
    <w:p w14:paraId="5DA8F9CF" w14:textId="1E58C2E5" w:rsidR="00106BAA" w:rsidRPr="00251EF0" w:rsidRDefault="00106BAA" w:rsidP="00251EF0">
      <w:pPr>
        <w:pStyle w:val="ListParagraph"/>
        <w:numPr>
          <w:ilvl w:val="0"/>
          <w:numId w:val="9"/>
        </w:numPr>
        <w:rPr>
          <w:rFonts w:ascii="Arial" w:hAnsi="Arial" w:cs="Arial"/>
          <w:b/>
          <w:bCs/>
          <w:sz w:val="24"/>
          <w:szCs w:val="24"/>
        </w:rPr>
      </w:pPr>
      <w:r w:rsidRPr="00251EF0">
        <w:rPr>
          <w:rFonts w:ascii="Arial" w:hAnsi="Arial" w:cs="Arial"/>
          <w:b/>
          <w:bCs/>
          <w:sz w:val="24"/>
          <w:szCs w:val="24"/>
        </w:rPr>
        <w:lastRenderedPageBreak/>
        <w:t>PBP, ARR, and NPV Formulas:</w:t>
      </w:r>
    </w:p>
    <w:p w14:paraId="6BB3C0F8" w14:textId="266DFA1F" w:rsidR="005C4BD7" w:rsidRDefault="00E82269" w:rsidP="00BD28C1">
      <w:pPr>
        <w:rPr>
          <w:rFonts w:ascii="Arial" w:hAnsi="Arial" w:cs="Arial"/>
          <w:sz w:val="24"/>
          <w:szCs w:val="24"/>
        </w:rPr>
      </w:pPr>
      <w:r w:rsidRPr="00E82269">
        <w:rPr>
          <w:rFonts w:ascii="Arial" w:hAnsi="Arial" w:cs="Arial"/>
          <w:b/>
          <w:bCs/>
          <w:sz w:val="24"/>
          <w:szCs w:val="24"/>
        </w:rPr>
        <w:t xml:space="preserve">Payback Period = </w:t>
      </w:r>
      <w:r w:rsidRPr="00E82269">
        <w:rPr>
          <w:rFonts w:ascii="Arial" w:hAnsi="Arial" w:cs="Arial"/>
          <w:sz w:val="24"/>
          <w:szCs w:val="24"/>
        </w:rPr>
        <w:t>Initial Investment / Net Cash Flow per period</w:t>
      </w:r>
    </w:p>
    <w:p w14:paraId="5E29F8F9" w14:textId="01C04499" w:rsidR="00E82269" w:rsidRDefault="004E31EA" w:rsidP="00BD28C1">
      <w:pPr>
        <w:rPr>
          <w:rFonts w:ascii="Arial" w:hAnsi="Arial" w:cs="Arial"/>
          <w:sz w:val="24"/>
          <w:szCs w:val="24"/>
        </w:rPr>
      </w:pPr>
      <w:r w:rsidRPr="004E31EA">
        <w:rPr>
          <w:rFonts w:ascii="Arial" w:hAnsi="Arial" w:cs="Arial"/>
          <w:b/>
          <w:bCs/>
          <w:sz w:val="24"/>
          <w:szCs w:val="24"/>
        </w:rPr>
        <w:t>Accounting Rate of Return</w:t>
      </w:r>
      <w:r>
        <w:rPr>
          <w:rFonts w:ascii="Arial" w:hAnsi="Arial" w:cs="Arial"/>
          <w:sz w:val="24"/>
          <w:szCs w:val="24"/>
        </w:rPr>
        <w:t xml:space="preserve"> = </w:t>
      </w:r>
      <w:r w:rsidRPr="004E31EA">
        <w:rPr>
          <w:rFonts w:ascii="Arial" w:hAnsi="Arial" w:cs="Arial"/>
          <w:sz w:val="24"/>
          <w:szCs w:val="24"/>
        </w:rPr>
        <w:t>Average Annual Profit / Average Investment</w:t>
      </w:r>
    </w:p>
    <w:p w14:paraId="2539B30E" w14:textId="1B94C0DF" w:rsidR="004E31EA" w:rsidRPr="00E82269" w:rsidRDefault="004E31EA" w:rsidP="00BD28C1">
      <w:pPr>
        <w:rPr>
          <w:rFonts w:ascii="Arial" w:hAnsi="Arial" w:cs="Arial"/>
          <w:b/>
          <w:bCs/>
          <w:sz w:val="24"/>
          <w:szCs w:val="24"/>
        </w:rPr>
      </w:pPr>
      <w:r w:rsidRPr="00CE3D24">
        <w:rPr>
          <w:rFonts w:ascii="Arial" w:hAnsi="Arial" w:cs="Arial"/>
          <w:b/>
          <w:bCs/>
          <w:sz w:val="24"/>
          <w:szCs w:val="24"/>
        </w:rPr>
        <w:t>Net Present Value =</w:t>
      </w:r>
      <w:r w:rsidR="00CE3D24">
        <w:rPr>
          <w:rFonts w:ascii="Arial" w:hAnsi="Arial" w:cs="Arial"/>
          <w:b/>
          <w:bCs/>
          <w:sz w:val="24"/>
          <w:szCs w:val="24"/>
        </w:rPr>
        <w:t xml:space="preserve"> </w:t>
      </w:r>
      <w:r>
        <w:rPr>
          <w:rFonts w:ascii="Arial" w:hAnsi="Arial" w:cs="Arial"/>
          <w:sz w:val="24"/>
          <w:szCs w:val="24"/>
        </w:rPr>
        <w:t xml:space="preserve"> </w:t>
      </w:r>
      <w:r w:rsidR="00623710">
        <w:fldChar w:fldCharType="begin"/>
      </w:r>
      <w:r w:rsidR="00623710">
        <w:instrText xml:space="preserve"> INCLUDEPICTURE "/Users/emi/Library/Group Containers/UBF8T346G9.ms/WebArchiveCopyPasteTempFiles/com.microsoft.Word/net_present_value.svg" \* MERGEFORMATINET </w:instrText>
      </w:r>
      <w:r w:rsidR="00623710">
        <w:fldChar w:fldCharType="separate"/>
      </w:r>
      <w:r w:rsidR="00623710">
        <w:fldChar w:fldCharType="end"/>
      </w:r>
      <w:r w:rsidR="00CE3D24">
        <w:rPr>
          <w:rFonts w:ascii="Arial" w:hAnsi="Arial" w:cs="Arial"/>
          <w:b/>
          <w:bCs/>
          <w:noProof/>
          <w:sz w:val="24"/>
          <w:szCs w:val="24"/>
          <w14:ligatures w14:val="standardContextual"/>
        </w:rPr>
        <w:drawing>
          <wp:inline distT="0" distB="0" distL="0" distR="0" wp14:anchorId="6C50459D" wp14:editId="34B7D8B8">
            <wp:extent cx="995423" cy="426610"/>
            <wp:effectExtent l="0" t="0" r="0" b="5715"/>
            <wp:docPr id="1636374336" name="Picture 14" descr="A math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374336" name="Picture 14" descr="A math equation with black 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41549" cy="446378"/>
                    </a:xfrm>
                    <a:prstGeom prst="rect">
                      <a:avLst/>
                    </a:prstGeom>
                  </pic:spPr>
                </pic:pic>
              </a:graphicData>
            </a:graphic>
          </wp:inline>
        </w:drawing>
      </w:r>
    </w:p>
    <w:sectPr w:rsidR="004E31EA" w:rsidRPr="00E82269" w:rsidSect="00F81B29">
      <w:footerReference w:type="even" r:id="rId25"/>
      <w:foot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AFA39" w14:textId="77777777" w:rsidR="00F81B29" w:rsidRDefault="00F81B29" w:rsidP="006A7E15">
      <w:pPr>
        <w:spacing w:after="0" w:line="240" w:lineRule="auto"/>
      </w:pPr>
      <w:r>
        <w:separator/>
      </w:r>
    </w:p>
  </w:endnote>
  <w:endnote w:type="continuationSeparator" w:id="0">
    <w:p w14:paraId="601DD009" w14:textId="77777777" w:rsidR="00F81B29" w:rsidRDefault="00F81B29" w:rsidP="006A7E15">
      <w:pPr>
        <w:spacing w:after="0" w:line="240" w:lineRule="auto"/>
      </w:pPr>
      <w:r>
        <w:continuationSeparator/>
      </w:r>
    </w:p>
  </w:endnote>
  <w:endnote w:type="continuationNotice" w:id="1">
    <w:p w14:paraId="3592D189" w14:textId="77777777" w:rsidR="006D2304" w:rsidRDefault="006D23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5454795"/>
      <w:docPartObj>
        <w:docPartGallery w:val="Page Numbers (Bottom of Page)"/>
        <w:docPartUnique/>
      </w:docPartObj>
    </w:sdtPr>
    <w:sdtEndPr>
      <w:rPr>
        <w:rStyle w:val="PageNumber"/>
      </w:rPr>
    </w:sdtEndPr>
    <w:sdtContent>
      <w:p w14:paraId="2C34B832" w14:textId="5ED77261" w:rsidR="006A7E15" w:rsidRDefault="006A7E15" w:rsidP="008627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83C54B" w14:textId="77777777" w:rsidR="006A7E15" w:rsidRDefault="006A7E15" w:rsidP="006A7E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0455338"/>
      <w:docPartObj>
        <w:docPartGallery w:val="Page Numbers (Bottom of Page)"/>
        <w:docPartUnique/>
      </w:docPartObj>
    </w:sdtPr>
    <w:sdtEndPr>
      <w:rPr>
        <w:rStyle w:val="PageNumber"/>
      </w:rPr>
    </w:sdtEndPr>
    <w:sdtContent>
      <w:p w14:paraId="58B62ABA" w14:textId="4A59580D" w:rsidR="006A7E15" w:rsidRDefault="006A7E15" w:rsidP="008627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C9D9D3" w14:textId="77777777" w:rsidR="006A7E15" w:rsidRDefault="006A7E15" w:rsidP="006A7E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4F716" w14:textId="77777777" w:rsidR="00F81B29" w:rsidRDefault="00F81B29" w:rsidP="006A7E15">
      <w:pPr>
        <w:spacing w:after="0" w:line="240" w:lineRule="auto"/>
      </w:pPr>
      <w:r>
        <w:separator/>
      </w:r>
    </w:p>
  </w:footnote>
  <w:footnote w:type="continuationSeparator" w:id="0">
    <w:p w14:paraId="4B090C7F" w14:textId="77777777" w:rsidR="00F81B29" w:rsidRDefault="00F81B29" w:rsidP="006A7E15">
      <w:pPr>
        <w:spacing w:after="0" w:line="240" w:lineRule="auto"/>
      </w:pPr>
      <w:r>
        <w:continuationSeparator/>
      </w:r>
    </w:p>
  </w:footnote>
  <w:footnote w:type="continuationNotice" w:id="1">
    <w:p w14:paraId="3E8221B7" w14:textId="77777777" w:rsidR="006D2304" w:rsidRDefault="006D230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75201"/>
    <w:multiLevelType w:val="multilevel"/>
    <w:tmpl w:val="4E6A88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27D1079"/>
    <w:multiLevelType w:val="hybridMultilevel"/>
    <w:tmpl w:val="C93ECB10"/>
    <w:lvl w:ilvl="0" w:tplc="08090001">
      <w:start w:val="1"/>
      <w:numFmt w:val="bullet"/>
      <w:lvlText w:val=""/>
      <w:lvlJc w:val="left"/>
      <w:pPr>
        <w:ind w:left="720" w:hanging="360"/>
      </w:pPr>
      <w:rPr>
        <w:rFonts w:ascii="Symbol" w:hAnsi="Symbol" w:hint="default"/>
      </w:rPr>
    </w:lvl>
    <w:lvl w:ilvl="1" w:tplc="C2167A54">
      <w:numFmt w:val="bullet"/>
      <w:lvlText w:val="•"/>
      <w:lvlJc w:val="left"/>
      <w:pPr>
        <w:ind w:left="1800" w:hanging="720"/>
      </w:pPr>
      <w:rPr>
        <w:rFonts w:ascii="Arial" w:eastAsiaTheme="maj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F3278F"/>
    <w:multiLevelType w:val="hybridMultilevel"/>
    <w:tmpl w:val="B4B6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97798"/>
    <w:multiLevelType w:val="hybridMultilevel"/>
    <w:tmpl w:val="BBC4F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552F45"/>
    <w:multiLevelType w:val="hybridMultilevel"/>
    <w:tmpl w:val="BE487068"/>
    <w:lvl w:ilvl="0" w:tplc="71CAC37A">
      <w:start w:val="2"/>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CE2667"/>
    <w:multiLevelType w:val="hybridMultilevel"/>
    <w:tmpl w:val="3AFC3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7633D"/>
    <w:multiLevelType w:val="hybridMultilevel"/>
    <w:tmpl w:val="D144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D244DF"/>
    <w:multiLevelType w:val="hybridMultilevel"/>
    <w:tmpl w:val="2D207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91197A"/>
    <w:multiLevelType w:val="hybridMultilevel"/>
    <w:tmpl w:val="10142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7730429">
    <w:abstractNumId w:val="0"/>
  </w:num>
  <w:num w:numId="2" w16cid:durableId="1289241642">
    <w:abstractNumId w:val="6"/>
  </w:num>
  <w:num w:numId="3" w16cid:durableId="1788550069">
    <w:abstractNumId w:val="1"/>
  </w:num>
  <w:num w:numId="4" w16cid:durableId="903955401">
    <w:abstractNumId w:val="3"/>
  </w:num>
  <w:num w:numId="5" w16cid:durableId="820535538">
    <w:abstractNumId w:val="8"/>
  </w:num>
  <w:num w:numId="6" w16cid:durableId="2085101959">
    <w:abstractNumId w:val="4"/>
  </w:num>
  <w:num w:numId="7" w16cid:durableId="1401978466">
    <w:abstractNumId w:val="2"/>
  </w:num>
  <w:num w:numId="8" w16cid:durableId="123275284">
    <w:abstractNumId w:val="7"/>
  </w:num>
  <w:num w:numId="9" w16cid:durableId="3816383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549"/>
    <w:rsid w:val="000017BF"/>
    <w:rsid w:val="00003C4A"/>
    <w:rsid w:val="00004499"/>
    <w:rsid w:val="00004BDA"/>
    <w:rsid w:val="00007167"/>
    <w:rsid w:val="00017236"/>
    <w:rsid w:val="0002017D"/>
    <w:rsid w:val="0002677B"/>
    <w:rsid w:val="00027C5D"/>
    <w:rsid w:val="00031C4E"/>
    <w:rsid w:val="000351E6"/>
    <w:rsid w:val="00037916"/>
    <w:rsid w:val="00041C41"/>
    <w:rsid w:val="000464EE"/>
    <w:rsid w:val="00051CA5"/>
    <w:rsid w:val="00053B65"/>
    <w:rsid w:val="0006347B"/>
    <w:rsid w:val="00064015"/>
    <w:rsid w:val="0006508B"/>
    <w:rsid w:val="000659B4"/>
    <w:rsid w:val="000676A7"/>
    <w:rsid w:val="00067F01"/>
    <w:rsid w:val="000718E7"/>
    <w:rsid w:val="00071F18"/>
    <w:rsid w:val="00073054"/>
    <w:rsid w:val="000732CC"/>
    <w:rsid w:val="0007721D"/>
    <w:rsid w:val="000836AA"/>
    <w:rsid w:val="00085776"/>
    <w:rsid w:val="000A25BC"/>
    <w:rsid w:val="000A31B2"/>
    <w:rsid w:val="000B326F"/>
    <w:rsid w:val="000B6B28"/>
    <w:rsid w:val="000C0B93"/>
    <w:rsid w:val="000C2C83"/>
    <w:rsid w:val="000C33B3"/>
    <w:rsid w:val="000C4CE0"/>
    <w:rsid w:val="000D10AB"/>
    <w:rsid w:val="000D1A53"/>
    <w:rsid w:val="000D25D0"/>
    <w:rsid w:val="000D3B68"/>
    <w:rsid w:val="000E6A66"/>
    <w:rsid w:val="000F2107"/>
    <w:rsid w:val="000F29D4"/>
    <w:rsid w:val="000F2F4F"/>
    <w:rsid w:val="000F51FE"/>
    <w:rsid w:val="0010449A"/>
    <w:rsid w:val="00105800"/>
    <w:rsid w:val="00106BAA"/>
    <w:rsid w:val="00106D95"/>
    <w:rsid w:val="001070BD"/>
    <w:rsid w:val="00107F8D"/>
    <w:rsid w:val="001119E2"/>
    <w:rsid w:val="00111D12"/>
    <w:rsid w:val="0011587F"/>
    <w:rsid w:val="001251BC"/>
    <w:rsid w:val="00125602"/>
    <w:rsid w:val="00130B9F"/>
    <w:rsid w:val="00136301"/>
    <w:rsid w:val="00136680"/>
    <w:rsid w:val="00147775"/>
    <w:rsid w:val="00147D99"/>
    <w:rsid w:val="001536C4"/>
    <w:rsid w:val="00162736"/>
    <w:rsid w:val="0016767F"/>
    <w:rsid w:val="0017455B"/>
    <w:rsid w:val="00175C5B"/>
    <w:rsid w:val="00176C9C"/>
    <w:rsid w:val="001824B6"/>
    <w:rsid w:val="00191F4E"/>
    <w:rsid w:val="0019586B"/>
    <w:rsid w:val="001A4937"/>
    <w:rsid w:val="001B1F36"/>
    <w:rsid w:val="001B61AB"/>
    <w:rsid w:val="001B73F4"/>
    <w:rsid w:val="001C0B1A"/>
    <w:rsid w:val="001C6AD7"/>
    <w:rsid w:val="001D21E5"/>
    <w:rsid w:val="001D22ED"/>
    <w:rsid w:val="001D33A8"/>
    <w:rsid w:val="001D4A1E"/>
    <w:rsid w:val="001F30BB"/>
    <w:rsid w:val="001F598C"/>
    <w:rsid w:val="001F5DDD"/>
    <w:rsid w:val="00200F7F"/>
    <w:rsid w:val="002030C2"/>
    <w:rsid w:val="00204309"/>
    <w:rsid w:val="00212F74"/>
    <w:rsid w:val="00220116"/>
    <w:rsid w:val="00221B38"/>
    <w:rsid w:val="00223CA7"/>
    <w:rsid w:val="00223E1A"/>
    <w:rsid w:val="00224E0F"/>
    <w:rsid w:val="00225BC7"/>
    <w:rsid w:val="00230E7A"/>
    <w:rsid w:val="002313EC"/>
    <w:rsid w:val="00236D51"/>
    <w:rsid w:val="00240E82"/>
    <w:rsid w:val="00246058"/>
    <w:rsid w:val="00251EF0"/>
    <w:rsid w:val="00253893"/>
    <w:rsid w:val="00254E5B"/>
    <w:rsid w:val="00257A9A"/>
    <w:rsid w:val="0026156C"/>
    <w:rsid w:val="00266146"/>
    <w:rsid w:val="00266E9B"/>
    <w:rsid w:val="00270F52"/>
    <w:rsid w:val="00272549"/>
    <w:rsid w:val="002735D3"/>
    <w:rsid w:val="00275FAE"/>
    <w:rsid w:val="00277A8D"/>
    <w:rsid w:val="00282036"/>
    <w:rsid w:val="00292263"/>
    <w:rsid w:val="002A105D"/>
    <w:rsid w:val="002A1B88"/>
    <w:rsid w:val="002B0026"/>
    <w:rsid w:val="002B060C"/>
    <w:rsid w:val="002B1056"/>
    <w:rsid w:val="002B43AA"/>
    <w:rsid w:val="002B4CDD"/>
    <w:rsid w:val="002B50B1"/>
    <w:rsid w:val="002B5DBE"/>
    <w:rsid w:val="002C3958"/>
    <w:rsid w:val="002C6176"/>
    <w:rsid w:val="002D0861"/>
    <w:rsid w:val="002E1BCF"/>
    <w:rsid w:val="002E3F60"/>
    <w:rsid w:val="002E6BBE"/>
    <w:rsid w:val="002F0966"/>
    <w:rsid w:val="002F18FA"/>
    <w:rsid w:val="002F38E8"/>
    <w:rsid w:val="002F64E3"/>
    <w:rsid w:val="003017DE"/>
    <w:rsid w:val="00302452"/>
    <w:rsid w:val="00302CAD"/>
    <w:rsid w:val="00305DE0"/>
    <w:rsid w:val="00315CA6"/>
    <w:rsid w:val="00321C12"/>
    <w:rsid w:val="00323CB9"/>
    <w:rsid w:val="003241F7"/>
    <w:rsid w:val="0032691E"/>
    <w:rsid w:val="00331E4C"/>
    <w:rsid w:val="0033361C"/>
    <w:rsid w:val="00334D4D"/>
    <w:rsid w:val="00336DE4"/>
    <w:rsid w:val="00342C92"/>
    <w:rsid w:val="00354CA8"/>
    <w:rsid w:val="003564BA"/>
    <w:rsid w:val="00357168"/>
    <w:rsid w:val="00363AD2"/>
    <w:rsid w:val="00366B75"/>
    <w:rsid w:val="003715B7"/>
    <w:rsid w:val="00382246"/>
    <w:rsid w:val="00384721"/>
    <w:rsid w:val="00385957"/>
    <w:rsid w:val="003920C6"/>
    <w:rsid w:val="003A057A"/>
    <w:rsid w:val="003A10AE"/>
    <w:rsid w:val="003A3C87"/>
    <w:rsid w:val="003A49AE"/>
    <w:rsid w:val="003A51ED"/>
    <w:rsid w:val="003A7C5A"/>
    <w:rsid w:val="003B330E"/>
    <w:rsid w:val="003C0D78"/>
    <w:rsid w:val="003C68C9"/>
    <w:rsid w:val="003D56C1"/>
    <w:rsid w:val="003E093C"/>
    <w:rsid w:val="003E37D0"/>
    <w:rsid w:val="003E3806"/>
    <w:rsid w:val="003E3C4B"/>
    <w:rsid w:val="003E4F92"/>
    <w:rsid w:val="003E5396"/>
    <w:rsid w:val="003E7BF1"/>
    <w:rsid w:val="003F434C"/>
    <w:rsid w:val="003F7DC6"/>
    <w:rsid w:val="00402048"/>
    <w:rsid w:val="00412D64"/>
    <w:rsid w:val="0042337F"/>
    <w:rsid w:val="00437494"/>
    <w:rsid w:val="0044232D"/>
    <w:rsid w:val="004426BE"/>
    <w:rsid w:val="004439C7"/>
    <w:rsid w:val="00444967"/>
    <w:rsid w:val="004553BB"/>
    <w:rsid w:val="004707C6"/>
    <w:rsid w:val="00474733"/>
    <w:rsid w:val="00480197"/>
    <w:rsid w:val="00484744"/>
    <w:rsid w:val="004A0777"/>
    <w:rsid w:val="004A40AE"/>
    <w:rsid w:val="004A4786"/>
    <w:rsid w:val="004A61B0"/>
    <w:rsid w:val="004A6B97"/>
    <w:rsid w:val="004B3537"/>
    <w:rsid w:val="004C0774"/>
    <w:rsid w:val="004C4276"/>
    <w:rsid w:val="004D081D"/>
    <w:rsid w:val="004D0F7E"/>
    <w:rsid w:val="004D2D89"/>
    <w:rsid w:val="004D76C4"/>
    <w:rsid w:val="004E30D4"/>
    <w:rsid w:val="004E31EA"/>
    <w:rsid w:val="004F19DF"/>
    <w:rsid w:val="004F4D9B"/>
    <w:rsid w:val="004F4FB6"/>
    <w:rsid w:val="00507843"/>
    <w:rsid w:val="00514A08"/>
    <w:rsid w:val="00515911"/>
    <w:rsid w:val="00517B21"/>
    <w:rsid w:val="005230DD"/>
    <w:rsid w:val="005270B0"/>
    <w:rsid w:val="00527807"/>
    <w:rsid w:val="005379C3"/>
    <w:rsid w:val="00545FC7"/>
    <w:rsid w:val="00552210"/>
    <w:rsid w:val="00552B1A"/>
    <w:rsid w:val="005630A3"/>
    <w:rsid w:val="00570778"/>
    <w:rsid w:val="00571E51"/>
    <w:rsid w:val="0057270B"/>
    <w:rsid w:val="00574E3E"/>
    <w:rsid w:val="00580DA3"/>
    <w:rsid w:val="00581FA9"/>
    <w:rsid w:val="00582895"/>
    <w:rsid w:val="00582F20"/>
    <w:rsid w:val="005833C8"/>
    <w:rsid w:val="00590841"/>
    <w:rsid w:val="00590917"/>
    <w:rsid w:val="00596F4E"/>
    <w:rsid w:val="005A4903"/>
    <w:rsid w:val="005A4985"/>
    <w:rsid w:val="005A6741"/>
    <w:rsid w:val="005B054C"/>
    <w:rsid w:val="005B076E"/>
    <w:rsid w:val="005B32A9"/>
    <w:rsid w:val="005B3BC4"/>
    <w:rsid w:val="005C1070"/>
    <w:rsid w:val="005C4BD7"/>
    <w:rsid w:val="005C63C7"/>
    <w:rsid w:val="005D6E21"/>
    <w:rsid w:val="005E51F0"/>
    <w:rsid w:val="005E6249"/>
    <w:rsid w:val="005F1C39"/>
    <w:rsid w:val="005F4E28"/>
    <w:rsid w:val="0060007B"/>
    <w:rsid w:val="0060027C"/>
    <w:rsid w:val="0061042A"/>
    <w:rsid w:val="0061405C"/>
    <w:rsid w:val="0061568F"/>
    <w:rsid w:val="006225DD"/>
    <w:rsid w:val="00623710"/>
    <w:rsid w:val="0062385F"/>
    <w:rsid w:val="00625E39"/>
    <w:rsid w:val="00627C56"/>
    <w:rsid w:val="00631D87"/>
    <w:rsid w:val="00634A5C"/>
    <w:rsid w:val="006352F2"/>
    <w:rsid w:val="00637DDE"/>
    <w:rsid w:val="00644D52"/>
    <w:rsid w:val="00650454"/>
    <w:rsid w:val="00654848"/>
    <w:rsid w:val="00662267"/>
    <w:rsid w:val="0066624F"/>
    <w:rsid w:val="006678A1"/>
    <w:rsid w:val="00667F97"/>
    <w:rsid w:val="00670790"/>
    <w:rsid w:val="00675AAB"/>
    <w:rsid w:val="00681165"/>
    <w:rsid w:val="00681426"/>
    <w:rsid w:val="00682106"/>
    <w:rsid w:val="00682919"/>
    <w:rsid w:val="00684588"/>
    <w:rsid w:val="006847B0"/>
    <w:rsid w:val="0068568B"/>
    <w:rsid w:val="006A04CE"/>
    <w:rsid w:val="006A1835"/>
    <w:rsid w:val="006A56F9"/>
    <w:rsid w:val="006A7E15"/>
    <w:rsid w:val="006C0979"/>
    <w:rsid w:val="006D2304"/>
    <w:rsid w:val="006D27CB"/>
    <w:rsid w:val="006D6029"/>
    <w:rsid w:val="006E2746"/>
    <w:rsid w:val="006F2486"/>
    <w:rsid w:val="007039C0"/>
    <w:rsid w:val="00703C65"/>
    <w:rsid w:val="0070731D"/>
    <w:rsid w:val="00711856"/>
    <w:rsid w:val="00715C71"/>
    <w:rsid w:val="007173E1"/>
    <w:rsid w:val="00726225"/>
    <w:rsid w:val="00732366"/>
    <w:rsid w:val="00741D89"/>
    <w:rsid w:val="00744840"/>
    <w:rsid w:val="0075049A"/>
    <w:rsid w:val="007507D2"/>
    <w:rsid w:val="00752368"/>
    <w:rsid w:val="00762882"/>
    <w:rsid w:val="0076659A"/>
    <w:rsid w:val="0077416B"/>
    <w:rsid w:val="00776287"/>
    <w:rsid w:val="007819B8"/>
    <w:rsid w:val="00781F10"/>
    <w:rsid w:val="007874D7"/>
    <w:rsid w:val="00797488"/>
    <w:rsid w:val="007A3723"/>
    <w:rsid w:val="007A4ED4"/>
    <w:rsid w:val="007A6DB2"/>
    <w:rsid w:val="007B0157"/>
    <w:rsid w:val="007C2E16"/>
    <w:rsid w:val="007D1BC5"/>
    <w:rsid w:val="007D3140"/>
    <w:rsid w:val="007D6C18"/>
    <w:rsid w:val="007D7892"/>
    <w:rsid w:val="007D7AC9"/>
    <w:rsid w:val="007D7B57"/>
    <w:rsid w:val="007E159B"/>
    <w:rsid w:val="007E601A"/>
    <w:rsid w:val="007E6194"/>
    <w:rsid w:val="007E7D53"/>
    <w:rsid w:val="00800835"/>
    <w:rsid w:val="00802E0D"/>
    <w:rsid w:val="00803082"/>
    <w:rsid w:val="00803CF3"/>
    <w:rsid w:val="00807B5B"/>
    <w:rsid w:val="00811A3D"/>
    <w:rsid w:val="00811B8B"/>
    <w:rsid w:val="00820DDF"/>
    <w:rsid w:val="00821FDD"/>
    <w:rsid w:val="00825749"/>
    <w:rsid w:val="00830A65"/>
    <w:rsid w:val="00837C58"/>
    <w:rsid w:val="00842F5F"/>
    <w:rsid w:val="00847149"/>
    <w:rsid w:val="008475F5"/>
    <w:rsid w:val="00852BE5"/>
    <w:rsid w:val="00853FEC"/>
    <w:rsid w:val="008605A9"/>
    <w:rsid w:val="00860E29"/>
    <w:rsid w:val="00863C5E"/>
    <w:rsid w:val="008661EA"/>
    <w:rsid w:val="008810A9"/>
    <w:rsid w:val="0088605B"/>
    <w:rsid w:val="00891960"/>
    <w:rsid w:val="00896667"/>
    <w:rsid w:val="008A03EF"/>
    <w:rsid w:val="008A063F"/>
    <w:rsid w:val="008A235E"/>
    <w:rsid w:val="008B745D"/>
    <w:rsid w:val="008C0B87"/>
    <w:rsid w:val="008C1DF9"/>
    <w:rsid w:val="008C3142"/>
    <w:rsid w:val="008D1BE0"/>
    <w:rsid w:val="008D301A"/>
    <w:rsid w:val="008D4A4F"/>
    <w:rsid w:val="008D6743"/>
    <w:rsid w:val="008D6F54"/>
    <w:rsid w:val="008E110C"/>
    <w:rsid w:val="008E496B"/>
    <w:rsid w:val="008E62BD"/>
    <w:rsid w:val="008F2589"/>
    <w:rsid w:val="008F3098"/>
    <w:rsid w:val="00901501"/>
    <w:rsid w:val="00914E5B"/>
    <w:rsid w:val="0092062D"/>
    <w:rsid w:val="009208F3"/>
    <w:rsid w:val="00921802"/>
    <w:rsid w:val="0094031A"/>
    <w:rsid w:val="009422F8"/>
    <w:rsid w:val="00946277"/>
    <w:rsid w:val="0094656F"/>
    <w:rsid w:val="00953B68"/>
    <w:rsid w:val="00957357"/>
    <w:rsid w:val="009607AA"/>
    <w:rsid w:val="00962B83"/>
    <w:rsid w:val="009635E2"/>
    <w:rsid w:val="00965419"/>
    <w:rsid w:val="00967041"/>
    <w:rsid w:val="00971962"/>
    <w:rsid w:val="00971F8F"/>
    <w:rsid w:val="00974D72"/>
    <w:rsid w:val="00992D35"/>
    <w:rsid w:val="0099391A"/>
    <w:rsid w:val="009A1E58"/>
    <w:rsid w:val="009A6906"/>
    <w:rsid w:val="009B7B01"/>
    <w:rsid w:val="009C1A4B"/>
    <w:rsid w:val="009C3448"/>
    <w:rsid w:val="009C7303"/>
    <w:rsid w:val="009D6009"/>
    <w:rsid w:val="009E0B25"/>
    <w:rsid w:val="009E0EF4"/>
    <w:rsid w:val="009E3046"/>
    <w:rsid w:val="009F49F9"/>
    <w:rsid w:val="009F6906"/>
    <w:rsid w:val="00A07AB9"/>
    <w:rsid w:val="00A10A45"/>
    <w:rsid w:val="00A172FD"/>
    <w:rsid w:val="00A17749"/>
    <w:rsid w:val="00A2654A"/>
    <w:rsid w:val="00A334FE"/>
    <w:rsid w:val="00A33E3E"/>
    <w:rsid w:val="00A4156E"/>
    <w:rsid w:val="00A44704"/>
    <w:rsid w:val="00A51B73"/>
    <w:rsid w:val="00A5474D"/>
    <w:rsid w:val="00A5489A"/>
    <w:rsid w:val="00A62B0A"/>
    <w:rsid w:val="00A63FCA"/>
    <w:rsid w:val="00A657C8"/>
    <w:rsid w:val="00A6616C"/>
    <w:rsid w:val="00A66C5C"/>
    <w:rsid w:val="00A672B4"/>
    <w:rsid w:val="00A67315"/>
    <w:rsid w:val="00A74653"/>
    <w:rsid w:val="00A76B35"/>
    <w:rsid w:val="00A76E66"/>
    <w:rsid w:val="00A85900"/>
    <w:rsid w:val="00A878C7"/>
    <w:rsid w:val="00A909B1"/>
    <w:rsid w:val="00AA0218"/>
    <w:rsid w:val="00AA21F0"/>
    <w:rsid w:val="00AA2284"/>
    <w:rsid w:val="00AA4E3D"/>
    <w:rsid w:val="00AB308E"/>
    <w:rsid w:val="00AB6642"/>
    <w:rsid w:val="00AC4018"/>
    <w:rsid w:val="00AD1722"/>
    <w:rsid w:val="00AD290C"/>
    <w:rsid w:val="00AD4424"/>
    <w:rsid w:val="00AD522D"/>
    <w:rsid w:val="00AE4258"/>
    <w:rsid w:val="00AE7022"/>
    <w:rsid w:val="00AF4EA3"/>
    <w:rsid w:val="00AF6A01"/>
    <w:rsid w:val="00AF75F9"/>
    <w:rsid w:val="00B00E12"/>
    <w:rsid w:val="00B03B1E"/>
    <w:rsid w:val="00B13AE0"/>
    <w:rsid w:val="00B1608A"/>
    <w:rsid w:val="00B161C4"/>
    <w:rsid w:val="00B202A8"/>
    <w:rsid w:val="00B20BC2"/>
    <w:rsid w:val="00B210EC"/>
    <w:rsid w:val="00B24121"/>
    <w:rsid w:val="00B246C7"/>
    <w:rsid w:val="00B402E5"/>
    <w:rsid w:val="00B41FF8"/>
    <w:rsid w:val="00B4222C"/>
    <w:rsid w:val="00B427E4"/>
    <w:rsid w:val="00B42B24"/>
    <w:rsid w:val="00B44ED9"/>
    <w:rsid w:val="00B458A0"/>
    <w:rsid w:val="00B5037E"/>
    <w:rsid w:val="00B62E6A"/>
    <w:rsid w:val="00B67E88"/>
    <w:rsid w:val="00B71864"/>
    <w:rsid w:val="00B76F83"/>
    <w:rsid w:val="00B7723F"/>
    <w:rsid w:val="00B8144C"/>
    <w:rsid w:val="00B843FF"/>
    <w:rsid w:val="00B8525C"/>
    <w:rsid w:val="00B87D33"/>
    <w:rsid w:val="00B941C6"/>
    <w:rsid w:val="00B9631B"/>
    <w:rsid w:val="00BA5BA1"/>
    <w:rsid w:val="00BB37C3"/>
    <w:rsid w:val="00BC26D8"/>
    <w:rsid w:val="00BD28C1"/>
    <w:rsid w:val="00BD590E"/>
    <w:rsid w:val="00BD5D5A"/>
    <w:rsid w:val="00BD6056"/>
    <w:rsid w:val="00BE0462"/>
    <w:rsid w:val="00BE0559"/>
    <w:rsid w:val="00BE3091"/>
    <w:rsid w:val="00BE5D71"/>
    <w:rsid w:val="00BE6E1D"/>
    <w:rsid w:val="00BE77D8"/>
    <w:rsid w:val="00BE7874"/>
    <w:rsid w:val="00BF0EB3"/>
    <w:rsid w:val="00BF2AE4"/>
    <w:rsid w:val="00C014BC"/>
    <w:rsid w:val="00C11DB3"/>
    <w:rsid w:val="00C12760"/>
    <w:rsid w:val="00C226B7"/>
    <w:rsid w:val="00C23D55"/>
    <w:rsid w:val="00C327C4"/>
    <w:rsid w:val="00C33A53"/>
    <w:rsid w:val="00C345BB"/>
    <w:rsid w:val="00C357FF"/>
    <w:rsid w:val="00C36281"/>
    <w:rsid w:val="00C36D2E"/>
    <w:rsid w:val="00C4022E"/>
    <w:rsid w:val="00C417AB"/>
    <w:rsid w:val="00C46F2E"/>
    <w:rsid w:val="00C477F8"/>
    <w:rsid w:val="00C54A60"/>
    <w:rsid w:val="00C63F6E"/>
    <w:rsid w:val="00C65764"/>
    <w:rsid w:val="00C675DC"/>
    <w:rsid w:val="00C67ED7"/>
    <w:rsid w:val="00C84123"/>
    <w:rsid w:val="00C84B5B"/>
    <w:rsid w:val="00C85073"/>
    <w:rsid w:val="00CA0F7E"/>
    <w:rsid w:val="00CA26DB"/>
    <w:rsid w:val="00CA5EAA"/>
    <w:rsid w:val="00CA637A"/>
    <w:rsid w:val="00CB6527"/>
    <w:rsid w:val="00CB7BCB"/>
    <w:rsid w:val="00CC05C8"/>
    <w:rsid w:val="00CC37CB"/>
    <w:rsid w:val="00CC58F7"/>
    <w:rsid w:val="00CC6602"/>
    <w:rsid w:val="00CD3881"/>
    <w:rsid w:val="00CD4C67"/>
    <w:rsid w:val="00CD5409"/>
    <w:rsid w:val="00CD55A7"/>
    <w:rsid w:val="00CD5783"/>
    <w:rsid w:val="00CE3D24"/>
    <w:rsid w:val="00CE7947"/>
    <w:rsid w:val="00CE7E62"/>
    <w:rsid w:val="00CF1B39"/>
    <w:rsid w:val="00CF1F5B"/>
    <w:rsid w:val="00D00B7F"/>
    <w:rsid w:val="00D11951"/>
    <w:rsid w:val="00D212AF"/>
    <w:rsid w:val="00D2506E"/>
    <w:rsid w:val="00D2756D"/>
    <w:rsid w:val="00D41250"/>
    <w:rsid w:val="00D43576"/>
    <w:rsid w:val="00D5600B"/>
    <w:rsid w:val="00D61C57"/>
    <w:rsid w:val="00D65305"/>
    <w:rsid w:val="00D666B4"/>
    <w:rsid w:val="00D67070"/>
    <w:rsid w:val="00D67EE0"/>
    <w:rsid w:val="00D7262D"/>
    <w:rsid w:val="00D75238"/>
    <w:rsid w:val="00D759ED"/>
    <w:rsid w:val="00D805DB"/>
    <w:rsid w:val="00D807B8"/>
    <w:rsid w:val="00D84814"/>
    <w:rsid w:val="00DA12F7"/>
    <w:rsid w:val="00DA2022"/>
    <w:rsid w:val="00DB1683"/>
    <w:rsid w:val="00DB5AA2"/>
    <w:rsid w:val="00DB63F6"/>
    <w:rsid w:val="00DB6698"/>
    <w:rsid w:val="00DC0412"/>
    <w:rsid w:val="00DC0937"/>
    <w:rsid w:val="00DD0B2D"/>
    <w:rsid w:val="00DD300E"/>
    <w:rsid w:val="00DD3FCF"/>
    <w:rsid w:val="00DD415A"/>
    <w:rsid w:val="00DE052F"/>
    <w:rsid w:val="00DE0C16"/>
    <w:rsid w:val="00DE707A"/>
    <w:rsid w:val="00DF1CFA"/>
    <w:rsid w:val="00DF554E"/>
    <w:rsid w:val="00DF7724"/>
    <w:rsid w:val="00E0435C"/>
    <w:rsid w:val="00E050CF"/>
    <w:rsid w:val="00E05674"/>
    <w:rsid w:val="00E13A89"/>
    <w:rsid w:val="00E1411A"/>
    <w:rsid w:val="00E1581C"/>
    <w:rsid w:val="00E15B82"/>
    <w:rsid w:val="00E16EE6"/>
    <w:rsid w:val="00E24209"/>
    <w:rsid w:val="00E30688"/>
    <w:rsid w:val="00E51D08"/>
    <w:rsid w:val="00E52F7F"/>
    <w:rsid w:val="00E52FA2"/>
    <w:rsid w:val="00E5508F"/>
    <w:rsid w:val="00E63DDB"/>
    <w:rsid w:val="00E703CE"/>
    <w:rsid w:val="00E70E5F"/>
    <w:rsid w:val="00E71BE6"/>
    <w:rsid w:val="00E73B11"/>
    <w:rsid w:val="00E73C70"/>
    <w:rsid w:val="00E77B36"/>
    <w:rsid w:val="00E80A87"/>
    <w:rsid w:val="00E81271"/>
    <w:rsid w:val="00E82269"/>
    <w:rsid w:val="00E9030E"/>
    <w:rsid w:val="00E903BE"/>
    <w:rsid w:val="00E967CA"/>
    <w:rsid w:val="00E96B3D"/>
    <w:rsid w:val="00EA184E"/>
    <w:rsid w:val="00EA2662"/>
    <w:rsid w:val="00EA3D82"/>
    <w:rsid w:val="00EB56D7"/>
    <w:rsid w:val="00EC3197"/>
    <w:rsid w:val="00EC3D61"/>
    <w:rsid w:val="00ED22C1"/>
    <w:rsid w:val="00ED7935"/>
    <w:rsid w:val="00EE102D"/>
    <w:rsid w:val="00EF199D"/>
    <w:rsid w:val="00EF3F37"/>
    <w:rsid w:val="00EF439F"/>
    <w:rsid w:val="00EF47EB"/>
    <w:rsid w:val="00EF55E2"/>
    <w:rsid w:val="00F00366"/>
    <w:rsid w:val="00F0291D"/>
    <w:rsid w:val="00F072A6"/>
    <w:rsid w:val="00F11610"/>
    <w:rsid w:val="00F12465"/>
    <w:rsid w:val="00F12E8B"/>
    <w:rsid w:val="00F21A37"/>
    <w:rsid w:val="00F23E4F"/>
    <w:rsid w:val="00F26715"/>
    <w:rsid w:val="00F27C88"/>
    <w:rsid w:val="00F320FD"/>
    <w:rsid w:val="00F3612E"/>
    <w:rsid w:val="00F36B8A"/>
    <w:rsid w:val="00F42F6D"/>
    <w:rsid w:val="00F53396"/>
    <w:rsid w:val="00F56603"/>
    <w:rsid w:val="00F56E29"/>
    <w:rsid w:val="00F746AA"/>
    <w:rsid w:val="00F7500B"/>
    <w:rsid w:val="00F81B29"/>
    <w:rsid w:val="00F81C2F"/>
    <w:rsid w:val="00F851CB"/>
    <w:rsid w:val="00F85FDF"/>
    <w:rsid w:val="00F903CA"/>
    <w:rsid w:val="00F90704"/>
    <w:rsid w:val="00F96E2E"/>
    <w:rsid w:val="00FA1AA9"/>
    <w:rsid w:val="00FA2966"/>
    <w:rsid w:val="00FA2E6F"/>
    <w:rsid w:val="00FB5199"/>
    <w:rsid w:val="00FB5BA9"/>
    <w:rsid w:val="00FC04BF"/>
    <w:rsid w:val="00FC3924"/>
    <w:rsid w:val="00FC5A4E"/>
    <w:rsid w:val="00FD1F96"/>
    <w:rsid w:val="00FD4EC2"/>
    <w:rsid w:val="00FE6595"/>
    <w:rsid w:val="00FF16DA"/>
    <w:rsid w:val="00FF3B79"/>
    <w:rsid w:val="01776447"/>
    <w:rsid w:val="01CCBA3D"/>
    <w:rsid w:val="020B620D"/>
    <w:rsid w:val="03E2EE52"/>
    <w:rsid w:val="055782AD"/>
    <w:rsid w:val="05C83BB4"/>
    <w:rsid w:val="0A5CB4E6"/>
    <w:rsid w:val="0BCDE76E"/>
    <w:rsid w:val="0CB67C9D"/>
    <w:rsid w:val="0D293E60"/>
    <w:rsid w:val="0D619873"/>
    <w:rsid w:val="0E94686A"/>
    <w:rsid w:val="0EFE97C4"/>
    <w:rsid w:val="1252C47F"/>
    <w:rsid w:val="13519C26"/>
    <w:rsid w:val="16AD8396"/>
    <w:rsid w:val="194AF180"/>
    <w:rsid w:val="1A510260"/>
    <w:rsid w:val="1C4CB15D"/>
    <w:rsid w:val="1C5B271D"/>
    <w:rsid w:val="1D22CE27"/>
    <w:rsid w:val="1E7BF0B9"/>
    <w:rsid w:val="1F506431"/>
    <w:rsid w:val="213A36AD"/>
    <w:rsid w:val="22CD2EB3"/>
    <w:rsid w:val="239FDBC3"/>
    <w:rsid w:val="23B12ADA"/>
    <w:rsid w:val="28B01063"/>
    <w:rsid w:val="2C39BCE5"/>
    <w:rsid w:val="31A937D5"/>
    <w:rsid w:val="3308C81B"/>
    <w:rsid w:val="354D5366"/>
    <w:rsid w:val="3BE4D2FF"/>
    <w:rsid w:val="3D25A471"/>
    <w:rsid w:val="41A9C99B"/>
    <w:rsid w:val="43D37965"/>
    <w:rsid w:val="44375A2D"/>
    <w:rsid w:val="44551C07"/>
    <w:rsid w:val="44A16587"/>
    <w:rsid w:val="4530F35C"/>
    <w:rsid w:val="46256ADD"/>
    <w:rsid w:val="46C77746"/>
    <w:rsid w:val="47761E2C"/>
    <w:rsid w:val="48105078"/>
    <w:rsid w:val="494C356F"/>
    <w:rsid w:val="4A5920BF"/>
    <w:rsid w:val="4AE40ABC"/>
    <w:rsid w:val="4AE805D0"/>
    <w:rsid w:val="4AFDEC47"/>
    <w:rsid w:val="4F10AC77"/>
    <w:rsid w:val="501FEF33"/>
    <w:rsid w:val="51E86D2F"/>
    <w:rsid w:val="555E972C"/>
    <w:rsid w:val="59281257"/>
    <w:rsid w:val="595C3316"/>
    <w:rsid w:val="59D87EC9"/>
    <w:rsid w:val="5A489FFB"/>
    <w:rsid w:val="5C2018FF"/>
    <w:rsid w:val="5D40A6A3"/>
    <w:rsid w:val="611BC247"/>
    <w:rsid w:val="62660DD5"/>
    <w:rsid w:val="6486EC50"/>
    <w:rsid w:val="669BB5B2"/>
    <w:rsid w:val="66DF3FE9"/>
    <w:rsid w:val="68BA6908"/>
    <w:rsid w:val="6922478B"/>
    <w:rsid w:val="69334A08"/>
    <w:rsid w:val="6B61C951"/>
    <w:rsid w:val="6BAC81BC"/>
    <w:rsid w:val="6C0290B5"/>
    <w:rsid w:val="6C4DD18F"/>
    <w:rsid w:val="6C555973"/>
    <w:rsid w:val="7087F525"/>
    <w:rsid w:val="74D001E9"/>
    <w:rsid w:val="74DF4482"/>
    <w:rsid w:val="7724342B"/>
    <w:rsid w:val="7919B7FF"/>
    <w:rsid w:val="79D0B81F"/>
    <w:rsid w:val="7A081E1D"/>
    <w:rsid w:val="7BA58215"/>
    <w:rsid w:val="7F5C9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CCA70"/>
  <w15:chartTrackingRefBased/>
  <w15:docId w15:val="{4333A6FF-3252-0E47-B417-4DEAEDBEA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549"/>
    <w:pPr>
      <w:spacing w:after="200" w:line="252" w:lineRule="auto"/>
    </w:pPr>
    <w:rPr>
      <w:rFonts w:asciiTheme="majorHAnsi" w:eastAsiaTheme="majorEastAsia" w:hAnsiTheme="majorHAnsi" w:cstheme="majorBidi"/>
      <w:kern w:val="0"/>
      <w:sz w:val="22"/>
      <w:szCs w:val="22"/>
      <w14:ligatures w14:val="none"/>
    </w:rPr>
  </w:style>
  <w:style w:type="paragraph" w:styleId="Heading1">
    <w:name w:val="heading 1"/>
    <w:basedOn w:val="Normal"/>
    <w:next w:val="Normal"/>
    <w:link w:val="Heading1Char"/>
    <w:uiPriority w:val="9"/>
    <w:qFormat/>
    <w:rsid w:val="00272549"/>
    <w:pPr>
      <w:keepNext/>
      <w:keepLines/>
      <w:spacing w:before="360" w:after="80"/>
      <w:outlineLvl w:val="0"/>
    </w:pPr>
    <w:rPr>
      <w:color w:val="0F4761" w:themeColor="accent1" w:themeShade="BF"/>
      <w:sz w:val="40"/>
      <w:szCs w:val="40"/>
    </w:rPr>
  </w:style>
  <w:style w:type="paragraph" w:styleId="Heading2">
    <w:name w:val="heading 2"/>
    <w:basedOn w:val="Normal"/>
    <w:next w:val="Normal"/>
    <w:link w:val="Heading2Char"/>
    <w:uiPriority w:val="9"/>
    <w:unhideWhenUsed/>
    <w:qFormat/>
    <w:rsid w:val="00272549"/>
    <w:pPr>
      <w:keepNext/>
      <w:keepLines/>
      <w:spacing w:before="160" w:after="80"/>
      <w:outlineLvl w:val="1"/>
    </w:pPr>
    <w:rPr>
      <w:color w:val="0F4761" w:themeColor="accent1" w:themeShade="BF"/>
      <w:sz w:val="32"/>
      <w:szCs w:val="32"/>
    </w:rPr>
  </w:style>
  <w:style w:type="paragraph" w:styleId="Heading3">
    <w:name w:val="heading 3"/>
    <w:basedOn w:val="Normal"/>
    <w:next w:val="Normal"/>
    <w:link w:val="Heading3Char"/>
    <w:uiPriority w:val="9"/>
    <w:unhideWhenUsed/>
    <w:qFormat/>
    <w:rsid w:val="00272549"/>
    <w:pPr>
      <w:keepNext/>
      <w:keepLines/>
      <w:spacing w:before="160" w:after="80"/>
      <w:outlineLvl w:val="2"/>
    </w:pPr>
    <w:rPr>
      <w:color w:val="0F4761" w:themeColor="accent1" w:themeShade="BF"/>
      <w:sz w:val="28"/>
      <w:szCs w:val="28"/>
    </w:rPr>
  </w:style>
  <w:style w:type="paragraph" w:styleId="Heading4">
    <w:name w:val="heading 4"/>
    <w:basedOn w:val="Normal"/>
    <w:next w:val="Normal"/>
    <w:link w:val="Heading4Char"/>
    <w:uiPriority w:val="9"/>
    <w:semiHidden/>
    <w:unhideWhenUsed/>
    <w:qFormat/>
    <w:rsid w:val="00272549"/>
    <w:pPr>
      <w:keepNext/>
      <w:keepLines/>
      <w:spacing w:before="80" w:after="40"/>
      <w:outlineLvl w:val="3"/>
    </w:pPr>
    <w:rPr>
      <w:i/>
      <w:iCs/>
      <w:color w:val="0F4761" w:themeColor="accent1" w:themeShade="BF"/>
    </w:rPr>
  </w:style>
  <w:style w:type="paragraph" w:styleId="Heading5">
    <w:name w:val="heading 5"/>
    <w:basedOn w:val="Normal"/>
    <w:next w:val="Normal"/>
    <w:link w:val="Heading5Char"/>
    <w:uiPriority w:val="9"/>
    <w:semiHidden/>
    <w:unhideWhenUsed/>
    <w:qFormat/>
    <w:rsid w:val="00272549"/>
    <w:pPr>
      <w:keepNext/>
      <w:keepLines/>
      <w:spacing w:before="80" w:after="40"/>
      <w:outlineLvl w:val="4"/>
    </w:pPr>
    <w:rPr>
      <w:color w:val="0F4761" w:themeColor="accent1" w:themeShade="BF"/>
    </w:rPr>
  </w:style>
  <w:style w:type="paragraph" w:styleId="Heading6">
    <w:name w:val="heading 6"/>
    <w:basedOn w:val="Normal"/>
    <w:next w:val="Normal"/>
    <w:link w:val="Heading6Char"/>
    <w:uiPriority w:val="9"/>
    <w:semiHidden/>
    <w:unhideWhenUsed/>
    <w:qFormat/>
    <w:rsid w:val="00272549"/>
    <w:pPr>
      <w:keepNext/>
      <w:keepLines/>
      <w:spacing w:before="40"/>
      <w:outlineLvl w:val="5"/>
    </w:pPr>
    <w:rPr>
      <w:i/>
      <w:iCs/>
      <w:color w:val="595959" w:themeColor="text1" w:themeTint="A6"/>
    </w:rPr>
  </w:style>
  <w:style w:type="paragraph" w:styleId="Heading7">
    <w:name w:val="heading 7"/>
    <w:basedOn w:val="Normal"/>
    <w:next w:val="Normal"/>
    <w:link w:val="Heading7Char"/>
    <w:uiPriority w:val="9"/>
    <w:semiHidden/>
    <w:unhideWhenUsed/>
    <w:qFormat/>
    <w:rsid w:val="00272549"/>
    <w:pPr>
      <w:keepNext/>
      <w:keepLines/>
      <w:spacing w:before="40"/>
      <w:outlineLvl w:val="6"/>
    </w:pPr>
    <w:rPr>
      <w:color w:val="595959" w:themeColor="text1" w:themeTint="A6"/>
    </w:rPr>
  </w:style>
  <w:style w:type="paragraph" w:styleId="Heading8">
    <w:name w:val="heading 8"/>
    <w:basedOn w:val="Normal"/>
    <w:next w:val="Normal"/>
    <w:link w:val="Heading8Char"/>
    <w:uiPriority w:val="9"/>
    <w:semiHidden/>
    <w:unhideWhenUsed/>
    <w:qFormat/>
    <w:rsid w:val="00272549"/>
    <w:pPr>
      <w:keepNext/>
      <w:keepLines/>
      <w:outlineLvl w:val="7"/>
    </w:pPr>
    <w:rPr>
      <w:i/>
      <w:iCs/>
      <w:color w:val="272727" w:themeColor="text1" w:themeTint="D8"/>
    </w:rPr>
  </w:style>
  <w:style w:type="paragraph" w:styleId="Heading9">
    <w:name w:val="heading 9"/>
    <w:basedOn w:val="Normal"/>
    <w:next w:val="Normal"/>
    <w:link w:val="Heading9Char"/>
    <w:uiPriority w:val="9"/>
    <w:semiHidden/>
    <w:unhideWhenUsed/>
    <w:qFormat/>
    <w:rsid w:val="00272549"/>
    <w:pPr>
      <w:keepNext/>
      <w:keepLines/>
      <w:outlineLvl w:val="8"/>
    </w:pPr>
    <w:rPr>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5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25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25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25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25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25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25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25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2549"/>
    <w:rPr>
      <w:rFonts w:eastAsiaTheme="majorEastAsia" w:cstheme="majorBidi"/>
      <w:color w:val="272727" w:themeColor="text1" w:themeTint="D8"/>
    </w:rPr>
  </w:style>
  <w:style w:type="paragraph" w:styleId="Title">
    <w:name w:val="Title"/>
    <w:basedOn w:val="Normal"/>
    <w:next w:val="Normal"/>
    <w:link w:val="TitleChar"/>
    <w:uiPriority w:val="10"/>
    <w:qFormat/>
    <w:rsid w:val="00272549"/>
    <w:pPr>
      <w:spacing w:after="80"/>
      <w:contextualSpacing/>
    </w:pPr>
    <w:rPr>
      <w:spacing w:val="-10"/>
      <w:kern w:val="28"/>
      <w:sz w:val="56"/>
      <w:szCs w:val="56"/>
    </w:rPr>
  </w:style>
  <w:style w:type="character" w:customStyle="1" w:styleId="TitleChar">
    <w:name w:val="Title Char"/>
    <w:basedOn w:val="DefaultParagraphFont"/>
    <w:link w:val="Title"/>
    <w:uiPriority w:val="10"/>
    <w:rsid w:val="002725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2549"/>
    <w:pPr>
      <w:numPr>
        <w:ilvl w:val="1"/>
      </w:numPr>
      <w:spacing w:after="160"/>
    </w:pPr>
    <w:rPr>
      <w:color w:val="595959" w:themeColor="text1" w:themeTint="A6"/>
      <w:spacing w:val="15"/>
      <w:sz w:val="28"/>
      <w:szCs w:val="28"/>
    </w:rPr>
  </w:style>
  <w:style w:type="character" w:customStyle="1" w:styleId="SubtitleChar">
    <w:name w:val="Subtitle Char"/>
    <w:basedOn w:val="DefaultParagraphFont"/>
    <w:link w:val="Subtitle"/>
    <w:uiPriority w:val="11"/>
    <w:rsid w:val="002725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254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2549"/>
    <w:rPr>
      <w:i/>
      <w:iCs/>
      <w:color w:val="404040" w:themeColor="text1" w:themeTint="BF"/>
    </w:rPr>
  </w:style>
  <w:style w:type="paragraph" w:styleId="ListParagraph">
    <w:name w:val="List Paragraph"/>
    <w:basedOn w:val="Normal"/>
    <w:uiPriority w:val="34"/>
    <w:qFormat/>
    <w:rsid w:val="00272549"/>
    <w:pPr>
      <w:ind w:left="720"/>
      <w:contextualSpacing/>
    </w:pPr>
  </w:style>
  <w:style w:type="character" w:styleId="IntenseEmphasis">
    <w:name w:val="Intense Emphasis"/>
    <w:basedOn w:val="DefaultParagraphFont"/>
    <w:uiPriority w:val="21"/>
    <w:qFormat/>
    <w:rsid w:val="00272549"/>
    <w:rPr>
      <w:i/>
      <w:iCs/>
      <w:color w:val="0F4761" w:themeColor="accent1" w:themeShade="BF"/>
    </w:rPr>
  </w:style>
  <w:style w:type="paragraph" w:styleId="IntenseQuote">
    <w:name w:val="Intense Quote"/>
    <w:basedOn w:val="Normal"/>
    <w:next w:val="Normal"/>
    <w:link w:val="IntenseQuoteChar"/>
    <w:uiPriority w:val="30"/>
    <w:qFormat/>
    <w:rsid w:val="002725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2549"/>
    <w:rPr>
      <w:i/>
      <w:iCs/>
      <w:color w:val="0F4761" w:themeColor="accent1" w:themeShade="BF"/>
    </w:rPr>
  </w:style>
  <w:style w:type="character" w:styleId="IntenseReference">
    <w:name w:val="Intense Reference"/>
    <w:basedOn w:val="DefaultParagraphFont"/>
    <w:uiPriority w:val="32"/>
    <w:qFormat/>
    <w:rsid w:val="00272549"/>
    <w:rPr>
      <w:b/>
      <w:bCs/>
      <w:smallCaps/>
      <w:color w:val="0F4761" w:themeColor="accent1" w:themeShade="BF"/>
      <w:spacing w:val="5"/>
    </w:rPr>
  </w:style>
  <w:style w:type="paragraph" w:styleId="TOCHeading">
    <w:name w:val="TOC Heading"/>
    <w:basedOn w:val="Heading1"/>
    <w:next w:val="Normal"/>
    <w:uiPriority w:val="39"/>
    <w:unhideWhenUsed/>
    <w:qFormat/>
    <w:rsid w:val="00CD4C67"/>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CD4C67"/>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CD4C67"/>
    <w:pPr>
      <w:spacing w:before="120" w:after="0"/>
      <w:ind w:left="220"/>
    </w:pPr>
    <w:rPr>
      <w:rFonts w:asciiTheme="minorHAnsi" w:hAnsiTheme="minorHAnsi"/>
      <w:b/>
      <w:bCs/>
    </w:rPr>
  </w:style>
  <w:style w:type="paragraph" w:styleId="TOC3">
    <w:name w:val="toc 3"/>
    <w:basedOn w:val="Normal"/>
    <w:next w:val="Normal"/>
    <w:autoRedefine/>
    <w:uiPriority w:val="39"/>
    <w:unhideWhenUsed/>
    <w:rsid w:val="00CD4C67"/>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CD4C67"/>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CD4C67"/>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CD4C67"/>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CD4C67"/>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CD4C67"/>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CD4C67"/>
    <w:pPr>
      <w:spacing w:after="0"/>
      <w:ind w:left="1760"/>
    </w:pPr>
    <w:rPr>
      <w:rFonts w:asciiTheme="minorHAnsi" w:hAnsiTheme="minorHAnsi"/>
      <w:sz w:val="20"/>
      <w:szCs w:val="20"/>
    </w:rPr>
  </w:style>
  <w:style w:type="paragraph" w:styleId="Footer">
    <w:name w:val="footer"/>
    <w:basedOn w:val="Normal"/>
    <w:link w:val="FooterChar"/>
    <w:uiPriority w:val="99"/>
    <w:unhideWhenUsed/>
    <w:rsid w:val="006A7E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E15"/>
    <w:rPr>
      <w:rFonts w:asciiTheme="majorHAnsi" w:eastAsiaTheme="majorEastAsia" w:hAnsiTheme="majorHAnsi" w:cstheme="majorBidi"/>
      <w:kern w:val="0"/>
      <w:sz w:val="22"/>
      <w:szCs w:val="22"/>
      <w14:ligatures w14:val="none"/>
    </w:rPr>
  </w:style>
  <w:style w:type="character" w:styleId="PageNumber">
    <w:name w:val="page number"/>
    <w:basedOn w:val="DefaultParagraphFont"/>
    <w:uiPriority w:val="99"/>
    <w:semiHidden/>
    <w:unhideWhenUsed/>
    <w:rsid w:val="006A7E15"/>
  </w:style>
  <w:style w:type="paragraph" w:styleId="NormalWeb">
    <w:name w:val="Normal (Web)"/>
    <w:basedOn w:val="Normal"/>
    <w:uiPriority w:val="99"/>
    <w:unhideWhenUsed/>
    <w:rsid w:val="00FA2E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A2E6F"/>
  </w:style>
  <w:style w:type="character" w:styleId="Hyperlink">
    <w:name w:val="Hyperlink"/>
    <w:basedOn w:val="DefaultParagraphFont"/>
    <w:uiPriority w:val="99"/>
    <w:unhideWhenUsed/>
    <w:rsid w:val="00802E0D"/>
    <w:rPr>
      <w:color w:val="467886" w:themeColor="hyperlink"/>
      <w:u w:val="single"/>
    </w:rPr>
  </w:style>
  <w:style w:type="character" w:styleId="UnresolvedMention">
    <w:name w:val="Unresolved Mention"/>
    <w:basedOn w:val="DefaultParagraphFont"/>
    <w:uiPriority w:val="99"/>
    <w:semiHidden/>
    <w:unhideWhenUsed/>
    <w:rsid w:val="00802E0D"/>
    <w:rPr>
      <w:color w:val="605E5C"/>
      <w:shd w:val="clear" w:color="auto" w:fill="E1DFDD"/>
    </w:rPr>
  </w:style>
  <w:style w:type="paragraph" w:styleId="Header">
    <w:name w:val="header"/>
    <w:basedOn w:val="Normal"/>
    <w:link w:val="HeaderChar"/>
    <w:uiPriority w:val="99"/>
    <w:semiHidden/>
    <w:unhideWhenUsed/>
    <w:rsid w:val="000F51F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2304"/>
    <w:rPr>
      <w:rFonts w:asciiTheme="majorHAnsi" w:eastAsiaTheme="majorEastAsia" w:hAnsiTheme="majorHAnsi" w:cstheme="majorBidi"/>
      <w:kern w:val="0"/>
      <w:sz w:val="22"/>
      <w:szCs w:val="22"/>
      <w14:ligatures w14:val="none"/>
    </w:rPr>
  </w:style>
  <w:style w:type="table" w:styleId="TableGrid">
    <w:name w:val="Table Grid"/>
    <w:basedOn w:val="TableNormal"/>
    <w:uiPriority w:val="39"/>
    <w:rsid w:val="000E6A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nancialssection-title">
    <w:name w:val="financials__section-title"/>
    <w:basedOn w:val="DefaultParagraphFont"/>
    <w:rsid w:val="004801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3794">
      <w:bodyDiv w:val="1"/>
      <w:marLeft w:val="0"/>
      <w:marRight w:val="0"/>
      <w:marTop w:val="0"/>
      <w:marBottom w:val="0"/>
      <w:divBdr>
        <w:top w:val="none" w:sz="0" w:space="0" w:color="auto"/>
        <w:left w:val="none" w:sz="0" w:space="0" w:color="auto"/>
        <w:bottom w:val="none" w:sz="0" w:space="0" w:color="auto"/>
        <w:right w:val="none" w:sz="0" w:space="0" w:color="auto"/>
      </w:divBdr>
    </w:div>
    <w:div w:id="88161344">
      <w:bodyDiv w:val="1"/>
      <w:marLeft w:val="0"/>
      <w:marRight w:val="0"/>
      <w:marTop w:val="0"/>
      <w:marBottom w:val="0"/>
      <w:divBdr>
        <w:top w:val="none" w:sz="0" w:space="0" w:color="auto"/>
        <w:left w:val="none" w:sz="0" w:space="0" w:color="auto"/>
        <w:bottom w:val="none" w:sz="0" w:space="0" w:color="auto"/>
        <w:right w:val="none" w:sz="0" w:space="0" w:color="auto"/>
      </w:divBdr>
    </w:div>
    <w:div w:id="151874855">
      <w:bodyDiv w:val="1"/>
      <w:marLeft w:val="0"/>
      <w:marRight w:val="0"/>
      <w:marTop w:val="0"/>
      <w:marBottom w:val="0"/>
      <w:divBdr>
        <w:top w:val="none" w:sz="0" w:space="0" w:color="auto"/>
        <w:left w:val="none" w:sz="0" w:space="0" w:color="auto"/>
        <w:bottom w:val="none" w:sz="0" w:space="0" w:color="auto"/>
        <w:right w:val="none" w:sz="0" w:space="0" w:color="auto"/>
      </w:divBdr>
    </w:div>
    <w:div w:id="244263745">
      <w:bodyDiv w:val="1"/>
      <w:marLeft w:val="0"/>
      <w:marRight w:val="0"/>
      <w:marTop w:val="0"/>
      <w:marBottom w:val="0"/>
      <w:divBdr>
        <w:top w:val="none" w:sz="0" w:space="0" w:color="auto"/>
        <w:left w:val="none" w:sz="0" w:space="0" w:color="auto"/>
        <w:bottom w:val="none" w:sz="0" w:space="0" w:color="auto"/>
        <w:right w:val="none" w:sz="0" w:space="0" w:color="auto"/>
      </w:divBdr>
    </w:div>
    <w:div w:id="418716511">
      <w:bodyDiv w:val="1"/>
      <w:marLeft w:val="0"/>
      <w:marRight w:val="0"/>
      <w:marTop w:val="0"/>
      <w:marBottom w:val="0"/>
      <w:divBdr>
        <w:top w:val="none" w:sz="0" w:space="0" w:color="auto"/>
        <w:left w:val="none" w:sz="0" w:space="0" w:color="auto"/>
        <w:bottom w:val="none" w:sz="0" w:space="0" w:color="auto"/>
        <w:right w:val="none" w:sz="0" w:space="0" w:color="auto"/>
      </w:divBdr>
    </w:div>
    <w:div w:id="532309060">
      <w:bodyDiv w:val="1"/>
      <w:marLeft w:val="0"/>
      <w:marRight w:val="0"/>
      <w:marTop w:val="0"/>
      <w:marBottom w:val="0"/>
      <w:divBdr>
        <w:top w:val="none" w:sz="0" w:space="0" w:color="auto"/>
        <w:left w:val="none" w:sz="0" w:space="0" w:color="auto"/>
        <w:bottom w:val="none" w:sz="0" w:space="0" w:color="auto"/>
        <w:right w:val="none" w:sz="0" w:space="0" w:color="auto"/>
      </w:divBdr>
    </w:div>
    <w:div w:id="546769339">
      <w:bodyDiv w:val="1"/>
      <w:marLeft w:val="0"/>
      <w:marRight w:val="0"/>
      <w:marTop w:val="0"/>
      <w:marBottom w:val="0"/>
      <w:divBdr>
        <w:top w:val="none" w:sz="0" w:space="0" w:color="auto"/>
        <w:left w:val="none" w:sz="0" w:space="0" w:color="auto"/>
        <w:bottom w:val="none" w:sz="0" w:space="0" w:color="auto"/>
        <w:right w:val="none" w:sz="0" w:space="0" w:color="auto"/>
      </w:divBdr>
      <w:divsChild>
        <w:div w:id="612248336">
          <w:marLeft w:val="0"/>
          <w:marRight w:val="0"/>
          <w:marTop w:val="0"/>
          <w:marBottom w:val="0"/>
          <w:divBdr>
            <w:top w:val="none" w:sz="0" w:space="0" w:color="auto"/>
            <w:left w:val="none" w:sz="0" w:space="0" w:color="auto"/>
            <w:bottom w:val="none" w:sz="0" w:space="0" w:color="auto"/>
            <w:right w:val="none" w:sz="0" w:space="0" w:color="auto"/>
          </w:divBdr>
          <w:divsChild>
            <w:div w:id="1394818085">
              <w:marLeft w:val="0"/>
              <w:marRight w:val="0"/>
              <w:marTop w:val="0"/>
              <w:marBottom w:val="0"/>
              <w:divBdr>
                <w:top w:val="none" w:sz="0" w:space="0" w:color="auto"/>
                <w:left w:val="none" w:sz="0" w:space="0" w:color="auto"/>
                <w:bottom w:val="none" w:sz="0" w:space="0" w:color="auto"/>
                <w:right w:val="none" w:sz="0" w:space="0" w:color="auto"/>
              </w:divBdr>
            </w:div>
            <w:div w:id="188606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780330">
      <w:bodyDiv w:val="1"/>
      <w:marLeft w:val="0"/>
      <w:marRight w:val="0"/>
      <w:marTop w:val="0"/>
      <w:marBottom w:val="0"/>
      <w:divBdr>
        <w:top w:val="none" w:sz="0" w:space="0" w:color="auto"/>
        <w:left w:val="none" w:sz="0" w:space="0" w:color="auto"/>
        <w:bottom w:val="none" w:sz="0" w:space="0" w:color="auto"/>
        <w:right w:val="none" w:sz="0" w:space="0" w:color="auto"/>
      </w:divBdr>
    </w:div>
    <w:div w:id="599070831">
      <w:bodyDiv w:val="1"/>
      <w:marLeft w:val="0"/>
      <w:marRight w:val="0"/>
      <w:marTop w:val="0"/>
      <w:marBottom w:val="0"/>
      <w:divBdr>
        <w:top w:val="none" w:sz="0" w:space="0" w:color="auto"/>
        <w:left w:val="none" w:sz="0" w:space="0" w:color="auto"/>
        <w:bottom w:val="none" w:sz="0" w:space="0" w:color="auto"/>
        <w:right w:val="none" w:sz="0" w:space="0" w:color="auto"/>
      </w:divBdr>
    </w:div>
    <w:div w:id="638917955">
      <w:bodyDiv w:val="1"/>
      <w:marLeft w:val="0"/>
      <w:marRight w:val="0"/>
      <w:marTop w:val="0"/>
      <w:marBottom w:val="0"/>
      <w:divBdr>
        <w:top w:val="none" w:sz="0" w:space="0" w:color="auto"/>
        <w:left w:val="none" w:sz="0" w:space="0" w:color="auto"/>
        <w:bottom w:val="none" w:sz="0" w:space="0" w:color="auto"/>
        <w:right w:val="none" w:sz="0" w:space="0" w:color="auto"/>
      </w:divBdr>
    </w:div>
    <w:div w:id="653140594">
      <w:bodyDiv w:val="1"/>
      <w:marLeft w:val="0"/>
      <w:marRight w:val="0"/>
      <w:marTop w:val="0"/>
      <w:marBottom w:val="0"/>
      <w:divBdr>
        <w:top w:val="none" w:sz="0" w:space="0" w:color="auto"/>
        <w:left w:val="none" w:sz="0" w:space="0" w:color="auto"/>
        <w:bottom w:val="none" w:sz="0" w:space="0" w:color="auto"/>
        <w:right w:val="none" w:sz="0" w:space="0" w:color="auto"/>
      </w:divBdr>
    </w:div>
    <w:div w:id="933363976">
      <w:bodyDiv w:val="1"/>
      <w:marLeft w:val="0"/>
      <w:marRight w:val="0"/>
      <w:marTop w:val="0"/>
      <w:marBottom w:val="0"/>
      <w:divBdr>
        <w:top w:val="none" w:sz="0" w:space="0" w:color="auto"/>
        <w:left w:val="none" w:sz="0" w:space="0" w:color="auto"/>
        <w:bottom w:val="none" w:sz="0" w:space="0" w:color="auto"/>
        <w:right w:val="none" w:sz="0" w:space="0" w:color="auto"/>
      </w:divBdr>
    </w:div>
    <w:div w:id="984819810">
      <w:bodyDiv w:val="1"/>
      <w:marLeft w:val="0"/>
      <w:marRight w:val="0"/>
      <w:marTop w:val="0"/>
      <w:marBottom w:val="0"/>
      <w:divBdr>
        <w:top w:val="none" w:sz="0" w:space="0" w:color="auto"/>
        <w:left w:val="none" w:sz="0" w:space="0" w:color="auto"/>
        <w:bottom w:val="none" w:sz="0" w:space="0" w:color="auto"/>
        <w:right w:val="none" w:sz="0" w:space="0" w:color="auto"/>
      </w:divBdr>
    </w:div>
    <w:div w:id="1055658695">
      <w:bodyDiv w:val="1"/>
      <w:marLeft w:val="0"/>
      <w:marRight w:val="0"/>
      <w:marTop w:val="0"/>
      <w:marBottom w:val="0"/>
      <w:divBdr>
        <w:top w:val="none" w:sz="0" w:space="0" w:color="auto"/>
        <w:left w:val="none" w:sz="0" w:space="0" w:color="auto"/>
        <w:bottom w:val="none" w:sz="0" w:space="0" w:color="auto"/>
        <w:right w:val="none" w:sz="0" w:space="0" w:color="auto"/>
      </w:divBdr>
      <w:divsChild>
        <w:div w:id="1473062976">
          <w:marLeft w:val="0"/>
          <w:marRight w:val="0"/>
          <w:marTop w:val="0"/>
          <w:marBottom w:val="0"/>
          <w:divBdr>
            <w:top w:val="none" w:sz="0" w:space="0" w:color="auto"/>
            <w:left w:val="none" w:sz="0" w:space="0" w:color="auto"/>
            <w:bottom w:val="none" w:sz="0" w:space="0" w:color="auto"/>
            <w:right w:val="none" w:sz="0" w:space="0" w:color="auto"/>
          </w:divBdr>
          <w:divsChild>
            <w:div w:id="78255608">
              <w:marLeft w:val="0"/>
              <w:marRight w:val="0"/>
              <w:marTop w:val="0"/>
              <w:marBottom w:val="0"/>
              <w:divBdr>
                <w:top w:val="none" w:sz="0" w:space="0" w:color="auto"/>
                <w:left w:val="none" w:sz="0" w:space="0" w:color="auto"/>
                <w:bottom w:val="none" w:sz="0" w:space="0" w:color="auto"/>
                <w:right w:val="none" w:sz="0" w:space="0" w:color="auto"/>
              </w:divBdr>
              <w:divsChild>
                <w:div w:id="1866093060">
                  <w:marLeft w:val="0"/>
                  <w:marRight w:val="0"/>
                  <w:marTop w:val="0"/>
                  <w:marBottom w:val="0"/>
                  <w:divBdr>
                    <w:top w:val="none" w:sz="0" w:space="0" w:color="auto"/>
                    <w:left w:val="none" w:sz="0" w:space="0" w:color="auto"/>
                    <w:bottom w:val="none" w:sz="0" w:space="0" w:color="auto"/>
                    <w:right w:val="none" w:sz="0" w:space="0" w:color="auto"/>
                  </w:divBdr>
                  <w:divsChild>
                    <w:div w:id="606042637">
                      <w:marLeft w:val="0"/>
                      <w:marRight w:val="0"/>
                      <w:marTop w:val="0"/>
                      <w:marBottom w:val="0"/>
                      <w:divBdr>
                        <w:top w:val="none" w:sz="0" w:space="0" w:color="auto"/>
                        <w:left w:val="none" w:sz="0" w:space="0" w:color="auto"/>
                        <w:bottom w:val="none" w:sz="0" w:space="0" w:color="auto"/>
                        <w:right w:val="none" w:sz="0" w:space="0" w:color="auto"/>
                      </w:divBdr>
                      <w:divsChild>
                        <w:div w:id="74888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4454288">
      <w:bodyDiv w:val="1"/>
      <w:marLeft w:val="0"/>
      <w:marRight w:val="0"/>
      <w:marTop w:val="0"/>
      <w:marBottom w:val="0"/>
      <w:divBdr>
        <w:top w:val="none" w:sz="0" w:space="0" w:color="auto"/>
        <w:left w:val="none" w:sz="0" w:space="0" w:color="auto"/>
        <w:bottom w:val="none" w:sz="0" w:space="0" w:color="auto"/>
        <w:right w:val="none" w:sz="0" w:space="0" w:color="auto"/>
      </w:divBdr>
    </w:div>
    <w:div w:id="1121804337">
      <w:bodyDiv w:val="1"/>
      <w:marLeft w:val="0"/>
      <w:marRight w:val="0"/>
      <w:marTop w:val="0"/>
      <w:marBottom w:val="0"/>
      <w:divBdr>
        <w:top w:val="none" w:sz="0" w:space="0" w:color="auto"/>
        <w:left w:val="none" w:sz="0" w:space="0" w:color="auto"/>
        <w:bottom w:val="none" w:sz="0" w:space="0" w:color="auto"/>
        <w:right w:val="none" w:sz="0" w:space="0" w:color="auto"/>
      </w:divBdr>
    </w:div>
    <w:div w:id="1275017536">
      <w:bodyDiv w:val="1"/>
      <w:marLeft w:val="0"/>
      <w:marRight w:val="0"/>
      <w:marTop w:val="0"/>
      <w:marBottom w:val="0"/>
      <w:divBdr>
        <w:top w:val="none" w:sz="0" w:space="0" w:color="auto"/>
        <w:left w:val="none" w:sz="0" w:space="0" w:color="auto"/>
        <w:bottom w:val="none" w:sz="0" w:space="0" w:color="auto"/>
        <w:right w:val="none" w:sz="0" w:space="0" w:color="auto"/>
      </w:divBdr>
    </w:div>
    <w:div w:id="1358311960">
      <w:bodyDiv w:val="1"/>
      <w:marLeft w:val="0"/>
      <w:marRight w:val="0"/>
      <w:marTop w:val="0"/>
      <w:marBottom w:val="0"/>
      <w:divBdr>
        <w:top w:val="none" w:sz="0" w:space="0" w:color="auto"/>
        <w:left w:val="none" w:sz="0" w:space="0" w:color="auto"/>
        <w:bottom w:val="none" w:sz="0" w:space="0" w:color="auto"/>
        <w:right w:val="none" w:sz="0" w:space="0" w:color="auto"/>
      </w:divBdr>
    </w:div>
    <w:div w:id="1371345561">
      <w:bodyDiv w:val="1"/>
      <w:marLeft w:val="0"/>
      <w:marRight w:val="0"/>
      <w:marTop w:val="0"/>
      <w:marBottom w:val="0"/>
      <w:divBdr>
        <w:top w:val="none" w:sz="0" w:space="0" w:color="auto"/>
        <w:left w:val="none" w:sz="0" w:space="0" w:color="auto"/>
        <w:bottom w:val="none" w:sz="0" w:space="0" w:color="auto"/>
        <w:right w:val="none" w:sz="0" w:space="0" w:color="auto"/>
      </w:divBdr>
      <w:divsChild>
        <w:div w:id="747581572">
          <w:marLeft w:val="0"/>
          <w:marRight w:val="0"/>
          <w:marTop w:val="0"/>
          <w:marBottom w:val="0"/>
          <w:divBdr>
            <w:top w:val="none" w:sz="0" w:space="0" w:color="auto"/>
            <w:left w:val="none" w:sz="0" w:space="0" w:color="auto"/>
            <w:bottom w:val="none" w:sz="0" w:space="0" w:color="auto"/>
            <w:right w:val="none" w:sz="0" w:space="0" w:color="auto"/>
          </w:divBdr>
          <w:divsChild>
            <w:div w:id="1802065757">
              <w:marLeft w:val="0"/>
              <w:marRight w:val="0"/>
              <w:marTop w:val="0"/>
              <w:marBottom w:val="0"/>
              <w:divBdr>
                <w:top w:val="none" w:sz="0" w:space="0" w:color="auto"/>
                <w:left w:val="none" w:sz="0" w:space="0" w:color="auto"/>
                <w:bottom w:val="none" w:sz="0" w:space="0" w:color="auto"/>
                <w:right w:val="none" w:sz="0" w:space="0" w:color="auto"/>
              </w:divBdr>
              <w:divsChild>
                <w:div w:id="1989701943">
                  <w:marLeft w:val="0"/>
                  <w:marRight w:val="0"/>
                  <w:marTop w:val="0"/>
                  <w:marBottom w:val="0"/>
                  <w:divBdr>
                    <w:top w:val="none" w:sz="0" w:space="0" w:color="auto"/>
                    <w:left w:val="none" w:sz="0" w:space="0" w:color="auto"/>
                    <w:bottom w:val="none" w:sz="0" w:space="0" w:color="auto"/>
                    <w:right w:val="none" w:sz="0" w:space="0" w:color="auto"/>
                  </w:divBdr>
                  <w:divsChild>
                    <w:div w:id="101581600">
                      <w:marLeft w:val="0"/>
                      <w:marRight w:val="0"/>
                      <w:marTop w:val="0"/>
                      <w:marBottom w:val="0"/>
                      <w:divBdr>
                        <w:top w:val="none" w:sz="0" w:space="0" w:color="auto"/>
                        <w:left w:val="none" w:sz="0" w:space="0" w:color="auto"/>
                        <w:bottom w:val="none" w:sz="0" w:space="0" w:color="auto"/>
                        <w:right w:val="none" w:sz="0" w:space="0" w:color="auto"/>
                      </w:divBdr>
                      <w:divsChild>
                        <w:div w:id="50320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942171">
      <w:bodyDiv w:val="1"/>
      <w:marLeft w:val="0"/>
      <w:marRight w:val="0"/>
      <w:marTop w:val="0"/>
      <w:marBottom w:val="0"/>
      <w:divBdr>
        <w:top w:val="none" w:sz="0" w:space="0" w:color="auto"/>
        <w:left w:val="none" w:sz="0" w:space="0" w:color="auto"/>
        <w:bottom w:val="none" w:sz="0" w:space="0" w:color="auto"/>
        <w:right w:val="none" w:sz="0" w:space="0" w:color="auto"/>
      </w:divBdr>
    </w:div>
    <w:div w:id="1426073207">
      <w:bodyDiv w:val="1"/>
      <w:marLeft w:val="0"/>
      <w:marRight w:val="0"/>
      <w:marTop w:val="0"/>
      <w:marBottom w:val="0"/>
      <w:divBdr>
        <w:top w:val="none" w:sz="0" w:space="0" w:color="auto"/>
        <w:left w:val="none" w:sz="0" w:space="0" w:color="auto"/>
        <w:bottom w:val="none" w:sz="0" w:space="0" w:color="auto"/>
        <w:right w:val="none" w:sz="0" w:space="0" w:color="auto"/>
      </w:divBdr>
    </w:div>
    <w:div w:id="1585992176">
      <w:bodyDiv w:val="1"/>
      <w:marLeft w:val="0"/>
      <w:marRight w:val="0"/>
      <w:marTop w:val="0"/>
      <w:marBottom w:val="0"/>
      <w:divBdr>
        <w:top w:val="none" w:sz="0" w:space="0" w:color="auto"/>
        <w:left w:val="none" w:sz="0" w:space="0" w:color="auto"/>
        <w:bottom w:val="none" w:sz="0" w:space="0" w:color="auto"/>
        <w:right w:val="none" w:sz="0" w:space="0" w:color="auto"/>
      </w:divBdr>
    </w:div>
    <w:div w:id="1663587036">
      <w:bodyDiv w:val="1"/>
      <w:marLeft w:val="0"/>
      <w:marRight w:val="0"/>
      <w:marTop w:val="0"/>
      <w:marBottom w:val="0"/>
      <w:divBdr>
        <w:top w:val="none" w:sz="0" w:space="0" w:color="auto"/>
        <w:left w:val="none" w:sz="0" w:space="0" w:color="auto"/>
        <w:bottom w:val="none" w:sz="0" w:space="0" w:color="auto"/>
        <w:right w:val="none" w:sz="0" w:space="0" w:color="auto"/>
      </w:divBdr>
    </w:div>
    <w:div w:id="1716394936">
      <w:bodyDiv w:val="1"/>
      <w:marLeft w:val="0"/>
      <w:marRight w:val="0"/>
      <w:marTop w:val="0"/>
      <w:marBottom w:val="0"/>
      <w:divBdr>
        <w:top w:val="none" w:sz="0" w:space="0" w:color="auto"/>
        <w:left w:val="none" w:sz="0" w:space="0" w:color="auto"/>
        <w:bottom w:val="none" w:sz="0" w:space="0" w:color="auto"/>
        <w:right w:val="none" w:sz="0" w:space="0" w:color="auto"/>
      </w:divBdr>
    </w:div>
    <w:div w:id="1782645454">
      <w:bodyDiv w:val="1"/>
      <w:marLeft w:val="0"/>
      <w:marRight w:val="0"/>
      <w:marTop w:val="0"/>
      <w:marBottom w:val="0"/>
      <w:divBdr>
        <w:top w:val="none" w:sz="0" w:space="0" w:color="auto"/>
        <w:left w:val="none" w:sz="0" w:space="0" w:color="auto"/>
        <w:bottom w:val="none" w:sz="0" w:space="0" w:color="auto"/>
        <w:right w:val="none" w:sz="0" w:space="0" w:color="auto"/>
      </w:divBdr>
    </w:div>
    <w:div w:id="1836920222">
      <w:bodyDiv w:val="1"/>
      <w:marLeft w:val="0"/>
      <w:marRight w:val="0"/>
      <w:marTop w:val="0"/>
      <w:marBottom w:val="0"/>
      <w:divBdr>
        <w:top w:val="none" w:sz="0" w:space="0" w:color="auto"/>
        <w:left w:val="none" w:sz="0" w:space="0" w:color="auto"/>
        <w:bottom w:val="none" w:sz="0" w:space="0" w:color="auto"/>
        <w:right w:val="none" w:sz="0" w:space="0" w:color="auto"/>
      </w:divBdr>
    </w:div>
    <w:div w:id="1842231417">
      <w:bodyDiv w:val="1"/>
      <w:marLeft w:val="0"/>
      <w:marRight w:val="0"/>
      <w:marTop w:val="0"/>
      <w:marBottom w:val="0"/>
      <w:divBdr>
        <w:top w:val="none" w:sz="0" w:space="0" w:color="auto"/>
        <w:left w:val="none" w:sz="0" w:space="0" w:color="auto"/>
        <w:bottom w:val="none" w:sz="0" w:space="0" w:color="auto"/>
        <w:right w:val="none" w:sz="0" w:space="0" w:color="auto"/>
      </w:divBdr>
    </w:div>
    <w:div w:id="1938831292">
      <w:bodyDiv w:val="1"/>
      <w:marLeft w:val="0"/>
      <w:marRight w:val="0"/>
      <w:marTop w:val="0"/>
      <w:marBottom w:val="0"/>
      <w:divBdr>
        <w:top w:val="none" w:sz="0" w:space="0" w:color="auto"/>
        <w:left w:val="none" w:sz="0" w:space="0" w:color="auto"/>
        <w:bottom w:val="none" w:sz="0" w:space="0" w:color="auto"/>
        <w:right w:val="none" w:sz="0" w:space="0" w:color="auto"/>
      </w:divBdr>
    </w:div>
    <w:div w:id="1977837717">
      <w:bodyDiv w:val="1"/>
      <w:marLeft w:val="0"/>
      <w:marRight w:val="0"/>
      <w:marTop w:val="0"/>
      <w:marBottom w:val="0"/>
      <w:divBdr>
        <w:top w:val="none" w:sz="0" w:space="0" w:color="auto"/>
        <w:left w:val="none" w:sz="0" w:space="0" w:color="auto"/>
        <w:bottom w:val="none" w:sz="0" w:space="0" w:color="auto"/>
        <w:right w:val="none" w:sz="0" w:space="0" w:color="auto"/>
      </w:divBdr>
    </w:div>
    <w:div w:id="2068796926">
      <w:bodyDiv w:val="1"/>
      <w:marLeft w:val="0"/>
      <w:marRight w:val="0"/>
      <w:marTop w:val="0"/>
      <w:marBottom w:val="0"/>
      <w:divBdr>
        <w:top w:val="none" w:sz="0" w:space="0" w:color="auto"/>
        <w:left w:val="none" w:sz="0" w:space="0" w:color="auto"/>
        <w:bottom w:val="none" w:sz="0" w:space="0" w:color="auto"/>
        <w:right w:val="none" w:sz="0" w:space="0" w:color="auto"/>
      </w:divBdr>
    </w:div>
    <w:div w:id="2106415272">
      <w:bodyDiv w:val="1"/>
      <w:marLeft w:val="0"/>
      <w:marRight w:val="0"/>
      <w:marTop w:val="0"/>
      <w:marBottom w:val="0"/>
      <w:divBdr>
        <w:top w:val="none" w:sz="0" w:space="0" w:color="auto"/>
        <w:left w:val="none" w:sz="0" w:space="0" w:color="auto"/>
        <w:bottom w:val="none" w:sz="0" w:space="0" w:color="auto"/>
        <w:right w:val="none" w:sz="0" w:space="0" w:color="auto"/>
      </w:divBdr>
    </w:div>
    <w:div w:id="2107841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561CD-4147-494E-8BA2-099A5DDC1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26</Pages>
  <Words>7574</Words>
  <Characters>43178</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50651</CharactersWithSpaces>
  <SharedDoc>false</SharedDoc>
  <HLinks>
    <vt:vector size="168" baseType="variant">
      <vt:variant>
        <vt:i4>4980762</vt:i4>
      </vt:variant>
      <vt:variant>
        <vt:i4>165</vt:i4>
      </vt:variant>
      <vt:variant>
        <vt:i4>0</vt:i4>
      </vt:variant>
      <vt:variant>
        <vt:i4>5</vt:i4>
      </vt:variant>
      <vt:variant>
        <vt:lpwstr>https://www.igd.com/Commercial-Insight/Retail-Analysis/Markets/Articles/Walgreens-Boots-Alliance-divests-wholesale-business/33471</vt:lpwstr>
      </vt:variant>
      <vt:variant>
        <vt:lpwstr>:~:text=Walgreens%20Boots%20Alliance%20(Walgreens)%20is,in%20a%20%246.5bn%20deal</vt:lpwstr>
      </vt:variant>
      <vt:variant>
        <vt:i4>8061026</vt:i4>
      </vt:variant>
      <vt:variant>
        <vt:i4>162</vt:i4>
      </vt:variant>
      <vt:variant>
        <vt:i4>0</vt:i4>
      </vt:variant>
      <vt:variant>
        <vt:i4>5</vt:i4>
      </vt:variant>
      <vt:variant>
        <vt:lpwstr>https://www.cbsnews.com/news/san-francisco-opioid-settlement-walgreens-229-million/</vt:lpwstr>
      </vt:variant>
      <vt:variant>
        <vt:lpwstr/>
      </vt:variant>
      <vt:variant>
        <vt:i4>1835057</vt:i4>
      </vt:variant>
      <vt:variant>
        <vt:i4>155</vt:i4>
      </vt:variant>
      <vt:variant>
        <vt:i4>0</vt:i4>
      </vt:variant>
      <vt:variant>
        <vt:i4>5</vt:i4>
      </vt:variant>
      <vt:variant>
        <vt:lpwstr/>
      </vt:variant>
      <vt:variant>
        <vt:lpwstr>_Toc164817524</vt:lpwstr>
      </vt:variant>
      <vt:variant>
        <vt:i4>1835057</vt:i4>
      </vt:variant>
      <vt:variant>
        <vt:i4>149</vt:i4>
      </vt:variant>
      <vt:variant>
        <vt:i4>0</vt:i4>
      </vt:variant>
      <vt:variant>
        <vt:i4>5</vt:i4>
      </vt:variant>
      <vt:variant>
        <vt:lpwstr/>
      </vt:variant>
      <vt:variant>
        <vt:lpwstr>_Toc164817523</vt:lpwstr>
      </vt:variant>
      <vt:variant>
        <vt:i4>1835057</vt:i4>
      </vt:variant>
      <vt:variant>
        <vt:i4>143</vt:i4>
      </vt:variant>
      <vt:variant>
        <vt:i4>0</vt:i4>
      </vt:variant>
      <vt:variant>
        <vt:i4>5</vt:i4>
      </vt:variant>
      <vt:variant>
        <vt:lpwstr/>
      </vt:variant>
      <vt:variant>
        <vt:lpwstr>_Toc164817522</vt:lpwstr>
      </vt:variant>
      <vt:variant>
        <vt:i4>1835057</vt:i4>
      </vt:variant>
      <vt:variant>
        <vt:i4>137</vt:i4>
      </vt:variant>
      <vt:variant>
        <vt:i4>0</vt:i4>
      </vt:variant>
      <vt:variant>
        <vt:i4>5</vt:i4>
      </vt:variant>
      <vt:variant>
        <vt:lpwstr/>
      </vt:variant>
      <vt:variant>
        <vt:lpwstr>_Toc164817521</vt:lpwstr>
      </vt:variant>
      <vt:variant>
        <vt:i4>1835057</vt:i4>
      </vt:variant>
      <vt:variant>
        <vt:i4>131</vt:i4>
      </vt:variant>
      <vt:variant>
        <vt:i4>0</vt:i4>
      </vt:variant>
      <vt:variant>
        <vt:i4>5</vt:i4>
      </vt:variant>
      <vt:variant>
        <vt:lpwstr/>
      </vt:variant>
      <vt:variant>
        <vt:lpwstr>_Toc164817520</vt:lpwstr>
      </vt:variant>
      <vt:variant>
        <vt:i4>2031665</vt:i4>
      </vt:variant>
      <vt:variant>
        <vt:i4>125</vt:i4>
      </vt:variant>
      <vt:variant>
        <vt:i4>0</vt:i4>
      </vt:variant>
      <vt:variant>
        <vt:i4>5</vt:i4>
      </vt:variant>
      <vt:variant>
        <vt:lpwstr/>
      </vt:variant>
      <vt:variant>
        <vt:lpwstr>_Toc164817519</vt:lpwstr>
      </vt:variant>
      <vt:variant>
        <vt:i4>2031665</vt:i4>
      </vt:variant>
      <vt:variant>
        <vt:i4>119</vt:i4>
      </vt:variant>
      <vt:variant>
        <vt:i4>0</vt:i4>
      </vt:variant>
      <vt:variant>
        <vt:i4>5</vt:i4>
      </vt:variant>
      <vt:variant>
        <vt:lpwstr/>
      </vt:variant>
      <vt:variant>
        <vt:lpwstr>_Toc164817518</vt:lpwstr>
      </vt:variant>
      <vt:variant>
        <vt:i4>2031665</vt:i4>
      </vt:variant>
      <vt:variant>
        <vt:i4>113</vt:i4>
      </vt:variant>
      <vt:variant>
        <vt:i4>0</vt:i4>
      </vt:variant>
      <vt:variant>
        <vt:i4>5</vt:i4>
      </vt:variant>
      <vt:variant>
        <vt:lpwstr/>
      </vt:variant>
      <vt:variant>
        <vt:lpwstr>_Toc164817517</vt:lpwstr>
      </vt:variant>
      <vt:variant>
        <vt:i4>2031665</vt:i4>
      </vt:variant>
      <vt:variant>
        <vt:i4>107</vt:i4>
      </vt:variant>
      <vt:variant>
        <vt:i4>0</vt:i4>
      </vt:variant>
      <vt:variant>
        <vt:i4>5</vt:i4>
      </vt:variant>
      <vt:variant>
        <vt:lpwstr/>
      </vt:variant>
      <vt:variant>
        <vt:lpwstr>_Toc164817516</vt:lpwstr>
      </vt:variant>
      <vt:variant>
        <vt:i4>2031665</vt:i4>
      </vt:variant>
      <vt:variant>
        <vt:i4>101</vt:i4>
      </vt:variant>
      <vt:variant>
        <vt:i4>0</vt:i4>
      </vt:variant>
      <vt:variant>
        <vt:i4>5</vt:i4>
      </vt:variant>
      <vt:variant>
        <vt:lpwstr/>
      </vt:variant>
      <vt:variant>
        <vt:lpwstr>_Toc164817515</vt:lpwstr>
      </vt:variant>
      <vt:variant>
        <vt:i4>2031665</vt:i4>
      </vt:variant>
      <vt:variant>
        <vt:i4>95</vt:i4>
      </vt:variant>
      <vt:variant>
        <vt:i4>0</vt:i4>
      </vt:variant>
      <vt:variant>
        <vt:i4>5</vt:i4>
      </vt:variant>
      <vt:variant>
        <vt:lpwstr/>
      </vt:variant>
      <vt:variant>
        <vt:lpwstr>_Toc164817514</vt:lpwstr>
      </vt:variant>
      <vt:variant>
        <vt:i4>2031665</vt:i4>
      </vt:variant>
      <vt:variant>
        <vt:i4>89</vt:i4>
      </vt:variant>
      <vt:variant>
        <vt:i4>0</vt:i4>
      </vt:variant>
      <vt:variant>
        <vt:i4>5</vt:i4>
      </vt:variant>
      <vt:variant>
        <vt:lpwstr/>
      </vt:variant>
      <vt:variant>
        <vt:lpwstr>_Toc164817513</vt:lpwstr>
      </vt:variant>
      <vt:variant>
        <vt:i4>2031665</vt:i4>
      </vt:variant>
      <vt:variant>
        <vt:i4>83</vt:i4>
      </vt:variant>
      <vt:variant>
        <vt:i4>0</vt:i4>
      </vt:variant>
      <vt:variant>
        <vt:i4>5</vt:i4>
      </vt:variant>
      <vt:variant>
        <vt:lpwstr/>
      </vt:variant>
      <vt:variant>
        <vt:lpwstr>_Toc164817512</vt:lpwstr>
      </vt:variant>
      <vt:variant>
        <vt:i4>2031665</vt:i4>
      </vt:variant>
      <vt:variant>
        <vt:i4>77</vt:i4>
      </vt:variant>
      <vt:variant>
        <vt:i4>0</vt:i4>
      </vt:variant>
      <vt:variant>
        <vt:i4>5</vt:i4>
      </vt:variant>
      <vt:variant>
        <vt:lpwstr/>
      </vt:variant>
      <vt:variant>
        <vt:lpwstr>_Toc164817511</vt:lpwstr>
      </vt:variant>
      <vt:variant>
        <vt:i4>2031665</vt:i4>
      </vt:variant>
      <vt:variant>
        <vt:i4>71</vt:i4>
      </vt:variant>
      <vt:variant>
        <vt:i4>0</vt:i4>
      </vt:variant>
      <vt:variant>
        <vt:i4>5</vt:i4>
      </vt:variant>
      <vt:variant>
        <vt:lpwstr/>
      </vt:variant>
      <vt:variant>
        <vt:lpwstr>_Toc164817510</vt:lpwstr>
      </vt:variant>
      <vt:variant>
        <vt:i4>1966129</vt:i4>
      </vt:variant>
      <vt:variant>
        <vt:i4>65</vt:i4>
      </vt:variant>
      <vt:variant>
        <vt:i4>0</vt:i4>
      </vt:variant>
      <vt:variant>
        <vt:i4>5</vt:i4>
      </vt:variant>
      <vt:variant>
        <vt:lpwstr/>
      </vt:variant>
      <vt:variant>
        <vt:lpwstr>_Toc164817509</vt:lpwstr>
      </vt:variant>
      <vt:variant>
        <vt:i4>1966129</vt:i4>
      </vt:variant>
      <vt:variant>
        <vt:i4>59</vt:i4>
      </vt:variant>
      <vt:variant>
        <vt:i4>0</vt:i4>
      </vt:variant>
      <vt:variant>
        <vt:i4>5</vt:i4>
      </vt:variant>
      <vt:variant>
        <vt:lpwstr/>
      </vt:variant>
      <vt:variant>
        <vt:lpwstr>_Toc164817508</vt:lpwstr>
      </vt:variant>
      <vt:variant>
        <vt:i4>1966129</vt:i4>
      </vt:variant>
      <vt:variant>
        <vt:i4>53</vt:i4>
      </vt:variant>
      <vt:variant>
        <vt:i4>0</vt:i4>
      </vt:variant>
      <vt:variant>
        <vt:i4>5</vt:i4>
      </vt:variant>
      <vt:variant>
        <vt:lpwstr/>
      </vt:variant>
      <vt:variant>
        <vt:lpwstr>_Toc164817507</vt:lpwstr>
      </vt:variant>
      <vt:variant>
        <vt:i4>1966129</vt:i4>
      </vt:variant>
      <vt:variant>
        <vt:i4>47</vt:i4>
      </vt:variant>
      <vt:variant>
        <vt:i4>0</vt:i4>
      </vt:variant>
      <vt:variant>
        <vt:i4>5</vt:i4>
      </vt:variant>
      <vt:variant>
        <vt:lpwstr/>
      </vt:variant>
      <vt:variant>
        <vt:lpwstr>_Toc164817506</vt:lpwstr>
      </vt:variant>
      <vt:variant>
        <vt:i4>1966129</vt:i4>
      </vt:variant>
      <vt:variant>
        <vt:i4>41</vt:i4>
      </vt:variant>
      <vt:variant>
        <vt:i4>0</vt:i4>
      </vt:variant>
      <vt:variant>
        <vt:i4>5</vt:i4>
      </vt:variant>
      <vt:variant>
        <vt:lpwstr/>
      </vt:variant>
      <vt:variant>
        <vt:lpwstr>_Toc164817505</vt:lpwstr>
      </vt:variant>
      <vt:variant>
        <vt:i4>1966129</vt:i4>
      </vt:variant>
      <vt:variant>
        <vt:i4>35</vt:i4>
      </vt:variant>
      <vt:variant>
        <vt:i4>0</vt:i4>
      </vt:variant>
      <vt:variant>
        <vt:i4>5</vt:i4>
      </vt:variant>
      <vt:variant>
        <vt:lpwstr/>
      </vt:variant>
      <vt:variant>
        <vt:lpwstr>_Toc164817504</vt:lpwstr>
      </vt:variant>
      <vt:variant>
        <vt:i4>1966129</vt:i4>
      </vt:variant>
      <vt:variant>
        <vt:i4>29</vt:i4>
      </vt:variant>
      <vt:variant>
        <vt:i4>0</vt:i4>
      </vt:variant>
      <vt:variant>
        <vt:i4>5</vt:i4>
      </vt:variant>
      <vt:variant>
        <vt:lpwstr/>
      </vt:variant>
      <vt:variant>
        <vt:lpwstr>_Toc164817503</vt:lpwstr>
      </vt:variant>
      <vt:variant>
        <vt:i4>1966129</vt:i4>
      </vt:variant>
      <vt:variant>
        <vt:i4>23</vt:i4>
      </vt:variant>
      <vt:variant>
        <vt:i4>0</vt:i4>
      </vt:variant>
      <vt:variant>
        <vt:i4>5</vt:i4>
      </vt:variant>
      <vt:variant>
        <vt:lpwstr/>
      </vt:variant>
      <vt:variant>
        <vt:lpwstr>_Toc164817502</vt:lpwstr>
      </vt:variant>
      <vt:variant>
        <vt:i4>1966129</vt:i4>
      </vt:variant>
      <vt:variant>
        <vt:i4>17</vt:i4>
      </vt:variant>
      <vt:variant>
        <vt:i4>0</vt:i4>
      </vt:variant>
      <vt:variant>
        <vt:i4>5</vt:i4>
      </vt:variant>
      <vt:variant>
        <vt:lpwstr/>
      </vt:variant>
      <vt:variant>
        <vt:lpwstr>_Toc164817501</vt:lpwstr>
      </vt:variant>
      <vt:variant>
        <vt:i4>1966129</vt:i4>
      </vt:variant>
      <vt:variant>
        <vt:i4>11</vt:i4>
      </vt:variant>
      <vt:variant>
        <vt:i4>0</vt:i4>
      </vt:variant>
      <vt:variant>
        <vt:i4>5</vt:i4>
      </vt:variant>
      <vt:variant>
        <vt:lpwstr/>
      </vt:variant>
      <vt:variant>
        <vt:lpwstr>_Toc164817500</vt:lpwstr>
      </vt:variant>
      <vt:variant>
        <vt:i4>1507376</vt:i4>
      </vt:variant>
      <vt:variant>
        <vt:i4>5</vt:i4>
      </vt:variant>
      <vt:variant>
        <vt:i4>0</vt:i4>
      </vt:variant>
      <vt:variant>
        <vt:i4>5</vt:i4>
      </vt:variant>
      <vt:variant>
        <vt:lpwstr/>
      </vt:variant>
      <vt:variant>
        <vt:lpwstr>_Toc164817499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Rodrigues Abreu (2327330)</dc:creator>
  <cp:keywords/>
  <dc:description/>
  <cp:lastModifiedBy>Emily Rodrigues Abreu (2327330)</cp:lastModifiedBy>
  <cp:revision>472</cp:revision>
  <dcterms:created xsi:type="dcterms:W3CDTF">2024-04-09T19:36:00Z</dcterms:created>
  <dcterms:modified xsi:type="dcterms:W3CDTF">2024-04-24T09:57:00Z</dcterms:modified>
</cp:coreProperties>
</file>