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pPr>
      <w:bookmarkStart w:colFirst="0" w:colLast="0" w:name="_8tssaaoowd1s" w:id="0"/>
      <w:bookmarkEnd w:id="0"/>
      <w:r w:rsidDel="00000000" w:rsidR="00000000" w:rsidRPr="00000000">
        <w:rPr>
          <w:rtl w:val="0"/>
        </w:rPr>
        <w:t xml:space="preserve">Alfred Gell: The Technology of Enchantment and the Enchantment of Technology (1992)</w:t>
      </w:r>
    </w:p>
    <w:p w:rsidR="00000000" w:rsidDel="00000000" w:rsidP="00000000" w:rsidRDefault="00000000" w:rsidRPr="00000000" w14:paraId="00000002">
      <w:pPr>
        <w:pStyle w:val="Subtitle"/>
        <w:rPr/>
      </w:pPr>
      <w:bookmarkStart w:colFirst="0" w:colLast="0" w:name="_6rxz0428lxzv" w:id="1"/>
      <w:bookmarkEnd w:id="1"/>
      <w:r w:rsidDel="00000000" w:rsidR="00000000" w:rsidRPr="00000000">
        <w:rPr>
          <w:rtl w:val="0"/>
        </w:rPr>
        <w:t xml:space="preserve">A </w:t>
      </w:r>
      <w:r w:rsidDel="00000000" w:rsidR="00000000" w:rsidRPr="00000000">
        <w:rPr>
          <w:i w:val="1"/>
          <w:rtl w:val="0"/>
        </w:rPr>
        <w:t xml:space="preserve">New Materialist </w:t>
      </w:r>
      <w:r w:rsidDel="00000000" w:rsidR="00000000" w:rsidRPr="00000000">
        <w:rPr>
          <w:rtl w:val="0"/>
        </w:rPr>
        <w:t xml:space="preserve">Review by Max Morgan</w:t>
      </w:r>
    </w:p>
    <w:p w:rsidR="00000000" w:rsidDel="00000000" w:rsidP="00000000" w:rsidRDefault="00000000" w:rsidRPr="00000000" w14:paraId="00000003">
      <w:pPr>
        <w:rPr/>
      </w:pPr>
      <w:r w:rsidDel="00000000" w:rsidR="00000000" w:rsidRPr="00000000">
        <w:rPr>
          <w:rtl w:val="0"/>
        </w:rPr>
        <w:t xml:space="preserve">Alfred Gell’s (1992) chapter entitled </w:t>
      </w:r>
      <w:r w:rsidDel="00000000" w:rsidR="00000000" w:rsidRPr="00000000">
        <w:rPr>
          <w:i w:val="1"/>
          <w:rtl w:val="0"/>
        </w:rPr>
        <w:t xml:space="preserve">The Technology of Enchantment and the Enchantment of Technology</w:t>
      </w:r>
      <w:r w:rsidDel="00000000" w:rsidR="00000000" w:rsidRPr="00000000">
        <w:rPr>
          <w:rtl w:val="0"/>
        </w:rPr>
        <w:t xml:space="preserve"> in Coote and Shelton’s </w:t>
      </w:r>
      <w:r w:rsidDel="00000000" w:rsidR="00000000" w:rsidRPr="00000000">
        <w:rPr>
          <w:i w:val="1"/>
          <w:rtl w:val="0"/>
        </w:rPr>
        <w:t xml:space="preserve">Anthropology, Art and Aesthetics </w:t>
      </w:r>
      <w:r w:rsidDel="00000000" w:rsidR="00000000" w:rsidRPr="00000000">
        <w:rPr>
          <w:rtl w:val="0"/>
        </w:rPr>
        <w:t xml:space="preserve">is influential within the topics within the title of this book, and is one that has been utilised within the field of </w:t>
      </w:r>
      <w:r w:rsidDel="00000000" w:rsidR="00000000" w:rsidRPr="00000000">
        <w:rPr>
          <w:i w:val="1"/>
          <w:rtl w:val="0"/>
        </w:rPr>
        <w:t xml:space="preserve">New Materialisms</w:t>
      </w:r>
      <w:r w:rsidDel="00000000" w:rsidR="00000000" w:rsidRPr="00000000">
        <w:rPr>
          <w:rtl w:val="0"/>
        </w:rPr>
        <w:t xml:space="preserve">. </w:t>
      </w:r>
    </w:p>
    <w:p w:rsidR="00000000" w:rsidDel="00000000" w:rsidP="00000000" w:rsidRDefault="00000000" w:rsidRPr="00000000" w14:paraId="00000004">
      <w:pPr>
        <w:rPr/>
      </w:pPr>
      <w:r w:rsidDel="00000000" w:rsidR="00000000" w:rsidRPr="00000000">
        <w:rPr>
          <w:rtl w:val="0"/>
        </w:rPr>
        <w:t xml:space="preserve"> </w:t>
        <w:tab/>
        <w:t xml:space="preserve">In this article, Gell proposes that the study of art within anthropology has been neglected, and that this is purposeful due to ethnocentric attitudes of “aesthetic awe”, meaning that art is considered purely aesthetic without any extrinsic function (Gell, 1992, p. 40). He comes forward to say that anthropology needs to “make a complete break with aesthetics”, and that art is part of a technical system known as </w:t>
      </w:r>
      <w:r w:rsidDel="00000000" w:rsidR="00000000" w:rsidRPr="00000000">
        <w:rPr>
          <w:i w:val="1"/>
          <w:rtl w:val="0"/>
        </w:rPr>
        <w:t xml:space="preserve">enchantment</w:t>
      </w:r>
      <w:r w:rsidDel="00000000" w:rsidR="00000000" w:rsidRPr="00000000">
        <w:rPr>
          <w:rtl w:val="0"/>
        </w:rPr>
        <w:t xml:space="preserve">, which ensues socialisation of people and influence on securing people to a network of social ideals (Gell, 1992, pp. 42-44). He also discusses the efficacy of art, and how the intangibility of creating and owning art gives them </w:t>
      </w:r>
      <w:r w:rsidDel="00000000" w:rsidR="00000000" w:rsidRPr="00000000">
        <w:rPr>
          <w:i w:val="1"/>
          <w:rtl w:val="0"/>
        </w:rPr>
        <w:t xml:space="preserve">magical </w:t>
      </w:r>
      <w:r w:rsidDel="00000000" w:rsidR="00000000" w:rsidRPr="00000000">
        <w:rPr>
          <w:rtl w:val="0"/>
        </w:rPr>
        <w:t xml:space="preserve">qualities, and describes artists as </w:t>
      </w:r>
      <w:r w:rsidDel="00000000" w:rsidR="00000000" w:rsidRPr="00000000">
        <w:rPr>
          <w:i w:val="1"/>
          <w:rtl w:val="0"/>
        </w:rPr>
        <w:t xml:space="preserve">occult technicians</w:t>
      </w:r>
      <w:r w:rsidDel="00000000" w:rsidR="00000000" w:rsidRPr="00000000">
        <w:rPr>
          <w:rtl w:val="0"/>
        </w:rPr>
        <w:t xml:space="preserve"> (Gell, 1992, pp. 44-53). Art is part of a fundamental scheme transfer from art production to social processes, as </w:t>
      </w:r>
      <w:r w:rsidDel="00000000" w:rsidR="00000000" w:rsidRPr="00000000">
        <w:rPr>
          <w:i w:val="1"/>
          <w:rtl w:val="0"/>
        </w:rPr>
        <w:t xml:space="preserve">political ritual, </w:t>
      </w:r>
      <w:r w:rsidDel="00000000" w:rsidR="00000000" w:rsidRPr="00000000">
        <w:rPr>
          <w:rtl w:val="0"/>
        </w:rPr>
        <w:t xml:space="preserve">and as part of </w:t>
      </w:r>
      <w:r w:rsidDel="00000000" w:rsidR="00000000" w:rsidRPr="00000000">
        <w:rPr>
          <w:i w:val="1"/>
          <w:rtl w:val="0"/>
        </w:rPr>
        <w:t xml:space="preserve">ceremonial or commercial exchange</w:t>
      </w:r>
      <w:r w:rsidDel="00000000" w:rsidR="00000000" w:rsidRPr="00000000">
        <w:rPr>
          <w:rtl w:val="0"/>
        </w:rPr>
        <w:t xml:space="preserve">, and uses an ethnographic example of Trobriand canoe-prows to demonstrate this (Gell, 1992, pp. 53-56).</w:t>
      </w:r>
    </w:p>
    <w:p w:rsidR="00000000" w:rsidDel="00000000" w:rsidP="00000000" w:rsidRDefault="00000000" w:rsidRPr="00000000" w14:paraId="00000005">
      <w:pPr>
        <w:rPr/>
      </w:pPr>
      <w:r w:rsidDel="00000000" w:rsidR="00000000" w:rsidRPr="00000000">
        <w:rPr>
          <w:rtl w:val="0"/>
        </w:rPr>
        <w:tab/>
        <w:t xml:space="preserve">Within this chapter, he proposes a number of arguments. Firstly, as mentioned before, he rejects the “universal aestheticism” of art, and discusses the role of art as mediating social processes through </w:t>
      </w:r>
      <w:r w:rsidDel="00000000" w:rsidR="00000000" w:rsidRPr="00000000">
        <w:rPr>
          <w:i w:val="1"/>
          <w:rtl w:val="0"/>
        </w:rPr>
        <w:t xml:space="preserve">enchantment</w:t>
      </w:r>
      <w:r w:rsidDel="00000000" w:rsidR="00000000" w:rsidRPr="00000000">
        <w:rPr>
          <w:rtl w:val="0"/>
        </w:rPr>
        <w:t xml:space="preserve"> (Gell, 1992, p.40, pp. 42-44). This is a term that expresses “the general premise that human societies depend on the acquiescence of duly socialised individuals in a network of intentionalities”, and that there exists a network of intentionalities that can only be comprehended by the collective and not the individual. This essentially is discussing the awe and wonder that art has the power to captivate in people (Gell, 1992, p. 43). He also proposes that “the </w:t>
      </w:r>
      <w:r w:rsidDel="00000000" w:rsidR="00000000" w:rsidRPr="00000000">
        <w:rPr>
          <w:i w:val="1"/>
          <w:rtl w:val="0"/>
        </w:rPr>
        <w:t xml:space="preserve">technology of enchantment </w:t>
      </w:r>
      <w:r w:rsidDel="00000000" w:rsidR="00000000" w:rsidRPr="00000000">
        <w:rPr>
          <w:rtl w:val="0"/>
        </w:rPr>
        <w:t xml:space="preserve">is founded on the </w:t>
      </w:r>
      <w:r w:rsidDel="00000000" w:rsidR="00000000" w:rsidRPr="00000000">
        <w:rPr>
          <w:i w:val="1"/>
          <w:rtl w:val="0"/>
        </w:rPr>
        <w:t xml:space="preserve">enchantment of technology”</w:t>
      </w:r>
      <w:r w:rsidDel="00000000" w:rsidR="00000000" w:rsidRPr="00000000">
        <w:rPr>
          <w:rtl w:val="0"/>
        </w:rPr>
        <w:t xml:space="preserve">, meaning that the captivation of art is based upon the captivation of the ways in which art is made, that the ways in which art are made are incomprehensible to the nonartist (Gell, 1992, p. 44). This is closely related to a second argument that he proposes that art is </w:t>
      </w:r>
      <w:r w:rsidDel="00000000" w:rsidR="00000000" w:rsidRPr="00000000">
        <w:rPr>
          <w:i w:val="1"/>
          <w:rtl w:val="0"/>
        </w:rPr>
        <w:t xml:space="preserve">magical</w:t>
      </w:r>
      <w:r w:rsidDel="00000000" w:rsidR="00000000" w:rsidRPr="00000000">
        <w:rPr>
          <w:rtl w:val="0"/>
        </w:rPr>
        <w:t xml:space="preserve">, that the </w:t>
      </w:r>
      <w:r w:rsidDel="00000000" w:rsidR="00000000" w:rsidRPr="00000000">
        <w:rPr>
          <w:i w:val="1"/>
          <w:rtl w:val="0"/>
        </w:rPr>
        <w:t xml:space="preserve">enchantment </w:t>
      </w:r>
      <w:r w:rsidDel="00000000" w:rsidR="00000000" w:rsidRPr="00000000">
        <w:rPr>
          <w:rtl w:val="0"/>
        </w:rPr>
        <w:t xml:space="preserve">of it gives value and power to art. He uses Trobriand canoe-prows as an example, that the creation of them from wood is not understood by most, which allows social relations of power and of fear to manifest from this </w:t>
      </w:r>
      <w:r w:rsidDel="00000000" w:rsidR="00000000" w:rsidRPr="00000000">
        <w:rPr>
          <w:i w:val="1"/>
          <w:rtl w:val="0"/>
        </w:rPr>
        <w:t xml:space="preserve">magic</w:t>
      </w:r>
      <w:r w:rsidDel="00000000" w:rsidR="00000000" w:rsidRPr="00000000">
        <w:rPr>
          <w:rtl w:val="0"/>
        </w:rPr>
        <w:t xml:space="preserve"> (Gell, 1992, pp. 44-56). Whilst not explicitly stated, this ties into a third argument: that of distributed agency. Through this idea of </w:t>
      </w:r>
      <w:r w:rsidDel="00000000" w:rsidR="00000000" w:rsidRPr="00000000">
        <w:rPr>
          <w:i w:val="1"/>
          <w:rtl w:val="0"/>
        </w:rPr>
        <w:t xml:space="preserve">magical </w:t>
      </w:r>
      <w:r w:rsidDel="00000000" w:rsidR="00000000" w:rsidRPr="00000000">
        <w:rPr>
          <w:rtl w:val="0"/>
        </w:rPr>
        <w:t xml:space="preserve">art, he is proposing that these works of art hold agency within themselves as they act as social agents within their own right (Boivin, 2008, p. 139; Gell, 1998, p.6). </w:t>
      </w:r>
    </w:p>
    <w:p w:rsidR="00000000" w:rsidDel="00000000" w:rsidP="00000000" w:rsidRDefault="00000000" w:rsidRPr="00000000" w14:paraId="00000006">
      <w:pPr>
        <w:rPr/>
      </w:pPr>
      <w:r w:rsidDel="00000000" w:rsidR="00000000" w:rsidRPr="00000000">
        <w:rPr>
          <w:rtl w:val="0"/>
        </w:rPr>
        <w:tab/>
        <w:t xml:space="preserve">Gell himself has been described as “one of the most brilliant social anthropologists of his generation” (Thomas, 1998, p.vii). His corpus deals with social theory, specifically that of rituals, practices and artefacts. This seminal essay foreshadows later works by the author, in particular </w:t>
      </w:r>
      <w:r w:rsidDel="00000000" w:rsidR="00000000" w:rsidRPr="00000000">
        <w:rPr>
          <w:i w:val="1"/>
          <w:rtl w:val="0"/>
        </w:rPr>
        <w:t xml:space="preserve">‘Wrapping in Images’</w:t>
      </w:r>
      <w:r w:rsidDel="00000000" w:rsidR="00000000" w:rsidRPr="00000000">
        <w:rPr>
          <w:rtl w:val="0"/>
        </w:rPr>
        <w:t xml:space="preserve"> (1993) </w:t>
      </w:r>
      <w:r w:rsidDel="00000000" w:rsidR="00000000" w:rsidRPr="00000000">
        <w:rPr>
          <w:i w:val="1"/>
          <w:rtl w:val="0"/>
        </w:rPr>
        <w:t xml:space="preserve">‘Vogel’s Net: Traps as Artworks and Artworks as Traps’</w:t>
      </w:r>
      <w:r w:rsidDel="00000000" w:rsidR="00000000" w:rsidRPr="00000000">
        <w:rPr>
          <w:rtl w:val="0"/>
        </w:rPr>
        <w:t xml:space="preserve"> (1996), and his posthumous book </w:t>
      </w:r>
      <w:r w:rsidDel="00000000" w:rsidR="00000000" w:rsidRPr="00000000">
        <w:rPr>
          <w:i w:val="1"/>
          <w:rtl w:val="0"/>
        </w:rPr>
        <w:t xml:space="preserve">‘Art and Agency’</w:t>
      </w:r>
      <w:r w:rsidDel="00000000" w:rsidR="00000000" w:rsidRPr="00000000">
        <w:rPr>
          <w:rtl w:val="0"/>
        </w:rPr>
        <w:t xml:space="preserve"> (1998) (Thomas, 1998, p.vii).</w:t>
      </w:r>
    </w:p>
    <w:p w:rsidR="00000000" w:rsidDel="00000000" w:rsidP="00000000" w:rsidRDefault="00000000" w:rsidRPr="00000000" w14:paraId="00000007">
      <w:pPr>
        <w:ind w:firstLine="720"/>
        <w:rPr/>
      </w:pPr>
      <w:r w:rsidDel="00000000" w:rsidR="00000000" w:rsidRPr="00000000">
        <w:rPr>
          <w:rtl w:val="0"/>
        </w:rPr>
        <w:t xml:space="preserve">One theory that Gell’s concepts can be applied to is Bruno Latour’s </w:t>
      </w:r>
      <w:r w:rsidDel="00000000" w:rsidR="00000000" w:rsidRPr="00000000">
        <w:rPr>
          <w:i w:val="1"/>
          <w:rtl w:val="0"/>
        </w:rPr>
        <w:t xml:space="preserve">Actor Network Theory</w:t>
      </w:r>
      <w:r w:rsidDel="00000000" w:rsidR="00000000" w:rsidRPr="00000000">
        <w:rPr>
          <w:rtl w:val="0"/>
        </w:rPr>
        <w:t xml:space="preserve">. Latour argues that “agency is not </w:t>
      </w:r>
      <w:r w:rsidDel="00000000" w:rsidR="00000000" w:rsidRPr="00000000">
        <w:rPr>
          <w:i w:val="1"/>
          <w:rtl w:val="0"/>
        </w:rPr>
        <w:t xml:space="preserve">a priori</w:t>
      </w:r>
      <w:r w:rsidDel="00000000" w:rsidR="00000000" w:rsidRPr="00000000">
        <w:rPr>
          <w:rtl w:val="0"/>
        </w:rPr>
        <w:t xml:space="preserve"> located - either in persons or thing - but draws upon constellations that have a traceable effect” (van Oyen, 2015, p. 65). That is, agency is found through “constellations” of relation between humans and nonhumans, that actors or actants modify each other through a “series of trials” (Latour, 1996, p. 371; Latour, 2004, p. 75). This directly intersects with Gell’s theories, as both reject the idea of agency being exclusive to humans and both set forth relational ontologies. However, whilst comparisons can be made, a large gap exists between these two; Gell implies within this chapter and explicitly states in other works that agency is synonymous with intentionally, that agency is given to objects by the intention of humans (Gell, 1998, pp. 16-17). Latour, however, argues that nonhumans in and of themselves are </w:t>
      </w:r>
      <w:r w:rsidDel="00000000" w:rsidR="00000000" w:rsidRPr="00000000">
        <w:rPr>
          <w:i w:val="1"/>
          <w:rtl w:val="0"/>
        </w:rPr>
        <w:t xml:space="preserve">social actors,</w:t>
      </w:r>
      <w:r w:rsidDel="00000000" w:rsidR="00000000" w:rsidRPr="00000000">
        <w:rPr>
          <w:rtl w:val="0"/>
        </w:rPr>
        <w:t xml:space="preserve"> that they inherently have agency through their relationship with humans, not because agency has been attributed to them by humans (Latour, 2004, pp. 76-77). </w:t>
      </w:r>
    </w:p>
    <w:p w:rsidR="00000000" w:rsidDel="00000000" w:rsidP="00000000" w:rsidRDefault="00000000" w:rsidRPr="00000000" w14:paraId="00000008">
      <w:pPr>
        <w:ind w:firstLine="720"/>
        <w:rPr/>
      </w:pPr>
      <w:r w:rsidDel="00000000" w:rsidR="00000000" w:rsidRPr="00000000">
        <w:rPr>
          <w:rtl w:val="0"/>
        </w:rPr>
        <w:t xml:space="preserve">There is also an intersection between Gell and Jane Bennett, who in her influential work </w:t>
      </w:r>
      <w:r w:rsidDel="00000000" w:rsidR="00000000" w:rsidRPr="00000000">
        <w:rPr>
          <w:i w:val="1"/>
          <w:rtl w:val="0"/>
        </w:rPr>
        <w:t xml:space="preserve">Vibrant Matter: a political ecology of things </w:t>
      </w:r>
      <w:r w:rsidDel="00000000" w:rsidR="00000000" w:rsidRPr="00000000">
        <w:rPr>
          <w:rtl w:val="0"/>
        </w:rPr>
        <w:t xml:space="preserve">(2010), sets forth a theory that also discusses agency of material. Also a relational ontology, </w:t>
      </w:r>
      <w:r w:rsidDel="00000000" w:rsidR="00000000" w:rsidRPr="00000000">
        <w:rPr>
          <w:i w:val="1"/>
          <w:rtl w:val="0"/>
        </w:rPr>
        <w:t xml:space="preserve">vibrant matter</w:t>
      </w:r>
      <w:r w:rsidDel="00000000" w:rsidR="00000000" w:rsidRPr="00000000">
        <w:rPr>
          <w:rtl w:val="0"/>
        </w:rPr>
        <w:t xml:space="preserve"> rejects bounded or separate entities (what Latour would refer to as an </w:t>
      </w:r>
      <w:r w:rsidDel="00000000" w:rsidR="00000000" w:rsidRPr="00000000">
        <w:rPr>
          <w:i w:val="1"/>
          <w:rtl w:val="0"/>
        </w:rPr>
        <w:t xml:space="preserve">actant</w:t>
      </w:r>
      <w:r w:rsidDel="00000000" w:rsidR="00000000" w:rsidRPr="00000000">
        <w:rPr>
          <w:rtl w:val="0"/>
        </w:rPr>
        <w:t xml:space="preserve">), and instead discusses matter as being vibrant and flowing in and out of relationships, disclosing things as being “dead stuff” one moment whilst having a “live presence” the next (Bennett, 2010, pp. 4-8). Whilst not as directly related to Gell as perhaps Latour was, both Gell and Bennett still intersect through their agreement of agency not being restricted to humans, with a major disagreement in terms of intentionality and boundedness. Bennett (2001, p.5) also discusses </w:t>
      </w:r>
      <w:r w:rsidDel="00000000" w:rsidR="00000000" w:rsidRPr="00000000">
        <w:rPr>
          <w:i w:val="1"/>
          <w:rtl w:val="0"/>
        </w:rPr>
        <w:t xml:space="preserve">enchantment </w:t>
      </w:r>
      <w:r w:rsidDel="00000000" w:rsidR="00000000" w:rsidRPr="00000000">
        <w:rPr>
          <w:rtl w:val="0"/>
        </w:rPr>
        <w:t xml:space="preserve">within her work. She defines </w:t>
      </w:r>
      <w:r w:rsidDel="00000000" w:rsidR="00000000" w:rsidRPr="00000000">
        <w:rPr>
          <w:i w:val="1"/>
          <w:rtl w:val="0"/>
        </w:rPr>
        <w:t xml:space="preserve">enchantment</w:t>
      </w:r>
      <w:r w:rsidDel="00000000" w:rsidR="00000000" w:rsidRPr="00000000">
        <w:rPr>
          <w:rtl w:val="0"/>
        </w:rPr>
        <w:t xml:space="preserve"> as “as state of wonder”, and an “immobilising encounter, [...] to be transfixed, spellbound” (ibid.). However, she rejects Gell’s use of the word applicable to manmade art, instead stating that “to be enchanted is to be struck and shaken by the extraordinary that lives amid the familiar and the everyday”, discussing how the capacity of matter in and of itself </w:t>
      </w:r>
      <w:r w:rsidDel="00000000" w:rsidR="00000000" w:rsidRPr="00000000">
        <w:rPr>
          <w:i w:val="1"/>
          <w:rtl w:val="0"/>
        </w:rPr>
        <w:t xml:space="preserve">enchants </w:t>
      </w:r>
      <w:r w:rsidDel="00000000" w:rsidR="00000000" w:rsidRPr="00000000">
        <w:rPr>
          <w:rtl w:val="0"/>
        </w:rPr>
        <w:t xml:space="preserve">humans (Bennett, 2001, p.4), and does not lie within the intentionality of the acts of making art (Gell, 1992, p. 44). </w:t>
      </w:r>
    </w:p>
    <w:p w:rsidR="00000000" w:rsidDel="00000000" w:rsidP="00000000" w:rsidRDefault="00000000" w:rsidRPr="00000000" w14:paraId="00000009">
      <w:pPr>
        <w:ind w:firstLine="720"/>
        <w:rPr/>
      </w:pPr>
      <w:r w:rsidDel="00000000" w:rsidR="00000000" w:rsidRPr="00000000">
        <w:rPr>
          <w:rtl w:val="0"/>
        </w:rPr>
        <w:t xml:space="preserve">Lastly, there lies an intersection between </w:t>
      </w:r>
      <w:r w:rsidDel="00000000" w:rsidR="00000000" w:rsidRPr="00000000">
        <w:rPr>
          <w:i w:val="1"/>
          <w:rtl w:val="0"/>
        </w:rPr>
        <w:t xml:space="preserve">Material Engagement Theory</w:t>
      </w:r>
      <w:r w:rsidDel="00000000" w:rsidR="00000000" w:rsidRPr="00000000">
        <w:rPr>
          <w:rtl w:val="0"/>
        </w:rPr>
        <w:t xml:space="preserve"> and Gell. Lambros Malafouris (2004, p. 58) proposes that “material culture is consubstantial with the mind”; the relationship between the material world and human cognition is not one of abstract representationalism but one of “ontological inseparability” (ibid.), that the material world is not one of just external stimuli but is part of cognition itself and moulds peoples’ agency. This somewhat agrees with Gell, in Gell’s statement that “the </w:t>
      </w:r>
      <w:r w:rsidDel="00000000" w:rsidR="00000000" w:rsidRPr="00000000">
        <w:rPr>
          <w:i w:val="1"/>
          <w:rtl w:val="0"/>
        </w:rPr>
        <w:t xml:space="preserve">technology of enchantment </w:t>
      </w:r>
      <w:r w:rsidDel="00000000" w:rsidR="00000000" w:rsidRPr="00000000">
        <w:rPr>
          <w:rtl w:val="0"/>
        </w:rPr>
        <w:t xml:space="preserve">is founded on the </w:t>
      </w:r>
      <w:r w:rsidDel="00000000" w:rsidR="00000000" w:rsidRPr="00000000">
        <w:rPr>
          <w:i w:val="1"/>
          <w:rtl w:val="0"/>
        </w:rPr>
        <w:t xml:space="preserve">enchantment of technology” </w:t>
      </w:r>
      <w:r w:rsidDel="00000000" w:rsidR="00000000" w:rsidRPr="00000000">
        <w:rPr>
          <w:rtl w:val="0"/>
        </w:rPr>
        <w:t xml:space="preserve">(Gell, 1992, p. 44), that the ways in which the art is made causes </w:t>
      </w:r>
      <w:r w:rsidDel="00000000" w:rsidR="00000000" w:rsidRPr="00000000">
        <w:rPr>
          <w:i w:val="1"/>
          <w:rtl w:val="0"/>
        </w:rPr>
        <w:t xml:space="preserve">enchantment</w:t>
      </w:r>
      <w:r w:rsidDel="00000000" w:rsidR="00000000" w:rsidRPr="00000000">
        <w:rPr>
          <w:rtl w:val="0"/>
        </w:rPr>
        <w:t xml:space="preserve"> and is directly linked with ideas of cognition and material. However, again, Gell tends to focus on intentionality and an anthropocentric view that it is the human’s agency that creates that art (Gell, 1998, pp. 16-17), and not Malafouris’ idea that things are on par with humans, that the agency of the material world affects the mind as the mind affects the agency of the material world (Malafouris, 2019, p. 8).</w:t>
      </w:r>
    </w:p>
    <w:p w:rsidR="00000000" w:rsidDel="00000000" w:rsidP="00000000" w:rsidRDefault="00000000" w:rsidRPr="00000000" w14:paraId="0000000A">
      <w:pPr>
        <w:ind w:firstLine="720"/>
        <w:rPr/>
      </w:pPr>
      <w:r w:rsidDel="00000000" w:rsidR="00000000" w:rsidRPr="00000000">
        <w:rPr>
          <w:rtl w:val="0"/>
        </w:rPr>
        <w:t xml:space="preserve">To summarise, there are a number of strengths that Gell’s </w:t>
      </w:r>
      <w:r w:rsidDel="00000000" w:rsidR="00000000" w:rsidRPr="00000000">
        <w:rPr>
          <w:i w:val="1"/>
          <w:rtl w:val="0"/>
        </w:rPr>
        <w:t xml:space="preserve">The Technology of Enchantment and the Enchantment of Technology </w:t>
      </w:r>
      <w:r w:rsidDel="00000000" w:rsidR="00000000" w:rsidRPr="00000000">
        <w:rPr>
          <w:rtl w:val="0"/>
        </w:rPr>
        <w:t xml:space="preserve">(1992)</w:t>
      </w:r>
      <w:r w:rsidDel="00000000" w:rsidR="00000000" w:rsidRPr="00000000">
        <w:rPr>
          <w:i w:val="1"/>
          <w:rtl w:val="0"/>
        </w:rPr>
        <w:t xml:space="preserve"> </w:t>
      </w:r>
      <w:r w:rsidDel="00000000" w:rsidR="00000000" w:rsidRPr="00000000">
        <w:rPr>
          <w:rtl w:val="0"/>
        </w:rPr>
        <w:t xml:space="preserve">contains. Firstly, his critique of Western ethnocentrism and aestheticism, towards an idea of art having agency with </w:t>
      </w:r>
      <w:r w:rsidDel="00000000" w:rsidR="00000000" w:rsidRPr="00000000">
        <w:rPr>
          <w:i w:val="1"/>
          <w:rtl w:val="0"/>
        </w:rPr>
        <w:t xml:space="preserve">value</w:t>
      </w:r>
      <w:r w:rsidDel="00000000" w:rsidR="00000000" w:rsidRPr="00000000">
        <w:rPr>
          <w:rtl w:val="0"/>
        </w:rPr>
        <w:t xml:space="preserve"> and </w:t>
      </w:r>
      <w:r w:rsidDel="00000000" w:rsidR="00000000" w:rsidRPr="00000000">
        <w:rPr>
          <w:i w:val="1"/>
          <w:rtl w:val="0"/>
        </w:rPr>
        <w:t xml:space="preserve">power</w:t>
      </w:r>
      <w:r w:rsidDel="00000000" w:rsidR="00000000" w:rsidRPr="00000000">
        <w:rPr>
          <w:rtl w:val="0"/>
        </w:rPr>
        <w:t xml:space="preserve"> was a useful turn within anthropology and material studies (Gell, 1992, p.40, pp. 42-44), as it begins to focus on the material world and towards a relational ontology. His discussion of objects within social relations and how they affect humans precursors broader and more influential theories within the </w:t>
      </w:r>
      <w:r w:rsidDel="00000000" w:rsidR="00000000" w:rsidRPr="00000000">
        <w:rPr>
          <w:i w:val="1"/>
          <w:rtl w:val="0"/>
        </w:rPr>
        <w:t xml:space="preserve">New Materialisms</w:t>
      </w:r>
      <w:r w:rsidDel="00000000" w:rsidR="00000000" w:rsidRPr="00000000">
        <w:rPr>
          <w:rtl w:val="0"/>
        </w:rPr>
        <w:t xml:space="preserve">, specifically Latour’s </w:t>
      </w:r>
      <w:r w:rsidDel="00000000" w:rsidR="00000000" w:rsidRPr="00000000">
        <w:rPr>
          <w:i w:val="1"/>
          <w:rtl w:val="0"/>
        </w:rPr>
        <w:t xml:space="preserve">Actor Network Theory </w:t>
      </w:r>
      <w:r w:rsidDel="00000000" w:rsidR="00000000" w:rsidRPr="00000000">
        <w:rPr>
          <w:rtl w:val="0"/>
        </w:rPr>
        <w:t xml:space="preserve">van Oyen, 2015, p. 65</w:t>
      </w:r>
      <w:r w:rsidDel="00000000" w:rsidR="00000000" w:rsidRPr="00000000">
        <w:rPr>
          <w:i w:val="1"/>
          <w:rtl w:val="0"/>
        </w:rPr>
        <w:t xml:space="preserve">, </w:t>
      </w:r>
      <w:r w:rsidDel="00000000" w:rsidR="00000000" w:rsidRPr="00000000">
        <w:rPr>
          <w:rtl w:val="0"/>
        </w:rPr>
        <w:t xml:space="preserve">Bennett’s theories of </w:t>
      </w:r>
      <w:r w:rsidDel="00000000" w:rsidR="00000000" w:rsidRPr="00000000">
        <w:rPr>
          <w:i w:val="1"/>
          <w:rtl w:val="0"/>
        </w:rPr>
        <w:t xml:space="preserve">vibrant matter</w:t>
      </w:r>
      <w:r w:rsidDel="00000000" w:rsidR="00000000" w:rsidRPr="00000000">
        <w:rPr>
          <w:rtl w:val="0"/>
        </w:rPr>
        <w:t xml:space="preserve"> (2010) and </w:t>
      </w:r>
      <w:r w:rsidDel="00000000" w:rsidR="00000000" w:rsidRPr="00000000">
        <w:rPr>
          <w:i w:val="1"/>
          <w:rtl w:val="0"/>
        </w:rPr>
        <w:t xml:space="preserve">enchantment</w:t>
      </w:r>
      <w:r w:rsidDel="00000000" w:rsidR="00000000" w:rsidRPr="00000000">
        <w:rPr>
          <w:rtl w:val="0"/>
        </w:rPr>
        <w:t xml:space="preserve"> (2001), and Malafouris’ (2004) </w:t>
      </w:r>
      <w:r w:rsidDel="00000000" w:rsidR="00000000" w:rsidRPr="00000000">
        <w:rPr>
          <w:i w:val="1"/>
          <w:rtl w:val="0"/>
        </w:rPr>
        <w:t xml:space="preserve">Material Engagement Theory.</w:t>
      </w:r>
      <w:r w:rsidDel="00000000" w:rsidR="00000000" w:rsidRPr="00000000">
        <w:rPr>
          <w:rtl w:val="0"/>
        </w:rPr>
        <w:t xml:space="preserve"> Gell also uses an ethnographic example as part of his work, that of the Trobrian canoe-prows, that helps to solidify and legitimise his work.</w:t>
      </w:r>
    </w:p>
    <w:p w:rsidR="00000000" w:rsidDel="00000000" w:rsidP="00000000" w:rsidRDefault="00000000" w:rsidRPr="00000000" w14:paraId="0000000B">
      <w:pPr>
        <w:ind w:firstLine="720"/>
        <w:rPr/>
      </w:pPr>
      <w:r w:rsidDel="00000000" w:rsidR="00000000" w:rsidRPr="00000000">
        <w:rPr>
          <w:rtl w:val="0"/>
        </w:rPr>
        <w:t xml:space="preserve">However, Gell’s propositions are limited. Firstly, Gell’s (1998, pp. 16-17) idea of human intentionality being the source of agency would be considered overly anthropocentric of </w:t>
      </w:r>
      <w:r w:rsidDel="00000000" w:rsidR="00000000" w:rsidRPr="00000000">
        <w:rPr>
          <w:i w:val="1"/>
          <w:rtl w:val="0"/>
        </w:rPr>
        <w:t xml:space="preserve">New Materialists</w:t>
      </w:r>
      <w:r w:rsidDel="00000000" w:rsidR="00000000" w:rsidRPr="00000000">
        <w:rPr>
          <w:rtl w:val="0"/>
        </w:rPr>
        <w:t xml:space="preserve">, as writers in this field challenge human exceptionalism and “question the privileged agential status of the thinking human” (Attala and Steel, 2019, p. 3). Gell also fails to discuss materiality, that being the physical qualities material contains and instead focuses almost entirely on human acts and agency. This is in direct contrast to the </w:t>
      </w:r>
      <w:r w:rsidDel="00000000" w:rsidR="00000000" w:rsidRPr="00000000">
        <w:rPr>
          <w:i w:val="1"/>
          <w:rtl w:val="0"/>
        </w:rPr>
        <w:t xml:space="preserve">New Materialisms</w:t>
      </w:r>
      <w:r w:rsidDel="00000000" w:rsidR="00000000" w:rsidRPr="00000000">
        <w:rPr>
          <w:rtl w:val="0"/>
        </w:rPr>
        <w:t xml:space="preserve">, with theories such as </w:t>
      </w:r>
      <w:r w:rsidDel="00000000" w:rsidR="00000000" w:rsidRPr="00000000">
        <w:rPr>
          <w:i w:val="1"/>
          <w:rtl w:val="0"/>
        </w:rPr>
        <w:t xml:space="preserve">Material Engagement</w:t>
      </w:r>
      <w:r w:rsidDel="00000000" w:rsidR="00000000" w:rsidRPr="00000000">
        <w:rPr>
          <w:rtl w:val="0"/>
        </w:rPr>
        <w:t xml:space="preserve"> specifically that discuss how the material qualities of things </w:t>
      </w:r>
      <w:r w:rsidDel="00000000" w:rsidR="00000000" w:rsidRPr="00000000">
        <w:rPr>
          <w:i w:val="1"/>
          <w:rtl w:val="0"/>
        </w:rPr>
        <w:t xml:space="preserve">afford</w:t>
      </w:r>
      <w:r w:rsidDel="00000000" w:rsidR="00000000" w:rsidRPr="00000000">
        <w:rPr>
          <w:rtl w:val="0"/>
        </w:rPr>
        <w:t xml:space="preserve"> the way in which it is used (Steel, 2018, pp. 201 - 203).</w:t>
      </w:r>
    </w:p>
    <w:p w:rsidR="00000000" w:rsidDel="00000000" w:rsidP="00000000" w:rsidRDefault="00000000" w:rsidRPr="00000000" w14:paraId="0000000C">
      <w:pPr>
        <w:ind w:firstLine="720"/>
        <w:rPr/>
      </w:pPr>
      <w:r w:rsidDel="00000000" w:rsidR="00000000" w:rsidRPr="00000000">
        <w:rPr>
          <w:rtl w:val="0"/>
        </w:rPr>
        <w:t xml:space="preserve">Alfred Gell’s </w:t>
      </w:r>
      <w:r w:rsidDel="00000000" w:rsidR="00000000" w:rsidRPr="00000000">
        <w:rPr>
          <w:i w:val="1"/>
          <w:rtl w:val="0"/>
        </w:rPr>
        <w:t xml:space="preserve">The Technology of Enchantment and the Enchantment of Technology </w:t>
      </w:r>
      <w:r w:rsidDel="00000000" w:rsidR="00000000" w:rsidRPr="00000000">
        <w:rPr>
          <w:rtl w:val="0"/>
        </w:rPr>
        <w:t xml:space="preserve">(1992) is seminal groundbreaking work. Whilst discussing art specifically, he moves away from a Western ethnocentric viewpoint of art and aestheticism towards the idea of art within social relations and relational ontologies. However, the work fails conceptually in a number of ways in discussions of </w:t>
      </w:r>
      <w:r w:rsidDel="00000000" w:rsidR="00000000" w:rsidRPr="00000000">
        <w:rPr>
          <w:i w:val="1"/>
          <w:rtl w:val="0"/>
        </w:rPr>
        <w:t xml:space="preserve">New Materialisms</w:t>
      </w:r>
      <w:r w:rsidDel="00000000" w:rsidR="00000000" w:rsidRPr="00000000">
        <w:rPr>
          <w:rtl w:val="0"/>
        </w:rPr>
        <w:t xml:space="preserve">; notably, Gell still focuses on an idea of human intentionality and exceptionalism and fails to move away from that towards a more holistic view of the material world and agency. This work however predates most </w:t>
      </w:r>
      <w:r w:rsidDel="00000000" w:rsidR="00000000" w:rsidRPr="00000000">
        <w:rPr>
          <w:i w:val="1"/>
          <w:rtl w:val="0"/>
        </w:rPr>
        <w:t xml:space="preserve">New Materialist</w:t>
      </w:r>
      <w:r w:rsidDel="00000000" w:rsidR="00000000" w:rsidRPr="00000000">
        <w:rPr>
          <w:rtl w:val="0"/>
        </w:rPr>
        <w:t xml:space="preserve"> works by a number of years, with the term only being used in the second half of the 1990s (Dolphijn and van der Tuin, 2012). Therefore, it can be concluded that this is an influential precursor to </w:t>
      </w:r>
      <w:r w:rsidDel="00000000" w:rsidR="00000000" w:rsidRPr="00000000">
        <w:rPr>
          <w:i w:val="1"/>
          <w:rtl w:val="0"/>
        </w:rPr>
        <w:t xml:space="preserve">New Materialist</w:t>
      </w:r>
      <w:r w:rsidDel="00000000" w:rsidR="00000000" w:rsidRPr="00000000">
        <w:rPr>
          <w:rtl w:val="0"/>
        </w:rPr>
        <w:t xml:space="preserve"> writers, and one that lays fundamental groundwork in ways of thinking about the world. </w:t>
      </w:r>
      <w:r w:rsidDel="00000000" w:rsidR="00000000" w:rsidRPr="00000000">
        <w:rPr>
          <w:rtl w:val="0"/>
        </w:rPr>
      </w:r>
    </w:p>
    <w:p w:rsidR="00000000" w:rsidDel="00000000" w:rsidP="00000000" w:rsidRDefault="00000000" w:rsidRPr="00000000" w14:paraId="0000000D">
      <w:pPr>
        <w:rPr>
          <w:i w:val="1"/>
        </w:rPr>
      </w:pPr>
      <w:r w:rsidDel="00000000" w:rsidR="00000000" w:rsidRPr="00000000">
        <w:br w:type="page"/>
      </w: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Bibliography</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Attala, L. and Steel, L. (2019a) ‘Introduction’, in Attala, L. and Steel, L. (eds.) </w:t>
      </w:r>
      <w:r w:rsidDel="00000000" w:rsidR="00000000" w:rsidRPr="00000000">
        <w:rPr>
          <w:i w:val="1"/>
          <w:rtl w:val="0"/>
        </w:rPr>
        <w:t xml:space="preserve">Body Matters: exploring the materiality of the human body. </w:t>
      </w:r>
      <w:r w:rsidDel="00000000" w:rsidR="00000000" w:rsidRPr="00000000">
        <w:rPr>
          <w:rtl w:val="0"/>
        </w:rPr>
        <w:t xml:space="preserve">Cardiff: University of Wales Press.</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Bennett, J. (2001) </w:t>
      </w:r>
      <w:r w:rsidDel="00000000" w:rsidR="00000000" w:rsidRPr="00000000">
        <w:rPr>
          <w:i w:val="1"/>
          <w:rtl w:val="0"/>
        </w:rPr>
        <w:t xml:space="preserve">The Enchantment of Modern Life: Attachments, Crossing and Ethics. </w:t>
      </w:r>
      <w:r w:rsidDel="00000000" w:rsidR="00000000" w:rsidRPr="00000000">
        <w:rPr>
          <w:rtl w:val="0"/>
        </w:rPr>
        <w:t xml:space="preserve">Oxford: Princeton University Press.</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Bennett, J. (2010) </w:t>
      </w:r>
      <w:r w:rsidDel="00000000" w:rsidR="00000000" w:rsidRPr="00000000">
        <w:rPr>
          <w:i w:val="1"/>
          <w:rtl w:val="0"/>
        </w:rPr>
        <w:t xml:space="preserve">Vibrant Matter: a political ecology of things. </w:t>
      </w:r>
      <w:r w:rsidDel="00000000" w:rsidR="00000000" w:rsidRPr="00000000">
        <w:rPr>
          <w:rtl w:val="0"/>
        </w:rPr>
        <w:t xml:space="preserve">Durham, North Carolina: Duke University Press.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Boivin, N. (2008) </w:t>
      </w:r>
      <w:r w:rsidDel="00000000" w:rsidR="00000000" w:rsidRPr="00000000">
        <w:rPr>
          <w:i w:val="1"/>
          <w:rtl w:val="0"/>
        </w:rPr>
        <w:t xml:space="preserve">Material Cultures, Material Minds. </w:t>
      </w:r>
      <w:r w:rsidDel="00000000" w:rsidR="00000000" w:rsidRPr="00000000">
        <w:rPr>
          <w:rtl w:val="0"/>
        </w:rPr>
        <w:t xml:space="preserve">New York: Cambridge University Press.</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Dolphijn, R. and van der Tuin, I. (2012) </w:t>
      </w:r>
      <w:r w:rsidDel="00000000" w:rsidR="00000000" w:rsidRPr="00000000">
        <w:rPr>
          <w:i w:val="1"/>
          <w:rtl w:val="0"/>
        </w:rPr>
        <w:t xml:space="preserve">New Materialism: Interviews and Cartographies. </w:t>
      </w:r>
      <w:r w:rsidDel="00000000" w:rsidR="00000000" w:rsidRPr="00000000">
        <w:rPr>
          <w:rtl w:val="0"/>
        </w:rPr>
        <w:t xml:space="preserve">Open Humanities Press. Available at: </w:t>
      </w:r>
      <w:hyperlink r:id="rId6">
        <w:r w:rsidDel="00000000" w:rsidR="00000000" w:rsidRPr="00000000">
          <w:rPr>
            <w:color w:val="1155cc"/>
            <w:u w:val="single"/>
            <w:rtl w:val="0"/>
          </w:rPr>
          <w:t xml:space="preserve">https://openhumanitiespress.org/books/download/Dolphijn-van-der-Tuin_2013_New-Materialism.pdf</w:t>
        </w:r>
      </w:hyperlink>
      <w:r w:rsidDel="00000000" w:rsidR="00000000" w:rsidRPr="00000000">
        <w:rPr>
          <w:rtl w:val="0"/>
        </w:rPr>
        <w:t xml:space="preserve"> (Accessed on 19th of November 2024).</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Gell, A., (1992) ‘The Technology of Enchantment and the Enchantment of Technology’ in Coote, J. and Shelton, A. (eds.) </w:t>
      </w:r>
      <w:r w:rsidDel="00000000" w:rsidR="00000000" w:rsidRPr="00000000">
        <w:rPr>
          <w:i w:val="1"/>
          <w:rtl w:val="0"/>
        </w:rPr>
        <w:t xml:space="preserve">Anthropology, Art and Aesthetics. </w:t>
      </w:r>
      <w:r w:rsidDel="00000000" w:rsidR="00000000" w:rsidRPr="00000000">
        <w:rPr>
          <w:rtl w:val="0"/>
        </w:rPr>
        <w:t xml:space="preserve">New York: Oxford University Press.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Gell, A. (1993) </w:t>
      </w:r>
      <w:r w:rsidDel="00000000" w:rsidR="00000000" w:rsidRPr="00000000">
        <w:rPr>
          <w:i w:val="1"/>
          <w:rtl w:val="0"/>
        </w:rPr>
        <w:t xml:space="preserve">Wrapping in images: tattooing in polynesia. </w:t>
      </w:r>
      <w:r w:rsidDel="00000000" w:rsidR="00000000" w:rsidRPr="00000000">
        <w:rPr>
          <w:rtl w:val="0"/>
        </w:rPr>
        <w:t xml:space="preserve">Oxford:</w:t>
      </w:r>
      <w:r w:rsidDel="00000000" w:rsidR="00000000" w:rsidRPr="00000000">
        <w:rPr>
          <w:i w:val="1"/>
          <w:rtl w:val="0"/>
        </w:rPr>
        <w:t xml:space="preserve"> </w:t>
      </w:r>
      <w:r w:rsidDel="00000000" w:rsidR="00000000" w:rsidRPr="00000000">
        <w:rPr>
          <w:rtl w:val="0"/>
        </w:rPr>
        <w:t xml:space="preserve">Clarendon Press. </w:t>
      </w: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Gell, A. (1996) ‘Vogel’s Net: Traps as Artworks and Artworks as Traps’, </w:t>
      </w:r>
      <w:r w:rsidDel="00000000" w:rsidR="00000000" w:rsidRPr="00000000">
        <w:rPr>
          <w:i w:val="1"/>
          <w:rtl w:val="0"/>
        </w:rPr>
        <w:t xml:space="preserve">Journal of Material Culture</w:t>
      </w:r>
      <w:r w:rsidDel="00000000" w:rsidR="00000000" w:rsidRPr="00000000">
        <w:rPr>
          <w:rtl w:val="0"/>
        </w:rPr>
        <w:t xml:space="preserve">, 1(1), pp. 15-38. DOI: </w:t>
      </w:r>
      <w:hyperlink r:id="rId7">
        <w:r w:rsidDel="00000000" w:rsidR="00000000" w:rsidRPr="00000000">
          <w:rPr>
            <w:color w:val="1155cc"/>
            <w:u w:val="single"/>
            <w:rtl w:val="0"/>
          </w:rPr>
          <w:t xml:space="preserve">https://doi.org/10.1177/135918359600100102</w:t>
        </w:r>
      </w:hyperlink>
      <w:r w:rsidDel="00000000" w:rsidR="00000000" w:rsidRPr="00000000">
        <w:rPr>
          <w:rtl w:val="0"/>
        </w:rPr>
        <w:t xml:space="preserve">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Gell, A. (1998) </w:t>
      </w:r>
      <w:r w:rsidDel="00000000" w:rsidR="00000000" w:rsidRPr="00000000">
        <w:rPr>
          <w:i w:val="1"/>
          <w:rtl w:val="0"/>
        </w:rPr>
        <w:t xml:space="preserve">Art and Agency: An Anthropological Theory. </w:t>
      </w:r>
      <w:r w:rsidDel="00000000" w:rsidR="00000000" w:rsidRPr="00000000">
        <w:rPr>
          <w:rtl w:val="0"/>
        </w:rPr>
        <w:t xml:space="preserve">New York: Oxford University Press.</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Latour, B. (1996) ‘On actor-network theory : A few clarifications’, </w:t>
      </w:r>
      <w:r w:rsidDel="00000000" w:rsidR="00000000" w:rsidRPr="00000000">
        <w:rPr>
          <w:i w:val="1"/>
          <w:rtl w:val="0"/>
        </w:rPr>
        <w:t xml:space="preserve">Soziale Welt-zeitschrift Fur Sozialwissenschaftliche Forschung Und Praxis,</w:t>
      </w:r>
      <w:r w:rsidDel="00000000" w:rsidR="00000000" w:rsidRPr="00000000">
        <w:rPr>
          <w:rtl w:val="0"/>
        </w:rPr>
        <w:t xml:space="preserve"> 47, pp. 369-381.</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Latour, B. (2004) </w:t>
      </w:r>
      <w:r w:rsidDel="00000000" w:rsidR="00000000" w:rsidRPr="00000000">
        <w:rPr>
          <w:i w:val="1"/>
          <w:rtl w:val="0"/>
        </w:rPr>
        <w:t xml:space="preserve">Politics of Nature: How to Bring the Sciences Into Democracy. </w:t>
      </w:r>
      <w:r w:rsidDel="00000000" w:rsidR="00000000" w:rsidRPr="00000000">
        <w:rPr>
          <w:rtl w:val="0"/>
        </w:rPr>
        <w:t xml:space="preserve">USA: Presidents and Fellows of Harvard College.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Malafouris, L. (2004) ‘The cognitive basis of material engagement: where brain, body and culture conflate.’ in DeMarrais, E., Gosden, C., and Refrew, C. (eds.) </w:t>
      </w:r>
      <w:r w:rsidDel="00000000" w:rsidR="00000000" w:rsidRPr="00000000">
        <w:rPr>
          <w:i w:val="1"/>
          <w:rtl w:val="0"/>
        </w:rPr>
        <w:t xml:space="preserve">Rethinking Materiality: Engagement of Mind with Material World. </w:t>
      </w:r>
      <w:r w:rsidDel="00000000" w:rsidR="00000000" w:rsidRPr="00000000">
        <w:rPr>
          <w:rtl w:val="0"/>
        </w:rPr>
        <w:t xml:space="preserve">Cambridge: McDonald Institute for Archaeological Research.</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Malafouris, L. (2019) ‘Mind and material engagement’, </w:t>
      </w:r>
      <w:r w:rsidDel="00000000" w:rsidR="00000000" w:rsidRPr="00000000">
        <w:rPr>
          <w:i w:val="1"/>
          <w:rtl w:val="0"/>
        </w:rPr>
        <w:t xml:space="preserve">Phenom Cogn Sci, </w:t>
      </w:r>
      <w:r w:rsidDel="00000000" w:rsidR="00000000" w:rsidRPr="00000000">
        <w:rPr>
          <w:rtl w:val="0"/>
        </w:rPr>
        <w:t xml:space="preserve">18, pp. 1-17. Available at: </w:t>
      </w:r>
      <w:hyperlink r:id="rId8">
        <w:r w:rsidDel="00000000" w:rsidR="00000000" w:rsidRPr="00000000">
          <w:rPr>
            <w:color w:val="1155cc"/>
            <w:u w:val="single"/>
            <w:rtl w:val="0"/>
          </w:rPr>
          <w:t xml:space="preserve">https://link.springer.com/article/10.1007/s11097-018-9606-7</w:t>
        </w:r>
      </w:hyperlink>
      <w:r w:rsidDel="00000000" w:rsidR="00000000" w:rsidRPr="00000000">
        <w:rPr>
          <w:rtl w:val="0"/>
        </w:rPr>
        <w:t xml:space="preserve"> (Accessed on 19th of November 2024).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van Oyen, A. (2015) ‘Actor-Network Theory’s Take on Archaeological Types:</w:t>
      </w:r>
    </w:p>
    <w:p w:rsidR="00000000" w:rsidDel="00000000" w:rsidP="00000000" w:rsidRDefault="00000000" w:rsidRPr="00000000" w14:paraId="0000002B">
      <w:pPr>
        <w:rPr/>
      </w:pPr>
      <w:r w:rsidDel="00000000" w:rsidR="00000000" w:rsidRPr="00000000">
        <w:rPr>
          <w:rtl w:val="0"/>
        </w:rPr>
        <w:t xml:space="preserve">Becoming, Material Agency and Historical Explanation’, </w:t>
      </w:r>
      <w:r w:rsidDel="00000000" w:rsidR="00000000" w:rsidRPr="00000000">
        <w:rPr>
          <w:i w:val="1"/>
          <w:rtl w:val="0"/>
        </w:rPr>
        <w:t xml:space="preserve">Cambridge Archaeological Journal, </w:t>
      </w:r>
      <w:r w:rsidDel="00000000" w:rsidR="00000000" w:rsidRPr="00000000">
        <w:rPr>
          <w:rtl w:val="0"/>
        </w:rPr>
        <w:t xml:space="preserve">25(1), pp. 63-78. </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Steel, L. (2019) ‘Embodied Encounters with the Ancestors’, in Attala, L. and Steel, L. (eds.) </w:t>
      </w:r>
      <w:r w:rsidDel="00000000" w:rsidR="00000000" w:rsidRPr="00000000">
        <w:rPr>
          <w:i w:val="1"/>
          <w:rtl w:val="0"/>
        </w:rPr>
        <w:t xml:space="preserve">Body Matters: exploring the materiality of the human body. </w:t>
      </w:r>
      <w:r w:rsidDel="00000000" w:rsidR="00000000" w:rsidRPr="00000000">
        <w:rPr>
          <w:rtl w:val="0"/>
        </w:rPr>
        <w:t xml:space="preserve">Cardiff: University of Wales Press.</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Thomas, N. (1998) ‘Foreword’ in Gell, A. </w:t>
      </w:r>
      <w:r w:rsidDel="00000000" w:rsidR="00000000" w:rsidRPr="00000000">
        <w:rPr>
          <w:i w:val="1"/>
          <w:rtl w:val="0"/>
        </w:rPr>
        <w:t xml:space="preserve">Art and Agency: An Anthropological Theory. </w:t>
      </w:r>
      <w:r w:rsidDel="00000000" w:rsidR="00000000" w:rsidRPr="00000000">
        <w:rPr>
          <w:rtl w:val="0"/>
        </w:rPr>
        <w:t xml:space="preserve">New York: Oxford University Press.</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openhumanitiespress.org/books/download/Dolphijn-van-der-Tuin_2013_New-Materialism.pdf" TargetMode="External"/><Relationship Id="rId7" Type="http://schemas.openxmlformats.org/officeDocument/2006/relationships/hyperlink" Target="https://doi.org/10.1177/135918359600100102" TargetMode="External"/><Relationship Id="rId8" Type="http://schemas.openxmlformats.org/officeDocument/2006/relationships/hyperlink" Target="https://link.springer.com/article/10.1007/s11097-018-960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