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3337CED">
      <w:pPr>
        <w:jc w:val="center"/>
        <w:rPr>
          <w:rFonts w:hint="default"/>
          <w:b/>
          <w:bCs/>
          <w:sz w:val="28"/>
          <w:szCs w:val="28"/>
          <w:lang w:val="en-US"/>
        </w:rPr>
      </w:pPr>
      <w:r>
        <w:rPr>
          <w:rFonts w:hint="default"/>
          <w:b/>
          <w:bCs/>
          <w:sz w:val="28"/>
          <w:szCs w:val="28"/>
          <w:lang w:val="en-US"/>
        </w:rPr>
        <w:drawing>
          <wp:inline distT="0" distB="0" distL="114300" distR="114300">
            <wp:extent cx="5576570" cy="1223645"/>
            <wp:effectExtent l="0" t="0" r="1270" b="10795"/>
            <wp:docPr id="1" name="Picture 1" descr="UW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Logo"/>
                    <pic:cNvPicPr>
                      <a:picLocks noChangeAspect="1"/>
                    </pic:cNvPicPr>
                  </pic:nvPicPr>
                  <pic:blipFill>
                    <a:blip r:embed="rId7"/>
                    <a:stretch>
                      <a:fillRect/>
                    </a:stretch>
                  </pic:blipFill>
                  <pic:spPr>
                    <a:xfrm>
                      <a:off x="0" y="0"/>
                      <a:ext cx="5576570" cy="1223645"/>
                    </a:xfrm>
                    <a:prstGeom prst="rect">
                      <a:avLst/>
                    </a:prstGeom>
                  </pic:spPr>
                </pic:pic>
              </a:graphicData>
            </a:graphic>
          </wp:inline>
        </w:drawing>
      </w:r>
    </w:p>
    <w:p w14:paraId="13F908D2">
      <w:pPr>
        <w:jc w:val="center"/>
        <w:rPr>
          <w:b/>
          <w:bCs/>
          <w:sz w:val="28"/>
          <w:szCs w:val="28"/>
        </w:rPr>
      </w:pPr>
    </w:p>
    <w:p w14:paraId="08DF0533">
      <w:pPr>
        <w:jc w:val="center"/>
        <w:rPr>
          <w:b/>
          <w:bCs/>
          <w:sz w:val="28"/>
          <w:szCs w:val="28"/>
        </w:rPr>
      </w:pPr>
    </w:p>
    <w:p w14:paraId="4F9A798B">
      <w:pPr>
        <w:jc w:val="center"/>
        <w:rPr>
          <w:b/>
          <w:bCs/>
          <w:sz w:val="28"/>
          <w:szCs w:val="28"/>
        </w:rPr>
      </w:pPr>
    </w:p>
    <w:p w14:paraId="494C25F7">
      <w:pPr>
        <w:jc w:val="center"/>
        <w:rPr>
          <w:b/>
          <w:bCs/>
          <w:sz w:val="28"/>
          <w:szCs w:val="28"/>
        </w:rPr>
      </w:pPr>
    </w:p>
    <w:p w14:paraId="426D059B">
      <w:pPr>
        <w:jc w:val="center"/>
        <w:rPr>
          <w:b/>
          <w:bCs/>
          <w:sz w:val="28"/>
          <w:szCs w:val="28"/>
        </w:rPr>
      </w:pPr>
    </w:p>
    <w:p w14:paraId="33CB5952">
      <w:pPr>
        <w:jc w:val="center"/>
        <w:rPr>
          <w:b/>
          <w:bCs/>
          <w:sz w:val="28"/>
          <w:szCs w:val="28"/>
        </w:rPr>
      </w:pPr>
    </w:p>
    <w:p w14:paraId="5D8F2FEC">
      <w:pPr>
        <w:jc w:val="center"/>
        <w:rPr>
          <w:b/>
          <w:bCs/>
          <w:sz w:val="28"/>
          <w:szCs w:val="28"/>
        </w:rPr>
      </w:pPr>
    </w:p>
    <w:p w14:paraId="339A8379">
      <w:pPr>
        <w:jc w:val="center"/>
        <w:rPr>
          <w:rFonts w:hint="default"/>
          <w:b/>
          <w:bCs/>
          <w:sz w:val="28"/>
          <w:szCs w:val="28"/>
          <w:lang w:val="en-US"/>
        </w:rPr>
      </w:pPr>
      <w:r>
        <w:rPr>
          <w:b/>
          <w:bCs/>
          <w:sz w:val="28"/>
          <w:szCs w:val="28"/>
        </w:rPr>
        <w:t>NAME:</w:t>
      </w:r>
      <w:r>
        <w:rPr>
          <w:rFonts w:hint="default"/>
          <w:b/>
          <w:bCs/>
          <w:sz w:val="28"/>
          <w:szCs w:val="28"/>
          <w:lang w:val="en-US"/>
        </w:rPr>
        <w:t>TARI</w:t>
      </w:r>
      <w:bookmarkStart w:id="21" w:name="_GoBack"/>
      <w:bookmarkEnd w:id="21"/>
      <w:r>
        <w:rPr>
          <w:rFonts w:hint="default"/>
          <w:b/>
          <w:bCs/>
          <w:sz w:val="28"/>
          <w:szCs w:val="28"/>
          <w:lang w:val="en-US"/>
        </w:rPr>
        <w:t>QUR RAHMAN</w:t>
      </w:r>
    </w:p>
    <w:p w14:paraId="05AF28BE">
      <w:pPr>
        <w:jc w:val="center"/>
        <w:rPr>
          <w:rFonts w:hint="default"/>
          <w:b/>
          <w:bCs/>
          <w:sz w:val="28"/>
          <w:szCs w:val="28"/>
          <w:lang w:val="en-US"/>
        </w:rPr>
      </w:pPr>
      <w:r>
        <w:rPr>
          <w:b/>
          <w:bCs/>
          <w:sz w:val="28"/>
          <w:szCs w:val="28"/>
        </w:rPr>
        <w:t>STUDENT NUMBER:</w:t>
      </w:r>
      <w:r>
        <w:rPr>
          <w:rFonts w:hint="default"/>
          <w:b/>
          <w:bCs/>
          <w:sz w:val="28"/>
          <w:szCs w:val="28"/>
          <w:lang w:val="en-US"/>
        </w:rPr>
        <w:t>2504395</w:t>
      </w:r>
    </w:p>
    <w:p w14:paraId="72F8A38B">
      <w:pPr>
        <w:jc w:val="center"/>
        <w:rPr>
          <w:rFonts w:hint="default"/>
          <w:b/>
          <w:bCs/>
          <w:sz w:val="28"/>
          <w:szCs w:val="28"/>
          <w:lang w:val="en-US"/>
        </w:rPr>
      </w:pPr>
      <w:r>
        <w:rPr>
          <w:b/>
          <w:bCs/>
          <w:sz w:val="28"/>
          <w:szCs w:val="28"/>
        </w:rPr>
        <w:t>MODULE CODE</w:t>
      </w:r>
      <w:r>
        <w:rPr>
          <w:rFonts w:hint="default"/>
          <w:b/>
          <w:bCs/>
          <w:sz w:val="28"/>
          <w:szCs w:val="28"/>
          <w:lang w:val="en-US"/>
        </w:rPr>
        <w:t>:LCHS7008</w:t>
      </w:r>
    </w:p>
    <w:p w14:paraId="5D0DC479">
      <w:pPr>
        <w:jc w:val="center"/>
        <w:rPr>
          <w:rFonts w:hint="default"/>
          <w:b/>
          <w:bCs/>
          <w:sz w:val="28"/>
          <w:szCs w:val="28"/>
          <w:lang w:val="en-US"/>
        </w:rPr>
      </w:pPr>
      <w:r>
        <w:rPr>
          <w:b/>
          <w:bCs/>
          <w:sz w:val="28"/>
          <w:szCs w:val="28"/>
        </w:rPr>
        <w:t>MODULE TITLE:</w:t>
      </w:r>
      <w:r>
        <w:rPr>
          <w:rFonts w:hint="default"/>
          <w:b/>
          <w:bCs/>
          <w:sz w:val="28"/>
          <w:szCs w:val="28"/>
          <w:lang w:val="en-US"/>
        </w:rPr>
        <w:t>COMPONENT 2 Writting</w:t>
      </w:r>
    </w:p>
    <w:p w14:paraId="0AD30985">
      <w:pPr>
        <w:jc w:val="center"/>
        <w:rPr>
          <w:rFonts w:hint="default"/>
          <w:b/>
          <w:bCs/>
          <w:sz w:val="28"/>
          <w:szCs w:val="28"/>
          <w:lang w:val="en-US"/>
        </w:rPr>
      </w:pPr>
      <w:r>
        <w:rPr>
          <w:b/>
          <w:bCs/>
          <w:sz w:val="28"/>
          <w:szCs w:val="28"/>
        </w:rPr>
        <w:t>LECTURER’S NAME:</w:t>
      </w:r>
      <w:r>
        <w:rPr>
          <w:rFonts w:hint="default"/>
          <w:b/>
          <w:bCs/>
          <w:sz w:val="28"/>
          <w:szCs w:val="28"/>
          <w:lang w:val="en-US"/>
        </w:rPr>
        <w:t xml:space="preserve">Mark kane </w:t>
      </w:r>
    </w:p>
    <w:p w14:paraId="70D99FFF">
      <w:pPr>
        <w:jc w:val="center"/>
        <w:rPr>
          <w:b/>
          <w:bCs/>
          <w:sz w:val="28"/>
          <w:szCs w:val="28"/>
        </w:rPr>
      </w:pPr>
      <w:r>
        <w:rPr>
          <w:b/>
          <w:bCs/>
          <w:sz w:val="28"/>
          <w:szCs w:val="28"/>
        </w:rPr>
        <w:t xml:space="preserve">ASSIGNMENT TITLE: MENTAL HEALTH </w:t>
      </w:r>
      <w:r>
        <w:rPr>
          <w:rFonts w:hint="default"/>
          <w:b/>
          <w:bCs/>
          <w:sz w:val="28"/>
          <w:szCs w:val="28"/>
          <w:lang w:val="en-US"/>
        </w:rPr>
        <w:t>PROBLEMS</w:t>
      </w:r>
      <w:r>
        <w:rPr>
          <w:b/>
          <w:bCs/>
          <w:sz w:val="28"/>
          <w:szCs w:val="28"/>
        </w:rPr>
        <w:t xml:space="preserve"> AMONG POSTGRADUATE STUDENTS IN THE UNITED KINGDOM: CAUSES, SYMPTOMS AND STRATEGIC INTERVENTIONS</w:t>
      </w:r>
    </w:p>
    <w:p w14:paraId="2A779CE6">
      <w:pPr>
        <w:spacing w:line="276" w:lineRule="auto"/>
        <w:jc w:val="left"/>
        <w:rPr>
          <w:b/>
          <w:sz w:val="24"/>
          <w:szCs w:val="40"/>
        </w:rPr>
      </w:pPr>
      <w:r>
        <w:br w:type="page"/>
      </w:r>
    </w:p>
    <w:sdt>
      <w:sdtPr>
        <w:rPr>
          <w:rFonts w:ascii="Times New Roman" w:hAnsi="Times New Roman" w:cs="Times New Roman"/>
          <w:b/>
          <w:bCs/>
          <w:color w:val="000000" w:themeColor="text1"/>
          <w:sz w:val="28"/>
          <w:szCs w:val="28"/>
          <w14:textFill>
            <w14:solidFill>
              <w14:schemeClr w14:val="tx1"/>
            </w14:solidFill>
          </w14:textFill>
        </w:rPr>
        <w:id w:val="417367725"/>
        <w:docPartObj>
          <w:docPartGallery w:val="Table of Contents"/>
          <w:docPartUnique/>
        </w:docPartObj>
      </w:sdtPr>
      <w:sdtEndPr>
        <w:rPr>
          <w:rFonts w:ascii="Arial" w:hAnsi="Arial" w:eastAsia="Arial" w:cs="Arial"/>
          <w:b/>
          <w:bCs/>
          <w:color w:val="000000" w:themeColor="text1"/>
          <w:sz w:val="22"/>
          <w:szCs w:val="22"/>
          <w:lang w:val="en" w:eastAsia="en-IN"/>
          <w14:textFill>
            <w14:solidFill>
              <w14:schemeClr w14:val="tx1"/>
            </w14:solidFill>
          </w14:textFill>
        </w:rPr>
      </w:sdtEndPr>
      <w:sdtContent>
        <w:p w14:paraId="1E109364">
          <w:pPr>
            <w:pStyle w:val="20"/>
            <w:spacing w:line="360" w:lineRule="auto"/>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CONTENTS</w:t>
          </w:r>
        </w:p>
        <w:p w14:paraId="5B2C4544">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TOC \o "1-3" \h \z \u </w:instrText>
          </w:r>
          <w:r>
            <w:fldChar w:fldCharType="separate"/>
          </w:r>
          <w:r>
            <w:fldChar w:fldCharType="begin"/>
          </w:r>
          <w:r>
            <w:instrText xml:space="preserve"> HYPERLINK \l "_Toc227446403" </w:instrText>
          </w:r>
          <w:r>
            <w:fldChar w:fldCharType="separate"/>
          </w:r>
          <w:r>
            <w:rPr>
              <w:rStyle w:val="12"/>
            </w:rPr>
            <w:t>1. Introduction and Background</w:t>
          </w:r>
          <w:r>
            <w:tab/>
          </w:r>
          <w:r>
            <w:fldChar w:fldCharType="begin"/>
          </w:r>
          <w:r>
            <w:instrText xml:space="preserve"> PAGEREF _Toc227446403 \h </w:instrText>
          </w:r>
          <w:r>
            <w:fldChar w:fldCharType="separate"/>
          </w:r>
          <w:r>
            <w:t>3</w:t>
          </w:r>
          <w:r>
            <w:fldChar w:fldCharType="end"/>
          </w:r>
          <w:r>
            <w:fldChar w:fldCharType="end"/>
          </w:r>
        </w:p>
        <w:p w14:paraId="4C6A37F1">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"_Toc227446404" </w:instrText>
          </w:r>
          <w:r>
            <w:fldChar w:fldCharType="separate"/>
          </w:r>
          <w:r>
            <w:rPr>
              <w:rStyle w:val="12"/>
            </w:rPr>
            <w:t>2. Prevalence of the Problem</w:t>
          </w:r>
          <w:r>
            <w:tab/>
          </w:r>
          <w:r>
            <w:fldChar w:fldCharType="begin"/>
          </w:r>
          <w:r>
            <w:instrText xml:space="preserve"> PAGEREF _Toc227446404 \h </w:instrText>
          </w:r>
          <w:r>
            <w:fldChar w:fldCharType="separate"/>
          </w:r>
          <w:r>
            <w:t>3</w:t>
          </w:r>
          <w:r>
            <w:fldChar w:fldCharType="end"/>
          </w:r>
          <w:r>
            <w:fldChar w:fldCharType="end"/>
          </w:r>
        </w:p>
        <w:p w14:paraId="21F0E428">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"_Toc227446405" </w:instrText>
          </w:r>
          <w:r>
            <w:fldChar w:fldCharType="separate"/>
          </w:r>
          <w:r>
            <w:rPr>
              <w:rStyle w:val="12"/>
            </w:rPr>
            <w:t>3. Literature Review</w:t>
          </w:r>
          <w:r>
            <w:tab/>
          </w:r>
          <w:r>
            <w:fldChar w:fldCharType="begin"/>
          </w:r>
          <w:r>
            <w:instrText xml:space="preserve"> PAGEREF _Toc227446405 \h </w:instrText>
          </w:r>
          <w:r>
            <w:fldChar w:fldCharType="separate"/>
          </w:r>
          <w:r>
            <w:t>4</w:t>
          </w:r>
          <w:r>
            <w:fldChar w:fldCharType="end"/>
          </w:r>
          <w:r>
            <w:fldChar w:fldCharType="end"/>
          </w:r>
        </w:p>
        <w:p w14:paraId="316D9093">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"_Toc227446406" </w:instrText>
          </w:r>
          <w:r>
            <w:fldChar w:fldCharType="separate"/>
          </w:r>
          <w:r>
            <w:rPr>
              <w:rStyle w:val="12"/>
            </w:rPr>
            <w:t>3.1 Causes of Mental Health Disorders</w:t>
          </w:r>
          <w:r>
            <w:tab/>
          </w:r>
          <w:r>
            <w:fldChar w:fldCharType="begin"/>
          </w:r>
          <w:r>
            <w:instrText xml:space="preserve"> PAGEREF _Toc227446406 \h </w:instrText>
          </w:r>
          <w:r>
            <w:fldChar w:fldCharType="separate"/>
          </w:r>
          <w:r>
            <w:t>4</w:t>
          </w:r>
          <w:r>
            <w:fldChar w:fldCharType="end"/>
          </w:r>
          <w:r>
            <w:fldChar w:fldCharType="end"/>
          </w:r>
        </w:p>
        <w:p w14:paraId="53501A2A">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"_Toc227446407" </w:instrText>
          </w:r>
          <w:r>
            <w:fldChar w:fldCharType="separate"/>
          </w:r>
          <w:r>
            <w:rPr>
              <w:rStyle w:val="12"/>
            </w:rPr>
            <w:t>3.2 Symptoms and Impact</w:t>
          </w:r>
          <w:r>
            <w:tab/>
          </w:r>
          <w:r>
            <w:fldChar w:fldCharType="begin"/>
          </w:r>
          <w:r>
            <w:instrText xml:space="preserve"> PAGEREF _Toc227446407 \h </w:instrText>
          </w:r>
          <w:r>
            <w:fldChar w:fldCharType="separate"/>
          </w:r>
          <w:r>
            <w:t>5</w:t>
          </w:r>
          <w:r>
            <w:fldChar w:fldCharType="end"/>
          </w:r>
          <w:r>
            <w:fldChar w:fldCharType="end"/>
          </w:r>
        </w:p>
        <w:p w14:paraId="43089107">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"_Toc227446408" </w:instrText>
          </w:r>
          <w:r>
            <w:fldChar w:fldCharType="separate"/>
          </w:r>
          <w:r>
            <w:rPr>
              <w:rStyle w:val="12"/>
            </w:rPr>
            <w:t>3.3 Barriers to Help-Seeking</w:t>
          </w:r>
          <w:r>
            <w:tab/>
          </w:r>
          <w:r>
            <w:fldChar w:fldCharType="begin"/>
          </w:r>
          <w:r>
            <w:instrText xml:space="preserve"> PAGEREF _Toc227446408 \h </w:instrText>
          </w:r>
          <w:r>
            <w:fldChar w:fldCharType="separate"/>
          </w:r>
          <w:r>
            <w:t>5</w:t>
          </w:r>
          <w:r>
            <w:fldChar w:fldCharType="end"/>
          </w:r>
          <w:r>
            <w:fldChar w:fldCharType="end"/>
          </w:r>
        </w:p>
        <w:p w14:paraId="3AB0963B">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"_Toc227446409" </w:instrText>
          </w:r>
          <w:r>
            <w:fldChar w:fldCharType="separate"/>
          </w:r>
          <w:r>
            <w:rPr>
              <w:rStyle w:val="12"/>
            </w:rPr>
            <w:t>3.4 Interventions and Support Strategies</w:t>
          </w:r>
          <w:r>
            <w:tab/>
          </w:r>
          <w:r>
            <w:fldChar w:fldCharType="begin"/>
          </w:r>
          <w:r>
            <w:instrText xml:space="preserve"> PAGEREF _Toc227446409 \h </w:instrText>
          </w:r>
          <w:r>
            <w:fldChar w:fldCharType="separate"/>
          </w:r>
          <w:r>
            <w:t>5</w:t>
          </w:r>
          <w:r>
            <w:fldChar w:fldCharType="end"/>
          </w:r>
          <w:r>
            <w:fldChar w:fldCharType="end"/>
          </w:r>
        </w:p>
        <w:p w14:paraId="2380235C">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"_Toc227446410" </w:instrText>
          </w:r>
          <w:r>
            <w:fldChar w:fldCharType="separate"/>
          </w:r>
          <w:r>
            <w:rPr>
              <w:rStyle w:val="12"/>
            </w:rPr>
            <w:t>4. Rationale, Aim and Objectives</w:t>
          </w:r>
          <w:r>
            <w:tab/>
          </w:r>
          <w:r>
            <w:fldChar w:fldCharType="begin"/>
          </w:r>
          <w:r>
            <w:instrText xml:space="preserve"> PAGEREF _Toc227446410 \h </w:instrText>
          </w:r>
          <w:r>
            <w:fldChar w:fldCharType="separate"/>
          </w:r>
          <w:r>
            <w:t>6</w:t>
          </w:r>
          <w:r>
            <w:fldChar w:fldCharType="end"/>
          </w:r>
          <w:r>
            <w:fldChar w:fldCharType="end"/>
          </w:r>
        </w:p>
        <w:p w14:paraId="05D956AB">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"_Toc227446411" </w:instrText>
          </w:r>
          <w:r>
            <w:fldChar w:fldCharType="separate"/>
          </w:r>
          <w:r>
            <w:rPr>
              <w:rStyle w:val="12"/>
            </w:rPr>
            <w:t>5. Research Methodology</w:t>
          </w:r>
          <w:r>
            <w:tab/>
          </w:r>
          <w:r>
            <w:fldChar w:fldCharType="begin"/>
          </w:r>
          <w:r>
            <w:instrText xml:space="preserve"> PAGEREF _Toc227446411 \h </w:instrText>
          </w:r>
          <w:r>
            <w:fldChar w:fldCharType="separate"/>
          </w:r>
          <w:r>
            <w:t>6</w:t>
          </w:r>
          <w:r>
            <w:fldChar w:fldCharType="end"/>
          </w:r>
          <w:r>
            <w:fldChar w:fldCharType="end"/>
          </w:r>
        </w:p>
        <w:p w14:paraId="7DDE9437">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"_Toc227446412" </w:instrText>
          </w:r>
          <w:r>
            <w:fldChar w:fldCharType="separate"/>
          </w:r>
          <w:r>
            <w:rPr>
              <w:rStyle w:val="12"/>
            </w:rPr>
            <w:t>5.1 Research Philosophy and Approach</w:t>
          </w:r>
          <w:r>
            <w:tab/>
          </w:r>
          <w:r>
            <w:fldChar w:fldCharType="begin"/>
          </w:r>
          <w:r>
            <w:instrText xml:space="preserve"> PAGEREF _Toc227446412 \h </w:instrText>
          </w:r>
          <w:r>
            <w:fldChar w:fldCharType="separate"/>
          </w:r>
          <w:r>
            <w:t>6</w:t>
          </w:r>
          <w:r>
            <w:fldChar w:fldCharType="end"/>
          </w:r>
          <w:r>
            <w:fldChar w:fldCharType="end"/>
          </w:r>
        </w:p>
        <w:p w14:paraId="5EE907BA">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"_Toc227446413" </w:instrText>
          </w:r>
          <w:r>
            <w:fldChar w:fldCharType="separate"/>
          </w:r>
          <w:r>
            <w:rPr>
              <w:rStyle w:val="12"/>
            </w:rPr>
            <w:t>5.2 Research Design</w:t>
          </w:r>
          <w:r>
            <w:tab/>
          </w:r>
          <w:r>
            <w:fldChar w:fldCharType="begin"/>
          </w:r>
          <w:r>
            <w:instrText xml:space="preserve"> PAGEREF _Toc227446413 \h </w:instrText>
          </w:r>
          <w:r>
            <w:fldChar w:fldCharType="separate"/>
          </w:r>
          <w:r>
            <w:t>7</w:t>
          </w:r>
          <w:r>
            <w:fldChar w:fldCharType="end"/>
          </w:r>
          <w:r>
            <w:fldChar w:fldCharType="end"/>
          </w:r>
        </w:p>
        <w:p w14:paraId="2CDA4D41">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"_Toc227446414" </w:instrText>
          </w:r>
          <w:r>
            <w:fldChar w:fldCharType="separate"/>
          </w:r>
          <w:r>
            <w:rPr>
              <w:rStyle w:val="12"/>
            </w:rPr>
            <w:t>5.3 Sampling Strategy and Participants</w:t>
          </w:r>
          <w:r>
            <w:tab/>
          </w:r>
          <w:r>
            <w:fldChar w:fldCharType="begin"/>
          </w:r>
          <w:r>
            <w:instrText xml:space="preserve"> PAGEREF _Toc227446414 \h </w:instrText>
          </w:r>
          <w:r>
            <w:fldChar w:fldCharType="separate"/>
          </w:r>
          <w:r>
            <w:t>7</w:t>
          </w:r>
          <w:r>
            <w:fldChar w:fldCharType="end"/>
          </w:r>
          <w:r>
            <w:fldChar w:fldCharType="end"/>
          </w:r>
        </w:p>
        <w:p w14:paraId="4DD2728E">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"_Toc227446415" </w:instrText>
          </w:r>
          <w:r>
            <w:fldChar w:fldCharType="separate"/>
          </w:r>
          <w:r>
            <w:rPr>
              <w:rStyle w:val="12"/>
            </w:rPr>
            <w:t>5.4 Data Collection Methods</w:t>
          </w:r>
          <w:r>
            <w:tab/>
          </w:r>
          <w:r>
            <w:fldChar w:fldCharType="begin"/>
          </w:r>
          <w:r>
            <w:instrText xml:space="preserve"> PAGEREF _Toc227446415 \h </w:instrText>
          </w:r>
          <w:r>
            <w:fldChar w:fldCharType="separate"/>
          </w:r>
          <w:r>
            <w:t>7</w:t>
          </w:r>
          <w:r>
            <w:fldChar w:fldCharType="end"/>
          </w:r>
          <w:r>
            <w:fldChar w:fldCharType="end"/>
          </w:r>
        </w:p>
        <w:p w14:paraId="1D81976A">
          <w:pPr>
            <w:pStyle w:val="16"/>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"_Toc227446416" </w:instrText>
          </w:r>
          <w:r>
            <w:fldChar w:fldCharType="separate"/>
          </w:r>
          <w:r>
            <w:rPr>
              <w:rStyle w:val="12"/>
            </w:rPr>
            <w:t>5.5 Data Analysis Technique</w:t>
          </w:r>
          <w:r>
            <w:tab/>
          </w:r>
          <w:r>
            <w:fldChar w:fldCharType="begin"/>
          </w:r>
          <w:r>
            <w:instrText xml:space="preserve"> PAGEREF _Toc227446416 \h </w:instrText>
          </w:r>
          <w:r>
            <w:fldChar w:fldCharType="separate"/>
          </w:r>
          <w:r>
            <w:t>8</w:t>
          </w:r>
          <w:r>
            <w:fldChar w:fldCharType="end"/>
          </w:r>
          <w:r>
            <w:fldChar w:fldCharType="end"/>
          </w:r>
        </w:p>
        <w:p w14:paraId="0F9A9195">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"_Toc227446417" </w:instrText>
          </w:r>
          <w:r>
            <w:fldChar w:fldCharType="separate"/>
          </w:r>
          <w:r>
            <w:rPr>
              <w:rStyle w:val="12"/>
            </w:rPr>
            <w:t>6. Ethical Considerations</w:t>
          </w:r>
          <w:r>
            <w:tab/>
          </w:r>
          <w:r>
            <w:fldChar w:fldCharType="begin"/>
          </w:r>
          <w:r>
            <w:instrText xml:space="preserve"> PAGEREF _Toc227446417 \h </w:instrText>
          </w:r>
          <w:r>
            <w:fldChar w:fldCharType="separate"/>
          </w:r>
          <w:r>
            <w:t>9</w:t>
          </w:r>
          <w:r>
            <w:fldChar w:fldCharType="end"/>
          </w:r>
          <w:r>
            <w:fldChar w:fldCharType="end"/>
          </w:r>
        </w:p>
        <w:p w14:paraId="37CFACF6">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"_Toc227446418" </w:instrText>
          </w:r>
          <w:r>
            <w:fldChar w:fldCharType="separate"/>
          </w:r>
          <w:r>
            <w:rPr>
              <w:rStyle w:val="12"/>
            </w:rPr>
            <w:t>7. Implications of the Research</w:t>
          </w:r>
          <w:r>
            <w:tab/>
          </w:r>
          <w:r>
            <w:fldChar w:fldCharType="begin"/>
          </w:r>
          <w:r>
            <w:instrText xml:space="preserve"> PAGEREF _Toc227446418 \h </w:instrText>
          </w:r>
          <w:r>
            <w:fldChar w:fldCharType="separate"/>
          </w:r>
          <w:r>
            <w:t>9</w:t>
          </w:r>
          <w:r>
            <w:fldChar w:fldCharType="end"/>
          </w:r>
          <w:r>
            <w:fldChar w:fldCharType="end"/>
          </w:r>
        </w:p>
        <w:p w14:paraId="352B3D2C">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"_Toc227446419" </w:instrText>
          </w:r>
          <w:r>
            <w:fldChar w:fldCharType="separate"/>
          </w:r>
          <w:r>
            <w:rPr>
              <w:rStyle w:val="12"/>
            </w:rPr>
            <w:t>8. Plan of Work and Time Schedule (Gantt Chart)</w:t>
          </w:r>
          <w:r>
            <w:tab/>
          </w:r>
          <w:r>
            <w:fldChar w:fldCharType="begin"/>
          </w:r>
          <w:r>
            <w:instrText xml:space="preserve"> PAGEREF _Toc227446419 \h </w:instrText>
          </w:r>
          <w:r>
            <w:fldChar w:fldCharType="separate"/>
          </w:r>
          <w:r>
            <w:t>10</w:t>
          </w:r>
          <w:r>
            <w:fldChar w:fldCharType="end"/>
          </w:r>
          <w:r>
            <w:fldChar w:fldCharType="end"/>
          </w:r>
        </w:p>
        <w:p w14:paraId="56D698B9">
          <w:pPr>
            <w:pStyle w:val="15"/>
            <w:tabs>
              <w:tab w:val="right" w:leader="dot" w:pos="9350"/>
            </w:tabs>
            <w:rPr>
              <w:rFonts w:asciiTheme="minorHAnsi" w:hAnsiTheme="minorHAnsi" w:eastAsiaTheme="minorEastAsia" w:cstheme="minorBidi"/>
              <w:color w:val="auto"/>
              <w:kern w:val="2"/>
              <w:sz w:val="24"/>
              <w:szCs w:val="24"/>
              <w:lang w:val="en-IN"/>
              <w14:ligatures w14:val="standardContextual"/>
            </w:rPr>
          </w:pPr>
          <w:r>
            <w:fldChar w:fldCharType="begin"/>
          </w:r>
          <w:r>
            <w:instrText xml:space="preserve"> HYPERLINK \l "_Toc227446420" </w:instrText>
          </w:r>
          <w:r>
            <w:fldChar w:fldCharType="separate"/>
          </w:r>
          <w:r>
            <w:rPr>
              <w:rStyle w:val="12"/>
            </w:rPr>
            <w:t>References</w:t>
          </w:r>
          <w:r>
            <w:tab/>
          </w:r>
          <w:r>
            <w:fldChar w:fldCharType="begin"/>
          </w:r>
          <w:r>
            <w:instrText xml:space="preserve"> PAGEREF _Toc227446420 \h </w:instrText>
          </w:r>
          <w:r>
            <w:fldChar w:fldCharType="separate"/>
          </w:r>
          <w:r>
            <w:t>11</w:t>
          </w:r>
          <w:r>
            <w:fldChar w:fldCharType="end"/>
          </w:r>
          <w:r>
            <w:fldChar w:fldCharType="end"/>
          </w:r>
        </w:p>
        <w:p w14:paraId="7CF334D9">
          <w:r>
            <w:rPr>
              <w:b/>
              <w:bCs/>
            </w:rPr>
            <w:fldChar w:fldCharType="end"/>
          </w:r>
        </w:p>
      </w:sdtContent>
    </w:sdt>
    <w:p w14:paraId="08D59AFC">
      <w:pPr>
        <w:spacing w:line="276" w:lineRule="auto"/>
        <w:jc w:val="left"/>
        <w:rPr>
          <w:b/>
          <w:sz w:val="24"/>
          <w:szCs w:val="40"/>
        </w:rPr>
      </w:pPr>
      <w:r>
        <w:br w:type="page"/>
      </w:r>
    </w:p>
    <w:p w14:paraId="46B6ED03">
      <w:pPr>
        <w:pStyle w:val="2"/>
      </w:pPr>
      <w:bookmarkStart w:id="0" w:name="_Toc227446403"/>
      <w:r>
        <w:t>1. Introduction and Background</w:t>
      </w:r>
      <w:bookmarkEnd w:id="0"/>
    </w:p>
    <w:p w14:paraId="72AF712A">
      <w:r>
        <w:t xml:space="preserve">Mental health has become a serious issue in the context of higher education especially among post-graduating learners in the United Kingdom. Within the past ten years, more students have been reportedly suffering psychological distress (Auerbach </w:t>
      </w:r>
      <w:r>
        <w:rPr>
          <w:i/>
          <w:iCs/>
        </w:rPr>
        <w:t>et al</w:t>
      </w:r>
      <w:r>
        <w:t>., 2018). The NHS England (2025) reports that the assessment of common mental health disorders among young individuals aged 16-24 has never been so high in history. This is a worrying trend because postgraduate students are majorly within this age range (King’s College London, 2023).</w:t>
      </w:r>
    </w:p>
    <w:p w14:paraId="4F9559BC">
      <w:r>
        <w:t xml:space="preserve">Although there is more institutional awareness, the magnitude of the problem is underestimated (Farrier </w:t>
      </w:r>
      <w:r>
        <w:rPr>
          <w:i/>
          <w:iCs/>
        </w:rPr>
        <w:t>et al.,</w:t>
      </w:r>
      <w:r>
        <w:t xml:space="preserve"> 2024). Lewis and Stiebahl (2025) state that mental health status is informally reported by about 5 to 6 of students, but the surveys indicate more (more than 50%) of students experience such symptoms during their studies. It further questions the efficacy of institutional monitoring systems which may not be able to reflect the actual level of distress of students.</w:t>
      </w:r>
    </w:p>
    <w:p w14:paraId="2FA05658">
      <w:r>
        <w:t xml:space="preserve">The postgraduate students have their own set of challenges. They are increased research pressure, financial insecurities, and questionability of career advancements. In Milicev </w:t>
      </w:r>
      <w:r>
        <w:rPr>
          <w:i/>
          <w:iCs/>
        </w:rPr>
        <w:t>et al</w:t>
      </w:r>
      <w:r>
        <w:t xml:space="preserve">. (2023), greater rates of psychological distress among postgraduate researchers were identified as opposed to the general population. </w:t>
      </w:r>
    </w:p>
    <w:p w14:paraId="351D27AA">
      <w:r>
        <w:t xml:space="preserve">The effects of the COVID-19 pandemic have enhanced pre-existing problems (Bäuerle </w:t>
      </w:r>
      <w:r>
        <w:rPr>
          <w:i/>
          <w:iCs/>
        </w:rPr>
        <w:t>et al.,</w:t>
      </w:r>
      <w:r>
        <w:t xml:space="preserve"> 2020). According to Zile </w:t>
      </w:r>
      <w:r>
        <w:rPr>
          <w:i/>
          <w:iCs/>
        </w:rPr>
        <w:t>et al</w:t>
      </w:r>
      <w:r>
        <w:t>. (2023), the most apparent effects of academic progressions deteriorate include heightened isolation, research disruption, and lack of clarity about the future academic progression. According to the Office for Students (2023), there is more investment in supplying mental health, but even in that regard, the demand is higher than supply.</w:t>
      </w:r>
    </w:p>
    <w:p w14:paraId="3A87795A">
      <w:r>
        <w:t xml:space="preserve">Broglia </w:t>
      </w:r>
      <w:r>
        <w:rPr>
          <w:i/>
          <w:iCs/>
        </w:rPr>
        <w:t>et al.</w:t>
      </w:r>
      <w:r>
        <w:t xml:space="preserve"> (2021) prove that a significant number of students do not request assistance because they fear to be stigmatized, are unaware of these issues, or they are worried about confidentiality. This implies that the availability of support services cannot be adequate without dealing with institutional and cultural obstacles (Hunt and Eisenberg, 2010).</w:t>
      </w:r>
    </w:p>
    <w:p w14:paraId="7A474E4E">
      <w:r>
        <w:t xml:space="preserve">On the whole, the shifting trend of increased mental health issues in postgraduate students implies a multifaceted interplay between academic, social and institutional factors (McLafferty </w:t>
      </w:r>
      <w:r>
        <w:rPr>
          <w:i/>
          <w:iCs/>
        </w:rPr>
        <w:t>et al</w:t>
      </w:r>
      <w:r>
        <w:t>., 2021). This paper aims to critically review such factors and analyze the efficacy of existing measures to enhance mental health outcomes in the UK higher education system.</w:t>
      </w:r>
    </w:p>
    <w:p w14:paraId="1C93F3A9">
      <w:pPr>
        <w:pStyle w:val="2"/>
      </w:pPr>
      <w:bookmarkStart w:id="1" w:name="_Toc227446404"/>
      <w:r>
        <w:t>2. Prevalence of the Problem</w:t>
      </w:r>
      <w:bookmarkEnd w:id="1"/>
    </w:p>
    <w:p w14:paraId="72F74E78">
      <w:r>
        <w:t xml:space="preserve">Mental health disorders spread among university students have become a significant issue (Thorley, 2017). According to data provided by the Office for National Statistics (2023), about 25 per cent of young adults report a common mental health disorder. This number emphasizes the wider societal backdrop in which student mental health aspects are placed (Yang </w:t>
      </w:r>
      <w:r>
        <w:rPr>
          <w:i/>
          <w:iCs/>
        </w:rPr>
        <w:t>et al.,</w:t>
      </w:r>
      <w:r>
        <w:t xml:space="preserve"> 2022).</w:t>
      </w:r>
      <w:r>
        <w:tab/>
      </w:r>
    </w:p>
    <w:p w14:paraId="148A34A7">
      <w:r>
        <w:t>According to the report by Lewis and Stiebahl (2025), half of students at most display signs of mental health issues, but few of them officially report them. It is this inconsistency that indicates that data given by institutions does a gross misrepresentation of the magnitude of the issue. It also points out that a lot of students find themselves lacking in the set of the support they might need.</w:t>
      </w:r>
    </w:p>
    <w:p w14:paraId="1512A33E">
      <w:r>
        <w:t xml:space="preserve">The situation is of special concern among postgraduate students. According to Milicev </w:t>
      </w:r>
      <w:r>
        <w:rPr>
          <w:i/>
          <w:iCs/>
        </w:rPr>
        <w:t>et al.</w:t>
      </w:r>
      <w:r>
        <w:t xml:space="preserve"> (2023), postgraduate researchers report high rates of anxiety, depression, and burnout, and the majority of them experience the symptoms that are considered clinical. This implies that postgraduate students might experience severe psychological issues than undergraduate students (Hazell </w:t>
      </w:r>
      <w:r>
        <w:rPr>
          <w:i/>
          <w:iCs/>
        </w:rPr>
        <w:t>et al.,</w:t>
      </w:r>
      <w:r>
        <w:t xml:space="preserve"> 2020). These results may be related to the independent nature of the study in postgraduates and the challenge of coming up with original research.</w:t>
      </w:r>
    </w:p>
    <w:p w14:paraId="070D3A53">
      <w:r>
        <w:t xml:space="preserve">These findings are backed by evidence on a global scale. According to Lipson </w:t>
      </w:r>
      <w:r>
        <w:rPr>
          <w:i/>
          <w:iCs/>
        </w:rPr>
        <w:t>et al.</w:t>
      </w:r>
      <w:r>
        <w:t xml:space="preserve"> (2022), the number of people with mental health problems among university students is constantly growing in various countries, suggesting that the issue is not specific to the UK. But there are more issues to take into account within the UK context, such as increasing living costs and tuition fees, which can worsen the state of finances of students.</w:t>
      </w:r>
    </w:p>
    <w:p w14:paraId="2183297E">
      <w:r>
        <w:t xml:space="preserve">The mental health outcomes of various student populations also show some marked disparities. Liverpool </w:t>
      </w:r>
      <w:r>
        <w:rPr>
          <w:i/>
          <w:iCs/>
        </w:rPr>
        <w:t>et al.</w:t>
      </w:r>
      <w:r>
        <w:t xml:space="preserve"> (2024) demonstrate that the students with marginalised backgrounds also have more significant psychological distress because of the reasons, including financial hardships and social isolation. This leads to an idea that there is no even distribution of mental health problems, and they may be concentrated in the groups at risk.</w:t>
      </w:r>
    </w:p>
    <w:p w14:paraId="640182FF">
      <w:r>
        <w:t>On the whole, these findings indicate that mental health issues are widespread among postgraduate students and are on the rise. The prevalence difference between reported and actual shows the importance of better data collection and specific interventions.</w:t>
      </w:r>
    </w:p>
    <w:p w14:paraId="290B4EE6">
      <w:pPr>
        <w:pStyle w:val="2"/>
      </w:pPr>
      <w:bookmarkStart w:id="2" w:name="_Toc227446405"/>
      <w:r>
        <w:t>3. Literature Review</w:t>
      </w:r>
      <w:bookmarkEnd w:id="2"/>
    </w:p>
    <w:p w14:paraId="31DE945D">
      <w:pPr>
        <w:pStyle w:val="3"/>
      </w:pPr>
      <w:bookmarkStart w:id="3" w:name="_Toc227446406"/>
      <w:r>
        <w:t>3.1 Causes of Mental Health Disorders</w:t>
      </w:r>
      <w:bookmarkEnd w:id="3"/>
    </w:p>
    <w:p w14:paraId="42EE8036">
      <w:r>
        <w:t xml:space="preserve">The issue of academic pressure is always a significant one that is pointed out (Pascoe </w:t>
      </w:r>
      <w:r>
        <w:rPr>
          <w:i/>
          <w:iCs/>
        </w:rPr>
        <w:t>et al.,</w:t>
      </w:r>
      <w:r>
        <w:t xml:space="preserve"> 2019). According to Friedrich </w:t>
      </w:r>
      <w:r>
        <w:rPr>
          <w:i/>
          <w:iCs/>
        </w:rPr>
        <w:t>et al.</w:t>
      </w:r>
      <w:r>
        <w:t xml:space="preserve"> (2023), the demands of the workload, performance expectations, and the lack of certainty in future employment are causing a lot of stress to postgraduate students. It implies that the psychological distress could be a result of academic structure itself.</w:t>
      </w:r>
    </w:p>
    <w:p w14:paraId="52B97BF2">
      <w:r>
        <w:t xml:space="preserve">Another significant consideration is financial stress (Grubic </w:t>
      </w:r>
      <w:r>
        <w:rPr>
          <w:i/>
          <w:iCs/>
        </w:rPr>
        <w:t>et al.,</w:t>
      </w:r>
      <w:r>
        <w:t xml:space="preserve"> 2020). Increase in cost of living and rise in tuition fees in the UK has put a strain on students, especially those who do not have a stable source of funds. Such economic instability may lead to anxiety and decreased wellbeing (Kecojevic </w:t>
      </w:r>
      <w:r>
        <w:rPr>
          <w:i/>
          <w:iCs/>
        </w:rPr>
        <w:t>et al.,</w:t>
      </w:r>
      <w:r>
        <w:t xml:space="preserve"> 2020).</w:t>
      </w:r>
    </w:p>
    <w:p w14:paraId="30D4D512">
      <w:r>
        <w:t xml:space="preserve">The supervisory relationships are also important in influencing student experiences. Mavrogalou-Foti </w:t>
      </w:r>
      <w:r>
        <w:rPr>
          <w:i/>
          <w:iCs/>
        </w:rPr>
        <w:t>et al.</w:t>
      </w:r>
      <w:r>
        <w:t xml:space="preserve"> (2024) prove that the supportive supervision is linked to the improved mental health outcomes. Poor directing relationships, on the contrary, may cause the enhancement of stress and isolation. This implies that human relations in an academic context are equally significant as the organization.</w:t>
      </w:r>
    </w:p>
    <w:p w14:paraId="6FFEEB6D">
      <w:r>
        <w:t xml:space="preserve">These difficulties have been compounded due to the effects of the COVID-19 pandemic (Browning </w:t>
      </w:r>
      <w:r>
        <w:rPr>
          <w:i/>
          <w:iCs/>
        </w:rPr>
        <w:t>et al.,</w:t>
      </w:r>
      <w:r>
        <w:t xml:space="preserve"> 2022). Student mental health was severely impacted by these disruptions in research activities, and significantly by isolation (Prowse </w:t>
      </w:r>
      <w:r>
        <w:rPr>
          <w:i/>
          <w:iCs/>
        </w:rPr>
        <w:t>et al.,</w:t>
      </w:r>
      <w:r>
        <w:t xml:space="preserve"> 2021). Although these effects are probably short-lived, they depict how vulnerable postgraduate students are to external shocks.</w:t>
      </w:r>
    </w:p>
    <w:p w14:paraId="219AB746">
      <w:pPr>
        <w:pStyle w:val="3"/>
      </w:pPr>
      <w:bookmarkStart w:id="4" w:name="_Toc227446407"/>
      <w:r>
        <w:t>3.2 Symptoms and Impact</w:t>
      </w:r>
      <w:bookmarkEnd w:id="4"/>
    </w:p>
    <w:p w14:paraId="4775C9E0">
      <w:r>
        <w:t xml:space="preserve">Mental disabilities associated with postgraduate students are usually in the form of anxiety, depression, stress and burnout (Marelli </w:t>
      </w:r>
      <w:r>
        <w:rPr>
          <w:i/>
          <w:iCs/>
        </w:rPr>
        <w:t>et al.,</w:t>
      </w:r>
      <w:r>
        <w:t xml:space="preserve"> 2020). According to Lipson </w:t>
      </w:r>
      <w:r>
        <w:rPr>
          <w:i/>
          <w:iCs/>
        </w:rPr>
        <w:t>et al</w:t>
      </w:r>
      <w:r>
        <w:t>. (2022), a new problem seems to be the psychological distress of university students, with more and more students addressing services. These symptoms may have dire academic repercussions in the form of lowered productivity, slowed completion and increased dropout channels.</w:t>
      </w:r>
    </w:p>
    <w:p w14:paraId="0CCE813A">
      <w:pPr>
        <w:pStyle w:val="3"/>
      </w:pPr>
      <w:bookmarkStart w:id="5" w:name="_Toc227446408"/>
      <w:r>
        <w:t>3.3 Barriers to Help-Seeking</w:t>
      </w:r>
      <w:bookmarkEnd w:id="5"/>
    </w:p>
    <w:p w14:paraId="6940424B">
      <w:r>
        <w:t xml:space="preserve">Although the prevalence of mental health issues is very high, not all students seek help. According to Broglia </w:t>
      </w:r>
      <w:r>
        <w:rPr>
          <w:i/>
          <w:iCs/>
        </w:rPr>
        <w:t>et al.</w:t>
      </w:r>
      <w:r>
        <w:t xml:space="preserve"> (2021), one of the critical obstacles is stigma, and students tend to be hesitant to reveal mental issues. Help-seeking behaviour is also hindered by lack of awareness on services available. Moreover, long queues and access to scanty resources at universities may deter the students from having access to support.</w:t>
      </w:r>
    </w:p>
    <w:p w14:paraId="613C283C">
      <w:pPr>
        <w:pStyle w:val="3"/>
      </w:pPr>
      <w:bookmarkStart w:id="6" w:name="_Toc227446409"/>
      <w:r>
        <w:t>3.4 Interventions and Support Strategies</w:t>
      </w:r>
      <w:bookmarkEnd w:id="6"/>
    </w:p>
    <w:p w14:paraId="4F03055D">
      <w:r>
        <w:t xml:space="preserve">Colleges have implemented preventive measures to manage student mental health such as corrective measures through counselling services and wellbeing programmes (Duffy </w:t>
      </w:r>
      <w:r>
        <w:rPr>
          <w:i/>
          <w:iCs/>
        </w:rPr>
        <w:t>et al.,</w:t>
      </w:r>
      <w:r>
        <w:t xml:space="preserve"> 2019). According to Office for Student (2023), more investment has been made on such services. But, Bennett </w:t>
      </w:r>
      <w:r>
        <w:rPr>
          <w:i/>
          <w:iCs/>
        </w:rPr>
        <w:t>et al.</w:t>
      </w:r>
      <w:r>
        <w:t xml:space="preserve"> (2024) believe that most interventions are aimed at treatment, not prevention, which is why they are not effective. This implies that encouraging more active measures must be taken to eliminate the causes of mental health problems (Bolton </w:t>
      </w:r>
      <w:r>
        <w:rPr>
          <w:i/>
          <w:iCs/>
        </w:rPr>
        <w:t>et al.,</w:t>
      </w:r>
      <w:r>
        <w:t xml:space="preserve"> 2023).</w:t>
      </w:r>
    </w:p>
    <w:p w14:paraId="41F18FAF">
      <w:pPr>
        <w:pStyle w:val="2"/>
      </w:pPr>
      <w:bookmarkStart w:id="7" w:name="_Toc227446410"/>
      <w:r>
        <w:t>4. Rationale, Aim and Objectives</w:t>
      </w:r>
      <w:bookmarkEnd w:id="7"/>
    </w:p>
    <w:p w14:paraId="6B2210AD">
      <w:r>
        <w:t>The growing number of postgraduate students exposed to mental health conditions is a gap in the research and policy agenda. Whereas previous research focuses on individual variables, prevalence information, how a factor causes impact, and how a factor is influenced by interventions are not extensively integrated into one document.</w:t>
      </w:r>
    </w:p>
    <w:p w14:paraId="14E6B077">
      <w:pPr>
        <w:rPr>
          <w:b/>
          <w:bCs/>
        </w:rPr>
      </w:pPr>
      <w:r>
        <w:rPr>
          <w:b/>
          <w:bCs/>
        </w:rPr>
        <w:t>Aim</w:t>
      </w:r>
    </w:p>
    <w:p w14:paraId="710C8332">
      <w:r>
        <w:t>To critically scrutinize reasons, symptoms and efficacy of existing interventions concerning mental health issues in postgraduate students in the United Kingdom.</w:t>
      </w:r>
    </w:p>
    <w:p w14:paraId="0811F753">
      <w:pPr>
        <w:rPr>
          <w:b/>
          <w:bCs/>
        </w:rPr>
      </w:pPr>
      <w:r>
        <w:rPr>
          <w:b/>
          <w:bCs/>
        </w:rPr>
        <w:t>Objectives</w:t>
      </w:r>
    </w:p>
    <w:p w14:paraId="3449DCD5">
      <w:pPr>
        <w:pStyle w:val="19"/>
        <w:numPr>
          <w:ilvl w:val="0"/>
          <w:numId w:val="1"/>
        </w:numPr>
      </w:pPr>
      <w:r>
        <w:t>To determine the level of mental health disorders in postgraduate students in the UK.</w:t>
      </w:r>
    </w:p>
    <w:p w14:paraId="10A99B44">
      <w:pPr>
        <w:pStyle w:val="19"/>
        <w:numPr>
          <w:ilvl w:val="0"/>
          <w:numId w:val="1"/>
        </w:numPr>
      </w:pPr>
      <w:r>
        <w:t>To analyse key contributing factors such as academic pressure and financial stress.</w:t>
      </w:r>
    </w:p>
    <w:p w14:paraId="55B648E8">
      <w:pPr>
        <w:pStyle w:val="19"/>
        <w:numPr>
          <w:ilvl w:val="0"/>
          <w:numId w:val="1"/>
        </w:numPr>
      </w:pPr>
      <w:r>
        <w:t>To determine how mental health problems affect academic performance.</w:t>
      </w:r>
    </w:p>
    <w:p w14:paraId="4D17D7E1">
      <w:pPr>
        <w:pStyle w:val="19"/>
        <w:numPr>
          <w:ilvl w:val="0"/>
          <w:numId w:val="1"/>
        </w:numPr>
      </w:pPr>
      <w:r>
        <w:t>To investigate the usefulness of the support systems in place and offer suggestions.</w:t>
      </w:r>
    </w:p>
    <w:p w14:paraId="26C1A649">
      <w:pPr>
        <w:pStyle w:val="2"/>
      </w:pPr>
      <w:bookmarkStart w:id="8" w:name="_Toc227446411"/>
      <w:r>
        <w:t>5. Research Methodology</w:t>
      </w:r>
      <w:bookmarkEnd w:id="8"/>
    </w:p>
    <w:p w14:paraId="6E15064C">
      <w:pPr>
        <w:pStyle w:val="3"/>
      </w:pPr>
      <w:bookmarkStart w:id="9" w:name="_Toc227446412"/>
      <w:r>
        <w:t>5.1 Research Philosophy and Approach</w:t>
      </w:r>
      <w:bookmarkEnd w:id="9"/>
    </w:p>
    <w:p w14:paraId="379F9243">
      <w:r>
        <w:t>The present research is based on interpretivist research philosophy that is aimed at the subjective experiences and perceptions of people. Interpretivism is most suitable to this research because it is a multifaceted and personal phenomenon, and the field of mental health cannot be entirely encapsulated utilizing numerical results exclusively. This method will enable the researcher to delve into how postgraduate students perceive their experiences of stress, anxiety and wellbeing in the wake of higher education.</w:t>
      </w:r>
    </w:p>
    <w:p w14:paraId="409DF467">
      <w:r>
        <w:t>To get a deep understanding of what is experienced by postgraduate students, a qualitative research method shall be used. The qualitative techniques are appropriate in exploring complicated social problems, as it helps the researcher to get in-depth views and uncovers the patterns. This study seeks to add to the body of research focused on the wealth of empirical studies in the field by offering more detailed and experience-driven data since most studies in the past have been quantitative.</w:t>
      </w:r>
    </w:p>
    <w:p w14:paraId="06B5DFC6">
      <w:pPr>
        <w:pStyle w:val="3"/>
      </w:pPr>
      <w:bookmarkStart w:id="10" w:name="_Toc227446413"/>
      <w:r>
        <w:t>5.2 Research Design</w:t>
      </w:r>
      <w:bookmarkEnd w:id="10"/>
    </w:p>
    <w:p w14:paraId="0A5665EE">
      <w:r>
        <w:t>It will employ cross-sectional qualitative design where data will be gathered at one point in time. The suited design is suitable because it enables the researcher to investigate what is happening currently in the mental health experiences of postgraduate students without the need to follow them over a long period.</w:t>
      </w:r>
    </w:p>
    <w:p w14:paraId="6CD40964">
      <w:r>
        <w:t>One of the strengths of this design is its capacity to provide a snapshot on the experiences of the students in the existing socio-economic and academic environment. Nonetheless, there is a limitation, in that it cannot be used to examine changes through time. Although this is a constraint, its design is appropriate due to the exploratory nature of this study.</w:t>
      </w:r>
    </w:p>
    <w:p w14:paraId="1D79212A">
      <w:pPr>
        <w:pStyle w:val="3"/>
      </w:pPr>
      <w:bookmarkStart w:id="11" w:name="_Toc227446414"/>
      <w:r>
        <w:t>5.3 Sampling Strategy and Participants</w:t>
      </w:r>
      <w:bookmarkEnd w:id="11"/>
    </w:p>
    <w:p w14:paraId="4AFA0805">
      <w:r>
        <w:t>The selection of relevant postgraduate research participants will be done through a purposive sampling strategy in selecting individuals who have pertinent experience of mental health struggles. This method will make the data gathered directly relevant to objectives of the research.</w:t>
      </w:r>
    </w:p>
    <w:p w14:paraId="751297C2">
      <w:r>
        <w:t>The sample will be composed of 10-15 post-graduation students in the UK universities. Participants can consist of taught and research students to give a larger picture. The inclusion criteria will involve the participant - being currently enrolled or having recently graduated postgraduate students who have had stress, anxiety, and or are academically facing any mental health problems.</w:t>
      </w:r>
    </w:p>
    <w:p w14:paraId="0291679B">
      <w:r>
        <w:t>The sampling method to use in this research is purposive sampling since the research is interested in in depth understanding as opposed to generalisability. Nevertheless, it might also diminish the representativeness of the results, which is also admitted as a weakness.</w:t>
      </w:r>
    </w:p>
    <w:p w14:paraId="1F404F92">
      <w:pPr>
        <w:pStyle w:val="3"/>
      </w:pPr>
      <w:bookmarkStart w:id="12" w:name="_Toc227446415"/>
      <w:r>
        <w:t>5.4 Data Collection Methods</w:t>
      </w:r>
      <w:bookmarkEnd w:id="12"/>
    </w:p>
    <w:p w14:paraId="0139589B">
      <w:r>
        <w:t>The data will be gathered through semi-structured interviews that will be flexible but at the same time assure that important topics are discussed. The style is more appropriate with sensitive issues like mental health because the participants will be able to narrate their experiences, using their own language.</w:t>
      </w:r>
    </w:p>
    <w:p w14:paraId="1008DE25">
      <w:r>
        <w:t>Online interviews will be carried out on safe platforms like Microsoft Teams or Zoom where participants can be conveniently and easily accessed. The interviews will take about 30-45 minutes each.</w:t>
      </w:r>
    </w:p>
    <w:p w14:paraId="3F3EEEE2">
      <w:pPr>
        <w:rPr>
          <w:b/>
          <w:bCs/>
        </w:rPr>
      </w:pPr>
      <w:r>
        <w:rPr>
          <w:b/>
          <w:bCs/>
        </w:rPr>
        <w:t xml:space="preserve">Interview Questions </w:t>
      </w:r>
    </w:p>
    <w:p w14:paraId="6C5F3757">
      <w:pPr>
        <w:pStyle w:val="19"/>
        <w:numPr>
          <w:ilvl w:val="0"/>
          <w:numId w:val="2"/>
        </w:numPr>
      </w:pPr>
      <w:r>
        <w:t>The interview will incorporate open-ended questions, which will include:</w:t>
      </w:r>
    </w:p>
    <w:p w14:paraId="1BDB0808">
      <w:pPr>
        <w:pStyle w:val="19"/>
        <w:numPr>
          <w:ilvl w:val="0"/>
          <w:numId w:val="2"/>
        </w:numPr>
      </w:pPr>
      <w:r>
        <w:t>What do you find to be the most stressful about postgraduate study?</w:t>
      </w:r>
    </w:p>
    <w:p w14:paraId="3CCFE576">
      <w:pPr>
        <w:pStyle w:val="19"/>
        <w:numPr>
          <w:ilvl w:val="0"/>
          <w:numId w:val="2"/>
        </w:numPr>
      </w:pPr>
      <w:r>
        <w:t>What impact does academic expectations have on your mental health?</w:t>
      </w:r>
    </w:p>
    <w:p w14:paraId="0EA2AF72">
      <w:pPr>
        <w:pStyle w:val="19"/>
        <w:numPr>
          <w:ilvl w:val="0"/>
          <w:numId w:val="2"/>
        </w:numPr>
      </w:pPr>
      <w:r>
        <w:t>How does financial strain affect your mental health?</w:t>
      </w:r>
    </w:p>
    <w:p w14:paraId="12315826">
      <w:pPr>
        <w:pStyle w:val="19"/>
        <w:numPr>
          <w:ilvl w:val="0"/>
          <w:numId w:val="2"/>
        </w:numPr>
      </w:pPr>
      <w:r>
        <w:t>What do you feel about your relationship with your supervisor, and how does it affect you in terms of wellbeing?</w:t>
      </w:r>
    </w:p>
    <w:p w14:paraId="0A0F51F8">
      <w:pPr>
        <w:pStyle w:val="19"/>
        <w:numPr>
          <w:ilvl w:val="0"/>
          <w:numId w:val="2"/>
        </w:numPr>
      </w:pPr>
      <w:r>
        <w:t>What mental health services have you used when studying?</w:t>
      </w:r>
    </w:p>
    <w:p w14:paraId="08C8585C">
      <w:pPr>
        <w:pStyle w:val="19"/>
        <w:numPr>
          <w:ilvl w:val="0"/>
          <w:numId w:val="2"/>
        </w:numPr>
      </w:pPr>
      <w:r>
        <w:t>What were the obstacles (or the reasons) that stopped you in seeking help?</w:t>
      </w:r>
    </w:p>
    <w:p w14:paraId="08F27CEB">
      <w:pPr>
        <w:pStyle w:val="19"/>
        <w:numPr>
          <w:ilvl w:val="0"/>
          <w:numId w:val="2"/>
        </w:numPr>
      </w:pPr>
      <w:r>
        <w:t>What do you think should be done to improve mental health services in the university?</w:t>
      </w:r>
    </w:p>
    <w:p w14:paraId="298865C3">
      <w:r>
        <w:t>These questions will address the research objectives directly, as the data gathered will be relevant and comprehensive.</w:t>
      </w:r>
    </w:p>
    <w:p w14:paraId="70B4B9C9">
      <w:pPr>
        <w:pStyle w:val="3"/>
      </w:pPr>
      <w:bookmarkStart w:id="13" w:name="_Toc227446416"/>
      <w:r>
        <w:t>5.5 Data Analysis Technique</w:t>
      </w:r>
      <w:bookmarkEnd w:id="13"/>
    </w:p>
    <w:p w14:paraId="60484CF4">
      <w:r>
        <w:t>The thematic analysis will be used in the analysis of the data based on the method of Braun and Clarke. The technique is common with qualitative research and suitable in identifying patterns and themes to interview data.</w:t>
      </w:r>
    </w:p>
    <w:p w14:paraId="50BD0D13">
      <w:r>
        <w:t>Analysis will be performed in a number of steps:</w:t>
      </w:r>
    </w:p>
    <w:p w14:paraId="7FAB62F9">
      <w:pPr>
        <w:pStyle w:val="19"/>
        <w:numPr>
          <w:ilvl w:val="0"/>
          <w:numId w:val="3"/>
        </w:numPr>
      </w:pPr>
      <w:r>
        <w:t>This involved familiarisation with the data by repeatedly reading interview transcripts.</w:t>
      </w:r>
    </w:p>
    <w:p w14:paraId="6D00D8D3">
      <w:pPr>
        <w:pStyle w:val="19"/>
        <w:numPr>
          <w:ilvl w:val="0"/>
          <w:numId w:val="3"/>
        </w:numPr>
      </w:pPr>
      <w:r>
        <w:t>Creation of first codes to select major ideas.</w:t>
      </w:r>
    </w:p>
    <w:p w14:paraId="548B05EC">
      <w:pPr>
        <w:pStyle w:val="19"/>
        <w:numPr>
          <w:ilvl w:val="0"/>
          <w:numId w:val="3"/>
        </w:numPr>
      </w:pPr>
      <w:r>
        <w:t>Classification of wider themes by grouping similar codes.</w:t>
      </w:r>
    </w:p>
    <w:p w14:paraId="746EFE88">
      <w:pPr>
        <w:pStyle w:val="19"/>
        <w:numPr>
          <w:ilvl w:val="0"/>
          <w:numId w:val="3"/>
        </w:numPr>
      </w:pPr>
      <w:r>
        <w:t>Themes Review and refine.</w:t>
      </w:r>
    </w:p>
    <w:p w14:paraId="61279267">
      <w:pPr>
        <w:pStyle w:val="19"/>
        <w:numPr>
          <w:ilvl w:val="0"/>
          <w:numId w:val="3"/>
        </w:numPr>
      </w:pPr>
      <w:r>
        <w:t>Discussion of research findings with reference to research objectives.</w:t>
      </w:r>
    </w:p>
    <w:p w14:paraId="1642434E">
      <w:r>
        <w:t>Thematic analysis enables the interpretation of data in a systematic and flexible way. It allows the researcher to find out common trends and distinctive views of respondents. It however depends on the interpretation of the researcher, which can entail subjectivity. To resolve this, the researcher will ensure that the coding is transparent.</w:t>
      </w:r>
    </w:p>
    <w:p w14:paraId="071CB845">
      <w:pPr>
        <w:pStyle w:val="2"/>
      </w:pPr>
      <w:bookmarkStart w:id="14" w:name="_wnroftvp2wwh" w:colFirst="0" w:colLast="0"/>
      <w:bookmarkEnd w:id="14"/>
      <w:bookmarkStart w:id="15" w:name="_Toc227446417"/>
      <w:r>
        <w:t>6. Ethical Considerations</w:t>
      </w:r>
      <w:bookmarkEnd w:id="15"/>
    </w:p>
    <w:p w14:paraId="73D5D3A1">
      <w:pPr>
        <w:rPr>
          <w:sz w:val="23"/>
          <w:szCs w:val="23"/>
        </w:rPr>
      </w:pPr>
      <w:r>
        <w:rPr>
          <w:sz w:val="23"/>
          <w:szCs w:val="23"/>
        </w:rPr>
        <w:t>In this study, ethical factors receive a lot of attention owing to the sensitivity of mental health research. The research will follow the best ethical practices to protect and safeguard the participants.</w:t>
      </w:r>
    </w:p>
    <w:p w14:paraId="6D24B9E7">
      <w:pPr>
        <w:rPr>
          <w:sz w:val="23"/>
          <w:szCs w:val="23"/>
        </w:rPr>
      </w:pPr>
      <w:r>
        <w:rPr>
          <w:sz w:val="23"/>
          <w:szCs w:val="23"/>
        </w:rPr>
        <w:t>Informed consent will be obtained from participants who will be required to participate in the study. They will be well informed on the aim of the research, stages of the research, and their prerogative to withdraw at any time, without penalty.</w:t>
      </w:r>
    </w:p>
    <w:p w14:paraId="34FCBAD8">
      <w:pPr>
        <w:rPr>
          <w:sz w:val="23"/>
          <w:szCs w:val="23"/>
        </w:rPr>
      </w:pPr>
      <w:r>
        <w:rPr>
          <w:sz w:val="23"/>
          <w:szCs w:val="23"/>
        </w:rPr>
        <w:t>Anonymous and confidentiality: The research will be conducted in a way that ensures confidentiality and anonymity. The identities of the participants will be secured using pseudonyms and all data will be kept safely in the password protected files. The researcher will be the only person who is going to access the data.</w:t>
      </w:r>
    </w:p>
    <w:p w14:paraId="5E98C7E9">
      <w:pPr>
        <w:rPr>
          <w:sz w:val="23"/>
          <w:szCs w:val="23"/>
        </w:rPr>
      </w:pPr>
      <w:r>
        <w:rPr>
          <w:sz w:val="23"/>
          <w:szCs w:val="23"/>
        </w:rPr>
        <w:t>As the participants may be emotionally distressed during the discussion of mental health experiences, they will be included with the information about particular support services, such as university counselling services and external organisations. This will make participants get support when required.</w:t>
      </w:r>
    </w:p>
    <w:p w14:paraId="263A0E83">
      <w:r>
        <w:rPr>
          <w:sz w:val="23"/>
          <w:szCs w:val="23"/>
        </w:rPr>
        <w:t>The research will be also aligned with the ethical principles of the study process, such as respectfulness of the participants, harm minimisation, and personal data protection.</w:t>
      </w:r>
    </w:p>
    <w:p w14:paraId="1C4B7B67">
      <w:pPr>
        <w:pStyle w:val="2"/>
      </w:pPr>
      <w:bookmarkStart w:id="16" w:name="_z1lkcudxa8f" w:colFirst="0" w:colLast="0"/>
      <w:bookmarkEnd w:id="16"/>
      <w:bookmarkStart w:id="17" w:name="_Toc227446418"/>
      <w:r>
        <w:t>7. Implications of the Research</w:t>
      </w:r>
      <w:bookmarkEnd w:id="17"/>
    </w:p>
    <w:p w14:paraId="16C9E0A8">
      <w:pPr>
        <w:rPr>
          <w:sz w:val="23"/>
          <w:szCs w:val="23"/>
        </w:rPr>
      </w:pPr>
      <w:r>
        <w:rPr>
          <w:sz w:val="23"/>
          <w:szCs w:val="23"/>
        </w:rPr>
        <w:t>Results of the study will be of huge importance to higher education institutions, policymakers and practitioners in mental health. The research will help to develop more effective support measures by offering a better insight into the causes and consequences of mental health disorders among postgraduate students (Morrish, 2019).</w:t>
      </w:r>
    </w:p>
    <w:p w14:paraId="59BC5663">
      <w:pPr>
        <w:rPr>
          <w:sz w:val="23"/>
          <w:szCs w:val="23"/>
        </w:rPr>
      </w:pPr>
      <w:r>
        <w:rPr>
          <w:sz w:val="23"/>
          <w:szCs w:val="23"/>
        </w:rPr>
        <w:t>In the case of universities, the results can inform proactive intervention to address mental health issues, including early identification programmes and enhanced supervisory training. This may be beneficial in increasing the rate of mental health problems and enhancing student performance.</w:t>
      </w:r>
    </w:p>
    <w:p w14:paraId="294AE723">
      <w:pPr>
        <w:rPr>
          <w:sz w:val="23"/>
          <w:szCs w:val="23"/>
        </w:rPr>
      </w:pPr>
      <w:r>
        <w:rPr>
          <w:sz w:val="23"/>
          <w:szCs w:val="23"/>
        </w:rPr>
        <w:t>To policymakers, the study has the potential to offer evidence of policies to promote greater funding towards student mental health services and the formulation of national policies to deal with the problem. Such interventions are needed because mental illnesses are on the increase in youths.</w:t>
      </w:r>
    </w:p>
    <w:p w14:paraId="3991F505">
      <w:r>
        <w:rPr>
          <w:sz w:val="23"/>
          <w:szCs w:val="23"/>
        </w:rPr>
        <w:t>Furthermore, the research will also give back to the academic literature by filling the gap in the research unique to postgraduates. This can spur future studies in this direction and also help in establishing evidence-based interventions.</w:t>
      </w:r>
    </w:p>
    <w:p w14:paraId="2F718959">
      <w:pPr>
        <w:pStyle w:val="2"/>
      </w:pPr>
      <w:bookmarkStart w:id="18" w:name="_sc7p1riuh07v" w:colFirst="0" w:colLast="0"/>
      <w:bookmarkEnd w:id="18"/>
      <w:bookmarkStart w:id="19" w:name="_Toc227446419"/>
      <w:r>
        <w:t>8. Plan of Work and Time Schedule (Gantt Chart)</w:t>
      </w:r>
      <w:bookmarkEnd w:id="19"/>
    </w:p>
    <w:p w14:paraId="31AEEE94">
      <w:pPr>
        <w:spacing w:before="240" w:after="240"/>
      </w:pPr>
      <w:r>
        <w:rPr>
          <w:sz w:val="23"/>
          <w:szCs w:val="23"/>
        </w:rPr>
        <w:t>The study will be carried out with the help of an organized timeframe that will guarantee the successful achievement.</w:t>
      </w:r>
    </w:p>
    <w:tbl>
      <w:tblPr>
        <w:tblStyle w:val="18"/>
        <w:tblW w:w="508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100" w:type="dxa"/>
          <w:left w:w="100" w:type="dxa"/>
          <w:bottom w:w="100" w:type="dxa"/>
          <w:right w:w="100" w:type="dxa"/>
        </w:tblCellMar>
      </w:tblPr>
      <w:tblGrid>
        <w:gridCol w:w="3710"/>
        <w:gridCol w:w="1370"/>
      </w:tblGrid>
      <w:tr w14:paraId="7F2AD3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00" w:hRule="atLeast"/>
          <w:jc w:val="center"/>
        </w:trPr>
        <w:tc>
          <w:tcPr>
            <w:tcW w:w="3710" w:type="dxa"/>
            <w:tcMar>
              <w:top w:w="100" w:type="dxa"/>
              <w:left w:w="100" w:type="dxa"/>
              <w:bottom w:w="100" w:type="dxa"/>
              <w:right w:w="100" w:type="dxa"/>
            </w:tcMar>
          </w:tcPr>
          <w:p w14:paraId="1F03760A">
            <w:pPr>
              <w:jc w:val="center"/>
            </w:pPr>
            <w:r>
              <w:rPr>
                <w:b/>
                <w:bCs/>
              </w:rPr>
              <w:t>Task</w:t>
            </w:r>
          </w:p>
        </w:tc>
        <w:tc>
          <w:tcPr>
            <w:tcW w:w="1370" w:type="dxa"/>
            <w:tcMar>
              <w:top w:w="100" w:type="dxa"/>
              <w:left w:w="100" w:type="dxa"/>
              <w:bottom w:w="100" w:type="dxa"/>
              <w:right w:w="100" w:type="dxa"/>
            </w:tcMar>
          </w:tcPr>
          <w:p w14:paraId="62D4220A">
            <w:pPr>
              <w:jc w:val="center"/>
            </w:pPr>
            <w:r>
              <w:rPr>
                <w:b/>
                <w:bCs/>
              </w:rPr>
              <w:t>Timeframe</w:t>
            </w:r>
          </w:p>
        </w:tc>
      </w:tr>
      <w:tr w14:paraId="4DD98B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00" w:hRule="atLeast"/>
          <w:jc w:val="center"/>
        </w:trPr>
        <w:tc>
          <w:tcPr>
            <w:tcW w:w="3710" w:type="dxa"/>
            <w:tcMar>
              <w:top w:w="100" w:type="dxa"/>
              <w:left w:w="100" w:type="dxa"/>
              <w:bottom w:w="100" w:type="dxa"/>
              <w:right w:w="100" w:type="dxa"/>
            </w:tcMar>
          </w:tcPr>
          <w:p w14:paraId="29052326">
            <w:r>
              <w:t>Literature Review</w:t>
            </w:r>
          </w:p>
        </w:tc>
        <w:tc>
          <w:tcPr>
            <w:tcW w:w="1370" w:type="dxa"/>
            <w:tcMar>
              <w:top w:w="100" w:type="dxa"/>
              <w:left w:w="100" w:type="dxa"/>
              <w:bottom w:w="100" w:type="dxa"/>
              <w:right w:w="100" w:type="dxa"/>
            </w:tcMar>
          </w:tcPr>
          <w:p w14:paraId="45223F0C">
            <w:r>
              <w:t>Week 1–2</w:t>
            </w:r>
          </w:p>
        </w:tc>
      </w:tr>
      <w:tr w14:paraId="3B14B8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00" w:hRule="atLeast"/>
          <w:jc w:val="center"/>
        </w:trPr>
        <w:tc>
          <w:tcPr>
            <w:tcW w:w="3710" w:type="dxa"/>
            <w:tcMar>
              <w:top w:w="100" w:type="dxa"/>
              <w:left w:w="100" w:type="dxa"/>
              <w:bottom w:w="100" w:type="dxa"/>
              <w:right w:w="100" w:type="dxa"/>
            </w:tcMar>
          </w:tcPr>
          <w:p w14:paraId="2DD5D6AD">
            <w:r>
              <w:t>Research Design &amp; Ethics Approval</w:t>
            </w:r>
          </w:p>
        </w:tc>
        <w:tc>
          <w:tcPr>
            <w:tcW w:w="1370" w:type="dxa"/>
            <w:tcMar>
              <w:top w:w="100" w:type="dxa"/>
              <w:left w:w="100" w:type="dxa"/>
              <w:bottom w:w="100" w:type="dxa"/>
              <w:right w:w="100" w:type="dxa"/>
            </w:tcMar>
          </w:tcPr>
          <w:p w14:paraId="7F996716">
            <w:r>
              <w:t>Week 3</w:t>
            </w:r>
          </w:p>
        </w:tc>
      </w:tr>
      <w:tr w14:paraId="33268D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00" w:hRule="atLeast"/>
          <w:jc w:val="center"/>
        </w:trPr>
        <w:tc>
          <w:tcPr>
            <w:tcW w:w="3710" w:type="dxa"/>
            <w:tcMar>
              <w:top w:w="100" w:type="dxa"/>
              <w:left w:w="100" w:type="dxa"/>
              <w:bottom w:w="100" w:type="dxa"/>
              <w:right w:w="100" w:type="dxa"/>
            </w:tcMar>
          </w:tcPr>
          <w:p w14:paraId="24FE4854">
            <w:r>
              <w:t>Participant Recruitment</w:t>
            </w:r>
          </w:p>
        </w:tc>
        <w:tc>
          <w:tcPr>
            <w:tcW w:w="1370" w:type="dxa"/>
            <w:tcMar>
              <w:top w:w="100" w:type="dxa"/>
              <w:left w:w="100" w:type="dxa"/>
              <w:bottom w:w="100" w:type="dxa"/>
              <w:right w:w="100" w:type="dxa"/>
            </w:tcMar>
          </w:tcPr>
          <w:p w14:paraId="4A2972D1">
            <w:r>
              <w:t>Week 4</w:t>
            </w:r>
          </w:p>
        </w:tc>
      </w:tr>
      <w:tr w14:paraId="30B0D2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00" w:hRule="atLeast"/>
          <w:jc w:val="center"/>
        </w:trPr>
        <w:tc>
          <w:tcPr>
            <w:tcW w:w="3710" w:type="dxa"/>
            <w:tcMar>
              <w:top w:w="100" w:type="dxa"/>
              <w:left w:w="100" w:type="dxa"/>
              <w:bottom w:w="100" w:type="dxa"/>
              <w:right w:w="100" w:type="dxa"/>
            </w:tcMar>
          </w:tcPr>
          <w:p w14:paraId="69102019">
            <w:r>
              <w:t>Data Collection (Interviews)</w:t>
            </w:r>
          </w:p>
        </w:tc>
        <w:tc>
          <w:tcPr>
            <w:tcW w:w="1370" w:type="dxa"/>
            <w:tcMar>
              <w:top w:w="100" w:type="dxa"/>
              <w:left w:w="100" w:type="dxa"/>
              <w:bottom w:w="100" w:type="dxa"/>
              <w:right w:w="100" w:type="dxa"/>
            </w:tcMar>
          </w:tcPr>
          <w:p w14:paraId="2AAC57CB">
            <w:r>
              <w:t>Week 5–6</w:t>
            </w:r>
          </w:p>
        </w:tc>
      </w:tr>
      <w:tr w14:paraId="203057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00" w:hRule="atLeast"/>
          <w:jc w:val="center"/>
        </w:trPr>
        <w:tc>
          <w:tcPr>
            <w:tcW w:w="3710" w:type="dxa"/>
            <w:tcMar>
              <w:top w:w="100" w:type="dxa"/>
              <w:left w:w="100" w:type="dxa"/>
              <w:bottom w:w="100" w:type="dxa"/>
              <w:right w:w="100" w:type="dxa"/>
            </w:tcMar>
          </w:tcPr>
          <w:p w14:paraId="0A79E521">
            <w:r>
              <w:t>Data Analysis</w:t>
            </w:r>
          </w:p>
        </w:tc>
        <w:tc>
          <w:tcPr>
            <w:tcW w:w="1370" w:type="dxa"/>
            <w:tcMar>
              <w:top w:w="100" w:type="dxa"/>
              <w:left w:w="100" w:type="dxa"/>
              <w:bottom w:w="100" w:type="dxa"/>
              <w:right w:w="100" w:type="dxa"/>
            </w:tcMar>
          </w:tcPr>
          <w:p w14:paraId="0157CBC1">
            <w:r>
              <w:t>Week 7</w:t>
            </w:r>
          </w:p>
        </w:tc>
      </w:tr>
      <w:tr w14:paraId="109535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00" w:hRule="atLeast"/>
          <w:jc w:val="center"/>
        </w:trPr>
        <w:tc>
          <w:tcPr>
            <w:tcW w:w="3710" w:type="dxa"/>
            <w:tcMar>
              <w:top w:w="100" w:type="dxa"/>
              <w:left w:w="100" w:type="dxa"/>
              <w:bottom w:w="100" w:type="dxa"/>
              <w:right w:w="100" w:type="dxa"/>
            </w:tcMar>
          </w:tcPr>
          <w:p w14:paraId="7995A4F1">
            <w:r>
              <w:t>Writing and Final Submission</w:t>
            </w:r>
          </w:p>
        </w:tc>
        <w:tc>
          <w:tcPr>
            <w:tcW w:w="1370" w:type="dxa"/>
            <w:tcMar>
              <w:top w:w="100" w:type="dxa"/>
              <w:left w:w="100" w:type="dxa"/>
              <w:bottom w:w="100" w:type="dxa"/>
              <w:right w:w="100" w:type="dxa"/>
            </w:tcMar>
          </w:tcPr>
          <w:p w14:paraId="7CE5A26D">
            <w:r>
              <w:t>Week 8</w:t>
            </w:r>
          </w:p>
        </w:tc>
      </w:tr>
    </w:tbl>
    <w:p w14:paraId="7E4237A3">
      <w:pPr>
        <w:jc w:val="center"/>
        <w:rPr>
          <w:b/>
          <w:bCs/>
        </w:rPr>
      </w:pPr>
      <w:r>
        <w:rPr>
          <w:b/>
          <w:bCs/>
        </w:rPr>
        <w:t>Table 1: Time Schedule</w:t>
      </w:r>
    </w:p>
    <w:p w14:paraId="56F20E2A">
      <w:pPr>
        <w:jc w:val="center"/>
      </w:pPr>
      <w:r>
        <w:t>(Source: Self-made)</w:t>
      </w:r>
    </w:p>
    <w:p w14:paraId="472C53A6">
      <w:r>
        <w:t>This schedule will help in making sure every step of the research process is done in a systematic and suitable manner, and the time taken is within the stipulated period.</w:t>
      </w:r>
    </w:p>
    <w:p w14:paraId="0A390BAD">
      <w:pPr>
        <w:spacing w:line="276" w:lineRule="auto"/>
        <w:jc w:val="left"/>
        <w:rPr>
          <w:b/>
          <w:sz w:val="24"/>
          <w:szCs w:val="40"/>
        </w:rPr>
      </w:pPr>
      <w:r>
        <w:br w:type="page"/>
      </w:r>
    </w:p>
    <w:p w14:paraId="1ABBEB81">
      <w:pPr>
        <w:pStyle w:val="2"/>
      </w:pPr>
      <w:bookmarkStart w:id="20" w:name="_Toc227446420"/>
      <w:r>
        <w:t>References</w:t>
      </w:r>
      <w:bookmarkEnd w:id="20"/>
    </w:p>
    <w:p w14:paraId="6B0CBB08">
      <w:r>
        <w:t xml:space="preserve">Auerbach, R.P., Mortier, P., Bruffaerts, R., Alonso, J., Benjet, C., Cuijpers, P., Demyttenaere, K., Ebert, D.D., Green, J.G., Hasking, P., Murray, E., Nock, M.K., Pinder-Amaker, S., Sampson, N.A., Stein, D.J., Vilagut, G., Zaslavsky, A.M. and Kessler, R.C. (2018). WHO World Mental Health Surveys International College Student Project: Prevalence and distribution of mental disorders. </w:t>
      </w:r>
      <w:r>
        <w:rPr>
          <w:i/>
          <w:iCs/>
        </w:rPr>
        <w:t>Journal of Abnormal Psychology</w:t>
      </w:r>
      <w:r>
        <w:t>, 127(7), pp.623–638. doi:https://doi.org/10.1037/abn0000362.</w:t>
      </w:r>
    </w:p>
    <w:p w14:paraId="627024F4">
      <w:r>
        <w:t xml:space="preserve">Bäuerle, A., Teufel, M., Musche, V., Weismüller, B., Kohler, H., Hetkamp, M., Dörrie, N., Schweda, A. and Skoda, E.-M. (2020). Increased generalized anxiety, depression and distress during the COVID-19 pandemic: a cross-sectional study in Germany. </w:t>
      </w:r>
      <w:r>
        <w:rPr>
          <w:i/>
          <w:iCs/>
        </w:rPr>
        <w:t>Journal of Public Health</w:t>
      </w:r>
      <w:r>
        <w:t>, 42(4). doi:https://doi.org/10.1093/pubmed/fdaa106.</w:t>
      </w:r>
    </w:p>
    <w:p w14:paraId="03469902">
      <w:r>
        <w:t xml:space="preserve">Bennett, J., Kidger, J., Haworth, C., Linton, M.J. and Gunnell, D., 2024. Student mental health support: A qualitative evaluation of new well-being services at a UK university. </w:t>
      </w:r>
      <w:r>
        <w:rPr>
          <w:i/>
          <w:iCs/>
        </w:rPr>
        <w:t>Journal of Further and Higher Education</w:t>
      </w:r>
      <w:r>
        <w:t xml:space="preserve">, </w:t>
      </w:r>
      <w:r>
        <w:rPr>
          <w:i/>
          <w:iCs/>
        </w:rPr>
        <w:t>48</w:t>
      </w:r>
      <w:r>
        <w:t>(4), pp.372-387.</w:t>
      </w:r>
    </w:p>
    <w:p w14:paraId="46689893">
      <w:r>
        <w:t xml:space="preserve">Bolton, P., West, J., Whitney, C., Jordans, M.J.D., Bass, J., Thornicroft, G., Murray, L., Snider, L., Eaton, J., Collins, P.Y., Ventevogel, P., Smith, S., Stein, D.J., Petersen, I., Silove, D., Ugo, V., Mahoney, J., Chammay, R. el, Contreras, C. and Eustache, E. (2023). Expanding mental health services in low- and middle-income countries: A task-shifting framework for delivery of comprehensive, collaborative, and community-based care. </w:t>
      </w:r>
      <w:r>
        <w:rPr>
          <w:i/>
          <w:iCs/>
        </w:rPr>
        <w:t>Cambridge Prisms: Global Mental Health</w:t>
      </w:r>
      <w:r>
        <w:t>, [online] 10(16), p.e16. doi:https://doi.org/10.1017/gmh.2023.5.</w:t>
      </w:r>
    </w:p>
    <w:p w14:paraId="35B217BF">
      <w:r>
        <w:t xml:space="preserve">Broglia, E., Millings, A. and Barkham, M. (2021). Student mental health profiles and barriers to help seeking: When and why students seek help for a mental health concern. </w:t>
      </w:r>
      <w:r>
        <w:rPr>
          <w:i/>
          <w:iCs/>
        </w:rPr>
        <w:t>Counselling and Psychotherapy Research</w:t>
      </w:r>
      <w:r>
        <w:t>, 21(4). doi:https://doi.org/10.1002/capr.12462.</w:t>
      </w:r>
    </w:p>
    <w:p w14:paraId="0C45CACA">
      <w:r>
        <w:t xml:space="preserve">Browning, M.H., Larson, L.R., Sharaievska, I., Rigolon, A., McAnirlin, O., Mullenbach, L., Cloutier, S., Vu, T.M., Thomsen, J., Reigner, N. and Metcalf, E.C., 2022. Correction: Psychological impacts from COVID-19 among university students: Risk factors across seven states in the United States. </w:t>
      </w:r>
      <w:r>
        <w:rPr>
          <w:i/>
          <w:iCs/>
        </w:rPr>
        <w:t>PloS one</w:t>
      </w:r>
      <w:r>
        <w:t xml:space="preserve">, </w:t>
      </w:r>
      <w:r>
        <w:rPr>
          <w:i/>
          <w:iCs/>
        </w:rPr>
        <w:t>17</w:t>
      </w:r>
      <w:r>
        <w:t>(8), p.e0273938.</w:t>
      </w:r>
    </w:p>
    <w:p w14:paraId="6C815709">
      <w:r>
        <w:t xml:space="preserve">Duffy, A., Saunders, K.E.A., Malhi, G.S., Patten, S., Cipriani, A., McNevin, S.H., MacDonald, E. and Geddes, J. (2019). Mental health care for university students: a way forward? </w:t>
      </w:r>
      <w:r>
        <w:rPr>
          <w:i/>
          <w:iCs/>
        </w:rPr>
        <w:t>The Lancet Psychiatry</w:t>
      </w:r>
      <w:r>
        <w:t>, [online] 6(11), pp.885–887. doi:https://doi.org/10.1016/s2215-0366(19)30275-5.</w:t>
      </w:r>
    </w:p>
    <w:p w14:paraId="38F4E231">
      <w:r>
        <w:t xml:space="preserve">Farrier, A., Cross, L., Professor, E., Dooris, M., Duckworth, J., Dr, C., Kurowski, J., Baybutt, M. and Rayner, G. (2024). </w:t>
      </w:r>
      <w:r>
        <w:rPr>
          <w:i/>
          <w:iCs/>
        </w:rPr>
        <w:t>UNIVERSITY MENTAL HEALTH CHARTER IMPACT EVALUATION FINAL REPORT Healthy and Sustainable Settings Unit</w:t>
      </w:r>
      <w:r>
        <w:t>. [online] Available at:</w:t>
      </w:r>
      <w:r>
        <w:fldChar w:fldCharType="begin"/>
      </w:r>
      <w:r>
        <w:instrText xml:space="preserve"> HYPERLINK "https://hub.studentminds.org.uk/wp-content/uploads/2024/10/UMHC-Evaluation-Final-Report.pdf" \h </w:instrText>
      </w:r>
      <w:r>
        <w:fldChar w:fldCharType="separate"/>
      </w:r>
      <w:r>
        <w:t xml:space="preserve"> </w:t>
      </w:r>
      <w:r>
        <w:fldChar w:fldCharType="end"/>
      </w:r>
      <w:r>
        <w:fldChar w:fldCharType="begin"/>
      </w:r>
      <w:r>
        <w:instrText xml:space="preserve"> HYPERLINK "https://hub.studentminds.org.uk/wp-content/uploads/2024/10/UMHC-Evaluation-Final-Report.pdf" \h </w:instrText>
      </w:r>
      <w:r>
        <w:fldChar w:fldCharType="separate"/>
      </w:r>
      <w:r>
        <w:rPr>
          <w:color w:val="1155CC"/>
          <w:u w:val="single"/>
        </w:rPr>
        <w:t>https://hub.studentminds.org.uk/wp-content/uploads/2024/10/UMHC-Evaluation-Final-Report.pdf</w:t>
      </w:r>
      <w:r>
        <w:rPr>
          <w:color w:val="1155CC"/>
          <w:u w:val="single"/>
        </w:rPr>
        <w:fldChar w:fldCharType="end"/>
      </w:r>
      <w:r>
        <w:t>.</w:t>
      </w:r>
    </w:p>
    <w:p w14:paraId="25963743">
      <w:r>
        <w:t xml:space="preserve">Friedrich, J., Bareis, A., Bross, M., Bürger, Z., Cortés Rodríguez, Á., Effenberger, N., Kleinhansl, M., Kremer, F. and Schröder, C. (2023). ‘How is your thesis going?’–Ph.D. students’ perspectives on mental health and stress in academia. </w:t>
      </w:r>
      <w:r>
        <w:rPr>
          <w:i/>
          <w:iCs/>
        </w:rPr>
        <w:t>PLoS ONE</w:t>
      </w:r>
      <w:r>
        <w:t>, [online] 18(7), pp.1–19. doi:https://doi.org/10.1371/journal.pone.0288103.</w:t>
      </w:r>
    </w:p>
    <w:p w14:paraId="0ED2C76E">
      <w:r>
        <w:t xml:space="preserve">Grubic, N., Badovinac, S. and Johri, A.M. (2020). Student mental health in the midst of the COVID-19 pandemic: A call for further research and immediate solutions. </w:t>
      </w:r>
      <w:r>
        <w:rPr>
          <w:i/>
          <w:iCs/>
        </w:rPr>
        <w:t>International Journal of Social Psychiatry</w:t>
      </w:r>
      <w:r>
        <w:t>, [online] 66(5), pp.517–518. doi:https://doi.org/10.1177/0020764020925108.</w:t>
      </w:r>
    </w:p>
    <w:p w14:paraId="47398261">
      <w:r>
        <w:t xml:space="preserve">Hazell, C.M., Chapman, L., Valeix, S.F., Roberts, P., Niven, J.E. and Berry, C. (2020). Understanding the mental health of doctoral researchers: a mixed methods systematic review with meta-analysis and meta-synthesis. </w:t>
      </w:r>
      <w:r>
        <w:rPr>
          <w:i/>
          <w:iCs/>
        </w:rPr>
        <w:t>Systematic Reviews</w:t>
      </w:r>
      <w:r>
        <w:t>, 9(1). doi:https://doi.org/10.1186/s13643-020-01443-1.</w:t>
      </w:r>
    </w:p>
    <w:p w14:paraId="044B9EA8">
      <w:r>
        <w:t xml:space="preserve">Hunt, J. and Eisenberg, D. (2010). Mental health problems and help-seeking behavior among college students. </w:t>
      </w:r>
      <w:r>
        <w:rPr>
          <w:i/>
          <w:iCs/>
        </w:rPr>
        <w:t>Journal of Adolescent Health</w:t>
      </w:r>
      <w:r>
        <w:t>, 46(1), pp.3–10. doi:https://doi.org/10.1016/j.jadohealth.2009.08.008.</w:t>
      </w:r>
    </w:p>
    <w:p w14:paraId="64123738">
      <w:r>
        <w:t xml:space="preserve">Kecojevic, A., Basch, C.H., Sullivan, M. and Davi, N.K. (2020). The Impact of the COVID-19 Epidemic on Mental Health of Undergraduate Students in New Jersey, cross-sectional Study. </w:t>
      </w:r>
      <w:r>
        <w:rPr>
          <w:i/>
          <w:iCs/>
        </w:rPr>
        <w:t>PLOS ONE</w:t>
      </w:r>
      <w:r>
        <w:t>, 15(9), pp.1–16.</w:t>
      </w:r>
    </w:p>
    <w:p w14:paraId="29DD5548">
      <w:r>
        <w:t xml:space="preserve">King's College London (2023). </w:t>
      </w:r>
      <w:r>
        <w:rPr>
          <w:i/>
          <w:iCs/>
        </w:rPr>
        <w:t>Student mental health problems have almost tripled, study finds</w:t>
      </w:r>
      <w:r>
        <w:t>. [online] King’s College London. Available at:</w:t>
      </w:r>
      <w:r>
        <w:fldChar w:fldCharType="begin"/>
      </w:r>
      <w:r>
        <w:instrText xml:space="preserve"> HYPERLINK "https://www.kcl.ac.uk/news/student-mental-health-problems-have-almost-tripled-study-finds" \h </w:instrText>
      </w:r>
      <w:r>
        <w:fldChar w:fldCharType="separate"/>
      </w:r>
      <w:r>
        <w:t xml:space="preserve"> </w:t>
      </w:r>
      <w:r>
        <w:fldChar w:fldCharType="end"/>
      </w:r>
      <w:r>
        <w:fldChar w:fldCharType="begin"/>
      </w:r>
      <w:r>
        <w:instrText xml:space="preserve"> HYPERLINK "https://www.kcl.ac.uk/news/student-mental-health-problems-have-almost-tripled-study-finds" \h </w:instrText>
      </w:r>
      <w:r>
        <w:fldChar w:fldCharType="separate"/>
      </w:r>
      <w:r>
        <w:rPr>
          <w:color w:val="1155CC"/>
          <w:u w:val="single"/>
        </w:rPr>
        <w:t>https://www.kcl.ac.uk/news/student-mental-health-problems-have-almost-tripled-study-finds</w:t>
      </w:r>
      <w:r>
        <w:rPr>
          <w:color w:val="1155CC"/>
          <w:u w:val="single"/>
        </w:rPr>
        <w:fldChar w:fldCharType="end"/>
      </w:r>
      <w:r>
        <w:t>.</w:t>
      </w:r>
    </w:p>
    <w:p w14:paraId="2B1D8140">
      <w:r>
        <w:t xml:space="preserve">Lewis, J. and Stiebahl, S. (2025). Student Mental Health in England: Statistics, policy, and Guidance. </w:t>
      </w:r>
      <w:r>
        <w:rPr>
          <w:i/>
          <w:iCs/>
        </w:rPr>
        <w:t>commonslibrary.parliament.uk</w:t>
      </w:r>
      <w:r>
        <w:t>, [online] 8593(1). Available at:</w:t>
      </w:r>
      <w:r>
        <w:fldChar w:fldCharType="begin"/>
      </w:r>
      <w:r>
        <w:instrText xml:space="preserve"> HYPERLINK "https://commonslibrary.parliament.uk/research-briefings/cbp-8593/" \h </w:instrText>
      </w:r>
      <w:r>
        <w:fldChar w:fldCharType="separate"/>
      </w:r>
      <w:r>
        <w:t xml:space="preserve"> </w:t>
      </w:r>
      <w:r>
        <w:fldChar w:fldCharType="end"/>
      </w:r>
      <w:r>
        <w:fldChar w:fldCharType="begin"/>
      </w:r>
      <w:r>
        <w:instrText xml:space="preserve"> HYPERLINK "https://commonslibrary.parliament.uk/research-briefings/cbp-8593/" \h </w:instrText>
      </w:r>
      <w:r>
        <w:fldChar w:fldCharType="separate"/>
      </w:r>
      <w:r>
        <w:rPr>
          <w:color w:val="1155CC"/>
          <w:u w:val="single"/>
        </w:rPr>
        <w:t>https://commonslibrary.parliament.uk/research-briefings/cbp-8593/</w:t>
      </w:r>
      <w:r>
        <w:rPr>
          <w:color w:val="1155CC"/>
          <w:u w:val="single"/>
        </w:rPr>
        <w:fldChar w:fldCharType="end"/>
      </w:r>
      <w:r>
        <w:t>.</w:t>
      </w:r>
    </w:p>
    <w:p w14:paraId="25F442C7">
      <w:r>
        <w:t xml:space="preserve">Lipson, S.K., Zhou, S., Abelson, S., Heinze, J., Jirsa, M., Morigney, J., Patterson, A., Singh, M. and Eisenberg, D. (2022). Trends in college student mental health and help-seeking by race/ethnicity: Findings from the national healthy minds study, 2013–2021. </w:t>
      </w:r>
      <w:r>
        <w:rPr>
          <w:i/>
          <w:iCs/>
        </w:rPr>
        <w:t>Journal of Affective Disorders</w:t>
      </w:r>
      <w:r>
        <w:t>, [online] 306(1), pp.138–147. doi:https://doi.org/10.1016/j.jad.2022.03.038.</w:t>
      </w:r>
    </w:p>
    <w:p w14:paraId="26B28D8F">
      <w:r>
        <w:t xml:space="preserve">Liverpool, S., Moinuddin, M., Bracegirdle, K., Eddison, J., Joseph, S. and Aithal, S., 2024. </w:t>
      </w:r>
      <w:r>
        <w:rPr>
          <w:i/>
          <w:iCs/>
        </w:rPr>
        <w:t>Mental health coping strategies and support needs among marginalised further and higher education students in the UK: A cross-sectional study. PLOS Ment Health 1 (1): e0000046</w:t>
      </w:r>
      <w:r>
        <w:t xml:space="preserve"> [online]</w:t>
      </w:r>
    </w:p>
    <w:p w14:paraId="2AED6272">
      <w:r>
        <w:t xml:space="preserve">Marelli, S., Castelnuovo, A., Somma, A., Castronovo, V., Mombelli, S., Bottoni, D., Leitner, C., Fossati, A. and Ferini-Strambi, L. (2020). Impact of COVID-19 lockdown on sleep quality in university students and administration staff. </w:t>
      </w:r>
      <w:r>
        <w:rPr>
          <w:i/>
          <w:iCs/>
        </w:rPr>
        <w:t>Journal of Neurology</w:t>
      </w:r>
      <w:r>
        <w:t>, 268(1). doi:https://doi.org/10.1007/s00415-020-10056-6.</w:t>
      </w:r>
    </w:p>
    <w:p w14:paraId="6FE66B6E">
      <w:r>
        <w:t xml:space="preserve">Mavrogalou-Foti, A.P., Kambouri, M.A. and Çili, S., 2024. The supervisory relationship as a predictor of mental health outcomes in doctoral students in the United Kingdom. </w:t>
      </w:r>
      <w:r>
        <w:rPr>
          <w:i/>
          <w:iCs/>
        </w:rPr>
        <w:t>Frontiers in Psychology</w:t>
      </w:r>
      <w:r>
        <w:t xml:space="preserve">, </w:t>
      </w:r>
      <w:r>
        <w:rPr>
          <w:i/>
          <w:iCs/>
        </w:rPr>
        <w:t>15</w:t>
      </w:r>
      <w:r>
        <w:t>, p.1437819.</w:t>
      </w:r>
    </w:p>
    <w:p w14:paraId="75B447C1">
      <w:r>
        <w:t xml:space="preserve">McLafferty, M., Brown, N., McHugh, R., Ward, C., Stevenson, A., McBride, L., Brady, J., Bjourson, A.J., O’Neill, S.M., Walsh, C.P. and Murray, E.K. (2021). Depression, Anxiety and Suicidal Behaviour Among College Students: Comparisons Pre-COVID-19 and During the Pandemic. </w:t>
      </w:r>
      <w:r>
        <w:rPr>
          <w:i/>
          <w:iCs/>
        </w:rPr>
        <w:t>Psychiatry Research Communications</w:t>
      </w:r>
      <w:r>
        <w:t>, [online] 1(2), p.100012. doi:https://doi.org/10.1016/j.psycom.2021.100012.</w:t>
      </w:r>
    </w:p>
    <w:p w14:paraId="2031AD6D">
      <w:r>
        <w:t xml:space="preserve">Milicev, J., McCann, M., Simpson, S.A., Biello, S.M. and Gardani, M., 2023. Evaluating mental health and wellbeing of postgraduate researchers: Prevalence and contributing factors. </w:t>
      </w:r>
      <w:r>
        <w:rPr>
          <w:i/>
          <w:iCs/>
        </w:rPr>
        <w:t>Current Psychology</w:t>
      </w:r>
      <w:r>
        <w:t xml:space="preserve">, </w:t>
      </w:r>
      <w:r>
        <w:rPr>
          <w:i/>
          <w:iCs/>
        </w:rPr>
        <w:t>42</w:t>
      </w:r>
      <w:r>
        <w:t>(14), pp.12267-12280.</w:t>
      </w:r>
    </w:p>
    <w:p w14:paraId="2CD7013F">
      <w:r>
        <w:t xml:space="preserve">Morrish, L. (2019). </w:t>
      </w:r>
      <w:r>
        <w:rPr>
          <w:i/>
          <w:iCs/>
        </w:rPr>
        <w:t>Pressure Vessels: The Epidemic of Poor Mental Health among Higher Education Staff. Occasional Paper 20</w:t>
      </w:r>
      <w:r>
        <w:t xml:space="preserve">. [online] </w:t>
      </w:r>
      <w:r>
        <w:rPr>
          <w:i/>
          <w:iCs/>
        </w:rPr>
        <w:t>ERIC</w:t>
      </w:r>
      <w:r>
        <w:t>. Higher Education Policy Institute. Available at:</w:t>
      </w:r>
      <w:r>
        <w:fldChar w:fldCharType="begin"/>
      </w:r>
      <w:r>
        <w:instrText xml:space="preserve"> HYPERLINK "https://eric.ed.gov/?id=ED598087" \h </w:instrText>
      </w:r>
      <w:r>
        <w:fldChar w:fldCharType="separate"/>
      </w:r>
      <w:r>
        <w:t xml:space="preserve"> </w:t>
      </w:r>
      <w:r>
        <w:fldChar w:fldCharType="end"/>
      </w:r>
      <w:r>
        <w:fldChar w:fldCharType="begin"/>
      </w:r>
      <w:r>
        <w:instrText xml:space="preserve"> HYPERLINK "https://eric.ed.gov/?id=ED598087" \h </w:instrText>
      </w:r>
      <w:r>
        <w:fldChar w:fldCharType="separate"/>
      </w:r>
      <w:r>
        <w:rPr>
          <w:color w:val="1155CC"/>
          <w:u w:val="single"/>
        </w:rPr>
        <w:t>https://eric.ed.gov/?id=ED598087</w:t>
      </w:r>
      <w:r>
        <w:rPr>
          <w:color w:val="1155CC"/>
          <w:u w:val="single"/>
        </w:rPr>
        <w:fldChar w:fldCharType="end"/>
      </w:r>
      <w:r>
        <w:t>.</w:t>
      </w:r>
    </w:p>
    <w:p w14:paraId="4F578EC6">
      <w:r>
        <w:t xml:space="preserve">NHS England (2025). </w:t>
      </w:r>
      <w:r>
        <w:rPr>
          <w:i/>
          <w:iCs/>
        </w:rPr>
        <w:t>Mental Health Bulletin, 2024-25 Annual report</w:t>
      </w:r>
      <w:r>
        <w:t>. [online] Digital.nhs.uk. Available at:</w:t>
      </w:r>
      <w:r>
        <w:fldChar w:fldCharType="begin"/>
      </w:r>
      <w:r>
        <w:instrText xml:space="preserve"> HYPERLINK "https://digital.nhs.uk/data-and-information/publications/statistical/mental-health-bulletin/2024-25-annual-report" \h </w:instrText>
      </w:r>
      <w:r>
        <w:fldChar w:fldCharType="separate"/>
      </w:r>
      <w:r>
        <w:t xml:space="preserve"> </w:t>
      </w:r>
      <w:r>
        <w:fldChar w:fldCharType="end"/>
      </w:r>
      <w:r>
        <w:fldChar w:fldCharType="begin"/>
      </w:r>
      <w:r>
        <w:instrText xml:space="preserve"> HYPERLINK "https://digital.nhs.uk/data-and-information/publications/statistical/mental-health-bulletin/2024-25-annual-report" \h </w:instrText>
      </w:r>
      <w:r>
        <w:fldChar w:fldCharType="separate"/>
      </w:r>
      <w:r>
        <w:rPr>
          <w:color w:val="1155CC"/>
          <w:u w:val="single"/>
        </w:rPr>
        <w:t>https://digital.nhs.uk/data-and-information/publications/statistical/mental-health-bulletin/2024-25-annual-report</w:t>
      </w:r>
      <w:r>
        <w:rPr>
          <w:color w:val="1155CC"/>
          <w:u w:val="single"/>
        </w:rPr>
        <w:fldChar w:fldCharType="end"/>
      </w:r>
      <w:r>
        <w:t>.</w:t>
      </w:r>
    </w:p>
    <w:p w14:paraId="6D0D274E">
      <w:r>
        <w:t xml:space="preserve">Office for National Statistics (2023). </w:t>
      </w:r>
      <w:r>
        <w:rPr>
          <w:i/>
          <w:iCs/>
        </w:rPr>
        <w:t>Mental health - Office for National Statistics</w:t>
      </w:r>
      <w:r>
        <w:t>. [online] Ons.gov.uk. Available at:</w:t>
      </w:r>
      <w:r>
        <w:fldChar w:fldCharType="begin"/>
      </w:r>
      <w:r>
        <w:instrText xml:space="preserve"> HYPERLINK "https://www.ons.gov.uk/peoplepopulationandcommunity/healthandsocialcare/mentalhealth" \h </w:instrText>
      </w:r>
      <w:r>
        <w:fldChar w:fldCharType="separate"/>
      </w:r>
      <w:r>
        <w:t xml:space="preserve"> </w:t>
      </w:r>
      <w:r>
        <w:fldChar w:fldCharType="end"/>
      </w:r>
      <w:r>
        <w:fldChar w:fldCharType="begin"/>
      </w:r>
      <w:r>
        <w:instrText xml:space="preserve"> HYPERLINK "https://www.ons.gov.uk/peoplepopulationandcommunity/healthandsocialcare/mentalhealth" \h </w:instrText>
      </w:r>
      <w:r>
        <w:fldChar w:fldCharType="separate"/>
      </w:r>
      <w:r>
        <w:rPr>
          <w:color w:val="1155CC"/>
          <w:u w:val="single"/>
        </w:rPr>
        <w:t>https://www.ons.gov.uk/peoplepopulationandcommunity/healthandsocialcare/mentalhealth</w:t>
      </w:r>
      <w:r>
        <w:rPr>
          <w:color w:val="1155CC"/>
          <w:u w:val="single"/>
        </w:rPr>
        <w:fldChar w:fldCharType="end"/>
      </w:r>
      <w:r>
        <w:t>.</w:t>
      </w:r>
    </w:p>
    <w:p w14:paraId="2CA9D253">
      <w:r>
        <w:t xml:space="preserve">Office for Students (2023). </w:t>
      </w:r>
      <w:r>
        <w:rPr>
          <w:i/>
          <w:iCs/>
        </w:rPr>
        <w:t>Meeting the mental health needs of students - Office for Students</w:t>
      </w:r>
      <w:r>
        <w:t>. [online] www.officeforstudents.org.uk. Available at:</w:t>
      </w:r>
      <w:r>
        <w:fldChar w:fldCharType="begin"/>
      </w:r>
      <w:r>
        <w:instrText xml:space="preserve"> HYPERLINK "https://www.officeforstudents.org.uk/publications/meeting-the-mental-health-needs-of-students/" \h </w:instrText>
      </w:r>
      <w:r>
        <w:fldChar w:fldCharType="separate"/>
      </w:r>
      <w:r>
        <w:t xml:space="preserve"> </w:t>
      </w:r>
      <w:r>
        <w:fldChar w:fldCharType="end"/>
      </w:r>
      <w:r>
        <w:fldChar w:fldCharType="begin"/>
      </w:r>
      <w:r>
        <w:instrText xml:space="preserve"> HYPERLINK "https://www.officeforstudents.org.uk/publications/meeting-the-mental-health-needs-of-students/" \h </w:instrText>
      </w:r>
      <w:r>
        <w:fldChar w:fldCharType="separate"/>
      </w:r>
      <w:r>
        <w:rPr>
          <w:color w:val="1155CC"/>
          <w:u w:val="single"/>
        </w:rPr>
        <w:t>https://www.officeforstudents.org.uk/publications/meeting-the-mental-health-needs-of-students/</w:t>
      </w:r>
      <w:r>
        <w:rPr>
          <w:color w:val="1155CC"/>
          <w:u w:val="single"/>
        </w:rPr>
        <w:fldChar w:fldCharType="end"/>
      </w:r>
      <w:r>
        <w:t>.</w:t>
      </w:r>
    </w:p>
    <w:p w14:paraId="09F67EB7">
      <w:r>
        <w:t xml:space="preserve">Pascoe, M.C., Hetrick, S.E. and Parker, A.G. (2019). The impact of stress on students in secondary school and higher education. </w:t>
      </w:r>
      <w:r>
        <w:rPr>
          <w:i/>
          <w:iCs/>
        </w:rPr>
        <w:t>International Journal of Adolescence and Youth</w:t>
      </w:r>
      <w:r>
        <w:t>, [online] 25(1), pp.104–112. doi:https://doi.org/10.1080/02673843.2019.1596823.</w:t>
      </w:r>
    </w:p>
    <w:p w14:paraId="5067EDAC">
      <w:r>
        <w:t xml:space="preserve">Prowse, R., Sherratt, F., Abizaid, A., Gabrys, R.L., Hellemans, K.G.C., Patterson, Z.R. and McQuaid, R.J. (2021). Coping With the COVID-19 Pandemic: Examining Gender Differences in Stress and Mental Health Among University Students. </w:t>
      </w:r>
      <w:r>
        <w:rPr>
          <w:i/>
          <w:iCs/>
        </w:rPr>
        <w:t>Frontiers in Psychiatry</w:t>
      </w:r>
      <w:r>
        <w:t>, 12. doi:https://doi.org/10.3389/fpsyt.2021.650759.</w:t>
      </w:r>
    </w:p>
    <w:p w14:paraId="3E15CC5B">
      <w:r>
        <w:t xml:space="preserve">Thorley, C. (2017). </w:t>
      </w:r>
      <w:r>
        <w:rPr>
          <w:i/>
          <w:iCs/>
        </w:rPr>
        <w:t>NOT BY DEGREES IMPROVING STUDENT MENTAL HEALTH IN THE UK’S UNIVERSITIES Institute for Public Policy Research</w:t>
      </w:r>
      <w:r>
        <w:t>. [online] Available at:</w:t>
      </w:r>
      <w:r>
        <w:fldChar w:fldCharType="begin"/>
      </w:r>
      <w:r>
        <w:instrText xml:space="preserve"> HYPERLINK "https://ippr-org.files.svdcdn.com/production/Downloads/1504645674_not-by-degrees-170905.pdf" \h </w:instrText>
      </w:r>
      <w:r>
        <w:fldChar w:fldCharType="separate"/>
      </w:r>
      <w:r>
        <w:t xml:space="preserve"> </w:t>
      </w:r>
      <w:r>
        <w:fldChar w:fldCharType="end"/>
      </w:r>
      <w:r>
        <w:fldChar w:fldCharType="begin"/>
      </w:r>
      <w:r>
        <w:instrText xml:space="preserve"> HYPERLINK "https://ippr-org.files.svdcdn.com/production/Downloads/1504645674_not-by-degrees-170905.pdf" \h </w:instrText>
      </w:r>
      <w:r>
        <w:fldChar w:fldCharType="separate"/>
      </w:r>
      <w:r>
        <w:rPr>
          <w:color w:val="1155CC"/>
          <w:u w:val="single"/>
        </w:rPr>
        <w:t>https://ippr-org.files.svdcdn.com/production/Downloads/1504645674_not-by-degrees-170905.pdf</w:t>
      </w:r>
      <w:r>
        <w:rPr>
          <w:color w:val="1155CC"/>
          <w:u w:val="single"/>
        </w:rPr>
        <w:fldChar w:fldCharType="end"/>
      </w:r>
      <w:r>
        <w:t>.</w:t>
      </w:r>
    </w:p>
    <w:p w14:paraId="654D95F9">
      <w:r>
        <w:t xml:space="preserve">Yang, Y., Cao, Q., Zhao, M. and Zhuang, Q., 2022. Knowledge mapping of students’ mental health status in the COVID-19 pandemic: A bibliometric study. </w:t>
      </w:r>
      <w:r>
        <w:rPr>
          <w:i/>
          <w:iCs/>
        </w:rPr>
        <w:t>Frontiers in Psychology</w:t>
      </w:r>
      <w:r>
        <w:t xml:space="preserve">, </w:t>
      </w:r>
      <w:r>
        <w:rPr>
          <w:i/>
          <w:iCs/>
        </w:rPr>
        <w:t>13</w:t>
      </w:r>
      <w:r>
        <w:t>, p.985866.</w:t>
      </w:r>
    </w:p>
    <w:p w14:paraId="6C7F6645">
      <w:r>
        <w:t xml:space="preserve">Zile, A., Porter, B., Crozier, K. and Sanderson, K., 2023. The mental health of UK postgraduate research students following the COVID-19 pandemic. </w:t>
      </w:r>
      <w:r>
        <w:rPr>
          <w:i/>
          <w:iCs/>
        </w:rPr>
        <w:t>Education Sciences</w:t>
      </w:r>
      <w:r>
        <w:t xml:space="preserve">, </w:t>
      </w:r>
      <w:r>
        <w:rPr>
          <w:i/>
          <w:iCs/>
        </w:rPr>
        <w:t>13</w:t>
      </w:r>
      <w:r>
        <w:t>(11), p.1106.</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43361ED0-F1E9-4814-9336-85490200E0BD}"/>
  </w:font>
  <w:font w:name="Arial">
    <w:panose1 w:val="020B0604020202020204"/>
    <w:charset w:val="86"/>
    <w:family w:val="swiss"/>
    <w:pitch w:val="default"/>
    <w:sig w:usb0="E0002EFF" w:usb1="C000785B" w:usb2="00000009" w:usb3="00000000" w:csb0="400001FF" w:csb1="FFFF0000"/>
    <w:embedRegular r:id="rId2" w:fontKey="{B29F7D98-3D8C-46DA-92F9-7757CFA66042}"/>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6E3E9F76-0690-4F19-8F4F-10534E204E6A}"/>
  </w:font>
  <w:font w:name="Wingdings">
    <w:panose1 w:val="05000000000000000000"/>
    <w:charset w:val="02"/>
    <w:family w:val="auto"/>
    <w:pitch w:val="default"/>
    <w:sig w:usb0="00000000" w:usb1="00000000" w:usb2="00000000" w:usb3="00000000" w:csb0="80000000" w:csb1="00000000"/>
    <w:embedRegular r:id="rId4" w:fontKey="{C774EAE9-6B01-49C8-8D7B-89F52DCDC478}"/>
  </w:font>
  <w:font w:name="Calibri">
    <w:panose1 w:val="020F0502020204030204"/>
    <w:charset w:val="00"/>
    <w:family w:val="swiss"/>
    <w:pitch w:val="default"/>
    <w:sig w:usb0="E4002EFF" w:usb1="C000247B" w:usb2="00000009" w:usb3="00000000" w:csb0="200001FF" w:csb1="00000000"/>
    <w:embedRegular r:id="rId5" w:fontKey="{F7328F92-8E89-4531-BEA0-1ED87787BEC9}"/>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94AE7BB1-16EA-4AEC-8EB4-90364611FD69}"/>
  </w:font>
  <w:font w:name="Symbol">
    <w:panose1 w:val="05050102010706020507"/>
    <w:charset w:val="02"/>
    <w:family w:val="roman"/>
    <w:pitch w:val="default"/>
    <w:sig w:usb0="00000000" w:usb1="00000000" w:usb2="00000000" w:usb3="00000000" w:csb0="80000000" w:csb1="00000000"/>
    <w:embedRegular r:id="rId7" w:fontKey="{335D24F7-C87D-4487-B1BF-144566186CC1}"/>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32922982"/>
      <w:docPartObj>
        <w:docPartGallery w:val="AutoText"/>
      </w:docPartObj>
    </w:sdtPr>
    <w:sdtContent>
      <w:p w14:paraId="0A657E6D">
        <w:pPr>
          <w:pStyle w:val="10"/>
          <w:jc w:val="right"/>
        </w:pPr>
        <w:r>
          <w:fldChar w:fldCharType="begin"/>
        </w:r>
        <w:r>
          <w:instrText xml:space="preserve"> PAGE   \* MERGEFORMAT </w:instrText>
        </w:r>
        <w:r>
          <w:fldChar w:fldCharType="separate"/>
        </w:r>
        <w:r>
          <w:t>2</w:t>
        </w:r>
        <w:r>
          <w:fldChar w:fldCharType="end"/>
        </w:r>
      </w:p>
    </w:sdtContent>
  </w:sdt>
  <w:p w14:paraId="05FB4373">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F2023C3"/>
    <w:multiLevelType w:val="multilevel"/>
    <w:tmpl w:val="5F2023C3"/>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7627156D"/>
    <w:multiLevelType w:val="multilevel"/>
    <w:tmpl w:val="7627156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B9C6768"/>
    <w:multiLevelType w:val="multilevel"/>
    <w:tmpl w:val="7B9C676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38F3"/>
    <w:rsid w:val="00504324"/>
    <w:rsid w:val="007938F3"/>
    <w:rsid w:val="00860417"/>
    <w:rsid w:val="00E662A6"/>
    <w:rsid w:val="33A46194"/>
    <w:rsid w:val="38EA11EC"/>
    <w:rsid w:val="6CAD6BD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color w:val="000000" w:themeColor="text1"/>
      <w:sz w:val="22"/>
      <w:szCs w:val="22"/>
      <w:lang w:val="en" w:eastAsia="en-IN" w:bidi="ar-SA"/>
      <w14:textFill>
        <w14:solidFill>
          <w14:schemeClr w14:val="tx1"/>
        </w14:solidFill>
      </w14:textFill>
    </w:rPr>
  </w:style>
  <w:style w:type="paragraph" w:styleId="2">
    <w:name w:val="heading 1"/>
    <w:basedOn w:val="1"/>
    <w:next w:val="1"/>
    <w:qFormat/>
    <w:uiPriority w:val="9"/>
    <w:pPr>
      <w:keepNext/>
      <w:keepLines/>
      <w:spacing w:before="400" w:after="120"/>
      <w:outlineLvl w:val="0"/>
    </w:pPr>
    <w:rPr>
      <w:b/>
      <w:sz w:val="24"/>
      <w:szCs w:val="40"/>
    </w:rPr>
  </w:style>
  <w:style w:type="paragraph" w:styleId="3">
    <w:name w:val="heading 2"/>
    <w:basedOn w:val="1"/>
    <w:next w:val="1"/>
    <w:unhideWhenUsed/>
    <w:qFormat/>
    <w:uiPriority w:val="9"/>
    <w:pPr>
      <w:keepNext/>
      <w:keepLines/>
      <w:spacing w:before="360" w:after="120"/>
      <w:outlineLvl w:val="1"/>
    </w:pPr>
    <w:rPr>
      <w:b/>
      <w:sz w:val="24"/>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22"/>
    <w:unhideWhenUsed/>
    <w:uiPriority w:val="99"/>
    <w:pPr>
      <w:tabs>
        <w:tab w:val="center" w:pos="4513"/>
        <w:tab w:val="right" w:pos="9026"/>
      </w:tabs>
      <w:spacing w:line="240" w:lineRule="auto"/>
    </w:pPr>
  </w:style>
  <w:style w:type="paragraph" w:styleId="11">
    <w:name w:val="header"/>
    <w:basedOn w:val="1"/>
    <w:link w:val="21"/>
    <w:unhideWhenUsed/>
    <w:qFormat/>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qFormat/>
    <w:uiPriority w:val="39"/>
    <w:pPr>
      <w:spacing w:after="100"/>
      <w:ind w:left="220"/>
    </w:pPr>
  </w:style>
  <w:style w:type="table" w:customStyle="1" w:styleId="17">
    <w:name w:val="TableNormal"/>
    <w:qFormat/>
    <w:uiPriority w:val="0"/>
    <w:tblPr>
      <w:tblCellMar>
        <w:top w:w="100" w:type="dxa"/>
        <w:left w:w="100" w:type="dxa"/>
        <w:bottom w:w="100" w:type="dxa"/>
        <w:right w:w="100" w:type="dxa"/>
      </w:tblCellMar>
    </w:tblPr>
  </w:style>
  <w:style w:type="table" w:customStyle="1" w:styleId="18">
    <w:name w:val="_Style 12"/>
    <w:basedOn w:val="17"/>
    <w:uiPriority w:val="0"/>
  </w:style>
  <w:style w:type="paragraph" w:styleId="19">
    <w:name w:val="List Paragraph"/>
    <w:basedOn w:val="1"/>
    <w:qFormat/>
    <w:uiPriority w:val="34"/>
    <w:pPr>
      <w:ind w:left="720"/>
      <w:contextualSpacing/>
    </w:pPr>
  </w:style>
  <w:style w:type="paragraph" w:customStyle="1" w:styleId="20">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21">
    <w:name w:val="Header Char"/>
    <w:basedOn w:val="8"/>
    <w:link w:val="11"/>
    <w:qFormat/>
    <w:uiPriority w:val="99"/>
    <w:rPr>
      <w:color w:val="000000" w:themeColor="text1"/>
      <w14:textFill>
        <w14:solidFill>
          <w14:schemeClr w14:val="tx1"/>
        </w14:solidFill>
      </w14:textFill>
    </w:rPr>
  </w:style>
  <w:style w:type="character" w:customStyle="1" w:styleId="22">
    <w:name w:val="Footer Char"/>
    <w:basedOn w:val="8"/>
    <w:link w:val="10"/>
    <w:uiPriority w:val="99"/>
    <w:rPr>
      <w:color w:val="000000" w:themeColor="text1"/>
      <w14:textFill>
        <w14:solidFill>
          <w14:schemeClr w14:val="tx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A80A4-E7D4-4F30-92DA-9A68EEED0647}">
  <ds:schemaRefs/>
</ds:datastoreItem>
</file>

<file path=docProps/app.xml><?xml version="1.0" encoding="utf-8"?>
<Properties xmlns="http://schemas.openxmlformats.org/officeDocument/2006/extended-properties" xmlns:vt="http://schemas.openxmlformats.org/officeDocument/2006/docPropsVTypes">
  <Template>Normal</Template>
  <Pages>14</Pages>
  <Words>3709</Words>
  <Characters>22493</Characters>
  <Lines>205</Lines>
  <Paragraphs>57</Paragraphs>
  <TotalTime>14</TotalTime>
  <ScaleCrop>false</ScaleCrop>
  <LinksUpToDate>false</LinksUpToDate>
  <CharactersWithSpaces>26087</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2026-04-18T17:33:00Z</dcterms:created>
  <dc:creator>SAJAL</dc:creator>
  <cp:lastModifiedBy>SAJAL</cp:lastModifiedBy>
  <dcterms:modified xsi:type="dcterms:W3CDTF">2026-04-21T11:07:10Z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eyJoZGlkIjoiNWI2NjNhNTI4ZDFhYmVkNTkzYTYxNjQ5ODdjZDhiMGMifQ==</vt:lpwstr>
  </property>
  <property fmtid="{D5CDD505-2E9C-101B-9397-08002B2CF9AE}" pid="3" name="KSOProductBuildVer">
    <vt:lpwstr>1033-12.1.0.25242</vt:lpwstr>
  </property>
  <property fmtid="{D5CDD505-2E9C-101B-9397-08002B2CF9AE}" pid="4" name="ICV">
    <vt:lpwstr>926CFB1538814C949910E754A59CEC63_13</vt:lpwstr>
  </property>
</Properties>
</file>