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5F9B" w:rsidRDefault="00A35F9B" w:rsidP="00A35F9B">
      <w:pPr>
        <w:pStyle w:val="Header"/>
        <w:tabs>
          <w:tab w:val="left" w:pos="720"/>
        </w:tabs>
      </w:pPr>
      <w:r>
        <w:rPr>
          <w:noProof/>
        </w:rPr>
        <mc:AlternateContent>
          <mc:Choice Requires="wps">
            <w:drawing>
              <wp:anchor distT="0" distB="0" distL="114300" distR="114300" simplePos="0" relativeHeight="251659264" behindDoc="0" locked="0" layoutInCell="1" allowOverlap="1">
                <wp:simplePos x="0" y="0"/>
                <wp:positionH relativeFrom="column">
                  <wp:posOffset>5324475</wp:posOffset>
                </wp:positionH>
                <wp:positionV relativeFrom="paragraph">
                  <wp:posOffset>-58420</wp:posOffset>
                </wp:positionV>
                <wp:extent cx="1457325" cy="923925"/>
                <wp:effectExtent l="19050" t="19050" r="2857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923925"/>
                        </a:xfrm>
                        <a:prstGeom prst="rect">
                          <a:avLst/>
                        </a:prstGeom>
                        <a:solidFill>
                          <a:srgbClr val="C0C0C0"/>
                        </a:solidFill>
                        <a:ln w="28575">
                          <a:solidFill>
                            <a:srgbClr val="C0C0C0"/>
                          </a:solidFill>
                          <a:miter lim="800000"/>
                          <a:headEnd/>
                          <a:tailEnd/>
                        </a:ln>
                      </wps:spPr>
                      <wps:txbx id="1">
                        <w:txbxContent>
                          <w:p w:rsidR="00A35F9B" w:rsidRDefault="00A35F9B" w:rsidP="00A35F9B">
                            <w:pPr>
                              <w:pStyle w:val="Heading6"/>
                              <w:shd w:val="clear" w:color="auto" w:fill="E0E0E0"/>
                            </w:pPr>
                          </w:p>
                          <w:p w:rsidR="00A35F9B" w:rsidRDefault="00A35F9B" w:rsidP="00A35F9B">
                            <w:pPr>
                              <w:pStyle w:val="Heading6"/>
                              <w:shd w:val="clear" w:color="auto" w:fill="E0E0E0"/>
                            </w:pPr>
                            <w:r>
                              <w:t xml:space="preserve">RESULT </w:t>
                            </w:r>
                            <w:r>
                              <w:rPr>
                                <w:rFonts w:ascii="Times New Roman" w:hAnsi="Times New Roman"/>
                                <w:noProof/>
                                <w:sz w:val="20"/>
                              </w:rPr>
                              <w:drawing>
                                <wp:inline distT="0" distB="0" distL="0" distR="0">
                                  <wp:extent cx="581025" cy="40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19.25pt;margin-top:-4.6pt;width:114.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" fillcolor="silver" strokecolor="silver" strokeweight="2.25pt">
                <v:textbox style="mso-next-textbox:#Text Box 4">
                  <w:txbxContent>
                    <w:p w:rsidR="00A35F9B" w:rsidRDefault="00A35F9B" w:rsidP="00A35F9B">
                      <w:pPr>
                        <w:pStyle w:val="Heading6"/>
                        <w:shd w:val="clear" w:color="auto" w:fill="E0E0E0"/>
                      </w:pPr>
                    </w:p>
                    <w:p w:rsidR="00A35F9B" w:rsidRDefault="00A35F9B" w:rsidP="00A35F9B">
                      <w:pPr>
                        <w:pStyle w:val="Heading6"/>
                        <w:shd w:val="clear" w:color="auto" w:fill="E0E0E0"/>
                      </w:pPr>
                      <w:r>
                        <w:t xml:space="preserve">RESULT </w:t>
                      </w:r>
                      <w:r>
                        <w:rPr>
                          <w:rFonts w:ascii="Times New Roman" w:hAnsi="Times New Roman"/>
                          <w:noProof/>
                          <w:sz w:val="20"/>
                        </w:rPr>
                        <w:drawing>
                          <wp:inline distT="0" distB="0" distL="0" distR="0">
                            <wp:extent cx="581025" cy="409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409575"/>
                                    </a:xfrm>
                                    <a:prstGeom prst="rect">
                                      <a:avLst/>
                                    </a:prstGeom>
                                    <a:noFill/>
                                    <a:ln>
                                      <a:noFill/>
                                    </a:ln>
                                  </pic:spPr>
                                </pic:pic>
                              </a:graphicData>
                            </a:graphic>
                          </wp:inline>
                        </w:drawing>
                      </w:r>
                      <w:r>
                        <w:t xml:space="preserve">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" filled="f" stroked="f">
                <v:textbox inset=",7.2pt,,7.2pt">
                  <w:txbxContent/>
                </v:textbox>
                <w10:wrap type="tight"/>
              </v:shape>
            </w:pict>
          </mc:Fallback>
        </mc:AlternateContent>
      </w:r>
      <w:r>
        <w:rPr>
          <w:noProof/>
        </w:rPr>
        <w:drawing>
          <wp:inline distT="0" distB="0" distL="0" distR="0">
            <wp:extent cx="1704975" cy="681990"/>
            <wp:effectExtent l="0" t="0" r="9525" b="0"/>
            <wp:docPr id="1" name="Picture 1"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0EA4A.2BD679A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704975" cy="681990"/>
                    </a:xfrm>
                    <a:prstGeom prst="rect">
                      <a:avLst/>
                    </a:prstGeom>
                    <a:noFill/>
                    <a:ln>
                      <a:noFill/>
                    </a:ln>
                  </pic:spPr>
                </pic:pic>
              </a:graphicData>
            </a:graphic>
          </wp:inline>
        </w:drawing>
      </w:r>
    </w:p>
    <w:p w:rsidR="00A35F9B" w:rsidRDefault="00A35F9B" w:rsidP="00A35F9B"/>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A35F9B" w:rsidTr="00A35F9B">
        <w:tc>
          <w:tcPr>
            <w:tcW w:w="10627" w:type="dxa"/>
            <w:tcBorders>
              <w:top w:val="single" w:sz="4" w:space="0" w:color="auto"/>
              <w:left w:val="single" w:sz="4" w:space="0" w:color="auto"/>
              <w:bottom w:val="single" w:sz="4" w:space="0" w:color="auto"/>
              <w:right w:val="single" w:sz="4" w:space="0" w:color="auto"/>
            </w:tcBorders>
            <w:shd w:val="clear" w:color="auto" w:fill="C0C0C0"/>
          </w:tcPr>
          <w:p w:rsidR="00A35F9B" w:rsidRPr="00A35F9B" w:rsidRDefault="00A35F9B" w:rsidP="00A35F9B">
            <w:pPr>
              <w:jc w:val="center"/>
              <w:rPr>
                <w:rFonts w:ascii="Arial" w:hAnsi="Arial" w:cs="Arial"/>
                <w:b/>
                <w:noProof/>
                <w:sz w:val="36"/>
                <w:szCs w:val="36"/>
              </w:rPr>
            </w:pPr>
            <w:r>
              <w:rPr>
                <w:rFonts w:ascii="Arial" w:hAnsi="Arial" w:cs="Arial"/>
                <w:b/>
                <w:noProof/>
                <w:sz w:val="36"/>
                <w:szCs w:val="36"/>
              </w:rPr>
              <w:t>ASSIGNMENT DETAILS AND FEEDBACK</w:t>
            </w:r>
          </w:p>
          <w:p w:rsidR="00A35F9B" w:rsidRPr="00A35F9B" w:rsidRDefault="00A35F9B" w:rsidP="00A35F9B">
            <w:pPr>
              <w:jc w:val="center"/>
              <w:rPr>
                <w:rFonts w:ascii="Arial" w:hAnsi="Arial" w:cs="Arial"/>
                <w:b/>
                <w:noProof/>
                <w:sz w:val="24"/>
                <w:szCs w:val="24"/>
              </w:rPr>
            </w:pPr>
            <w:r>
              <w:rPr>
                <w:rFonts w:ascii="Arial" w:hAnsi="Arial" w:cs="Arial"/>
                <w:b/>
                <w:noProof/>
              </w:rPr>
              <w:t>SOUTH WEST WALES CENTRE OF TEACHER EDUCATION</w:t>
            </w:r>
          </w:p>
        </w:tc>
      </w:tr>
    </w:tbl>
    <w:p w:rsidR="00A35F9B" w:rsidRDefault="00A35F9B" w:rsidP="00A35F9B">
      <w:pPr>
        <w:jc w:val="center"/>
        <w:rPr>
          <w:rFonts w:asciiTheme="majorHAnsi" w:hAnsiTheme="majorHAnsi"/>
          <w:b/>
          <w:i/>
          <w:sz w:val="24"/>
          <w:szCs w:val="24"/>
          <w:lang w:eastAsia="en-GB"/>
        </w:rPr>
      </w:pPr>
      <w:r>
        <w:rPr>
          <w:rFonts w:asciiTheme="majorHAnsi" w:hAnsiTheme="majorHAnsi"/>
          <w:b/>
          <w:i/>
        </w:rPr>
        <w:t>Sections marked with * should be completed by module lead</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5"/>
        <w:gridCol w:w="3783"/>
        <w:gridCol w:w="2770"/>
        <w:gridCol w:w="1957"/>
      </w:tblGrid>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Student name:</w:t>
            </w:r>
          </w:p>
        </w:tc>
        <w:tc>
          <w:tcPr>
            <w:tcW w:w="3781" w:type="dxa"/>
            <w:tcBorders>
              <w:top w:val="single" w:sz="4" w:space="0" w:color="auto"/>
              <w:left w:val="single" w:sz="4" w:space="0" w:color="auto"/>
              <w:bottom w:val="single" w:sz="4" w:space="0" w:color="auto"/>
              <w:right w:val="single" w:sz="4" w:space="0" w:color="auto"/>
            </w:tcBorders>
          </w:tcPr>
          <w:p w:rsidR="00A35F9B" w:rsidRDefault="00A35F9B">
            <w:pPr>
              <w:spacing w:before="120" w:after="120"/>
              <w:jc w:val="both"/>
              <w:rPr>
                <w:rFonts w:cs="Arial"/>
                <w:b/>
              </w:rPr>
            </w:pPr>
            <w:r>
              <w:rPr>
                <w:rFonts w:cs="Arial"/>
                <w:b/>
              </w:rPr>
              <w:t xml:space="preserve">Catrin </w:t>
            </w:r>
            <w:proofErr w:type="spellStart"/>
            <w:r>
              <w:rPr>
                <w:rFonts w:cs="Arial"/>
                <w:b/>
              </w:rPr>
              <w:t>Mair</w:t>
            </w:r>
            <w:proofErr w:type="spellEnd"/>
            <w:r>
              <w:rPr>
                <w:rFonts w:cs="Arial"/>
                <w:b/>
              </w:rPr>
              <w:t xml:space="preserve"> Thomas</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rsidR="00A35F9B" w:rsidRDefault="00A35F9B">
            <w:pPr>
              <w:spacing w:before="120" w:after="120"/>
              <w:jc w:val="both"/>
              <w:rPr>
                <w:rFonts w:cs="Arial"/>
                <w:b/>
              </w:rPr>
            </w:pPr>
            <w:r>
              <w:rPr>
                <w:rFonts w:cs="Arial"/>
                <w:b/>
              </w:rPr>
              <w:t>Student number:</w:t>
            </w:r>
          </w:p>
        </w:tc>
        <w:tc>
          <w:tcPr>
            <w:tcW w:w="1956" w:type="dxa"/>
            <w:tcBorders>
              <w:top w:val="single" w:sz="4" w:space="0" w:color="auto"/>
              <w:left w:val="single" w:sz="4" w:space="0" w:color="auto"/>
              <w:bottom w:val="single" w:sz="4" w:space="0" w:color="auto"/>
              <w:right w:val="single" w:sz="4" w:space="0" w:color="auto"/>
            </w:tcBorders>
          </w:tcPr>
          <w:p w:rsidR="00A35F9B" w:rsidRDefault="00A35F9B">
            <w:pPr>
              <w:spacing w:before="120" w:after="120"/>
              <w:jc w:val="both"/>
              <w:rPr>
                <w:rFonts w:cs="Arial"/>
                <w:b/>
              </w:rPr>
            </w:pPr>
            <w:r>
              <w:rPr>
                <w:rFonts w:cs="Arial"/>
                <w:b/>
              </w:rPr>
              <w:t>1500011</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 xml:space="preserve">Programme: </w:t>
            </w:r>
          </w:p>
        </w:tc>
        <w:tc>
          <w:tcPr>
            <w:tcW w:w="8505" w:type="dxa"/>
            <w:gridSpan w:val="3"/>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 xml:space="preserve">BA Primary Education with QTS </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Module: *</w:t>
            </w:r>
          </w:p>
        </w:tc>
        <w:tc>
          <w:tcPr>
            <w:tcW w:w="3781"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rPr>
                <w:rFonts w:cs="Arial"/>
                <w:b/>
              </w:rPr>
            </w:pPr>
            <w:r>
              <w:rPr>
                <w:rFonts w:cs="Arial"/>
                <w:b/>
              </w:rPr>
              <w:t xml:space="preserve">Enterprising and Creative Teaching and Learning / ECAD6004C - </w:t>
            </w:r>
            <w:proofErr w:type="spellStart"/>
            <w:r>
              <w:rPr>
                <w:rFonts w:cs="Arial"/>
                <w:b/>
              </w:rPr>
              <w:t>Addysgu</w:t>
            </w:r>
            <w:proofErr w:type="spellEnd"/>
            <w:r>
              <w:rPr>
                <w:rFonts w:cs="Arial"/>
                <w:b/>
              </w:rPr>
              <w:t xml:space="preserve"> a </w:t>
            </w:r>
            <w:proofErr w:type="spellStart"/>
            <w:r>
              <w:rPr>
                <w:rFonts w:cs="Arial"/>
                <w:b/>
              </w:rPr>
              <w:t>Dysgu</w:t>
            </w:r>
            <w:proofErr w:type="spellEnd"/>
            <w:r>
              <w:rPr>
                <w:rFonts w:cs="Arial"/>
                <w:b/>
              </w:rPr>
              <w:t xml:space="preserve"> </w:t>
            </w:r>
            <w:proofErr w:type="spellStart"/>
            <w:r>
              <w:rPr>
                <w:rFonts w:cs="Arial"/>
                <w:b/>
              </w:rPr>
              <w:t>Mentrus</w:t>
            </w:r>
            <w:proofErr w:type="spellEnd"/>
            <w:r>
              <w:rPr>
                <w:rFonts w:cs="Arial"/>
                <w:b/>
              </w:rPr>
              <w:t xml:space="preserve"> a </w:t>
            </w:r>
            <w:proofErr w:type="spellStart"/>
            <w:r>
              <w:rPr>
                <w:rFonts w:cs="Arial"/>
                <w:b/>
              </w:rPr>
              <w:t>Chreadigol</w:t>
            </w:r>
            <w:proofErr w:type="spellEnd"/>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rsidR="00A35F9B" w:rsidRDefault="00A35F9B">
            <w:pPr>
              <w:spacing w:before="120" w:after="120"/>
              <w:jc w:val="both"/>
              <w:rPr>
                <w:rFonts w:cs="Arial"/>
                <w:b/>
              </w:rPr>
            </w:pPr>
            <w:r>
              <w:rPr>
                <w:rFonts w:cs="Arial"/>
                <w:b/>
              </w:rPr>
              <w:t xml:space="preserve">Module Level (4, 5, 6): </w:t>
            </w:r>
          </w:p>
        </w:tc>
        <w:tc>
          <w:tcPr>
            <w:tcW w:w="1956"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6</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Module code: *</w:t>
            </w:r>
          </w:p>
        </w:tc>
        <w:tc>
          <w:tcPr>
            <w:tcW w:w="3781"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ECAD6004/C</w:t>
            </w:r>
          </w:p>
        </w:tc>
        <w:tc>
          <w:tcPr>
            <w:tcW w:w="2768" w:type="dxa"/>
            <w:tcBorders>
              <w:top w:val="single" w:sz="4" w:space="0" w:color="auto"/>
              <w:left w:val="single" w:sz="4" w:space="0" w:color="auto"/>
              <w:bottom w:val="single" w:sz="4" w:space="0" w:color="auto"/>
              <w:right w:val="single" w:sz="4" w:space="0" w:color="auto"/>
            </w:tcBorders>
            <w:shd w:val="clear" w:color="auto" w:fill="D9D9D9"/>
            <w:hideMark/>
          </w:tcPr>
          <w:p w:rsidR="00A35F9B" w:rsidRDefault="00A35F9B">
            <w:pPr>
              <w:pStyle w:val="Heading2"/>
              <w:rPr>
                <w:rFonts w:ascii="Calibri" w:hAnsi="Calibri" w:cs="Arial"/>
                <w:b/>
                <w:sz w:val="22"/>
                <w:szCs w:val="22"/>
              </w:rPr>
            </w:pPr>
            <w:r>
              <w:rPr>
                <w:rFonts w:ascii="Calibri" w:hAnsi="Calibri" w:cs="Arial"/>
                <w:sz w:val="22"/>
                <w:szCs w:val="22"/>
              </w:rPr>
              <w:t xml:space="preserve">Contribution to Overall </w:t>
            </w:r>
          </w:p>
          <w:p w:rsidR="00A35F9B" w:rsidRDefault="00A35F9B">
            <w:pPr>
              <w:rPr>
                <w:rFonts w:cs="Arial"/>
                <w:b/>
              </w:rPr>
            </w:pPr>
            <w:r>
              <w:rPr>
                <w:rFonts w:cs="Arial"/>
                <w:b/>
              </w:rPr>
              <w:t>Module Assessment (%): *</w:t>
            </w:r>
          </w:p>
        </w:tc>
        <w:tc>
          <w:tcPr>
            <w:tcW w:w="1956"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50%</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 xml:space="preserve">Module </w:t>
            </w:r>
            <w:proofErr w:type="gramStart"/>
            <w:r>
              <w:rPr>
                <w:rFonts w:cs="Arial"/>
                <w:b/>
              </w:rPr>
              <w:t>Lead:*</w:t>
            </w:r>
            <w:proofErr w:type="gramEnd"/>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A35F9B" w:rsidRDefault="00A35F9B">
            <w:pPr>
              <w:spacing w:before="120" w:after="120"/>
              <w:jc w:val="both"/>
              <w:rPr>
                <w:rFonts w:cs="Arial"/>
                <w:b/>
              </w:rPr>
            </w:pPr>
            <w:r>
              <w:rPr>
                <w:rFonts w:cs="Arial"/>
                <w:b/>
              </w:rPr>
              <w:t>Mr T. Cox</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 xml:space="preserve">Start </w:t>
            </w:r>
            <w:proofErr w:type="gramStart"/>
            <w:r>
              <w:rPr>
                <w:rFonts w:cs="Arial"/>
                <w:b/>
              </w:rPr>
              <w:t>date:*</w:t>
            </w:r>
            <w:proofErr w:type="gramEnd"/>
          </w:p>
        </w:tc>
        <w:tc>
          <w:tcPr>
            <w:tcW w:w="3781"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3/10/17</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Assignment No (x of x</w:t>
            </w:r>
            <w:proofErr w:type="gramStart"/>
            <w:r>
              <w:rPr>
                <w:rFonts w:cs="Arial"/>
                <w:b/>
              </w:rPr>
              <w:t>):*</w:t>
            </w:r>
            <w:proofErr w:type="gramEnd"/>
          </w:p>
        </w:tc>
        <w:tc>
          <w:tcPr>
            <w:tcW w:w="1956"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2 of 2</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 xml:space="preserve">Submission </w:t>
            </w:r>
            <w:proofErr w:type="gramStart"/>
            <w:r>
              <w:rPr>
                <w:rFonts w:cs="Arial"/>
                <w:b/>
              </w:rPr>
              <w:t>deadline:*</w:t>
            </w:r>
            <w:proofErr w:type="gramEnd"/>
          </w:p>
        </w:tc>
        <w:tc>
          <w:tcPr>
            <w:tcW w:w="3781"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8/3/18</w:t>
            </w:r>
          </w:p>
        </w:tc>
        <w:tc>
          <w:tcPr>
            <w:tcW w:w="2768"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 xml:space="preserve">Return date of provisional marks &amp; written </w:t>
            </w:r>
            <w:proofErr w:type="gramStart"/>
            <w:r>
              <w:rPr>
                <w:rFonts w:cs="Arial"/>
                <w:b/>
              </w:rPr>
              <w:t>feedback:*</w:t>
            </w:r>
            <w:proofErr w:type="gramEnd"/>
          </w:p>
        </w:tc>
        <w:tc>
          <w:tcPr>
            <w:tcW w:w="1956"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Arial"/>
                <w:b/>
              </w:rPr>
            </w:pPr>
            <w:r>
              <w:rPr>
                <w:rFonts w:cs="Arial"/>
                <w:b/>
              </w:rPr>
              <w:t>5/4/18</w:t>
            </w:r>
          </w:p>
        </w:tc>
      </w:tr>
      <w:tr w:rsidR="00A35F9B" w:rsidTr="00A35F9B">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Arial"/>
                <w:b/>
              </w:rPr>
            </w:pPr>
            <w:r>
              <w:rPr>
                <w:rFonts w:cs="Arial"/>
                <w:b/>
              </w:rPr>
              <w:t xml:space="preserve">Assignment </w:t>
            </w:r>
            <w:proofErr w:type="gramStart"/>
            <w:r>
              <w:rPr>
                <w:rFonts w:cs="Arial"/>
                <w:b/>
              </w:rPr>
              <w:t>Title:*</w:t>
            </w:r>
            <w:proofErr w:type="gramEnd"/>
          </w:p>
        </w:tc>
        <w:tc>
          <w:tcPr>
            <w:tcW w:w="8505" w:type="dxa"/>
            <w:gridSpan w:val="3"/>
            <w:tcBorders>
              <w:top w:val="single" w:sz="4" w:space="0" w:color="auto"/>
              <w:left w:val="single" w:sz="4" w:space="0" w:color="auto"/>
              <w:bottom w:val="single" w:sz="4" w:space="0" w:color="auto"/>
              <w:right w:val="single" w:sz="4" w:space="0" w:color="auto"/>
            </w:tcBorders>
          </w:tcPr>
          <w:p w:rsidR="00A35F9B" w:rsidRDefault="00A35F9B">
            <w:pPr>
              <w:rPr>
                <w:rFonts w:cs="Arial"/>
                <w:b/>
              </w:rPr>
            </w:pPr>
            <w:bookmarkStart w:id="0" w:name="_GoBack"/>
            <w:r>
              <w:rPr>
                <w:rFonts w:cs="Arial"/>
                <w:b/>
              </w:rPr>
              <w:t>Consider how you might be able to develop the creative or enterprising skills of learners through your own pedagogy.</w:t>
            </w:r>
            <w:bookmarkEnd w:id="0"/>
          </w:p>
        </w:tc>
      </w:tr>
    </w:tbl>
    <w:p w:rsidR="00A35F9B" w:rsidRDefault="00A35F9B" w:rsidP="00A35F9B">
      <w:pPr>
        <w:rPr>
          <w:rFonts w:ascii="Times New Roman" w:hAnsi="Times New Roman"/>
          <w:vanish/>
          <w:sz w:val="24"/>
          <w:szCs w:val="24"/>
          <w:lang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A35F9B" w:rsidTr="00A35F9B">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A35F9B" w:rsidRDefault="00A35F9B">
            <w:pPr>
              <w:rPr>
                <w:rFonts w:cs="Arial"/>
                <w:b/>
              </w:rPr>
            </w:pPr>
            <w:r>
              <w:rPr>
                <w:rFonts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rsidR="00A35F9B" w:rsidRDefault="00A35F9B">
            <w:pPr>
              <w:pStyle w:val="BodyText2"/>
              <w:rPr>
                <w:rFonts w:ascii="Calibri" w:hAnsi="Calibri" w:cs="Arial"/>
                <w:sz w:val="18"/>
                <w:szCs w:val="18"/>
                <w:lang w:eastAsia="en-US"/>
              </w:rPr>
            </w:pPr>
            <w:r>
              <w:rPr>
                <w:rFonts w:ascii="Calibri" w:hAnsi="Calibri" w:cs="Arial"/>
                <w:sz w:val="18"/>
                <w:szCs w:val="18"/>
                <w:lang w:eastAsia="en-US"/>
              </w:rPr>
              <w:t xml:space="preserve">In the presentation and summary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Pr>
                <w:rFonts w:ascii="Calibri" w:hAnsi="Calibri" w:cs="Arial"/>
                <w:sz w:val="18"/>
                <w:szCs w:val="18"/>
                <w:u w:val="single"/>
                <w:lang w:eastAsia="en-US"/>
              </w:rPr>
              <w:t>title of book</w:t>
            </w:r>
            <w:r>
              <w:rPr>
                <w:rFonts w:ascii="Calibri" w:hAnsi="Calibri" w:cs="Arial"/>
                <w:sz w:val="18"/>
                <w:szCs w:val="18"/>
                <w:lang w:eastAsia="en-US"/>
              </w:rPr>
              <w:t>, edition, publisher: place of publication).</w:t>
            </w:r>
          </w:p>
        </w:tc>
      </w:tr>
      <w:tr w:rsidR="00A35F9B" w:rsidTr="00A35F9B">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A35F9B" w:rsidRDefault="00A35F9B">
            <w:pPr>
              <w:rPr>
                <w:rFonts w:cs="Arial"/>
                <w:b/>
              </w:rPr>
            </w:pPr>
            <w:r>
              <w:rPr>
                <w:rFonts w:cs="Arial"/>
                <w:b/>
              </w:rPr>
              <w:t>Submission:</w:t>
            </w:r>
          </w:p>
        </w:tc>
        <w:tc>
          <w:tcPr>
            <w:tcW w:w="6521" w:type="dxa"/>
            <w:tcBorders>
              <w:top w:val="single" w:sz="6" w:space="0" w:color="auto"/>
              <w:left w:val="single" w:sz="6" w:space="0" w:color="auto"/>
              <w:bottom w:val="single" w:sz="6" w:space="0" w:color="auto"/>
              <w:right w:val="single" w:sz="6" w:space="0" w:color="auto"/>
            </w:tcBorders>
          </w:tcPr>
          <w:p w:rsidR="00A35F9B" w:rsidRDefault="00A35F9B">
            <w:pPr>
              <w:spacing w:before="120" w:after="120"/>
              <w:jc w:val="both"/>
              <w:rPr>
                <w:rFonts w:cs="Arial"/>
              </w:rPr>
            </w:pPr>
            <w:r>
              <w:rPr>
                <w:rFonts w:cs="Arial"/>
                <w:b/>
              </w:rPr>
              <w:t xml:space="preserve">All assignments must be submitted to </w:t>
            </w:r>
            <w:proofErr w:type="spellStart"/>
            <w:r>
              <w:rPr>
                <w:rFonts w:cs="Arial"/>
                <w:b/>
              </w:rPr>
              <w:t>Turnitin</w:t>
            </w:r>
            <w:proofErr w:type="spellEnd"/>
            <w:r>
              <w:rPr>
                <w:rFonts w:cs="Arial"/>
                <w:b/>
              </w:rPr>
              <w:t xml:space="preserve"> unless otherwise instructed by the Lecturer. </w:t>
            </w:r>
          </w:p>
          <w:p w:rsidR="00A35F9B" w:rsidRDefault="00A35F9B">
            <w:pPr>
              <w:pStyle w:val="ListParagraph"/>
              <w:ind w:left="0"/>
              <w:rPr>
                <w:rFonts w:asciiTheme="majorHAnsi" w:hAnsiTheme="majorHAnsi"/>
              </w:rPr>
            </w:pPr>
            <w:r>
              <w:rPr>
                <w:rFonts w:asciiTheme="majorHAnsi" w:hAnsiTheme="majorHAnsi" w:cs="Arial"/>
                <w:b/>
              </w:rPr>
              <w:t>Note</w:t>
            </w:r>
            <w:r>
              <w:rPr>
                <w:rFonts w:asciiTheme="majorHAnsi" w:hAnsiTheme="majorHAnsi" w:cs="Arial"/>
              </w:rPr>
              <w:t xml:space="preserve">: the </w:t>
            </w:r>
            <w:proofErr w:type="spellStart"/>
            <w:r>
              <w:rPr>
                <w:rFonts w:asciiTheme="majorHAnsi" w:hAnsiTheme="majorHAnsi" w:cs="Arial"/>
              </w:rPr>
              <w:t>Turnitin</w:t>
            </w:r>
            <w:proofErr w:type="spellEnd"/>
            <w:r>
              <w:rPr>
                <w:rFonts w:asciiTheme="majorHAnsi" w:hAnsiTheme="majorHAnsi" w:cs="Arial"/>
              </w:rPr>
              <w:t xml:space="preserve"> version is the primary submission and acts as a receipt for the student.  </w:t>
            </w:r>
            <w:r>
              <w:rPr>
                <w:rFonts w:asciiTheme="majorHAnsi" w:hAnsiTheme="majorHAnsi" w:cs="Arial"/>
                <w:b/>
              </w:rPr>
              <w:t xml:space="preserve">Late submission of the electronic version of the assignment will result in a late penalty.  </w:t>
            </w:r>
            <w:r>
              <w:rPr>
                <w:rFonts w:asciiTheme="majorHAnsi" w:hAnsiTheme="majorHAnsi" w:cs="Arial"/>
              </w:rPr>
              <w:t xml:space="preserve">Penalties for late submission: Up to one week late, maximum 40%.  Over one week late will </w:t>
            </w:r>
            <w:r>
              <w:rPr>
                <w:rFonts w:asciiTheme="majorHAnsi" w:hAnsiTheme="majorHAnsi"/>
              </w:rPr>
              <w:t>be recorded as a non-submission.</w:t>
            </w:r>
            <w:r>
              <w:rPr>
                <w:rFonts w:asciiTheme="majorHAnsi" w:hAnsiTheme="majorHAnsi" w:cs="Arial"/>
              </w:rPr>
              <w:t xml:space="preserve"> </w:t>
            </w:r>
            <w:r>
              <w:rPr>
                <w:rFonts w:asciiTheme="majorHAnsi" w:hAnsiTheme="majorHAnsi"/>
              </w:rPr>
              <w:t xml:space="preserve"> Late submission penalties may be lifted only with the approval of the Extenuating Circumstances Panel.</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rsidR="00A35F9B" w:rsidRDefault="00A35F9B">
            <w:pPr>
              <w:rPr>
                <w:rFonts w:cs="Arial"/>
                <w:b/>
              </w:rPr>
            </w:pPr>
            <w:r>
              <w:rPr>
                <w:rFonts w:cs="Arial"/>
                <w:b/>
              </w:rPr>
              <w:br/>
              <w:t>Date:</w:t>
            </w:r>
          </w:p>
        </w:tc>
        <w:tc>
          <w:tcPr>
            <w:tcW w:w="1134" w:type="dxa"/>
            <w:tcBorders>
              <w:top w:val="single" w:sz="6" w:space="0" w:color="auto"/>
              <w:left w:val="single" w:sz="6" w:space="0" w:color="auto"/>
              <w:bottom w:val="single" w:sz="6" w:space="0" w:color="auto"/>
              <w:right w:val="single" w:sz="6" w:space="0" w:color="auto"/>
            </w:tcBorders>
          </w:tcPr>
          <w:p w:rsidR="00A35F9B" w:rsidRDefault="00A35F9B">
            <w:pPr>
              <w:rPr>
                <w:rFonts w:cs="Arial"/>
                <w:b/>
              </w:rPr>
            </w:pPr>
          </w:p>
          <w:p w:rsidR="00A35F9B" w:rsidRDefault="00A35F9B">
            <w:pPr>
              <w:rPr>
                <w:rFonts w:cs="Arial"/>
                <w:b/>
                <w:sz w:val="24"/>
                <w:szCs w:val="24"/>
              </w:rPr>
            </w:pPr>
            <w:r>
              <w:rPr>
                <w:rFonts w:cs="Arial"/>
                <w:b/>
              </w:rPr>
              <w:t>8/3/18</w:t>
            </w:r>
          </w:p>
        </w:tc>
      </w:tr>
    </w:tbl>
    <w:p w:rsidR="00A35F9B" w:rsidRDefault="00A35F9B" w:rsidP="00A35F9B">
      <w:pPr>
        <w:rPr>
          <w:rFonts w:ascii="Times New Roman" w:hAnsi="Times New Roman"/>
          <w:vanish/>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A35F9B" w:rsidTr="00A35F9B">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Calibri"/>
                <w:b/>
              </w:rPr>
            </w:pPr>
            <w:r>
              <w:rPr>
                <w:rFonts w:cs="Arial"/>
              </w:rPr>
              <w:t xml:space="preserve">Module lead to tick to indicate if a hard copy version of the assignment must be </w:t>
            </w:r>
            <w:proofErr w:type="gramStart"/>
            <w:r>
              <w:rPr>
                <w:rFonts w:cs="Arial"/>
              </w:rPr>
              <w:t>submitted.*</w:t>
            </w:r>
            <w:proofErr w:type="gramEnd"/>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Calibri"/>
                <w:b/>
                <w:sz w:val="20"/>
                <w:szCs w:val="24"/>
              </w:rPr>
            </w:pPr>
            <w:r>
              <w:rPr>
                <w:rFonts w:cs="Calibri"/>
                <w:b/>
                <w:sz w:val="20"/>
              </w:rPr>
              <w:t>YES</w:t>
            </w:r>
          </w:p>
        </w:tc>
        <w:tc>
          <w:tcPr>
            <w:tcW w:w="567" w:type="dxa"/>
            <w:tcBorders>
              <w:top w:val="single" w:sz="4" w:space="0" w:color="auto"/>
              <w:left w:val="single" w:sz="4" w:space="0" w:color="auto"/>
              <w:bottom w:val="single" w:sz="4" w:space="0" w:color="auto"/>
              <w:right w:val="single" w:sz="4" w:space="0" w:color="auto"/>
            </w:tcBorders>
          </w:tcPr>
          <w:p w:rsidR="00A35F9B" w:rsidRDefault="00A35F9B">
            <w:pPr>
              <w:spacing w:before="120" w:after="120"/>
              <w:jc w:val="both"/>
              <w:rPr>
                <w:rFonts w:cs="Calibri"/>
                <w:b/>
                <w:sz w:val="24"/>
              </w:rPr>
            </w:pPr>
          </w:p>
        </w:tc>
      </w:tr>
      <w:tr w:rsidR="00A35F9B" w:rsidTr="00A35F9B">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A35F9B" w:rsidRDefault="00A35F9B">
            <w:pPr>
              <w:rPr>
                <w:rFonts w:cs="Calibri"/>
                <w: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A35F9B" w:rsidRDefault="00A35F9B">
            <w:pPr>
              <w:spacing w:before="120" w:after="120"/>
              <w:jc w:val="both"/>
              <w:rPr>
                <w:rFonts w:cs="Calibri"/>
                <w:b/>
                <w:sz w:val="20"/>
              </w:rPr>
            </w:pPr>
            <w:r>
              <w:rPr>
                <w:rFonts w:cs="Calibri"/>
                <w:b/>
                <w:sz w:val="20"/>
              </w:rPr>
              <w:t>NO</w:t>
            </w:r>
          </w:p>
        </w:tc>
        <w:tc>
          <w:tcPr>
            <w:tcW w:w="567" w:type="dxa"/>
            <w:tcBorders>
              <w:top w:val="single" w:sz="4" w:space="0" w:color="auto"/>
              <w:left w:val="single" w:sz="4" w:space="0" w:color="auto"/>
              <w:bottom w:val="single" w:sz="4" w:space="0" w:color="auto"/>
              <w:right w:val="single" w:sz="4" w:space="0" w:color="auto"/>
            </w:tcBorders>
            <w:hideMark/>
          </w:tcPr>
          <w:p w:rsidR="00A35F9B" w:rsidRDefault="00A35F9B">
            <w:pPr>
              <w:spacing w:before="120" w:after="120"/>
              <w:jc w:val="both"/>
              <w:rPr>
                <w:rFonts w:cs="Calibri"/>
                <w:b/>
                <w:sz w:val="24"/>
              </w:rPr>
            </w:pPr>
            <w:r>
              <w:rPr>
                <w:rFonts w:cs="Calibri"/>
                <w:b/>
              </w:rPr>
              <w:t>X</w:t>
            </w:r>
          </w:p>
        </w:tc>
      </w:tr>
    </w:tbl>
    <w:p w:rsidR="00A35F9B" w:rsidRPr="00A35F9B" w:rsidRDefault="00A35F9B" w:rsidP="00A35F9B">
      <w:pPr>
        <w:suppressAutoHyphens w:val="0"/>
        <w:rPr>
          <w:rFonts w:ascii="Arial" w:hAnsi="Arial" w:cs="Arial"/>
          <w:sz w:val="20"/>
          <w:u w:val="single"/>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35F9B" w:rsidTr="00A35F9B">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rsidR="00A35F9B" w:rsidRDefault="00A35F9B">
            <w:pPr>
              <w:jc w:val="center"/>
              <w:rPr>
                <w:rFonts w:cs="Calibri"/>
                <w:b/>
                <w:color w:val="000000"/>
              </w:rPr>
            </w:pPr>
            <w:r>
              <w:rPr>
                <w:rFonts w:cs="Calibri"/>
                <w:b/>
                <w:color w:val="000000"/>
                <w:sz w:val="40"/>
              </w:rPr>
              <w:lastRenderedPageBreak/>
              <w:t>Student Self Evaluation Form</w:t>
            </w:r>
          </w:p>
        </w:tc>
      </w:tr>
    </w:tbl>
    <w:p w:rsidR="00A35F9B" w:rsidRDefault="00A35F9B" w:rsidP="00A35F9B">
      <w:pPr>
        <w:pStyle w:val="BodyText1"/>
        <w:jc w:val="both"/>
        <w:rPr>
          <w:rFonts w:ascii="Calibri" w:hAnsi="Calibri"/>
          <w:sz w:val="20"/>
        </w:rPr>
      </w:pPr>
    </w:p>
    <w:p w:rsidR="00A35F9B" w:rsidRDefault="00A35F9B" w:rsidP="00A35F9B">
      <w:pPr>
        <w:pStyle w:val="BodyText1"/>
        <w:jc w:val="both"/>
        <w:rPr>
          <w:rFonts w:ascii="Calibri" w:hAnsi="Calibri"/>
          <w:sz w:val="22"/>
          <w:szCs w:val="22"/>
        </w:rPr>
      </w:pPr>
    </w:p>
    <w:tbl>
      <w:tblPr>
        <w:tblpPr w:leftFromText="180" w:rightFromText="180" w:vertAnchor="text" w:horzAnchor="page" w:tblpXSpec="center" w:tblpY="-42"/>
        <w:tblW w:w="4950" w:type="pct"/>
        <w:tblLook w:val="04A0" w:firstRow="1" w:lastRow="0" w:firstColumn="1" w:lastColumn="0" w:noHBand="0" w:noVBand="1"/>
      </w:tblPr>
      <w:tblGrid>
        <w:gridCol w:w="2184"/>
        <w:gridCol w:w="1166"/>
        <w:gridCol w:w="1170"/>
        <w:gridCol w:w="1132"/>
        <w:gridCol w:w="1130"/>
        <w:gridCol w:w="1238"/>
        <w:gridCol w:w="1168"/>
        <w:gridCol w:w="1163"/>
      </w:tblGrid>
      <w:tr w:rsidR="00A35F9B" w:rsidTr="00A35F9B">
        <w:trPr>
          <w:trHeight w:val="278"/>
        </w:trPr>
        <w:tc>
          <w:tcPr>
            <w:tcW w:w="105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rPr>
                <w:b/>
                <w:szCs w:val="24"/>
              </w:rPr>
            </w:pPr>
            <w:r>
              <w:rPr>
                <w:b/>
                <w:szCs w:val="16"/>
              </w:rPr>
              <w:t xml:space="preserve">Common Assessment Criteria </w:t>
            </w:r>
            <w:r>
              <w:rPr>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hideMark/>
          </w:tcPr>
          <w:p w:rsidR="00A35F9B" w:rsidRDefault="00A35F9B">
            <w:pPr>
              <w:rPr>
                <w:b/>
              </w:rPr>
            </w:pPr>
            <w:r>
              <w:rPr>
                <w:b/>
              </w:rPr>
              <w:t>Level of Achievement</w:t>
            </w:r>
          </w:p>
        </w:tc>
      </w:tr>
      <w:tr w:rsidR="00A35F9B" w:rsidTr="00A35F9B">
        <w:trPr>
          <w:trHeight w:val="5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5F9B" w:rsidRDefault="00A35F9B">
            <w:pPr>
              <w:rPr>
                <w:b/>
                <w:szCs w:val="24"/>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A35F9B" w:rsidRDefault="00A35F9B">
            <w:pPr>
              <w:jc w:val="center"/>
              <w:rPr>
                <w:b/>
                <w:sz w:val="18"/>
              </w:rPr>
            </w:pPr>
          </w:p>
          <w:p w:rsidR="00A35F9B" w:rsidRDefault="00A35F9B">
            <w:pPr>
              <w:jc w:val="center"/>
              <w:rPr>
                <w:b/>
                <w:sz w:val="18"/>
              </w:rPr>
            </w:pPr>
            <w:r>
              <w:rPr>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A35F9B" w:rsidRDefault="00A35F9B">
            <w:pPr>
              <w:jc w:val="center"/>
              <w:rPr>
                <w:b/>
                <w:sz w:val="18"/>
              </w:rPr>
            </w:pPr>
          </w:p>
          <w:p w:rsidR="00A35F9B" w:rsidRDefault="00A35F9B">
            <w:pPr>
              <w:jc w:val="center"/>
              <w:rPr>
                <w:b/>
                <w:sz w:val="18"/>
              </w:rPr>
            </w:pPr>
            <w:r>
              <w:rPr>
                <w:b/>
                <w:sz w:val="18"/>
              </w:rPr>
              <w:t>3</w:t>
            </w:r>
            <w:r>
              <w:rPr>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A35F9B" w:rsidRDefault="00A35F9B">
            <w:pPr>
              <w:jc w:val="center"/>
              <w:rPr>
                <w:b/>
                <w:sz w:val="18"/>
              </w:rPr>
            </w:pPr>
          </w:p>
          <w:p w:rsidR="00A35F9B" w:rsidRDefault="00A35F9B">
            <w:pPr>
              <w:jc w:val="center"/>
              <w:rPr>
                <w:b/>
                <w:sz w:val="18"/>
              </w:rPr>
            </w:pPr>
            <w:r>
              <w:rPr>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A35F9B" w:rsidRDefault="00A35F9B">
            <w:pPr>
              <w:jc w:val="center"/>
              <w:rPr>
                <w:b/>
                <w:sz w:val="18"/>
              </w:rPr>
            </w:pPr>
          </w:p>
          <w:p w:rsidR="00A35F9B" w:rsidRDefault="00A35F9B">
            <w:pPr>
              <w:jc w:val="center"/>
              <w:rPr>
                <w:b/>
                <w:sz w:val="18"/>
              </w:rPr>
            </w:pPr>
            <w:r>
              <w:rPr>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A35F9B" w:rsidRDefault="00A35F9B">
            <w:pPr>
              <w:jc w:val="center"/>
              <w:rPr>
                <w:b/>
                <w:sz w:val="18"/>
              </w:rPr>
            </w:pPr>
          </w:p>
          <w:p w:rsidR="00A35F9B" w:rsidRDefault="00A35F9B">
            <w:pPr>
              <w:jc w:val="center"/>
              <w:rPr>
                <w:b/>
                <w:sz w:val="18"/>
              </w:rPr>
            </w:pPr>
            <w:r>
              <w:rPr>
                <w:b/>
                <w:sz w:val="18"/>
              </w:rPr>
              <w:t>1</w:t>
            </w:r>
            <w:r>
              <w:rPr>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A35F9B" w:rsidRDefault="00A35F9B">
            <w:pPr>
              <w:jc w:val="center"/>
              <w:rPr>
                <w:b/>
                <w:sz w:val="18"/>
              </w:rPr>
            </w:pPr>
          </w:p>
          <w:p w:rsidR="00A35F9B" w:rsidRDefault="00A35F9B">
            <w:pPr>
              <w:jc w:val="center"/>
              <w:rPr>
                <w:b/>
                <w:sz w:val="18"/>
              </w:rPr>
            </w:pPr>
            <w:r>
              <w:rPr>
                <w:b/>
                <w:sz w:val="18"/>
              </w:rPr>
              <w:t>1</w:t>
            </w:r>
            <w:r>
              <w:rPr>
                <w:b/>
                <w:sz w:val="18"/>
                <w:vertAlign w:val="superscript"/>
              </w:rPr>
              <w:t>st</w:t>
            </w:r>
          </w:p>
        </w:tc>
      </w:tr>
      <w:tr w:rsidR="00A35F9B" w:rsidTr="00A35F9B">
        <w:trPr>
          <w:trHeight w:val="468"/>
        </w:trPr>
        <w:tc>
          <w:tcPr>
            <w:tcW w:w="1055" w:type="pct"/>
            <w:tcBorders>
              <w:top w:val="single" w:sz="4" w:space="0" w:color="auto"/>
              <w:left w:val="single" w:sz="4" w:space="0" w:color="auto"/>
              <w:bottom w:val="nil"/>
              <w:right w:val="single" w:sz="4" w:space="0" w:color="auto"/>
            </w:tcBorders>
            <w:shd w:val="clear" w:color="auto" w:fill="BFBFBF"/>
          </w:tcPr>
          <w:p w:rsidR="00A35F9B" w:rsidRDefault="00A35F9B">
            <w:pPr>
              <w:rPr>
                <w:b/>
                <w:sz w:val="24"/>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A35F9B" w:rsidRDefault="00A35F9B">
            <w:pPr>
              <w:spacing w:after="120"/>
              <w:jc w:val="center"/>
              <w:rPr>
                <w:b/>
                <w:sz w:val="12"/>
                <w:szCs w:val="16"/>
              </w:rPr>
            </w:pPr>
            <w:r>
              <w:rPr>
                <w:b/>
                <w:sz w:val="12"/>
                <w:szCs w:val="16"/>
              </w:rPr>
              <w:t>EXCEPTIONAL</w:t>
            </w:r>
          </w:p>
        </w:tc>
      </w:tr>
      <w:tr w:rsidR="00A35F9B" w:rsidTr="00A35F9B">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rsidR="00A35F9B" w:rsidRDefault="00A35F9B">
            <w:pPr>
              <w:rPr>
                <w:sz w:val="14"/>
                <w:szCs w:val="14"/>
              </w:rPr>
            </w:pPr>
            <w:r>
              <w:rPr>
                <w:b/>
                <w:szCs w:val="16"/>
              </w:rPr>
              <w:t xml:space="preserve">1. Subject Knowledge and Understanding </w:t>
            </w:r>
            <w:r>
              <w:rPr>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szCs w:val="24"/>
              </w:rPr>
            </w:pPr>
            <w:r>
              <w:rPr>
                <w:sz w:val="18"/>
              </w:rPr>
              <w:t>0-29%</w:t>
            </w:r>
          </w:p>
        </w:tc>
        <w:tc>
          <w:tcPr>
            <w:tcW w:w="565"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rPr>
            </w:pPr>
            <w:r>
              <w:rPr>
                <w:sz w:val="18"/>
              </w:rPr>
              <w:t>30-39%</w:t>
            </w:r>
          </w:p>
        </w:tc>
        <w:tc>
          <w:tcPr>
            <w:tcW w:w="547"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40-49%</w:t>
            </w:r>
          </w:p>
        </w:tc>
        <w:tc>
          <w:tcPr>
            <w:tcW w:w="546"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50-59%</w:t>
            </w:r>
          </w:p>
        </w:tc>
        <w:tc>
          <w:tcPr>
            <w:tcW w:w="598"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60-69%</w:t>
            </w:r>
          </w:p>
        </w:tc>
        <w:tc>
          <w:tcPr>
            <w:tcW w:w="564"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70-79%</w:t>
            </w:r>
          </w:p>
        </w:tc>
        <w:tc>
          <w:tcPr>
            <w:tcW w:w="562"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80-100%</w:t>
            </w:r>
          </w:p>
        </w:tc>
      </w:tr>
      <w:tr w:rsidR="00A35F9B" w:rsidTr="00A35F9B">
        <w:trPr>
          <w:trHeight w:val="9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5F9B" w:rsidRDefault="00A35F9B">
            <w:pPr>
              <w:rPr>
                <w:sz w:val="14"/>
                <w:szCs w:val="14"/>
              </w:rPr>
            </w:pPr>
          </w:p>
        </w:tc>
        <w:tc>
          <w:tcPr>
            <w:tcW w:w="563"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24"/>
                <w:szCs w:val="32"/>
              </w:rPr>
            </w:pPr>
            <w:r>
              <w:rPr>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rsidR="00A35F9B" w:rsidRPr="002068B4" w:rsidRDefault="00A35F9B" w:rsidP="002068B4">
            <w:pPr>
              <w:pStyle w:val="ListParagraph"/>
              <w:numPr>
                <w:ilvl w:val="0"/>
                <w:numId w:val="2"/>
              </w:numPr>
              <w:ind w:left="360"/>
              <w:rPr>
                <w:szCs w:val="32"/>
              </w:rPr>
            </w:pPr>
          </w:p>
        </w:tc>
        <w:tc>
          <w:tcPr>
            <w:tcW w:w="564"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18"/>
                <w:szCs w:val="32"/>
              </w:rPr>
            </w:pPr>
            <w:r>
              <w:rPr>
                <w:szCs w:val="32"/>
              </w:rPr>
              <w:sym w:font="Wingdings" w:char="F06F"/>
            </w:r>
          </w:p>
        </w:tc>
      </w:tr>
      <w:tr w:rsidR="00A35F9B" w:rsidTr="00A35F9B">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rsidR="00A35F9B" w:rsidRDefault="00A35F9B">
            <w:pPr>
              <w:rPr>
                <w:b/>
                <w:sz w:val="24"/>
                <w:szCs w:val="24"/>
              </w:rPr>
            </w:pPr>
            <w:r>
              <w:rPr>
                <w:b/>
                <w:szCs w:val="16"/>
              </w:rPr>
              <w:t xml:space="preserve">2. Intellectual Skills </w:t>
            </w:r>
            <w:r>
              <w:rPr>
                <w:sz w:val="18"/>
                <w:szCs w:val="18"/>
              </w:rPr>
              <w:t>(Analysis)</w:t>
            </w:r>
          </w:p>
        </w:tc>
        <w:tc>
          <w:tcPr>
            <w:tcW w:w="563"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rPr>
            </w:pPr>
            <w:r>
              <w:rPr>
                <w:sz w:val="18"/>
              </w:rPr>
              <w:t>0-29%</w:t>
            </w:r>
          </w:p>
        </w:tc>
        <w:tc>
          <w:tcPr>
            <w:tcW w:w="565"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rPr>
            </w:pPr>
            <w:r>
              <w:rPr>
                <w:sz w:val="18"/>
              </w:rPr>
              <w:t>30-39%</w:t>
            </w:r>
          </w:p>
        </w:tc>
        <w:tc>
          <w:tcPr>
            <w:tcW w:w="547"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40-49%</w:t>
            </w:r>
          </w:p>
        </w:tc>
        <w:tc>
          <w:tcPr>
            <w:tcW w:w="546"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50-59%</w:t>
            </w:r>
          </w:p>
        </w:tc>
        <w:tc>
          <w:tcPr>
            <w:tcW w:w="598"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60-69%</w:t>
            </w:r>
          </w:p>
        </w:tc>
        <w:tc>
          <w:tcPr>
            <w:tcW w:w="564"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70-79%</w:t>
            </w:r>
          </w:p>
        </w:tc>
        <w:tc>
          <w:tcPr>
            <w:tcW w:w="562"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80-100%</w:t>
            </w:r>
          </w:p>
        </w:tc>
      </w:tr>
      <w:tr w:rsidR="00A35F9B" w:rsidTr="00A35F9B">
        <w:trPr>
          <w:trHeight w:val="9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5F9B" w:rsidRDefault="00A35F9B">
            <w:pPr>
              <w:rPr>
                <w:b/>
                <w:sz w:val="24"/>
                <w:szCs w:val="24"/>
              </w:rPr>
            </w:pPr>
          </w:p>
        </w:tc>
        <w:tc>
          <w:tcPr>
            <w:tcW w:w="563"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24"/>
                <w:szCs w:val="32"/>
              </w:rPr>
            </w:pPr>
            <w:r>
              <w:rPr>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rsidR="00A35F9B" w:rsidRPr="002068B4" w:rsidRDefault="00A35F9B" w:rsidP="002068B4">
            <w:pPr>
              <w:pStyle w:val="ListParagraph"/>
              <w:numPr>
                <w:ilvl w:val="0"/>
                <w:numId w:val="2"/>
              </w:numPr>
              <w:ind w:left="360"/>
              <w:rPr>
                <w:szCs w:val="32"/>
              </w:rPr>
            </w:pPr>
          </w:p>
        </w:tc>
        <w:tc>
          <w:tcPr>
            <w:tcW w:w="598"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18"/>
                <w:szCs w:val="32"/>
              </w:rPr>
            </w:pPr>
            <w:r>
              <w:rPr>
                <w:szCs w:val="32"/>
              </w:rPr>
              <w:sym w:font="Wingdings" w:char="F06F"/>
            </w:r>
          </w:p>
        </w:tc>
      </w:tr>
      <w:tr w:rsidR="00A35F9B" w:rsidTr="00A35F9B">
        <w:trPr>
          <w:trHeight w:val="468"/>
        </w:trPr>
        <w:tc>
          <w:tcPr>
            <w:tcW w:w="1055" w:type="pct"/>
            <w:vMerge w:val="restart"/>
            <w:tcBorders>
              <w:top w:val="single" w:sz="4" w:space="0" w:color="auto"/>
              <w:left w:val="single" w:sz="4" w:space="0" w:color="auto"/>
              <w:bottom w:val="single" w:sz="4" w:space="0" w:color="auto"/>
              <w:right w:val="single" w:sz="4" w:space="0" w:color="auto"/>
            </w:tcBorders>
            <w:hideMark/>
          </w:tcPr>
          <w:p w:rsidR="00A35F9B" w:rsidRDefault="00A35F9B">
            <w:pPr>
              <w:rPr>
                <w:b/>
                <w:sz w:val="24"/>
                <w:szCs w:val="16"/>
              </w:rPr>
            </w:pPr>
            <w:r>
              <w:rPr>
                <w:b/>
                <w:szCs w:val="16"/>
              </w:rPr>
              <w:t>3. Pedagogic and Professional Applications</w:t>
            </w:r>
          </w:p>
          <w:p w:rsidR="00A35F9B" w:rsidRDefault="00A35F9B">
            <w:pPr>
              <w:rPr>
                <w:sz w:val="18"/>
                <w:szCs w:val="18"/>
              </w:rPr>
            </w:pPr>
            <w:r>
              <w:rPr>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szCs w:val="24"/>
              </w:rPr>
            </w:pPr>
            <w:r>
              <w:rPr>
                <w:sz w:val="18"/>
              </w:rPr>
              <w:t>0-29%</w:t>
            </w:r>
          </w:p>
        </w:tc>
        <w:tc>
          <w:tcPr>
            <w:tcW w:w="565"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rPr>
            </w:pPr>
            <w:r>
              <w:rPr>
                <w:sz w:val="18"/>
              </w:rPr>
              <w:t>30-39%</w:t>
            </w:r>
          </w:p>
        </w:tc>
        <w:tc>
          <w:tcPr>
            <w:tcW w:w="547"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40-49%</w:t>
            </w:r>
          </w:p>
        </w:tc>
        <w:tc>
          <w:tcPr>
            <w:tcW w:w="546"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50-59%</w:t>
            </w:r>
          </w:p>
        </w:tc>
        <w:tc>
          <w:tcPr>
            <w:tcW w:w="598"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60-69%</w:t>
            </w:r>
          </w:p>
        </w:tc>
        <w:tc>
          <w:tcPr>
            <w:tcW w:w="564"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70-79%</w:t>
            </w:r>
          </w:p>
        </w:tc>
        <w:tc>
          <w:tcPr>
            <w:tcW w:w="562"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80-100%</w:t>
            </w:r>
          </w:p>
        </w:tc>
      </w:tr>
      <w:tr w:rsidR="00A35F9B" w:rsidTr="00A35F9B">
        <w:trPr>
          <w:trHeight w:val="1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5F9B" w:rsidRDefault="00A35F9B">
            <w:pPr>
              <w:rPr>
                <w:sz w:val="18"/>
                <w:szCs w:val="18"/>
              </w:rPr>
            </w:pPr>
          </w:p>
        </w:tc>
        <w:tc>
          <w:tcPr>
            <w:tcW w:w="563"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24"/>
                <w:szCs w:val="32"/>
              </w:rPr>
            </w:pPr>
            <w:r>
              <w:rPr>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rsidR="00A35F9B" w:rsidRPr="002068B4" w:rsidRDefault="00A35F9B" w:rsidP="002068B4">
            <w:pPr>
              <w:pStyle w:val="ListParagraph"/>
              <w:numPr>
                <w:ilvl w:val="0"/>
                <w:numId w:val="2"/>
              </w:numPr>
              <w:ind w:left="360"/>
              <w:rPr>
                <w:szCs w:val="32"/>
              </w:rPr>
            </w:pPr>
          </w:p>
        </w:tc>
        <w:tc>
          <w:tcPr>
            <w:tcW w:w="564"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18"/>
                <w:szCs w:val="32"/>
              </w:rPr>
            </w:pPr>
            <w:r>
              <w:rPr>
                <w:szCs w:val="32"/>
              </w:rPr>
              <w:sym w:font="Wingdings" w:char="F06F"/>
            </w:r>
          </w:p>
        </w:tc>
      </w:tr>
      <w:tr w:rsidR="00A35F9B" w:rsidTr="00A35F9B">
        <w:trPr>
          <w:trHeight w:val="469"/>
        </w:trPr>
        <w:tc>
          <w:tcPr>
            <w:tcW w:w="1055" w:type="pct"/>
            <w:vMerge w:val="restart"/>
            <w:tcBorders>
              <w:top w:val="single" w:sz="4" w:space="0" w:color="auto"/>
              <w:left w:val="single" w:sz="4" w:space="0" w:color="auto"/>
              <w:bottom w:val="single" w:sz="4" w:space="0" w:color="auto"/>
              <w:right w:val="single" w:sz="4" w:space="0" w:color="auto"/>
            </w:tcBorders>
            <w:hideMark/>
          </w:tcPr>
          <w:p w:rsidR="00A35F9B" w:rsidRDefault="00A35F9B">
            <w:pPr>
              <w:rPr>
                <w:sz w:val="14"/>
                <w:szCs w:val="14"/>
              </w:rPr>
            </w:pPr>
            <w:r>
              <w:rPr>
                <w:b/>
                <w:szCs w:val="16"/>
              </w:rPr>
              <w:t>4. Key Transferable Skills</w:t>
            </w:r>
          </w:p>
        </w:tc>
        <w:tc>
          <w:tcPr>
            <w:tcW w:w="563"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szCs w:val="24"/>
              </w:rPr>
            </w:pPr>
            <w:r>
              <w:rPr>
                <w:sz w:val="18"/>
              </w:rPr>
              <w:t>0-29%</w:t>
            </w:r>
          </w:p>
        </w:tc>
        <w:tc>
          <w:tcPr>
            <w:tcW w:w="565"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sz w:val="18"/>
              </w:rPr>
            </w:pPr>
            <w:r>
              <w:rPr>
                <w:sz w:val="18"/>
              </w:rPr>
              <w:t>30-39%</w:t>
            </w:r>
          </w:p>
        </w:tc>
        <w:tc>
          <w:tcPr>
            <w:tcW w:w="547"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40-49%</w:t>
            </w:r>
          </w:p>
        </w:tc>
        <w:tc>
          <w:tcPr>
            <w:tcW w:w="546"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50-59%</w:t>
            </w:r>
          </w:p>
        </w:tc>
        <w:tc>
          <w:tcPr>
            <w:tcW w:w="598"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60-69%</w:t>
            </w:r>
          </w:p>
        </w:tc>
        <w:tc>
          <w:tcPr>
            <w:tcW w:w="564"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70-79%</w:t>
            </w:r>
          </w:p>
        </w:tc>
        <w:tc>
          <w:tcPr>
            <w:tcW w:w="562" w:type="pct"/>
            <w:tcBorders>
              <w:top w:val="single" w:sz="4" w:space="0" w:color="auto"/>
              <w:left w:val="single" w:sz="4" w:space="0" w:color="auto"/>
              <w:bottom w:val="single" w:sz="4" w:space="0" w:color="auto"/>
              <w:right w:val="single" w:sz="4" w:space="0" w:color="auto"/>
            </w:tcBorders>
            <w:hideMark/>
          </w:tcPr>
          <w:p w:rsidR="00A35F9B" w:rsidRDefault="00A35F9B">
            <w:pPr>
              <w:jc w:val="center"/>
              <w:rPr>
                <w:b/>
                <w:sz w:val="18"/>
              </w:rPr>
            </w:pPr>
            <w:r>
              <w:rPr>
                <w:b/>
                <w:sz w:val="18"/>
              </w:rPr>
              <w:t>80-100%</w:t>
            </w:r>
          </w:p>
        </w:tc>
      </w:tr>
      <w:tr w:rsidR="00A35F9B" w:rsidTr="00A35F9B">
        <w:trPr>
          <w:trHeight w:val="9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5F9B" w:rsidRDefault="00A35F9B">
            <w:pPr>
              <w:rPr>
                <w:sz w:val="14"/>
                <w:szCs w:val="14"/>
              </w:rPr>
            </w:pPr>
          </w:p>
        </w:tc>
        <w:tc>
          <w:tcPr>
            <w:tcW w:w="563"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24"/>
                <w:szCs w:val="32"/>
              </w:rPr>
            </w:pPr>
            <w:r>
              <w:rPr>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Cs w:val="32"/>
              </w:rPr>
            </w:pPr>
            <w:r>
              <w:rPr>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hideMark/>
          </w:tcPr>
          <w:p w:rsidR="00A35F9B" w:rsidRPr="002068B4" w:rsidRDefault="00A35F9B" w:rsidP="002068B4">
            <w:pPr>
              <w:pStyle w:val="ListParagraph"/>
              <w:numPr>
                <w:ilvl w:val="0"/>
                <w:numId w:val="2"/>
              </w:numPr>
              <w:ind w:left="360"/>
              <w:rPr>
                <w:szCs w:val="32"/>
              </w:rPr>
            </w:pPr>
          </w:p>
        </w:tc>
        <w:tc>
          <w:tcPr>
            <w:tcW w:w="562" w:type="pct"/>
            <w:tcBorders>
              <w:top w:val="single" w:sz="4" w:space="0" w:color="auto"/>
              <w:left w:val="single" w:sz="4" w:space="0" w:color="auto"/>
              <w:bottom w:val="single" w:sz="4" w:space="0" w:color="auto"/>
              <w:right w:val="single" w:sz="4" w:space="0" w:color="auto"/>
            </w:tcBorders>
            <w:vAlign w:val="bottom"/>
            <w:hideMark/>
          </w:tcPr>
          <w:p w:rsidR="00A35F9B" w:rsidRDefault="00A35F9B">
            <w:pPr>
              <w:rPr>
                <w:sz w:val="18"/>
                <w:szCs w:val="32"/>
              </w:rPr>
            </w:pPr>
            <w:r>
              <w:rPr>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35F9B" w:rsidTr="00A35F9B">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rsidR="00A35F9B" w:rsidRDefault="00A35F9B">
            <w:pPr>
              <w:spacing w:before="120" w:after="120"/>
              <w:jc w:val="both"/>
              <w:rPr>
                <w:rFonts w:cs="Calibri"/>
                <w:b/>
                <w:sz w:val="24"/>
                <w:szCs w:val="24"/>
              </w:rPr>
            </w:pPr>
            <w:r>
              <w:rPr>
                <w:rFonts w:cs="Calibri"/>
                <w:b/>
              </w:rPr>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rsidR="00A35F9B" w:rsidRDefault="00A35F9B">
            <w:pPr>
              <w:spacing w:before="120" w:after="120"/>
              <w:jc w:val="both"/>
              <w:rPr>
                <w:rFonts w:cs="Calibri"/>
                <w:b/>
              </w:rPr>
            </w:pPr>
            <w:r>
              <w:rPr>
                <w:rFonts w:cs="Calibri"/>
                <w:b/>
              </w:rPr>
              <w:t xml:space="preserve">PLEASE COMMENT ON </w:t>
            </w:r>
            <w:r>
              <w:rPr>
                <w:rFonts w:cs="Calibri"/>
                <w:b/>
                <w:caps/>
              </w:rPr>
              <w:t>AREAS you feel that you need TO DEVELOP</w:t>
            </w:r>
          </w:p>
        </w:tc>
      </w:tr>
      <w:tr w:rsidR="00A35F9B" w:rsidTr="00A35F9B">
        <w:trPr>
          <w:trHeight w:val="555"/>
        </w:trPr>
        <w:tc>
          <w:tcPr>
            <w:tcW w:w="5299" w:type="dxa"/>
            <w:tcBorders>
              <w:top w:val="single" w:sz="8" w:space="0" w:color="000000"/>
              <w:left w:val="single" w:sz="8" w:space="0" w:color="000000"/>
              <w:bottom w:val="single" w:sz="8" w:space="0" w:color="000000"/>
              <w:right w:val="single" w:sz="8" w:space="0" w:color="000000"/>
            </w:tcBorders>
          </w:tcPr>
          <w:p w:rsidR="00A35F9B" w:rsidRDefault="009E03EF" w:rsidP="009E03EF">
            <w:pPr>
              <w:pStyle w:val="BulletedList"/>
              <w:numPr>
                <w:ilvl w:val="0"/>
                <w:numId w:val="4"/>
              </w:numPr>
              <w:tabs>
                <w:tab w:val="left" w:pos="720"/>
              </w:tabs>
              <w:ind w:left="360"/>
              <w:rPr>
                <w:rFonts w:ascii="Calibri" w:hAnsi="Calibri"/>
                <w:sz w:val="20"/>
                <w:szCs w:val="20"/>
              </w:rPr>
            </w:pPr>
            <w:r w:rsidRPr="009E03EF">
              <w:rPr>
                <w:rFonts w:ascii="Calibri" w:hAnsi="Calibri"/>
                <w:sz w:val="20"/>
                <w:szCs w:val="20"/>
              </w:rPr>
              <w:t>I feel I have structured the video appropriately</w:t>
            </w:r>
            <w:r>
              <w:rPr>
                <w:rFonts w:ascii="Calibri" w:hAnsi="Calibri"/>
                <w:sz w:val="20"/>
                <w:szCs w:val="20"/>
              </w:rPr>
              <w:t>,</w:t>
            </w:r>
            <w:r w:rsidRPr="009E03EF">
              <w:rPr>
                <w:rFonts w:ascii="Calibri" w:hAnsi="Calibri"/>
                <w:sz w:val="20"/>
                <w:szCs w:val="20"/>
              </w:rPr>
              <w:t xml:space="preserve"> in a way which supports the audience.</w:t>
            </w:r>
          </w:p>
          <w:p w:rsidR="009E03EF" w:rsidRDefault="009E03EF" w:rsidP="009E03EF">
            <w:pPr>
              <w:pStyle w:val="BulletedList"/>
              <w:numPr>
                <w:ilvl w:val="0"/>
                <w:numId w:val="4"/>
              </w:numPr>
              <w:tabs>
                <w:tab w:val="left" w:pos="720"/>
              </w:tabs>
              <w:ind w:left="360"/>
              <w:rPr>
                <w:rFonts w:ascii="Calibri" w:hAnsi="Calibri"/>
                <w:sz w:val="20"/>
                <w:szCs w:val="20"/>
              </w:rPr>
            </w:pPr>
            <w:r>
              <w:rPr>
                <w:rFonts w:ascii="Calibri" w:hAnsi="Calibri"/>
                <w:sz w:val="20"/>
                <w:szCs w:val="20"/>
              </w:rPr>
              <w:t>I feel that my presentation in the video is good and that the language used is appropriate and clear.</w:t>
            </w:r>
          </w:p>
          <w:p w:rsidR="009E03EF" w:rsidRDefault="009E03EF" w:rsidP="009E03EF">
            <w:pPr>
              <w:pStyle w:val="BulletedList"/>
              <w:numPr>
                <w:ilvl w:val="0"/>
                <w:numId w:val="4"/>
              </w:numPr>
              <w:tabs>
                <w:tab w:val="left" w:pos="720"/>
              </w:tabs>
              <w:ind w:left="360"/>
              <w:rPr>
                <w:rFonts w:ascii="Calibri" w:hAnsi="Calibri"/>
                <w:sz w:val="20"/>
                <w:szCs w:val="20"/>
              </w:rPr>
            </w:pPr>
            <w:r>
              <w:rPr>
                <w:rFonts w:ascii="Calibri" w:hAnsi="Calibri"/>
                <w:sz w:val="20"/>
                <w:szCs w:val="20"/>
              </w:rPr>
              <w:t>I feel that the summary is concise and provides information of key points.</w:t>
            </w:r>
          </w:p>
          <w:p w:rsidR="00240694" w:rsidRDefault="00240694" w:rsidP="009E03EF">
            <w:pPr>
              <w:pStyle w:val="BulletedList"/>
              <w:numPr>
                <w:ilvl w:val="0"/>
                <w:numId w:val="4"/>
              </w:numPr>
              <w:tabs>
                <w:tab w:val="left" w:pos="720"/>
              </w:tabs>
              <w:ind w:left="360"/>
              <w:rPr>
                <w:rFonts w:ascii="Calibri" w:hAnsi="Calibri"/>
                <w:sz w:val="20"/>
                <w:szCs w:val="20"/>
              </w:rPr>
            </w:pPr>
            <w:r>
              <w:rPr>
                <w:rFonts w:ascii="Calibri" w:hAnsi="Calibri"/>
                <w:sz w:val="20"/>
                <w:szCs w:val="20"/>
              </w:rPr>
              <w:t>I feel I have referenced correctly using the Harvard referencing system.</w:t>
            </w:r>
          </w:p>
        </w:tc>
        <w:tc>
          <w:tcPr>
            <w:tcW w:w="5299" w:type="dxa"/>
            <w:tcBorders>
              <w:top w:val="single" w:sz="8" w:space="0" w:color="000000"/>
              <w:left w:val="single" w:sz="8" w:space="0" w:color="000000"/>
              <w:bottom w:val="single" w:sz="8" w:space="0" w:color="000000"/>
              <w:right w:val="single" w:sz="8" w:space="0" w:color="000000"/>
            </w:tcBorders>
          </w:tcPr>
          <w:p w:rsidR="00A35F9B" w:rsidRDefault="009E03EF" w:rsidP="009E03EF">
            <w:pPr>
              <w:pStyle w:val="BulletedList"/>
              <w:numPr>
                <w:ilvl w:val="0"/>
                <w:numId w:val="4"/>
              </w:numPr>
              <w:tabs>
                <w:tab w:val="left" w:pos="720"/>
              </w:tabs>
              <w:ind w:left="360"/>
              <w:rPr>
                <w:rFonts w:ascii="Calibri" w:hAnsi="Calibri"/>
                <w:sz w:val="20"/>
                <w:szCs w:val="20"/>
              </w:rPr>
            </w:pPr>
            <w:r>
              <w:rPr>
                <w:rFonts w:ascii="Calibri" w:hAnsi="Calibri"/>
                <w:sz w:val="20"/>
                <w:szCs w:val="20"/>
              </w:rPr>
              <w:t>I think that in order to improve, I could have included more critical reflection throughout and possibly drawn from wider sources.</w:t>
            </w:r>
          </w:p>
          <w:p w:rsidR="00A35F9B" w:rsidRDefault="00A35F9B">
            <w:pPr>
              <w:pStyle w:val="BulletedList"/>
              <w:numPr>
                <w:ilvl w:val="0"/>
                <w:numId w:val="0"/>
              </w:numPr>
              <w:tabs>
                <w:tab w:val="left" w:pos="720"/>
              </w:tabs>
              <w:ind w:left="432"/>
              <w:rPr>
                <w:rFonts w:ascii="Calibri" w:hAnsi="Calibri"/>
                <w:sz w:val="20"/>
                <w:szCs w:val="20"/>
              </w:rPr>
            </w:pPr>
          </w:p>
        </w:tc>
      </w:tr>
    </w:tbl>
    <w:tbl>
      <w:tblPr>
        <w:tblpPr w:leftFromText="180" w:rightFromText="180" w:vertAnchor="text" w:horzAnchor="margin" w:tblpY="22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35F9B" w:rsidTr="00A35F9B">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rsidR="00A35F9B" w:rsidRDefault="00A35F9B" w:rsidP="00A35F9B">
            <w:pPr>
              <w:spacing w:before="120" w:after="120"/>
              <w:jc w:val="both"/>
              <w:rPr>
                <w:rFonts w:cs="Calibri"/>
                <w:b/>
                <w:sz w:val="24"/>
                <w:szCs w:val="24"/>
              </w:rPr>
            </w:pPr>
            <w:r>
              <w:rPr>
                <w:rFonts w:cs="Calibri"/>
                <w:b/>
              </w:rPr>
              <w:t>Student’s Name</w:t>
            </w:r>
          </w:p>
        </w:tc>
        <w:tc>
          <w:tcPr>
            <w:tcW w:w="3858" w:type="dxa"/>
            <w:tcBorders>
              <w:top w:val="single" w:sz="8" w:space="0" w:color="000000"/>
              <w:left w:val="single" w:sz="8" w:space="0" w:color="000000"/>
              <w:bottom w:val="single" w:sz="8" w:space="0" w:color="000000"/>
              <w:right w:val="single" w:sz="8" w:space="0" w:color="000000"/>
            </w:tcBorders>
          </w:tcPr>
          <w:p w:rsidR="00A35F9B" w:rsidRDefault="00A35F9B" w:rsidP="00A35F9B">
            <w:pPr>
              <w:spacing w:before="120" w:after="120"/>
              <w:jc w:val="both"/>
              <w:rPr>
                <w:rFonts w:cs="Calibri"/>
                <w:b/>
              </w:rPr>
            </w:pPr>
            <w:r>
              <w:rPr>
                <w:rFonts w:cs="Calibri"/>
                <w:b/>
              </w:rPr>
              <w:t xml:space="preserve">Catrin </w:t>
            </w:r>
            <w:proofErr w:type="spellStart"/>
            <w:r>
              <w:rPr>
                <w:rFonts w:cs="Calibri"/>
                <w:b/>
              </w:rPr>
              <w:t>Mair</w:t>
            </w:r>
            <w:proofErr w:type="spellEnd"/>
            <w:r>
              <w:rPr>
                <w:rFonts w:cs="Calibri"/>
                <w:b/>
              </w:rPr>
              <w:t xml:space="preserve"> Thomas</w:t>
            </w:r>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rsidR="00A35F9B" w:rsidRDefault="00A35F9B" w:rsidP="00A35F9B">
            <w:pPr>
              <w:spacing w:before="120" w:after="120"/>
              <w:jc w:val="both"/>
              <w:rPr>
                <w:rFonts w:cs="Calibri"/>
                <w:b/>
              </w:rPr>
            </w:pPr>
            <w:r>
              <w:rPr>
                <w:rFonts w:cs="Calibri"/>
                <w:b/>
              </w:rPr>
              <w:t>Date</w:t>
            </w:r>
          </w:p>
        </w:tc>
        <w:tc>
          <w:tcPr>
            <w:tcW w:w="3489" w:type="dxa"/>
            <w:tcBorders>
              <w:top w:val="single" w:sz="8" w:space="0" w:color="000000"/>
              <w:left w:val="single" w:sz="8" w:space="0" w:color="000000"/>
              <w:bottom w:val="single" w:sz="8" w:space="0" w:color="000000"/>
              <w:right w:val="single" w:sz="8" w:space="0" w:color="000000"/>
            </w:tcBorders>
          </w:tcPr>
          <w:p w:rsidR="00A35F9B" w:rsidRDefault="00A35F9B" w:rsidP="00A35F9B">
            <w:pPr>
              <w:spacing w:before="120" w:after="120"/>
              <w:jc w:val="both"/>
              <w:rPr>
                <w:rFonts w:cs="Calibri"/>
                <w:b/>
              </w:rPr>
            </w:pPr>
            <w:r>
              <w:rPr>
                <w:rFonts w:cs="Calibri"/>
                <w:b/>
              </w:rPr>
              <w:t>05/03/2018</w:t>
            </w:r>
          </w:p>
        </w:tc>
      </w:tr>
    </w:tbl>
    <w:tbl>
      <w:tblPr>
        <w:tblpPr w:leftFromText="180" w:rightFromText="180" w:vertAnchor="text" w:horzAnchor="margin" w:tblpY="71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8394"/>
      </w:tblGrid>
      <w:tr w:rsidR="00A35F9B" w:rsidTr="00A35F9B">
        <w:trPr>
          <w:trHeight w:val="574"/>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rsidR="00A35F9B" w:rsidRDefault="00A35F9B" w:rsidP="00A35F9B">
            <w:pPr>
              <w:spacing w:before="120" w:after="120"/>
              <w:jc w:val="both"/>
              <w:rPr>
                <w:rFonts w:cs="Calibri"/>
                <w:b/>
              </w:rPr>
            </w:pPr>
            <w:r>
              <w:rPr>
                <w:rFonts w:cs="Calibri"/>
                <w:b/>
              </w:rPr>
              <w:t>Student’s Signature</w:t>
            </w:r>
          </w:p>
        </w:tc>
        <w:tc>
          <w:tcPr>
            <w:tcW w:w="8394" w:type="dxa"/>
            <w:tcBorders>
              <w:top w:val="single" w:sz="8" w:space="0" w:color="000000"/>
              <w:left w:val="single" w:sz="8" w:space="0" w:color="000000"/>
              <w:bottom w:val="single" w:sz="8" w:space="0" w:color="000000"/>
              <w:right w:val="single" w:sz="8" w:space="0" w:color="000000"/>
            </w:tcBorders>
          </w:tcPr>
          <w:p w:rsidR="00A35F9B" w:rsidRDefault="00A35F9B" w:rsidP="00A35F9B">
            <w:pPr>
              <w:spacing w:before="120" w:after="120"/>
              <w:jc w:val="both"/>
              <w:rPr>
                <w:rFonts w:cs="Calibri"/>
                <w:b/>
              </w:rPr>
            </w:pPr>
            <w:proofErr w:type="spellStart"/>
            <w:r>
              <w:rPr>
                <w:rFonts w:cs="Calibri"/>
                <w:b/>
              </w:rPr>
              <w:t>C.</w:t>
            </w:r>
            <w:proofErr w:type="gramStart"/>
            <w:r>
              <w:rPr>
                <w:rFonts w:cs="Calibri"/>
                <w:b/>
              </w:rPr>
              <w:t>M.Thomas</w:t>
            </w:r>
            <w:proofErr w:type="spellEnd"/>
            <w:proofErr w:type="gramEnd"/>
          </w:p>
        </w:tc>
      </w:tr>
    </w:tbl>
    <w:p w:rsidR="00A35F9B" w:rsidRDefault="00A35F9B">
      <w:pPr>
        <w:suppressAutoHyphens w:val="0"/>
        <w:rPr>
          <w:rFonts w:ascii="Arial" w:hAnsi="Arial" w:cs="Arial"/>
          <w:sz w:val="20"/>
          <w:u w:val="single"/>
        </w:rPr>
      </w:pPr>
      <w:r>
        <w:rPr>
          <w:rFonts w:ascii="Arial" w:hAnsi="Arial" w:cs="Arial"/>
          <w:sz w:val="20"/>
          <w:u w:val="single"/>
        </w:rPr>
        <w:br w:type="page"/>
      </w:r>
    </w:p>
    <w:p w:rsidR="008F5AA7" w:rsidRDefault="003C4026">
      <w:pPr>
        <w:spacing w:line="360" w:lineRule="auto"/>
      </w:pPr>
      <w:r>
        <w:rPr>
          <w:rFonts w:ascii="Arial" w:hAnsi="Arial" w:cs="Arial"/>
          <w:sz w:val="20"/>
          <w:u w:val="single"/>
        </w:rPr>
        <w:lastRenderedPageBreak/>
        <w:t>ECAD6004-C</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u w:val="single"/>
        </w:rPr>
        <w:t xml:space="preserve">You tube link: </w:t>
      </w:r>
      <w:r>
        <w:rPr>
          <w:rFonts w:ascii="Arial" w:hAnsi="Arial" w:cs="Arial"/>
          <w:sz w:val="20"/>
        </w:rPr>
        <w:tab/>
      </w:r>
      <w:hyperlink r:id="rId11" w:history="1">
        <w:r>
          <w:rPr>
            <w:rStyle w:val="Hyperlink"/>
            <w:rFonts w:ascii="Arial" w:hAnsi="Arial" w:cs="Arial"/>
            <w:sz w:val="20"/>
          </w:rPr>
          <w:t>https://youtu.be/Ccyu9-g-kS0</w:t>
        </w:r>
      </w:hyperlink>
      <w:r>
        <w:rPr>
          <w:rFonts w:ascii="Arial" w:hAnsi="Arial" w:cs="Arial"/>
          <w:sz w:val="20"/>
        </w:rPr>
        <w:t xml:space="preserve"> </w:t>
      </w:r>
    </w:p>
    <w:p w:rsidR="008F5AA7" w:rsidRDefault="003C4026">
      <w:pPr>
        <w:spacing w:line="360" w:lineRule="auto"/>
        <w:rPr>
          <w:rFonts w:ascii="Arial" w:hAnsi="Arial" w:cs="Arial"/>
          <w:sz w:val="20"/>
          <w:u w:val="single"/>
        </w:rPr>
      </w:pPr>
      <w:r>
        <w:rPr>
          <w:rFonts w:ascii="Arial" w:hAnsi="Arial" w:cs="Arial"/>
          <w:sz w:val="20"/>
          <w:u w:val="single"/>
        </w:rPr>
        <w:t>Summary</w:t>
      </w:r>
    </w:p>
    <w:p w:rsidR="008F5AA7" w:rsidRDefault="003C4026">
      <w:pPr>
        <w:spacing w:line="360" w:lineRule="auto"/>
        <w:rPr>
          <w:rFonts w:ascii="Arial" w:hAnsi="Arial" w:cs="Arial"/>
          <w:sz w:val="20"/>
          <w:u w:val="single"/>
        </w:rPr>
      </w:pPr>
      <w:r>
        <w:rPr>
          <w:rFonts w:ascii="Arial" w:hAnsi="Arial" w:cs="Arial"/>
          <w:sz w:val="20"/>
          <w:u w:val="single"/>
        </w:rPr>
        <w:t>Creativity</w:t>
      </w:r>
    </w:p>
    <w:p w:rsidR="008F5AA7" w:rsidRDefault="003C4026">
      <w:pPr>
        <w:spacing w:line="360" w:lineRule="auto"/>
        <w:ind w:firstLine="720"/>
      </w:pPr>
      <w:r>
        <w:rPr>
          <w:rFonts w:ascii="Arial" w:hAnsi="Arial" w:cs="Arial"/>
          <w:sz w:val="20"/>
        </w:rPr>
        <w:t xml:space="preserve">Creativity can be defined as ‘putting your imagination </w:t>
      </w:r>
      <w:r>
        <w:rPr>
          <w:rFonts w:ascii="Arial" w:hAnsi="Arial" w:cs="Arial"/>
          <w:sz w:val="20"/>
        </w:rPr>
        <w:t>to work’ (Robinson, K. 2015, cited in Mind Shift 2015). This definition is supported by Naiman, who states that creativity is ‘</w:t>
      </w:r>
      <w:r>
        <w:rPr>
          <w:rFonts w:ascii="Arial" w:hAnsi="Arial" w:cs="Arial"/>
          <w:sz w:val="20"/>
          <w:szCs w:val="27"/>
          <w:shd w:val="clear" w:color="auto" w:fill="FFFFFF"/>
        </w:rPr>
        <w:t>the act of turning new and imaginative ideas into reality' (Naiman, L. 2017).</w:t>
      </w:r>
    </w:p>
    <w:p w:rsidR="008F5AA7" w:rsidRDefault="003C4026">
      <w:pPr>
        <w:spacing w:line="360" w:lineRule="auto"/>
        <w:ind w:firstLine="720"/>
      </w:pPr>
      <w:r>
        <w:rPr>
          <w:rFonts w:ascii="Arial" w:hAnsi="Arial" w:cs="Arial"/>
          <w:sz w:val="20"/>
        </w:rPr>
        <w:t>The importance of creativity within education can b</w:t>
      </w:r>
      <w:r>
        <w:rPr>
          <w:rFonts w:ascii="Arial" w:hAnsi="Arial" w:cs="Arial"/>
          <w:sz w:val="20"/>
        </w:rPr>
        <w:t>e seen in this quote by Robinson: ‘</w:t>
      </w:r>
      <w:r>
        <w:rPr>
          <w:rStyle w:val="talk-transcriptfragment"/>
          <w:rFonts w:ascii="Arial" w:hAnsi="Arial" w:cs="Arial"/>
          <w:sz w:val="20"/>
          <w:shd w:val="clear" w:color="auto" w:fill="FFFFFF"/>
        </w:rPr>
        <w:t>creativity now is as important in education as literacy,</w:t>
      </w:r>
      <w:r>
        <w:rPr>
          <w:rFonts w:ascii="Arial" w:hAnsi="Arial" w:cs="Arial"/>
          <w:sz w:val="20"/>
          <w:shd w:val="clear" w:color="auto" w:fill="FFFFFF"/>
        </w:rPr>
        <w:t> </w:t>
      </w:r>
      <w:r>
        <w:rPr>
          <w:rStyle w:val="talk-transcriptfragment"/>
          <w:rFonts w:ascii="Arial" w:hAnsi="Arial" w:cs="Arial"/>
          <w:sz w:val="20"/>
          <w:shd w:val="clear" w:color="auto" w:fill="FFFFFF"/>
        </w:rPr>
        <w:t xml:space="preserve">and we should treat it with the same status’ </w:t>
      </w:r>
      <w:r>
        <w:rPr>
          <w:rFonts w:ascii="Arial" w:hAnsi="Arial" w:cs="Arial"/>
          <w:sz w:val="20"/>
        </w:rPr>
        <w:t>(Robinson, K. 2006, cited in Creative by nature, 2015).</w:t>
      </w:r>
    </w:p>
    <w:p w:rsidR="008F5AA7" w:rsidRDefault="003C4026">
      <w:pPr>
        <w:spacing w:line="360" w:lineRule="auto"/>
        <w:ind w:firstLine="720"/>
      </w:pPr>
      <w:r>
        <w:rPr>
          <w:rFonts w:ascii="Arial" w:hAnsi="Arial" w:cs="Arial"/>
          <w:sz w:val="20"/>
        </w:rPr>
        <w:t>There are two ways in which creativity can be used within educa</w:t>
      </w:r>
      <w:r>
        <w:rPr>
          <w:rFonts w:ascii="Arial" w:hAnsi="Arial" w:cs="Arial"/>
          <w:sz w:val="20"/>
        </w:rPr>
        <w:t>tion. These are: ‘teaching creatively’; and ‘teaching for creativity’. The former refers to the teacher’s use of ‘imaginative approaches to make learning more interesting and effective’ and the latter is more related to developing the children’s creative a</w:t>
      </w:r>
      <w:r>
        <w:rPr>
          <w:rFonts w:ascii="Arial" w:hAnsi="Arial" w:cs="Arial"/>
          <w:sz w:val="20"/>
        </w:rPr>
        <w:t>bilities. Both ways are connected, as</w:t>
      </w:r>
      <w:r>
        <w:rPr>
          <w:sz w:val="18"/>
        </w:rPr>
        <w:t xml:space="preserve"> </w:t>
      </w:r>
      <w:r>
        <w:rPr>
          <w:rFonts w:ascii="Arial" w:hAnsi="Arial" w:cs="Arial"/>
          <w:sz w:val="20"/>
        </w:rPr>
        <w:t>‘teaching for creativity’ involves ‘teaching creatively’ (The NACCCE report, 1999: 89). However, there is a difference between the two, and it is ‘teaching for creativity’ that I will be focusing on in the following st</w:t>
      </w:r>
      <w:r>
        <w:rPr>
          <w:rFonts w:ascii="Arial" w:hAnsi="Arial" w:cs="Arial"/>
          <w:sz w:val="20"/>
        </w:rPr>
        <w:t>rategies.</w:t>
      </w:r>
    </w:p>
    <w:p w:rsidR="008F5AA7" w:rsidRDefault="003C4026">
      <w:pPr>
        <w:spacing w:line="360" w:lineRule="auto"/>
        <w:rPr>
          <w:rFonts w:ascii="Arial" w:hAnsi="Arial" w:cs="Arial"/>
          <w:sz w:val="20"/>
          <w:u w:val="single"/>
        </w:rPr>
      </w:pPr>
      <w:r>
        <w:rPr>
          <w:rFonts w:ascii="Arial" w:hAnsi="Arial" w:cs="Arial"/>
          <w:sz w:val="20"/>
          <w:u w:val="single"/>
        </w:rPr>
        <w:t>The learning environment</w:t>
      </w:r>
    </w:p>
    <w:p w:rsidR="008F5AA7" w:rsidRDefault="003C4026">
      <w:pPr>
        <w:spacing w:line="360" w:lineRule="auto"/>
        <w:ind w:firstLine="720"/>
        <w:rPr>
          <w:rFonts w:ascii="Arial" w:hAnsi="Arial" w:cs="Arial"/>
          <w:sz w:val="20"/>
        </w:rPr>
      </w:pPr>
      <w:r>
        <w:rPr>
          <w:rFonts w:ascii="Arial" w:hAnsi="Arial" w:cs="Arial"/>
          <w:sz w:val="20"/>
        </w:rPr>
        <w:t xml:space="preserve">The importance of a good learning environment is supported by Dunn, who notes that it is part of the teachers’ role to provide a ‘safe, caring, positive environment for learning to flourish’ (Dunn, D. 2012: 50). </w:t>
      </w:r>
    </w:p>
    <w:p w:rsidR="008F5AA7" w:rsidRDefault="003C4026">
      <w:pPr>
        <w:spacing w:line="360" w:lineRule="auto"/>
      </w:pPr>
      <w:r>
        <w:rPr>
          <w:rFonts w:ascii="Arial" w:hAnsi="Arial" w:cs="Arial"/>
          <w:sz w:val="20"/>
        </w:rPr>
        <w:tab/>
        <w:t>When di</w:t>
      </w:r>
      <w:r>
        <w:rPr>
          <w:rFonts w:ascii="Arial" w:hAnsi="Arial" w:cs="Arial"/>
          <w:sz w:val="20"/>
        </w:rPr>
        <w:t>scussing the learning environment, there are two things to take into consideration: the physical environment and the emotional environment. With regards to the physical environment, a series of case studies on creativity in Reggio Emilia discusses that the</w:t>
      </w:r>
      <w:r>
        <w:rPr>
          <w:rFonts w:ascii="Arial" w:hAnsi="Arial" w:cs="Arial"/>
          <w:sz w:val="20"/>
        </w:rPr>
        <w:t xml:space="preserve"> school building, as well as the furnishings and fittings within, contributes to learning and creative development. It is stated here that the learning environment can contribute to expressing ‘values, ideas, images and emotions’</w:t>
      </w:r>
      <w:r>
        <w:rPr>
          <w:rFonts w:ascii="Arial" w:hAnsi="Arial" w:cs="Arial"/>
        </w:rPr>
        <w:t xml:space="preserve"> </w:t>
      </w:r>
      <w:r>
        <w:rPr>
          <w:rFonts w:ascii="Arial" w:hAnsi="Arial" w:cs="Arial"/>
          <w:sz w:val="20"/>
        </w:rPr>
        <w:t>(</w:t>
      </w:r>
      <w:proofErr w:type="spellStart"/>
      <w:r>
        <w:rPr>
          <w:rFonts w:ascii="Arial" w:hAnsi="Arial" w:cs="Arial"/>
          <w:sz w:val="20"/>
        </w:rPr>
        <w:t>Vecchi</w:t>
      </w:r>
      <w:proofErr w:type="spellEnd"/>
      <w:r>
        <w:rPr>
          <w:rFonts w:ascii="Arial" w:hAnsi="Arial" w:cs="Arial"/>
          <w:sz w:val="20"/>
        </w:rPr>
        <w:t>, V. 2010: xx-xxi).</w:t>
      </w:r>
      <w:bookmarkStart w:id="1" w:name="_Hlk507163991"/>
    </w:p>
    <w:p w:rsidR="008F5AA7" w:rsidRDefault="003C4026">
      <w:pPr>
        <w:spacing w:line="360" w:lineRule="auto"/>
        <w:ind w:firstLine="720"/>
      </w:pPr>
      <w:r>
        <w:rPr>
          <w:rFonts w:ascii="Arial" w:hAnsi="Arial" w:cs="Arial"/>
          <w:sz w:val="20"/>
        </w:rPr>
        <w:t>In relation to the emotional environment, it is imperative that the children ‘feel safe’, are ‘not afraid to ask questions and make mistakes’. It must also be a ‘cultivating, supporting and rewarding environment for creativity, humour, etc.’ (</w:t>
      </w:r>
      <w:proofErr w:type="spellStart"/>
      <w:r>
        <w:rPr>
          <w:rFonts w:ascii="Arial" w:hAnsi="Arial" w:cs="Arial"/>
          <w:sz w:val="20"/>
        </w:rPr>
        <w:t>Trnova</w:t>
      </w:r>
      <w:proofErr w:type="spellEnd"/>
      <w:r>
        <w:rPr>
          <w:rFonts w:ascii="Arial" w:hAnsi="Arial" w:cs="Arial"/>
          <w:sz w:val="20"/>
        </w:rPr>
        <w:t>, E. 2</w:t>
      </w:r>
      <w:r>
        <w:rPr>
          <w:rFonts w:ascii="Arial" w:hAnsi="Arial" w:cs="Arial"/>
          <w:sz w:val="20"/>
        </w:rPr>
        <w:t xml:space="preserve">014: 10). </w:t>
      </w:r>
    </w:p>
    <w:p w:rsidR="008F5AA7" w:rsidRDefault="003C4026">
      <w:pPr>
        <w:spacing w:line="360" w:lineRule="auto"/>
        <w:rPr>
          <w:rFonts w:ascii="Arial" w:hAnsi="Arial" w:cs="Arial"/>
          <w:sz w:val="20"/>
          <w:u w:val="single"/>
        </w:rPr>
      </w:pPr>
      <w:r>
        <w:rPr>
          <w:rFonts w:ascii="Arial" w:hAnsi="Arial" w:cs="Arial"/>
          <w:sz w:val="20"/>
          <w:u w:val="single"/>
        </w:rPr>
        <w:t>Strategy 1</w:t>
      </w:r>
    </w:p>
    <w:p w:rsidR="008F5AA7" w:rsidRDefault="003C4026">
      <w:pPr>
        <w:spacing w:line="360" w:lineRule="auto"/>
        <w:ind w:firstLine="720"/>
      </w:pPr>
      <w:r>
        <w:rPr>
          <w:rFonts w:ascii="Arial" w:hAnsi="Arial" w:cs="Arial"/>
          <w:sz w:val="20"/>
        </w:rPr>
        <w:t>The first of my strategies is to set up a learning environment that would be conducive to developing creativity. The physical environment would consist of an indoor area which would have ‘activity areas around the room, not just the e</w:t>
      </w:r>
      <w:r>
        <w:rPr>
          <w:rFonts w:ascii="Arial" w:hAnsi="Arial" w:cs="Arial"/>
          <w:sz w:val="20"/>
        </w:rPr>
        <w:t>dges with empty space in the middle’ (Sure Start, 2008: 20). Each area would contain high quality resources that the children could use to explore their creative thinking. In addition to this, there could also be a quiet space in order to reflect and to th</w:t>
      </w:r>
      <w:r>
        <w:rPr>
          <w:rFonts w:ascii="Arial" w:hAnsi="Arial" w:cs="Arial"/>
          <w:sz w:val="20"/>
        </w:rPr>
        <w:t xml:space="preserve">ink, as research has found that allowing the mind to </w:t>
      </w:r>
      <w:r>
        <w:rPr>
          <w:rFonts w:ascii="Arial" w:hAnsi="Arial" w:cs="Arial"/>
          <w:sz w:val="20"/>
          <w:szCs w:val="24"/>
        </w:rPr>
        <w:t>wander ‘</w:t>
      </w:r>
      <w:r>
        <w:rPr>
          <w:rFonts w:ascii="Arial" w:hAnsi="Arial" w:cs="Arial"/>
          <w:sz w:val="20"/>
          <w:szCs w:val="24"/>
          <w:shd w:val="clear" w:color="auto" w:fill="FFFFFF"/>
        </w:rPr>
        <w:t>may facilitate creative problem solving’ (Baird, B. et al. 2012: 1117).</w:t>
      </w:r>
    </w:p>
    <w:p w:rsidR="008F5AA7" w:rsidRDefault="003C4026">
      <w:pPr>
        <w:spacing w:line="360" w:lineRule="auto"/>
        <w:ind w:firstLine="720"/>
        <w:rPr>
          <w:rFonts w:ascii="Arial" w:hAnsi="Arial" w:cs="Arial"/>
          <w:sz w:val="20"/>
        </w:rPr>
      </w:pPr>
      <w:r>
        <w:rPr>
          <w:rFonts w:ascii="Arial" w:hAnsi="Arial" w:cs="Arial"/>
          <w:sz w:val="20"/>
        </w:rPr>
        <w:t xml:space="preserve">There could also be an outdoor area where the </w:t>
      </w:r>
      <w:bookmarkStart w:id="2" w:name="_Hlk507423535"/>
      <w:r>
        <w:rPr>
          <w:rFonts w:ascii="Arial" w:hAnsi="Arial" w:cs="Arial"/>
          <w:sz w:val="20"/>
        </w:rPr>
        <w:t>pupils could experience a ‘rich, multi-sensory environment that is meaningful</w:t>
      </w:r>
      <w:r>
        <w:rPr>
          <w:rFonts w:ascii="Arial" w:hAnsi="Arial" w:cs="Arial"/>
          <w:sz w:val="20"/>
        </w:rPr>
        <w:t>, stimulating and motivating for all young children’ (Sure Start, 2008: 24). Furthermore, being outdoors allows for ‘calculated risk taking’ and can stimulate the imagination in a number of ways – further developing creative skills (Early years matters, 20</w:t>
      </w:r>
      <w:r>
        <w:rPr>
          <w:rFonts w:ascii="Arial" w:hAnsi="Arial" w:cs="Arial"/>
          <w:sz w:val="20"/>
        </w:rPr>
        <w:t>18).</w:t>
      </w:r>
    </w:p>
    <w:bookmarkEnd w:id="2"/>
    <w:p w:rsidR="008F5AA7" w:rsidRDefault="003C4026">
      <w:pPr>
        <w:spacing w:line="360" w:lineRule="auto"/>
        <w:ind w:firstLine="720"/>
        <w:rPr>
          <w:rFonts w:ascii="Arial" w:hAnsi="Arial" w:cs="Arial"/>
          <w:sz w:val="20"/>
        </w:rPr>
      </w:pPr>
      <w:r>
        <w:rPr>
          <w:rFonts w:ascii="Arial" w:hAnsi="Arial" w:cs="Arial"/>
          <w:sz w:val="20"/>
        </w:rPr>
        <w:lastRenderedPageBreak/>
        <w:t>Finally, the environment would be discussed with the children prior to setting it up, giving them more ownership of their learning, which is advocated by Donaldson (2015), who calls for children who have the capacity to be independent decision makers.</w:t>
      </w:r>
      <w:r>
        <w:rPr>
          <w:rFonts w:ascii="Arial" w:hAnsi="Arial" w:cs="Arial"/>
          <w:sz w:val="20"/>
        </w:rPr>
        <w:t xml:space="preserve"> </w:t>
      </w:r>
    </w:p>
    <w:p w:rsidR="008F5AA7" w:rsidRDefault="003C4026">
      <w:pPr>
        <w:spacing w:line="360" w:lineRule="auto"/>
        <w:rPr>
          <w:rFonts w:ascii="Arial" w:hAnsi="Arial" w:cs="Arial"/>
          <w:sz w:val="20"/>
          <w:u w:val="single"/>
        </w:rPr>
      </w:pPr>
      <w:r>
        <w:rPr>
          <w:rFonts w:ascii="Arial" w:hAnsi="Arial" w:cs="Arial"/>
          <w:sz w:val="20"/>
          <w:u w:val="single"/>
        </w:rPr>
        <w:t>Strategy 2</w:t>
      </w:r>
    </w:p>
    <w:p w:rsidR="008F5AA7" w:rsidRDefault="003C4026">
      <w:pPr>
        <w:spacing w:line="360" w:lineRule="auto"/>
        <w:ind w:firstLine="720"/>
      </w:pPr>
      <w:r>
        <w:rPr>
          <w:rFonts w:ascii="Arial" w:hAnsi="Arial" w:cs="Arial"/>
          <w:sz w:val="20"/>
          <w:szCs w:val="24"/>
        </w:rPr>
        <w:t>The second strategy is to use an enquiry-based learning (EBL) approach to teaching and learning, which is based on ‘self-directed enquiry’ by the learner (University of Reading, date unknown).</w:t>
      </w:r>
      <w:r>
        <w:rPr>
          <w:sz w:val="18"/>
        </w:rPr>
        <w:t xml:space="preserve">  </w:t>
      </w:r>
      <w:r>
        <w:rPr>
          <w:rFonts w:ascii="Arial" w:hAnsi="Arial" w:cs="Arial"/>
          <w:sz w:val="20"/>
        </w:rPr>
        <w:t xml:space="preserve">Within the EBL approach, the teacher is there to </w:t>
      </w:r>
      <w:r>
        <w:rPr>
          <w:rFonts w:ascii="Arial" w:hAnsi="Arial" w:cs="Arial"/>
          <w:sz w:val="20"/>
          <w:szCs w:val="24"/>
          <w:shd w:val="clear" w:color="auto" w:fill="FFFFFF"/>
        </w:rPr>
        <w:t>‘guide and assist students in learning for themselves’ (Study.com, 2017). This approach often begins with a scenario, from which, the children must ‘identify their own issues and questions’</w:t>
      </w:r>
      <w:bookmarkStart w:id="3" w:name="_Hlk481576410"/>
      <w:r>
        <w:rPr>
          <w:rFonts w:ascii="Arial" w:hAnsi="Arial" w:cs="Arial"/>
          <w:sz w:val="20"/>
          <w:szCs w:val="24"/>
          <w:shd w:val="clear" w:color="auto" w:fill="FFFFFF"/>
        </w:rPr>
        <w:t xml:space="preserve"> (University of Manchester, 2010)</w:t>
      </w:r>
      <w:bookmarkEnd w:id="3"/>
      <w:r>
        <w:rPr>
          <w:rFonts w:ascii="Arial" w:hAnsi="Arial" w:cs="Arial"/>
          <w:sz w:val="20"/>
          <w:szCs w:val="24"/>
          <w:shd w:val="clear" w:color="auto" w:fill="FFFFFF"/>
        </w:rPr>
        <w:t xml:space="preserve"> in order to decide how best to en</w:t>
      </w:r>
      <w:r>
        <w:rPr>
          <w:rFonts w:ascii="Arial" w:hAnsi="Arial" w:cs="Arial"/>
          <w:sz w:val="20"/>
          <w:szCs w:val="24"/>
          <w:shd w:val="clear" w:color="auto" w:fill="FFFFFF"/>
        </w:rPr>
        <w:t>quire and investigate into the given scenario.</w:t>
      </w:r>
    </w:p>
    <w:p w:rsidR="008F5AA7" w:rsidRDefault="003C4026">
      <w:pPr>
        <w:spacing w:line="360" w:lineRule="auto"/>
        <w:ind w:firstLine="720"/>
      </w:pPr>
      <w:r>
        <w:rPr>
          <w:rFonts w:ascii="Arial" w:hAnsi="Arial" w:cs="Arial"/>
          <w:sz w:val="20"/>
          <w:szCs w:val="24"/>
          <w:shd w:val="clear" w:color="auto" w:fill="FFFFFF"/>
        </w:rPr>
        <w:t>The nature of the EBL approach means that the children’s thinking skills will be developed. One of the ways that thinking skills have been classified is Bloom’s revised taxonomy.</w:t>
      </w:r>
      <w:r>
        <w:rPr>
          <w:sz w:val="18"/>
        </w:rPr>
        <w:t xml:space="preserve"> </w:t>
      </w:r>
      <w:r>
        <w:rPr>
          <w:rFonts w:ascii="Arial" w:hAnsi="Arial" w:cs="Arial"/>
          <w:sz w:val="20"/>
        </w:rPr>
        <w:t>One way of developing thinking</w:t>
      </w:r>
      <w:r>
        <w:rPr>
          <w:rFonts w:ascii="Arial" w:hAnsi="Arial" w:cs="Arial"/>
          <w:sz w:val="20"/>
        </w:rPr>
        <w:t xml:space="preserve"> within the EBL approach could be to use thinking hats. This way of developing thinking, that was designed by </w:t>
      </w:r>
      <w:r>
        <w:rPr>
          <w:rFonts w:ascii="Arial" w:hAnsi="Arial" w:cs="Arial"/>
          <w:sz w:val="20"/>
          <w:szCs w:val="24"/>
        </w:rPr>
        <w:t>Edward de Bono, uses six different coloured hats that all have different functions. The green colour hat can be used in order to specifically work</w:t>
      </w:r>
      <w:r>
        <w:rPr>
          <w:rFonts w:ascii="Arial" w:hAnsi="Arial" w:cs="Arial"/>
          <w:sz w:val="20"/>
          <w:szCs w:val="24"/>
        </w:rPr>
        <w:t xml:space="preserve"> on the children’s creative thinking.</w:t>
      </w:r>
    </w:p>
    <w:p w:rsidR="008F5AA7" w:rsidRDefault="003C4026">
      <w:pPr>
        <w:spacing w:line="360" w:lineRule="auto"/>
        <w:ind w:firstLine="720"/>
      </w:pPr>
      <w:r>
        <w:rPr>
          <w:rFonts w:ascii="Arial" w:hAnsi="Arial" w:cs="Arial"/>
          <w:sz w:val="20"/>
        </w:rPr>
        <w:t xml:space="preserve">A possible challenge to this approach could be that the teacher may limit the children’s creative thinking through providing them with too much information. </w:t>
      </w:r>
      <w:r>
        <w:rPr>
          <w:rFonts w:ascii="Arial" w:hAnsi="Arial" w:cs="Arial"/>
          <w:sz w:val="20"/>
          <w:szCs w:val="24"/>
        </w:rPr>
        <w:t>Robinson stated that the education system is ‘educating peopl</w:t>
      </w:r>
      <w:r>
        <w:rPr>
          <w:rFonts w:ascii="Arial" w:hAnsi="Arial" w:cs="Arial"/>
          <w:sz w:val="20"/>
          <w:szCs w:val="24"/>
        </w:rPr>
        <w:t xml:space="preserve">e out of their creative capacities’, as without allowing the children to have a go and possibly make mistakes, they will never ‘come up with anything original’ (Robinson, K. 2006). Therefore, if the EBL approach was to be used, I would ensure that I would </w:t>
      </w:r>
      <w:r>
        <w:rPr>
          <w:rFonts w:ascii="Arial" w:hAnsi="Arial" w:cs="Arial"/>
          <w:sz w:val="20"/>
          <w:szCs w:val="24"/>
        </w:rPr>
        <w:t>allow the children to determine their lines of enquiry and simply act as a facilitator to the learning</w:t>
      </w:r>
      <w:bookmarkEnd w:id="1"/>
      <w:r>
        <w:rPr>
          <w:rFonts w:ascii="Arial" w:hAnsi="Arial" w:cs="Arial"/>
          <w:sz w:val="20"/>
          <w:szCs w:val="24"/>
        </w:rPr>
        <w:t>.</w:t>
      </w:r>
    </w:p>
    <w:p w:rsidR="008F5AA7" w:rsidRDefault="003C4026">
      <w:pPr>
        <w:spacing w:line="360" w:lineRule="auto"/>
      </w:pPr>
      <w:r>
        <w:rPr>
          <w:rFonts w:ascii="Arial" w:hAnsi="Arial" w:cs="Arial"/>
          <w:sz w:val="20"/>
          <w:szCs w:val="24"/>
          <w:u w:val="single"/>
        </w:rPr>
        <w:t>Strategy 3</w:t>
      </w:r>
    </w:p>
    <w:p w:rsidR="008F5AA7" w:rsidRDefault="003C4026">
      <w:pPr>
        <w:spacing w:line="360" w:lineRule="auto"/>
      </w:pPr>
      <w:r>
        <w:rPr>
          <w:rFonts w:ascii="Arial" w:hAnsi="Arial" w:cs="Arial"/>
          <w:sz w:val="20"/>
        </w:rPr>
        <w:tab/>
        <w:t xml:space="preserve">The final strategy is to get the children to work in pairs. </w:t>
      </w:r>
      <w:r>
        <w:rPr>
          <w:rFonts w:ascii="Arial" w:hAnsi="Arial" w:cs="Arial"/>
          <w:sz w:val="20"/>
          <w:szCs w:val="24"/>
          <w:shd w:val="clear" w:color="auto" w:fill="FFFFFF"/>
        </w:rPr>
        <w:t xml:space="preserve">Malaguzzi, who made observations on the best conditions for developing </w:t>
      </w:r>
      <w:r>
        <w:rPr>
          <w:rFonts w:ascii="Arial" w:hAnsi="Arial" w:cs="Arial"/>
          <w:sz w:val="20"/>
          <w:szCs w:val="24"/>
          <w:shd w:val="clear" w:color="auto" w:fill="FFFFFF"/>
        </w:rPr>
        <w:t>creativity in children, found that ‘the most favourable situation for creativity seems to be interpersonal exchange’ (Malaguzzi, 1993 cited in Sharp, C. 2004: 8), as children are able to negotiate and compare their ideas with their partner.</w:t>
      </w:r>
    </w:p>
    <w:p w:rsidR="008F5AA7" w:rsidRDefault="003C4026">
      <w:pPr>
        <w:spacing w:line="360" w:lineRule="auto"/>
        <w:ind w:firstLine="720"/>
      </w:pPr>
      <w:r>
        <w:rPr>
          <w:rFonts w:ascii="Arial" w:hAnsi="Arial" w:cs="Arial"/>
          <w:sz w:val="20"/>
          <w:szCs w:val="24"/>
          <w:shd w:val="clear" w:color="auto" w:fill="FFFFFF"/>
        </w:rPr>
        <w:t>Working in pair</w:t>
      </w:r>
      <w:r>
        <w:rPr>
          <w:rFonts w:ascii="Arial" w:hAnsi="Arial" w:cs="Arial"/>
          <w:sz w:val="20"/>
          <w:szCs w:val="24"/>
          <w:shd w:val="clear" w:color="auto" w:fill="FFFFFF"/>
        </w:rPr>
        <w:t>s, in particular with a partner of differing ability is further supported by Vygotsky</w:t>
      </w:r>
      <w:r>
        <w:rPr>
          <w:rFonts w:ascii="Arial" w:hAnsi="Arial" w:cs="Arial"/>
          <w:sz w:val="20"/>
          <w:szCs w:val="24"/>
        </w:rPr>
        <w:t xml:space="preserve"> in his social learning theory, who also</w:t>
      </w:r>
      <w:r>
        <w:rPr>
          <w:rFonts w:ascii="Georgia" w:hAnsi="Georgia"/>
          <w:color w:val="333333"/>
          <w:szCs w:val="26"/>
          <w:shd w:val="clear" w:color="auto" w:fill="FFFFFF"/>
        </w:rPr>
        <w:t xml:space="preserve"> ‘</w:t>
      </w:r>
      <w:r>
        <w:rPr>
          <w:rFonts w:ascii="Arial" w:hAnsi="Arial" w:cs="Arial"/>
          <w:sz w:val="20"/>
          <w:szCs w:val="26"/>
          <w:shd w:val="clear" w:color="auto" w:fill="FFFFFF"/>
        </w:rPr>
        <w:t>v</w:t>
      </w:r>
      <w:r>
        <w:rPr>
          <w:rFonts w:ascii="Arial" w:hAnsi="Arial" w:cs="Arial"/>
          <w:sz w:val="20"/>
          <w:szCs w:val="24"/>
        </w:rPr>
        <w:t xml:space="preserve">iews interaction with peers as an effective way of developing skills and strategies’ (McLeod, S. 2012). Vygotsky (1978 cited in </w:t>
      </w:r>
      <w:r>
        <w:rPr>
          <w:rFonts w:ascii="Arial" w:hAnsi="Arial" w:cs="Arial"/>
          <w:sz w:val="20"/>
          <w:szCs w:val="24"/>
        </w:rPr>
        <w:t>McLeod, S. 2012) discussed the ‘Zone of Proximal Development’ (ZPD), which can be defined as the difference between a child’s ability on their own, and their ability with the guidance of a ‘More Knowledgeable Other’ (MKO). This MKO can be a child of a high</w:t>
      </w:r>
      <w:r>
        <w:rPr>
          <w:rFonts w:ascii="Arial" w:hAnsi="Arial" w:cs="Arial"/>
          <w:sz w:val="20"/>
          <w:szCs w:val="24"/>
        </w:rPr>
        <w:t>er ability, who can have a positive impact on the child who is of a lower ability by helping them in developing their skills and ideas, and in turn, increasing their creative capacities.</w:t>
      </w:r>
    </w:p>
    <w:p w:rsidR="008F5AA7" w:rsidRDefault="003C4026">
      <w:pPr>
        <w:spacing w:line="360" w:lineRule="auto"/>
        <w:ind w:firstLine="720"/>
      </w:pPr>
      <w:r>
        <w:rPr>
          <w:rFonts w:ascii="Arial" w:hAnsi="Arial" w:cs="Arial"/>
          <w:sz w:val="20"/>
          <w:szCs w:val="24"/>
        </w:rPr>
        <w:t xml:space="preserve">A possible challenge when getting children to work in pairs could be </w:t>
      </w:r>
      <w:r>
        <w:rPr>
          <w:rFonts w:ascii="Arial" w:hAnsi="Arial" w:cs="Arial"/>
          <w:sz w:val="20"/>
          <w:szCs w:val="23"/>
          <w:shd w:val="clear" w:color="auto" w:fill="FFFFFF"/>
        </w:rPr>
        <w:t>that if students are not matched up well, for example, low ability children together; high ability children together; or simply that the partnered children do not get on or work together well, pair work could hinder the development of the children’s creati</w:t>
      </w:r>
      <w:r>
        <w:rPr>
          <w:rFonts w:ascii="Arial" w:hAnsi="Arial" w:cs="Arial"/>
          <w:sz w:val="20"/>
          <w:szCs w:val="23"/>
          <w:shd w:val="clear" w:color="auto" w:fill="FFFFFF"/>
        </w:rPr>
        <w:t>ve skills</w:t>
      </w:r>
      <w:r>
        <w:rPr>
          <w:rFonts w:ascii="Arial" w:hAnsi="Arial" w:cs="Arial"/>
          <w:szCs w:val="23"/>
          <w:shd w:val="clear" w:color="auto" w:fill="FFFFFF"/>
        </w:rPr>
        <w:t>.</w:t>
      </w:r>
      <w:r>
        <w:rPr>
          <w:rFonts w:ascii="Arial" w:hAnsi="Arial" w:cs="Arial"/>
          <w:sz w:val="20"/>
          <w:szCs w:val="23"/>
          <w:shd w:val="clear" w:color="auto" w:fill="FFFFFF"/>
        </w:rPr>
        <w:t xml:space="preserve"> (Bushra, 2012).</w:t>
      </w:r>
      <w:r>
        <w:rPr>
          <w:rFonts w:ascii="Arial" w:hAnsi="Arial" w:cs="Arial"/>
          <w:color w:val="000000"/>
          <w:sz w:val="18"/>
          <w:shd w:val="clear" w:color="auto" w:fill="FFFFFF"/>
        </w:rPr>
        <w:t xml:space="preserve"> </w:t>
      </w:r>
      <w:r>
        <w:rPr>
          <w:rFonts w:ascii="Arial" w:hAnsi="Arial" w:cs="Arial"/>
          <w:sz w:val="20"/>
          <w:szCs w:val="23"/>
          <w:shd w:val="clear" w:color="auto" w:fill="FFFFFF"/>
        </w:rPr>
        <w:t>It is therefore important that the teacher carefully plans the partner work so that the children will work well together and as a result, help to develop each-other’s creative skills.</w:t>
      </w:r>
    </w:p>
    <w:p w:rsidR="008F5AA7" w:rsidRDefault="003C4026">
      <w:pPr>
        <w:shd w:val="clear" w:color="auto" w:fill="FFFFFF"/>
        <w:suppressAutoHyphens w:val="0"/>
        <w:spacing w:after="0" w:line="360" w:lineRule="auto"/>
      </w:pPr>
      <w:r>
        <w:rPr>
          <w:rFonts w:ascii="Arial" w:hAnsi="Arial" w:cs="Arial"/>
          <w:sz w:val="20"/>
          <w:szCs w:val="23"/>
          <w:u w:val="single"/>
          <w:shd w:val="clear" w:color="auto" w:fill="FFFFFF"/>
        </w:rPr>
        <w:t>Conclusion</w:t>
      </w:r>
    </w:p>
    <w:p w:rsidR="008F5AA7" w:rsidRDefault="003C4026">
      <w:pPr>
        <w:spacing w:line="360" w:lineRule="auto"/>
        <w:ind w:firstLine="720"/>
      </w:pPr>
      <w:r>
        <w:rPr>
          <w:rFonts w:ascii="Arial" w:hAnsi="Arial" w:cs="Arial"/>
          <w:sz w:val="20"/>
          <w:szCs w:val="23"/>
          <w:shd w:val="clear" w:color="auto" w:fill="FFFFFF"/>
        </w:rPr>
        <w:t>‘T</w:t>
      </w:r>
      <w:r>
        <w:rPr>
          <w:rFonts w:ascii="Arial" w:hAnsi="Arial" w:cs="Arial"/>
          <w:color w:val="000000"/>
          <w:sz w:val="20"/>
          <w:shd w:val="clear" w:color="auto" w:fill="FFFFFF"/>
        </w:rPr>
        <w:t>here is no doubt that creativity</w:t>
      </w:r>
      <w:r>
        <w:rPr>
          <w:rFonts w:ascii="Arial" w:hAnsi="Arial" w:cs="Arial"/>
          <w:color w:val="000000"/>
          <w:sz w:val="20"/>
          <w:shd w:val="clear" w:color="auto" w:fill="FFFFFF"/>
        </w:rPr>
        <w:t xml:space="preserve"> is the most important human resource of all. Without creativity, there would be no progress, and we would be forever repeating the same patterns.’</w:t>
      </w:r>
      <w:r>
        <w:rPr>
          <w:rStyle w:val="quote-author-name"/>
          <w:rFonts w:ascii="Arial" w:hAnsi="Arial" w:cs="Arial"/>
          <w:bCs/>
          <w:color w:val="000000"/>
          <w:sz w:val="20"/>
        </w:rPr>
        <w:t xml:space="preserve"> (Edward de Bono, cited in Keep Inspiring Me, 2017).</w:t>
      </w:r>
    </w:p>
    <w:p w:rsidR="008F5AA7" w:rsidRDefault="003C4026">
      <w:pPr>
        <w:pageBreakBefore/>
        <w:spacing w:line="360" w:lineRule="auto"/>
        <w:jc w:val="center"/>
        <w:rPr>
          <w:rFonts w:ascii="Arial" w:hAnsi="Arial" w:cs="Arial"/>
          <w:sz w:val="24"/>
          <w:u w:val="single"/>
        </w:rPr>
      </w:pPr>
      <w:r>
        <w:rPr>
          <w:rFonts w:ascii="Arial" w:hAnsi="Arial" w:cs="Arial"/>
          <w:sz w:val="24"/>
          <w:u w:val="single"/>
        </w:rPr>
        <w:lastRenderedPageBreak/>
        <w:t>Reference list</w:t>
      </w:r>
    </w:p>
    <w:p w:rsidR="008F5AA7" w:rsidRDefault="003C4026">
      <w:pPr>
        <w:shd w:val="clear" w:color="auto" w:fill="FFFFFF"/>
        <w:spacing w:line="360" w:lineRule="auto"/>
      </w:pPr>
      <w:hyperlink r:id="rId12" w:history="1">
        <w:r>
          <w:rPr>
            <w:rStyle w:val="Hyperlink"/>
            <w:rFonts w:ascii="Arial" w:hAnsi="Arial" w:cs="Arial"/>
            <w:color w:val="auto"/>
            <w:sz w:val="24"/>
            <w:szCs w:val="24"/>
            <w:u w:val="none"/>
          </w:rPr>
          <w:t>Baird</w:t>
        </w:r>
      </w:hyperlink>
      <w:r>
        <w:rPr>
          <w:rFonts w:ascii="Arial" w:hAnsi="Arial" w:cs="Arial"/>
          <w:sz w:val="24"/>
          <w:szCs w:val="24"/>
        </w:rPr>
        <w:t xml:space="preserve">, B., </w:t>
      </w:r>
      <w:hyperlink r:id="rId13" w:history="1">
        <w:r>
          <w:rPr>
            <w:rStyle w:val="Hyperlink"/>
            <w:rFonts w:ascii="Arial" w:hAnsi="Arial" w:cs="Arial"/>
            <w:color w:val="auto"/>
            <w:sz w:val="24"/>
            <w:szCs w:val="24"/>
            <w:u w:val="none"/>
          </w:rPr>
          <w:t>Smallwood</w:t>
        </w:r>
      </w:hyperlink>
      <w:r>
        <w:rPr>
          <w:rFonts w:ascii="Arial" w:hAnsi="Arial" w:cs="Arial"/>
          <w:sz w:val="24"/>
          <w:szCs w:val="24"/>
        </w:rPr>
        <w:t xml:space="preserve">, J., </w:t>
      </w:r>
      <w:hyperlink r:id="rId14" w:history="1">
        <w:r>
          <w:rPr>
            <w:rStyle w:val="Hyperlink"/>
            <w:rFonts w:ascii="Arial" w:hAnsi="Arial" w:cs="Arial"/>
            <w:color w:val="auto"/>
            <w:sz w:val="24"/>
            <w:szCs w:val="24"/>
            <w:u w:val="none"/>
          </w:rPr>
          <w:t>Mrazek</w:t>
        </w:r>
      </w:hyperlink>
      <w:r>
        <w:rPr>
          <w:rFonts w:ascii="Arial" w:hAnsi="Arial" w:cs="Arial"/>
          <w:sz w:val="24"/>
          <w:szCs w:val="24"/>
        </w:rPr>
        <w:t>, M., </w:t>
      </w:r>
      <w:hyperlink r:id="rId15" w:history="1">
        <w:r>
          <w:rPr>
            <w:rStyle w:val="Hyperlink"/>
            <w:rFonts w:ascii="Arial" w:hAnsi="Arial" w:cs="Arial"/>
            <w:color w:val="auto"/>
            <w:sz w:val="24"/>
            <w:szCs w:val="24"/>
            <w:u w:val="none"/>
          </w:rPr>
          <w:t>Kam</w:t>
        </w:r>
      </w:hyperlink>
      <w:r>
        <w:rPr>
          <w:rFonts w:ascii="Arial" w:hAnsi="Arial" w:cs="Arial"/>
          <w:sz w:val="24"/>
          <w:szCs w:val="24"/>
        </w:rPr>
        <w:t>, J., </w:t>
      </w:r>
      <w:hyperlink r:id="rId16" w:history="1">
        <w:r>
          <w:rPr>
            <w:rStyle w:val="Hyperlink"/>
            <w:rFonts w:ascii="Arial" w:hAnsi="Arial" w:cs="Arial"/>
            <w:color w:val="auto"/>
            <w:sz w:val="24"/>
            <w:szCs w:val="24"/>
            <w:u w:val="none"/>
          </w:rPr>
          <w:t>Franklin</w:t>
        </w:r>
      </w:hyperlink>
      <w:r>
        <w:rPr>
          <w:rFonts w:ascii="Arial" w:hAnsi="Arial" w:cs="Arial"/>
          <w:sz w:val="24"/>
          <w:szCs w:val="24"/>
        </w:rPr>
        <w:t xml:space="preserve">, M., and </w:t>
      </w:r>
      <w:hyperlink r:id="rId17" w:history="1">
        <w:r>
          <w:rPr>
            <w:rStyle w:val="Hyperlink"/>
            <w:rFonts w:ascii="Arial" w:hAnsi="Arial" w:cs="Arial"/>
            <w:color w:val="auto"/>
            <w:sz w:val="24"/>
            <w:szCs w:val="24"/>
            <w:u w:val="none"/>
          </w:rPr>
          <w:t>Schooler</w:t>
        </w:r>
      </w:hyperlink>
      <w:r>
        <w:rPr>
          <w:rStyle w:val="contribdegrees"/>
          <w:rFonts w:ascii="Arial" w:hAnsi="Arial" w:cs="Arial"/>
          <w:sz w:val="24"/>
          <w:szCs w:val="24"/>
        </w:rPr>
        <w:t xml:space="preserve">, J. </w:t>
      </w:r>
      <w:r>
        <w:rPr>
          <w:rStyle w:val="contribdegrees"/>
          <w:rFonts w:ascii="Arial" w:hAnsi="Arial" w:cs="Arial"/>
          <w:sz w:val="24"/>
          <w:szCs w:val="24"/>
        </w:rPr>
        <w:t xml:space="preserve">(2012) ‘Inspired by Distraction; Mind Wandering Facilitates Creative Incubation’, </w:t>
      </w:r>
      <w:r>
        <w:rPr>
          <w:rStyle w:val="contribdegrees"/>
          <w:rFonts w:ascii="Arial" w:hAnsi="Arial" w:cs="Arial"/>
          <w:i/>
          <w:sz w:val="24"/>
          <w:szCs w:val="24"/>
        </w:rPr>
        <w:t xml:space="preserve">Psychological Science, </w:t>
      </w:r>
      <w:r>
        <w:rPr>
          <w:rStyle w:val="contribdegrees"/>
          <w:rFonts w:ascii="Arial" w:hAnsi="Arial" w:cs="Arial"/>
          <w:sz w:val="24"/>
          <w:szCs w:val="24"/>
        </w:rPr>
        <w:t>23, 10, August, pp. 1117-1122.</w:t>
      </w:r>
    </w:p>
    <w:p w:rsidR="008F5AA7" w:rsidRDefault="003C4026">
      <w:pPr>
        <w:spacing w:line="360" w:lineRule="auto"/>
      </w:pPr>
      <w:r>
        <w:rPr>
          <w:rFonts w:ascii="Arial" w:hAnsi="Arial" w:cs="Arial"/>
          <w:sz w:val="24"/>
        </w:rPr>
        <w:t xml:space="preserve">Bushra (2012) ‘Advantages </w:t>
      </w:r>
      <w:proofErr w:type="gramStart"/>
      <w:r>
        <w:rPr>
          <w:rFonts w:ascii="Arial" w:hAnsi="Arial" w:cs="Arial"/>
          <w:sz w:val="24"/>
        </w:rPr>
        <w:t>And</w:t>
      </w:r>
      <w:proofErr w:type="gramEnd"/>
      <w:r>
        <w:rPr>
          <w:rFonts w:ascii="Arial" w:hAnsi="Arial" w:cs="Arial"/>
          <w:sz w:val="24"/>
        </w:rPr>
        <w:t xml:space="preserve"> Disadvantages Of Pair And Group Work’ Available at: </w:t>
      </w:r>
      <w:hyperlink r:id="rId18" w:history="1">
        <w:r>
          <w:rPr>
            <w:rStyle w:val="Hyperlink"/>
            <w:rFonts w:ascii="Arial" w:hAnsi="Arial" w:cs="Arial"/>
            <w:sz w:val="24"/>
          </w:rPr>
          <w:t>https://www.tutorhunt.com/resource/3199/</w:t>
        </w:r>
      </w:hyperlink>
      <w:r>
        <w:rPr>
          <w:rFonts w:ascii="Arial" w:hAnsi="Arial" w:cs="Arial"/>
          <w:sz w:val="24"/>
        </w:rPr>
        <w:t xml:space="preserve"> [Accessed: 01</w:t>
      </w:r>
      <w:r>
        <w:rPr>
          <w:rFonts w:ascii="Arial" w:hAnsi="Arial" w:cs="Arial"/>
          <w:sz w:val="24"/>
          <w:vertAlign w:val="superscript"/>
        </w:rPr>
        <w:t>st</w:t>
      </w:r>
      <w:r>
        <w:rPr>
          <w:rFonts w:ascii="Arial" w:hAnsi="Arial" w:cs="Arial"/>
          <w:sz w:val="24"/>
        </w:rPr>
        <w:t xml:space="preserve"> March 2018].</w:t>
      </w:r>
    </w:p>
    <w:p w:rsidR="008F5AA7" w:rsidRDefault="003C4026">
      <w:pPr>
        <w:spacing w:line="360" w:lineRule="auto"/>
      </w:pPr>
      <w:r>
        <w:rPr>
          <w:rFonts w:ascii="Arial" w:hAnsi="Arial" w:cs="Arial"/>
          <w:sz w:val="24"/>
        </w:rPr>
        <w:t xml:space="preserve">Creative by nature (2015) ‘Ken Robinson – How Schools Kill Creativity’ Available at: </w:t>
      </w:r>
      <w:hyperlink r:id="rId19" w:history="1">
        <w:r>
          <w:rPr>
            <w:rStyle w:val="Hyperlink"/>
            <w:rFonts w:ascii="Arial" w:hAnsi="Arial" w:cs="Arial"/>
            <w:sz w:val="24"/>
          </w:rPr>
          <w:t>https://creativesystemsthinking.wordpress.com/2015/04/26/ken-robinson-how-schools-kill-creativity/</w:t>
        </w:r>
      </w:hyperlink>
      <w:r>
        <w:rPr>
          <w:rFonts w:ascii="Arial" w:hAnsi="Arial" w:cs="Arial"/>
          <w:sz w:val="24"/>
        </w:rPr>
        <w:t xml:space="preserve"> [Accessed: 23</w:t>
      </w:r>
      <w:r>
        <w:rPr>
          <w:rFonts w:ascii="Arial" w:hAnsi="Arial" w:cs="Arial"/>
          <w:sz w:val="24"/>
          <w:vertAlign w:val="superscript"/>
        </w:rPr>
        <w:t>rd</w:t>
      </w:r>
      <w:r>
        <w:rPr>
          <w:rFonts w:ascii="Arial" w:hAnsi="Arial" w:cs="Arial"/>
          <w:sz w:val="24"/>
        </w:rPr>
        <w:t xml:space="preserve"> February 2018].</w:t>
      </w:r>
    </w:p>
    <w:p w:rsidR="008F5AA7" w:rsidRDefault="003C4026">
      <w:pPr>
        <w:spacing w:line="360" w:lineRule="auto"/>
      </w:pPr>
      <w:r>
        <w:rPr>
          <w:rFonts w:ascii="Arial" w:hAnsi="Arial" w:cs="Arial"/>
          <w:sz w:val="24"/>
          <w:szCs w:val="24"/>
        </w:rPr>
        <w:t xml:space="preserve">Donaldson, G. (2015) </w:t>
      </w:r>
      <w:r>
        <w:rPr>
          <w:rFonts w:ascii="Arial" w:hAnsi="Arial" w:cs="Arial"/>
          <w:i/>
          <w:sz w:val="24"/>
          <w:szCs w:val="24"/>
        </w:rPr>
        <w:t>Successful Futures Independent Review of Curriculum and Assessment Ar</w:t>
      </w:r>
      <w:r>
        <w:rPr>
          <w:rFonts w:ascii="Arial" w:hAnsi="Arial" w:cs="Arial"/>
          <w:i/>
          <w:sz w:val="24"/>
          <w:szCs w:val="24"/>
        </w:rPr>
        <w:t xml:space="preserve">rangements in Wales. </w:t>
      </w:r>
      <w:r>
        <w:rPr>
          <w:rFonts w:ascii="Arial" w:hAnsi="Arial" w:cs="Arial"/>
          <w:sz w:val="24"/>
          <w:szCs w:val="24"/>
        </w:rPr>
        <w:t>Cardiff: Scarlet Design International Ltd.</w:t>
      </w:r>
    </w:p>
    <w:p w:rsidR="008F5AA7" w:rsidRDefault="003C4026">
      <w:pPr>
        <w:spacing w:line="360" w:lineRule="auto"/>
      </w:pPr>
      <w:r>
        <w:rPr>
          <w:rFonts w:ascii="Arial" w:hAnsi="Arial" w:cs="Arial"/>
          <w:sz w:val="24"/>
          <w:szCs w:val="24"/>
        </w:rPr>
        <w:t>Dunn, D. (2012)</w:t>
      </w:r>
      <w:r>
        <w:rPr>
          <w:rFonts w:ascii="Arial" w:hAnsi="Arial" w:cs="Arial"/>
          <w:i/>
          <w:sz w:val="24"/>
          <w:szCs w:val="24"/>
        </w:rPr>
        <w:t xml:space="preserve"> How to be an outstanding primary school teacher. </w:t>
      </w:r>
      <w:r>
        <w:rPr>
          <w:rFonts w:ascii="Arial" w:hAnsi="Arial" w:cs="Arial"/>
          <w:sz w:val="24"/>
          <w:szCs w:val="24"/>
        </w:rPr>
        <w:t>London: Bloomsbury Publishing Plc.</w:t>
      </w:r>
    </w:p>
    <w:p w:rsidR="008F5AA7" w:rsidRDefault="003C4026">
      <w:pPr>
        <w:spacing w:line="360" w:lineRule="auto"/>
      </w:pPr>
      <w:r>
        <w:rPr>
          <w:rFonts w:ascii="Arial" w:hAnsi="Arial" w:cs="Arial"/>
          <w:sz w:val="24"/>
        </w:rPr>
        <w:t xml:space="preserve">Early years matters (2018) ‘Indoor and Outdoor environment’ Available at: </w:t>
      </w:r>
      <w:hyperlink r:id="rId20" w:history="1">
        <w:r>
          <w:rPr>
            <w:rStyle w:val="Hyperlink"/>
            <w:rFonts w:ascii="Arial" w:hAnsi="Arial" w:cs="Arial"/>
            <w:sz w:val="24"/>
          </w:rPr>
          <w:t>http://www.earlyyearsmatters.co.uk/our-services/school-and-nursery-improvement-partner/enabling-envi</w:t>
        </w:r>
        <w:r>
          <w:rPr>
            <w:rStyle w:val="Hyperlink"/>
            <w:rFonts w:ascii="Arial" w:hAnsi="Arial" w:cs="Arial"/>
            <w:sz w:val="24"/>
          </w:rPr>
          <w:t>ronments/indoor-and-outdoor-environment/</w:t>
        </w:r>
      </w:hyperlink>
      <w:r>
        <w:rPr>
          <w:rFonts w:ascii="Arial" w:hAnsi="Arial" w:cs="Arial"/>
          <w:sz w:val="24"/>
        </w:rPr>
        <w:t xml:space="preserve"> [Accessed: 26</w:t>
      </w:r>
      <w:r>
        <w:rPr>
          <w:rFonts w:ascii="Arial" w:hAnsi="Arial" w:cs="Arial"/>
          <w:sz w:val="24"/>
          <w:vertAlign w:val="superscript"/>
        </w:rPr>
        <w:t>th</w:t>
      </w:r>
      <w:r>
        <w:rPr>
          <w:rFonts w:ascii="Arial" w:hAnsi="Arial" w:cs="Arial"/>
          <w:sz w:val="24"/>
        </w:rPr>
        <w:t xml:space="preserve"> February 2018].</w:t>
      </w:r>
    </w:p>
    <w:p w:rsidR="008F5AA7" w:rsidRDefault="003C4026">
      <w:pPr>
        <w:spacing w:line="360" w:lineRule="auto"/>
      </w:pPr>
      <w:r>
        <w:rPr>
          <w:rFonts w:ascii="Arial" w:hAnsi="Arial" w:cs="Arial"/>
          <w:sz w:val="24"/>
        </w:rPr>
        <w:t>Keep Inspiring Me (2017) ‘</w:t>
      </w:r>
      <w:r>
        <w:rPr>
          <w:rFonts w:ascii="Arial" w:hAnsi="Arial" w:cs="Arial"/>
          <w:bCs/>
          <w:sz w:val="24"/>
        </w:rPr>
        <w:t xml:space="preserve">Quotes About Creativity, Imagination, and Innovation’ Available at: </w:t>
      </w:r>
      <w:hyperlink r:id="rId21" w:history="1">
        <w:r>
          <w:rPr>
            <w:rStyle w:val="Hyperlink"/>
            <w:rFonts w:ascii="Arial" w:hAnsi="Arial" w:cs="Arial"/>
            <w:bCs/>
            <w:sz w:val="24"/>
          </w:rPr>
          <w:t>http://www.keepinspiring.me/quotes-about-creativity-imagination-and-innovation/</w:t>
        </w:r>
      </w:hyperlink>
      <w:r>
        <w:rPr>
          <w:rFonts w:ascii="Arial" w:hAnsi="Arial" w:cs="Arial"/>
          <w:bCs/>
          <w:sz w:val="24"/>
        </w:rPr>
        <w:t xml:space="preserve"> [Accessed: 01</w:t>
      </w:r>
      <w:r>
        <w:rPr>
          <w:rFonts w:ascii="Arial" w:hAnsi="Arial" w:cs="Arial"/>
          <w:bCs/>
          <w:sz w:val="24"/>
          <w:vertAlign w:val="superscript"/>
        </w:rPr>
        <w:t>st</w:t>
      </w:r>
      <w:r>
        <w:rPr>
          <w:rFonts w:ascii="Arial" w:hAnsi="Arial" w:cs="Arial"/>
          <w:bCs/>
          <w:sz w:val="24"/>
        </w:rPr>
        <w:t xml:space="preserve"> March 2018].</w:t>
      </w:r>
    </w:p>
    <w:p w:rsidR="008F5AA7" w:rsidRDefault="003C4026">
      <w:pPr>
        <w:spacing w:line="360" w:lineRule="auto"/>
      </w:pPr>
      <w:r>
        <w:rPr>
          <w:rFonts w:ascii="Arial" w:hAnsi="Arial" w:cs="Arial"/>
          <w:sz w:val="24"/>
        </w:rPr>
        <w:t xml:space="preserve">McLeod, S. (2012) ‘Zone of Proximal Development’ Available at: </w:t>
      </w:r>
      <w:hyperlink r:id="rId22" w:history="1">
        <w:r>
          <w:rPr>
            <w:rStyle w:val="Hyperlink"/>
            <w:rFonts w:ascii="Arial" w:hAnsi="Arial" w:cs="Arial"/>
            <w:sz w:val="24"/>
          </w:rPr>
          <w:t>https://www.simplypsychology.org/Zone-of-Proximal-Development.html</w:t>
        </w:r>
      </w:hyperlink>
      <w:r>
        <w:rPr>
          <w:rFonts w:ascii="Arial" w:hAnsi="Arial" w:cs="Arial"/>
          <w:sz w:val="24"/>
        </w:rPr>
        <w:t xml:space="preserve"> [Accessed: 01</w:t>
      </w:r>
      <w:r>
        <w:rPr>
          <w:rFonts w:ascii="Arial" w:hAnsi="Arial" w:cs="Arial"/>
          <w:sz w:val="24"/>
          <w:vertAlign w:val="superscript"/>
        </w:rPr>
        <w:t>st</w:t>
      </w:r>
      <w:r>
        <w:rPr>
          <w:rFonts w:ascii="Arial" w:hAnsi="Arial" w:cs="Arial"/>
          <w:sz w:val="24"/>
        </w:rPr>
        <w:t xml:space="preserve"> March 2018].</w:t>
      </w:r>
    </w:p>
    <w:p w:rsidR="008F5AA7" w:rsidRDefault="003C4026">
      <w:pPr>
        <w:spacing w:line="360" w:lineRule="auto"/>
      </w:pPr>
      <w:r>
        <w:rPr>
          <w:rFonts w:ascii="Arial" w:hAnsi="Arial" w:cs="Arial"/>
          <w:sz w:val="24"/>
        </w:rPr>
        <w:t xml:space="preserve">Mind Shift (2015) ‘Sir Ken Robinson: Creativity Is In Everything, Especially Teaching’ Available at: </w:t>
      </w:r>
      <w:hyperlink r:id="rId23" w:history="1">
        <w:r>
          <w:rPr>
            <w:rStyle w:val="Hyperlink"/>
            <w:rFonts w:ascii="Arial" w:hAnsi="Arial" w:cs="Arial"/>
            <w:sz w:val="24"/>
          </w:rPr>
          <w:t>https://ww2.kqed.org/mindshift/2015/04/22/sir-ken-robinson-creativity-is-in-everything-especially-teaching/</w:t>
        </w:r>
      </w:hyperlink>
      <w:r>
        <w:rPr>
          <w:rFonts w:ascii="Arial" w:hAnsi="Arial" w:cs="Arial"/>
          <w:sz w:val="24"/>
        </w:rPr>
        <w:t xml:space="preserve"> [Accessed: 22</w:t>
      </w:r>
      <w:r>
        <w:rPr>
          <w:rFonts w:ascii="Arial" w:hAnsi="Arial" w:cs="Arial"/>
          <w:sz w:val="24"/>
          <w:vertAlign w:val="superscript"/>
        </w:rPr>
        <w:t>nd</w:t>
      </w:r>
      <w:r>
        <w:rPr>
          <w:rFonts w:ascii="Arial" w:hAnsi="Arial" w:cs="Arial"/>
          <w:sz w:val="24"/>
        </w:rPr>
        <w:t xml:space="preserve"> February 2018].</w:t>
      </w:r>
    </w:p>
    <w:p w:rsidR="008F5AA7" w:rsidRDefault="003C4026">
      <w:pPr>
        <w:spacing w:line="360" w:lineRule="auto"/>
      </w:pPr>
      <w:r>
        <w:rPr>
          <w:rFonts w:ascii="Arial" w:hAnsi="Arial" w:cs="Arial"/>
          <w:sz w:val="24"/>
        </w:rPr>
        <w:t xml:space="preserve">N.A.C.C.C.E. (1999) </w:t>
      </w:r>
      <w:r>
        <w:rPr>
          <w:rFonts w:ascii="Arial" w:hAnsi="Arial" w:cs="Arial"/>
          <w:i/>
          <w:sz w:val="24"/>
        </w:rPr>
        <w:t>All our futures: creat</w:t>
      </w:r>
      <w:r>
        <w:rPr>
          <w:rFonts w:ascii="Arial" w:hAnsi="Arial" w:cs="Arial"/>
          <w:i/>
          <w:sz w:val="24"/>
        </w:rPr>
        <w:t>ivity, culture and education</w:t>
      </w:r>
      <w:r>
        <w:rPr>
          <w:rFonts w:ascii="Arial" w:hAnsi="Arial" w:cs="Arial"/>
          <w:sz w:val="24"/>
        </w:rPr>
        <w:t xml:space="preserve">. London: </w:t>
      </w:r>
      <w:proofErr w:type="spellStart"/>
      <w:r>
        <w:rPr>
          <w:rFonts w:ascii="Arial" w:hAnsi="Arial" w:cs="Arial"/>
          <w:sz w:val="24"/>
        </w:rPr>
        <w:t>DfEE</w:t>
      </w:r>
      <w:proofErr w:type="spellEnd"/>
      <w:r>
        <w:rPr>
          <w:rFonts w:ascii="Arial" w:hAnsi="Arial" w:cs="Arial"/>
          <w:sz w:val="24"/>
        </w:rPr>
        <w:t>.</w:t>
      </w:r>
    </w:p>
    <w:p w:rsidR="008F5AA7" w:rsidRDefault="003C4026">
      <w:pPr>
        <w:spacing w:line="360" w:lineRule="auto"/>
      </w:pPr>
      <w:r>
        <w:rPr>
          <w:rFonts w:ascii="Arial" w:hAnsi="Arial" w:cs="Arial"/>
          <w:sz w:val="24"/>
          <w:szCs w:val="24"/>
        </w:rPr>
        <w:t xml:space="preserve">Naiman, L (2017) ‘Creativity at Work’ Available at: </w:t>
      </w:r>
      <w:hyperlink r:id="rId24" w:history="1">
        <w:r>
          <w:rPr>
            <w:rStyle w:val="Hyperlink"/>
            <w:rFonts w:ascii="Arial" w:hAnsi="Arial" w:cs="Arial"/>
            <w:sz w:val="24"/>
            <w:szCs w:val="24"/>
          </w:rPr>
          <w:t>http://www.creativityatwork.com/2014/02/17/what-is-creativity/</w:t>
        </w:r>
      </w:hyperlink>
      <w:r>
        <w:rPr>
          <w:rFonts w:ascii="Arial" w:hAnsi="Arial" w:cs="Arial"/>
          <w:sz w:val="24"/>
          <w:szCs w:val="24"/>
        </w:rPr>
        <w:t xml:space="preserve"> [Accessed: </w:t>
      </w:r>
      <w:r>
        <w:rPr>
          <w:rFonts w:ascii="Arial" w:hAnsi="Arial" w:cs="Arial"/>
          <w:sz w:val="24"/>
        </w:rPr>
        <w:t>22</w:t>
      </w:r>
      <w:r>
        <w:rPr>
          <w:rFonts w:ascii="Arial" w:hAnsi="Arial" w:cs="Arial"/>
          <w:sz w:val="24"/>
          <w:vertAlign w:val="superscript"/>
        </w:rPr>
        <w:t>nd</w:t>
      </w:r>
      <w:r>
        <w:rPr>
          <w:rFonts w:ascii="Arial" w:hAnsi="Arial" w:cs="Arial"/>
          <w:sz w:val="24"/>
        </w:rPr>
        <w:t xml:space="preserve"> </w:t>
      </w:r>
      <w:r>
        <w:rPr>
          <w:rFonts w:ascii="Arial" w:hAnsi="Arial" w:cs="Arial"/>
          <w:sz w:val="24"/>
        </w:rPr>
        <w:t>February 2018].</w:t>
      </w:r>
    </w:p>
    <w:p w:rsidR="008F5AA7" w:rsidRDefault="003C4026">
      <w:pPr>
        <w:spacing w:line="360" w:lineRule="auto"/>
      </w:pPr>
      <w:r>
        <w:rPr>
          <w:rFonts w:ascii="Arial" w:hAnsi="Arial" w:cs="Arial"/>
          <w:sz w:val="24"/>
        </w:rPr>
        <w:t xml:space="preserve">Robinson, K. (2006) ‘Do School’s Kill Creativity?’ </w:t>
      </w:r>
      <w:r>
        <w:rPr>
          <w:rFonts w:ascii="Arial" w:hAnsi="Arial" w:cs="Arial"/>
          <w:i/>
          <w:sz w:val="24"/>
        </w:rPr>
        <w:t xml:space="preserve">TED conference. </w:t>
      </w:r>
      <w:r>
        <w:rPr>
          <w:rFonts w:ascii="Arial" w:hAnsi="Arial" w:cs="Arial"/>
          <w:sz w:val="24"/>
        </w:rPr>
        <w:t xml:space="preserve">[Online]. Available at: </w:t>
      </w:r>
      <w:hyperlink r:id="rId25" w:history="1">
        <w:r>
          <w:rPr>
            <w:rStyle w:val="Hyperlink"/>
            <w:rFonts w:ascii="Arial" w:hAnsi="Arial" w:cs="Arial"/>
            <w:sz w:val="24"/>
          </w:rPr>
          <w:t>https://www.ted.com/talks/ken_robinson_says_schools_kill_creativ</w:t>
        </w:r>
        <w:r>
          <w:rPr>
            <w:rStyle w:val="Hyperlink"/>
            <w:rFonts w:ascii="Arial" w:hAnsi="Arial" w:cs="Arial"/>
            <w:sz w:val="24"/>
          </w:rPr>
          <w:t>ity</w:t>
        </w:r>
      </w:hyperlink>
      <w:r>
        <w:rPr>
          <w:rFonts w:ascii="Arial" w:hAnsi="Arial" w:cs="Arial"/>
          <w:sz w:val="24"/>
        </w:rPr>
        <w:t xml:space="preserve"> [Accessed: 27</w:t>
      </w:r>
      <w:r>
        <w:rPr>
          <w:rFonts w:ascii="Arial" w:hAnsi="Arial" w:cs="Arial"/>
          <w:sz w:val="24"/>
          <w:vertAlign w:val="superscript"/>
        </w:rPr>
        <w:t>th</w:t>
      </w:r>
      <w:r>
        <w:rPr>
          <w:rFonts w:ascii="Arial" w:hAnsi="Arial" w:cs="Arial"/>
          <w:sz w:val="24"/>
        </w:rPr>
        <w:t xml:space="preserve"> February 2018].</w:t>
      </w:r>
      <w:r>
        <w:rPr>
          <w:rFonts w:ascii="Arial" w:hAnsi="Arial" w:cs="Arial"/>
          <w:i/>
          <w:sz w:val="24"/>
        </w:rPr>
        <w:t xml:space="preserve"> </w:t>
      </w:r>
    </w:p>
    <w:p w:rsidR="008F5AA7" w:rsidRDefault="003C4026">
      <w:pPr>
        <w:spacing w:line="360" w:lineRule="auto"/>
      </w:pPr>
      <w:r>
        <w:rPr>
          <w:rFonts w:ascii="Arial" w:hAnsi="Arial" w:cs="Arial"/>
          <w:sz w:val="24"/>
        </w:rPr>
        <w:lastRenderedPageBreak/>
        <w:t xml:space="preserve">Sharp, C. (2004) ‘Developing young children’s creativity: what can we learn from research?’, </w:t>
      </w:r>
      <w:r>
        <w:rPr>
          <w:rFonts w:ascii="Arial" w:hAnsi="Arial" w:cs="Arial"/>
          <w:i/>
          <w:sz w:val="24"/>
        </w:rPr>
        <w:t xml:space="preserve">Readership: primary, </w:t>
      </w:r>
      <w:r>
        <w:rPr>
          <w:rFonts w:ascii="Arial" w:hAnsi="Arial" w:cs="Arial"/>
          <w:sz w:val="24"/>
        </w:rPr>
        <w:t>32, Autumn, pp. 5-12.</w:t>
      </w:r>
    </w:p>
    <w:p w:rsidR="008F5AA7" w:rsidRDefault="003C4026">
      <w:pPr>
        <w:spacing w:line="360" w:lineRule="auto"/>
      </w:pPr>
      <w:r>
        <w:rPr>
          <w:rFonts w:ascii="Arial" w:hAnsi="Arial" w:cs="Arial"/>
          <w:sz w:val="24"/>
          <w:szCs w:val="24"/>
        </w:rPr>
        <w:t xml:space="preserve">Study.com (2017) ‘Facilitator of learning: definition and concept’ Available at: </w:t>
      </w:r>
      <w:hyperlink r:id="rId26" w:history="1">
        <w:r>
          <w:rPr>
            <w:rStyle w:val="Hyperlink"/>
            <w:rFonts w:ascii="Arial" w:hAnsi="Arial" w:cs="Arial"/>
            <w:sz w:val="24"/>
            <w:szCs w:val="24"/>
          </w:rPr>
          <w:t>http://study.com/academy/lesson/facilitator-of-learning-definition-lesson-quiz.html</w:t>
        </w:r>
      </w:hyperlink>
      <w:r>
        <w:rPr>
          <w:rFonts w:ascii="Arial" w:hAnsi="Arial" w:cs="Arial"/>
          <w:sz w:val="24"/>
          <w:szCs w:val="24"/>
        </w:rPr>
        <w:t xml:space="preserve"> [Accessed: 27</w:t>
      </w:r>
      <w:r>
        <w:rPr>
          <w:rFonts w:ascii="Arial" w:hAnsi="Arial" w:cs="Arial"/>
          <w:sz w:val="24"/>
          <w:szCs w:val="24"/>
          <w:vertAlign w:val="superscript"/>
        </w:rPr>
        <w:t>th</w:t>
      </w:r>
      <w:r>
        <w:rPr>
          <w:rFonts w:ascii="Arial" w:hAnsi="Arial" w:cs="Arial"/>
          <w:sz w:val="24"/>
          <w:szCs w:val="24"/>
        </w:rPr>
        <w:t xml:space="preserve"> February 2018].</w:t>
      </w:r>
    </w:p>
    <w:p w:rsidR="008F5AA7" w:rsidRDefault="003C4026">
      <w:pPr>
        <w:shd w:val="clear" w:color="auto" w:fill="FFFFFF"/>
        <w:spacing w:line="360" w:lineRule="auto"/>
      </w:pPr>
      <w:r>
        <w:rPr>
          <w:rFonts w:ascii="Arial" w:hAnsi="Arial" w:cs="Arial"/>
          <w:sz w:val="24"/>
          <w:szCs w:val="24"/>
        </w:rPr>
        <w:t>Sure Start (2008) ‘My space; Creating ena</w:t>
      </w:r>
      <w:r>
        <w:rPr>
          <w:rFonts w:ascii="Arial" w:hAnsi="Arial" w:cs="Arial"/>
          <w:sz w:val="24"/>
          <w:szCs w:val="24"/>
        </w:rPr>
        <w:t xml:space="preserve">bling environments for young children’ Available at: </w:t>
      </w:r>
      <w:hyperlink r:id="rId27" w:history="1">
        <w:r>
          <w:rPr>
            <w:rStyle w:val="Hyperlink"/>
            <w:rFonts w:ascii="Arial" w:hAnsi="Arial" w:cs="Arial"/>
            <w:sz w:val="24"/>
            <w:szCs w:val="24"/>
          </w:rPr>
          <w:t>https://www.oxfordshire.gov.uk/cms/sites/default/files/folders/documents/childreneducationandfamilies/informationforchildcareproviders/Toolkit/My_Space_Creating_enabling_environments_for_young_children.pdf</w:t>
        </w:r>
      </w:hyperlink>
      <w:r>
        <w:rPr>
          <w:rFonts w:ascii="Arial" w:hAnsi="Arial" w:cs="Arial"/>
          <w:sz w:val="24"/>
          <w:szCs w:val="24"/>
        </w:rPr>
        <w:t xml:space="preserve"> [Accessed: 26</w:t>
      </w:r>
      <w:r>
        <w:rPr>
          <w:rFonts w:ascii="Arial" w:hAnsi="Arial" w:cs="Arial"/>
          <w:sz w:val="24"/>
          <w:szCs w:val="24"/>
          <w:vertAlign w:val="superscript"/>
        </w:rPr>
        <w:t>th</w:t>
      </w:r>
      <w:r>
        <w:rPr>
          <w:rFonts w:ascii="Arial" w:hAnsi="Arial" w:cs="Arial"/>
          <w:sz w:val="24"/>
          <w:szCs w:val="24"/>
        </w:rPr>
        <w:t xml:space="preserve"> February 2018]</w:t>
      </w:r>
      <w:r>
        <w:rPr>
          <w:rFonts w:ascii="Arial" w:hAnsi="Arial" w:cs="Arial"/>
          <w:sz w:val="24"/>
          <w:szCs w:val="24"/>
        </w:rPr>
        <w:t>.</w:t>
      </w:r>
    </w:p>
    <w:p w:rsidR="008F5AA7" w:rsidRDefault="003C4026">
      <w:pPr>
        <w:spacing w:line="360" w:lineRule="auto"/>
      </w:pPr>
      <w:proofErr w:type="spellStart"/>
      <w:r>
        <w:rPr>
          <w:rFonts w:ascii="Arial" w:hAnsi="Arial" w:cs="Arial"/>
          <w:sz w:val="24"/>
        </w:rPr>
        <w:t>Trnova</w:t>
      </w:r>
      <w:proofErr w:type="spellEnd"/>
      <w:r>
        <w:rPr>
          <w:rFonts w:ascii="Arial" w:hAnsi="Arial" w:cs="Arial"/>
          <w:sz w:val="24"/>
        </w:rPr>
        <w:t xml:space="preserve">, E. (2014) ‘IBSE and Creativity Development’, </w:t>
      </w:r>
      <w:r>
        <w:rPr>
          <w:rFonts w:ascii="Arial" w:hAnsi="Arial" w:cs="Arial"/>
          <w:i/>
          <w:sz w:val="24"/>
        </w:rPr>
        <w:t xml:space="preserve">Science Education International, </w:t>
      </w:r>
      <w:r>
        <w:rPr>
          <w:rFonts w:ascii="Arial" w:hAnsi="Arial" w:cs="Arial"/>
          <w:sz w:val="24"/>
        </w:rPr>
        <w:t>25, 1, pp.8-18.</w:t>
      </w:r>
    </w:p>
    <w:p w:rsidR="008F5AA7" w:rsidRDefault="003C4026">
      <w:pPr>
        <w:spacing w:line="360" w:lineRule="auto"/>
      </w:pPr>
      <w:r>
        <w:rPr>
          <w:rFonts w:ascii="Arial" w:hAnsi="Arial" w:cs="Arial"/>
          <w:sz w:val="24"/>
          <w:szCs w:val="24"/>
        </w:rPr>
        <w:t xml:space="preserve">University of Manchester (2010) ‘What is Enquiry-Based Learning (EBL)?’ Available at: </w:t>
      </w:r>
      <w:hyperlink r:id="rId28" w:history="1">
        <w:r>
          <w:rPr>
            <w:rStyle w:val="Hyperlink"/>
            <w:rFonts w:ascii="Arial" w:hAnsi="Arial" w:cs="Arial"/>
            <w:sz w:val="24"/>
            <w:szCs w:val="24"/>
          </w:rPr>
          <w:t>http://www</w:t>
        </w:r>
        <w:r>
          <w:rPr>
            <w:rStyle w:val="Hyperlink"/>
            <w:rFonts w:ascii="Arial" w:hAnsi="Arial" w:cs="Arial"/>
            <w:sz w:val="24"/>
            <w:szCs w:val="24"/>
          </w:rPr>
          <w:t>.ceebl.manchester.ac.uk/ebl/</w:t>
        </w:r>
      </w:hyperlink>
      <w:r>
        <w:rPr>
          <w:rFonts w:ascii="Arial" w:hAnsi="Arial" w:cs="Arial"/>
          <w:sz w:val="24"/>
          <w:szCs w:val="24"/>
        </w:rPr>
        <w:t xml:space="preserve"> [Accessed: 27</w:t>
      </w:r>
      <w:r>
        <w:rPr>
          <w:rFonts w:ascii="Arial" w:hAnsi="Arial" w:cs="Arial"/>
          <w:sz w:val="24"/>
          <w:szCs w:val="24"/>
          <w:vertAlign w:val="superscript"/>
        </w:rPr>
        <w:t>th</w:t>
      </w:r>
      <w:r>
        <w:rPr>
          <w:rFonts w:ascii="Arial" w:hAnsi="Arial" w:cs="Arial"/>
          <w:sz w:val="24"/>
          <w:szCs w:val="24"/>
        </w:rPr>
        <w:t xml:space="preserve"> February 2018].</w:t>
      </w:r>
    </w:p>
    <w:p w:rsidR="008F5AA7" w:rsidRDefault="003C4026">
      <w:pPr>
        <w:spacing w:line="360" w:lineRule="auto"/>
      </w:pPr>
      <w:r>
        <w:rPr>
          <w:rFonts w:ascii="Arial" w:hAnsi="Arial" w:cs="Arial"/>
          <w:sz w:val="24"/>
          <w:szCs w:val="24"/>
        </w:rPr>
        <w:t xml:space="preserve">University of Reading (date unknown) ‘What is Enquiry-Based Learning?’ Available at: </w:t>
      </w:r>
      <w:hyperlink r:id="rId29" w:history="1">
        <w:r>
          <w:rPr>
            <w:rStyle w:val="Hyperlink"/>
            <w:rFonts w:ascii="Arial" w:hAnsi="Arial" w:cs="Arial"/>
            <w:sz w:val="24"/>
            <w:szCs w:val="24"/>
          </w:rPr>
          <w:t>https://www.reading.ac.uk/cetl-aurs/LinkingTeachingandResearch/Enquiry-BasedLearning/What_is_Enquiry_Based_Learnin</w:t>
        </w:r>
        <w:r>
          <w:rPr>
            <w:rStyle w:val="Hyperlink"/>
            <w:rFonts w:ascii="Arial" w:hAnsi="Arial" w:cs="Arial"/>
            <w:sz w:val="24"/>
            <w:szCs w:val="24"/>
          </w:rPr>
          <w:t>g_(EBL).aspx</w:t>
        </w:r>
      </w:hyperlink>
      <w:r>
        <w:rPr>
          <w:rFonts w:ascii="Arial" w:hAnsi="Arial" w:cs="Arial"/>
          <w:sz w:val="24"/>
          <w:szCs w:val="24"/>
        </w:rPr>
        <w:t xml:space="preserve"> [Accessed: 27</w:t>
      </w:r>
      <w:r>
        <w:rPr>
          <w:rFonts w:ascii="Arial" w:hAnsi="Arial" w:cs="Arial"/>
          <w:sz w:val="24"/>
          <w:szCs w:val="24"/>
          <w:vertAlign w:val="superscript"/>
        </w:rPr>
        <w:t>th</w:t>
      </w:r>
      <w:r>
        <w:rPr>
          <w:rFonts w:ascii="Arial" w:hAnsi="Arial" w:cs="Arial"/>
          <w:sz w:val="24"/>
          <w:szCs w:val="24"/>
        </w:rPr>
        <w:t xml:space="preserve"> February 2018].</w:t>
      </w:r>
    </w:p>
    <w:p w:rsidR="008F5AA7" w:rsidRDefault="003C4026">
      <w:pPr>
        <w:spacing w:line="360" w:lineRule="auto"/>
      </w:pPr>
      <w:proofErr w:type="spellStart"/>
      <w:r>
        <w:rPr>
          <w:rFonts w:ascii="Arial" w:hAnsi="Arial" w:cs="Arial"/>
          <w:sz w:val="24"/>
        </w:rPr>
        <w:t>Vecchi</w:t>
      </w:r>
      <w:proofErr w:type="spellEnd"/>
      <w:r>
        <w:rPr>
          <w:rFonts w:ascii="Arial" w:hAnsi="Arial" w:cs="Arial"/>
          <w:sz w:val="24"/>
        </w:rPr>
        <w:t xml:space="preserve">, V. (2010) </w:t>
      </w:r>
      <w:r>
        <w:rPr>
          <w:rFonts w:ascii="Arial" w:hAnsi="Arial" w:cs="Arial"/>
          <w:i/>
          <w:sz w:val="24"/>
        </w:rPr>
        <w:t>Art and creativity in Reggio Emilia: Exploring the role and potential of ateliers in early childhood education</w:t>
      </w:r>
      <w:r>
        <w:rPr>
          <w:rFonts w:ascii="Arial" w:hAnsi="Arial" w:cs="Arial"/>
          <w:sz w:val="24"/>
        </w:rPr>
        <w:t>. London: Routledge.</w:t>
      </w:r>
    </w:p>
    <w:sectPr w:rsidR="008F5AA7">
      <w:headerReference w:type="default" r:id="rId30"/>
      <w:footerReference w:type="default" r:id="rId31"/>
      <w:pgSz w:w="11906" w:h="16838"/>
      <w:pgMar w:top="720" w:right="720" w:bottom="720" w:left="720" w:header="283"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4026" w:rsidRDefault="003C4026">
      <w:pPr>
        <w:spacing w:after="0"/>
      </w:pPr>
      <w:r>
        <w:separator/>
      </w:r>
    </w:p>
  </w:endnote>
  <w:endnote w:type="continuationSeparator" w:id="0">
    <w:p w:rsidR="003C4026" w:rsidRDefault="003C40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C9F" w:rsidRDefault="003C4026">
    <w:pPr>
      <w:pStyle w:val="Footer"/>
      <w:jc w:val="center"/>
    </w:pP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2C520E">
      <w:rPr>
        <w:rFonts w:ascii="Arial" w:hAnsi="Arial" w:cs="Arial"/>
        <w:noProof/>
        <w:sz w:val="20"/>
      </w:rPr>
      <w:t>1</w:t>
    </w:r>
    <w:r>
      <w:rPr>
        <w:rFonts w:ascii="Arial" w:hAnsi="Arial" w:cs="Arial"/>
        <w:sz w:val="20"/>
      </w:rPr>
      <w:fldChar w:fldCharType="end"/>
    </w:r>
  </w:p>
  <w:p w:rsidR="00F14C9F" w:rsidRDefault="003C4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4026" w:rsidRDefault="003C4026">
      <w:pPr>
        <w:spacing w:after="0"/>
      </w:pPr>
      <w:r>
        <w:rPr>
          <w:color w:val="000000"/>
        </w:rPr>
        <w:separator/>
      </w:r>
    </w:p>
  </w:footnote>
  <w:footnote w:type="continuationSeparator" w:id="0">
    <w:p w:rsidR="003C4026" w:rsidRDefault="003C402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C9F" w:rsidRDefault="003C4026">
    <w:pPr>
      <w:pStyle w:val="Header"/>
      <w:jc w:val="center"/>
      <w:rPr>
        <w:rFonts w:ascii="Arial" w:hAnsi="Arial" w:cs="Arial"/>
        <w:sz w:val="20"/>
      </w:rPr>
    </w:pPr>
    <w:r>
      <w:rPr>
        <w:rFonts w:ascii="Arial" w:hAnsi="Arial" w:cs="Arial"/>
        <w:sz w:val="20"/>
      </w:rPr>
      <w:t>1500011</w:t>
    </w:r>
  </w:p>
  <w:p w:rsidR="00F14C9F" w:rsidRDefault="003C4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2FA0"/>
    <w:multiLevelType w:val="hybridMultilevel"/>
    <w:tmpl w:val="832490E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 w15:restartNumberingAfterBreak="0">
    <w:nsid w:val="19285A6D"/>
    <w:multiLevelType w:val="hybridMultilevel"/>
    <w:tmpl w:val="C0AC30E2"/>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AC5F0E"/>
    <w:multiLevelType w:val="hybridMultilevel"/>
    <w:tmpl w:val="51D482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F5AA7"/>
    <w:rsid w:val="002068B4"/>
    <w:rsid w:val="00240694"/>
    <w:rsid w:val="002C520E"/>
    <w:rsid w:val="003C4026"/>
    <w:rsid w:val="008F5AA7"/>
    <w:rsid w:val="009E03EF"/>
    <w:rsid w:val="00A35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A25CD"/>
  <w15:docId w15:val="{6C5170B2-E202-4621-853A-7F1CFD35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1">
    <w:name w:val="heading 1"/>
    <w:basedOn w:val="Normal"/>
    <w:pPr>
      <w:suppressAutoHyphens w:val="0"/>
      <w:spacing w:before="100" w:after="100"/>
      <w:textAlignment w:val="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A35F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A35F9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 w:type="paragraph" w:styleId="ListParagraph">
    <w:name w:val="List Paragraph"/>
    <w:basedOn w:val="Normal"/>
    <w:uiPriority w:val="34"/>
    <w:qFormat/>
    <w:pPr>
      <w:ind w:left="720"/>
    </w:pPr>
  </w:style>
  <w:style w:type="character" w:customStyle="1" w:styleId="talk-transcriptfragment">
    <w:name w:val="talk-transcript__fragment"/>
    <w:basedOn w:val="DefaultParagraphFont"/>
  </w:style>
  <w:style w:type="character" w:customStyle="1" w:styleId="Heading1Char">
    <w:name w:val="Heading 1 Char"/>
    <w:basedOn w:val="DefaultParagraphFont"/>
    <w:rPr>
      <w:rFonts w:ascii="Times New Roman" w:eastAsia="Times New Roman" w:hAnsi="Times New Roman"/>
      <w:b/>
      <w:bCs/>
      <w:kern w:val="3"/>
      <w:sz w:val="48"/>
      <w:szCs w:val="48"/>
      <w:lang w:eastAsia="en-GB"/>
    </w:rPr>
  </w:style>
  <w:style w:type="character" w:customStyle="1" w:styleId="expandable-author">
    <w:name w:val="expandable-author"/>
    <w:basedOn w:val="DefaultParagraphFont"/>
  </w:style>
  <w:style w:type="character" w:customStyle="1" w:styleId="contribdegrees">
    <w:name w:val="contribdegrees"/>
    <w:basedOn w:val="DefaultParagraphFont"/>
  </w:style>
  <w:style w:type="character" w:customStyle="1" w:styleId="publicationcontentepubdate">
    <w:name w:val="publicationcontentepubdate"/>
    <w:basedOn w:val="DefaultParagraphFont"/>
  </w:style>
  <w:style w:type="character" w:customStyle="1" w:styleId="articletype">
    <w:name w:val="articletype"/>
    <w:basedOn w:val="DefaultParagraphFont"/>
  </w:style>
  <w:style w:type="character" w:customStyle="1" w:styleId="quote-author-name">
    <w:name w:val="quote-author-name"/>
    <w:basedOn w:val="DefaultParagraphFont"/>
  </w:style>
  <w:style w:type="character" w:customStyle="1" w:styleId="Heading2Char">
    <w:name w:val="Heading 2 Char"/>
    <w:basedOn w:val="DefaultParagraphFont"/>
    <w:link w:val="Heading2"/>
    <w:uiPriority w:val="9"/>
    <w:semiHidden/>
    <w:rsid w:val="00A35F9B"/>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A35F9B"/>
    <w:rPr>
      <w:rFonts w:asciiTheme="majorHAnsi" w:eastAsiaTheme="majorEastAsia" w:hAnsiTheme="majorHAnsi" w:cstheme="majorBidi"/>
      <w:color w:val="1F3763" w:themeColor="accent1" w:themeShade="7F"/>
    </w:rPr>
  </w:style>
  <w:style w:type="paragraph" w:styleId="BodyText2">
    <w:name w:val="Body Text 2"/>
    <w:basedOn w:val="Normal"/>
    <w:link w:val="BodyText2Char"/>
    <w:semiHidden/>
    <w:unhideWhenUsed/>
    <w:rsid w:val="00A35F9B"/>
    <w:pPr>
      <w:suppressAutoHyphens w:val="0"/>
      <w:autoSpaceDN/>
      <w:spacing w:after="120" w:line="480" w:lineRule="auto"/>
      <w:textAlignment w:val="auto"/>
    </w:pPr>
    <w:rPr>
      <w:rFonts w:ascii="Times New Roman" w:eastAsia="Times New Roman" w:hAnsi="Times New Roman"/>
      <w:sz w:val="20"/>
      <w:szCs w:val="20"/>
      <w:lang w:val="en-US" w:eastAsia="en-GB"/>
    </w:rPr>
  </w:style>
  <w:style w:type="character" w:customStyle="1" w:styleId="BodyText2Char">
    <w:name w:val="Body Text 2 Char"/>
    <w:basedOn w:val="DefaultParagraphFont"/>
    <w:link w:val="BodyText2"/>
    <w:semiHidden/>
    <w:rsid w:val="00A35F9B"/>
    <w:rPr>
      <w:rFonts w:ascii="Times New Roman" w:eastAsia="Times New Roman" w:hAnsi="Times New Roman"/>
      <w:sz w:val="20"/>
      <w:szCs w:val="20"/>
      <w:lang w:val="en-US" w:eastAsia="en-GB"/>
    </w:rPr>
  </w:style>
  <w:style w:type="paragraph" w:customStyle="1" w:styleId="BodyText1">
    <w:name w:val="Body Text1"/>
    <w:basedOn w:val="Normal"/>
    <w:rsid w:val="00A35F9B"/>
    <w:pPr>
      <w:tabs>
        <w:tab w:val="left" w:pos="720"/>
        <w:tab w:val="left" w:pos="1440"/>
      </w:tabs>
      <w:suppressAutoHyphens w:val="0"/>
      <w:autoSpaceDN/>
      <w:spacing w:after="0"/>
      <w:textAlignment w:val="auto"/>
    </w:pPr>
    <w:rPr>
      <w:rFonts w:ascii="CG Times (WN)" w:eastAsia="Times New Roman" w:hAnsi="CG Times (WN)"/>
      <w:sz w:val="24"/>
      <w:szCs w:val="24"/>
    </w:rPr>
  </w:style>
  <w:style w:type="paragraph" w:customStyle="1" w:styleId="BulletedList">
    <w:name w:val="Bulleted List"/>
    <w:basedOn w:val="Normal"/>
    <w:rsid w:val="00A35F9B"/>
    <w:pPr>
      <w:numPr>
        <w:numId w:val="1"/>
      </w:numPr>
      <w:suppressAutoHyphens w:val="0"/>
      <w:autoSpaceDN/>
      <w:spacing w:before="120" w:after="240"/>
      <w:textAlignment w:val="auto"/>
    </w:pPr>
    <w:rPr>
      <w:rFonts w:ascii="Verdana" w:eastAsia="Times New Roman" w:hAnsi="Verdana"/>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90721">
      <w:bodyDiv w:val="1"/>
      <w:marLeft w:val="0"/>
      <w:marRight w:val="0"/>
      <w:marTop w:val="0"/>
      <w:marBottom w:val="0"/>
      <w:divBdr>
        <w:top w:val="none" w:sz="0" w:space="0" w:color="auto"/>
        <w:left w:val="none" w:sz="0" w:space="0" w:color="auto"/>
        <w:bottom w:val="none" w:sz="0" w:space="0" w:color="auto"/>
        <w:right w:val="none" w:sz="0" w:space="0" w:color="auto"/>
      </w:divBdr>
    </w:div>
    <w:div w:id="1554850880">
      <w:bodyDiv w:val="1"/>
      <w:marLeft w:val="0"/>
      <w:marRight w:val="0"/>
      <w:marTop w:val="0"/>
      <w:marBottom w:val="0"/>
      <w:divBdr>
        <w:top w:val="none" w:sz="0" w:space="0" w:color="auto"/>
        <w:left w:val="none" w:sz="0" w:space="0" w:color="auto"/>
        <w:bottom w:val="none" w:sz="0" w:space="0" w:color="auto"/>
        <w:right w:val="none" w:sz="0" w:space="0" w:color="auto"/>
      </w:divBdr>
    </w:div>
    <w:div w:id="1933007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journals.sagepub.com/author/Smallwood%2C+Jonathan" TargetMode="External"/><Relationship Id="rId18" Type="http://schemas.openxmlformats.org/officeDocument/2006/relationships/hyperlink" Target="https://www.tutorhunt.com/resource/3199/" TargetMode="External"/><Relationship Id="rId26" Type="http://schemas.openxmlformats.org/officeDocument/2006/relationships/hyperlink" Target="http://study.com/academy/lesson/facilitator-of-learning-definition-lesson-quiz.html" TargetMode="External"/><Relationship Id="rId3" Type="http://schemas.openxmlformats.org/officeDocument/2006/relationships/styles" Target="styles.xml"/><Relationship Id="rId21" Type="http://schemas.openxmlformats.org/officeDocument/2006/relationships/hyperlink" Target="http://www.keepinspiring.me/quotes-about-creativity-imagination-and-innovation/" TargetMode="External"/><Relationship Id="rId7" Type="http://schemas.openxmlformats.org/officeDocument/2006/relationships/endnotes" Target="endnotes.xml"/><Relationship Id="rId12" Type="http://schemas.openxmlformats.org/officeDocument/2006/relationships/hyperlink" Target="http://journals.sagepub.com/author/Baird%2C+Benjamin" TargetMode="External"/><Relationship Id="rId17" Type="http://schemas.openxmlformats.org/officeDocument/2006/relationships/hyperlink" Target="http://journals.sagepub.com/author/Schooler%2C+Jonathan+W" TargetMode="External"/><Relationship Id="rId25" Type="http://schemas.openxmlformats.org/officeDocument/2006/relationships/hyperlink" Target="https://www.ted.com/talks/ken_robinson_says_schools_kill_creativit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journals.sagepub.com/author/Franklin%2C+Michael+S" TargetMode="External"/><Relationship Id="rId20" Type="http://schemas.openxmlformats.org/officeDocument/2006/relationships/hyperlink" Target="http://www.earlyyearsmatters.co.uk/our-services/school-and-nursery-improvement-partner/enabling-environments/indoor-and-outdoor-environment/" TargetMode="External"/><Relationship Id="rId29" Type="http://schemas.openxmlformats.org/officeDocument/2006/relationships/hyperlink" Target="https://www.reading.ac.uk/cetl-aurs/LinkingTeachingandResearch/Enquiry-BasedLearning/What_is_Enquiry_Based_Learning_(EBL).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Ccyu9-g-kS0" TargetMode="External"/><Relationship Id="rId24" Type="http://schemas.openxmlformats.org/officeDocument/2006/relationships/hyperlink" Target="http://www.creativityatwork.com/2014/02/17/what-is-creativit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journals.sagepub.com/author/Kam%2C+Julia+W+Y" TargetMode="External"/><Relationship Id="rId23" Type="http://schemas.openxmlformats.org/officeDocument/2006/relationships/hyperlink" Target="https://ww2.kqed.org/mindshift/2015/04/22/sir-ken-robinson-creativity-is-in-everything-especially-teaching/" TargetMode="External"/><Relationship Id="rId28" Type="http://schemas.openxmlformats.org/officeDocument/2006/relationships/hyperlink" Target="http://www.ceebl.manchester.ac.uk/ebl/" TargetMode="External"/><Relationship Id="rId10" Type="http://schemas.openxmlformats.org/officeDocument/2006/relationships/image" Target="cid:image001.png@01D0EA4A.2BD679A0" TargetMode="External"/><Relationship Id="rId19" Type="http://schemas.openxmlformats.org/officeDocument/2006/relationships/hyperlink" Target="https://creativesystemsthinking.wordpress.com/2015/04/26/ken-robinson-how-schools-kill-creativit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journals.sagepub.com/author/Mrazek%2C+Michael+D" TargetMode="External"/><Relationship Id="rId22" Type="http://schemas.openxmlformats.org/officeDocument/2006/relationships/hyperlink" Target="https://www.simplypsychology.org/Zone-of-Proximal-Development.html" TargetMode="External"/><Relationship Id="rId27" Type="http://schemas.openxmlformats.org/officeDocument/2006/relationships/hyperlink" Target="https://www.oxfordshire.gov.uk/cms/sites/default/files/folders/documents/childreneducationandfamilies/informationforchildcareproviders/Toolkit/My_Space_Creating_enabling_environments_for_young_children.pdf" TargetMode="External"/><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6427A-316A-402F-8B65-15A4E2A6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Thomas</dc:creator>
  <dc:description/>
  <cp:lastModifiedBy>Catrin Thomas</cp:lastModifiedBy>
  <cp:revision>2</cp:revision>
  <dcterms:created xsi:type="dcterms:W3CDTF">2018-03-05T12:32:00Z</dcterms:created>
  <dcterms:modified xsi:type="dcterms:W3CDTF">2018-03-05T12:32:00Z</dcterms:modified>
</cp:coreProperties>
</file>