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4908E70B"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C767FD">
        <w:rPr>
          <w:rFonts w:ascii="Arial" w:hAnsi="Arial" w:cs="Arial"/>
          <w:sz w:val="28"/>
          <w:szCs w:val="28"/>
        </w:rPr>
        <w:t xml:space="preserve">2425145 </w:t>
      </w:r>
    </w:p>
    <w:p w14:paraId="01D5D8DB" w14:textId="03ED09ED" w:rsidR="00FF5B70" w:rsidRPr="00AD0E8D" w:rsidRDefault="00FF5B70" w:rsidP="00041A5A">
      <w:pPr>
        <w:spacing w:line="360" w:lineRule="auto"/>
        <w:rPr>
          <w:rFonts w:ascii="Arial" w:hAnsi="Arial" w:cs="Arial"/>
          <w:sz w:val="28"/>
          <w:szCs w:val="28"/>
        </w:rPr>
      </w:pPr>
    </w:p>
    <w:p w14:paraId="37A27DB3" w14:textId="40CB9A26"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C767FD">
        <w:rPr>
          <w:rFonts w:ascii="Arial" w:hAnsi="Arial" w:cs="Arial"/>
          <w:sz w:val="28"/>
          <w:szCs w:val="28"/>
        </w:rPr>
        <w:t xml:space="preserve">ALICE NAMATOVU NAROMBA </w:t>
      </w:r>
    </w:p>
    <w:p w14:paraId="638A4615" w14:textId="77777777" w:rsidR="00715990" w:rsidRPr="00AD0E8D" w:rsidRDefault="00715990" w:rsidP="00041A5A">
      <w:pPr>
        <w:spacing w:line="360" w:lineRule="auto"/>
        <w:rPr>
          <w:rFonts w:ascii="Arial" w:hAnsi="Arial" w:cs="Arial"/>
          <w:sz w:val="28"/>
          <w:szCs w:val="28"/>
        </w:rPr>
      </w:pPr>
    </w:p>
    <w:p w14:paraId="0B04E018" w14:textId="02672978" w:rsidR="00715990"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C767FD">
        <w:rPr>
          <w:rFonts w:ascii="Arial" w:hAnsi="Arial" w:cs="Arial"/>
          <w:sz w:val="28"/>
          <w:szCs w:val="28"/>
        </w:rPr>
        <w:t>23/</w:t>
      </w:r>
      <w:r w:rsidR="005A34BC">
        <w:rPr>
          <w:rFonts w:ascii="Arial" w:hAnsi="Arial" w:cs="Arial"/>
          <w:sz w:val="28"/>
          <w:szCs w:val="28"/>
        </w:rPr>
        <w:t>10/2026</w:t>
      </w:r>
    </w:p>
    <w:p w14:paraId="1DA2E252" w14:textId="43D71F01" w:rsidR="00C767FD" w:rsidRPr="00AD0E8D" w:rsidRDefault="00C767FD" w:rsidP="00041A5A">
      <w:pPr>
        <w:spacing w:line="360" w:lineRule="auto"/>
        <w:rPr>
          <w:rFonts w:ascii="Arial" w:hAnsi="Arial" w:cs="Arial"/>
          <w:sz w:val="28"/>
          <w:szCs w:val="28"/>
        </w:rPr>
      </w:pPr>
    </w:p>
    <w:p w14:paraId="19AA26A9" w14:textId="2F99F205" w:rsidR="00FF5B70" w:rsidRPr="00AD0E8D" w:rsidRDefault="00FF5B70" w:rsidP="00041A5A">
      <w:pPr>
        <w:spacing w:line="360" w:lineRule="auto"/>
        <w:rPr>
          <w:rFonts w:ascii="Arial" w:hAnsi="Arial" w:cs="Arial"/>
          <w:sz w:val="28"/>
          <w:szCs w:val="28"/>
        </w:rPr>
      </w:pPr>
    </w:p>
    <w:p w14:paraId="3FE66E60" w14:textId="0FB67D69"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DD4BA9">
        <w:rPr>
          <w:rFonts w:ascii="Arial" w:hAnsi="Arial" w:cs="Arial"/>
          <w:b/>
          <w:bCs/>
          <w:szCs w:val="24"/>
        </w:rPr>
        <w:t xml:space="preserve">: </w:t>
      </w:r>
      <w:r w:rsidR="000262D5" w:rsidRPr="00DD4BA9">
        <w:rPr>
          <w:rFonts w:ascii="Segoe UI" w:eastAsia="Times New Roman" w:hAnsi="Segoe UI" w:cs="Segoe UI"/>
          <w:b/>
          <w:bCs/>
          <w:color w:val="1D2125"/>
          <w:szCs w:val="24"/>
          <w:shd w:val="clear" w:color="auto" w:fill="FFFFFF"/>
        </w:rPr>
        <w:t>Eleni Koutsogeorgou-Andreou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45667BE1" w:rsidR="00D769F0" w:rsidRPr="00594C4B" w:rsidRDefault="00AD0E8D" w:rsidP="004845A4">
      <w:pPr>
        <w:rPr>
          <w:rFonts w:ascii="Arial" w:hAnsi="Arial" w:cs="Arial"/>
        </w:rPr>
      </w:pPr>
      <w:r w:rsidRPr="00594C4B">
        <w:rPr>
          <w:rFonts w:ascii="Arial" w:hAnsi="Arial" w:cs="Arial"/>
          <w:b/>
          <w:bCs/>
        </w:rPr>
        <w:t>Topic</w:t>
      </w:r>
      <w:r w:rsidR="00D769F0" w:rsidRPr="00594C4B">
        <w:rPr>
          <w:rFonts w:ascii="Arial" w:hAnsi="Arial" w:cs="Arial"/>
        </w:rPr>
        <w:t>:</w:t>
      </w:r>
    </w:p>
    <w:p w14:paraId="03FD30D3" w14:textId="007F709D" w:rsidR="00715990" w:rsidRPr="00594C4B" w:rsidRDefault="00AD252E" w:rsidP="00F75CBD">
      <w:pPr>
        <w:jc w:val="both"/>
        <w:rPr>
          <w:rFonts w:ascii="Arial" w:hAnsi="Arial" w:cs="Arial"/>
        </w:rPr>
      </w:pPr>
      <w:r w:rsidRPr="00594C4B">
        <w:rPr>
          <w:rFonts w:ascii="Arial" w:hAnsi="Arial" w:cs="Arial"/>
        </w:rPr>
        <w:t xml:space="preserve">The COVID-19 pandemic significantly impacted the education, social interactions, and daily lives of young individuals, leading to increased concerns about their mental health and wellbeing. Studies have highlighted mental health challenges faced by this </w:t>
      </w:r>
      <w:r w:rsidR="00471D89">
        <w:rPr>
          <w:rFonts w:ascii="Arial" w:hAnsi="Arial" w:cs="Arial"/>
        </w:rPr>
        <w:t xml:space="preserve"> </w:t>
      </w:r>
      <w:r w:rsidR="002E72DB">
        <w:rPr>
          <w:rFonts w:ascii="Arial" w:hAnsi="Arial" w:cs="Arial"/>
        </w:rPr>
        <w:t xml:space="preserve"> </w:t>
      </w:r>
      <w:r w:rsidR="001564DF">
        <w:rPr>
          <w:rFonts w:ascii="Arial" w:hAnsi="Arial" w:cs="Arial"/>
        </w:rPr>
        <w:t>f</w:t>
      </w:r>
      <w:r w:rsidRPr="00594C4B">
        <w:rPr>
          <w:rFonts w:ascii="Arial" w:hAnsi="Arial" w:cs="Arial"/>
        </w:rPr>
        <w:t xml:space="preserve"> during lockdowns (Owens et al., 2022; Jia et al., 2020). It is crucial to understand the ongoing challenges that emerged even after restrictions were lifted to ensure appropriate health and social care support can be provided.</w:t>
      </w:r>
    </w:p>
    <w:p w14:paraId="40C7BB25" w14:textId="26E09604" w:rsidR="00784670" w:rsidRPr="00594C4B" w:rsidRDefault="00FF5B70" w:rsidP="00F75CBD">
      <w:pPr>
        <w:jc w:val="both"/>
        <w:rPr>
          <w:rFonts w:ascii="Arial" w:hAnsi="Arial" w:cs="Arial"/>
          <w:b/>
          <w:bCs/>
        </w:rPr>
      </w:pPr>
      <w:r w:rsidRPr="00594C4B">
        <w:rPr>
          <w:rFonts w:ascii="Arial" w:hAnsi="Arial" w:cs="Arial"/>
          <w:b/>
          <w:bCs/>
        </w:rPr>
        <w:t>1</w:t>
      </w:r>
      <w:r w:rsidR="00784670" w:rsidRPr="00594C4B">
        <w:rPr>
          <w:rFonts w:ascii="Arial" w:hAnsi="Arial" w:cs="Arial"/>
          <w:b/>
          <w:bCs/>
        </w:rPr>
        <w:t xml:space="preserve">) </w:t>
      </w:r>
      <w:r w:rsidR="00AD0E8D" w:rsidRPr="00594C4B">
        <w:rPr>
          <w:rFonts w:ascii="Arial" w:hAnsi="Arial" w:cs="Arial"/>
          <w:b/>
          <w:bCs/>
        </w:rPr>
        <w:t>Review question</w:t>
      </w:r>
      <w:r w:rsidR="00784670" w:rsidRPr="00594C4B">
        <w:rPr>
          <w:rFonts w:ascii="Arial" w:hAnsi="Arial" w:cs="Arial"/>
          <w:b/>
          <w:bCs/>
        </w:rPr>
        <w:t>:</w:t>
      </w:r>
    </w:p>
    <w:p w14:paraId="4C6858D8" w14:textId="1D742DFD" w:rsidR="00784670" w:rsidRPr="00594C4B" w:rsidRDefault="000F20E6" w:rsidP="00F75CBD">
      <w:pPr>
        <w:jc w:val="both"/>
        <w:rPr>
          <w:rFonts w:ascii="Arial" w:hAnsi="Arial" w:cs="Arial"/>
        </w:rPr>
      </w:pPr>
      <w:r w:rsidRPr="00594C4B">
        <w:rPr>
          <w:rFonts w:ascii="Arial" w:hAnsi="Arial" w:cs="Arial"/>
        </w:rPr>
        <w:t>The guiding research question is: What insights does existing literature provide regarding post-pandemic mental health issues faced by individuals aged 16–24 in the UK and the factors contributing to these issues?</w:t>
      </w:r>
    </w:p>
    <w:p w14:paraId="2B00F95C" w14:textId="7302587D" w:rsidR="00545684" w:rsidRPr="00594C4B" w:rsidRDefault="00FF5B70" w:rsidP="00F75CBD">
      <w:pPr>
        <w:jc w:val="both"/>
        <w:rPr>
          <w:rFonts w:ascii="Arial" w:hAnsi="Arial" w:cs="Arial"/>
          <w:b/>
          <w:bCs/>
        </w:rPr>
      </w:pPr>
      <w:r w:rsidRPr="00594C4B">
        <w:rPr>
          <w:rFonts w:ascii="Arial" w:hAnsi="Arial" w:cs="Arial"/>
          <w:b/>
          <w:bCs/>
        </w:rPr>
        <w:t>2</w:t>
      </w:r>
      <w:r w:rsidR="00784670" w:rsidRPr="00594C4B">
        <w:rPr>
          <w:rFonts w:ascii="Arial" w:hAnsi="Arial" w:cs="Arial"/>
          <w:b/>
          <w:bCs/>
        </w:rPr>
        <w:t>) O</w:t>
      </w:r>
      <w:r w:rsidR="00545684" w:rsidRPr="00594C4B">
        <w:rPr>
          <w:rFonts w:ascii="Arial" w:hAnsi="Arial" w:cs="Arial"/>
          <w:b/>
          <w:bCs/>
        </w:rPr>
        <w:t>bjectives:</w:t>
      </w:r>
    </w:p>
    <w:p w14:paraId="4DE92F51" w14:textId="6FA68A1E" w:rsidR="00041A5A" w:rsidRPr="00594C4B" w:rsidRDefault="002C29EE" w:rsidP="00F75CBD">
      <w:pPr>
        <w:jc w:val="both"/>
        <w:rPr>
          <w:rFonts w:ascii="Arial" w:hAnsi="Arial" w:cs="Arial"/>
        </w:rPr>
      </w:pPr>
      <w:r w:rsidRPr="00594C4B">
        <w:rPr>
          <w:rFonts w:ascii="Arial" w:hAnsi="Arial" w:cs="Arial"/>
        </w:rPr>
        <w:t>The primary aim is to compile evidence on post-pandemic mental health issues and their contributing factors among UK youth aged 16–24. The specific objectives include identifying the reported mental health outcomes, examining associated risk and resilience factors, and highlighting areas where evidence is lacking.</w:t>
      </w:r>
    </w:p>
    <w:p w14:paraId="3AC96963" w14:textId="643B4BF4" w:rsidR="00545684" w:rsidRPr="00594C4B" w:rsidRDefault="00FF5B70" w:rsidP="00F75CBD">
      <w:pPr>
        <w:jc w:val="both"/>
        <w:rPr>
          <w:rFonts w:ascii="Arial" w:hAnsi="Arial" w:cs="Arial"/>
        </w:rPr>
      </w:pPr>
      <w:r w:rsidRPr="00594C4B">
        <w:rPr>
          <w:rFonts w:ascii="Arial" w:hAnsi="Arial" w:cs="Arial"/>
          <w:b/>
          <w:bCs/>
        </w:rPr>
        <w:t>3</w:t>
      </w:r>
      <w:r w:rsidR="008E5015" w:rsidRPr="00594C4B">
        <w:rPr>
          <w:rFonts w:ascii="Arial" w:hAnsi="Arial" w:cs="Arial"/>
          <w:b/>
          <w:bCs/>
        </w:rPr>
        <w:t xml:space="preserve">) </w:t>
      </w:r>
      <w:r w:rsidR="00AD0E8D" w:rsidRPr="00594C4B">
        <w:rPr>
          <w:rFonts w:ascii="Arial" w:hAnsi="Arial" w:cs="Arial"/>
          <w:b/>
          <w:bCs/>
        </w:rPr>
        <w:t>Rationale</w:t>
      </w:r>
      <w:r w:rsidR="00545684" w:rsidRPr="00594C4B">
        <w:rPr>
          <w:rFonts w:ascii="Arial" w:hAnsi="Arial" w:cs="Arial"/>
        </w:rPr>
        <w:t>:</w:t>
      </w:r>
    </w:p>
    <w:p w14:paraId="123E060D" w14:textId="73033FCF" w:rsidR="00545684" w:rsidRPr="00594C4B" w:rsidRDefault="00F20475" w:rsidP="00F75CBD">
      <w:pPr>
        <w:jc w:val="both"/>
        <w:rPr>
          <w:rFonts w:ascii="Arial" w:hAnsi="Arial" w:cs="Arial"/>
        </w:rPr>
      </w:pPr>
      <w:r w:rsidRPr="00594C4B">
        <w:rPr>
          <w:rFonts w:ascii="Arial" w:hAnsi="Arial" w:cs="Arial"/>
        </w:rPr>
        <w:t>This subject is vital as mental health challenges during adolescence and early adulthood can impact education, relationships, employment, and overall long-term wellbeing. Longitudinal research has tracked mental health fluctuations among UK adults during the pandemic, demonstrating the importance of evaluating outcomes over time (Stroud and Gutman, 2021; Kwong et al., 2021). Additionally, researchers have explored risk and resilience factors following the initial outbreak (Wiedemann et al., 2022). Mental health symptoms have been documented among university students after the first lockdown (Tang et al., 2022), and trends in eating disorders and self-harm in young people have also been studied (Trafford et al., 2023). A scoping review can consolidate this diverse evidence, clarify existing knowledge, and pinpoint areas that require further investigation.</w:t>
      </w:r>
    </w:p>
    <w:p w14:paraId="48B3D1A4" w14:textId="77777777" w:rsidR="00041A5A" w:rsidRPr="00594C4B" w:rsidRDefault="00041A5A" w:rsidP="00F75CBD">
      <w:pPr>
        <w:jc w:val="both"/>
        <w:rPr>
          <w:rFonts w:ascii="Arial" w:hAnsi="Arial" w:cs="Arial"/>
        </w:rPr>
      </w:pPr>
    </w:p>
    <w:p w14:paraId="332E5A12" w14:textId="051972BF" w:rsidR="00545684" w:rsidRPr="00594C4B" w:rsidRDefault="00FF5B70" w:rsidP="00F75CBD">
      <w:pPr>
        <w:jc w:val="both"/>
        <w:rPr>
          <w:rFonts w:ascii="Arial" w:hAnsi="Arial" w:cs="Arial"/>
          <w:b/>
          <w:bCs/>
        </w:rPr>
      </w:pPr>
      <w:r w:rsidRPr="00594C4B">
        <w:rPr>
          <w:rFonts w:ascii="Arial" w:hAnsi="Arial" w:cs="Arial"/>
          <w:b/>
          <w:bCs/>
        </w:rPr>
        <w:t>4</w:t>
      </w:r>
      <w:r w:rsidR="008E5015" w:rsidRPr="00594C4B">
        <w:rPr>
          <w:rFonts w:ascii="Arial" w:hAnsi="Arial" w:cs="Arial"/>
          <w:b/>
          <w:bCs/>
        </w:rPr>
        <w:t xml:space="preserve">) </w:t>
      </w:r>
      <w:r w:rsidR="00545684" w:rsidRPr="00594C4B">
        <w:rPr>
          <w:rFonts w:ascii="Arial" w:hAnsi="Arial" w:cs="Arial"/>
          <w:b/>
          <w:bCs/>
        </w:rPr>
        <w:t>Methods:</w:t>
      </w:r>
    </w:p>
    <w:p w14:paraId="08437629" w14:textId="533741AE" w:rsidR="0061260B" w:rsidRPr="00594C4B" w:rsidRDefault="00315FCF" w:rsidP="00F75CBD">
      <w:pPr>
        <w:jc w:val="both"/>
        <w:rPr>
          <w:rFonts w:ascii="Arial" w:hAnsi="Arial" w:cs="Arial"/>
        </w:rPr>
      </w:pPr>
      <w:r w:rsidRPr="00594C4B">
        <w:rPr>
          <w:rFonts w:ascii="Arial" w:hAnsi="Arial" w:cs="Arial"/>
        </w:rPr>
        <w:t>This subject is vital as mental health challenges during adolescence and early adulthood can impact education, relationships, employment, and overall long-term wellbeing. Longitudinal research has tracked mental health fluctuations among UK adults during the pandemic, demonstrating the importance of evaluating outcomes over time (Stroud and Gutman, 2021; Kwong et al., 2021). Additionally, researchers have explored risk and resilience factors following the initial outbreak (Wiedemann et al., 2022). Mental health symptoms have been documented among university students after the first lockdown (Tang et al., 2022), and trends in eating disorders and self-</w:t>
      </w:r>
      <w:r w:rsidRPr="00594C4B">
        <w:rPr>
          <w:rFonts w:ascii="Arial" w:hAnsi="Arial" w:cs="Arial"/>
        </w:rPr>
        <w:lastRenderedPageBreak/>
        <w:t>harm in young people have also been studied (Trafford et al., 2023). A scoping review can consolidate this diverse evidence, clarify existing knowledge, and pinpoint areas that require further investigation.</w:t>
      </w:r>
    </w:p>
    <w:p w14:paraId="232DCC93" w14:textId="2CF9B0F8" w:rsidR="0061260B" w:rsidRPr="00594C4B" w:rsidRDefault="00FF5B70" w:rsidP="00F75CBD">
      <w:pPr>
        <w:jc w:val="both"/>
        <w:rPr>
          <w:rFonts w:ascii="Arial" w:hAnsi="Arial" w:cs="Arial"/>
          <w:b/>
          <w:bCs/>
        </w:rPr>
      </w:pPr>
      <w:r w:rsidRPr="00594C4B">
        <w:rPr>
          <w:rFonts w:ascii="Arial" w:hAnsi="Arial" w:cs="Arial"/>
          <w:b/>
          <w:bCs/>
        </w:rPr>
        <w:t>5</w:t>
      </w:r>
      <w:r w:rsidR="0061260B" w:rsidRPr="00594C4B">
        <w:rPr>
          <w:rFonts w:ascii="Arial" w:hAnsi="Arial" w:cs="Arial"/>
          <w:b/>
          <w:bCs/>
        </w:rPr>
        <w:t xml:space="preserve">) </w:t>
      </w:r>
      <w:r w:rsidR="00AD0E8D" w:rsidRPr="00594C4B">
        <w:rPr>
          <w:rFonts w:ascii="Arial" w:hAnsi="Arial" w:cs="Arial"/>
          <w:b/>
          <w:bCs/>
        </w:rPr>
        <w:t>Ethical considerations</w:t>
      </w:r>
      <w:r w:rsidR="00260277" w:rsidRPr="00594C4B">
        <w:rPr>
          <w:rFonts w:ascii="Arial" w:hAnsi="Arial" w:cs="Arial"/>
          <w:b/>
          <w:bCs/>
        </w:rPr>
        <w:t>:</w:t>
      </w:r>
      <w:r w:rsidR="0061260B" w:rsidRPr="00594C4B">
        <w:rPr>
          <w:rFonts w:ascii="Arial" w:hAnsi="Arial" w:cs="Arial"/>
          <w:b/>
          <w:bCs/>
        </w:rPr>
        <w:t xml:space="preserve"> </w:t>
      </w:r>
    </w:p>
    <w:p w14:paraId="64C3045A" w14:textId="1018ABE1" w:rsidR="0061260B" w:rsidRPr="00594C4B" w:rsidRDefault="00DD303D" w:rsidP="00F75CBD">
      <w:pPr>
        <w:jc w:val="both"/>
        <w:rPr>
          <w:rFonts w:ascii="Arial" w:hAnsi="Arial" w:cs="Arial"/>
        </w:rPr>
      </w:pPr>
      <w:r w:rsidRPr="00594C4B">
        <w:rPr>
          <w:rFonts w:ascii="Arial" w:hAnsi="Arial" w:cs="Arial"/>
        </w:rPr>
        <w:t xml:space="preserve">Since this study will </w:t>
      </w:r>
      <w:r w:rsidR="00721E6C">
        <w:rPr>
          <w:rFonts w:ascii="Arial" w:hAnsi="Arial" w:cs="Arial"/>
        </w:rPr>
        <w:t>utilise</w:t>
      </w:r>
      <w:r w:rsidRPr="00594C4B">
        <w:rPr>
          <w:rFonts w:ascii="Arial" w:hAnsi="Arial" w:cs="Arial"/>
        </w:rPr>
        <w:t xml:space="preserve"> published research, it will not involve recruiting participants or gathering new personal data. Ethical practices will include proper citation to avoid plagiarism, fair reporting of findings, and acknowledgment of limitations and conflicting results. Discussions about sensitive topics, such as self-harm, will be handled with care to avoid stigmatizing young people. The review will also take into account variations in gender, socioeconomic status, education, and access to mental health services.</w:t>
      </w:r>
    </w:p>
    <w:p w14:paraId="32C49FA8" w14:textId="77777777" w:rsidR="00260277" w:rsidRPr="00F75CBD" w:rsidRDefault="00260277" w:rsidP="00F75CBD">
      <w:pPr>
        <w:jc w:val="both"/>
      </w:pPr>
    </w:p>
    <w:p w14:paraId="376E10FA" w14:textId="77777777" w:rsidR="00260277" w:rsidRPr="00F75CBD" w:rsidRDefault="00260277" w:rsidP="00F75CBD">
      <w:pPr>
        <w:jc w:val="both"/>
      </w:pPr>
    </w:p>
    <w:p w14:paraId="44ED918B" w14:textId="77777777" w:rsidR="00FF5B70" w:rsidRPr="00F75CBD" w:rsidRDefault="00FF5B70" w:rsidP="00F75CBD">
      <w:pPr>
        <w:jc w:val="both"/>
      </w:pPr>
    </w:p>
    <w:p w14:paraId="449212CA" w14:textId="54C0EA73" w:rsidR="00545684" w:rsidRPr="00F75CBD" w:rsidRDefault="00545684" w:rsidP="00F75CBD">
      <w:pPr>
        <w:jc w:val="both"/>
      </w:pPr>
    </w:p>
    <w:p w14:paraId="262C8CA3" w14:textId="676FF343" w:rsidR="00545684" w:rsidRPr="00D916F7" w:rsidRDefault="00FD487B" w:rsidP="00F75CBD">
      <w:pPr>
        <w:jc w:val="both"/>
        <w:rPr>
          <w:rFonts w:ascii="Arial" w:hAnsi="Arial" w:cs="Arial"/>
          <w:b/>
          <w:bCs/>
          <w:sz w:val="28"/>
          <w:szCs w:val="28"/>
        </w:rPr>
      </w:pPr>
      <w:r>
        <w:rPr>
          <w:rFonts w:ascii="Arial" w:hAnsi="Arial" w:cs="Arial"/>
          <w:b/>
          <w:bCs/>
          <w:sz w:val="28"/>
          <w:szCs w:val="28"/>
        </w:rPr>
        <w:t xml:space="preserve">                                        </w:t>
      </w:r>
      <w:r w:rsidR="00545684" w:rsidRPr="00D916F7">
        <w:rPr>
          <w:rFonts w:ascii="Arial" w:hAnsi="Arial" w:cs="Arial"/>
          <w:b/>
          <w:bCs/>
          <w:sz w:val="28"/>
          <w:szCs w:val="28"/>
        </w:rPr>
        <w:t>References</w:t>
      </w:r>
    </w:p>
    <w:p w14:paraId="585A8E18" w14:textId="77777777" w:rsidR="00D916F7" w:rsidRPr="005F1EB2" w:rsidRDefault="00D916F7" w:rsidP="00E97E52">
      <w:pPr>
        <w:rPr>
          <w:color w:val="000000" w:themeColor="text1"/>
        </w:rPr>
      </w:pPr>
      <w:r>
        <w:rPr>
          <w:rFonts w:ascii="Arial" w:eastAsia="Times New Roman" w:hAnsi="Arial" w:cs="Arial"/>
          <w:color w:val="222222"/>
          <w:sz w:val="20"/>
          <w:szCs w:val="20"/>
          <w:shd w:val="clear" w:color="auto" w:fill="FFFFFF"/>
        </w:rPr>
        <w:t xml:space="preserve">Owens, M., Townsend, E., Hall, E., Bhatia, T., Fitzgibbon, R. and Miller-Lakin, F., 2022. Mental health and wellbeing in young people in the UK during lockdown (COVID-19). </w:t>
      </w:r>
      <w:r>
        <w:rPr>
          <w:rFonts w:ascii="Arial" w:eastAsia="Times New Roman" w:hAnsi="Arial" w:cs="Arial"/>
          <w:i/>
          <w:iCs/>
          <w:color w:val="222222"/>
          <w:sz w:val="20"/>
          <w:szCs w:val="20"/>
          <w:shd w:val="clear" w:color="auto" w:fill="FFFFFF"/>
        </w:rPr>
        <w:t>International Journal of Environmental Research and Public Health</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19</w:t>
      </w:r>
      <w:r>
        <w:rPr>
          <w:rFonts w:ascii="Arial" w:eastAsia="Times New Roman" w:hAnsi="Arial" w:cs="Arial"/>
          <w:color w:val="222222"/>
          <w:sz w:val="20"/>
          <w:szCs w:val="20"/>
          <w:shd w:val="clear" w:color="auto" w:fill="FFFFFF"/>
        </w:rPr>
        <w:t>(3), p.1132.</w:t>
      </w:r>
    </w:p>
    <w:p w14:paraId="250A160C"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Stroud, I. and Gutman, L.M., 2021. Longitudinal changes in the mental health of UK young male and female adults during the COVID-19 pandemic. </w:t>
      </w:r>
      <w:r>
        <w:rPr>
          <w:rFonts w:ascii="Arial" w:eastAsia="Times New Roman" w:hAnsi="Arial" w:cs="Arial"/>
          <w:i/>
          <w:iCs/>
          <w:color w:val="222222"/>
          <w:sz w:val="20"/>
          <w:szCs w:val="20"/>
          <w:shd w:val="clear" w:color="auto" w:fill="FFFFFF"/>
        </w:rPr>
        <w:t>Psychiatry research</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303</w:t>
      </w:r>
      <w:r>
        <w:rPr>
          <w:rFonts w:ascii="Arial" w:eastAsia="Times New Roman" w:hAnsi="Arial" w:cs="Arial"/>
          <w:color w:val="222222"/>
          <w:sz w:val="20"/>
          <w:szCs w:val="20"/>
          <w:shd w:val="clear" w:color="auto" w:fill="FFFFFF"/>
        </w:rPr>
        <w:t>, p.114074.</w:t>
      </w:r>
    </w:p>
    <w:p w14:paraId="0EFC9059"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Jia, R., Ayling, K., Chalder, T., Massey, A., Broadbent, E., Morling, J.R., Coupland, C. and Vedhara, K., 2020. Young people, mental health and COVID-19 infection: the canaries we put in the coal mine. </w:t>
      </w:r>
      <w:r>
        <w:rPr>
          <w:rFonts w:ascii="Arial" w:eastAsia="Times New Roman" w:hAnsi="Arial" w:cs="Arial"/>
          <w:i/>
          <w:iCs/>
          <w:color w:val="222222"/>
          <w:sz w:val="20"/>
          <w:szCs w:val="20"/>
          <w:shd w:val="clear" w:color="auto" w:fill="FFFFFF"/>
        </w:rPr>
        <w:t>Public health</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189</w:t>
      </w:r>
      <w:r>
        <w:rPr>
          <w:rFonts w:ascii="Arial" w:eastAsia="Times New Roman" w:hAnsi="Arial" w:cs="Arial"/>
          <w:color w:val="222222"/>
          <w:sz w:val="20"/>
          <w:szCs w:val="20"/>
          <w:shd w:val="clear" w:color="auto" w:fill="FFFFFF"/>
        </w:rPr>
        <w:t>, pp.158-161.</w:t>
      </w:r>
    </w:p>
    <w:p w14:paraId="0A3A4C79"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Kwong, A.S., Pearson, R.M., Adams, M.J., Northstone, K., Tilling, K., Smith, D., Fawns-Ritchie, C., Bould, H., Warne, N., Zammit, S. and Gunnell, D.J., 2021. Mental health before and during the COVID-19 pandemic in two longitudinal UK population cohorts. </w:t>
      </w:r>
      <w:r>
        <w:rPr>
          <w:rFonts w:ascii="Arial" w:eastAsia="Times New Roman" w:hAnsi="Arial" w:cs="Arial"/>
          <w:i/>
          <w:iCs/>
          <w:color w:val="222222"/>
          <w:sz w:val="20"/>
          <w:szCs w:val="20"/>
          <w:shd w:val="clear" w:color="auto" w:fill="FFFFFF"/>
        </w:rPr>
        <w:t>The British journal of psychiatry</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218</w:t>
      </w:r>
      <w:r>
        <w:rPr>
          <w:rFonts w:ascii="Arial" w:eastAsia="Times New Roman" w:hAnsi="Arial" w:cs="Arial"/>
          <w:color w:val="222222"/>
          <w:sz w:val="20"/>
          <w:szCs w:val="20"/>
          <w:shd w:val="clear" w:color="auto" w:fill="FFFFFF"/>
        </w:rPr>
        <w:t>(6), pp.334-343.</w:t>
      </w:r>
    </w:p>
    <w:p w14:paraId="799482E3"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Tang, N.K., McEnery, K.A., Chandler, L., Toro, C., Walasek, L., Friend, H., Gu, S., Singh, S.P. and Meyer, C., 2022. Pandemic and student mental health: mental health symptoms among university students and young adults after the first cycle of lockdown in the UK. </w:t>
      </w:r>
      <w:r>
        <w:rPr>
          <w:rFonts w:ascii="Arial" w:eastAsia="Times New Roman" w:hAnsi="Arial" w:cs="Arial"/>
          <w:i/>
          <w:iCs/>
          <w:color w:val="222222"/>
          <w:sz w:val="20"/>
          <w:szCs w:val="20"/>
          <w:shd w:val="clear" w:color="auto" w:fill="FFFFFF"/>
        </w:rPr>
        <w:t>BJPsych Open</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8</w:t>
      </w:r>
      <w:r>
        <w:rPr>
          <w:rFonts w:ascii="Arial" w:eastAsia="Times New Roman" w:hAnsi="Arial" w:cs="Arial"/>
          <w:color w:val="222222"/>
          <w:sz w:val="20"/>
          <w:szCs w:val="20"/>
          <w:shd w:val="clear" w:color="auto" w:fill="FFFFFF"/>
        </w:rPr>
        <w:t>(4), p.e138.</w:t>
      </w:r>
    </w:p>
    <w:p w14:paraId="516E42DD"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Wiedemann, A., Stochl, J., Neufeld, S.A., Fritz, J., Bhatti, J., Hook, R.W., Goodyer, I.M., Dolan, R.J., Bullmore, E.T. and Chamberlain, S.R., 2022. The impact of the initial COVID-19 outbreak on young adults’ mental health: a longitudinal study of risk and resilience factors. </w:t>
      </w:r>
      <w:r>
        <w:rPr>
          <w:rFonts w:ascii="Arial" w:eastAsia="Times New Roman" w:hAnsi="Arial" w:cs="Arial"/>
          <w:i/>
          <w:iCs/>
          <w:color w:val="222222"/>
          <w:sz w:val="20"/>
          <w:szCs w:val="20"/>
          <w:shd w:val="clear" w:color="auto" w:fill="FFFFFF"/>
        </w:rPr>
        <w:t>Scientific Reports</w:t>
      </w:r>
      <w:r>
        <w:rPr>
          <w:rFonts w:ascii="Arial" w:eastAsia="Times New Roman" w:hAnsi="Arial" w:cs="Arial"/>
          <w:color w:val="222222"/>
          <w:sz w:val="20"/>
          <w:szCs w:val="20"/>
          <w:shd w:val="clear" w:color="auto" w:fill="FFFFFF"/>
        </w:rPr>
        <w:t xml:space="preserve">, </w:t>
      </w:r>
      <w:r>
        <w:rPr>
          <w:rFonts w:ascii="Arial" w:eastAsia="Times New Roman" w:hAnsi="Arial" w:cs="Arial"/>
          <w:i/>
          <w:iCs/>
          <w:color w:val="222222"/>
          <w:sz w:val="20"/>
          <w:szCs w:val="20"/>
          <w:shd w:val="clear" w:color="auto" w:fill="FFFFFF"/>
        </w:rPr>
        <w:t>12</w:t>
      </w:r>
      <w:r>
        <w:rPr>
          <w:rFonts w:ascii="Arial" w:eastAsia="Times New Roman" w:hAnsi="Arial" w:cs="Arial"/>
          <w:color w:val="222222"/>
          <w:sz w:val="20"/>
          <w:szCs w:val="20"/>
          <w:shd w:val="clear" w:color="auto" w:fill="FFFFFF"/>
        </w:rPr>
        <w:t>(1), p.16659.</w:t>
      </w:r>
    </w:p>
    <w:p w14:paraId="0E07F0A1" w14:textId="77777777" w:rsidR="00D916F7" w:rsidRDefault="00D916F7" w:rsidP="00E97E52">
      <w:p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Trafford, Alex M., Matthew J. Carr, Darren M. Ashcroft, Carolyn A. Chew-Graham, Emma Cockcroft, Lukasz Cybulski, Emma Garavini et al. "Temporal trends in eating disorder and self-harm incidence rates among adolescents and young adults in the UK in the 2 years since onset of the COVID-19 pandemic: a population-based study." </w:t>
      </w:r>
      <w:r>
        <w:rPr>
          <w:rFonts w:ascii="Arial" w:eastAsia="Times New Roman" w:hAnsi="Arial" w:cs="Arial"/>
          <w:i/>
          <w:iCs/>
          <w:color w:val="222222"/>
          <w:sz w:val="20"/>
          <w:szCs w:val="20"/>
          <w:shd w:val="clear" w:color="auto" w:fill="FFFFFF"/>
        </w:rPr>
        <w:t>The Lancet Child &amp; Adolescent Health</w:t>
      </w:r>
      <w:r>
        <w:rPr>
          <w:rFonts w:ascii="Arial" w:eastAsia="Times New Roman" w:hAnsi="Arial" w:cs="Arial"/>
          <w:color w:val="222222"/>
          <w:sz w:val="20"/>
          <w:szCs w:val="20"/>
          <w:shd w:val="clear" w:color="auto" w:fill="FFFFFF"/>
        </w:rPr>
        <w:t xml:space="preserve"> 7, no. 8 (2023): 544-554.</w:t>
      </w:r>
    </w:p>
    <w:p w14:paraId="61A709E2" w14:textId="77777777" w:rsidR="00D916F7" w:rsidRDefault="00D916F7" w:rsidP="00E97E52">
      <w:pPr>
        <w:rPr>
          <w:rFonts w:ascii="Arial" w:eastAsia="Times New Roman" w:hAnsi="Arial" w:cs="Arial"/>
          <w:color w:val="222222"/>
          <w:sz w:val="20"/>
          <w:szCs w:val="20"/>
          <w:shd w:val="clear" w:color="auto" w:fill="FFFFFF"/>
        </w:rPr>
      </w:pPr>
    </w:p>
    <w:p w14:paraId="6033022F" w14:textId="77777777" w:rsidR="00D916F7" w:rsidRDefault="00D916F7" w:rsidP="00E97E52"/>
    <w:p w14:paraId="1FE7B22C" w14:textId="77777777" w:rsidR="00D916F7" w:rsidRDefault="00D916F7" w:rsidP="00E97E52"/>
    <w:p w14:paraId="16AB0772" w14:textId="77777777" w:rsidR="00D916F7" w:rsidRDefault="00D916F7" w:rsidP="00E97E52"/>
    <w:p w14:paraId="3A496280" w14:textId="77777777" w:rsidR="00D916F7" w:rsidRDefault="00D916F7" w:rsidP="00E97E52"/>
    <w:p w14:paraId="754CEB55" w14:textId="77777777" w:rsidR="00545684" w:rsidRPr="00F75CBD" w:rsidRDefault="00545684" w:rsidP="00F75CBD">
      <w:pPr>
        <w:jc w:val="both"/>
      </w:pPr>
    </w:p>
    <w:p w14:paraId="5BC91157" w14:textId="77777777" w:rsidR="00545684" w:rsidRPr="00F75CBD" w:rsidRDefault="00545684" w:rsidP="00F75CBD">
      <w:pPr>
        <w:jc w:val="both"/>
      </w:pPr>
    </w:p>
    <w:sectPr w:rsidR="00545684" w:rsidRPr="00F75CBD"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CB8A7" w14:textId="77777777" w:rsidR="00792527" w:rsidRDefault="00792527" w:rsidP="00545684">
      <w:pPr>
        <w:spacing w:after="0" w:line="240" w:lineRule="auto"/>
      </w:pPr>
      <w:r>
        <w:separator/>
      </w:r>
    </w:p>
  </w:endnote>
  <w:endnote w:type="continuationSeparator" w:id="0">
    <w:p w14:paraId="4628B0BD" w14:textId="77777777" w:rsidR="00792527" w:rsidRDefault="0079252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8B58" w14:textId="77777777" w:rsidR="00792527" w:rsidRDefault="00792527" w:rsidP="00545684">
      <w:pPr>
        <w:spacing w:after="0" w:line="240" w:lineRule="auto"/>
      </w:pPr>
      <w:r>
        <w:separator/>
      </w:r>
    </w:p>
  </w:footnote>
  <w:footnote w:type="continuationSeparator" w:id="0">
    <w:p w14:paraId="45907813" w14:textId="77777777" w:rsidR="00792527" w:rsidRDefault="0079252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62D5"/>
    <w:rsid w:val="00041A5A"/>
    <w:rsid w:val="000A5161"/>
    <w:rsid w:val="000B7CD5"/>
    <w:rsid w:val="000F20E6"/>
    <w:rsid w:val="0014525B"/>
    <w:rsid w:val="001564DF"/>
    <w:rsid w:val="00216C85"/>
    <w:rsid w:val="00260277"/>
    <w:rsid w:val="00273EDD"/>
    <w:rsid w:val="002A15DA"/>
    <w:rsid w:val="002C29EE"/>
    <w:rsid w:val="002C3965"/>
    <w:rsid w:val="002E72DB"/>
    <w:rsid w:val="00315FCF"/>
    <w:rsid w:val="00321C4C"/>
    <w:rsid w:val="00380294"/>
    <w:rsid w:val="003A220F"/>
    <w:rsid w:val="003B5B7F"/>
    <w:rsid w:val="00471D89"/>
    <w:rsid w:val="004845A4"/>
    <w:rsid w:val="004903AA"/>
    <w:rsid w:val="004E6C3B"/>
    <w:rsid w:val="00545684"/>
    <w:rsid w:val="00594C4B"/>
    <w:rsid w:val="005A34BC"/>
    <w:rsid w:val="0061260B"/>
    <w:rsid w:val="00715990"/>
    <w:rsid w:val="00721E6C"/>
    <w:rsid w:val="00784670"/>
    <w:rsid w:val="00792527"/>
    <w:rsid w:val="00866B7B"/>
    <w:rsid w:val="00885D33"/>
    <w:rsid w:val="00895C1E"/>
    <w:rsid w:val="008E5015"/>
    <w:rsid w:val="009D1D1E"/>
    <w:rsid w:val="00A035FD"/>
    <w:rsid w:val="00A36AA5"/>
    <w:rsid w:val="00AC0226"/>
    <w:rsid w:val="00AD0E8D"/>
    <w:rsid w:val="00AD252E"/>
    <w:rsid w:val="00AD67B9"/>
    <w:rsid w:val="00C767FD"/>
    <w:rsid w:val="00D04A83"/>
    <w:rsid w:val="00D769F0"/>
    <w:rsid w:val="00D916F7"/>
    <w:rsid w:val="00DD303D"/>
    <w:rsid w:val="00DD4BA9"/>
    <w:rsid w:val="00E614D4"/>
    <w:rsid w:val="00F20475"/>
    <w:rsid w:val="00F2572E"/>
    <w:rsid w:val="00F278D4"/>
    <w:rsid w:val="00F75CBD"/>
    <w:rsid w:val="00FB7B14"/>
    <w:rsid w:val="00FD487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Alice Naromba (2425145)</cp:lastModifiedBy>
  <cp:revision>2</cp:revision>
  <dcterms:created xsi:type="dcterms:W3CDTF">2026-10-22T05:47:00Z</dcterms:created>
  <dcterms:modified xsi:type="dcterms:W3CDTF">2026-10-22T05:47:00Z</dcterms:modified>
</cp:coreProperties>
</file>