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18CBC1C" w:rsidP="20DF1B41" w:rsidRDefault="118CBC1C" w14:paraId="0D38A63D" w14:textId="650ED88A">
      <w:pPr>
        <w:spacing w:before="195" w:beforeAutospacing="off" w:after="195" w:afterAutospacing="off"/>
        <w:rPr>
          <w:rFonts w:ascii="Aptos" w:hAnsi="Aptos" w:eastAsia="Aptos" w:cs="Aptos"/>
          <w:b w:val="1"/>
          <w:bCs w:val="1"/>
          <w:noProof w:val="0"/>
          <w:color w:val="000000" w:themeColor="text1" w:themeTint="FF" w:themeShade="FF"/>
          <w:sz w:val="24"/>
          <w:szCs w:val="24"/>
          <w:lang w:val="en-GB"/>
        </w:rPr>
      </w:pPr>
      <w:r w:rsidRPr="20DF1B41" w:rsidR="118CBC1C">
        <w:rPr>
          <w:rFonts w:ascii="Aptos" w:hAnsi="Aptos" w:eastAsia="Aptos" w:cs="Aptos"/>
          <w:b w:val="1"/>
          <w:bCs w:val="1"/>
          <w:noProof w:val="0"/>
          <w:color w:val="000000" w:themeColor="text1" w:themeTint="FF" w:themeShade="FF"/>
          <w:sz w:val="24"/>
          <w:szCs w:val="24"/>
          <w:lang w:val="en-GB"/>
        </w:rPr>
        <w:t>Demonstrate how cross-curricular teaching and learning can influence in-depth skills and understanding. U</w:t>
      </w:r>
      <w:r w:rsidRPr="20DF1B41" w:rsidR="000356E0">
        <w:rPr>
          <w:rFonts w:ascii="Aptos" w:hAnsi="Aptos" w:eastAsia="Aptos" w:cs="Aptos"/>
          <w:b w:val="1"/>
          <w:bCs w:val="1"/>
          <w:noProof w:val="0"/>
          <w:color w:val="000000" w:themeColor="text1" w:themeTint="FF" w:themeShade="FF"/>
          <w:sz w:val="24"/>
          <w:szCs w:val="24"/>
          <w:lang w:val="en-GB"/>
        </w:rPr>
        <w:t xml:space="preserve">nderpin this with reference to relevant research, a detailed lesson plan and an enhanced provision material </w:t>
      </w:r>
    </w:p>
    <w:p w:rsidR="68D2B893" w:rsidP="313283B6" w:rsidRDefault="68D2B893" w14:paraId="2976ABB6" w14:textId="04545FCE">
      <w:pPr>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68D2B893">
        <w:rPr>
          <w:rFonts w:ascii="Aptos" w:hAnsi="Aptos" w:eastAsia="Aptos" w:cs="Aptos"/>
          <w:noProof w:val="0"/>
          <w:color w:val="000000" w:themeColor="text1" w:themeTint="FF" w:themeShade="FF"/>
          <w:sz w:val="24"/>
          <w:szCs w:val="24"/>
          <w:lang w:val="en-GB"/>
        </w:rPr>
        <w:t xml:space="preserve">The significance of cross-curricular learning within schools under the Welsh curriculum has become increasingly </w:t>
      </w:r>
      <w:r w:rsidRPr="20DF1B41" w:rsidR="68D2B893">
        <w:rPr>
          <w:rFonts w:ascii="Aptos" w:hAnsi="Aptos" w:eastAsia="Aptos" w:cs="Aptos"/>
          <w:noProof w:val="0"/>
          <w:color w:val="000000" w:themeColor="text1" w:themeTint="FF" w:themeShade="FF"/>
          <w:sz w:val="24"/>
          <w:szCs w:val="24"/>
          <w:lang w:val="en-GB"/>
        </w:rPr>
        <w:t>evident</w:t>
      </w:r>
      <w:r w:rsidRPr="20DF1B41" w:rsidR="68D2B893">
        <w:rPr>
          <w:rFonts w:ascii="Aptos" w:hAnsi="Aptos" w:eastAsia="Aptos" w:cs="Aptos"/>
          <w:noProof w:val="0"/>
          <w:color w:val="000000" w:themeColor="text1" w:themeTint="FF" w:themeShade="FF"/>
          <w:sz w:val="24"/>
          <w:szCs w:val="24"/>
          <w:lang w:val="en-GB"/>
        </w:rPr>
        <w:t xml:space="preserve">. The emphasis in official documentation further underscores the intention to develop this area of learning and to achieve its implementation at the highest standard. </w:t>
      </w:r>
      <w:r w:rsidRPr="20DF1B41" w:rsidR="628ACA19">
        <w:rPr>
          <w:rFonts w:ascii="Aptos" w:hAnsi="Aptos" w:eastAsia="Aptos" w:cs="Aptos"/>
          <w:noProof w:val="0"/>
          <w:color w:val="000000" w:themeColor="text1" w:themeTint="FF" w:themeShade="FF"/>
          <w:sz w:val="24"/>
          <w:szCs w:val="24"/>
          <w:lang w:val="en-GB"/>
        </w:rPr>
        <w:t>Supporting this statement, a</w:t>
      </w:r>
      <w:r w:rsidRPr="20DF1B41" w:rsidR="628ACA19">
        <w:rPr>
          <w:rFonts w:ascii="Aptos" w:hAnsi="Aptos" w:eastAsia="Aptos" w:cs="Aptos"/>
          <w:noProof w:val="0"/>
          <w:sz w:val="24"/>
          <w:szCs w:val="24"/>
          <w:lang w:val="en-GB"/>
        </w:rPr>
        <w:t>n Ofsted report articulated that, leaders emphasized the crucial role of cross-curricular learning in augmenting the</w:t>
      </w:r>
      <w:r w:rsidRPr="20DF1B41" w:rsidR="0149D54D">
        <w:rPr>
          <w:rFonts w:ascii="Aptos" w:hAnsi="Aptos" w:eastAsia="Aptos" w:cs="Aptos"/>
          <w:noProof w:val="0"/>
          <w:sz w:val="24"/>
          <w:szCs w:val="24"/>
          <w:lang w:val="en-GB"/>
        </w:rPr>
        <w:t xml:space="preserve"> </w:t>
      </w:r>
      <w:r w:rsidRPr="20DF1B41" w:rsidR="628ACA19">
        <w:rPr>
          <w:rFonts w:ascii="Aptos" w:hAnsi="Aptos" w:eastAsia="Aptos" w:cs="Aptos"/>
          <w:noProof w:val="0"/>
          <w:sz w:val="24"/>
          <w:szCs w:val="24"/>
          <w:lang w:val="en-GB"/>
        </w:rPr>
        <w:t>relevance and significance of the curriculum, while simultaneously situating knowledge within a broader contextual framework (Spielman, 2018).</w:t>
      </w:r>
      <w:r w:rsidRPr="20DF1B41" w:rsidR="628ACA19">
        <w:rPr>
          <w:rFonts w:ascii="Aptos" w:hAnsi="Aptos" w:eastAsia="Aptos" w:cs="Aptos"/>
          <w:noProof w:val="0"/>
          <w:color w:val="000000" w:themeColor="text1" w:themeTint="FF" w:themeShade="FF"/>
          <w:sz w:val="24"/>
          <w:szCs w:val="24"/>
          <w:lang w:val="en-GB"/>
        </w:rPr>
        <w:t xml:space="preserve"> </w:t>
      </w:r>
    </w:p>
    <w:p w:rsidR="68D2B893" w:rsidP="313283B6" w:rsidRDefault="68D2B893" w14:paraId="04CA5A58" w14:textId="1B31C257">
      <w:pPr>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13283B6" w:rsidR="68D2B893">
        <w:rPr>
          <w:rFonts w:ascii="Aptos" w:hAnsi="Aptos" w:eastAsia="Aptos" w:cs="Aptos"/>
          <w:noProof w:val="0"/>
          <w:color w:val="000000" w:themeColor="text1" w:themeTint="FF" w:themeShade="FF"/>
          <w:sz w:val="24"/>
          <w:szCs w:val="24"/>
          <w:lang w:val="en-GB"/>
        </w:rPr>
        <w:t>When the competencies, knowledge, and perspectives from multiple disciplines are integrated to address a singular experience, problem, question, theme, or idea, the approach is considered interdisciplinary or cross-curricular. In this context, the learning experience is exa</w:t>
      </w:r>
      <w:r w:rsidRPr="313283B6" w:rsidR="68D2B89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mined from a macro perspective, with an emphasis on the overarching curriculum framework (Barnes, 2015). </w:t>
      </w:r>
      <w:r w:rsidRPr="313283B6" w:rsidR="44C4A32A">
        <w:rPr>
          <w:rFonts w:ascii="Aptos" w:hAnsi="Aptos" w:eastAsia="Aptos" w:cs="Aptos"/>
          <w:noProof w:val="0"/>
          <w:color w:val="000000" w:themeColor="text1" w:themeTint="FF" w:themeShade="FF"/>
          <w:sz w:val="24"/>
          <w:szCs w:val="24"/>
          <w:lang w:val="en-GB"/>
        </w:rPr>
        <w:t>Cross-curricular teaching encourages students to</w:t>
      </w:r>
      <w:r w:rsidRPr="313283B6" w:rsidR="44C4A32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apply diverse methods and integrate knowledge from various disciplines, fostering deeper understanding and reflecting the problem-solving needed in professional contexts (Sphero Team, 2023).</w:t>
      </w:r>
      <w:r w:rsidRPr="313283B6" w:rsidR="06BA36B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13283B6" w:rsidR="170CDF2A">
        <w:rPr>
          <w:rFonts w:ascii="Aptos" w:hAnsi="Aptos" w:eastAsia="Aptos" w:cs="Aptos"/>
          <w:noProof w:val="0"/>
          <w:color w:val="000000" w:themeColor="text1" w:themeTint="FF" w:themeShade="FF"/>
          <w:sz w:val="24"/>
          <w:szCs w:val="24"/>
          <w:lang w:val="en-GB"/>
        </w:rPr>
        <w:t>Nevertheless, a cross-curricular approach will only be effective if educators' planning fosters substantive connections between subjects and provides learning ex</w:t>
      </w:r>
      <w:r w:rsidRPr="313283B6" w:rsidR="170CDF2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periences that allow students to recognize the relevance and coherence of these interrelationships </w:t>
      </w:r>
      <w:r w:rsidRPr="313283B6" w:rsidR="170CDF2A">
        <w:rPr>
          <w:rFonts w:ascii="Aptos" w:hAnsi="Aptos" w:eastAsia="Aptos" w:cs="Aptos" w:asciiTheme="minorAscii" w:hAnsiTheme="minorAscii" w:eastAsiaTheme="minorAscii" w:cstheme="minorAscii"/>
          <w:i w:val="0"/>
          <w:iCs w:val="0"/>
          <w:noProof w:val="0"/>
          <w:sz w:val="24"/>
          <w:szCs w:val="24"/>
          <w:lang w:val="en-GB"/>
        </w:rPr>
        <w:t>(Kerry, 2015).</w:t>
      </w:r>
      <w:r w:rsidRPr="313283B6" w:rsidR="133A23BA">
        <w:rPr>
          <w:rFonts w:ascii="Aptos" w:hAnsi="Aptos" w:eastAsia="Aptos" w:cs="Aptos" w:asciiTheme="minorAscii" w:hAnsiTheme="minorAscii" w:eastAsiaTheme="minorAscii" w:cstheme="minorAscii"/>
          <w:i w:val="0"/>
          <w:iCs w:val="0"/>
          <w:noProof w:val="0"/>
          <w:sz w:val="24"/>
          <w:szCs w:val="24"/>
          <w:lang w:val="en-GB"/>
        </w:rPr>
        <w:t xml:space="preserve"> </w:t>
      </w:r>
    </w:p>
    <w:p w:rsidR="1A4402BE" w:rsidP="313283B6" w:rsidRDefault="1A4402BE" w14:paraId="760C7523" w14:textId="7C08B019">
      <w:pPr>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1A4402BE">
        <w:rPr>
          <w:rFonts w:ascii="Aptos" w:hAnsi="Aptos" w:eastAsia="Aptos" w:cs="Aptos"/>
          <w:noProof w:val="0"/>
          <w:color w:val="000000" w:themeColor="text1" w:themeTint="FF" w:themeShade="FF"/>
          <w:sz w:val="24"/>
          <w:szCs w:val="24"/>
          <w:lang w:val="en-GB"/>
        </w:rPr>
        <w:t xml:space="preserve"> In a video discussing the Welsh curriculum introduced in 2019, it was highlighted that the curriculum is intended to be broad, balanced, inclusive, and challenging, </w:t>
      </w:r>
      <w:r w:rsidRPr="20DF1B41" w:rsidR="1A4402BE">
        <w:rPr>
          <w:rFonts w:ascii="Aptos" w:hAnsi="Aptos" w:eastAsia="Aptos" w:cs="Aptos"/>
          <w:noProof w:val="0"/>
          <w:color w:val="000000" w:themeColor="text1" w:themeTint="FF" w:themeShade="FF"/>
          <w:sz w:val="24"/>
          <w:szCs w:val="24"/>
          <w:lang w:val="en-GB"/>
        </w:rPr>
        <w:t>providing</w:t>
      </w:r>
      <w:r w:rsidRPr="20DF1B41" w:rsidR="1A4402BE">
        <w:rPr>
          <w:rFonts w:ascii="Aptos" w:hAnsi="Aptos" w:eastAsia="Aptos" w:cs="Aptos"/>
          <w:noProof w:val="0"/>
          <w:color w:val="000000" w:themeColor="text1" w:themeTint="FF" w:themeShade="FF"/>
          <w:sz w:val="24"/>
          <w:szCs w:val="24"/>
          <w:lang w:val="en-GB"/>
        </w:rPr>
        <w:t xml:space="preserve"> a wide </w:t>
      </w:r>
      <w:r w:rsidRPr="20DF1B41" w:rsidR="1A4402BE">
        <w:rPr>
          <w:rFonts w:ascii="Aptos" w:hAnsi="Aptos" w:eastAsia="Aptos" w:cs="Aptos" w:asciiTheme="minorAscii" w:hAnsiTheme="minorAscii" w:eastAsiaTheme="minorAscii" w:cstheme="minorAscii"/>
          <w:noProof w:val="0"/>
          <w:color w:val="000000" w:themeColor="text1" w:themeTint="FF" w:themeShade="FF"/>
          <w:sz w:val="24"/>
          <w:szCs w:val="24"/>
          <w:lang w:val="en-GB"/>
        </w:rPr>
        <w:t>array of experiences and opportunities for learners</w:t>
      </w:r>
      <w:r w:rsidRPr="20DF1B41" w:rsidR="560D10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560D103B">
        <w:rPr>
          <w:rFonts w:ascii="Aptos" w:hAnsi="Aptos" w:eastAsia="Aptos" w:cs="Aptos" w:asciiTheme="minorAscii" w:hAnsiTheme="minorAscii" w:eastAsiaTheme="minorAscii" w:cstheme="minorAscii"/>
          <w:noProof w:val="0"/>
          <w:color w:val="000000" w:themeColor="text1" w:themeTint="FF" w:themeShade="FF"/>
          <w:sz w:val="24"/>
          <w:szCs w:val="24"/>
          <w:lang w:val="en-GB"/>
        </w:rPr>
        <w:t>(Addysg Cymru / Education Wales, 2020)</w:t>
      </w:r>
      <w:r w:rsidRPr="20DF1B41" w:rsidR="1A4402BE">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0DF1B41" w:rsidR="720A506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133A23BA">
        <w:rPr>
          <w:rFonts w:ascii="Aptos" w:hAnsi="Aptos" w:eastAsia="Aptos" w:cs="Aptos" w:asciiTheme="minorAscii" w:hAnsiTheme="minorAscii" w:eastAsiaTheme="minorAscii" w:cstheme="minorAscii"/>
          <w:noProof w:val="0"/>
          <w:color w:val="000000" w:themeColor="text1" w:themeTint="FF" w:themeShade="FF"/>
          <w:sz w:val="24"/>
          <w:szCs w:val="24"/>
          <w:lang w:val="en-GB"/>
        </w:rPr>
        <w:t>It is crucial for educators to acknowledge the importance of the Welsh Government's 'four pur</w:t>
      </w:r>
      <w:r w:rsidRPr="20DF1B41" w:rsidR="133A23BA">
        <w:rPr>
          <w:rFonts w:ascii="Aptos" w:hAnsi="Aptos" w:eastAsia="Aptos" w:cs="Aptos"/>
          <w:noProof w:val="0"/>
          <w:color w:val="000000" w:themeColor="text1" w:themeTint="FF" w:themeShade="FF"/>
          <w:sz w:val="24"/>
          <w:szCs w:val="24"/>
          <w:lang w:val="en-GB"/>
        </w:rPr>
        <w:t xml:space="preserve">poses' when </w:t>
      </w:r>
      <w:r w:rsidRPr="20DF1B41" w:rsidR="133A23BA">
        <w:rPr>
          <w:rFonts w:ascii="Aptos" w:hAnsi="Aptos" w:eastAsia="Aptos" w:cs="Aptos"/>
          <w:noProof w:val="0"/>
          <w:color w:val="000000" w:themeColor="text1" w:themeTint="FF" w:themeShade="FF"/>
          <w:sz w:val="24"/>
          <w:szCs w:val="24"/>
          <w:lang w:val="en-GB"/>
        </w:rPr>
        <w:t>determining</w:t>
      </w:r>
      <w:r w:rsidRPr="20DF1B41" w:rsidR="133A23BA">
        <w:rPr>
          <w:rFonts w:ascii="Aptos" w:hAnsi="Aptos" w:eastAsia="Aptos" w:cs="Aptos"/>
          <w:noProof w:val="0"/>
          <w:color w:val="000000" w:themeColor="text1" w:themeTint="FF" w:themeShade="FF"/>
          <w:sz w:val="24"/>
          <w:szCs w:val="24"/>
          <w:lang w:val="en-GB"/>
        </w:rPr>
        <w:t xml:space="preserve"> their approach to lesson planning and delivery. These purposes serve as a framework for the curriculum, offering guidance rather than prescriptive methods. This flexibility allows schools to adapt their curriculum to the specific needs of their students, considering factors such as their local context, while ensuring that all learners work towards achieving the four overarching </w:t>
      </w:r>
      <w:r w:rsidRPr="20DF1B41" w:rsidR="133A23BA">
        <w:rPr>
          <w:rFonts w:ascii="Aptos" w:hAnsi="Aptos" w:eastAsia="Aptos" w:cs="Aptos"/>
          <w:noProof w:val="0"/>
          <w:color w:val="000000" w:themeColor="text1" w:themeTint="FF" w:themeShade="FF"/>
          <w:sz w:val="24"/>
          <w:szCs w:val="24"/>
          <w:lang w:val="en-GB"/>
        </w:rPr>
        <w:t>objectives</w:t>
      </w:r>
      <w:r w:rsidRPr="20DF1B41" w:rsidR="133A23BA">
        <w:rPr>
          <w:rFonts w:ascii="Aptos" w:hAnsi="Aptos" w:eastAsia="Aptos" w:cs="Aptos"/>
          <w:noProof w:val="0"/>
          <w:color w:val="000000" w:themeColor="text1" w:themeTint="FF" w:themeShade="FF"/>
          <w:sz w:val="24"/>
          <w:szCs w:val="24"/>
          <w:lang w:val="en-GB"/>
        </w:rPr>
        <w:t>.</w:t>
      </w:r>
      <w:r w:rsidRPr="20DF1B41" w:rsidR="44CB4ABE">
        <w:rPr>
          <w:rFonts w:ascii="Aptos" w:hAnsi="Aptos" w:eastAsia="Aptos" w:cs="Aptos"/>
          <w:noProof w:val="0"/>
          <w:color w:val="000000" w:themeColor="text1" w:themeTint="FF" w:themeShade="FF"/>
          <w:sz w:val="24"/>
          <w:szCs w:val="24"/>
          <w:lang w:val="en-GB"/>
        </w:rPr>
        <w:t xml:space="preserve"> The Welsh Government’s curriculum documentation for Wales underscores the mandatory nature of cross-curricular teaching</w:t>
      </w:r>
      <w:r w:rsidRPr="20DF1B41" w:rsidR="589009C5">
        <w:rPr>
          <w:rFonts w:ascii="Aptos" w:hAnsi="Aptos" w:eastAsia="Aptos" w:cs="Aptos"/>
          <w:noProof w:val="0"/>
          <w:color w:val="000000" w:themeColor="text1" w:themeTint="FF" w:themeShade="FF"/>
          <w:sz w:val="24"/>
          <w:szCs w:val="24"/>
          <w:lang w:val="en-GB"/>
        </w:rPr>
        <w:t>. It is asserted that t</w:t>
      </w:r>
      <w:r w:rsidRPr="20DF1B41" w:rsidR="44CB4ABE">
        <w:rPr>
          <w:rFonts w:ascii="Aptos" w:hAnsi="Aptos" w:eastAsia="Aptos" w:cs="Aptos"/>
          <w:noProof w:val="0"/>
          <w:color w:val="000000" w:themeColor="text1" w:themeTint="FF" w:themeShade="FF"/>
          <w:sz w:val="24"/>
          <w:szCs w:val="24"/>
          <w:lang w:val="en-GB"/>
        </w:rPr>
        <w:t xml:space="preserve">hey </w:t>
      </w:r>
      <w:r w:rsidRPr="20DF1B41" w:rsidR="44CB4ABE">
        <w:rPr>
          <w:rFonts w:ascii="Aptos" w:hAnsi="Aptos" w:eastAsia="Aptos" w:cs="Aptos"/>
          <w:noProof w:val="0"/>
          <w:color w:val="000000" w:themeColor="text1" w:themeTint="FF" w:themeShade="FF"/>
          <w:sz w:val="24"/>
          <w:szCs w:val="24"/>
          <w:lang w:val="en-GB"/>
        </w:rPr>
        <w:t>facilitate</w:t>
      </w:r>
      <w:r w:rsidRPr="20DF1B41" w:rsidR="44CB4ABE">
        <w:rPr>
          <w:rFonts w:ascii="Aptos" w:hAnsi="Aptos" w:eastAsia="Aptos" w:cs="Aptos"/>
          <w:noProof w:val="0"/>
          <w:color w:val="000000" w:themeColor="text1" w:themeTint="FF" w:themeShade="FF"/>
          <w:sz w:val="24"/>
          <w:szCs w:val="24"/>
          <w:lang w:val="en-GB"/>
        </w:rPr>
        <w:t xml:space="preserve"> learners' engagement with the comprehensive range of a school’s curriculum and the diverse opportunities it offers, equipping them with transfera</w:t>
      </w:r>
      <w:r w:rsidRPr="20DF1B41" w:rsidR="44CB4A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ble skills that are integral to achieving the four purposes. These skills are not only fundamental for lifelong learning but also enable learners to adapt and excel in </w:t>
      </w:r>
      <w:r w:rsidRPr="20DF1B41" w:rsidR="70CFE4E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modern world </w:t>
      </w:r>
      <w:r w:rsidRPr="20DF1B41" w:rsidR="08F2369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(Welsh </w:t>
      </w:r>
      <w:r w:rsidRPr="20DF1B41" w:rsidR="6B9DDCE5">
        <w:rPr>
          <w:rFonts w:ascii="Aptos" w:hAnsi="Aptos" w:eastAsia="Aptos" w:cs="Aptos" w:asciiTheme="minorAscii" w:hAnsiTheme="minorAscii" w:eastAsiaTheme="minorAscii" w:cstheme="minorAscii"/>
          <w:noProof w:val="0"/>
          <w:color w:val="000000" w:themeColor="text1" w:themeTint="FF" w:themeShade="FF"/>
          <w:sz w:val="24"/>
          <w:szCs w:val="24"/>
          <w:lang w:val="en-GB"/>
        </w:rPr>
        <w:t>Government,</w:t>
      </w:r>
      <w:r w:rsidRPr="20DF1B41" w:rsidR="08F2369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2022).</w:t>
      </w:r>
      <w:r w:rsidRPr="20DF1B41" w:rsidR="63FB87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55D7E6A6">
        <w:rPr>
          <w:rFonts w:ascii="Aptos" w:hAnsi="Aptos" w:eastAsia="Aptos" w:cs="Aptos"/>
          <w:noProof w:val="0"/>
          <w:color w:val="000000" w:themeColor="text1" w:themeTint="FF" w:themeShade="FF"/>
          <w:sz w:val="24"/>
          <w:szCs w:val="24"/>
          <w:lang w:val="en-GB"/>
        </w:rPr>
        <w:t>Another key consideration is the 'What Matters Statements,' which</w:t>
      </w:r>
      <w:r w:rsidRPr="20DF1B41" w:rsidR="62800706">
        <w:rPr>
          <w:rFonts w:ascii="Aptos" w:hAnsi="Aptos" w:eastAsia="Aptos" w:cs="Aptos"/>
          <w:noProof w:val="0"/>
          <w:color w:val="000000" w:themeColor="text1" w:themeTint="FF" w:themeShade="FF"/>
          <w:sz w:val="24"/>
          <w:szCs w:val="24"/>
          <w:lang w:val="en-GB"/>
        </w:rPr>
        <w:t xml:space="preserve"> </w:t>
      </w:r>
      <w:r w:rsidRPr="20DF1B41" w:rsidR="62800706">
        <w:rPr>
          <w:rFonts w:ascii="Aptos" w:hAnsi="Aptos" w:eastAsia="Aptos" w:cs="Aptos"/>
          <w:noProof w:val="0"/>
          <w:color w:val="000000" w:themeColor="text1" w:themeTint="FF" w:themeShade="FF"/>
          <w:sz w:val="24"/>
          <w:szCs w:val="24"/>
          <w:lang w:val="en-GB"/>
        </w:rPr>
        <w:t>stated</w:t>
      </w:r>
      <w:r w:rsidRPr="20DF1B41" w:rsidR="62800706">
        <w:rPr>
          <w:rFonts w:ascii="Aptos" w:hAnsi="Aptos" w:eastAsia="Aptos" w:cs="Aptos"/>
          <w:noProof w:val="0"/>
          <w:color w:val="000000" w:themeColor="text1" w:themeTint="FF" w:themeShade="FF"/>
          <w:sz w:val="24"/>
          <w:szCs w:val="24"/>
          <w:lang w:val="en-GB"/>
        </w:rPr>
        <w:t xml:space="preserve"> by</w:t>
      </w:r>
      <w:r w:rsidRPr="20DF1B41" w:rsidR="2122052F">
        <w:rPr>
          <w:rFonts w:ascii="Aptos" w:hAnsi="Aptos" w:eastAsia="Aptos" w:cs="Aptos"/>
          <w:noProof w:val="0"/>
          <w:color w:val="000000" w:themeColor="text1" w:themeTint="FF" w:themeShade="FF"/>
          <w:sz w:val="24"/>
          <w:szCs w:val="24"/>
          <w:lang w:val="en-GB"/>
        </w:rPr>
        <w:t xml:space="preserve"> </w:t>
      </w:r>
      <w:r w:rsidRPr="20DF1B41" w:rsidR="2122052F">
        <w:rPr>
          <w:rFonts w:ascii="Times New Roman" w:hAnsi="Times New Roman" w:eastAsia="Times New Roman" w:cs="Times New Roman"/>
          <w:noProof w:val="0"/>
          <w:color w:val="000000" w:themeColor="text1" w:themeTint="FF" w:themeShade="FF"/>
          <w:sz w:val="24"/>
          <w:szCs w:val="24"/>
          <w:lang w:val="en-GB"/>
        </w:rPr>
        <w:t>(Welsh Government, 2023b)</w:t>
      </w:r>
      <w:r w:rsidRPr="20DF1B41" w:rsidR="55D7E6A6">
        <w:rPr>
          <w:rFonts w:ascii="Aptos" w:hAnsi="Aptos" w:eastAsia="Aptos" w:cs="Aptos"/>
          <w:noProof w:val="0"/>
          <w:color w:val="000000" w:themeColor="text1" w:themeTint="FF" w:themeShade="FF"/>
          <w:sz w:val="24"/>
          <w:szCs w:val="24"/>
          <w:lang w:val="en-GB"/>
        </w:rPr>
        <w:t xml:space="preserve"> highlight the essential aspects of each area of learning. These statements outline 27 "Statements of What Matters" across the six areas of learning and experience, which all maintained schools and funded non-maintained settings must integrate into their curriculum. These statements form a core element of the Curriculum for Wales Framework.</w:t>
      </w:r>
    </w:p>
    <w:p w:rsidR="21C8755B" w:rsidP="313283B6" w:rsidRDefault="21C8755B" w14:paraId="70E3CEB1" w14:textId="32C401B8">
      <w:pPr>
        <w:spacing w:before="195" w:beforeAutospacing="off" w:after="195" w:afterAutospacing="off"/>
      </w:pPr>
      <w:r w:rsidRPr="20DF1B41" w:rsidR="21C8755B">
        <w:rPr>
          <w:rFonts w:ascii="Aptos" w:hAnsi="Aptos" w:eastAsia="Aptos" w:cs="Aptos"/>
          <w:noProof w:val="0"/>
          <w:color w:val="000000" w:themeColor="text1" w:themeTint="FF" w:themeShade="FF"/>
          <w:sz w:val="24"/>
          <w:szCs w:val="24"/>
          <w:lang w:val="en-GB"/>
        </w:rPr>
        <w:t>A report fro</w:t>
      </w:r>
      <w:r w:rsidRPr="20DF1B41" w:rsidR="21C875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 </w:t>
      </w:r>
      <w:r w:rsidRPr="20DF1B41" w:rsidR="21C8755B">
        <w:rPr>
          <w:rFonts w:ascii="Aptos" w:hAnsi="Aptos" w:eastAsia="Aptos" w:cs="Aptos" w:asciiTheme="minorAscii" w:hAnsiTheme="minorAscii" w:eastAsiaTheme="minorAscii" w:cstheme="minorAscii"/>
          <w:noProof w:val="0"/>
          <w:color w:val="000000" w:themeColor="text1" w:themeTint="FF" w:themeShade="FF"/>
          <w:sz w:val="24"/>
          <w:szCs w:val="24"/>
          <w:lang w:val="en-GB"/>
        </w:rPr>
        <w:t>(Estyn, 2024)</w:t>
      </w:r>
      <w:r w:rsidRPr="20DF1B41" w:rsidR="21C875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further emphasizes the importance of not only integrating cross-curricular learning into the curri</w:t>
      </w:r>
      <w:r w:rsidRPr="20DF1B41" w:rsidR="21C8755B">
        <w:rPr>
          <w:rFonts w:ascii="Aptos" w:hAnsi="Aptos" w:eastAsia="Aptos" w:cs="Aptos"/>
          <w:noProof w:val="0"/>
          <w:color w:val="000000" w:themeColor="text1" w:themeTint="FF" w:themeShade="FF"/>
          <w:sz w:val="24"/>
          <w:szCs w:val="24"/>
          <w:lang w:val="en-GB"/>
        </w:rPr>
        <w:t>culum but also designing these learning experiences in alignment with the Four Purposes and the "What Matters" Statements. It is asserted that a comprehensive offering of cross-curricular experiences supports pupil development across skills, knowledge, and experience along the learning continuum. These experiences are effectively aligned with the Four Purposes and the six areas of learning, reflecting a strong dedication to the "What Matters" Statements.</w:t>
      </w:r>
    </w:p>
    <w:p w:rsidR="64DA106D" w:rsidP="313283B6" w:rsidRDefault="64DA106D" w14:paraId="7552C7DE" w14:textId="15DB80B0">
      <w:pPr>
        <w:spacing w:before="195" w:beforeAutospacing="off" w:after="195" w:afterAutospacing="off"/>
        <w:rPr>
          <w:rFonts w:ascii="Aptos" w:hAnsi="Aptos" w:eastAsia="Aptos" w:cs="Aptos"/>
          <w:noProof w:val="0"/>
          <w:color w:val="000000" w:themeColor="text1" w:themeTint="FF" w:themeShade="FF"/>
          <w:sz w:val="24"/>
          <w:szCs w:val="24"/>
          <w:lang w:val="en-GB"/>
        </w:rPr>
      </w:pPr>
      <w:r w:rsidRPr="313283B6" w:rsidR="64DA106D">
        <w:rPr>
          <w:rFonts w:ascii="Aptos" w:hAnsi="Aptos" w:eastAsia="Aptos" w:cs="Aptos"/>
          <w:noProof w:val="0"/>
          <w:color w:val="000000" w:themeColor="text1" w:themeTint="FF" w:themeShade="FF"/>
          <w:sz w:val="24"/>
          <w:szCs w:val="24"/>
          <w:lang w:val="en-GB"/>
        </w:rPr>
        <w:t>While the Welsh government aims for all schools to achieve positive outcomes through cross-curricula</w:t>
      </w:r>
      <w:r w:rsidRPr="313283B6" w:rsidR="64DA106D">
        <w:rPr>
          <w:rFonts w:ascii="Aptos" w:hAnsi="Aptos" w:eastAsia="Aptos" w:cs="Aptos" w:asciiTheme="minorAscii" w:hAnsiTheme="minorAscii" w:eastAsiaTheme="minorAscii" w:cstheme="minorAscii"/>
          <w:noProof w:val="0"/>
          <w:color w:val="000000" w:themeColor="text1" w:themeTint="FF" w:themeShade="FF"/>
          <w:sz w:val="24"/>
          <w:szCs w:val="24"/>
          <w:lang w:val="en-GB"/>
        </w:rPr>
        <w:t>r learning projects, it is essential to acknowledge the challenges involved and the impact these challenges may have on the implementation of this approach.</w:t>
      </w:r>
      <w:r w:rsidRPr="313283B6" w:rsidR="55BB6D7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13283B6" w:rsidR="7DFA934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As </w:t>
      </w:r>
      <w:r w:rsidRPr="313283B6" w:rsidR="7DFA9342">
        <w:rPr>
          <w:rFonts w:ascii="Aptos" w:hAnsi="Aptos" w:eastAsia="Aptos" w:cs="Aptos" w:asciiTheme="minorAscii" w:hAnsiTheme="minorAscii" w:eastAsiaTheme="minorAscii" w:cstheme="minorAscii"/>
          <w:noProof w:val="0"/>
          <w:color w:val="000000" w:themeColor="text1" w:themeTint="FF" w:themeShade="FF"/>
          <w:sz w:val="24"/>
          <w:szCs w:val="24"/>
          <w:lang w:val="en-GB"/>
        </w:rPr>
        <w:t>indicated</w:t>
      </w:r>
      <w:r w:rsidRPr="313283B6" w:rsidR="7DFA934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by McMahon (2019) teachers </w:t>
      </w:r>
      <w:r w:rsidRPr="313283B6" w:rsidR="7DFA9342">
        <w:rPr>
          <w:rFonts w:ascii="Aptos" w:hAnsi="Aptos" w:eastAsia="Aptos" w:cs="Aptos" w:asciiTheme="minorAscii" w:hAnsiTheme="minorAscii" w:eastAsiaTheme="minorAscii" w:cstheme="minorAscii"/>
          <w:noProof w:val="0"/>
          <w:color w:val="000000" w:themeColor="text1" w:themeTint="FF" w:themeShade="FF"/>
          <w:sz w:val="24"/>
          <w:szCs w:val="24"/>
          <w:lang w:val="en-GB"/>
        </w:rPr>
        <w:t>identify</w:t>
      </w:r>
      <w:r w:rsidRPr="313283B6" w:rsidR="7DFA934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two primary barriers to effective differentiation: limited time and inade</w:t>
      </w:r>
      <w:r w:rsidRPr="313283B6" w:rsidR="7DFA9342">
        <w:rPr>
          <w:rFonts w:ascii="Aptos" w:hAnsi="Aptos" w:eastAsia="Aptos" w:cs="Aptos"/>
          <w:noProof w:val="0"/>
          <w:color w:val="000000" w:themeColor="text1" w:themeTint="FF" w:themeShade="FF"/>
          <w:sz w:val="24"/>
          <w:szCs w:val="24"/>
          <w:lang w:val="en-GB"/>
        </w:rPr>
        <w:t xml:space="preserve">quate resources. The lack of sufficient resources and infrastructure is a well-established challenge in the implementation of cross-curricular teaching. For successful execution, it is essential to have adequate funding, technological support, and </w:t>
      </w:r>
      <w:r w:rsidRPr="313283B6" w:rsidR="7DFA9342">
        <w:rPr>
          <w:rFonts w:ascii="Aptos" w:hAnsi="Aptos" w:eastAsia="Aptos" w:cs="Aptos"/>
          <w:noProof w:val="0"/>
          <w:color w:val="000000" w:themeColor="text1" w:themeTint="FF" w:themeShade="FF"/>
          <w:sz w:val="24"/>
          <w:szCs w:val="24"/>
          <w:lang w:val="en-GB"/>
        </w:rPr>
        <w:t>appropriate materials</w:t>
      </w:r>
      <w:r w:rsidRPr="313283B6" w:rsidR="7DFA9342">
        <w:rPr>
          <w:rFonts w:ascii="Aptos" w:hAnsi="Aptos" w:eastAsia="Aptos" w:cs="Aptos"/>
          <w:noProof w:val="0"/>
          <w:color w:val="000000" w:themeColor="text1" w:themeTint="FF" w:themeShade="FF"/>
          <w:sz w:val="24"/>
          <w:szCs w:val="24"/>
          <w:lang w:val="en-GB"/>
        </w:rPr>
        <w:t xml:space="preserve"> for both educators and students. </w:t>
      </w:r>
      <w:r w:rsidRPr="313283B6" w:rsidR="7E804A05">
        <w:rPr>
          <w:rFonts w:ascii="Aptos" w:hAnsi="Aptos" w:eastAsia="Aptos" w:cs="Aptos"/>
          <w:noProof w:val="0"/>
          <w:color w:val="000000" w:themeColor="text1" w:themeTint="FF" w:themeShade="FF"/>
          <w:sz w:val="24"/>
          <w:szCs w:val="24"/>
          <w:lang w:val="en-GB"/>
        </w:rPr>
        <w:t xml:space="preserve">Concerning this statement, based on my research, </w:t>
      </w:r>
      <w:r w:rsidRPr="313283B6" w:rsidR="7E804A05">
        <w:rPr>
          <w:rFonts w:ascii="Aptos" w:hAnsi="Aptos" w:eastAsia="Aptos" w:cs="Aptos"/>
          <w:noProof w:val="0"/>
          <w:color w:val="000000" w:themeColor="text1" w:themeTint="FF" w:themeShade="FF"/>
          <w:sz w:val="24"/>
          <w:szCs w:val="24"/>
          <w:lang w:val="en-GB"/>
        </w:rPr>
        <w:t>I believe the funding aspect</w:t>
      </w:r>
      <w:r w:rsidRPr="313283B6" w:rsidR="7E804A05">
        <w:rPr>
          <w:rFonts w:ascii="Aptos" w:hAnsi="Aptos" w:eastAsia="Aptos" w:cs="Aptos"/>
          <w:noProof w:val="0"/>
          <w:color w:val="000000" w:themeColor="text1" w:themeTint="FF" w:themeShade="FF"/>
          <w:sz w:val="24"/>
          <w:szCs w:val="24"/>
          <w:lang w:val="en-GB"/>
        </w:rPr>
        <w:t xml:space="preserve"> is attainable for my PTE1 school, as it is situated in a more deprived area. The government has implemented measures designed to ensure that schools in such areas can access the same opportunities as their more affluent counterparts. </w:t>
      </w:r>
      <w:r w:rsidRPr="313283B6" w:rsidR="589308AB">
        <w:rPr>
          <w:rFonts w:ascii="Aptos" w:hAnsi="Aptos" w:eastAsia="Aptos" w:cs="Aptos"/>
          <w:noProof w:val="0"/>
          <w:color w:val="000000" w:themeColor="text1" w:themeTint="FF" w:themeShade="FF"/>
          <w:sz w:val="24"/>
          <w:szCs w:val="24"/>
          <w:lang w:val="en-GB"/>
        </w:rPr>
        <w:t>Supporting this,</w:t>
      </w:r>
      <w:r w:rsidRPr="313283B6" w:rsidR="3F2DAAE0">
        <w:rPr>
          <w:rFonts w:ascii="Aptos" w:hAnsi="Aptos" w:eastAsia="Aptos" w:cs="Aptos"/>
          <w:noProof w:val="0"/>
          <w:color w:val="000000" w:themeColor="text1" w:themeTint="FF" w:themeShade="FF"/>
          <w:sz w:val="24"/>
          <w:szCs w:val="24"/>
          <w:lang w:val="en-GB"/>
        </w:rPr>
        <w:t xml:space="preserve"> according to the document</w:t>
      </w:r>
      <w:r w:rsidRPr="313283B6" w:rsidR="589308AB">
        <w:rPr>
          <w:rFonts w:ascii="Aptos" w:hAnsi="Aptos" w:eastAsia="Aptos" w:cs="Aptos"/>
          <w:noProof w:val="0"/>
          <w:color w:val="000000" w:themeColor="text1" w:themeTint="FF" w:themeShade="FF"/>
          <w:sz w:val="24"/>
          <w:szCs w:val="24"/>
          <w:lang w:val="en-GB"/>
        </w:rPr>
        <w:t xml:space="preserve"> </w:t>
      </w:r>
      <w:r w:rsidRPr="313283B6" w:rsidR="7D776BA6">
        <w:rPr>
          <w:rFonts w:ascii="Times New Roman" w:hAnsi="Times New Roman" w:eastAsia="Times New Roman" w:cs="Times New Roman"/>
          <w:noProof w:val="0"/>
          <w:color w:val="000000" w:themeColor="text1" w:themeTint="FF" w:themeShade="FF"/>
          <w:sz w:val="24"/>
          <w:szCs w:val="24"/>
          <w:lang w:val="en-GB"/>
        </w:rPr>
        <w:t>(</w:t>
      </w:r>
      <w:r w:rsidRPr="313283B6" w:rsidR="7D776BA6">
        <w:rPr>
          <w:rFonts w:ascii="Times New Roman" w:hAnsi="Times New Roman" w:eastAsia="Times New Roman" w:cs="Times New Roman"/>
          <w:noProof w:val="0"/>
          <w:color w:val="000000" w:themeColor="text1" w:themeTint="FF" w:themeShade="FF"/>
          <w:sz w:val="24"/>
          <w:szCs w:val="24"/>
          <w:lang w:val="en-GB"/>
        </w:rPr>
        <w:t>Sibieta</w:t>
      </w:r>
      <w:r w:rsidRPr="313283B6" w:rsidR="7D776BA6">
        <w:rPr>
          <w:rFonts w:ascii="Times New Roman" w:hAnsi="Times New Roman" w:eastAsia="Times New Roman" w:cs="Times New Roman"/>
          <w:noProof w:val="0"/>
          <w:color w:val="000000" w:themeColor="text1" w:themeTint="FF" w:themeShade="FF"/>
          <w:sz w:val="24"/>
          <w:szCs w:val="24"/>
          <w:lang w:val="en-GB"/>
        </w:rPr>
        <w:t>, 2020)</w:t>
      </w:r>
      <w:r w:rsidRPr="313283B6" w:rsidR="3013BA00">
        <w:rPr>
          <w:rFonts w:ascii="Aptos" w:hAnsi="Aptos" w:eastAsia="Aptos" w:cs="Aptos"/>
          <w:noProof w:val="0"/>
          <w:color w:val="000000" w:themeColor="text1" w:themeTint="FF" w:themeShade="FF"/>
          <w:sz w:val="24"/>
          <w:szCs w:val="24"/>
          <w:lang w:val="en-GB"/>
        </w:rPr>
        <w:t xml:space="preserve"> reviewing school expenditure highlights that learning outcomes are heavily influenced by both the quality of resources and their strategic use. For disadvantaged learners, the effectiveness of teaching assistants, who are primarily funded through </w:t>
      </w:r>
      <w:r w:rsidRPr="313283B6" w:rsidR="3013BA00">
        <w:rPr>
          <w:rFonts w:ascii="Aptos" w:hAnsi="Aptos" w:eastAsia="Aptos" w:cs="Aptos"/>
          <w:noProof w:val="0"/>
          <w:color w:val="000000" w:themeColor="text1" w:themeTint="FF" w:themeShade="FF"/>
          <w:sz w:val="24"/>
          <w:szCs w:val="24"/>
          <w:lang w:val="en-GB"/>
        </w:rPr>
        <w:t>additional</w:t>
      </w:r>
      <w:r w:rsidRPr="313283B6" w:rsidR="3013BA00">
        <w:rPr>
          <w:rFonts w:ascii="Aptos" w:hAnsi="Aptos" w:eastAsia="Aptos" w:cs="Aptos"/>
          <w:noProof w:val="0"/>
          <w:color w:val="000000" w:themeColor="text1" w:themeTint="FF" w:themeShade="FF"/>
          <w:sz w:val="24"/>
          <w:szCs w:val="24"/>
          <w:lang w:val="en-GB"/>
        </w:rPr>
        <w:t xml:space="preserve"> resources </w:t>
      </w:r>
      <w:r w:rsidRPr="313283B6" w:rsidR="3013BA00">
        <w:rPr>
          <w:rFonts w:ascii="Aptos" w:hAnsi="Aptos" w:eastAsia="Aptos" w:cs="Aptos"/>
          <w:noProof w:val="0"/>
          <w:color w:val="000000" w:themeColor="text1" w:themeTint="FF" w:themeShade="FF"/>
          <w:sz w:val="24"/>
          <w:szCs w:val="24"/>
          <w:lang w:val="en-GB"/>
        </w:rPr>
        <w:t>allocated</w:t>
      </w:r>
      <w:r w:rsidRPr="313283B6" w:rsidR="3013BA00">
        <w:rPr>
          <w:rFonts w:ascii="Aptos" w:hAnsi="Aptos" w:eastAsia="Aptos" w:cs="Aptos"/>
          <w:noProof w:val="0"/>
          <w:color w:val="000000" w:themeColor="text1" w:themeTint="FF" w:themeShade="FF"/>
          <w:sz w:val="24"/>
          <w:szCs w:val="24"/>
          <w:lang w:val="en-GB"/>
        </w:rPr>
        <w:t xml:space="preserve"> to schools in deprived areas, will play a crucial role in shaping these outcomes.</w:t>
      </w:r>
    </w:p>
    <w:p w:rsidR="356CB78F" w:rsidP="313283B6" w:rsidRDefault="356CB78F" w14:paraId="61F303DB" w14:textId="5217F9B9">
      <w:pPr>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356CB78F">
        <w:rPr>
          <w:rFonts w:ascii="Aptos" w:hAnsi="Aptos" w:eastAsia="Aptos" w:cs="Aptos"/>
          <w:noProof w:val="0"/>
          <w:color w:val="000000" w:themeColor="text1" w:themeTint="FF" w:themeShade="FF"/>
          <w:sz w:val="24"/>
          <w:szCs w:val="24"/>
          <w:lang w:val="en-GB"/>
        </w:rPr>
        <w:t xml:space="preserve">In the government's documentation on secure subject knowledge, it is emphasized that effective teaching is fundamentally about ensuring that pupils understand new concepts. When presenting </w:t>
      </w:r>
      <w:r w:rsidRPr="20DF1B41" w:rsidR="356CB78F">
        <w:rPr>
          <w:rFonts w:ascii="Aptos" w:hAnsi="Aptos" w:eastAsia="Aptos" w:cs="Aptos"/>
          <w:noProof w:val="0"/>
          <w:color w:val="000000" w:themeColor="text1" w:themeTint="FF" w:themeShade="FF"/>
          <w:sz w:val="24"/>
          <w:szCs w:val="24"/>
          <w:lang w:val="en-GB"/>
        </w:rPr>
        <w:t>new content</w:t>
      </w:r>
      <w:r w:rsidRPr="20DF1B41" w:rsidR="356CB78F">
        <w:rPr>
          <w:rFonts w:ascii="Aptos" w:hAnsi="Aptos" w:eastAsia="Aptos" w:cs="Aptos"/>
          <w:noProof w:val="0"/>
          <w:color w:val="000000" w:themeColor="text1" w:themeTint="FF" w:themeShade="FF"/>
          <w:sz w:val="24"/>
          <w:szCs w:val="24"/>
          <w:lang w:val="en-GB"/>
        </w:rPr>
        <w:t xml:space="preserve"> in a subject, the goal is to make it b</w:t>
      </w:r>
      <w:r w:rsidRPr="20DF1B41" w:rsidR="356CB78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oth accessible and comprehensible to students </w:t>
      </w:r>
      <w:r w:rsidRPr="20DF1B41" w:rsidR="62B45F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(Education Development Trust, n.d.). </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challenge some teachers face with the expectation of having "secure subject knowledge" across all areas for effective cross-curricular teaching lies in the demand to teach beyond their core subject </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expertise</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 can result in feelings of deskilling, as teachers may not be seen as </w:t>
      </w:r>
      <w:r w:rsidRPr="20DF1B41" w:rsidR="738EA19B">
        <w:rPr>
          <w:rFonts w:ascii="Aptos" w:hAnsi="Aptos" w:eastAsia="Aptos" w:cs="Aptos"/>
          <w:noProof w:val="0"/>
          <w:color w:val="000000" w:themeColor="text1" w:themeTint="FF" w:themeShade="FF"/>
          <w:sz w:val="24"/>
          <w:szCs w:val="24"/>
          <w:lang w:val="en-GB"/>
        </w:rPr>
        <w:t>proficient practitioners</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subjects outside their primary area of focus. For students to engage in critical thinking, it is essential they </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possess</w:t>
      </w:r>
      <w:r w:rsidRPr="20DF1B41" w:rsidR="09984B4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strong understanding of the subject matter they are being asked to critically analyse. Consequently, the pressure to make content accessible and comprehensible when a teacher is not fully versed in the material can be perceived as overwhelming.</w:t>
      </w:r>
      <w:r w:rsidRPr="20DF1B41" w:rsidR="58DA8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 also raises the question of whether a teacher, with only a fundamental understanding of the subject, is equipped to effectively challenge students’ expanding knowledge, thereby fostering their intellectual </w:t>
      </w:r>
      <w:r w:rsidRPr="20DF1B41" w:rsidR="58DA82A0">
        <w:rPr>
          <w:rFonts w:ascii="Aptos" w:hAnsi="Aptos" w:eastAsia="Aptos" w:cs="Aptos" w:asciiTheme="minorAscii" w:hAnsiTheme="minorAscii" w:eastAsiaTheme="minorAscii" w:cstheme="minorAscii"/>
          <w:noProof w:val="0"/>
          <w:color w:val="000000" w:themeColor="text1" w:themeTint="FF" w:themeShade="FF"/>
          <w:sz w:val="24"/>
          <w:szCs w:val="24"/>
          <w:lang w:val="en-GB"/>
        </w:rPr>
        <w:t>growth</w:t>
      </w:r>
      <w:r w:rsidRPr="20DF1B41" w:rsidR="58DA8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driving them toward academic success. </w:t>
      </w:r>
      <w:r w:rsidRPr="20DF1B41" w:rsidR="68ACBF39">
        <w:rPr>
          <w:rFonts w:ascii="Aptos" w:hAnsi="Aptos" w:eastAsia="Aptos" w:cs="Aptos"/>
          <w:noProof w:val="0"/>
          <w:color w:val="000000" w:themeColor="text1" w:themeTint="FF" w:themeShade="FF"/>
          <w:sz w:val="24"/>
          <w:szCs w:val="24"/>
          <w:lang w:val="en-GB"/>
        </w:rPr>
        <w:t xml:space="preserve">During my observation of my PTE1 classroom, it is </w:t>
      </w:r>
      <w:r w:rsidRPr="20DF1B41" w:rsidR="68ACBF39">
        <w:rPr>
          <w:rFonts w:ascii="Aptos" w:hAnsi="Aptos" w:eastAsia="Aptos" w:cs="Aptos"/>
          <w:noProof w:val="0"/>
          <w:color w:val="000000" w:themeColor="text1" w:themeTint="FF" w:themeShade="FF"/>
          <w:sz w:val="24"/>
          <w:szCs w:val="24"/>
          <w:lang w:val="en-GB"/>
        </w:rPr>
        <w:t>evident</w:t>
      </w:r>
      <w:r w:rsidRPr="20DF1B41" w:rsidR="68ACBF39">
        <w:rPr>
          <w:rFonts w:ascii="Aptos" w:hAnsi="Aptos" w:eastAsia="Aptos" w:cs="Aptos"/>
          <w:noProof w:val="0"/>
          <w:color w:val="000000" w:themeColor="text1" w:themeTint="FF" w:themeShade="FF"/>
          <w:sz w:val="24"/>
          <w:szCs w:val="24"/>
          <w:lang w:val="en-GB"/>
        </w:rPr>
        <w:t xml:space="preserve"> that the teacher’s confidence and enthusiasm for the subject enables them to effectively present the criteria across various contexts. This approach </w:t>
      </w:r>
      <w:r w:rsidRPr="20DF1B41" w:rsidR="68ACBF39">
        <w:rPr>
          <w:rFonts w:ascii="Aptos" w:hAnsi="Aptos" w:eastAsia="Aptos" w:cs="Aptos"/>
          <w:noProof w:val="0"/>
          <w:color w:val="000000" w:themeColor="text1" w:themeTint="FF" w:themeShade="FF"/>
          <w:sz w:val="24"/>
          <w:szCs w:val="24"/>
          <w:lang w:val="en-GB"/>
        </w:rPr>
        <w:t>facilitates</w:t>
      </w:r>
      <w:r w:rsidRPr="20DF1B41" w:rsidR="68ACBF39">
        <w:rPr>
          <w:rFonts w:ascii="Aptos" w:hAnsi="Aptos" w:eastAsia="Aptos" w:cs="Aptos"/>
          <w:noProof w:val="0"/>
          <w:color w:val="000000" w:themeColor="text1" w:themeTint="FF" w:themeShade="FF"/>
          <w:sz w:val="24"/>
          <w:szCs w:val="24"/>
          <w:lang w:val="en-GB"/>
        </w:rPr>
        <w:t xml:space="preserve"> engagement with students who </w:t>
      </w:r>
      <w:r w:rsidRPr="20DF1B41" w:rsidR="68ACBF39">
        <w:rPr>
          <w:rFonts w:ascii="Aptos" w:hAnsi="Aptos" w:eastAsia="Aptos" w:cs="Aptos"/>
          <w:noProof w:val="0"/>
          <w:color w:val="000000" w:themeColor="text1" w:themeTint="FF" w:themeShade="FF"/>
          <w:sz w:val="24"/>
          <w:szCs w:val="24"/>
          <w:lang w:val="en-GB"/>
        </w:rPr>
        <w:t>possess</w:t>
      </w:r>
      <w:r w:rsidRPr="20DF1B41" w:rsidR="68ACBF39">
        <w:rPr>
          <w:rFonts w:ascii="Aptos" w:hAnsi="Aptos" w:eastAsia="Aptos" w:cs="Aptos"/>
          <w:noProof w:val="0"/>
          <w:color w:val="000000" w:themeColor="text1" w:themeTint="FF" w:themeShade="FF"/>
          <w:sz w:val="24"/>
          <w:szCs w:val="24"/>
          <w:lang w:val="en-GB"/>
        </w:rPr>
        <w:t xml:space="preserve"> diverse cognitive processes and learning styles, thereby supporting their ability to achieve the learning </w:t>
      </w:r>
      <w:r w:rsidRPr="20DF1B41" w:rsidR="68ACBF39">
        <w:rPr>
          <w:rFonts w:ascii="Aptos" w:hAnsi="Aptos" w:eastAsia="Aptos" w:cs="Aptos"/>
          <w:noProof w:val="0"/>
          <w:color w:val="000000" w:themeColor="text1" w:themeTint="FF" w:themeShade="FF"/>
          <w:sz w:val="24"/>
          <w:szCs w:val="24"/>
          <w:lang w:val="en-GB"/>
        </w:rPr>
        <w:t>objectives</w:t>
      </w:r>
      <w:r w:rsidRPr="20DF1B41" w:rsidR="68ACBF39">
        <w:rPr>
          <w:rFonts w:ascii="Aptos" w:hAnsi="Aptos" w:eastAsia="Aptos" w:cs="Aptos"/>
          <w:noProof w:val="0"/>
          <w:color w:val="000000" w:themeColor="text1" w:themeTint="FF" w:themeShade="FF"/>
          <w:sz w:val="24"/>
          <w:szCs w:val="24"/>
          <w:lang w:val="en-GB"/>
        </w:rPr>
        <w:t xml:space="preserve">. Supporting this, </w:t>
      </w:r>
      <w:r w:rsidRPr="20DF1B41" w:rsidR="2B9A0E07">
        <w:rPr>
          <w:rFonts w:ascii="Times New Roman" w:hAnsi="Times New Roman" w:eastAsia="Times New Roman" w:cs="Times New Roman"/>
          <w:noProof w:val="0"/>
          <w:color w:val="000000" w:themeColor="text1" w:themeTint="FF" w:themeShade="FF"/>
          <w:sz w:val="24"/>
          <w:szCs w:val="24"/>
          <w:lang w:val="en-GB"/>
        </w:rPr>
        <w:t>(Scott, 2022)</w:t>
      </w:r>
      <w:r w:rsidRPr="20DF1B41" w:rsidR="2B9A0E07">
        <w:rPr>
          <w:rFonts w:ascii="Aptos" w:hAnsi="Aptos" w:eastAsia="Aptos" w:cs="Aptos"/>
          <w:noProof w:val="0"/>
          <w:color w:val="000000" w:themeColor="text1" w:themeTint="FF" w:themeShade="FF"/>
          <w:sz w:val="24"/>
          <w:szCs w:val="24"/>
          <w:lang w:val="en-GB"/>
        </w:rPr>
        <w:t xml:space="preserve"> </w:t>
      </w:r>
      <w:r w:rsidRPr="20DF1B41" w:rsidR="2B9A0E07">
        <w:rPr>
          <w:rFonts w:ascii="Aptos" w:hAnsi="Aptos" w:eastAsia="Aptos" w:cs="Aptos"/>
          <w:noProof w:val="0"/>
          <w:color w:val="000000" w:themeColor="text1" w:themeTint="FF" w:themeShade="FF"/>
          <w:sz w:val="24"/>
          <w:szCs w:val="24"/>
          <w:lang w:val="en-GB"/>
        </w:rPr>
        <w:t>stated</w:t>
      </w:r>
      <w:r w:rsidRPr="20DF1B41" w:rsidR="2B9A0E07">
        <w:rPr>
          <w:rFonts w:ascii="Aptos" w:hAnsi="Aptos" w:eastAsia="Aptos" w:cs="Aptos"/>
          <w:noProof w:val="0"/>
          <w:color w:val="000000" w:themeColor="text1" w:themeTint="FF" w:themeShade="FF"/>
          <w:sz w:val="24"/>
          <w:szCs w:val="24"/>
          <w:lang w:val="en-GB"/>
        </w:rPr>
        <w:t xml:space="preserve"> that a teacher's enthusiasm in the classroom can significantly enhance students' self-efficacy, which refers to their belief in their own ability to successfully complete a task. This, in turn, is likely to foster greater student engagement and motivation throughout the lesson.</w:t>
      </w:r>
    </w:p>
    <w:p w:rsidR="313283B6" w:rsidP="20DF1B41" w:rsidRDefault="313283B6" w14:paraId="0CD1FDC5" w14:textId="5A64917D">
      <w:pPr>
        <w:spacing w:before="195" w:beforeAutospacing="off" w:after="195" w:afterAutospacing="off"/>
      </w:pPr>
      <w:r w:rsidRPr="20DF1B41" w:rsidR="2439C29C">
        <w:rPr>
          <w:rFonts w:ascii="Aptos" w:hAnsi="Aptos" w:eastAsia="Aptos" w:cs="Aptos"/>
          <w:noProof w:val="0"/>
          <w:color w:val="000000" w:themeColor="text1" w:themeTint="FF" w:themeShade="FF"/>
          <w:sz w:val="24"/>
          <w:szCs w:val="24"/>
          <w:lang w:val="en-GB"/>
        </w:rPr>
        <w:t xml:space="preserve">Appendix 1 presents my lesson plan, which is closely aligned with the AOLEs for Science and Technology, Mathematics and Numeracy, and Expressive Arts. Each of these </w:t>
      </w:r>
      <w:r w:rsidRPr="20DF1B41" w:rsidR="67D6C19B">
        <w:rPr>
          <w:rFonts w:ascii="Aptos" w:hAnsi="Aptos" w:eastAsia="Aptos" w:cs="Aptos"/>
          <w:noProof w:val="0"/>
          <w:color w:val="000000" w:themeColor="text1" w:themeTint="FF" w:themeShade="FF"/>
          <w:sz w:val="24"/>
          <w:szCs w:val="24"/>
          <w:lang w:val="en-GB"/>
        </w:rPr>
        <w:t>areas'</w:t>
      </w:r>
      <w:r w:rsidRPr="20DF1B41" w:rsidR="2439C29C">
        <w:rPr>
          <w:rFonts w:ascii="Aptos" w:hAnsi="Aptos" w:eastAsia="Aptos" w:cs="Aptos"/>
          <w:noProof w:val="0"/>
          <w:color w:val="000000" w:themeColor="text1" w:themeTint="FF" w:themeShade="FF"/>
          <w:sz w:val="24"/>
          <w:szCs w:val="24"/>
          <w:lang w:val="en-GB"/>
        </w:rPr>
        <w:t xml:space="preserve"> links to relevant Statements of What Matters within their respective subject-specific AOLEs. The Mathematics and Numeracy AOLE corresponds to the first Statement of What Matters, which </w:t>
      </w:r>
      <w:r w:rsidRPr="20DF1B41" w:rsidR="2439C29C">
        <w:rPr>
          <w:rFonts w:ascii="Aptos" w:hAnsi="Aptos" w:eastAsia="Aptos" w:cs="Aptos"/>
          <w:noProof w:val="0"/>
          <w:color w:val="000000" w:themeColor="text1" w:themeTint="FF" w:themeShade="FF"/>
          <w:sz w:val="24"/>
          <w:szCs w:val="24"/>
          <w:lang w:val="en-GB"/>
        </w:rPr>
        <w:t>states</w:t>
      </w:r>
      <w:r w:rsidRPr="20DF1B41" w:rsidR="2439C29C">
        <w:rPr>
          <w:rFonts w:ascii="Aptos" w:hAnsi="Aptos" w:eastAsia="Aptos" w:cs="Aptos"/>
          <w:noProof w:val="0"/>
          <w:color w:val="000000" w:themeColor="text1" w:themeTint="FF" w:themeShade="FF"/>
          <w:sz w:val="24"/>
          <w:szCs w:val="24"/>
          <w:lang w:val="en-GB"/>
        </w:rPr>
        <w:t xml:space="preserve"> that the number system is used to </w:t>
      </w:r>
      <w:r w:rsidRPr="20DF1B41" w:rsidR="2439C29C">
        <w:rPr>
          <w:rFonts w:ascii="Aptos" w:hAnsi="Aptos" w:eastAsia="Aptos" w:cs="Aptos"/>
          <w:noProof w:val="0"/>
          <w:color w:val="000000" w:themeColor="text1" w:themeTint="FF" w:themeShade="FF"/>
          <w:sz w:val="24"/>
          <w:szCs w:val="24"/>
          <w:lang w:val="en-GB"/>
        </w:rPr>
        <w:t>represent</w:t>
      </w:r>
      <w:r w:rsidRPr="20DF1B41" w:rsidR="2439C29C">
        <w:rPr>
          <w:rFonts w:ascii="Aptos" w:hAnsi="Aptos" w:eastAsia="Aptos" w:cs="Aptos"/>
          <w:noProof w:val="0"/>
          <w:color w:val="000000" w:themeColor="text1" w:themeTint="FF" w:themeShade="FF"/>
          <w:sz w:val="24"/>
          <w:szCs w:val="24"/>
          <w:lang w:val="en-GB"/>
        </w:rPr>
        <w:t xml:space="preserve"> and compare relationships between numbers and quantities. It also aligns with Progression Step 1, where students can notice, recognise, and write numbers in a range of media, through a multisensory approach, from 0 to 10 and beyond. The Science and Technology AOLE links to the third Statement of What Matters, which asserts that the world around us is full of living things that depend on each other for survival. It also connects to Progression Step 2, where students explore relationships between living things, their habitats, and their life cycle. Finally, the Expressive Arts AOLE relates to the third St</w:t>
      </w:r>
      <w:r w:rsidRPr="20DF1B41" w:rsidR="2439C29C">
        <w:rPr>
          <w:rFonts w:ascii="Aptos" w:hAnsi="Aptos" w:eastAsia="Aptos" w:cs="Aptos" w:asciiTheme="minorAscii" w:hAnsiTheme="minorAscii" w:eastAsiaTheme="minorAscii" w:cstheme="minorAscii"/>
          <w:noProof w:val="0"/>
          <w:color w:val="000000" w:themeColor="text1" w:themeTint="FF" w:themeShade="FF"/>
          <w:sz w:val="24"/>
          <w:szCs w:val="24"/>
          <w:lang w:val="en-GB"/>
        </w:rPr>
        <w:t>atement of What Matters, which emphasizes that creating combines skills and knowledge, drawing on the senses, inspiration, and imagination. This aligns with Progression Step 1, where students begin to design their own creative work</w:t>
      </w:r>
      <w:r w:rsidRPr="20DF1B41" w:rsidR="78A8B2B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78A8B2BB">
        <w:rPr>
          <w:rFonts w:ascii="Aptos" w:hAnsi="Aptos" w:eastAsia="Aptos" w:cs="Aptos" w:asciiTheme="minorAscii" w:hAnsiTheme="minorAscii" w:eastAsiaTheme="minorAscii" w:cstheme="minorAscii"/>
          <w:noProof w:val="0"/>
          <w:color w:val="000000" w:themeColor="text1" w:themeTint="FF" w:themeShade="FF"/>
          <w:sz w:val="24"/>
          <w:szCs w:val="24"/>
          <w:lang w:val="en-GB"/>
        </w:rPr>
        <w:t>(Welsh Government, 2022)</w:t>
      </w:r>
      <w:r w:rsidRPr="20DF1B41" w:rsidR="2439C29C">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313283B6" w:rsidP="20DF1B41" w:rsidRDefault="313283B6" w14:paraId="3CB28788" w14:textId="6E0929E9">
      <w:pPr>
        <w:rPr>
          <w:rFonts w:ascii="Aptos" w:hAnsi="Aptos" w:eastAsia="Aptos" w:cs="Aptos"/>
          <w:noProof w:val="0"/>
          <w:color w:val="000000" w:themeColor="text1" w:themeTint="FF" w:themeShade="FF"/>
          <w:sz w:val="24"/>
          <w:szCs w:val="24"/>
          <w:lang w:val="en-GB"/>
        </w:rPr>
      </w:pPr>
      <w:r w:rsidRPr="20DF1B41" w:rsidR="027389E2">
        <w:rPr>
          <w:rFonts w:ascii="Aptos" w:hAnsi="Aptos" w:eastAsia="Aptos" w:cs="Aptos"/>
          <w:noProof w:val="0"/>
          <w:color w:val="000000" w:themeColor="text1" w:themeTint="FF" w:themeShade="FF"/>
          <w:sz w:val="24"/>
          <w:szCs w:val="24"/>
          <w:lang w:val="en-GB"/>
        </w:rPr>
        <w:t>Each of these AOLEs holds significant value in cross-curricular learning, as they are intentionally designed to promote purposeful connections across subjects. Consequently, their integration into the curriculum is likely to yield positive and meaningful outcomes.</w:t>
      </w:r>
      <w:r w:rsidRPr="20DF1B41" w:rsidR="0133A495">
        <w:rPr>
          <w:rFonts w:ascii="Aptos" w:hAnsi="Aptos" w:eastAsia="Aptos" w:cs="Aptos"/>
          <w:noProof w:val="0"/>
          <w:color w:val="000000" w:themeColor="text1" w:themeTint="FF" w:themeShade="FF"/>
          <w:sz w:val="24"/>
          <w:szCs w:val="24"/>
          <w:lang w:val="en-GB"/>
        </w:rPr>
        <w:t xml:space="preserve"> Integrating mathematics into cross-curricular learning enables students to apply mathematical concepts across various contexts, connecting prior knowledge to real-life experiences. By explicitly highlighting these links, educators can enhance students' retention of mathematical knowledge, </w:t>
      </w:r>
      <w:r w:rsidRPr="20DF1B41" w:rsidR="0133A495">
        <w:rPr>
          <w:rFonts w:ascii="Aptos" w:hAnsi="Aptos" w:eastAsia="Aptos" w:cs="Aptos"/>
          <w:noProof w:val="0"/>
          <w:color w:val="000000" w:themeColor="text1" w:themeTint="FF" w:themeShade="FF"/>
          <w:sz w:val="24"/>
          <w:szCs w:val="24"/>
          <w:lang w:val="en-GB"/>
        </w:rPr>
        <w:t>facilitating</w:t>
      </w:r>
      <w:r w:rsidRPr="20DF1B41" w:rsidR="0133A495">
        <w:rPr>
          <w:rFonts w:ascii="Aptos" w:hAnsi="Aptos" w:eastAsia="Aptos" w:cs="Aptos"/>
          <w:noProof w:val="0"/>
          <w:color w:val="000000" w:themeColor="text1" w:themeTint="FF" w:themeShade="FF"/>
          <w:sz w:val="24"/>
          <w:szCs w:val="24"/>
          <w:lang w:val="en-GB"/>
        </w:rPr>
        <w:t xml:space="preserve"> the transfer of information from working memory to long-term memory.</w:t>
      </w:r>
      <w:r w:rsidRPr="20DF1B41" w:rsidR="426750F4">
        <w:rPr>
          <w:rFonts w:ascii="Aptos" w:hAnsi="Aptos" w:eastAsia="Aptos" w:cs="Aptos"/>
          <w:noProof w:val="0"/>
          <w:color w:val="000000" w:themeColor="text1" w:themeTint="FF" w:themeShade="FF"/>
          <w:sz w:val="24"/>
          <w:szCs w:val="24"/>
          <w:lang w:val="en-GB"/>
        </w:rPr>
        <w:t xml:space="preserve"> Science lessons present </w:t>
      </w:r>
      <w:r w:rsidRPr="20DF1B41" w:rsidR="426750F4">
        <w:rPr>
          <w:rFonts w:ascii="Aptos" w:hAnsi="Aptos" w:eastAsia="Aptos" w:cs="Aptos"/>
          <w:noProof w:val="0"/>
          <w:color w:val="000000" w:themeColor="text1" w:themeTint="FF" w:themeShade="FF"/>
          <w:sz w:val="24"/>
          <w:szCs w:val="24"/>
          <w:lang w:val="en-GB"/>
        </w:rPr>
        <w:t>numerous</w:t>
      </w:r>
      <w:r w:rsidRPr="20DF1B41" w:rsidR="426750F4">
        <w:rPr>
          <w:rFonts w:ascii="Aptos" w:hAnsi="Aptos" w:eastAsia="Aptos" w:cs="Aptos"/>
          <w:noProof w:val="0"/>
          <w:color w:val="000000" w:themeColor="text1" w:themeTint="FF" w:themeShade="FF"/>
          <w:sz w:val="24"/>
          <w:szCs w:val="24"/>
          <w:lang w:val="en-GB"/>
        </w:rPr>
        <w:t xml:space="preserve"> opportunities for the development of students' language and literacy skills. As learners engage in </w:t>
      </w:r>
      <w:r w:rsidRPr="20DF1B41" w:rsidR="426750F4">
        <w:rPr>
          <w:rFonts w:ascii="Aptos" w:hAnsi="Aptos" w:eastAsia="Aptos" w:cs="Aptos"/>
          <w:noProof w:val="0"/>
          <w:color w:val="000000" w:themeColor="text1" w:themeTint="FF" w:themeShade="FF"/>
          <w:sz w:val="24"/>
          <w:szCs w:val="24"/>
          <w:lang w:val="en-GB"/>
        </w:rPr>
        <w:t>observing</w:t>
      </w:r>
      <w:r w:rsidRPr="20DF1B41" w:rsidR="426750F4">
        <w:rPr>
          <w:rFonts w:ascii="Aptos" w:hAnsi="Aptos" w:eastAsia="Aptos" w:cs="Aptos"/>
          <w:noProof w:val="0"/>
          <w:color w:val="000000" w:themeColor="text1" w:themeTint="FF" w:themeShade="FF"/>
          <w:sz w:val="24"/>
          <w:szCs w:val="24"/>
          <w:lang w:val="en-GB"/>
        </w:rPr>
        <w:t xml:space="preserve"> and describing scientific phenomena, they </w:t>
      </w:r>
      <w:r w:rsidRPr="20DF1B41" w:rsidR="426750F4">
        <w:rPr>
          <w:rFonts w:ascii="Aptos" w:hAnsi="Aptos" w:eastAsia="Aptos" w:cs="Aptos"/>
          <w:noProof w:val="0"/>
          <w:color w:val="000000" w:themeColor="text1" w:themeTint="FF" w:themeShade="FF"/>
          <w:sz w:val="24"/>
          <w:szCs w:val="24"/>
          <w:lang w:val="en-GB"/>
        </w:rPr>
        <w:t>are required to</w:t>
      </w:r>
      <w:r w:rsidRPr="20DF1B41" w:rsidR="426750F4">
        <w:rPr>
          <w:rFonts w:ascii="Aptos" w:hAnsi="Aptos" w:eastAsia="Aptos" w:cs="Aptos"/>
          <w:noProof w:val="0"/>
          <w:color w:val="000000" w:themeColor="text1" w:themeTint="FF" w:themeShade="FF"/>
          <w:sz w:val="24"/>
          <w:szCs w:val="24"/>
          <w:lang w:val="en-GB"/>
        </w:rPr>
        <w:t xml:space="preserve"> articulate their understanding both verbally and in writing. Science </w:t>
      </w:r>
      <w:r w:rsidRPr="20DF1B41" w:rsidR="426750F4">
        <w:rPr>
          <w:rFonts w:ascii="Aptos" w:hAnsi="Aptos" w:eastAsia="Aptos" w:cs="Aptos"/>
          <w:noProof w:val="0"/>
          <w:color w:val="000000" w:themeColor="text1" w:themeTint="FF" w:themeShade="FF"/>
          <w:sz w:val="24"/>
          <w:szCs w:val="24"/>
          <w:lang w:val="en-GB"/>
        </w:rPr>
        <w:t>facilitates</w:t>
      </w:r>
      <w:r w:rsidRPr="20DF1B41" w:rsidR="426750F4">
        <w:rPr>
          <w:rFonts w:ascii="Aptos" w:hAnsi="Aptos" w:eastAsia="Aptos" w:cs="Aptos"/>
          <w:noProof w:val="0"/>
          <w:color w:val="000000" w:themeColor="text1" w:themeTint="FF" w:themeShade="FF"/>
          <w:sz w:val="24"/>
          <w:szCs w:val="24"/>
          <w:lang w:val="en-GB"/>
        </w:rPr>
        <w:t xml:space="preserve"> the use of exploratory and investigative discourse, encouraging</w:t>
      </w:r>
      <w:r w:rsidRPr="20DF1B41" w:rsidR="426750F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critical questioning, and serves as a context for the teaching of both fiction and non-fiction texts (Nicholson, 2021).</w:t>
      </w:r>
      <w:r w:rsidRPr="20DF1B41" w:rsidR="378D9646">
        <w:rPr>
          <w:rFonts w:ascii="Aptos" w:hAnsi="Aptos" w:eastAsia="Aptos" w:cs="Aptos"/>
          <w:noProof w:val="0"/>
          <w:color w:val="000000" w:themeColor="text1" w:themeTint="FF" w:themeShade="FF"/>
          <w:sz w:val="24"/>
          <w:szCs w:val="24"/>
          <w:lang w:val="en-GB"/>
        </w:rPr>
        <w:t xml:space="preserve"> Engagement in the expressive arts allows learners to cultivate a sense of identity, enhance se</w:t>
      </w:r>
      <w:r w:rsidRPr="20DF1B41" w:rsidR="378D9646">
        <w:rPr>
          <w:rFonts w:ascii="Aptos" w:hAnsi="Aptos" w:eastAsia="Aptos" w:cs="Aptos" w:asciiTheme="minorAscii" w:hAnsiTheme="minorAscii" w:eastAsiaTheme="minorAscii" w:cstheme="minorAscii"/>
          <w:noProof w:val="0"/>
          <w:color w:val="000000" w:themeColor="text1" w:themeTint="FF" w:themeShade="FF"/>
          <w:sz w:val="24"/>
          <w:szCs w:val="24"/>
          <w:lang w:val="en-GB"/>
        </w:rPr>
        <w:t>lf-confidence, and explore diverse modes of communication and interpersonal connections, all of which contribute to supporting mental health and emotional well-being</w:t>
      </w:r>
      <w:r w:rsidRPr="20DF1B41" w:rsidR="128984E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128984E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0DF1B41" w:rsidR="128984E0">
        <w:rPr>
          <w:rFonts w:ascii="Aptos" w:hAnsi="Aptos" w:eastAsia="Aptos" w:cs="Aptos" w:asciiTheme="minorAscii" w:hAnsiTheme="minorAscii" w:eastAsiaTheme="minorAscii" w:cstheme="minorAscii"/>
          <w:noProof w:val="0"/>
          <w:color w:val="000000" w:themeColor="text1" w:themeTint="FF" w:themeShade="FF"/>
          <w:sz w:val="24"/>
          <w:szCs w:val="24"/>
          <w:lang w:val="en-GB"/>
        </w:rPr>
        <w:t>gov.wales</w:t>
      </w:r>
      <w:r w:rsidRPr="20DF1B41" w:rsidR="128984E0">
        <w:rPr>
          <w:rFonts w:ascii="Aptos" w:hAnsi="Aptos" w:eastAsia="Aptos" w:cs="Aptos" w:asciiTheme="minorAscii" w:hAnsiTheme="minorAscii" w:eastAsiaTheme="minorAscii" w:cstheme="minorAscii"/>
          <w:noProof w:val="0"/>
          <w:color w:val="000000" w:themeColor="text1" w:themeTint="FF" w:themeShade="FF"/>
          <w:sz w:val="24"/>
          <w:szCs w:val="24"/>
          <w:lang w:val="en-GB"/>
        </w:rPr>
        <w:t>, 2022).</w:t>
      </w:r>
    </w:p>
    <w:p w:rsidR="4D31EEA2" w:rsidP="20DF1B41" w:rsidRDefault="4D31EEA2" w14:paraId="6E3ECE0B" w14:textId="4E8486DC">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Appendix 1 outlines the potential strategies and solutions to mitigate any confusion, a crucial aspect when designing a lesson plan. Recogni</w:t>
      </w:r>
      <w:r w:rsidRPr="20DF1B41" w:rsidR="52C30617">
        <w:rPr>
          <w:rFonts w:ascii="Aptos" w:hAnsi="Aptos" w:eastAsia="Aptos" w:cs="Aptos" w:asciiTheme="minorAscii" w:hAnsiTheme="minorAscii" w:eastAsiaTheme="minorAscii" w:cstheme="minorAscii"/>
          <w:noProof w:val="0"/>
          <w:color w:val="000000" w:themeColor="text1" w:themeTint="FF" w:themeShade="FF"/>
          <w:sz w:val="24"/>
          <w:szCs w:val="24"/>
          <w:lang w:val="en-GB"/>
        </w:rPr>
        <w:t>s</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ing the diverse range of abilities within the classroom, it is essential to </w:t>
      </w:r>
      <w:r w:rsidRPr="20DF1B41" w:rsidR="5E963B95">
        <w:rPr>
          <w:rFonts w:ascii="Aptos" w:hAnsi="Aptos" w:eastAsia="Aptos" w:cs="Aptos" w:asciiTheme="minorAscii" w:hAnsiTheme="minorAscii" w:eastAsiaTheme="minorAscii" w:cstheme="minorAscii"/>
          <w:noProof w:val="0"/>
          <w:color w:val="000000" w:themeColor="text1" w:themeTint="FF" w:themeShade="FF"/>
          <w:sz w:val="24"/>
          <w:szCs w:val="24"/>
          <w:lang w:val="en-GB"/>
        </w:rPr>
        <w:t>pre-emptively</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plan for assessment for learning (AFL) strategies and implement scaffolding to support students who may struggle. This proactive approach ensures that no time is lost and that all students </w:t>
      </w:r>
      <w:bookmarkStart w:name="_Int_SHlPALIB" w:id="1288832622"/>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are able to</w:t>
      </w:r>
      <w:bookmarkEnd w:id="1288832622"/>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meet the lesson </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objectives</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Achieving the lesson goal should be the aim for every student, regardless of ability. Therefore, the lesson must be designed to be accessible for all learners, often </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necessitating</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use of differentiated strategies and resources to accommodate varying learning styles and provide </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additional</w:t>
      </w:r>
      <w:r w:rsidRPr="20DF1B41" w:rsidR="4D31EEA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support where needed.</w:t>
      </w:r>
    </w:p>
    <w:p w:rsidR="5242C2C6" w:rsidRDefault="5242C2C6" w14:paraId="43E8B0CD" w14:textId="4F3B13F1">
      <w:r w:rsidRPr="20DF1B41" w:rsidR="5242C2C6">
        <w:rPr>
          <w:rFonts w:ascii="Aptos" w:hAnsi="Aptos" w:eastAsia="Aptos" w:cs="Aptos"/>
          <w:noProof w:val="0"/>
          <w:color w:val="000000" w:themeColor="text1" w:themeTint="FF" w:themeShade="FF"/>
          <w:sz w:val="24"/>
          <w:szCs w:val="24"/>
          <w:lang w:val="en-GB"/>
        </w:rPr>
        <w:t xml:space="preserve">Appendix 2 presents the resource intended for classroom use, designed to cater to various learning styles, including visual and kinaesthetic. The resource is intentionally simple and straightforward, avoiding overwhelming comprehensive work that can sometimes hinder young learners. Despite its simplicity, the resource is highly effective, </w:t>
      </w:r>
      <w:r w:rsidRPr="20DF1B41" w:rsidR="5242C2C6">
        <w:rPr>
          <w:rFonts w:ascii="Aptos" w:hAnsi="Aptos" w:eastAsia="Aptos" w:cs="Aptos"/>
          <w:noProof w:val="0"/>
          <w:color w:val="000000" w:themeColor="text1" w:themeTint="FF" w:themeShade="FF"/>
          <w:sz w:val="24"/>
          <w:szCs w:val="24"/>
          <w:lang w:val="en-GB"/>
        </w:rPr>
        <w:t>facilitating</w:t>
      </w:r>
      <w:r w:rsidRPr="20DF1B41" w:rsidR="5242C2C6">
        <w:rPr>
          <w:rFonts w:ascii="Aptos" w:hAnsi="Aptos" w:eastAsia="Aptos" w:cs="Aptos"/>
          <w:noProof w:val="0"/>
          <w:color w:val="000000" w:themeColor="text1" w:themeTint="FF" w:themeShade="FF"/>
          <w:sz w:val="24"/>
          <w:szCs w:val="24"/>
          <w:lang w:val="en-GB"/>
        </w:rPr>
        <w:t xml:space="preserve"> meaningful learning. It provides opportunities for expanding knowledge as students' progress to higher levels, ensuring a foundation for continued growth and development.</w:t>
      </w:r>
      <w:r w:rsidRPr="20DF1B41" w:rsidR="3CCE0178">
        <w:rPr>
          <w:rFonts w:ascii="Aptos" w:hAnsi="Aptos" w:eastAsia="Aptos" w:cs="Aptos"/>
          <w:noProof w:val="0"/>
          <w:color w:val="000000" w:themeColor="text1" w:themeTint="FF" w:themeShade="FF"/>
          <w:sz w:val="24"/>
          <w:szCs w:val="24"/>
          <w:lang w:val="en-GB"/>
        </w:rPr>
        <w:t xml:space="preserve"> The overall objective is for the pupils to accurately identify animals and assign them to their respective habitats, count the number of animals in each habitat, and transfer this data onto a bar chart. Finally, students will be tasked with designing the bar chart to visually represent each habitat.</w:t>
      </w:r>
      <w:r w:rsidRPr="20DF1B41" w:rsidR="193F1ADB">
        <w:rPr>
          <w:rFonts w:ascii="Aptos" w:hAnsi="Aptos" w:eastAsia="Aptos" w:cs="Aptos"/>
          <w:noProof w:val="0"/>
          <w:color w:val="000000" w:themeColor="text1" w:themeTint="FF" w:themeShade="FF"/>
          <w:sz w:val="24"/>
          <w:szCs w:val="24"/>
          <w:lang w:val="en-GB"/>
        </w:rPr>
        <w:t xml:space="preserve"> </w:t>
      </w:r>
    </w:p>
    <w:p w:rsidR="193F1ADB" w:rsidP="20DF1B41" w:rsidRDefault="193F1ADB" w14:paraId="34F1B145" w14:textId="32AE9C71">
      <w:pPr>
        <w:rPr>
          <w:rFonts w:ascii="Aptos" w:hAnsi="Aptos" w:eastAsia="Aptos" w:cs="Aptos"/>
          <w:noProof w:val="0"/>
          <w:color w:val="000000" w:themeColor="text1" w:themeTint="FF" w:themeShade="FF"/>
          <w:sz w:val="24"/>
          <w:szCs w:val="24"/>
          <w:lang w:val="en-GB"/>
        </w:rPr>
      </w:pPr>
      <w:r w:rsidRPr="20DF1B41" w:rsidR="193F1ADB">
        <w:rPr>
          <w:rFonts w:ascii="Aptos" w:hAnsi="Aptos" w:eastAsia="Aptos" w:cs="Aptos"/>
          <w:noProof w:val="0"/>
          <w:color w:val="000000" w:themeColor="text1" w:themeTint="FF" w:themeShade="FF"/>
          <w:sz w:val="24"/>
          <w:szCs w:val="24"/>
          <w:lang w:val="en-GB"/>
        </w:rPr>
        <w:t xml:space="preserve">When critically evaluating Appendix 2, it is essential to recognize that what may seem straightforward to the resource creator can present significant challenges for foundation-level learners. Being receptive to future adjustments is crucial in this regard. Specifically, the first task in Appendix 2, while </w:t>
      </w:r>
      <w:r w:rsidRPr="20DF1B41" w:rsidR="193F1ADB">
        <w:rPr>
          <w:rFonts w:ascii="Aptos" w:hAnsi="Aptos" w:eastAsia="Aptos" w:cs="Aptos"/>
          <w:noProof w:val="0"/>
          <w:color w:val="000000" w:themeColor="text1" w:themeTint="FF" w:themeShade="FF"/>
          <w:sz w:val="24"/>
          <w:szCs w:val="24"/>
          <w:lang w:val="en-GB"/>
        </w:rPr>
        <w:t>seemingly simple</w:t>
      </w:r>
      <w:r w:rsidRPr="20DF1B41" w:rsidR="193F1ADB">
        <w:rPr>
          <w:rFonts w:ascii="Aptos" w:hAnsi="Aptos" w:eastAsia="Aptos" w:cs="Aptos"/>
          <w:noProof w:val="0"/>
          <w:color w:val="000000" w:themeColor="text1" w:themeTint="FF" w:themeShade="FF"/>
          <w:sz w:val="24"/>
          <w:szCs w:val="24"/>
          <w:lang w:val="en-GB"/>
        </w:rPr>
        <w:t xml:space="preserve">, presents a significant challenge for students as they work to grasp the concept of habitats. Understanding the reasons behind why certain animals live in specific habitats requires considerable cognitive processing. Consequently, </w:t>
      </w:r>
      <w:r w:rsidRPr="20DF1B41" w:rsidR="193F1ADB">
        <w:rPr>
          <w:rFonts w:ascii="Aptos" w:hAnsi="Aptos" w:eastAsia="Aptos" w:cs="Aptos"/>
          <w:noProof w:val="0"/>
          <w:color w:val="000000" w:themeColor="text1" w:themeTint="FF" w:themeShade="FF"/>
          <w:sz w:val="24"/>
          <w:szCs w:val="24"/>
          <w:lang w:val="en-GB"/>
        </w:rPr>
        <w:t>identifying</w:t>
      </w:r>
      <w:r w:rsidRPr="20DF1B41" w:rsidR="193F1ADB">
        <w:rPr>
          <w:rFonts w:ascii="Aptos" w:hAnsi="Aptos" w:eastAsia="Aptos" w:cs="Aptos"/>
          <w:noProof w:val="0"/>
          <w:color w:val="000000" w:themeColor="text1" w:themeTint="FF" w:themeShade="FF"/>
          <w:sz w:val="24"/>
          <w:szCs w:val="24"/>
          <w:lang w:val="en-GB"/>
        </w:rPr>
        <w:t xml:space="preserve"> the correct habitat for each animal may take longer than initially </w:t>
      </w:r>
      <w:r w:rsidRPr="20DF1B41" w:rsidR="193F1ADB">
        <w:rPr>
          <w:rFonts w:ascii="Aptos" w:hAnsi="Aptos" w:eastAsia="Aptos" w:cs="Aptos"/>
          <w:noProof w:val="0"/>
          <w:color w:val="000000" w:themeColor="text1" w:themeTint="FF" w:themeShade="FF"/>
          <w:sz w:val="24"/>
          <w:szCs w:val="24"/>
          <w:lang w:val="en-GB"/>
        </w:rPr>
        <w:t>anticipated</w:t>
      </w:r>
      <w:r w:rsidRPr="20DF1B41" w:rsidR="193F1ADB">
        <w:rPr>
          <w:rFonts w:ascii="Aptos" w:hAnsi="Aptos" w:eastAsia="Aptos" w:cs="Aptos"/>
          <w:noProof w:val="0"/>
          <w:color w:val="000000" w:themeColor="text1" w:themeTint="FF" w:themeShade="FF"/>
          <w:sz w:val="24"/>
          <w:szCs w:val="24"/>
          <w:lang w:val="en-GB"/>
        </w:rPr>
        <w:t xml:space="preserve">. Although 10 minutes was originally </w:t>
      </w:r>
      <w:r w:rsidRPr="20DF1B41" w:rsidR="193F1ADB">
        <w:rPr>
          <w:rFonts w:ascii="Aptos" w:hAnsi="Aptos" w:eastAsia="Aptos" w:cs="Aptos"/>
          <w:noProof w:val="0"/>
          <w:color w:val="000000" w:themeColor="text1" w:themeTint="FF" w:themeShade="FF"/>
          <w:sz w:val="24"/>
          <w:szCs w:val="24"/>
          <w:lang w:val="en-GB"/>
        </w:rPr>
        <w:t>allocated</w:t>
      </w:r>
      <w:r w:rsidRPr="20DF1B41" w:rsidR="193F1ADB">
        <w:rPr>
          <w:rFonts w:ascii="Aptos" w:hAnsi="Aptos" w:eastAsia="Aptos" w:cs="Aptos"/>
          <w:noProof w:val="0"/>
          <w:color w:val="000000" w:themeColor="text1" w:themeTint="FF" w:themeShade="FF"/>
          <w:sz w:val="24"/>
          <w:szCs w:val="24"/>
          <w:lang w:val="en-GB"/>
        </w:rPr>
        <w:t xml:space="preserve"> for this task, it is important to allow </w:t>
      </w:r>
      <w:r w:rsidRPr="20DF1B41" w:rsidR="193F1ADB">
        <w:rPr>
          <w:rFonts w:ascii="Aptos" w:hAnsi="Aptos" w:eastAsia="Aptos" w:cs="Aptos"/>
          <w:noProof w:val="0"/>
          <w:color w:val="000000" w:themeColor="text1" w:themeTint="FF" w:themeShade="FF"/>
          <w:sz w:val="24"/>
          <w:szCs w:val="24"/>
          <w:lang w:val="en-GB"/>
        </w:rPr>
        <w:t>additional</w:t>
      </w:r>
      <w:r w:rsidRPr="20DF1B41" w:rsidR="193F1ADB">
        <w:rPr>
          <w:rFonts w:ascii="Aptos" w:hAnsi="Aptos" w:eastAsia="Aptos" w:cs="Aptos"/>
          <w:noProof w:val="0"/>
          <w:color w:val="000000" w:themeColor="text1" w:themeTint="FF" w:themeShade="FF"/>
          <w:sz w:val="24"/>
          <w:szCs w:val="24"/>
          <w:lang w:val="en-GB"/>
        </w:rPr>
        <w:t xml:space="preserve"> time not only for trial and error but also for corrections and deeper comprehension. Instead of simply </w:t>
      </w:r>
      <w:r w:rsidRPr="20DF1B41" w:rsidR="193F1ADB">
        <w:rPr>
          <w:rFonts w:ascii="Aptos" w:hAnsi="Aptos" w:eastAsia="Aptos" w:cs="Aptos"/>
          <w:noProof w:val="0"/>
          <w:color w:val="000000" w:themeColor="text1" w:themeTint="FF" w:themeShade="FF"/>
          <w:sz w:val="24"/>
          <w:szCs w:val="24"/>
          <w:lang w:val="en-GB"/>
        </w:rPr>
        <w:t>providing</w:t>
      </w:r>
      <w:r w:rsidRPr="20DF1B41" w:rsidR="193F1ADB">
        <w:rPr>
          <w:rFonts w:ascii="Aptos" w:hAnsi="Aptos" w:eastAsia="Aptos" w:cs="Aptos"/>
          <w:noProof w:val="0"/>
          <w:color w:val="000000" w:themeColor="text1" w:themeTint="FF" w:themeShade="FF"/>
          <w:sz w:val="24"/>
          <w:szCs w:val="24"/>
          <w:lang w:val="en-GB"/>
        </w:rPr>
        <w:t xml:space="preserve"> the correct answers, it is crucial to support students in understanding the reasoning behind them. Therefore, in future implementations, I would </w:t>
      </w:r>
      <w:r w:rsidRPr="20DF1B41" w:rsidR="193F1ADB">
        <w:rPr>
          <w:rFonts w:ascii="Aptos" w:hAnsi="Aptos" w:eastAsia="Aptos" w:cs="Aptos"/>
          <w:noProof w:val="0"/>
          <w:color w:val="000000" w:themeColor="text1" w:themeTint="FF" w:themeShade="FF"/>
          <w:sz w:val="24"/>
          <w:szCs w:val="24"/>
          <w:lang w:val="en-GB"/>
        </w:rPr>
        <w:t>allocate</w:t>
      </w:r>
      <w:r w:rsidRPr="20DF1B41" w:rsidR="193F1ADB">
        <w:rPr>
          <w:rFonts w:ascii="Aptos" w:hAnsi="Aptos" w:eastAsia="Aptos" w:cs="Aptos"/>
          <w:noProof w:val="0"/>
          <w:color w:val="000000" w:themeColor="text1" w:themeTint="FF" w:themeShade="FF"/>
          <w:sz w:val="24"/>
          <w:szCs w:val="24"/>
          <w:lang w:val="en-GB"/>
        </w:rPr>
        <w:t xml:space="preserve"> more time for this task to ensure students can fully engage with the content and develop a deeper understanding.</w:t>
      </w:r>
      <w:r w:rsidRPr="20DF1B41" w:rsidR="4159F4B6">
        <w:rPr>
          <w:rFonts w:ascii="Aptos" w:hAnsi="Aptos" w:eastAsia="Aptos" w:cs="Aptos"/>
          <w:noProof w:val="0"/>
          <w:color w:val="000000" w:themeColor="text1" w:themeTint="FF" w:themeShade="FF"/>
          <w:sz w:val="24"/>
          <w:szCs w:val="24"/>
          <w:lang w:val="en-GB"/>
        </w:rPr>
        <w:t xml:space="preserve"> </w:t>
      </w:r>
      <w:r w:rsidRPr="20DF1B41" w:rsidR="54FBAB28">
        <w:rPr>
          <w:rFonts w:ascii="Aptos" w:hAnsi="Aptos" w:eastAsia="Aptos" w:cs="Aptos"/>
          <w:noProof w:val="0"/>
          <w:color w:val="000000" w:themeColor="text1" w:themeTint="FF" w:themeShade="FF"/>
          <w:sz w:val="24"/>
          <w:szCs w:val="24"/>
          <w:lang w:val="en-GB"/>
        </w:rPr>
        <w:t xml:space="preserve">An </w:t>
      </w:r>
      <w:r w:rsidRPr="20DF1B41" w:rsidR="54FBAB28">
        <w:rPr>
          <w:rFonts w:ascii="Aptos" w:hAnsi="Aptos" w:eastAsia="Aptos" w:cs="Aptos"/>
          <w:noProof w:val="0"/>
          <w:color w:val="000000" w:themeColor="text1" w:themeTint="FF" w:themeShade="FF"/>
          <w:sz w:val="24"/>
          <w:szCs w:val="24"/>
          <w:lang w:val="en-GB"/>
        </w:rPr>
        <w:t>additional</w:t>
      </w:r>
      <w:r w:rsidRPr="20DF1B41" w:rsidR="54FBAB28">
        <w:rPr>
          <w:rFonts w:ascii="Aptos" w:hAnsi="Aptos" w:eastAsia="Aptos" w:cs="Aptos"/>
          <w:noProof w:val="0"/>
          <w:color w:val="000000" w:themeColor="text1" w:themeTint="FF" w:themeShade="FF"/>
          <w:sz w:val="24"/>
          <w:szCs w:val="24"/>
          <w:lang w:val="en-GB"/>
        </w:rPr>
        <w:t xml:space="preserve"> aspect of Appendix 2 that requires further analysis is the task of transferring found data into a bar chart. While this is an important skill, bar charts can be challenging for students to </w:t>
      </w:r>
      <w:r w:rsidRPr="20DF1B41" w:rsidR="54FBAB28">
        <w:rPr>
          <w:rFonts w:ascii="Aptos" w:hAnsi="Aptos" w:eastAsia="Aptos" w:cs="Aptos"/>
          <w:noProof w:val="0"/>
          <w:color w:val="000000" w:themeColor="text1" w:themeTint="FF" w:themeShade="FF"/>
          <w:sz w:val="24"/>
          <w:szCs w:val="24"/>
          <w:lang w:val="en-GB"/>
        </w:rPr>
        <w:t>comprehend</w:t>
      </w:r>
      <w:r w:rsidRPr="20DF1B41" w:rsidR="54FBAB28">
        <w:rPr>
          <w:rFonts w:ascii="Aptos" w:hAnsi="Aptos" w:eastAsia="Aptos" w:cs="Aptos"/>
          <w:noProof w:val="0"/>
          <w:color w:val="000000" w:themeColor="text1" w:themeTint="FF" w:themeShade="FF"/>
          <w:sz w:val="24"/>
          <w:szCs w:val="24"/>
          <w:lang w:val="en-GB"/>
        </w:rPr>
        <w:t xml:space="preserve">, particularly when introduced alongside other new concepts. Incorporating this task within a broader lesson could prove to be overly ambitious, as students may struggle to grasp the nuances of creating and interpreting a bar chart while simultaneously learning other content. To ensure a more effective learning experience, it would be prudent to focus on teaching and reinforcing the concept of bar charts prior to integrating them into cross-curricular tasks. In future lessons, I would recommend simplifying this task by having students record the number of animals in each habitat in their books rather than </w:t>
      </w:r>
      <w:r w:rsidRPr="20DF1B41" w:rsidR="54FBAB28">
        <w:rPr>
          <w:rFonts w:ascii="Aptos" w:hAnsi="Aptos" w:eastAsia="Aptos" w:cs="Aptos"/>
          <w:noProof w:val="0"/>
          <w:color w:val="000000" w:themeColor="text1" w:themeTint="FF" w:themeShade="FF"/>
          <w:sz w:val="24"/>
          <w:szCs w:val="24"/>
          <w:lang w:val="en-GB"/>
        </w:rPr>
        <w:t>attempting</w:t>
      </w:r>
      <w:r w:rsidRPr="20DF1B41" w:rsidR="54FBAB28">
        <w:rPr>
          <w:rFonts w:ascii="Aptos" w:hAnsi="Aptos" w:eastAsia="Aptos" w:cs="Aptos"/>
          <w:noProof w:val="0"/>
          <w:color w:val="000000" w:themeColor="text1" w:themeTint="FF" w:themeShade="FF"/>
          <w:sz w:val="24"/>
          <w:szCs w:val="24"/>
          <w:lang w:val="en-GB"/>
        </w:rPr>
        <w:t xml:space="preserve"> to </w:t>
      </w:r>
      <w:r w:rsidRPr="20DF1B41" w:rsidR="54FBAB28">
        <w:rPr>
          <w:rFonts w:ascii="Aptos" w:hAnsi="Aptos" w:eastAsia="Aptos" w:cs="Aptos"/>
          <w:noProof w:val="0"/>
          <w:color w:val="000000" w:themeColor="text1" w:themeTint="FF" w:themeShade="FF"/>
          <w:sz w:val="24"/>
          <w:szCs w:val="24"/>
          <w:lang w:val="en-GB"/>
        </w:rPr>
        <w:t>represent</w:t>
      </w:r>
      <w:r w:rsidRPr="20DF1B41" w:rsidR="54FBAB28">
        <w:rPr>
          <w:rFonts w:ascii="Aptos" w:hAnsi="Aptos" w:eastAsia="Aptos" w:cs="Aptos"/>
          <w:noProof w:val="0"/>
          <w:color w:val="000000" w:themeColor="text1" w:themeTint="FF" w:themeShade="FF"/>
          <w:sz w:val="24"/>
          <w:szCs w:val="24"/>
          <w:lang w:val="en-GB"/>
        </w:rPr>
        <w:t xml:space="preserve"> the data in a bar chart. This would allow students to focus on one skill at a time, ensuring they develop a solid understanding before moving on to more complex tasks.</w:t>
      </w:r>
      <w:r w:rsidRPr="20DF1B41" w:rsidR="47341507">
        <w:rPr>
          <w:rFonts w:ascii="Aptos" w:hAnsi="Aptos" w:eastAsia="Aptos" w:cs="Aptos"/>
          <w:noProof w:val="0"/>
          <w:color w:val="000000" w:themeColor="text1" w:themeTint="FF" w:themeShade="FF"/>
          <w:sz w:val="24"/>
          <w:szCs w:val="24"/>
          <w:lang w:val="en-GB"/>
        </w:rPr>
        <w:t xml:space="preserve"> Supporting this, an argument against cross curricular learning </w:t>
      </w:r>
      <w:r w:rsidRPr="20DF1B41" w:rsidR="47341507">
        <w:rPr>
          <w:rFonts w:ascii="Aptos" w:hAnsi="Aptos" w:eastAsia="Aptos" w:cs="Aptos"/>
          <w:noProof w:val="0"/>
          <w:color w:val="000000" w:themeColor="text1" w:themeTint="FF" w:themeShade="FF"/>
          <w:sz w:val="24"/>
          <w:szCs w:val="24"/>
          <w:lang w:val="en-GB"/>
        </w:rPr>
        <w:t>stated</w:t>
      </w:r>
      <w:r w:rsidRPr="20DF1B41" w:rsidR="47341507">
        <w:rPr>
          <w:rFonts w:ascii="Aptos" w:hAnsi="Aptos" w:eastAsia="Aptos" w:cs="Aptos"/>
          <w:noProof w:val="0"/>
          <w:color w:val="000000" w:themeColor="text1" w:themeTint="FF" w:themeShade="FF"/>
          <w:sz w:val="24"/>
          <w:szCs w:val="24"/>
          <w:lang w:val="en-GB"/>
        </w:rPr>
        <w:t xml:space="preserve"> that </w:t>
      </w:r>
      <w:r w:rsidRPr="20DF1B41" w:rsidR="75A62341">
        <w:rPr>
          <w:rFonts w:ascii="Aptos" w:hAnsi="Aptos" w:eastAsia="Aptos" w:cs="Aptos"/>
          <w:noProof w:val="0"/>
          <w:color w:val="000000" w:themeColor="text1" w:themeTint="FF" w:themeShade="FF"/>
          <w:sz w:val="24"/>
          <w:szCs w:val="24"/>
          <w:lang w:val="en-GB"/>
        </w:rPr>
        <w:t xml:space="preserve">Cross-curricular planning has </w:t>
      </w:r>
      <w:r w:rsidRPr="20DF1B41" w:rsidR="75A62341">
        <w:rPr>
          <w:rFonts w:ascii="Aptos" w:hAnsi="Aptos" w:eastAsia="Aptos" w:cs="Aptos"/>
          <w:noProof w:val="0"/>
          <w:color w:val="000000" w:themeColor="text1" w:themeTint="FF" w:themeShade="FF"/>
          <w:sz w:val="24"/>
          <w:szCs w:val="24"/>
          <w:lang w:val="en-GB"/>
        </w:rPr>
        <w:t>frequently</w:t>
      </w:r>
      <w:r w:rsidRPr="20DF1B41" w:rsidR="75A62341">
        <w:rPr>
          <w:rFonts w:ascii="Aptos" w:hAnsi="Aptos" w:eastAsia="Aptos" w:cs="Aptos"/>
          <w:noProof w:val="0"/>
          <w:color w:val="000000" w:themeColor="text1" w:themeTint="FF" w:themeShade="FF"/>
          <w:sz w:val="24"/>
          <w:szCs w:val="24"/>
          <w:lang w:val="en-GB"/>
        </w:rPr>
        <w:t xml:space="preserve"> been ineffective when leaders begin with a vague concept or skill and </w:t>
      </w:r>
      <w:r w:rsidRPr="20DF1B41" w:rsidR="75A62341">
        <w:rPr>
          <w:rFonts w:ascii="Aptos" w:hAnsi="Aptos" w:eastAsia="Aptos" w:cs="Aptos"/>
          <w:noProof w:val="0"/>
          <w:color w:val="000000" w:themeColor="text1" w:themeTint="FF" w:themeShade="FF"/>
          <w:sz w:val="24"/>
          <w:szCs w:val="24"/>
          <w:lang w:val="en-GB"/>
        </w:rPr>
        <w:t>attempt</w:t>
      </w:r>
      <w:r w:rsidRPr="20DF1B41" w:rsidR="75A62341">
        <w:rPr>
          <w:rFonts w:ascii="Aptos" w:hAnsi="Aptos" w:eastAsia="Aptos" w:cs="Aptos"/>
          <w:noProof w:val="0"/>
          <w:color w:val="000000" w:themeColor="text1" w:themeTint="FF" w:themeShade="FF"/>
          <w:sz w:val="24"/>
          <w:szCs w:val="24"/>
          <w:lang w:val="en-GB"/>
        </w:rPr>
        <w:t xml:space="preserve"> to force-fit multiple subjects to it. </w:t>
      </w:r>
      <w:r w:rsidRPr="20DF1B41" w:rsidR="625151FA">
        <w:rPr>
          <w:rFonts w:ascii="Aptos" w:hAnsi="Aptos" w:eastAsia="Aptos" w:cs="Aptos"/>
          <w:noProof w:val="0"/>
          <w:color w:val="000000" w:themeColor="text1" w:themeTint="FF" w:themeShade="FF"/>
          <w:sz w:val="24"/>
          <w:szCs w:val="24"/>
          <w:lang w:val="en-GB"/>
        </w:rPr>
        <w:t>The author further emphasised that he advocates for</w:t>
      </w:r>
      <w:r w:rsidRPr="20DF1B41" w:rsidR="75A62341">
        <w:rPr>
          <w:rFonts w:ascii="Aptos" w:hAnsi="Aptos" w:eastAsia="Aptos" w:cs="Aptos"/>
          <w:noProof w:val="0"/>
          <w:color w:val="000000" w:themeColor="text1" w:themeTint="FF" w:themeShade="FF"/>
          <w:sz w:val="24"/>
          <w:szCs w:val="24"/>
          <w:lang w:val="en-GB"/>
        </w:rPr>
        <w:t xml:space="preserve"> </w:t>
      </w:r>
      <w:r w:rsidRPr="20DF1B41" w:rsidR="75A62341">
        <w:rPr>
          <w:rFonts w:ascii="Aptos" w:hAnsi="Aptos" w:eastAsia="Aptos" w:cs="Aptos"/>
          <w:noProof w:val="0"/>
          <w:color w:val="000000" w:themeColor="text1" w:themeTint="FF" w:themeShade="FF"/>
          <w:sz w:val="24"/>
          <w:szCs w:val="24"/>
          <w:lang w:val="en-GB"/>
        </w:rPr>
        <w:t xml:space="preserve">a more focused approach that starts with a deep exploration of the unique, knowledge-rich curriculum within each subject area. This approach encourages teachers to </w:t>
      </w:r>
      <w:r w:rsidRPr="20DF1B41" w:rsidR="75A62341">
        <w:rPr>
          <w:rFonts w:ascii="Aptos" w:hAnsi="Aptos" w:eastAsia="Aptos" w:cs="Aptos"/>
          <w:noProof w:val="0"/>
          <w:color w:val="000000" w:themeColor="text1" w:themeTint="FF" w:themeShade="FF"/>
          <w:sz w:val="24"/>
          <w:szCs w:val="24"/>
          <w:lang w:val="en-GB"/>
        </w:rPr>
        <w:t>identify</w:t>
      </w:r>
      <w:r w:rsidRPr="20DF1B41" w:rsidR="75A62341">
        <w:rPr>
          <w:rFonts w:ascii="Aptos" w:hAnsi="Aptos" w:eastAsia="Aptos" w:cs="Aptos"/>
          <w:noProof w:val="0"/>
          <w:color w:val="000000" w:themeColor="text1" w:themeTint="FF" w:themeShade="FF"/>
          <w:sz w:val="24"/>
          <w:szCs w:val="24"/>
          <w:lang w:val="en-GB"/>
        </w:rPr>
        <w:t xml:space="preserve"> authentic, meaningful connections between subjects. These connections should be woven into everyday lessons, rather than reserved for isolated inquiry</w:t>
      </w:r>
      <w:r w:rsidRPr="20DF1B41" w:rsidR="75A6234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days</w:t>
      </w:r>
      <w:r w:rsidRPr="20DF1B41" w:rsidR="25BCAB2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0DF1B41" w:rsidR="25BCAB2E">
        <w:rPr>
          <w:rFonts w:ascii="Aptos" w:hAnsi="Aptos" w:eastAsia="Aptos" w:cs="Aptos" w:asciiTheme="minorAscii" w:hAnsiTheme="minorAscii" w:eastAsiaTheme="minorAscii" w:cstheme="minorAscii"/>
          <w:noProof w:val="0"/>
          <w:color w:val="000000" w:themeColor="text1" w:themeTint="FF" w:themeShade="FF"/>
          <w:sz w:val="24"/>
          <w:szCs w:val="24"/>
          <w:lang w:val="en-GB"/>
        </w:rPr>
        <w:t>(Coventon, 2022).</w:t>
      </w:r>
    </w:p>
    <w:p w:rsidR="7EE582B9" w:rsidRDefault="7EE582B9" w14:paraId="3D773710" w14:textId="2962C10B">
      <w:r w:rsidRPr="2115F02B" w:rsidR="7EE582B9">
        <w:rPr>
          <w:rFonts w:ascii="Aptos" w:hAnsi="Aptos" w:eastAsia="Aptos" w:cs="Aptos"/>
          <w:noProof w:val="0"/>
          <w:color w:val="000000" w:themeColor="text1" w:themeTint="FF" w:themeShade="FF"/>
          <w:sz w:val="24"/>
          <w:szCs w:val="24"/>
          <w:lang w:val="en-GB"/>
        </w:rPr>
        <w:t xml:space="preserve">In conclusion, </w:t>
      </w:r>
      <w:r w:rsidRPr="2115F02B" w:rsidR="7EE582B9">
        <w:rPr>
          <w:rFonts w:ascii="Aptos" w:hAnsi="Aptos" w:eastAsia="Aptos" w:cs="Aptos"/>
          <w:noProof w:val="0"/>
          <w:color w:val="000000" w:themeColor="text1" w:themeTint="FF" w:themeShade="FF"/>
          <w:sz w:val="24"/>
          <w:szCs w:val="24"/>
          <w:lang w:val="en-GB"/>
        </w:rPr>
        <w:t>I believe that Appendix 2</w:t>
      </w:r>
      <w:r w:rsidRPr="2115F02B" w:rsidR="7EE582B9">
        <w:rPr>
          <w:rFonts w:ascii="Aptos" w:hAnsi="Aptos" w:eastAsia="Aptos" w:cs="Aptos"/>
          <w:noProof w:val="0"/>
          <w:color w:val="000000" w:themeColor="text1" w:themeTint="FF" w:themeShade="FF"/>
          <w:sz w:val="24"/>
          <w:szCs w:val="24"/>
          <w:lang w:val="en-GB"/>
        </w:rPr>
        <w:t xml:space="preserve"> aligns with the four purposes and supports each pupil in developing towards achieving them. It is essential to recognize that reaching these four purposes is an ongoing process, and each learning experience offers an opportunity to incorporate elements that support this progression. By consistently integrating these aims into the learning environment, we ensure that pupils are progressively developed towards these goals.</w:t>
      </w:r>
    </w:p>
    <w:p w:rsidR="6ED89181" w:rsidP="2115F02B" w:rsidRDefault="6ED89181" w14:paraId="3B24F50A" w14:textId="6C30902E">
      <w:pPr>
        <w:rPr>
          <w:rFonts w:ascii="Aptos" w:hAnsi="Aptos" w:eastAsia="Aptos" w:cs="Aptos"/>
          <w:b w:val="1"/>
          <w:bCs w:val="1"/>
          <w:noProof w:val="0"/>
          <w:color w:val="000000" w:themeColor="text1" w:themeTint="FF" w:themeShade="FF"/>
          <w:sz w:val="24"/>
          <w:szCs w:val="24"/>
          <w:lang w:val="en-GB"/>
        </w:rPr>
      </w:pPr>
      <w:r w:rsidRPr="2115F02B" w:rsidR="6ED89181">
        <w:rPr>
          <w:rFonts w:ascii="Aptos" w:hAnsi="Aptos" w:eastAsia="Aptos" w:cs="Aptos"/>
          <w:b w:val="1"/>
          <w:bCs w:val="1"/>
          <w:noProof w:val="0"/>
          <w:color w:val="000000" w:themeColor="text1" w:themeTint="FF" w:themeShade="FF"/>
          <w:sz w:val="24"/>
          <w:szCs w:val="24"/>
          <w:lang w:val="en-GB"/>
        </w:rPr>
        <w:t>Word count- 2097</w:t>
      </w:r>
    </w:p>
    <w:p w:rsidR="05593534" w:rsidP="313283B6" w:rsidRDefault="05593534" w14:paraId="660E514B" w14:textId="149B6E5F">
      <w:p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05593534">
        <w:rPr>
          <w:rFonts w:ascii="Aptos" w:hAnsi="Aptos" w:eastAsia="Aptos" w:cs="Aptos" w:asciiTheme="minorAscii" w:hAnsiTheme="minorAscii" w:eastAsiaTheme="minorAscii" w:cstheme="minorAscii"/>
          <w:noProof w:val="0"/>
          <w:color w:val="000000" w:themeColor="text1" w:themeTint="FF" w:themeShade="FF"/>
          <w:sz w:val="24"/>
          <w:szCs w:val="24"/>
          <w:lang w:val="en-GB"/>
        </w:rPr>
        <w:t>References</w:t>
      </w:r>
    </w:p>
    <w:p w:rsidR="15AC206A" w:rsidP="20DF1B41" w:rsidRDefault="15AC206A" w14:paraId="187DFFC9" w14:textId="4C7CA0C1">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15AC206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Addysg Cymru / Education Wales (2020). </w:t>
      </w:r>
      <w:r w:rsidRPr="20DF1B41" w:rsidR="15AC206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Curriculum for Wales animation</w:t>
      </w:r>
      <w:r w:rsidRPr="20DF1B41" w:rsidR="15AC206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YouTube. Available at: </w:t>
      </w:r>
      <w:hyperlink r:id="R5cb1d505d1e443be">
        <w:r w:rsidRPr="20DF1B41" w:rsidR="15AC206A">
          <w:rPr>
            <w:rStyle w:val="Hyperlink"/>
            <w:rFonts w:ascii="Aptos" w:hAnsi="Aptos" w:eastAsia="Aptos" w:cs="Aptos" w:asciiTheme="minorAscii" w:hAnsiTheme="minorAscii" w:eastAsiaTheme="minorAscii" w:cstheme="minorAscii"/>
            <w:noProof w:val="0"/>
            <w:sz w:val="24"/>
            <w:szCs w:val="24"/>
            <w:lang w:val="en-GB"/>
          </w:rPr>
          <w:t>https://www.youtube.com/watch?v=Am1wg46OsCE</w:t>
        </w:r>
      </w:hyperlink>
      <w:r w:rsidRPr="20DF1B41" w:rsidR="15AC206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3 Mar. 2025].</w:t>
      </w:r>
    </w:p>
    <w:p w:rsidR="05593534" w:rsidP="313283B6" w:rsidRDefault="05593534" w14:paraId="1CCF0320" w14:textId="47D5E390">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0559353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Barnes, J. (2015). </w:t>
      </w:r>
      <w:r w:rsidRPr="20DF1B41" w:rsidR="0559353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Cross-curricular learning 3-14</w:t>
      </w:r>
      <w:r w:rsidRPr="20DF1B41" w:rsidR="05593534">
        <w:rPr>
          <w:rFonts w:ascii="Aptos" w:hAnsi="Aptos" w:eastAsia="Aptos" w:cs="Aptos" w:asciiTheme="minorAscii" w:hAnsiTheme="minorAscii" w:eastAsiaTheme="minorAscii" w:cstheme="minorAscii"/>
          <w:noProof w:val="0"/>
          <w:color w:val="000000" w:themeColor="text1" w:themeTint="FF" w:themeShade="FF"/>
          <w:sz w:val="24"/>
          <w:szCs w:val="24"/>
          <w:lang w:val="en-GB"/>
        </w:rPr>
        <w:t>. 3rd ed. London: Sage.</w:t>
      </w:r>
    </w:p>
    <w:p w:rsidR="134101D9" w:rsidP="20DF1B41" w:rsidRDefault="134101D9" w14:paraId="4BDC0510" w14:textId="17186CA8">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134101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Coventon, A. (2022). </w:t>
      </w:r>
      <w:r w:rsidRPr="20DF1B41" w:rsidR="134101D9">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Redrawing the cross-curricular map: An interdisciplinary approach to curriculum design across the humanities</w:t>
      </w:r>
      <w:r w:rsidRPr="20DF1B41" w:rsidR="134101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My College. Available at: </w:t>
      </w:r>
      <w:hyperlink r:id="Rc6bdead399b34046">
        <w:r w:rsidRPr="20DF1B41" w:rsidR="134101D9">
          <w:rPr>
            <w:rStyle w:val="Hyperlink"/>
            <w:rFonts w:ascii="Aptos" w:hAnsi="Aptos" w:eastAsia="Aptos" w:cs="Aptos" w:asciiTheme="minorAscii" w:hAnsiTheme="minorAscii" w:eastAsiaTheme="minorAscii" w:cstheme="minorAscii"/>
            <w:noProof w:val="0"/>
            <w:sz w:val="24"/>
            <w:szCs w:val="24"/>
            <w:lang w:val="en-GB"/>
          </w:rPr>
          <w:t>https://my.chartered.college/impact_article/redrawing-the-cross-curricular-map-an-interdisciplinary-approach-to-curriculum-design-across-the-humanities/</w:t>
        </w:r>
      </w:hyperlink>
      <w:r w:rsidRPr="20DF1B41" w:rsidR="134101D9">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58A5957A" w:rsidP="313283B6" w:rsidRDefault="58A5957A" w14:paraId="741C4C0A" w14:textId="7ECC474F">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58A5957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Education Development Trust (n.d.). </w:t>
      </w:r>
      <w:r w:rsidRPr="20DF1B41" w:rsidR="58A5957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Evidence - Support for early career teachers - GOV.UK</w:t>
      </w:r>
      <w:r w:rsidRPr="20DF1B41" w:rsidR="58A5957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support-for-early-career-teachers.education.gov.uk. Available at: </w:t>
      </w:r>
      <w:hyperlink r:id="Rbd90e043b0cb4375">
        <w:r w:rsidRPr="20DF1B41" w:rsidR="58A5957A">
          <w:rPr>
            <w:rStyle w:val="Hyperlink"/>
            <w:rFonts w:ascii="Aptos" w:hAnsi="Aptos" w:eastAsia="Aptos" w:cs="Aptos" w:asciiTheme="minorAscii" w:hAnsiTheme="minorAscii" w:eastAsiaTheme="minorAscii" w:cstheme="minorAscii"/>
            <w:noProof w:val="0"/>
            <w:sz w:val="24"/>
            <w:szCs w:val="24"/>
            <w:lang w:val="en-GB"/>
          </w:rPr>
          <w:t>https://support-for-early-career-teachers.education.gov.uk/educatio</w:t>
        </w:r>
        <w:r w:rsidRPr="20DF1B41" w:rsidR="58A5957A">
          <w:rPr>
            <w:rStyle w:val="Hyperlink"/>
            <w:rFonts w:ascii="Aptos" w:hAnsi="Aptos" w:eastAsia="Aptos" w:cs="Aptos" w:asciiTheme="minorAscii" w:hAnsiTheme="minorAscii" w:eastAsiaTheme="minorAscii" w:cstheme="minorAscii"/>
            <w:noProof w:val="0"/>
            <w:sz w:val="24"/>
            <w:szCs w:val="24"/>
            <w:lang w:val="en-GB"/>
          </w:rPr>
          <w:t>n-development-trust/year-1-the-importance-of-subject-and-curriculum-knowledge/spring-week-1-ect-evidence/</w:t>
        </w:r>
      </w:hyperlink>
      <w:r w:rsidRPr="20DF1B41" w:rsidR="58A5957A">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6D5F2FE6" w:rsidP="313283B6" w:rsidRDefault="6D5F2FE6" w14:paraId="6DFB96FA" w14:textId="165CBC35">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6D5F2F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Estyn (2024). </w:t>
      </w:r>
      <w:r w:rsidRPr="20DF1B41" w:rsidR="6D5F2F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Whole-school planning for developing pupils’ skills across the curriculum - Estyn</w:t>
      </w:r>
      <w:r w:rsidRPr="20DF1B41" w:rsidR="6D5F2F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Estyn. Available at: </w:t>
      </w:r>
      <w:hyperlink r:id="Rfede9e1dfbf0443d">
        <w:r w:rsidRPr="20DF1B41" w:rsidR="6D5F2FE6">
          <w:rPr>
            <w:rStyle w:val="Hyperlink"/>
            <w:rFonts w:ascii="Aptos" w:hAnsi="Aptos" w:eastAsia="Aptos" w:cs="Aptos" w:asciiTheme="minorAscii" w:hAnsiTheme="minorAscii" w:eastAsiaTheme="minorAscii" w:cstheme="minorAscii"/>
            <w:noProof w:val="0"/>
            <w:sz w:val="24"/>
            <w:szCs w:val="24"/>
            <w:lang w:val="en-GB"/>
          </w:rPr>
          <w:t>https://estyn.gov.wales/improvement-resources/whole-school-planning-for-developing-pupils-skills-across-the-curricul</w:t>
        </w:r>
        <w:r w:rsidRPr="20DF1B41" w:rsidR="6D5F2FE6">
          <w:rPr>
            <w:rStyle w:val="Hyperlink"/>
            <w:rFonts w:ascii="Aptos" w:hAnsi="Aptos" w:eastAsia="Aptos" w:cs="Aptos" w:asciiTheme="minorAscii" w:hAnsiTheme="minorAscii" w:eastAsiaTheme="minorAscii" w:cstheme="minorAscii"/>
            <w:noProof w:val="0"/>
            <w:sz w:val="24"/>
            <w:szCs w:val="24"/>
            <w:lang w:val="en-GB"/>
          </w:rPr>
          <w:t>um/</w:t>
        </w:r>
      </w:hyperlink>
      <w:r w:rsidRPr="20DF1B41" w:rsidR="6D5F2FE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6885B410" w:rsidP="20DF1B41" w:rsidRDefault="6885B410" w14:paraId="3E2C39C8" w14:textId="2AB43438">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gov.wales</w:t>
      </w:r>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(2022). </w:t>
      </w:r>
      <w:r w:rsidRPr="20DF1B41" w:rsidR="6885B41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Expressive Arts: Designing your curriculum - Hwb</w:t>
      </w:r>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w:t>
      </w:r>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hwb.gov.wales</w:t>
      </w:r>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f8c2788a0c484057">
        <w:r w:rsidRPr="20DF1B41" w:rsidR="6885B410">
          <w:rPr>
            <w:rStyle w:val="Hyperlink"/>
            <w:rFonts w:ascii="Aptos" w:hAnsi="Aptos" w:eastAsia="Aptos" w:cs="Aptos" w:asciiTheme="minorAscii" w:hAnsiTheme="minorAscii" w:eastAsiaTheme="minorAscii" w:cstheme="minorAscii"/>
            <w:noProof w:val="0"/>
            <w:sz w:val="24"/>
            <w:szCs w:val="24"/>
            <w:lang w:val="en-GB"/>
          </w:rPr>
          <w:t>https://hwb.gov.wales/curriculum-for-wales/expressive-arts/designing-your-curriculum</w:t>
        </w:r>
      </w:hyperlink>
      <w:r w:rsidRPr="20DF1B41" w:rsidR="6885B41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321F30B0" w:rsidP="20DF1B41" w:rsidRDefault="321F30B0" w14:paraId="5F35EC9A" w14:textId="1807CBDE">
      <w:pPr>
        <w:spacing w:before="195" w:beforeAutospacing="off" w:after="195" w:afterAutospacing="off"/>
        <w:rPr>
          <w:rFonts w:ascii="Aptos" w:hAnsi="Aptos" w:eastAsia="Aptos" w:cs="Aptos" w:asciiTheme="minorAscii" w:hAnsiTheme="minorAscii" w:eastAsiaTheme="minorAscii" w:cstheme="minorAscii"/>
          <w:i w:val="0"/>
          <w:iCs w:val="0"/>
          <w:noProof w:val="0"/>
          <w:sz w:val="24"/>
          <w:szCs w:val="24"/>
          <w:lang w:val="en-GB"/>
        </w:rPr>
      </w:pPr>
      <w:r w:rsidRPr="20DF1B41" w:rsidR="321F30B0">
        <w:rPr>
          <w:rFonts w:ascii="Aptos" w:hAnsi="Aptos" w:eastAsia="Aptos" w:cs="Aptos" w:asciiTheme="minorAscii" w:hAnsiTheme="minorAscii" w:eastAsiaTheme="minorAscii" w:cstheme="minorAscii"/>
          <w:i w:val="0"/>
          <w:iCs w:val="0"/>
          <w:noProof w:val="0"/>
          <w:sz w:val="24"/>
          <w:szCs w:val="24"/>
          <w:lang w:val="en-GB"/>
        </w:rPr>
        <w:t xml:space="preserve">Kerry, T. (2015). </w:t>
      </w:r>
      <w:r w:rsidRPr="20DF1B41" w:rsidR="321F30B0">
        <w:rPr>
          <w:rFonts w:ascii="Aptos" w:hAnsi="Aptos" w:eastAsia="Aptos" w:cs="Aptos" w:asciiTheme="minorAscii" w:hAnsiTheme="minorAscii" w:eastAsiaTheme="minorAscii" w:cstheme="minorAscii"/>
          <w:i w:val="1"/>
          <w:iCs w:val="1"/>
          <w:noProof w:val="0"/>
          <w:sz w:val="24"/>
          <w:szCs w:val="24"/>
          <w:lang w:val="en-GB"/>
        </w:rPr>
        <w:t>Cross-curricular teaching in the primary school/plan</w:t>
      </w:r>
      <w:r w:rsidRPr="20DF1B41" w:rsidR="321F30B0">
        <w:rPr>
          <w:rFonts w:ascii="Aptos" w:hAnsi="Aptos" w:eastAsia="Aptos" w:cs="Aptos" w:asciiTheme="minorAscii" w:hAnsiTheme="minorAscii" w:eastAsiaTheme="minorAscii" w:cstheme="minorAscii"/>
          <w:i w:val="1"/>
          <w:iCs w:val="1"/>
          <w:noProof w:val="0"/>
          <w:sz w:val="24"/>
          <w:szCs w:val="24"/>
          <w:lang w:val="en-GB"/>
        </w:rPr>
        <w:t xml:space="preserve">ning and </w:t>
      </w:r>
      <w:r w:rsidRPr="20DF1B41" w:rsidR="321F30B0">
        <w:rPr>
          <w:rFonts w:ascii="Aptos" w:hAnsi="Aptos" w:eastAsia="Aptos" w:cs="Aptos" w:asciiTheme="minorAscii" w:hAnsiTheme="minorAscii" w:eastAsiaTheme="minorAscii" w:cstheme="minorAscii"/>
          <w:i w:val="1"/>
          <w:iCs w:val="1"/>
          <w:noProof w:val="0"/>
          <w:sz w:val="24"/>
          <w:szCs w:val="24"/>
          <w:lang w:val="en-GB"/>
        </w:rPr>
        <w:t>facilitating</w:t>
      </w:r>
      <w:r w:rsidRPr="20DF1B41" w:rsidR="321F30B0">
        <w:rPr>
          <w:rFonts w:ascii="Aptos" w:hAnsi="Aptos" w:eastAsia="Aptos" w:cs="Aptos" w:asciiTheme="minorAscii" w:hAnsiTheme="minorAscii" w:eastAsiaTheme="minorAscii" w:cstheme="minorAscii"/>
          <w:i w:val="1"/>
          <w:iCs w:val="1"/>
          <w:noProof w:val="0"/>
          <w:sz w:val="24"/>
          <w:szCs w:val="24"/>
          <w:lang w:val="en-GB"/>
        </w:rPr>
        <w:t xml:space="preserve"> imaginative lessons</w:t>
      </w:r>
      <w:r w:rsidRPr="20DF1B41" w:rsidR="321F30B0">
        <w:rPr>
          <w:rFonts w:ascii="Aptos" w:hAnsi="Aptos" w:eastAsia="Aptos" w:cs="Aptos" w:asciiTheme="minorAscii" w:hAnsiTheme="minorAscii" w:eastAsiaTheme="minorAscii" w:cstheme="minorAscii"/>
          <w:i w:val="0"/>
          <w:iCs w:val="0"/>
          <w:noProof w:val="0"/>
          <w:sz w:val="24"/>
          <w:szCs w:val="24"/>
          <w:lang w:val="en-GB"/>
        </w:rPr>
        <w:t>. 2nd</w:t>
      </w:r>
      <w:r w:rsidRPr="20DF1B41" w:rsidR="321F30B0">
        <w:rPr>
          <w:rFonts w:ascii="Aptos" w:hAnsi="Aptos" w:eastAsia="Aptos" w:cs="Aptos" w:asciiTheme="minorAscii" w:hAnsiTheme="minorAscii" w:eastAsiaTheme="minorAscii" w:cstheme="minorAscii"/>
          <w:i w:val="0"/>
          <w:iCs w:val="0"/>
          <w:noProof w:val="0"/>
          <w:sz w:val="24"/>
          <w:szCs w:val="24"/>
          <w:lang w:val="en-GB"/>
        </w:rPr>
        <w:t xml:space="preserve"> ed. London: Routledge.</w:t>
      </w:r>
    </w:p>
    <w:p w:rsidR="36A6A916" w:rsidP="313283B6" w:rsidRDefault="36A6A916" w14:paraId="2984E40E" w14:textId="7A72CD01">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36A6A9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McMahon, W. (2019). </w:t>
      </w:r>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Differentiation Is Hard </w:t>
      </w:r>
      <w:bookmarkStart w:name="_Int_rS4zrALb" w:id="1300369344"/>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But</w:t>
      </w:r>
      <w:bookmarkEnd w:id="1300369344"/>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Necessary. (</w:t>
      </w:r>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Don’t</w:t>
      </w:r>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Worry, There’s Help.) - </w:t>
      </w:r>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EdSurge</w:t>
      </w:r>
      <w:r w:rsidRPr="20DF1B41" w:rsidR="36A6A91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News</w:t>
      </w:r>
      <w:r w:rsidRPr="20DF1B41" w:rsidR="36A6A9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w:t>
      </w:r>
      <w:r w:rsidRPr="20DF1B41" w:rsidR="36A6A916">
        <w:rPr>
          <w:rFonts w:ascii="Aptos" w:hAnsi="Aptos" w:eastAsia="Aptos" w:cs="Aptos" w:asciiTheme="minorAscii" w:hAnsiTheme="minorAscii" w:eastAsiaTheme="minorAscii" w:cstheme="minorAscii"/>
          <w:noProof w:val="0"/>
          <w:color w:val="000000" w:themeColor="text1" w:themeTint="FF" w:themeShade="FF"/>
          <w:sz w:val="24"/>
          <w:szCs w:val="24"/>
          <w:lang w:val="en-GB"/>
        </w:rPr>
        <w:t>EdSurge</w:t>
      </w:r>
      <w:r w:rsidRPr="20DF1B41" w:rsidR="36A6A91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1dd3abda58264293">
        <w:r w:rsidRPr="20DF1B41" w:rsidR="36A6A916">
          <w:rPr>
            <w:rStyle w:val="Hyperlink"/>
            <w:rFonts w:ascii="Aptos" w:hAnsi="Aptos" w:eastAsia="Aptos" w:cs="Aptos" w:asciiTheme="minorAscii" w:hAnsiTheme="minorAscii" w:eastAsiaTheme="minorAscii" w:cstheme="minorAscii"/>
            <w:noProof w:val="0"/>
            <w:sz w:val="24"/>
            <w:szCs w:val="24"/>
            <w:lang w:val="en-GB"/>
          </w:rPr>
          <w:t>https://www.edsurge.com/news/2019-09-03-differentiation-is-hard-but-necessary-don-t-worry-there-s-help</w:t>
        </w:r>
      </w:hyperlink>
      <w:r w:rsidRPr="20DF1B41" w:rsidR="36A6A916">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3F9A651E" w:rsidP="20DF1B41" w:rsidRDefault="3F9A651E" w14:paraId="15635BFE" w14:textId="0D2EE435">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3F9A65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Nicholson, D. (2021). </w:t>
      </w:r>
      <w:r w:rsidRPr="20DF1B41" w:rsidR="3F9A651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Cross Curricular Science - Science and Literacy</w:t>
      </w:r>
      <w:r w:rsidRPr="20DF1B41" w:rsidR="3F9A65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Danny Nic’s Science Fix. Available at: </w:t>
      </w:r>
      <w:hyperlink r:id="R12ade25399fe417a">
        <w:r w:rsidRPr="20DF1B41" w:rsidR="3F9A651E">
          <w:rPr>
            <w:rStyle w:val="Hyperlink"/>
            <w:rFonts w:ascii="Aptos" w:hAnsi="Aptos" w:eastAsia="Aptos" w:cs="Aptos" w:asciiTheme="minorAscii" w:hAnsiTheme="minorAscii" w:eastAsiaTheme="minorAscii" w:cstheme="minorAscii"/>
            <w:noProof w:val="0"/>
            <w:sz w:val="24"/>
            <w:szCs w:val="24"/>
            <w:lang w:val="en-GB"/>
          </w:rPr>
          <w:t>https://www.sciencefix.co.uk/2021/02/science-and-literacy/</w:t>
        </w:r>
      </w:hyperlink>
      <w:r w:rsidRPr="20DF1B41" w:rsidR="3F9A651E">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5EA61E19" w:rsidP="313283B6" w:rsidRDefault="5EA61E19" w14:paraId="1611D350" w14:textId="486C9498">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13283B6" w:rsidR="5EA61E1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Scott, F. (2022). </w:t>
      </w:r>
      <w:r w:rsidRPr="313283B6" w:rsidR="5EA61E19">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Classroom influencer</w:t>
      </w:r>
      <w:r w:rsidRPr="313283B6" w:rsidR="5EA61E1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Available at: </w:t>
      </w:r>
      <w:hyperlink r:id="R7c6952018a084a2d">
        <w:r w:rsidRPr="313283B6" w:rsidR="5EA61E19">
          <w:rPr>
            <w:rStyle w:val="Hyperlink"/>
            <w:rFonts w:ascii="Aptos" w:hAnsi="Aptos" w:eastAsia="Aptos" w:cs="Aptos" w:asciiTheme="minorAscii" w:hAnsiTheme="minorAscii" w:eastAsiaTheme="minorAscii" w:cstheme="minorAscii"/>
            <w:noProof w:val="0"/>
            <w:sz w:val="24"/>
            <w:szCs w:val="24"/>
            <w:lang w:val="en-GB"/>
          </w:rPr>
          <w:t>https://strathprints.strath.ac.uk/85200/7/Scott_EC_2022_Classroom_influencer.pdf</w:t>
        </w:r>
      </w:hyperlink>
      <w:r w:rsidRPr="313283B6" w:rsidR="5EA61E19">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4B16B62D" w:rsidP="313283B6" w:rsidRDefault="4B16B62D" w14:paraId="2E668ED6" w14:textId="70FA0027">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13283B6" w:rsidR="4B16B62D">
        <w:rPr>
          <w:rFonts w:ascii="Aptos" w:hAnsi="Aptos" w:eastAsia="Aptos" w:cs="Aptos" w:asciiTheme="minorAscii" w:hAnsiTheme="minorAscii" w:eastAsiaTheme="minorAscii" w:cstheme="minorAscii"/>
          <w:noProof w:val="0"/>
          <w:color w:val="000000" w:themeColor="text1" w:themeTint="FF" w:themeShade="FF"/>
          <w:sz w:val="24"/>
          <w:szCs w:val="24"/>
          <w:lang w:val="en-GB"/>
        </w:rPr>
        <w:t>Sibieta</w:t>
      </w:r>
      <w:r w:rsidRPr="313283B6" w:rsidR="4B16B62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 (2020). </w:t>
      </w:r>
      <w:r w:rsidRPr="313283B6" w:rsidR="4B16B62D">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Review of School Spending in Wales Building in evidence, fairness, </w:t>
      </w:r>
      <w:r w:rsidRPr="313283B6" w:rsidR="4B16B62D">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transparency</w:t>
      </w:r>
      <w:r w:rsidRPr="313283B6" w:rsidR="4B16B62D">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and clear expectations</w:t>
      </w:r>
      <w:r w:rsidRPr="313283B6" w:rsidR="4B16B62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Available at: </w:t>
      </w:r>
      <w:hyperlink r:id="Rb040272a467547c2">
        <w:r w:rsidRPr="313283B6" w:rsidR="4B16B62D">
          <w:rPr>
            <w:rStyle w:val="Hyperlink"/>
            <w:rFonts w:ascii="Aptos" w:hAnsi="Aptos" w:eastAsia="Aptos" w:cs="Aptos" w:asciiTheme="minorAscii" w:hAnsiTheme="minorAscii" w:eastAsiaTheme="minorAscii" w:cstheme="minorAscii"/>
            <w:noProof w:val="0"/>
            <w:sz w:val="24"/>
            <w:szCs w:val="24"/>
            <w:lang w:val="en-GB"/>
          </w:rPr>
          <w:t>https://www.gov.wales/sites/default/files/publications/2020-10/review-of-school-spending-in-wales.pdf</w:t>
        </w:r>
      </w:hyperlink>
      <w:r w:rsidRPr="313283B6" w:rsidR="4B16B62D">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43CBB560" w:rsidP="313283B6" w:rsidRDefault="43CBB560" w14:paraId="1FCCD0A4" w14:textId="4E3952BA">
      <w:pPr>
        <w:pStyle w:val="Normal"/>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13283B6" w:rsidR="43CBB5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Sphero Team (2023). </w:t>
      </w:r>
      <w:r w:rsidRPr="313283B6" w:rsidR="43CBB56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Cross-Curricular teaching: Helping students make connections</w:t>
      </w:r>
      <w:r w:rsidRPr="313283B6" w:rsidR="43CBB5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Sphero. Available at: </w:t>
      </w:r>
      <w:hyperlink r:id="R528a0c883539467a">
        <w:r w:rsidRPr="313283B6" w:rsidR="43CBB560">
          <w:rPr>
            <w:rStyle w:val="Hyperlink"/>
            <w:rFonts w:ascii="Aptos" w:hAnsi="Aptos" w:eastAsia="Aptos" w:cs="Aptos" w:asciiTheme="minorAscii" w:hAnsiTheme="minorAscii" w:eastAsiaTheme="minorAscii" w:cstheme="minorAscii"/>
            <w:noProof w:val="0"/>
            <w:sz w:val="24"/>
            <w:szCs w:val="24"/>
            <w:lang w:val="en-GB"/>
          </w:rPr>
          <w:t>https://sphero.com/blogs/news/cross-curricular-teaching</w:t>
        </w:r>
      </w:hyperlink>
      <w:r w:rsidRPr="313283B6" w:rsidR="43CBB560">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539290E" w:rsidP="20DF1B41" w:rsidRDefault="2539290E" w14:paraId="4CE2D756" w14:textId="7AA1D646">
      <w:pPr>
        <w:spacing w:before="195" w:beforeAutospacing="off" w:after="195" w:afterAutospacing="off"/>
        <w:rPr>
          <w:rFonts w:ascii="Aptos" w:hAnsi="Aptos" w:eastAsia="Aptos" w:cs="Aptos" w:asciiTheme="minorAscii" w:hAnsiTheme="minorAscii" w:eastAsiaTheme="minorAscii" w:cstheme="minorAscii"/>
          <w:i w:val="0"/>
          <w:iCs w:val="0"/>
          <w:noProof w:val="0"/>
          <w:sz w:val="24"/>
          <w:szCs w:val="24"/>
          <w:lang w:val="en-GB"/>
        </w:rPr>
      </w:pPr>
      <w:r w:rsidRPr="20DF1B41" w:rsidR="2539290E">
        <w:rPr>
          <w:rFonts w:ascii="Aptos" w:hAnsi="Aptos" w:eastAsia="Aptos" w:cs="Aptos" w:asciiTheme="minorAscii" w:hAnsiTheme="minorAscii" w:eastAsiaTheme="minorAscii" w:cstheme="minorAscii"/>
          <w:i w:val="0"/>
          <w:iCs w:val="0"/>
          <w:noProof w:val="0"/>
          <w:sz w:val="24"/>
          <w:szCs w:val="24"/>
          <w:lang w:val="en-GB"/>
        </w:rPr>
        <w:t xml:space="preserve">Spielman, A. (2018). </w:t>
      </w:r>
      <w:r w:rsidRPr="20DF1B41" w:rsidR="2539290E">
        <w:rPr>
          <w:rFonts w:ascii="Aptos" w:hAnsi="Aptos" w:eastAsia="Aptos" w:cs="Aptos" w:asciiTheme="minorAscii" w:hAnsiTheme="minorAscii" w:eastAsiaTheme="minorAscii" w:cstheme="minorAscii"/>
          <w:i w:val="1"/>
          <w:iCs w:val="1"/>
          <w:noProof w:val="0"/>
          <w:sz w:val="24"/>
          <w:szCs w:val="24"/>
          <w:lang w:val="en-GB"/>
        </w:rPr>
        <w:t>HMCI commentary: curriculum and the new education inspection framework</w:t>
      </w:r>
      <w:r w:rsidRPr="20DF1B41" w:rsidR="2539290E">
        <w:rPr>
          <w:rFonts w:ascii="Aptos" w:hAnsi="Aptos" w:eastAsia="Aptos" w:cs="Aptos" w:asciiTheme="minorAscii" w:hAnsiTheme="minorAscii" w:eastAsiaTheme="minorAscii" w:cstheme="minorAscii"/>
          <w:i w:val="0"/>
          <w:iCs w:val="0"/>
          <w:noProof w:val="0"/>
          <w:sz w:val="24"/>
          <w:szCs w:val="24"/>
          <w:lang w:val="en-GB"/>
        </w:rPr>
        <w:t xml:space="preserve">. [online] GOV.UK. Available at: </w:t>
      </w:r>
      <w:hyperlink r:id="R841a7bd59ff04eb0">
        <w:r w:rsidRPr="20DF1B41" w:rsidR="2539290E">
          <w:rPr>
            <w:rStyle w:val="Hyperlink"/>
            <w:rFonts w:ascii="Aptos" w:hAnsi="Aptos" w:eastAsia="Aptos" w:cs="Aptos" w:asciiTheme="minorAscii" w:hAnsiTheme="minorAscii" w:eastAsiaTheme="minorAscii" w:cstheme="minorAscii"/>
            <w:i w:val="0"/>
            <w:iCs w:val="0"/>
            <w:noProof w:val="0"/>
            <w:sz w:val="24"/>
            <w:szCs w:val="24"/>
            <w:lang w:val="en-GB"/>
          </w:rPr>
          <w:t>https://www.gov.uk/government/speeches/hmci-commentary-curriculum-and-the-new-education-inspection-framework</w:t>
        </w:r>
      </w:hyperlink>
      <w:r w:rsidRPr="20DF1B41" w:rsidR="699B3965">
        <w:rPr>
          <w:rFonts w:ascii="Aptos" w:hAnsi="Aptos" w:eastAsia="Aptos" w:cs="Aptos" w:asciiTheme="minorAscii" w:hAnsiTheme="minorAscii" w:eastAsiaTheme="minorAscii" w:cstheme="minorAscii"/>
          <w:i w:val="0"/>
          <w:iCs w:val="0"/>
          <w:noProof w:val="0"/>
          <w:sz w:val="24"/>
          <w:szCs w:val="24"/>
          <w:lang w:val="en-GB"/>
        </w:rPr>
        <w:t>.</w:t>
      </w:r>
    </w:p>
    <w:p w:rsidR="699B3965" w:rsidP="20DF1B41" w:rsidRDefault="699B3965" w14:paraId="3DF99B10" w14:textId="65325A23">
      <w:pPr>
        <w:pStyle w:val="Normal"/>
        <w:spacing w:before="195" w:beforeAutospacing="off" w:after="195"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0DF1B41" w:rsidR="699B39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Welsh Government (2022). </w:t>
      </w:r>
      <w:r w:rsidRPr="20DF1B41" w:rsidR="699B396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Developing a vision for curriculum design - Hwb</w:t>
      </w:r>
      <w:r w:rsidRPr="20DF1B41" w:rsidR="699B39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[online] hwb.gov.wales. Available at: </w:t>
      </w:r>
      <w:hyperlink r:id="R78d0d2cb782f414d">
        <w:r w:rsidRPr="20DF1B41" w:rsidR="699B3965">
          <w:rPr>
            <w:rStyle w:val="Hyperlink"/>
            <w:rFonts w:ascii="Aptos" w:hAnsi="Aptos" w:eastAsia="Aptos" w:cs="Aptos" w:asciiTheme="minorAscii" w:hAnsiTheme="minorAscii" w:eastAsiaTheme="minorAscii" w:cstheme="minorAscii"/>
            <w:noProof w:val="0"/>
            <w:sz w:val="24"/>
            <w:szCs w:val="24"/>
            <w:lang w:val="en-GB"/>
          </w:rPr>
          <w:t>https://hwb.gov.wales/curriculum-for-wales/designing-your-curriculum/developing-a-vision-for-curriculum-design</w:t>
        </w:r>
      </w:hyperlink>
      <w:r w:rsidRPr="20DF1B41" w:rsidR="699B3965">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313283B6" w:rsidP="2115F02B" w:rsidRDefault="313283B6" w14:paraId="7DEE3B3B" w14:textId="125C60EE">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115F02B" w:rsidR="4004D8E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Welsh Government (2023). </w:t>
      </w:r>
      <w:r w:rsidRPr="2115F02B" w:rsidR="4004D8E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The Curriculum for Wales - Statements of What Matters Code </w:t>
      </w:r>
      <w:r w:rsidRPr="2115F02B" w:rsidR="4004D8E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The</w:t>
      </w:r>
      <w:r w:rsidRPr="2115F02B" w:rsidR="4004D8E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Curriculum for Wales - Statements of What Matters Code Contents</w:t>
      </w:r>
      <w:r w:rsidRPr="2115F02B" w:rsidR="4004D8EF">
        <w:rPr>
          <w:rFonts w:ascii="Aptos" w:hAnsi="Aptos" w:eastAsia="Aptos" w:cs="Aptos" w:asciiTheme="minorAscii" w:hAnsiTheme="minorAscii" w:eastAsiaTheme="minorAscii" w:cstheme="minorAscii"/>
          <w:noProof w:val="0"/>
          <w:color w:val="000000" w:themeColor="text1" w:themeTint="FF" w:themeShade="FF"/>
          <w:sz w:val="24"/>
          <w:szCs w:val="24"/>
          <w:lang w:val="en-GB"/>
        </w:rPr>
        <w:t>. [online] Available at</w:t>
      </w:r>
      <w:r w:rsidRPr="2115F02B" w:rsidR="4004D8E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bd0b8c22e99347d0">
        <w:r w:rsidRPr="2115F02B" w:rsidR="4004D8EF">
          <w:rPr>
            <w:rStyle w:val="Hyperlink"/>
            <w:rFonts w:ascii="Aptos" w:hAnsi="Aptos" w:eastAsia="Aptos" w:cs="Aptos" w:asciiTheme="minorAscii" w:hAnsiTheme="minorAscii" w:eastAsiaTheme="minorAscii" w:cstheme="minorAscii"/>
            <w:noProof w:val="0"/>
            <w:sz w:val="24"/>
            <w:szCs w:val="24"/>
            <w:lang w:val="en-GB"/>
          </w:rPr>
          <w:t>https://www.gov.wales/sites/default/files/publications/2023-06/curriculum-for-wales-statements-of-what-matters-code.pdf</w:t>
        </w:r>
      </w:hyperlink>
    </w:p>
    <w:p w:rsidR="313283B6" w:rsidP="2115F02B" w:rsidRDefault="313283B6" w14:paraId="7C375E00" w14:textId="46CE6F05">
      <w:pPr>
        <w:spacing w:before="240" w:beforeAutospacing="off" w:after="240" w:afterAutospacing="off" w:line="360" w:lineRule="auto"/>
        <w:rPr>
          <w:rFonts w:ascii="Aptos" w:hAnsi="Aptos" w:eastAsia="Aptos" w:cs="Aptos" w:asciiTheme="minorAscii" w:hAnsiTheme="minorAscii" w:eastAsiaTheme="minorAscii" w:cstheme="minorAscii"/>
          <w:i w:val="0"/>
          <w:iCs w:val="0"/>
          <w:noProof w:val="0"/>
          <w:sz w:val="24"/>
          <w:szCs w:val="24"/>
          <w:lang w:val="en-GB"/>
        </w:rPr>
      </w:pPr>
      <w:r w:rsidRPr="2115F02B" w:rsidR="6019E8F4">
        <w:rPr>
          <w:rFonts w:ascii="Aptos" w:hAnsi="Aptos" w:eastAsia="Aptos" w:cs="Aptos" w:asciiTheme="minorAscii" w:hAnsiTheme="minorAscii" w:eastAsiaTheme="minorAscii" w:cstheme="minorAscii"/>
          <w:noProof w:val="0"/>
          <w:color w:val="000000" w:themeColor="text1" w:themeTint="FF" w:themeShade="FF"/>
          <w:sz w:val="24"/>
          <w:szCs w:val="24"/>
          <w:lang w:val="en-GB"/>
        </w:rPr>
        <w:t>Appendix 2</w:t>
      </w:r>
      <w:r w:rsidRPr="2115F02B" w:rsidR="4004D8E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635F2560">
        <w:drawing>
          <wp:inline wp14:editId="3B3CE44D" wp14:anchorId="6C771609">
            <wp:extent cx="1813173" cy="2416223"/>
            <wp:effectExtent l="0" t="0" r="0" b="0"/>
            <wp:docPr id="519056586" name="" title=""/>
            <wp:cNvGraphicFramePr>
              <a:graphicFrameLocks noChangeAspect="1"/>
            </wp:cNvGraphicFramePr>
            <a:graphic>
              <a:graphicData uri="http://schemas.openxmlformats.org/drawingml/2006/picture">
                <pic:pic>
                  <pic:nvPicPr>
                    <pic:cNvPr id="0" name=""/>
                    <pic:cNvPicPr/>
                  </pic:nvPicPr>
                  <pic:blipFill>
                    <a:blip r:embed="R4f8ae394db2843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13173" cy="2416223"/>
                    </a:xfrm>
                    <a:prstGeom prst="rect">
                      <a:avLst/>
                    </a:prstGeom>
                  </pic:spPr>
                </pic:pic>
              </a:graphicData>
            </a:graphic>
          </wp:inline>
        </w:drawing>
      </w:r>
      <w:r w:rsidR="635F2560">
        <w:drawing>
          <wp:inline wp14:editId="2842141F" wp14:anchorId="2119D62A">
            <wp:extent cx="1822666" cy="2428874"/>
            <wp:effectExtent l="0" t="0" r="0" b="0"/>
            <wp:docPr id="1869943481" name="" title=""/>
            <wp:cNvGraphicFramePr>
              <a:graphicFrameLocks noChangeAspect="1"/>
            </wp:cNvGraphicFramePr>
            <a:graphic>
              <a:graphicData uri="http://schemas.openxmlformats.org/drawingml/2006/picture">
                <pic:pic>
                  <pic:nvPicPr>
                    <pic:cNvPr id="0" name=""/>
                    <pic:cNvPicPr/>
                  </pic:nvPicPr>
                  <pic:blipFill>
                    <a:blip r:embed="R6951b535f5fe43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22666" cy="2428874"/>
                    </a:xfrm>
                    <a:prstGeom prst="rect">
                      <a:avLst/>
                    </a:prstGeom>
                  </pic:spPr>
                </pic:pic>
              </a:graphicData>
            </a:graphic>
          </wp:inline>
        </w:drawing>
      </w:r>
      <w:r w:rsidR="348F15DC">
        <w:drawing>
          <wp:inline wp14:editId="487D48A9" wp14:anchorId="2FFD2547">
            <wp:extent cx="1801128" cy="2400172"/>
            <wp:effectExtent l="0" t="0" r="0" b="0"/>
            <wp:docPr id="1598905106" name="" title=""/>
            <wp:cNvGraphicFramePr>
              <a:graphicFrameLocks noChangeAspect="1"/>
            </wp:cNvGraphicFramePr>
            <a:graphic>
              <a:graphicData uri="http://schemas.openxmlformats.org/drawingml/2006/picture">
                <pic:pic>
                  <pic:nvPicPr>
                    <pic:cNvPr id="0" name=""/>
                    <pic:cNvPicPr/>
                  </pic:nvPicPr>
                  <pic:blipFill>
                    <a:blip r:embed="R426ab305980c46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1128" cy="2400172"/>
                    </a:xfrm>
                    <a:prstGeom prst="rect">
                      <a:avLst/>
                    </a:prstGeom>
                  </pic:spPr>
                </pic:pic>
              </a:graphicData>
            </a:graphic>
          </wp:inline>
        </w:drawing>
      </w:r>
      <w:r w:rsidR="348F15DC">
        <w:drawing>
          <wp:inline wp14:editId="19FF0774" wp14:anchorId="2CC31D77">
            <wp:extent cx="1765896" cy="2353223"/>
            <wp:effectExtent l="0" t="0" r="0" b="0"/>
            <wp:docPr id="1547476256" name="" title=""/>
            <wp:cNvGraphicFramePr>
              <a:graphicFrameLocks noChangeAspect="1"/>
            </wp:cNvGraphicFramePr>
            <a:graphic>
              <a:graphicData uri="http://schemas.openxmlformats.org/drawingml/2006/picture">
                <pic:pic>
                  <pic:nvPicPr>
                    <pic:cNvPr id="0" name=""/>
                    <pic:cNvPicPr/>
                  </pic:nvPicPr>
                  <pic:blipFill>
                    <a:blip r:embed="Rba738db5216c41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65896" cy="2353223"/>
                    </a:xfrm>
                    <a:prstGeom prst="rect">
                      <a:avLst/>
                    </a:prstGeom>
                  </pic:spPr>
                </pic:pic>
              </a:graphicData>
            </a:graphic>
          </wp:inline>
        </w:drawing>
      </w:r>
      <w:r w:rsidR="348F15DC">
        <w:drawing>
          <wp:inline wp14:editId="51724BCE" wp14:anchorId="5FF069CC">
            <wp:extent cx="1820828" cy="2426424"/>
            <wp:effectExtent l="0" t="0" r="0" b="0"/>
            <wp:docPr id="477558062" name="" title=""/>
            <wp:cNvGraphicFramePr>
              <a:graphicFrameLocks noChangeAspect="1"/>
            </wp:cNvGraphicFramePr>
            <a:graphic>
              <a:graphicData uri="http://schemas.openxmlformats.org/drawingml/2006/picture">
                <pic:pic>
                  <pic:nvPicPr>
                    <pic:cNvPr id="0" name=""/>
                    <pic:cNvPicPr/>
                  </pic:nvPicPr>
                  <pic:blipFill>
                    <a:blip r:embed="R95b7013507a643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20828" cy="2426424"/>
                    </a:xfrm>
                    <a:prstGeom prst="rect">
                      <a:avLst/>
                    </a:prstGeom>
                  </pic:spPr>
                </pic:pic>
              </a:graphicData>
            </a:graphic>
          </wp:inline>
        </w:drawing>
      </w:r>
      <w:r w:rsidR="635F2560">
        <w:drawing>
          <wp:inline wp14:editId="2574D9C4" wp14:anchorId="4F17A114">
            <wp:extent cx="5724524" cy="2276475"/>
            <wp:effectExtent l="0" t="0" r="0" b="0"/>
            <wp:docPr id="1668023538" name="" title=""/>
            <wp:cNvGraphicFramePr>
              <a:graphicFrameLocks noChangeAspect="1"/>
            </wp:cNvGraphicFramePr>
            <a:graphic>
              <a:graphicData uri="http://schemas.openxmlformats.org/drawingml/2006/picture">
                <pic:pic>
                  <pic:nvPicPr>
                    <pic:cNvPr id="0" name=""/>
                    <pic:cNvPicPr/>
                  </pic:nvPicPr>
                  <pic:blipFill>
                    <a:blip r:embed="Rac2b67c324ad4e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276475"/>
                    </a:xfrm>
                    <a:prstGeom prst="rect">
                      <a:avLst/>
                    </a:prstGeom>
                  </pic:spPr>
                </pic:pic>
              </a:graphicData>
            </a:graphic>
          </wp:inline>
        </w:drawing>
      </w:r>
      <w:r w:rsidR="635F2560">
        <w:drawing>
          <wp:inline wp14:editId="7A3EFACD" wp14:anchorId="2EE60CB4">
            <wp:extent cx="5724524" cy="1781175"/>
            <wp:effectExtent l="0" t="0" r="0" b="0"/>
            <wp:docPr id="216802354" name="" title=""/>
            <wp:cNvGraphicFramePr>
              <a:graphicFrameLocks noChangeAspect="1"/>
            </wp:cNvGraphicFramePr>
            <a:graphic>
              <a:graphicData uri="http://schemas.openxmlformats.org/drawingml/2006/picture">
                <pic:pic>
                  <pic:nvPicPr>
                    <pic:cNvPr id="0" name=""/>
                    <pic:cNvPicPr/>
                  </pic:nvPicPr>
                  <pic:blipFill>
                    <a:blip r:embed="R7cb69df7aa9340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781175"/>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2250"/>
        <w:gridCol w:w="3629"/>
        <w:gridCol w:w="885"/>
        <w:gridCol w:w="2250"/>
      </w:tblGrid>
      <w:tr w:rsidR="2115F02B" w:rsidTr="2115F02B" w14:paraId="2E66085C">
        <w:trPr>
          <w:trHeight w:val="405"/>
        </w:trPr>
        <w:tc>
          <w:tcPr>
            <w:tcW w:w="2250" w:type="dxa"/>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21EC70C0" w14:textId="1970FD95">
            <w:pPr>
              <w:spacing w:before="240" w:beforeAutospacing="off" w:after="240" w:afterAutospacing="off"/>
            </w:pPr>
            <w:r w:rsidRPr="2115F02B" w:rsidR="2115F02B">
              <w:rPr>
                <w:rFonts w:ascii="Calibri" w:hAnsi="Calibri" w:eastAsia="Calibri" w:cs="Calibri"/>
                <w:b w:val="1"/>
                <w:bCs w:val="1"/>
                <w:color w:val="000000" w:themeColor="text1" w:themeTint="FF" w:themeShade="FF"/>
              </w:rPr>
              <w:t>Student-teacher:</w:t>
            </w:r>
          </w:p>
        </w:tc>
        <w:tc>
          <w:tcPr>
            <w:tcW w:w="362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48DB52BC" w14:textId="67632EB5">
            <w:pPr>
              <w:spacing w:before="240" w:beforeAutospacing="off" w:after="240" w:afterAutospacing="off"/>
            </w:pPr>
            <w:r w:rsidRPr="2115F02B" w:rsidR="2115F02B">
              <w:rPr>
                <w:rFonts w:ascii="Calibri" w:hAnsi="Calibri" w:eastAsia="Calibri" w:cs="Calibri"/>
                <w:color w:val="000000" w:themeColor="text1" w:themeTint="FF" w:themeShade="FF"/>
                <w:sz w:val="21"/>
                <w:szCs w:val="21"/>
              </w:rPr>
              <w:t xml:space="preserve">                       Lily Wright</w:t>
            </w:r>
          </w:p>
        </w:tc>
        <w:tc>
          <w:tcPr>
            <w:tcW w:w="88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2023CF9A" w14:textId="52272C39">
            <w:pPr>
              <w:spacing w:before="240" w:beforeAutospacing="off" w:after="240" w:afterAutospacing="off"/>
            </w:pPr>
            <w:r w:rsidRPr="2115F02B" w:rsidR="2115F02B">
              <w:rPr>
                <w:rFonts w:ascii="Calibri" w:hAnsi="Calibri" w:eastAsia="Calibri" w:cs="Calibri"/>
                <w:b w:val="1"/>
                <w:bCs w:val="1"/>
                <w:color w:val="000000" w:themeColor="text1" w:themeTint="FF" w:themeShade="FF"/>
              </w:rPr>
              <w:t>Class / Group:</w:t>
            </w:r>
          </w:p>
        </w:tc>
        <w:tc>
          <w:tcPr>
            <w:tcW w:w="225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351645BA" w14:textId="36443251">
            <w:pPr>
              <w:spacing w:before="240" w:beforeAutospacing="off" w:after="240" w:afterAutospacing="off"/>
            </w:pPr>
            <w:r w:rsidRPr="2115F02B" w:rsidR="2115F02B">
              <w:rPr>
                <w:rFonts w:ascii="Calibri" w:hAnsi="Calibri" w:eastAsia="Calibri" w:cs="Calibri"/>
                <w:color w:val="000000" w:themeColor="text1" w:themeTint="FF" w:themeShade="FF"/>
                <w:sz w:val="21"/>
                <w:szCs w:val="21"/>
              </w:rPr>
              <w:t>Year 2</w:t>
            </w:r>
          </w:p>
        </w:tc>
      </w:tr>
      <w:tr w:rsidR="2115F02B" w:rsidTr="2115F02B" w14:paraId="3CC0E93B">
        <w:trPr>
          <w:trHeight w:val="990"/>
        </w:trPr>
        <w:tc>
          <w:tcPr>
            <w:tcW w:w="2250" w:type="dxa"/>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40C40FC4" w14:textId="23E7FEDD">
            <w:pPr>
              <w:spacing w:before="240" w:beforeAutospacing="off" w:after="240" w:afterAutospacing="off"/>
            </w:pPr>
            <w:r w:rsidRPr="2115F02B" w:rsidR="2115F02B">
              <w:rPr>
                <w:rFonts w:ascii="Calibri" w:hAnsi="Calibri" w:eastAsia="Calibri" w:cs="Calibri"/>
                <w:b w:val="1"/>
                <w:bCs w:val="1"/>
                <w:color w:val="000000" w:themeColor="text1" w:themeTint="FF" w:themeShade="FF"/>
              </w:rPr>
              <w:t>AoLE or Subject:</w:t>
            </w:r>
          </w:p>
        </w:tc>
        <w:tc>
          <w:tcPr>
            <w:tcW w:w="362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5AAF72FF" w14:textId="3D28ABFE">
            <w:pPr>
              <w:shd w:val="clear" w:color="auto" w:fill="FFFFFF" w:themeFill="background1"/>
              <w:spacing w:before="240" w:beforeAutospacing="off" w:after="240" w:afterAutospacing="off"/>
            </w:pPr>
            <w:r w:rsidRPr="2115F02B" w:rsidR="2115F02B">
              <w:rPr>
                <w:rFonts w:ascii="Calibri" w:hAnsi="Calibri" w:eastAsia="Calibri" w:cs="Calibri"/>
                <w:color w:val="000000" w:themeColor="text1" w:themeTint="FF" w:themeShade="FF"/>
                <w:sz w:val="16"/>
                <w:szCs w:val="16"/>
              </w:rPr>
              <w:t>Mathematics and Numeracy</w:t>
            </w:r>
          </w:p>
          <w:p w:rsidR="2115F02B" w:rsidP="2115F02B" w:rsidRDefault="2115F02B" w14:paraId="345B2972" w14:textId="0B232D61">
            <w:pPr>
              <w:shd w:val="clear" w:color="auto" w:fill="FFFFFF" w:themeFill="background1"/>
              <w:spacing w:before="240" w:beforeAutospacing="off" w:after="240" w:afterAutospacing="off"/>
            </w:pPr>
            <w:r w:rsidRPr="2115F02B" w:rsidR="2115F02B">
              <w:rPr>
                <w:rFonts w:ascii="Calibri" w:hAnsi="Calibri" w:eastAsia="Calibri" w:cs="Calibri"/>
                <w:color w:val="000000" w:themeColor="text1" w:themeTint="FF" w:themeShade="FF"/>
                <w:sz w:val="16"/>
                <w:szCs w:val="16"/>
              </w:rPr>
              <w:t xml:space="preserve">Science and Technology </w:t>
            </w:r>
          </w:p>
          <w:p w:rsidR="2115F02B" w:rsidP="2115F02B" w:rsidRDefault="2115F02B" w14:paraId="7565189B" w14:textId="15898F1A">
            <w:pPr>
              <w:spacing w:before="240" w:beforeAutospacing="off" w:after="240" w:afterAutospacing="off"/>
            </w:pPr>
            <w:r w:rsidRPr="2115F02B" w:rsidR="2115F02B">
              <w:rPr>
                <w:rFonts w:ascii="Calibri" w:hAnsi="Calibri" w:eastAsia="Calibri" w:cs="Calibri"/>
                <w:color w:val="000000" w:themeColor="text1" w:themeTint="FF" w:themeShade="FF"/>
                <w:sz w:val="16"/>
                <w:szCs w:val="16"/>
              </w:rPr>
              <w:t>Expressive Arts</w:t>
            </w:r>
          </w:p>
        </w:tc>
        <w:tc>
          <w:tcPr>
            <w:tcW w:w="88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6138385B" w14:textId="71EAFC00">
            <w:pPr>
              <w:spacing w:before="240" w:beforeAutospacing="off" w:after="240" w:afterAutospacing="off"/>
            </w:pPr>
            <w:r w:rsidRPr="2115F02B" w:rsidR="2115F02B">
              <w:rPr>
                <w:rFonts w:ascii="Calibri" w:hAnsi="Calibri" w:eastAsia="Calibri" w:cs="Calibri"/>
                <w:b w:val="1"/>
                <w:bCs w:val="1"/>
                <w:color w:val="000000" w:themeColor="text1" w:themeTint="FF" w:themeShade="FF"/>
              </w:rPr>
              <w:t xml:space="preserve">Date </w:t>
            </w:r>
            <w:r w:rsidRPr="2115F02B" w:rsidR="2115F02B">
              <w:rPr>
                <w:rFonts w:ascii="Calibri" w:hAnsi="Calibri" w:eastAsia="Calibri" w:cs="Calibri"/>
                <w:i w:val="1"/>
                <w:iCs w:val="1"/>
                <w:color w:val="000000" w:themeColor="text1" w:themeTint="FF" w:themeShade="FF"/>
                <w:sz w:val="15"/>
                <w:szCs w:val="15"/>
              </w:rPr>
              <w:t>(please note that this may be a continuous session)</w:t>
            </w:r>
            <w:r w:rsidRPr="2115F02B" w:rsidR="2115F02B">
              <w:rPr>
                <w:rFonts w:ascii="Calibri" w:hAnsi="Calibri" w:eastAsia="Calibri" w:cs="Calibri"/>
                <w:b w:val="1"/>
                <w:bCs w:val="1"/>
                <w:color w:val="000000" w:themeColor="text1" w:themeTint="FF" w:themeShade="FF"/>
              </w:rPr>
              <w:t>:</w:t>
            </w:r>
          </w:p>
        </w:tc>
        <w:tc>
          <w:tcPr>
            <w:tcW w:w="225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0A782F8A" w14:textId="51EDCFA0">
            <w:pPr>
              <w:spacing w:before="240" w:beforeAutospacing="off" w:after="240" w:afterAutospacing="off"/>
            </w:pPr>
            <w:r w:rsidRPr="2115F02B" w:rsidR="2115F02B">
              <w:rPr>
                <w:rFonts w:ascii="Calibri" w:hAnsi="Calibri" w:eastAsia="Calibri" w:cs="Calibri"/>
                <w:color w:val="000000" w:themeColor="text1" w:themeTint="FF" w:themeShade="FF"/>
                <w:sz w:val="21"/>
                <w:szCs w:val="21"/>
              </w:rPr>
              <w:t xml:space="preserve">February </w:t>
            </w:r>
          </w:p>
        </w:tc>
      </w:tr>
      <w:tr w:rsidR="2115F02B" w:rsidTr="2115F02B" w14:paraId="06843D32">
        <w:trPr>
          <w:trHeight w:val="570"/>
        </w:trPr>
        <w:tc>
          <w:tcPr>
            <w:tcW w:w="2250" w:type="dxa"/>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04C6924F" w14:textId="406112B9">
            <w:pPr>
              <w:spacing w:before="240" w:beforeAutospacing="off" w:after="240" w:afterAutospacing="off"/>
            </w:pPr>
            <w:r w:rsidRPr="2115F02B" w:rsidR="2115F02B">
              <w:rPr>
                <w:rFonts w:ascii="Calibri" w:hAnsi="Calibri" w:eastAsia="Calibri" w:cs="Calibri"/>
                <w:b w:val="1"/>
                <w:bCs w:val="1"/>
                <w:color w:val="000000" w:themeColor="text1" w:themeTint="FF" w:themeShade="FF"/>
              </w:rPr>
              <w:t>Meaningful links to</w:t>
            </w:r>
            <w:r w:rsidRPr="2115F02B" w:rsidR="2115F02B">
              <w:rPr>
                <w:rFonts w:ascii="Calibri" w:hAnsi="Calibri" w:eastAsia="Calibri" w:cs="Calibri"/>
                <w:color w:val="000000" w:themeColor="text1" w:themeTint="FF" w:themeShade="FF"/>
              </w:rPr>
              <w:t xml:space="preserve"> </w:t>
            </w:r>
            <w:r w:rsidRPr="2115F02B" w:rsidR="2115F02B">
              <w:rPr>
                <w:rFonts w:ascii="Calibri" w:hAnsi="Calibri" w:eastAsia="Calibri" w:cs="Calibri"/>
                <w:b w:val="1"/>
                <w:bCs w:val="1"/>
                <w:color w:val="000000" w:themeColor="text1" w:themeTint="FF" w:themeShade="FF"/>
              </w:rPr>
              <w:t>Curriculum</w:t>
            </w:r>
            <w:r w:rsidRPr="2115F02B" w:rsidR="2115F02B">
              <w:rPr>
                <w:rFonts w:ascii="Calibri" w:hAnsi="Calibri" w:eastAsia="Calibri" w:cs="Calibri"/>
                <w:color w:val="000000" w:themeColor="text1" w:themeTint="FF" w:themeShade="FF"/>
                <w:sz w:val="15"/>
                <w:szCs w:val="15"/>
              </w:rPr>
              <w:t>(What Matters Statements, Descriptions of learning, ‘previous’ curriculum...)</w:t>
            </w:r>
          </w:p>
        </w:tc>
        <w:tc>
          <w:tcPr>
            <w:tcW w:w="6764"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2DA99A60" w14:textId="7214F0AF">
            <w:pPr>
              <w:shd w:val="clear" w:color="auto" w:fill="FFFFFF" w:themeFill="background1"/>
              <w:spacing w:before="240" w:beforeAutospacing="off" w:after="240" w:afterAutospacing="off"/>
            </w:pPr>
            <w:r w:rsidRPr="2115F02B" w:rsidR="2115F02B">
              <w:rPr>
                <w:rFonts w:ascii="Calibri" w:hAnsi="Calibri" w:eastAsia="Calibri" w:cs="Calibri"/>
                <w:color w:val="181818"/>
                <w:sz w:val="15"/>
                <w:szCs w:val="15"/>
              </w:rPr>
              <w:t xml:space="preserve">Mathematics and Numeracy- The number system is used to represent and compare relationships between numbers and quantities </w:t>
            </w:r>
          </w:p>
          <w:p w:rsidR="2115F02B" w:rsidP="2115F02B" w:rsidRDefault="2115F02B" w14:paraId="3E04609C" w14:textId="3721F5F8">
            <w:pPr>
              <w:shd w:val="clear" w:color="auto" w:fill="FFFFFF" w:themeFill="background1"/>
              <w:spacing w:before="240" w:beforeAutospacing="off" w:after="240" w:afterAutospacing="off"/>
            </w:pPr>
            <w:r w:rsidRPr="2115F02B" w:rsidR="2115F02B">
              <w:rPr>
                <w:rFonts w:ascii="Calibri" w:hAnsi="Calibri" w:eastAsia="Calibri" w:cs="Calibri"/>
                <w:color w:val="181818"/>
                <w:sz w:val="15"/>
                <w:szCs w:val="15"/>
              </w:rPr>
              <w:t xml:space="preserve">Science and technology- The world around us is full of living things which depend on eachother for survival </w:t>
            </w:r>
          </w:p>
          <w:p w:rsidR="2115F02B" w:rsidP="2115F02B" w:rsidRDefault="2115F02B" w14:paraId="6FC45F35" w14:textId="57D5440C">
            <w:pPr>
              <w:spacing w:before="240" w:beforeAutospacing="off" w:after="240" w:afterAutospacing="off"/>
            </w:pPr>
            <w:r w:rsidRPr="2115F02B" w:rsidR="2115F02B">
              <w:rPr>
                <w:rFonts w:ascii="Calibri" w:hAnsi="Calibri" w:eastAsia="Calibri" w:cs="Calibri"/>
                <w:color w:val="181818"/>
                <w:sz w:val="15"/>
                <w:szCs w:val="15"/>
              </w:rPr>
              <w:t xml:space="preserve"> Expressive Arts- Creating combines skills and knowledge, drawing on the senses, inspiration and imagination </w:t>
            </w:r>
          </w:p>
        </w:tc>
      </w:tr>
      <w:tr w:rsidR="2115F02B" w:rsidTr="2115F02B" w14:paraId="6AE976EB">
        <w:trPr>
          <w:trHeight w:val="930"/>
        </w:trPr>
        <w:tc>
          <w:tcPr>
            <w:tcW w:w="2250" w:type="dxa"/>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3BD1A7C2" w14:textId="0EBD0308">
            <w:pPr>
              <w:spacing w:before="240" w:beforeAutospacing="off" w:after="240" w:afterAutospacing="off"/>
            </w:pPr>
            <w:r w:rsidRPr="2115F02B" w:rsidR="2115F02B">
              <w:rPr>
                <w:rFonts w:ascii="Calibri" w:hAnsi="Calibri" w:eastAsia="Calibri" w:cs="Calibri"/>
                <w:b w:val="1"/>
                <w:bCs w:val="1"/>
                <w:color w:val="000000" w:themeColor="text1" w:themeTint="FF" w:themeShade="FF"/>
              </w:rPr>
              <w:t xml:space="preserve">Meaningful links across the curriculum </w:t>
            </w:r>
            <w:r>
              <w:br/>
            </w:r>
            <w:r w:rsidRPr="2115F02B" w:rsidR="2115F02B">
              <w:rPr>
                <w:rFonts w:ascii="Calibri" w:hAnsi="Calibri" w:eastAsia="Calibri" w:cs="Calibri"/>
                <w:i w:val="1"/>
                <w:iCs w:val="1"/>
                <w:color w:val="000000" w:themeColor="text1" w:themeTint="FF" w:themeShade="FF"/>
                <w:sz w:val="15"/>
                <w:szCs w:val="15"/>
              </w:rPr>
              <w:t xml:space="preserve">Links to other AoLEs or the  </w:t>
            </w:r>
            <w:hyperlink w:anchor="overview" r:id="R3ca19c2a60a04294">
              <w:r w:rsidRPr="2115F02B" w:rsidR="2115F02B">
                <w:rPr>
                  <w:rStyle w:val="Hyperlink"/>
                  <w:rFonts w:ascii="Calibri" w:hAnsi="Calibri" w:eastAsia="Calibri" w:cs="Calibri"/>
                  <w:color w:val="0B4CB4"/>
                  <w:sz w:val="15"/>
                  <w:szCs w:val="15"/>
                  <w:u w:val="single"/>
                </w:rPr>
                <w:t>Cross-curricular skills frameworks)</w:t>
              </w:r>
            </w:hyperlink>
          </w:p>
        </w:tc>
        <w:tc>
          <w:tcPr>
            <w:tcW w:w="6764"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DAAB8AF" w14:textId="48EB0B39">
            <w:pPr>
              <w:shd w:val="clear" w:color="auto" w:fill="FFFFFF" w:themeFill="background1"/>
              <w:spacing w:before="240" w:beforeAutospacing="off" w:after="240" w:afterAutospacing="off"/>
            </w:pPr>
            <w:r w:rsidRPr="2115F02B" w:rsidR="2115F02B">
              <w:rPr>
                <w:rFonts w:ascii="Calibri" w:hAnsi="Calibri" w:eastAsia="Calibri" w:cs="Calibri"/>
                <w:color w:val="181818"/>
                <w:sz w:val="16"/>
                <w:szCs w:val="16"/>
              </w:rPr>
              <w:t>Mathematics and Numeracy- I can notice, recognise and write numbers in a range of media, through a multisensory approach, from 0 to 10 and beyond.</w:t>
            </w:r>
          </w:p>
          <w:p w:rsidR="2115F02B" w:rsidP="2115F02B" w:rsidRDefault="2115F02B" w14:paraId="69026BC1" w14:textId="295D5612">
            <w:pPr>
              <w:shd w:val="clear" w:color="auto" w:fill="FFFFFF" w:themeFill="background1"/>
              <w:spacing w:before="240" w:beforeAutospacing="off" w:after="240" w:afterAutospacing="off"/>
            </w:pPr>
            <w:r w:rsidRPr="2115F02B" w:rsidR="2115F02B">
              <w:rPr>
                <w:rFonts w:ascii="Calibri" w:hAnsi="Calibri" w:eastAsia="Calibri" w:cs="Calibri"/>
                <w:color w:val="181818"/>
                <w:sz w:val="16"/>
                <w:szCs w:val="16"/>
              </w:rPr>
              <w:t xml:space="preserve">Science and Technology- I can understand that animals and plants are living things that grow </w:t>
            </w:r>
          </w:p>
          <w:p w:rsidR="2115F02B" w:rsidP="2115F02B" w:rsidRDefault="2115F02B" w14:paraId="7C8F459F" w14:textId="149E3C39">
            <w:pPr>
              <w:shd w:val="clear" w:color="auto" w:fill="FFFFFF" w:themeFill="background1"/>
              <w:spacing w:before="240" w:beforeAutospacing="off" w:after="240" w:afterAutospacing="off"/>
            </w:pPr>
            <w:r w:rsidRPr="2115F02B" w:rsidR="2115F02B">
              <w:rPr>
                <w:rFonts w:ascii="Calibri" w:hAnsi="Calibri" w:eastAsia="Calibri" w:cs="Calibri"/>
                <w:color w:val="181818"/>
                <w:sz w:val="16"/>
                <w:szCs w:val="16"/>
              </w:rPr>
              <w:t>I can explore relationships between living things, their habitats and their life cycles</w:t>
            </w:r>
          </w:p>
          <w:p w:rsidR="2115F02B" w:rsidP="2115F02B" w:rsidRDefault="2115F02B" w14:paraId="551EDDFC" w14:textId="69736FCC">
            <w:pPr>
              <w:spacing w:before="240" w:beforeAutospacing="off" w:after="240" w:afterAutospacing="off"/>
            </w:pPr>
            <w:r w:rsidRPr="2115F02B" w:rsidR="2115F02B">
              <w:rPr>
                <w:rFonts w:ascii="Calibri" w:hAnsi="Calibri" w:eastAsia="Calibri" w:cs="Calibri"/>
                <w:color w:val="181818"/>
                <w:sz w:val="16"/>
                <w:szCs w:val="16"/>
              </w:rPr>
              <w:t xml:space="preserve">Expressive arts- I am </w:t>
            </w:r>
            <w:r w:rsidRPr="2115F02B" w:rsidR="063AF7CF">
              <w:rPr>
                <w:rFonts w:ascii="Calibri" w:hAnsi="Calibri" w:eastAsia="Calibri" w:cs="Calibri"/>
                <w:color w:val="181818"/>
                <w:sz w:val="16"/>
                <w:szCs w:val="16"/>
              </w:rPr>
              <w:t>beginning</w:t>
            </w:r>
            <w:r w:rsidRPr="2115F02B" w:rsidR="2115F02B">
              <w:rPr>
                <w:rFonts w:ascii="Calibri" w:hAnsi="Calibri" w:eastAsia="Calibri" w:cs="Calibri"/>
                <w:color w:val="181818"/>
                <w:sz w:val="16"/>
                <w:szCs w:val="16"/>
              </w:rPr>
              <w:t xml:space="preserve"> to design my own creative work</w:t>
            </w:r>
          </w:p>
        </w:tc>
      </w:tr>
      <w:tr w:rsidR="2115F02B" w:rsidTr="2115F02B" w14:paraId="38A8E645">
        <w:trPr>
          <w:trHeight w:val="555"/>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205AC7D7" w14:textId="46C7CED1">
            <w:pPr>
              <w:shd w:val="clear" w:color="auto" w:fill="FFFFFF" w:themeFill="background1"/>
              <w:spacing w:before="240" w:beforeAutospacing="off" w:after="240" w:afterAutospacing="off"/>
            </w:pPr>
            <w:r w:rsidRPr="2115F02B" w:rsidR="2115F02B">
              <w:rPr>
                <w:rFonts w:ascii="Calibri" w:hAnsi="Calibri" w:eastAsia="Calibri" w:cs="Calibri"/>
                <w:b w:val="1"/>
                <w:bCs w:val="1"/>
                <w:color w:val="000000" w:themeColor="text1" w:themeTint="FF" w:themeShade="FF"/>
              </w:rPr>
              <w:t>Personal Targets</w:t>
            </w:r>
            <w:r w:rsidRPr="2115F02B" w:rsidR="2115F02B">
              <w:rPr>
                <w:rFonts w:ascii="Calibri" w:hAnsi="Calibri" w:eastAsia="Calibri" w:cs="Calibri"/>
                <w:color w:val="000000" w:themeColor="text1" w:themeTint="FF" w:themeShade="FF"/>
              </w:rPr>
              <w:t xml:space="preserve"> </w:t>
            </w:r>
            <w:r w:rsidRPr="2115F02B" w:rsidR="2115F02B">
              <w:rPr>
                <w:rFonts w:ascii="Calibri" w:hAnsi="Calibri" w:eastAsia="Calibri" w:cs="Calibri"/>
                <w:color w:val="000000" w:themeColor="text1" w:themeTint="FF" w:themeShade="FF"/>
                <w:sz w:val="15"/>
                <w:szCs w:val="15"/>
              </w:rPr>
              <w:t>(</w:t>
            </w:r>
            <w:r w:rsidRPr="2115F02B" w:rsidR="2115F02B">
              <w:rPr>
                <w:rFonts w:ascii="Calibri" w:hAnsi="Calibri" w:eastAsia="Calibri" w:cs="Calibri"/>
                <w:color w:val="262626" w:themeColor="text1" w:themeTint="D9" w:themeShade="FF"/>
                <w:sz w:val="15"/>
                <w:szCs w:val="15"/>
              </w:rPr>
              <w:t>targets and consequent impact on learning - refer to any targets that have been identified in learning journal or weekly reflection meeting and describe the desired impact on learning)</w:t>
            </w:r>
          </w:p>
          <w:p w:rsidR="2115F02B" w:rsidP="2115F02B" w:rsidRDefault="2115F02B" w14:paraId="71AFDF56" w14:textId="4AF14FED">
            <w:pPr>
              <w:spacing w:before="240" w:beforeAutospacing="off" w:after="240" w:afterAutospacing="off"/>
            </w:pPr>
          </w:p>
        </w:tc>
      </w:tr>
      <w:tr w:rsidR="2115F02B" w:rsidTr="2115F02B" w14:paraId="048E8EBD">
        <w:trPr>
          <w:trHeight w:val="570"/>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430EEDC1" w14:textId="78D3E0CD">
            <w:pPr>
              <w:shd w:val="clear" w:color="auto" w:fill="FFFFFF" w:themeFill="background1"/>
              <w:spacing w:before="240" w:beforeAutospacing="off" w:after="240" w:afterAutospacing="off"/>
            </w:pPr>
            <w:r w:rsidRPr="2115F02B" w:rsidR="2115F02B">
              <w:rPr>
                <w:rFonts w:ascii="Calibri" w:hAnsi="Calibri" w:eastAsia="Calibri" w:cs="Calibri"/>
                <w:b w:val="1"/>
                <w:bCs w:val="1"/>
                <w:color w:val="000000" w:themeColor="text1" w:themeTint="FF" w:themeShade="FF"/>
              </w:rPr>
              <w:t>Learning Intention</w:t>
            </w:r>
          </w:p>
          <w:p w:rsidR="2115F02B" w:rsidP="2115F02B" w:rsidRDefault="2115F02B" w14:paraId="179E2C05" w14:textId="0B6B0F19">
            <w:pPr>
              <w:spacing w:before="240" w:beforeAutospacing="off" w:after="240" w:afterAutospacing="off"/>
            </w:pPr>
            <w:r w:rsidRPr="2115F02B" w:rsidR="2115F02B">
              <w:rPr>
                <w:rFonts w:ascii="Calibri" w:hAnsi="Calibri" w:eastAsia="Calibri" w:cs="Calibri"/>
                <w:i w:val="1"/>
                <w:iCs w:val="1"/>
                <w:color w:val="000000" w:themeColor="text1" w:themeTint="FF" w:themeShade="FF"/>
                <w:sz w:val="15"/>
                <w:szCs w:val="15"/>
              </w:rPr>
              <w:t>‘This should focus on the pupils’ learning during the lesson, rather than what they will be doing, and should be short, achievable and measurable.’ (</w:t>
            </w:r>
            <w:r w:rsidRPr="2115F02B" w:rsidR="2115F02B">
              <w:rPr>
                <w:rFonts w:ascii="Calibri" w:hAnsi="Calibri" w:eastAsia="Calibri" w:cs="Calibri"/>
                <w:color w:val="000000" w:themeColor="text1" w:themeTint="FF" w:themeShade="FF"/>
                <w:sz w:val="15"/>
                <w:szCs w:val="15"/>
              </w:rPr>
              <w:t>Crichton, H., and Mcdaid, A. 2016 p. 196)</w:t>
            </w:r>
          </w:p>
        </w:tc>
      </w:tr>
      <w:tr w:rsidR="2115F02B" w:rsidTr="2115F02B" w14:paraId="374D8ACB">
        <w:trPr>
          <w:trHeight w:val="150"/>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4F44B83F" w14:textId="13C610AD">
            <w:pPr>
              <w:spacing w:before="240" w:beforeAutospacing="off" w:after="240" w:afterAutospacing="off"/>
            </w:pPr>
            <w:r w:rsidRPr="2115F02B" w:rsidR="2115F02B">
              <w:rPr>
                <w:rFonts w:ascii="Calibri" w:hAnsi="Calibri" w:eastAsia="Calibri" w:cs="Calibri"/>
                <w:color w:val="181818"/>
                <w:sz w:val="16"/>
                <w:szCs w:val="16"/>
              </w:rPr>
              <w:t>Upon completion of this lesson, students should have enhanced their skills in Mathematics, Science and Expressive Arts</w:t>
            </w:r>
          </w:p>
        </w:tc>
      </w:tr>
      <w:tr w:rsidR="2115F02B" w:rsidTr="2115F02B" w14:paraId="54D5775E">
        <w:trPr>
          <w:trHeight w:val="375"/>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70633853" w14:textId="7DBFC1E8">
            <w:pPr>
              <w:shd w:val="clear" w:color="auto" w:fill="FFFFFF" w:themeFill="background1"/>
              <w:spacing w:before="240" w:beforeAutospacing="off" w:after="240" w:afterAutospacing="off"/>
            </w:pPr>
            <w:r w:rsidRPr="2115F02B" w:rsidR="2115F02B">
              <w:rPr>
                <w:rFonts w:ascii="Calibri" w:hAnsi="Calibri" w:eastAsia="Calibri" w:cs="Calibri"/>
                <w:b w:val="1"/>
                <w:bCs w:val="1"/>
                <w:color w:val="000000" w:themeColor="text1" w:themeTint="FF" w:themeShade="FF"/>
              </w:rPr>
              <w:t xml:space="preserve">Success Criteria </w:t>
            </w:r>
          </w:p>
          <w:p w:rsidR="2115F02B" w:rsidP="2115F02B" w:rsidRDefault="2115F02B" w14:paraId="139EF0B2" w14:textId="7559CDAB">
            <w:pPr>
              <w:spacing w:before="240" w:beforeAutospacing="off" w:after="240" w:afterAutospacing="off"/>
            </w:pPr>
            <w:r w:rsidRPr="2115F02B" w:rsidR="2115F02B">
              <w:rPr>
                <w:rFonts w:ascii="Calibri" w:hAnsi="Calibri" w:eastAsia="Calibri" w:cs="Calibri"/>
                <w:i w:val="1"/>
                <w:iCs w:val="1"/>
                <w:color w:val="000000" w:themeColor="text1" w:themeTint="FF" w:themeShade="FF"/>
                <w:sz w:val="15"/>
                <w:szCs w:val="15"/>
              </w:rPr>
              <w:t>What the pupils need to demonstrate to successfully meet the Learning Intention.</w:t>
            </w:r>
          </w:p>
        </w:tc>
      </w:tr>
      <w:tr w:rsidR="2115F02B" w:rsidTr="2115F02B" w14:paraId="70CF64AD">
        <w:trPr>
          <w:trHeight w:val="630"/>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2281E7B" w14:textId="26D17B18">
            <w:pPr>
              <w:spacing w:before="240" w:beforeAutospacing="off" w:after="240" w:afterAutospacing="off"/>
            </w:pPr>
            <w:r w:rsidRPr="2115F02B" w:rsidR="2115F02B">
              <w:rPr>
                <w:rFonts w:ascii="Calibri" w:hAnsi="Calibri" w:eastAsia="Calibri" w:cs="Calibri"/>
                <w:color w:val="000000" w:themeColor="text1" w:themeTint="FF" w:themeShade="FF"/>
              </w:rPr>
              <w:t>Students will be required to connect the chosen animals to their respective habitats based on prior knowledge. They will then count how many animals are placed in each habitat, using this information to construct a bar chart. Finally, students will apply their creativity to design the bars in the chart, ensuring they represent the specific habitats.</w:t>
            </w:r>
          </w:p>
        </w:tc>
      </w:tr>
      <w:tr w:rsidR="2115F02B" w:rsidTr="2115F02B" w14:paraId="4D16B3E9">
        <w:trPr>
          <w:trHeight w:val="375"/>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7DB06DD7" w14:textId="75B62896">
            <w:pPr>
              <w:shd w:val="clear" w:color="auto" w:fill="FFFFFF" w:themeFill="background1"/>
              <w:spacing w:before="240" w:beforeAutospacing="off" w:after="240" w:afterAutospacing="off"/>
            </w:pPr>
            <w:r w:rsidRPr="2115F02B" w:rsidR="2115F02B">
              <w:rPr>
                <w:rFonts w:ascii="Calibri" w:hAnsi="Calibri" w:eastAsia="Calibri" w:cs="Calibri"/>
                <w:b w:val="1"/>
                <w:bCs w:val="1"/>
                <w:color w:val="000000" w:themeColor="text1" w:themeTint="FF" w:themeShade="FF"/>
              </w:rPr>
              <w:t>Planning for misconceptions:</w:t>
            </w:r>
          </w:p>
          <w:p w:rsidR="2115F02B" w:rsidP="2115F02B" w:rsidRDefault="2115F02B" w14:paraId="7DE5371E" w14:textId="3E2B7BE3">
            <w:pPr>
              <w:spacing w:before="240" w:beforeAutospacing="off" w:after="240" w:afterAutospacing="off"/>
            </w:pPr>
            <w:r w:rsidRPr="2115F02B" w:rsidR="2115F02B">
              <w:rPr>
                <w:rFonts w:ascii="Calibri" w:hAnsi="Calibri" w:eastAsia="Calibri" w:cs="Calibri"/>
                <w:i w:val="1"/>
                <w:iCs w:val="1"/>
                <w:color w:val="000000" w:themeColor="text1" w:themeTint="FF" w:themeShade="FF"/>
                <w:sz w:val="15"/>
                <w:szCs w:val="15"/>
              </w:rPr>
              <w:t>Use this section to anticipate pupil errors and misunderstandings and your planned responses to them.</w:t>
            </w:r>
          </w:p>
        </w:tc>
      </w:tr>
      <w:tr w:rsidR="2115F02B" w:rsidTr="2115F02B" w14:paraId="4412D418">
        <w:trPr>
          <w:trHeight w:val="630"/>
        </w:trPr>
        <w:tc>
          <w:tcPr>
            <w:tcW w:w="9014"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2DF71454" w14:textId="5B153B87">
            <w:pPr>
              <w:spacing w:before="240" w:beforeAutospacing="off" w:after="240" w:afterAutospacing="off"/>
            </w:pPr>
            <w:r w:rsidRPr="2115F02B" w:rsidR="2115F02B">
              <w:rPr>
                <w:rFonts w:ascii="Calibri" w:hAnsi="Calibri" w:eastAsia="Calibri" w:cs="Calibri"/>
                <w:color w:val="000000" w:themeColor="text1" w:themeTint="FF" w:themeShade="FF"/>
              </w:rPr>
              <w:t>Students may encounter difficulty in correctly identifying the animals, as they are not visual representations of the book characters. Any misconceptions can be addressed by providing clarification on which animal corresponds to which, and if needed, helping students make connections between the figurine and the book character to aid their understanding</w:t>
            </w:r>
          </w:p>
        </w:tc>
      </w:tr>
    </w:tbl>
    <w:tbl>
      <w:tblPr>
        <w:tblStyle w:val="TableNormal"/>
        <w:tblW w:w="0" w:type="auto"/>
        <w:tblLayout w:type="fixed"/>
        <w:tblLook w:val="06A0" w:firstRow="1" w:lastRow="0" w:firstColumn="1" w:lastColumn="0" w:noHBand="1" w:noVBand="1"/>
      </w:tblPr>
      <w:tblGrid>
        <w:gridCol w:w="714"/>
        <w:gridCol w:w="2196"/>
        <w:gridCol w:w="2739"/>
        <w:gridCol w:w="1831"/>
        <w:gridCol w:w="1672"/>
      </w:tblGrid>
      <w:tr w:rsidR="2115F02B" w:rsidTr="2115F02B" w14:paraId="705404E1">
        <w:trPr>
          <w:trHeight w:val="855"/>
        </w:trPr>
        <w:tc>
          <w:tcPr>
            <w:tcW w:w="9152"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83ABCC"/>
            <w:tcMar>
              <w:top w:w="60" w:type="dxa"/>
              <w:left w:w="60" w:type="dxa"/>
              <w:bottom w:w="60" w:type="dxa"/>
              <w:right w:w="60" w:type="dxa"/>
            </w:tcMar>
            <w:vAlign w:val="top"/>
          </w:tcPr>
          <w:p w:rsidR="2115F02B" w:rsidP="2115F02B" w:rsidRDefault="2115F02B" w14:paraId="2C68DAE1" w14:textId="56609EC5">
            <w:pPr>
              <w:spacing w:before="240" w:beforeAutospacing="off" w:after="240" w:afterAutospacing="off"/>
            </w:pPr>
          </w:p>
          <w:p w:rsidR="2115F02B" w:rsidP="2115F02B" w:rsidRDefault="2115F02B" w14:paraId="15402E61" w14:textId="63E9AFC1">
            <w:pPr>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rPr>
              <w:t>SEQUENCE OF TEACHING &amp; LEARNING</w:t>
            </w:r>
            <w:r>
              <w:br/>
            </w:r>
            <w:r w:rsidRPr="2115F02B" w:rsidR="2115F02B">
              <w:rPr>
                <w:rFonts w:ascii="Calibri" w:hAnsi="Calibri" w:eastAsia="Calibri" w:cs="Calibri"/>
                <w:i w:val="1"/>
                <w:iCs w:val="1"/>
                <w:color w:val="000000" w:themeColor="text1" w:themeTint="FF" w:themeShade="FF"/>
                <w:sz w:val="16"/>
                <w:szCs w:val="16"/>
              </w:rPr>
              <w:t>(Add or remove rows below as appropriate)</w:t>
            </w:r>
          </w:p>
          <w:p w:rsidR="2115F02B" w:rsidP="2115F02B" w:rsidRDefault="2115F02B" w14:paraId="7AE27CA2" w14:textId="6D825DB9">
            <w:pPr>
              <w:spacing w:before="240" w:beforeAutospacing="off" w:after="240" w:afterAutospacing="off"/>
            </w:pPr>
          </w:p>
        </w:tc>
      </w:tr>
      <w:tr w:rsidR="2115F02B" w:rsidTr="2115F02B" w14:paraId="1069C29F">
        <w:trPr>
          <w:trHeight w:val="2055"/>
        </w:trPr>
        <w:tc>
          <w:tcPr>
            <w:tcW w:w="714"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0903BD4B" w14:textId="252F82F6">
            <w:pPr>
              <w:spacing w:before="240" w:beforeAutospacing="off" w:after="240" w:afterAutospacing="off"/>
            </w:pPr>
          </w:p>
          <w:p w:rsidR="2115F02B" w:rsidP="2115F02B" w:rsidRDefault="2115F02B" w14:paraId="77738669" w14:textId="3119EB30">
            <w:pPr>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sz w:val="16"/>
                <w:szCs w:val="16"/>
              </w:rPr>
              <w:t>Timing:</w:t>
            </w:r>
          </w:p>
          <w:p w:rsidR="2115F02B" w:rsidP="2115F02B" w:rsidRDefault="2115F02B" w14:paraId="744D26E4" w14:textId="4F702540">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2"/>
                <w:szCs w:val="12"/>
              </w:rPr>
              <w:t>Break down timings into groups if appropriate. ensure pupils are ‘doing’ quickly and that transitions are taken into account</w:t>
            </w:r>
          </w:p>
          <w:p w:rsidR="2115F02B" w:rsidP="2115F02B" w:rsidRDefault="2115F02B" w14:paraId="025A04F9" w14:textId="0C02D9B4">
            <w:pPr>
              <w:spacing w:before="240" w:beforeAutospacing="off" w:after="240" w:afterAutospacing="off"/>
            </w:pPr>
          </w:p>
        </w:tc>
        <w:tc>
          <w:tcPr>
            <w:tcW w:w="219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339108F5" w14:textId="31C74348">
            <w:pPr>
              <w:spacing w:before="240" w:beforeAutospacing="off" w:after="240" w:afterAutospacing="off"/>
            </w:pPr>
          </w:p>
          <w:p w:rsidR="2115F02B" w:rsidP="2115F02B" w:rsidRDefault="2115F02B" w14:paraId="56CD53BC" w14:textId="79B4CA96">
            <w:pPr>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sz w:val="16"/>
                <w:szCs w:val="16"/>
              </w:rPr>
              <w:t>Role of the teacher &amp; support staff:</w:t>
            </w:r>
          </w:p>
          <w:p w:rsidR="2115F02B" w:rsidP="2115F02B" w:rsidRDefault="2115F02B" w14:paraId="346513B5" w14:textId="0ED62CB1">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 xml:space="preserve">e.g., key questions, retrieval of prior learning, modelling and explanations, checking understanding, planned use of additional adults. </w:t>
            </w:r>
          </w:p>
          <w:p w:rsidR="2115F02B" w:rsidP="2115F02B" w:rsidRDefault="2115F02B" w14:paraId="7F92F300" w14:textId="25DF0FFC">
            <w:pPr>
              <w:spacing w:before="135" w:beforeAutospacing="off" w:after="135" w:afterAutospacing="off"/>
              <w:jc w:val="center"/>
            </w:pPr>
          </w:p>
          <w:p w:rsidR="2115F02B" w:rsidP="2115F02B" w:rsidRDefault="2115F02B" w14:paraId="6102E68B" w14:textId="2A99E0BE">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Choice of pedagogical model or of the 12 pedagogical principles</w:t>
            </w:r>
          </w:p>
        </w:tc>
        <w:tc>
          <w:tcPr>
            <w:tcW w:w="273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63FDB32B" w14:textId="62A2EACD">
            <w:pPr>
              <w:spacing w:before="240" w:beforeAutospacing="off" w:after="240" w:afterAutospacing="off"/>
            </w:pPr>
          </w:p>
          <w:p w:rsidR="2115F02B" w:rsidP="2115F02B" w:rsidRDefault="2115F02B" w14:paraId="3556954C" w14:textId="77C122BE">
            <w:pPr>
              <w:shd w:val="clear" w:color="auto" w:fill="FFFFFF" w:themeFill="background1"/>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sz w:val="16"/>
                <w:szCs w:val="16"/>
              </w:rPr>
              <w:t>Pupils’ learning and activities:</w:t>
            </w:r>
          </w:p>
          <w:p w:rsidR="2115F02B" w:rsidP="2115F02B" w:rsidRDefault="2115F02B" w14:paraId="3F4245B4" w14:textId="3BCE82A9">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What will the pupils be learning to do and what activities / resources will facilitate this?</w:t>
            </w:r>
          </w:p>
          <w:p w:rsidR="2115F02B" w:rsidP="2115F02B" w:rsidRDefault="2115F02B" w14:paraId="1CC7162C" w14:textId="2F017C60">
            <w:pPr>
              <w:spacing w:before="135" w:beforeAutospacing="off" w:after="135" w:afterAutospacing="off"/>
              <w:jc w:val="center"/>
            </w:pPr>
          </w:p>
          <w:p w:rsidR="2115F02B" w:rsidP="2115F02B" w:rsidRDefault="2115F02B" w14:paraId="1DF95269" w14:textId="7E77DBA4">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Please refer to Foundation Learning planning document for details of continuous provision.</w:t>
            </w:r>
          </w:p>
        </w:tc>
        <w:tc>
          <w:tcPr>
            <w:tcW w:w="183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C6DBF2A" w14:textId="476779FE">
            <w:pPr>
              <w:spacing w:before="240" w:beforeAutospacing="off" w:after="240" w:afterAutospacing="off"/>
            </w:pPr>
          </w:p>
          <w:p w:rsidR="2115F02B" w:rsidP="2115F02B" w:rsidRDefault="2115F02B" w14:paraId="6F4C1FC4" w14:textId="012DE58F">
            <w:pPr>
              <w:shd w:val="clear" w:color="auto" w:fill="FFFFFF" w:themeFill="background1"/>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sz w:val="16"/>
                <w:szCs w:val="16"/>
              </w:rPr>
              <w:t>Inclusive Strategies (including differentiation):</w:t>
            </w:r>
          </w:p>
          <w:p w:rsidR="2115F02B" w:rsidP="2115F02B" w:rsidRDefault="2115F02B" w14:paraId="1E2A4FC7" w14:textId="7E692F8F">
            <w:pPr>
              <w:shd w:val="clear" w:color="auto" w:fill="FFFFFF" w:themeFill="background1"/>
              <w:spacing w:before="135" w:beforeAutospacing="off" w:after="135" w:afterAutospacing="off"/>
              <w:jc w:val="center"/>
            </w:pPr>
          </w:p>
          <w:p w:rsidR="2115F02B" w:rsidP="2115F02B" w:rsidRDefault="2115F02B" w14:paraId="6334B81B" w14:textId="5122698E">
            <w:pPr>
              <w:shd w:val="clear" w:color="auto" w:fill="FFFFFF" w:themeFill="background1"/>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Reasons for and details of scaffolding.</w:t>
            </w:r>
          </w:p>
          <w:p w:rsidR="2115F02B" w:rsidP="2115F02B" w:rsidRDefault="2115F02B" w14:paraId="3724DC25" w14:textId="1CC1011C">
            <w:pPr>
              <w:shd w:val="clear" w:color="auto" w:fill="FFFFFF" w:themeFill="background1"/>
              <w:spacing w:before="135" w:beforeAutospacing="off" w:after="135" w:afterAutospacing="off"/>
              <w:jc w:val="center"/>
            </w:pPr>
          </w:p>
          <w:p w:rsidR="2115F02B" w:rsidP="2115F02B" w:rsidRDefault="2115F02B" w14:paraId="3D390821" w14:textId="235DA685">
            <w:pPr>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Types of representation in tasks.</w:t>
            </w:r>
          </w:p>
        </w:tc>
        <w:tc>
          <w:tcPr>
            <w:tcW w:w="167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739D768" w14:textId="392CED67">
            <w:pPr>
              <w:spacing w:before="240" w:beforeAutospacing="off" w:after="240" w:afterAutospacing="off"/>
            </w:pPr>
          </w:p>
          <w:p w:rsidR="2115F02B" w:rsidP="2115F02B" w:rsidRDefault="2115F02B" w14:paraId="64E3D682" w14:textId="79D135CA">
            <w:pPr>
              <w:shd w:val="clear" w:color="auto" w:fill="FFFFFF" w:themeFill="background1"/>
              <w:spacing w:before="240" w:beforeAutospacing="off" w:after="240" w:afterAutospacing="off"/>
              <w:jc w:val="center"/>
            </w:pPr>
            <w:r w:rsidRPr="2115F02B" w:rsidR="2115F02B">
              <w:rPr>
                <w:rFonts w:ascii="Calibri" w:hAnsi="Calibri" w:eastAsia="Calibri" w:cs="Calibri"/>
                <w:b w:val="1"/>
                <w:bCs w:val="1"/>
                <w:color w:val="000000" w:themeColor="text1" w:themeTint="FF" w:themeShade="FF"/>
                <w:sz w:val="16"/>
                <w:szCs w:val="16"/>
              </w:rPr>
              <w:t>Check what pupils know, understand, and can do:</w:t>
            </w:r>
          </w:p>
          <w:p w:rsidR="2115F02B" w:rsidP="2115F02B" w:rsidRDefault="2115F02B" w14:paraId="3AADC059" w14:textId="592E4DD3">
            <w:pPr>
              <w:shd w:val="clear" w:color="auto" w:fill="FFFFFF" w:themeFill="background1"/>
              <w:spacing w:before="240" w:beforeAutospacing="off" w:after="240" w:afterAutospacing="off"/>
              <w:jc w:val="center"/>
            </w:pPr>
            <w:r w:rsidRPr="2115F02B" w:rsidR="2115F02B">
              <w:rPr>
                <w:rFonts w:ascii="Calibri" w:hAnsi="Calibri" w:eastAsia="Calibri" w:cs="Calibri"/>
                <w:i w:val="1"/>
                <w:iCs w:val="1"/>
                <w:color w:val="000000" w:themeColor="text1" w:themeTint="FF" w:themeShade="FF"/>
                <w:sz w:val="13"/>
                <w:szCs w:val="13"/>
              </w:rPr>
              <w:t>Key questions, types of retrieval practices, self and peer assessment opportunities, purposeful AfL strategies, live marking opportunities, planned feedback.</w:t>
            </w:r>
          </w:p>
          <w:p w:rsidR="2115F02B" w:rsidP="2115F02B" w:rsidRDefault="2115F02B" w14:paraId="2083264D" w14:textId="1D00DC18">
            <w:pPr>
              <w:shd w:val="clear" w:color="auto" w:fill="FFFFFF" w:themeFill="background1"/>
              <w:spacing w:before="135" w:beforeAutospacing="off" w:after="135" w:afterAutospacing="off"/>
              <w:jc w:val="center"/>
            </w:pPr>
          </w:p>
          <w:p w:rsidR="2115F02B" w:rsidP="2115F02B" w:rsidRDefault="2115F02B" w14:paraId="04ED55F6" w14:textId="5784D3BC">
            <w:pPr>
              <w:spacing w:before="240" w:beforeAutospacing="off" w:after="240" w:afterAutospacing="off"/>
            </w:pPr>
          </w:p>
        </w:tc>
      </w:tr>
      <w:tr w:rsidR="2115F02B" w:rsidTr="2115F02B" w14:paraId="2F8584EE">
        <w:trPr>
          <w:trHeight w:val="3570"/>
        </w:trPr>
        <w:tc>
          <w:tcPr>
            <w:tcW w:w="714"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CC8FC56" w14:textId="028A037D">
            <w:pPr>
              <w:spacing w:before="240" w:beforeAutospacing="off" w:after="240" w:afterAutospacing="off"/>
            </w:pPr>
          </w:p>
          <w:p w:rsidR="2115F02B" w:rsidP="2115F02B" w:rsidRDefault="2115F02B" w14:paraId="341E72AD" w14:textId="7B042841">
            <w:pPr>
              <w:spacing w:before="240" w:beforeAutospacing="off" w:after="240" w:afterAutospacing="off"/>
            </w:pPr>
            <w:r w:rsidRPr="2115F02B" w:rsidR="2115F02B">
              <w:rPr>
                <w:rFonts w:ascii="Arial" w:hAnsi="Arial" w:eastAsia="Arial" w:cs="Arial"/>
                <w:color w:val="000000" w:themeColor="text1" w:themeTint="FF" w:themeShade="FF"/>
              </w:rPr>
              <w:t xml:space="preserve">10 minutes </w:t>
            </w:r>
          </w:p>
        </w:tc>
        <w:tc>
          <w:tcPr>
            <w:tcW w:w="219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6C1C2D25" w14:textId="4FA149B1">
            <w:pPr>
              <w:spacing w:before="240" w:beforeAutospacing="off" w:after="240" w:afterAutospacing="off"/>
            </w:pPr>
            <w:r w:rsidRPr="2115F02B" w:rsidR="2115F02B">
              <w:rPr>
                <w:rFonts w:ascii="Calibri" w:hAnsi="Calibri" w:eastAsia="Calibri" w:cs="Calibri"/>
                <w:color w:val="000000" w:themeColor="text1" w:themeTint="FF" w:themeShade="FF"/>
              </w:rPr>
              <w:t>The teacher reviews prior knowledge of the story, focusing primarily on the characters and their respective habitats as described in the book. This allows students to connect their existing understanding to new contexts and apply it to the task at hand</w:t>
            </w:r>
          </w:p>
        </w:tc>
        <w:tc>
          <w:tcPr>
            <w:tcW w:w="273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7B601052" w14:textId="0C70EC31">
            <w:pPr>
              <w:spacing w:before="240" w:beforeAutospacing="off" w:after="240" w:afterAutospacing="off"/>
            </w:pPr>
            <w:r w:rsidRPr="2115F02B" w:rsidR="2115F02B">
              <w:rPr>
                <w:rFonts w:ascii="Arial" w:hAnsi="Arial" w:eastAsia="Arial" w:cs="Arial"/>
                <w:color w:val="000000" w:themeColor="text1" w:themeTint="FF" w:themeShade="FF"/>
              </w:rPr>
              <w:t xml:space="preserve">This activity will primarily involve listening and communication, as learners will listen to prior knowledge and articulate what they recall. It will </w:t>
            </w:r>
            <w:r w:rsidRPr="2115F02B" w:rsidR="769BBF2E">
              <w:rPr>
                <w:rFonts w:ascii="Arial" w:hAnsi="Arial" w:eastAsia="Arial" w:cs="Arial"/>
                <w:color w:val="000000" w:themeColor="text1" w:themeTint="FF" w:themeShade="FF"/>
              </w:rPr>
              <w:t>incorporate</w:t>
            </w:r>
            <w:r w:rsidRPr="2115F02B" w:rsidR="2115F02B">
              <w:rPr>
                <w:rFonts w:ascii="Arial" w:hAnsi="Arial" w:eastAsia="Arial" w:cs="Arial"/>
                <w:color w:val="000000" w:themeColor="text1" w:themeTint="FF" w:themeShade="FF"/>
              </w:rPr>
              <w:t xml:space="preserve"> both visual and auditory elements, with students reviewing the book to refresh their memory and engaging in discussion to </w:t>
            </w:r>
            <w:r w:rsidRPr="2115F02B" w:rsidR="685A8870">
              <w:rPr>
                <w:rFonts w:ascii="Arial" w:hAnsi="Arial" w:eastAsia="Arial" w:cs="Arial"/>
                <w:color w:val="000000" w:themeColor="text1" w:themeTint="FF" w:themeShade="FF"/>
              </w:rPr>
              <w:t>retrieve</w:t>
            </w:r>
            <w:r w:rsidRPr="2115F02B" w:rsidR="2115F02B">
              <w:rPr>
                <w:rFonts w:ascii="Arial" w:hAnsi="Arial" w:eastAsia="Arial" w:cs="Arial"/>
                <w:color w:val="000000" w:themeColor="text1" w:themeTint="FF" w:themeShade="FF"/>
              </w:rPr>
              <w:t xml:space="preserve"> any forgotten information </w:t>
            </w:r>
          </w:p>
        </w:tc>
        <w:tc>
          <w:tcPr>
            <w:tcW w:w="183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5D2E6AC" w14:textId="3DF45051">
            <w:pPr>
              <w:spacing w:before="240" w:beforeAutospacing="off" w:after="240" w:afterAutospacing="off"/>
            </w:pPr>
            <w:r w:rsidRPr="2115F02B" w:rsidR="2115F02B">
              <w:rPr>
                <w:rFonts w:ascii="Arial" w:hAnsi="Arial" w:eastAsia="Arial" w:cs="Arial"/>
                <w:color w:val="000000" w:themeColor="text1" w:themeTint="FF" w:themeShade="FF"/>
              </w:rPr>
              <w:t xml:space="preserve">To ensure that the opening task did not exceed the </w:t>
            </w:r>
            <w:r w:rsidRPr="2115F02B" w:rsidR="2115F02B">
              <w:rPr>
                <w:rFonts w:ascii="Arial" w:hAnsi="Arial" w:eastAsia="Arial" w:cs="Arial"/>
                <w:color w:val="000000" w:themeColor="text1" w:themeTint="FF" w:themeShade="FF"/>
              </w:rPr>
              <w:t>allocated</w:t>
            </w:r>
            <w:r w:rsidRPr="2115F02B" w:rsidR="2115F02B">
              <w:rPr>
                <w:rFonts w:ascii="Arial" w:hAnsi="Arial" w:eastAsia="Arial" w:cs="Arial"/>
                <w:color w:val="000000" w:themeColor="text1" w:themeTint="FF" w:themeShade="FF"/>
              </w:rPr>
              <w:t xml:space="preserve"> time, it will be presented </w:t>
            </w:r>
            <w:r w:rsidRPr="2115F02B" w:rsidR="033AC5A4">
              <w:rPr>
                <w:rFonts w:ascii="Arial" w:hAnsi="Arial" w:eastAsia="Arial" w:cs="Arial"/>
                <w:color w:val="000000" w:themeColor="text1" w:themeTint="FF" w:themeShade="FF"/>
              </w:rPr>
              <w:t>uniformly</w:t>
            </w:r>
            <w:r w:rsidRPr="2115F02B" w:rsidR="2115F02B">
              <w:rPr>
                <w:rFonts w:ascii="Arial" w:hAnsi="Arial" w:eastAsia="Arial" w:cs="Arial"/>
                <w:color w:val="000000" w:themeColor="text1" w:themeTint="FF" w:themeShade="FF"/>
              </w:rPr>
              <w:t xml:space="preserve"> to all students. Any supplementary tasks or extensions will be introduced in </w:t>
            </w:r>
            <w:r w:rsidRPr="2115F02B" w:rsidR="2115F02B">
              <w:rPr>
                <w:rFonts w:ascii="Arial" w:hAnsi="Arial" w:eastAsia="Arial" w:cs="Arial"/>
                <w:color w:val="000000" w:themeColor="text1" w:themeTint="FF" w:themeShade="FF"/>
              </w:rPr>
              <w:t>subsequent</w:t>
            </w:r>
            <w:r w:rsidRPr="2115F02B" w:rsidR="2115F02B">
              <w:rPr>
                <w:rFonts w:ascii="Arial" w:hAnsi="Arial" w:eastAsia="Arial" w:cs="Arial"/>
                <w:color w:val="000000" w:themeColor="text1" w:themeTint="FF" w:themeShade="FF"/>
              </w:rPr>
              <w:t xml:space="preserve"> activities </w:t>
            </w:r>
          </w:p>
        </w:tc>
        <w:tc>
          <w:tcPr>
            <w:tcW w:w="167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02BD0318" w14:textId="2784D102">
            <w:pPr>
              <w:spacing w:before="240" w:beforeAutospacing="off" w:after="240" w:afterAutospacing="off"/>
            </w:pPr>
            <w:r w:rsidRPr="2115F02B" w:rsidR="2115F02B">
              <w:rPr>
                <w:rFonts w:ascii="Arial" w:hAnsi="Arial" w:eastAsia="Arial" w:cs="Arial"/>
                <w:color w:val="000000" w:themeColor="text1" w:themeTint="FF" w:themeShade="FF"/>
              </w:rPr>
              <w:t xml:space="preserve">I will implement the think-pair-share strategy, which provides a low-pressure environment for students to share their thoughts and helps the teacher gauge their understanding. Following this, I will use questioning, asking open-ended questions to further assess </w:t>
            </w:r>
            <w:r w:rsidRPr="2115F02B" w:rsidR="5B6B99D8">
              <w:rPr>
                <w:rFonts w:ascii="Arial" w:hAnsi="Arial" w:eastAsia="Arial" w:cs="Arial"/>
                <w:color w:val="000000" w:themeColor="text1" w:themeTint="FF" w:themeShade="FF"/>
              </w:rPr>
              <w:t>students'</w:t>
            </w:r>
            <w:r w:rsidRPr="2115F02B" w:rsidR="2115F02B">
              <w:rPr>
                <w:rFonts w:ascii="Arial" w:hAnsi="Arial" w:eastAsia="Arial" w:cs="Arial"/>
                <w:color w:val="000000" w:themeColor="text1" w:themeTint="FF" w:themeShade="FF"/>
              </w:rPr>
              <w:t xml:space="preserve"> comprehension and promote deeper critical thinking </w:t>
            </w:r>
          </w:p>
        </w:tc>
      </w:tr>
      <w:tr w:rsidR="2115F02B" w:rsidTr="2115F02B" w14:paraId="4D3225F8">
        <w:trPr>
          <w:trHeight w:val="5025"/>
        </w:trPr>
        <w:tc>
          <w:tcPr>
            <w:tcW w:w="714"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6CBF57FE" w14:textId="3ACA7295">
            <w:pPr>
              <w:spacing w:before="240" w:beforeAutospacing="off" w:after="240" w:afterAutospacing="off"/>
            </w:pPr>
            <w:r w:rsidRPr="2115F02B" w:rsidR="2115F02B">
              <w:rPr>
                <w:rFonts w:ascii="Arial" w:hAnsi="Arial" w:eastAsia="Arial" w:cs="Arial"/>
                <w:color w:val="000000" w:themeColor="text1" w:themeTint="FF" w:themeShade="FF"/>
              </w:rPr>
              <w:t xml:space="preserve">10 minutes </w:t>
            </w:r>
          </w:p>
        </w:tc>
        <w:tc>
          <w:tcPr>
            <w:tcW w:w="219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5A4A04DE" w14:textId="47C6E991">
            <w:pPr>
              <w:spacing w:before="240" w:beforeAutospacing="off" w:after="240" w:afterAutospacing="off"/>
            </w:pPr>
            <w:r w:rsidRPr="2115F02B" w:rsidR="2115F02B">
              <w:rPr>
                <w:rFonts w:ascii="Calibri" w:hAnsi="Calibri" w:eastAsia="Calibri" w:cs="Calibri"/>
                <w:color w:val="000000" w:themeColor="text1" w:themeTint="FF" w:themeShade="FF"/>
              </w:rPr>
              <w:t xml:space="preserve">Using the pedagogical principal 10, which emphasises encouraging students to take increasing responsibility for their own </w:t>
            </w:r>
            <w:r w:rsidRPr="2115F02B" w:rsidR="3BED0B03">
              <w:rPr>
                <w:rFonts w:ascii="Calibri" w:hAnsi="Calibri" w:eastAsia="Calibri" w:cs="Calibri"/>
                <w:color w:val="000000" w:themeColor="text1" w:themeTint="FF" w:themeShade="FF"/>
              </w:rPr>
              <w:t>learning</w:t>
            </w:r>
            <w:r w:rsidRPr="2115F02B" w:rsidR="2115F02B">
              <w:rPr>
                <w:rFonts w:ascii="Calibri" w:hAnsi="Calibri" w:eastAsia="Calibri" w:cs="Calibri"/>
                <w:color w:val="000000" w:themeColor="text1" w:themeTint="FF" w:themeShade="FF"/>
              </w:rPr>
              <w:t xml:space="preserve">, the </w:t>
            </w:r>
            <w:r w:rsidRPr="2115F02B" w:rsidR="2FC9CE65">
              <w:rPr>
                <w:rFonts w:ascii="Calibri" w:hAnsi="Calibri" w:eastAsia="Calibri" w:cs="Calibri"/>
                <w:color w:val="000000" w:themeColor="text1" w:themeTint="FF" w:themeShade="FF"/>
              </w:rPr>
              <w:t>teacher's</w:t>
            </w:r>
            <w:r w:rsidRPr="2115F02B" w:rsidR="2115F02B">
              <w:rPr>
                <w:rFonts w:ascii="Calibri" w:hAnsi="Calibri" w:eastAsia="Calibri" w:cs="Calibri"/>
                <w:color w:val="000000" w:themeColor="text1" w:themeTint="FF" w:themeShade="FF"/>
              </w:rPr>
              <w:t xml:space="preserve"> role in this task will be intentionally limited. However, for students who may need </w:t>
            </w:r>
            <w:r w:rsidRPr="2115F02B" w:rsidR="2115F02B">
              <w:rPr>
                <w:rFonts w:ascii="Calibri" w:hAnsi="Calibri" w:eastAsia="Calibri" w:cs="Calibri"/>
                <w:color w:val="000000" w:themeColor="text1" w:themeTint="FF" w:themeShade="FF"/>
              </w:rPr>
              <w:t>additional</w:t>
            </w:r>
            <w:r w:rsidRPr="2115F02B" w:rsidR="2115F02B">
              <w:rPr>
                <w:rFonts w:ascii="Calibri" w:hAnsi="Calibri" w:eastAsia="Calibri" w:cs="Calibri"/>
                <w:color w:val="000000" w:themeColor="text1" w:themeTint="FF" w:themeShade="FF"/>
              </w:rPr>
              <w:t xml:space="preserve"> support the teacher will provide guidance and clarification to address any uncertainties they may </w:t>
            </w:r>
            <w:r w:rsidRPr="2115F02B" w:rsidR="2115F02B">
              <w:rPr>
                <w:rFonts w:ascii="Calibri" w:hAnsi="Calibri" w:eastAsia="Calibri" w:cs="Calibri"/>
                <w:color w:val="000000" w:themeColor="text1" w:themeTint="FF" w:themeShade="FF"/>
              </w:rPr>
              <w:t>encounter</w:t>
            </w:r>
            <w:r w:rsidRPr="2115F02B" w:rsidR="2115F02B">
              <w:rPr>
                <w:rFonts w:ascii="Calibri" w:hAnsi="Calibri" w:eastAsia="Calibri" w:cs="Calibri"/>
                <w:color w:val="000000" w:themeColor="text1" w:themeTint="FF" w:themeShade="FF"/>
              </w:rPr>
              <w:t>.</w:t>
            </w:r>
          </w:p>
        </w:tc>
        <w:tc>
          <w:tcPr>
            <w:tcW w:w="273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46503A87" w14:textId="1D6FA8E5">
            <w:pPr>
              <w:spacing w:before="240" w:beforeAutospacing="off" w:after="240" w:afterAutospacing="off"/>
            </w:pPr>
            <w:r w:rsidRPr="2115F02B" w:rsidR="2115F02B">
              <w:rPr>
                <w:rFonts w:ascii="Arial" w:hAnsi="Arial" w:eastAsia="Arial" w:cs="Arial"/>
                <w:color w:val="000000" w:themeColor="text1" w:themeTint="FF" w:themeShade="FF"/>
              </w:rPr>
              <w:t xml:space="preserve">Students will have a display </w:t>
            </w:r>
            <w:r w:rsidRPr="2115F02B" w:rsidR="76713D8C">
              <w:rPr>
                <w:rFonts w:ascii="Arial" w:hAnsi="Arial" w:eastAsia="Arial" w:cs="Arial"/>
                <w:color w:val="000000" w:themeColor="text1" w:themeTint="FF" w:themeShade="FF"/>
              </w:rPr>
              <w:t>Infront</w:t>
            </w:r>
            <w:r w:rsidRPr="2115F02B" w:rsidR="2115F02B">
              <w:rPr>
                <w:rFonts w:ascii="Arial" w:hAnsi="Arial" w:eastAsia="Arial" w:cs="Arial"/>
                <w:color w:val="000000" w:themeColor="text1" w:themeTint="FF" w:themeShade="FF"/>
              </w:rPr>
              <w:t xml:space="preserve"> of them depicting three distinct habitats: the forest, the sea, and a farm. They will be provided with multiple figurines, each </w:t>
            </w:r>
            <w:r w:rsidRPr="2115F02B" w:rsidR="2115F02B">
              <w:rPr>
                <w:rFonts w:ascii="Arial" w:hAnsi="Arial" w:eastAsia="Arial" w:cs="Arial"/>
                <w:color w:val="000000" w:themeColor="text1" w:themeTint="FF" w:themeShade="FF"/>
              </w:rPr>
              <w:t>representing</w:t>
            </w:r>
            <w:r w:rsidRPr="2115F02B" w:rsidR="2115F02B">
              <w:rPr>
                <w:rFonts w:ascii="Arial" w:hAnsi="Arial" w:eastAsia="Arial" w:cs="Arial"/>
                <w:color w:val="000000" w:themeColor="text1" w:themeTint="FF" w:themeShade="FF"/>
              </w:rPr>
              <w:t xml:space="preserve"> an animal that belongs to one of these habitats. The task will require students to correctly </w:t>
            </w:r>
            <w:r w:rsidRPr="2115F02B" w:rsidR="2115F02B">
              <w:rPr>
                <w:rFonts w:ascii="Arial" w:hAnsi="Arial" w:eastAsia="Arial" w:cs="Arial"/>
                <w:color w:val="000000" w:themeColor="text1" w:themeTint="FF" w:themeShade="FF"/>
              </w:rPr>
              <w:t>identify</w:t>
            </w:r>
            <w:r w:rsidRPr="2115F02B" w:rsidR="2115F02B">
              <w:rPr>
                <w:rFonts w:ascii="Arial" w:hAnsi="Arial" w:eastAsia="Arial" w:cs="Arial"/>
                <w:color w:val="000000" w:themeColor="text1" w:themeTint="FF" w:themeShade="FF"/>
              </w:rPr>
              <w:t xml:space="preserve"> which figurine corresponds to which habitat.</w:t>
            </w:r>
          </w:p>
        </w:tc>
        <w:tc>
          <w:tcPr>
            <w:tcW w:w="183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79FDE00D" w14:textId="1D011ECF">
            <w:pPr>
              <w:spacing w:before="240" w:beforeAutospacing="off" w:after="240" w:afterAutospacing="off"/>
            </w:pPr>
            <w:r w:rsidRPr="2115F02B" w:rsidR="2115F02B">
              <w:rPr>
                <w:rFonts w:ascii="Arial" w:hAnsi="Arial" w:eastAsia="Arial" w:cs="Arial"/>
                <w:color w:val="000000" w:themeColor="text1" w:themeTint="FF" w:themeShade="FF"/>
              </w:rPr>
              <w:t xml:space="preserve">Using the gradual release of </w:t>
            </w:r>
            <w:r w:rsidRPr="2115F02B" w:rsidR="41A51626">
              <w:rPr>
                <w:rFonts w:ascii="Arial" w:hAnsi="Arial" w:eastAsia="Arial" w:cs="Arial"/>
                <w:color w:val="000000" w:themeColor="text1" w:themeTint="FF" w:themeShade="FF"/>
              </w:rPr>
              <w:t>responsibility</w:t>
            </w:r>
            <w:r w:rsidRPr="2115F02B" w:rsidR="2115F02B">
              <w:rPr>
                <w:rFonts w:ascii="Arial" w:hAnsi="Arial" w:eastAsia="Arial" w:cs="Arial"/>
                <w:color w:val="000000" w:themeColor="text1" w:themeTint="FF" w:themeShade="FF"/>
              </w:rPr>
              <w:t xml:space="preserve"> model, I will begin by offering more support and gradually reduce it as students gain confidence and skills, </w:t>
            </w:r>
            <w:r w:rsidRPr="2115F02B" w:rsidR="2115F02B">
              <w:rPr>
                <w:rFonts w:ascii="Arial" w:hAnsi="Arial" w:eastAsia="Arial" w:cs="Arial"/>
                <w:color w:val="000000" w:themeColor="text1" w:themeTint="FF" w:themeShade="FF"/>
              </w:rPr>
              <w:t>ultimately allowing</w:t>
            </w:r>
            <w:r w:rsidRPr="2115F02B" w:rsidR="2115F02B">
              <w:rPr>
                <w:rFonts w:ascii="Arial" w:hAnsi="Arial" w:eastAsia="Arial" w:cs="Arial"/>
                <w:color w:val="000000" w:themeColor="text1" w:themeTint="FF" w:themeShade="FF"/>
              </w:rPr>
              <w:t xml:space="preserve"> them to work </w:t>
            </w:r>
            <w:r w:rsidRPr="2115F02B" w:rsidR="25CBA408">
              <w:rPr>
                <w:rFonts w:ascii="Arial" w:hAnsi="Arial" w:eastAsia="Arial" w:cs="Arial"/>
                <w:color w:val="000000" w:themeColor="text1" w:themeTint="FF" w:themeShade="FF"/>
              </w:rPr>
              <w:t>independently. Initially</w:t>
            </w:r>
            <w:r w:rsidRPr="2115F02B" w:rsidR="2115F02B">
              <w:rPr>
                <w:rFonts w:ascii="Arial" w:hAnsi="Arial" w:eastAsia="Arial" w:cs="Arial"/>
                <w:color w:val="000000" w:themeColor="text1" w:themeTint="FF" w:themeShade="FF"/>
              </w:rPr>
              <w:t xml:space="preserve">, I will </w:t>
            </w:r>
            <w:r w:rsidRPr="2115F02B" w:rsidR="2115F02B">
              <w:rPr>
                <w:rFonts w:ascii="Arial" w:hAnsi="Arial" w:eastAsia="Arial" w:cs="Arial"/>
                <w:color w:val="000000" w:themeColor="text1" w:themeTint="FF" w:themeShade="FF"/>
              </w:rPr>
              <w:t>provide</w:t>
            </w:r>
            <w:r w:rsidRPr="2115F02B" w:rsidR="2115F02B">
              <w:rPr>
                <w:rFonts w:ascii="Arial" w:hAnsi="Arial" w:eastAsia="Arial" w:cs="Arial"/>
                <w:color w:val="000000" w:themeColor="text1" w:themeTint="FF" w:themeShade="FF"/>
              </w:rPr>
              <w:t xml:space="preserve"> the correct answers for a few of the animals. As the lesson progresses, I will offer </w:t>
            </w:r>
            <w:r w:rsidRPr="2115F02B" w:rsidR="2115F02B">
              <w:rPr>
                <w:rFonts w:ascii="Arial" w:hAnsi="Arial" w:eastAsia="Arial" w:cs="Arial"/>
                <w:color w:val="000000" w:themeColor="text1" w:themeTint="FF" w:themeShade="FF"/>
              </w:rPr>
              <w:t>promting</w:t>
            </w:r>
            <w:r w:rsidRPr="2115F02B" w:rsidR="2115F02B">
              <w:rPr>
                <w:rFonts w:ascii="Arial" w:hAnsi="Arial" w:eastAsia="Arial" w:cs="Arial"/>
                <w:color w:val="000000" w:themeColor="text1" w:themeTint="FF" w:themeShade="FF"/>
              </w:rPr>
              <w:t xml:space="preserve"> questions to guide students toward the correct answers. Over time, students will be empowered to complete the task on their own will minimal teacher intervention.</w:t>
            </w:r>
          </w:p>
        </w:tc>
        <w:tc>
          <w:tcPr>
            <w:tcW w:w="167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519CE3D8" w14:textId="55328382">
            <w:pPr>
              <w:spacing w:before="240" w:beforeAutospacing="off" w:after="240" w:afterAutospacing="off"/>
            </w:pPr>
            <w:r w:rsidRPr="2115F02B" w:rsidR="2115F02B">
              <w:rPr>
                <w:rFonts w:ascii="Arial" w:hAnsi="Arial" w:eastAsia="Arial" w:cs="Arial"/>
                <w:color w:val="000000" w:themeColor="text1" w:themeTint="FF" w:themeShade="FF"/>
              </w:rPr>
              <w:t>As this part of the task should remain brief and allow the students to primarily use their prior knowledge to complete the task without additional interruptions, the sole AFL strategy employed will be observation. This involves actively monitoring students during the activity to assess their enagagement, understanding, and practical skills.</w:t>
            </w:r>
          </w:p>
        </w:tc>
      </w:tr>
      <w:tr w:rsidR="2115F02B" w:rsidTr="2115F02B" w14:paraId="51AD4369">
        <w:trPr>
          <w:trHeight w:val="4605"/>
        </w:trPr>
        <w:tc>
          <w:tcPr>
            <w:tcW w:w="714"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466B9BF0" w14:textId="577DF71A">
            <w:pPr>
              <w:spacing w:before="240" w:beforeAutospacing="off" w:after="240" w:afterAutospacing="off"/>
            </w:pPr>
            <w:r w:rsidRPr="2115F02B" w:rsidR="2115F02B">
              <w:rPr>
                <w:rFonts w:ascii="Arial" w:hAnsi="Arial" w:eastAsia="Arial" w:cs="Arial"/>
                <w:color w:val="000000" w:themeColor="text1" w:themeTint="FF" w:themeShade="FF"/>
              </w:rPr>
              <w:t xml:space="preserve">30 minutes </w:t>
            </w:r>
          </w:p>
        </w:tc>
        <w:tc>
          <w:tcPr>
            <w:tcW w:w="219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6E610264" w14:textId="6F7F5E7D">
            <w:pPr>
              <w:spacing w:before="240" w:beforeAutospacing="off" w:after="240" w:afterAutospacing="off"/>
            </w:pPr>
            <w:r w:rsidRPr="2115F02B" w:rsidR="2115F02B">
              <w:rPr>
                <w:rFonts w:ascii="Calibri" w:hAnsi="Calibri" w:eastAsia="Calibri" w:cs="Calibri"/>
                <w:color w:val="000000" w:themeColor="text1" w:themeTint="FF" w:themeShade="FF"/>
              </w:rPr>
              <w:t xml:space="preserve">The final task aligns with Pedagogical Principle 2, which emphasises </w:t>
            </w:r>
            <w:r w:rsidRPr="2115F02B" w:rsidR="3BECDC59">
              <w:rPr>
                <w:rFonts w:ascii="Calibri" w:hAnsi="Calibri" w:eastAsia="Calibri" w:cs="Calibri"/>
                <w:color w:val="000000" w:themeColor="text1" w:themeTint="FF" w:themeShade="FF"/>
              </w:rPr>
              <w:t>challenging</w:t>
            </w:r>
            <w:r w:rsidRPr="2115F02B" w:rsidR="2115F02B">
              <w:rPr>
                <w:rFonts w:ascii="Calibri" w:hAnsi="Calibri" w:eastAsia="Calibri" w:cs="Calibri"/>
                <w:color w:val="000000" w:themeColor="text1" w:themeTint="FF" w:themeShade="FF"/>
              </w:rPr>
              <w:t xml:space="preserve"> all learners by encouraging them to understand the importance of sustained effort in meeting high but achievable expectations. Before the task begins, the teacher will provide a demonstration, as it may initially appear intimidating. After the demonstration, teacher involvement will be minimal, with support offered only when </w:t>
            </w:r>
            <w:r w:rsidRPr="2115F02B" w:rsidR="3348C426">
              <w:rPr>
                <w:rFonts w:ascii="Calibri" w:hAnsi="Calibri" w:eastAsia="Calibri" w:cs="Calibri"/>
                <w:color w:val="000000" w:themeColor="text1" w:themeTint="FF" w:themeShade="FF"/>
              </w:rPr>
              <w:t>necessary</w:t>
            </w:r>
            <w:r w:rsidRPr="2115F02B" w:rsidR="2115F02B">
              <w:rPr>
                <w:rFonts w:ascii="Calibri" w:hAnsi="Calibri" w:eastAsia="Calibri" w:cs="Calibri"/>
                <w:color w:val="000000" w:themeColor="text1" w:themeTint="FF" w:themeShade="FF"/>
              </w:rPr>
              <w:t>.</w:t>
            </w:r>
          </w:p>
        </w:tc>
        <w:tc>
          <w:tcPr>
            <w:tcW w:w="2739"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7E7124B2" w14:textId="0FCCBB13">
            <w:pPr>
              <w:spacing w:before="240" w:beforeAutospacing="off" w:after="240" w:afterAutospacing="off"/>
            </w:pPr>
            <w:r w:rsidRPr="2115F02B" w:rsidR="2115F02B">
              <w:rPr>
                <w:rFonts w:ascii="Arial" w:hAnsi="Arial" w:eastAsia="Arial" w:cs="Arial"/>
                <w:color w:val="000000" w:themeColor="text1" w:themeTint="FF" w:themeShade="FF"/>
              </w:rPr>
              <w:t xml:space="preserve">The students will be provided with a partially completed bar chart, where the axis </w:t>
            </w:r>
            <w:r w:rsidRPr="2115F02B" w:rsidR="52EDD6A6">
              <w:rPr>
                <w:rFonts w:ascii="Arial" w:hAnsi="Arial" w:eastAsia="Arial" w:cs="Arial"/>
                <w:color w:val="000000" w:themeColor="text1" w:themeTint="FF" w:themeShade="FF"/>
              </w:rPr>
              <w:t>is</w:t>
            </w:r>
            <w:r w:rsidRPr="2115F02B" w:rsidR="2115F02B">
              <w:rPr>
                <w:rFonts w:ascii="Arial" w:hAnsi="Arial" w:eastAsia="Arial" w:cs="Arial"/>
                <w:color w:val="000000" w:themeColor="text1" w:themeTint="FF" w:themeShade="FF"/>
              </w:rPr>
              <w:t xml:space="preserve"> already drawn. They will then use the data they </w:t>
            </w:r>
            <w:r w:rsidRPr="2115F02B" w:rsidR="35327F57">
              <w:rPr>
                <w:rFonts w:ascii="Arial" w:hAnsi="Arial" w:eastAsia="Arial" w:cs="Arial"/>
                <w:color w:val="000000" w:themeColor="text1" w:themeTint="FF" w:themeShade="FF"/>
              </w:rPr>
              <w:t>collected</w:t>
            </w:r>
            <w:r w:rsidRPr="2115F02B" w:rsidR="2115F02B">
              <w:rPr>
                <w:rFonts w:ascii="Arial" w:hAnsi="Arial" w:eastAsia="Arial" w:cs="Arial"/>
                <w:color w:val="000000" w:themeColor="text1" w:themeTint="FF" w:themeShade="FF"/>
              </w:rPr>
              <w:t xml:space="preserve"> to complete the chart. For example, if they </w:t>
            </w:r>
            <w:r w:rsidRPr="2115F02B" w:rsidR="2115F02B">
              <w:rPr>
                <w:rFonts w:ascii="Arial" w:hAnsi="Arial" w:eastAsia="Arial" w:cs="Arial"/>
                <w:color w:val="000000" w:themeColor="text1" w:themeTint="FF" w:themeShade="FF"/>
              </w:rPr>
              <w:t>identified</w:t>
            </w:r>
            <w:r w:rsidRPr="2115F02B" w:rsidR="2115F02B">
              <w:rPr>
                <w:rFonts w:ascii="Arial" w:hAnsi="Arial" w:eastAsia="Arial" w:cs="Arial"/>
                <w:color w:val="000000" w:themeColor="text1" w:themeTint="FF" w:themeShade="FF"/>
              </w:rPr>
              <w:t xml:space="preserve"> five forest animals, they </w:t>
            </w:r>
            <w:r w:rsidRPr="2115F02B" w:rsidR="040D5470">
              <w:rPr>
                <w:rFonts w:ascii="Arial" w:hAnsi="Arial" w:eastAsia="Arial" w:cs="Arial"/>
                <w:color w:val="000000" w:themeColor="text1" w:themeTint="FF" w:themeShade="FF"/>
              </w:rPr>
              <w:t>would</w:t>
            </w:r>
            <w:r w:rsidRPr="2115F02B" w:rsidR="2115F02B">
              <w:rPr>
                <w:rFonts w:ascii="Arial" w:hAnsi="Arial" w:eastAsia="Arial" w:cs="Arial"/>
                <w:color w:val="000000" w:themeColor="text1" w:themeTint="FF" w:themeShade="FF"/>
              </w:rPr>
              <w:t xml:space="preserve"> </w:t>
            </w:r>
            <w:r w:rsidRPr="2115F02B" w:rsidR="61B6B82C">
              <w:rPr>
                <w:rFonts w:ascii="Arial" w:hAnsi="Arial" w:eastAsia="Arial" w:cs="Arial"/>
                <w:color w:val="000000" w:themeColor="text1" w:themeTint="FF" w:themeShade="FF"/>
              </w:rPr>
              <w:t>draw</w:t>
            </w:r>
            <w:r w:rsidRPr="2115F02B" w:rsidR="2115F02B">
              <w:rPr>
                <w:rFonts w:ascii="Arial" w:hAnsi="Arial" w:eastAsia="Arial" w:cs="Arial"/>
                <w:color w:val="000000" w:themeColor="text1" w:themeTint="FF" w:themeShade="FF"/>
              </w:rPr>
              <w:t xml:space="preserve"> the bar up to the number 5. Upon completion, students will be asked to add illustrations to each bar to visually </w:t>
            </w:r>
            <w:r w:rsidRPr="2115F02B" w:rsidR="26D25936">
              <w:rPr>
                <w:rFonts w:ascii="Arial" w:hAnsi="Arial" w:eastAsia="Arial" w:cs="Arial"/>
                <w:color w:val="000000" w:themeColor="text1" w:themeTint="FF" w:themeShade="FF"/>
              </w:rPr>
              <w:t>represent</w:t>
            </w:r>
            <w:r w:rsidRPr="2115F02B" w:rsidR="2115F02B">
              <w:rPr>
                <w:rFonts w:ascii="Arial" w:hAnsi="Arial" w:eastAsia="Arial" w:cs="Arial"/>
                <w:color w:val="000000" w:themeColor="text1" w:themeTint="FF" w:themeShade="FF"/>
              </w:rPr>
              <w:t xml:space="preserve"> the corresponding habitat. </w:t>
            </w:r>
          </w:p>
        </w:tc>
        <w:tc>
          <w:tcPr>
            <w:tcW w:w="183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2B963217" w14:textId="1610C4B7">
            <w:pPr>
              <w:spacing w:before="240" w:beforeAutospacing="off" w:after="240" w:afterAutospacing="off"/>
            </w:pPr>
            <w:r w:rsidRPr="2115F02B" w:rsidR="2115F02B">
              <w:rPr>
                <w:rFonts w:ascii="Arial" w:hAnsi="Arial" w:eastAsia="Arial" w:cs="Arial"/>
                <w:color w:val="000000" w:themeColor="text1" w:themeTint="FF" w:themeShade="FF"/>
              </w:rPr>
              <w:t xml:space="preserve">Given the range of abilities, some students may find this task challenging to complete individually within the </w:t>
            </w:r>
            <w:r w:rsidRPr="2115F02B" w:rsidR="2115F02B">
              <w:rPr>
                <w:rFonts w:ascii="Arial" w:hAnsi="Arial" w:eastAsia="Arial" w:cs="Arial"/>
                <w:color w:val="000000" w:themeColor="text1" w:themeTint="FF" w:themeShade="FF"/>
              </w:rPr>
              <w:t>allocated</w:t>
            </w:r>
            <w:r w:rsidRPr="2115F02B" w:rsidR="2115F02B">
              <w:rPr>
                <w:rFonts w:ascii="Arial" w:hAnsi="Arial" w:eastAsia="Arial" w:cs="Arial"/>
                <w:color w:val="000000" w:themeColor="text1" w:themeTint="FF" w:themeShade="FF"/>
              </w:rPr>
              <w:t xml:space="preserve"> time. For these students, I will employ a “breaking the task into steps” strategy. By dividing the task into smaller, more </w:t>
            </w:r>
            <w:r w:rsidRPr="2115F02B" w:rsidR="336E59FF">
              <w:rPr>
                <w:rFonts w:ascii="Arial" w:hAnsi="Arial" w:eastAsia="Arial" w:cs="Arial"/>
                <w:color w:val="000000" w:themeColor="text1" w:themeTint="FF" w:themeShade="FF"/>
              </w:rPr>
              <w:t>manageable</w:t>
            </w:r>
            <w:r w:rsidRPr="2115F02B" w:rsidR="2115F02B">
              <w:rPr>
                <w:rFonts w:ascii="Arial" w:hAnsi="Arial" w:eastAsia="Arial" w:cs="Arial"/>
                <w:color w:val="000000" w:themeColor="text1" w:themeTint="FF" w:themeShade="FF"/>
              </w:rPr>
              <w:t xml:space="preserve"> components, students can focus on one step at a time, reducing the </w:t>
            </w:r>
            <w:r w:rsidRPr="2115F02B" w:rsidR="0C80C693">
              <w:rPr>
                <w:rFonts w:ascii="Arial" w:hAnsi="Arial" w:eastAsia="Arial" w:cs="Arial"/>
                <w:color w:val="000000" w:themeColor="text1" w:themeTint="FF" w:themeShade="FF"/>
              </w:rPr>
              <w:t>likelihood</w:t>
            </w:r>
            <w:r w:rsidRPr="2115F02B" w:rsidR="2115F02B">
              <w:rPr>
                <w:rFonts w:ascii="Arial" w:hAnsi="Arial" w:eastAsia="Arial" w:cs="Arial"/>
                <w:color w:val="000000" w:themeColor="text1" w:themeTint="FF" w:themeShade="FF"/>
              </w:rPr>
              <w:t xml:space="preserve"> of feeling overwhelmed </w:t>
            </w:r>
          </w:p>
        </w:tc>
        <w:tc>
          <w:tcPr>
            <w:tcW w:w="167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2115F02B" w:rsidP="2115F02B" w:rsidRDefault="2115F02B" w14:paraId="15362886" w14:textId="32C1BAB7">
            <w:pPr>
              <w:spacing w:before="240" w:beforeAutospacing="off" w:after="240" w:afterAutospacing="off"/>
            </w:pPr>
            <w:r w:rsidRPr="2115F02B" w:rsidR="2115F02B">
              <w:rPr>
                <w:rFonts w:ascii="Arial" w:hAnsi="Arial" w:eastAsia="Arial" w:cs="Arial"/>
                <w:color w:val="000000" w:themeColor="text1" w:themeTint="FF" w:themeShade="FF"/>
              </w:rPr>
              <w:t xml:space="preserve">During this task, I will provide ongoing feedback, offering </w:t>
            </w:r>
            <w:r w:rsidRPr="2115F02B" w:rsidR="2115F02B">
              <w:rPr>
                <w:rFonts w:ascii="Arial" w:hAnsi="Arial" w:eastAsia="Arial" w:cs="Arial"/>
                <w:color w:val="000000" w:themeColor="text1" w:themeTint="FF" w:themeShade="FF"/>
              </w:rPr>
              <w:t>timely</w:t>
            </w:r>
            <w:r w:rsidRPr="2115F02B" w:rsidR="2115F02B">
              <w:rPr>
                <w:rFonts w:ascii="Arial" w:hAnsi="Arial" w:eastAsia="Arial" w:cs="Arial"/>
                <w:color w:val="000000" w:themeColor="text1" w:themeTint="FF" w:themeShade="FF"/>
              </w:rPr>
              <w:t xml:space="preserve"> and constructive comments on students work. This will involve highlighting strengths, </w:t>
            </w:r>
            <w:r w:rsidRPr="2115F02B" w:rsidR="2115F02B">
              <w:rPr>
                <w:rFonts w:ascii="Arial" w:hAnsi="Arial" w:eastAsia="Arial" w:cs="Arial"/>
                <w:color w:val="000000" w:themeColor="text1" w:themeTint="FF" w:themeShade="FF"/>
              </w:rPr>
              <w:t>identifying</w:t>
            </w:r>
            <w:r w:rsidRPr="2115F02B" w:rsidR="2115F02B">
              <w:rPr>
                <w:rFonts w:ascii="Arial" w:hAnsi="Arial" w:eastAsia="Arial" w:cs="Arial"/>
                <w:color w:val="000000" w:themeColor="text1" w:themeTint="FF" w:themeShade="FF"/>
              </w:rPr>
              <w:t xml:space="preserve"> areas for improvement, and providing guidance on how to enhance their performance. By giving feedback throughout the process, I can ensure students </w:t>
            </w:r>
            <w:r w:rsidRPr="2115F02B" w:rsidR="4A6907EE">
              <w:rPr>
                <w:rFonts w:ascii="Arial" w:hAnsi="Arial" w:eastAsia="Arial" w:cs="Arial"/>
                <w:color w:val="000000" w:themeColor="text1" w:themeTint="FF" w:themeShade="FF"/>
              </w:rPr>
              <w:t>don't</w:t>
            </w:r>
            <w:r w:rsidRPr="2115F02B" w:rsidR="2115F02B">
              <w:rPr>
                <w:rFonts w:ascii="Arial" w:hAnsi="Arial" w:eastAsia="Arial" w:cs="Arial"/>
                <w:color w:val="000000" w:themeColor="text1" w:themeTint="FF" w:themeShade="FF"/>
              </w:rPr>
              <w:t xml:space="preserve"> continue making mistakes without the </w:t>
            </w:r>
            <w:r w:rsidRPr="2115F02B" w:rsidR="7C651071">
              <w:rPr>
                <w:rFonts w:ascii="Arial" w:hAnsi="Arial" w:eastAsia="Arial" w:cs="Arial"/>
                <w:color w:val="000000" w:themeColor="text1" w:themeTint="FF" w:themeShade="FF"/>
              </w:rPr>
              <w:t>opportunity</w:t>
            </w:r>
            <w:r w:rsidRPr="2115F02B" w:rsidR="2115F02B">
              <w:rPr>
                <w:rFonts w:ascii="Arial" w:hAnsi="Arial" w:eastAsia="Arial" w:cs="Arial"/>
                <w:color w:val="000000" w:themeColor="text1" w:themeTint="FF" w:themeShade="FF"/>
              </w:rPr>
              <w:t xml:space="preserve"> to correct them, fostering a better understanding of the task and reinforcing their learning.</w:t>
            </w:r>
          </w:p>
        </w:tc>
      </w:tr>
    </w:tbl>
    <w:p w:rsidR="313283B6" w:rsidP="313283B6" w:rsidRDefault="313283B6" w14:paraId="6F2EFE51" w14:textId="0DD94AE9">
      <w:pPr>
        <w:spacing w:before="0" w:beforeAutospacing="off" w:after="0" w:afterAutospacing="off"/>
      </w:pPr>
    </w:p>
    <w:p w:rsidR="313283B6" w:rsidP="313283B6" w:rsidRDefault="313283B6" w14:paraId="29BC4EC0" w14:textId="4B4CF470">
      <w:pPr>
        <w:spacing w:before="240" w:beforeAutospacing="off" w:after="240" w:afterAutospacing="off" w:line="360" w:lineRule="auto"/>
      </w:pPr>
      <w:r w:rsidR="4B9BA5A8">
        <w:rPr/>
        <w:t xml:space="preserve">Appendix 1 </w:t>
      </w:r>
    </w:p>
    <w:p w:rsidR="313283B6" w:rsidP="313283B6" w:rsidRDefault="313283B6" w14:paraId="2CD4213F" w14:textId="613BCB23">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13283B6" w:rsidP="313283B6" w:rsidRDefault="313283B6" w14:paraId="298E347E" w14:textId="196C4A59">
      <w:pPr>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yA8nx/op14s3S" int2:id="hwQoCg9O">
      <int2:state int2:type="AugLoop_Text_Critique" int2:value="Rejected"/>
    </int2:textHash>
    <int2:textHash int2:hashCode="O7rXuFsE5qcinq" int2:id="FlXMfxCN">
      <int2:state int2:type="AugLoop_Text_Critique" int2:value="Rejected"/>
    </int2:textHash>
    <int2:textHash int2:hashCode="Y0UROiFW+KpmX2" int2:id="1kX2kDa8">
      <int2:state int2:type="AugLoop_Text_Critique" int2:value="Rejected"/>
    </int2:textHash>
    <int2:bookmark int2:bookmarkName="_Int_SHlPALIB" int2:invalidationBookmarkName="" int2:hashCode="YD+82+V1vFecXo" int2:id="GDSBBiJ7">
      <int2:state int2:type="AugLoop_Text_Critique" int2:value="Rejected"/>
    </int2:bookmark>
    <int2:bookmark int2:bookmarkName="_Int_rS4zrALb" int2:invalidationBookmarkName="" int2:hashCode="0Bt7wti8s+gUfF" int2:id="CHLoWd6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AC6356"/>
    <w:rsid w:val="000356E0"/>
    <w:rsid w:val="0072B241"/>
    <w:rsid w:val="00EB1DFF"/>
    <w:rsid w:val="0133A495"/>
    <w:rsid w:val="0149D54D"/>
    <w:rsid w:val="01E59C6A"/>
    <w:rsid w:val="027389E2"/>
    <w:rsid w:val="031DBC6E"/>
    <w:rsid w:val="033AC5A4"/>
    <w:rsid w:val="040D5470"/>
    <w:rsid w:val="0539716C"/>
    <w:rsid w:val="05593534"/>
    <w:rsid w:val="05F972FD"/>
    <w:rsid w:val="063AF7CF"/>
    <w:rsid w:val="06BA36B2"/>
    <w:rsid w:val="06DF5D54"/>
    <w:rsid w:val="07581390"/>
    <w:rsid w:val="08039FED"/>
    <w:rsid w:val="087F9480"/>
    <w:rsid w:val="08EA0892"/>
    <w:rsid w:val="08EEB5D4"/>
    <w:rsid w:val="08F2369B"/>
    <w:rsid w:val="09984B40"/>
    <w:rsid w:val="09C7147A"/>
    <w:rsid w:val="0ADA921E"/>
    <w:rsid w:val="0B559489"/>
    <w:rsid w:val="0C80C693"/>
    <w:rsid w:val="0D5E1131"/>
    <w:rsid w:val="0E00F794"/>
    <w:rsid w:val="0F84B8BA"/>
    <w:rsid w:val="1004F6FB"/>
    <w:rsid w:val="10FC9C01"/>
    <w:rsid w:val="1105C8A8"/>
    <w:rsid w:val="118CBC1C"/>
    <w:rsid w:val="122A6F0D"/>
    <w:rsid w:val="1273E4C4"/>
    <w:rsid w:val="128984E0"/>
    <w:rsid w:val="12CE5AAE"/>
    <w:rsid w:val="13046227"/>
    <w:rsid w:val="133A23BA"/>
    <w:rsid w:val="134101D9"/>
    <w:rsid w:val="138A62D8"/>
    <w:rsid w:val="13BE6A75"/>
    <w:rsid w:val="13FE4732"/>
    <w:rsid w:val="15AC206A"/>
    <w:rsid w:val="1606145D"/>
    <w:rsid w:val="1624D5A0"/>
    <w:rsid w:val="170CDF2A"/>
    <w:rsid w:val="18481672"/>
    <w:rsid w:val="18F48C71"/>
    <w:rsid w:val="1923B214"/>
    <w:rsid w:val="193F1ADB"/>
    <w:rsid w:val="19E3ADB3"/>
    <w:rsid w:val="1A4402BE"/>
    <w:rsid w:val="20B69243"/>
    <w:rsid w:val="20DF1B41"/>
    <w:rsid w:val="2115F02B"/>
    <w:rsid w:val="2122052F"/>
    <w:rsid w:val="215E7458"/>
    <w:rsid w:val="21C8755B"/>
    <w:rsid w:val="24266AB2"/>
    <w:rsid w:val="2439C29C"/>
    <w:rsid w:val="2539290E"/>
    <w:rsid w:val="25BCAB2E"/>
    <w:rsid w:val="25CBA408"/>
    <w:rsid w:val="26D25936"/>
    <w:rsid w:val="284E815A"/>
    <w:rsid w:val="28AD4D85"/>
    <w:rsid w:val="2924F17D"/>
    <w:rsid w:val="2960160C"/>
    <w:rsid w:val="299495D6"/>
    <w:rsid w:val="2A01FD14"/>
    <w:rsid w:val="2ACFF608"/>
    <w:rsid w:val="2B9A0E07"/>
    <w:rsid w:val="2CB7EA41"/>
    <w:rsid w:val="2E756D14"/>
    <w:rsid w:val="2F508413"/>
    <w:rsid w:val="2FC9CE65"/>
    <w:rsid w:val="3013BA00"/>
    <w:rsid w:val="303F961F"/>
    <w:rsid w:val="313283B6"/>
    <w:rsid w:val="31BDF998"/>
    <w:rsid w:val="321F30B0"/>
    <w:rsid w:val="32842BBC"/>
    <w:rsid w:val="3348C426"/>
    <w:rsid w:val="336E59FF"/>
    <w:rsid w:val="348F15DC"/>
    <w:rsid w:val="3510A7F0"/>
    <w:rsid w:val="35327F57"/>
    <w:rsid w:val="356CB78F"/>
    <w:rsid w:val="35E9C16C"/>
    <w:rsid w:val="366B7797"/>
    <w:rsid w:val="36A6A916"/>
    <w:rsid w:val="372E5E84"/>
    <w:rsid w:val="3745F635"/>
    <w:rsid w:val="375814F8"/>
    <w:rsid w:val="378D9646"/>
    <w:rsid w:val="3A90C970"/>
    <w:rsid w:val="3AEF8F1C"/>
    <w:rsid w:val="3BC3A7B6"/>
    <w:rsid w:val="3BECDC59"/>
    <w:rsid w:val="3BED0B03"/>
    <w:rsid w:val="3CCE0178"/>
    <w:rsid w:val="3E55CC7C"/>
    <w:rsid w:val="3E67CCE5"/>
    <w:rsid w:val="3E770CA3"/>
    <w:rsid w:val="3F2DAAE0"/>
    <w:rsid w:val="3F9A651E"/>
    <w:rsid w:val="4004D8EF"/>
    <w:rsid w:val="40CD4B2B"/>
    <w:rsid w:val="4159F4B6"/>
    <w:rsid w:val="41A51626"/>
    <w:rsid w:val="426750F4"/>
    <w:rsid w:val="42C4965F"/>
    <w:rsid w:val="42FB55E0"/>
    <w:rsid w:val="43112B46"/>
    <w:rsid w:val="43CBB560"/>
    <w:rsid w:val="44854EEF"/>
    <w:rsid w:val="44C4A32A"/>
    <w:rsid w:val="44CB4ABE"/>
    <w:rsid w:val="45A60424"/>
    <w:rsid w:val="46917B8E"/>
    <w:rsid w:val="47341507"/>
    <w:rsid w:val="47EB7603"/>
    <w:rsid w:val="486BF70F"/>
    <w:rsid w:val="491168F6"/>
    <w:rsid w:val="49F9FFE2"/>
    <w:rsid w:val="4A6907EE"/>
    <w:rsid w:val="4B16B62D"/>
    <w:rsid w:val="4B9BA5A8"/>
    <w:rsid w:val="4D31EEA2"/>
    <w:rsid w:val="4DAE8974"/>
    <w:rsid w:val="4DB8D262"/>
    <w:rsid w:val="4EE70ED3"/>
    <w:rsid w:val="4FA12020"/>
    <w:rsid w:val="5112BB54"/>
    <w:rsid w:val="5136C830"/>
    <w:rsid w:val="5191EFD1"/>
    <w:rsid w:val="5242C2C6"/>
    <w:rsid w:val="5269AEBE"/>
    <w:rsid w:val="52C30617"/>
    <w:rsid w:val="52EDD6A6"/>
    <w:rsid w:val="54B97AF5"/>
    <w:rsid w:val="54C6F72E"/>
    <w:rsid w:val="54FBAB28"/>
    <w:rsid w:val="559274ED"/>
    <w:rsid w:val="55BB6D76"/>
    <w:rsid w:val="55D7E6A6"/>
    <w:rsid w:val="560D103B"/>
    <w:rsid w:val="56F95021"/>
    <w:rsid w:val="577A7450"/>
    <w:rsid w:val="57F36291"/>
    <w:rsid w:val="589009C5"/>
    <w:rsid w:val="589308AB"/>
    <w:rsid w:val="58A5957A"/>
    <w:rsid w:val="58DA82A0"/>
    <w:rsid w:val="594FDF6C"/>
    <w:rsid w:val="59C0E5A2"/>
    <w:rsid w:val="5A954D37"/>
    <w:rsid w:val="5B6B99D8"/>
    <w:rsid w:val="5B7B4399"/>
    <w:rsid w:val="5CAECEA2"/>
    <w:rsid w:val="5E963B95"/>
    <w:rsid w:val="5EA61E19"/>
    <w:rsid w:val="5EAC6356"/>
    <w:rsid w:val="5ECA0EE7"/>
    <w:rsid w:val="5EFE283B"/>
    <w:rsid w:val="6019E8F4"/>
    <w:rsid w:val="60275AB0"/>
    <w:rsid w:val="60275AB0"/>
    <w:rsid w:val="60783746"/>
    <w:rsid w:val="60FF25DA"/>
    <w:rsid w:val="615500E2"/>
    <w:rsid w:val="61B6B82C"/>
    <w:rsid w:val="62086EE9"/>
    <w:rsid w:val="625151FA"/>
    <w:rsid w:val="62800706"/>
    <w:rsid w:val="628ACA19"/>
    <w:rsid w:val="62B45F60"/>
    <w:rsid w:val="635F2560"/>
    <w:rsid w:val="63FB873B"/>
    <w:rsid w:val="64DA106D"/>
    <w:rsid w:val="652F99E4"/>
    <w:rsid w:val="654231AF"/>
    <w:rsid w:val="66F3760B"/>
    <w:rsid w:val="67580BA0"/>
    <w:rsid w:val="67D6C19B"/>
    <w:rsid w:val="68347328"/>
    <w:rsid w:val="68520C98"/>
    <w:rsid w:val="685A8870"/>
    <w:rsid w:val="685DAEB6"/>
    <w:rsid w:val="6885B410"/>
    <w:rsid w:val="68ACBF39"/>
    <w:rsid w:val="68D2B893"/>
    <w:rsid w:val="6958073A"/>
    <w:rsid w:val="697849A3"/>
    <w:rsid w:val="699B3965"/>
    <w:rsid w:val="6B9DDCE5"/>
    <w:rsid w:val="6BAE9D73"/>
    <w:rsid w:val="6C43BB4F"/>
    <w:rsid w:val="6C7B47F0"/>
    <w:rsid w:val="6C872E7D"/>
    <w:rsid w:val="6D0319A4"/>
    <w:rsid w:val="6D4DB6B2"/>
    <w:rsid w:val="6D5F2FE6"/>
    <w:rsid w:val="6E28C50D"/>
    <w:rsid w:val="6ED89181"/>
    <w:rsid w:val="6F191710"/>
    <w:rsid w:val="6FEB18B4"/>
    <w:rsid w:val="700DE3A1"/>
    <w:rsid w:val="705385E1"/>
    <w:rsid w:val="70CFE4E0"/>
    <w:rsid w:val="71193DCD"/>
    <w:rsid w:val="720A5066"/>
    <w:rsid w:val="73100CC1"/>
    <w:rsid w:val="738EA19B"/>
    <w:rsid w:val="73EABA2F"/>
    <w:rsid w:val="747D2B78"/>
    <w:rsid w:val="75644D30"/>
    <w:rsid w:val="758A87F3"/>
    <w:rsid w:val="75A62341"/>
    <w:rsid w:val="76026E01"/>
    <w:rsid w:val="766C6932"/>
    <w:rsid w:val="76713D8C"/>
    <w:rsid w:val="769BBF2E"/>
    <w:rsid w:val="76A26444"/>
    <w:rsid w:val="76DAEAD3"/>
    <w:rsid w:val="7808EC56"/>
    <w:rsid w:val="78A8B2BB"/>
    <w:rsid w:val="7A0A8F7A"/>
    <w:rsid w:val="7A333F93"/>
    <w:rsid w:val="7AF80023"/>
    <w:rsid w:val="7B706632"/>
    <w:rsid w:val="7C651071"/>
    <w:rsid w:val="7C80454E"/>
    <w:rsid w:val="7CE9F2C1"/>
    <w:rsid w:val="7D776BA6"/>
    <w:rsid w:val="7DE8CF04"/>
    <w:rsid w:val="7DFA9342"/>
    <w:rsid w:val="7E421EB5"/>
    <w:rsid w:val="7E804A05"/>
    <w:rsid w:val="7EE582B9"/>
    <w:rsid w:val="7F9402FC"/>
    <w:rsid w:val="7FA70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C6356"/>
  <w15:chartTrackingRefBased/>
  <w15:docId w15:val="{21B8CA18-FFA5-4578-A35A-31EB5ED03C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3283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trathprints.strath.ac.uk/85200/7/Scott_EC_2022_Classroom_influencer.pdf" TargetMode="External" Id="R7c6952018a084a2d" /><Relationship Type="http://schemas.openxmlformats.org/officeDocument/2006/relationships/hyperlink" Target="https://www.gov.wales/sites/default/files/publications/2020-10/review-of-school-spending-in-wales.pdf" TargetMode="External" Id="Rb040272a467547c2" /><Relationship Type="http://schemas.openxmlformats.org/officeDocument/2006/relationships/hyperlink" Target="https://sphero.com/blogs/news/cross-curricular-teaching" TargetMode="External" Id="R528a0c883539467a" /><Relationship Type="http://schemas.openxmlformats.org/officeDocument/2006/relationships/hyperlink" Target="https://www.youtube.com/watch?v=Am1wg46OsCE" TargetMode="External" Id="R5cb1d505d1e443be" /><Relationship Type="http://schemas.openxmlformats.org/officeDocument/2006/relationships/hyperlink" Target="https://my.chartered.college/impact_article/redrawing-the-cross-curricular-map-an-interdisciplinary-approach-to-curriculum-design-across-the-humanities/" TargetMode="External" Id="Rc6bdead399b34046" /><Relationship Type="http://schemas.openxmlformats.org/officeDocument/2006/relationships/hyperlink" Target="https://support-for-early-career-teachers.education.gov.uk/education-development-trust/year-1-the-importance-of-subject-and-curriculum-knowledge/spring-week-1-ect-evidence/" TargetMode="External" Id="Rbd90e043b0cb4375" /><Relationship Type="http://schemas.openxmlformats.org/officeDocument/2006/relationships/hyperlink" Target="https://estyn.gov.wales/improvement-resources/whole-school-planning-for-developing-pupils-skills-across-the-curriculum/" TargetMode="External" Id="Rfede9e1dfbf0443d" /><Relationship Type="http://schemas.openxmlformats.org/officeDocument/2006/relationships/hyperlink" Target="https://hwb.gov.wales/curriculum-for-wales/expressive-arts/designing-your-curriculum" TargetMode="External" Id="Rf8c2788a0c484057" /><Relationship Type="http://schemas.openxmlformats.org/officeDocument/2006/relationships/hyperlink" Target="https://www.edsurge.com/news/2019-09-03-differentiation-is-hard-but-necessary-don-t-worry-there-s-help" TargetMode="External" Id="R1dd3abda58264293" /><Relationship Type="http://schemas.openxmlformats.org/officeDocument/2006/relationships/hyperlink" Target="https://www.sciencefix.co.uk/2021/02/science-and-literacy/" TargetMode="External" Id="R12ade25399fe417a" /><Relationship Type="http://schemas.openxmlformats.org/officeDocument/2006/relationships/hyperlink" Target="https://www.gov.uk/government/speeches/hmci-commentary-curriculum-and-the-new-education-inspection-framework" TargetMode="External" Id="R841a7bd59ff04eb0" /><Relationship Type="http://schemas.openxmlformats.org/officeDocument/2006/relationships/hyperlink" Target="https://hwb.gov.wales/curriculum-for-wales/designing-your-curriculum/developing-a-vision-for-curriculum-design" TargetMode="External" Id="R78d0d2cb782f414d" /><Relationship Type="http://schemas.microsoft.com/office/2020/10/relationships/intelligence" Target="/word/intelligence2.xml" Id="Ra8e4cd3131904b13" /><Relationship Type="http://schemas.openxmlformats.org/officeDocument/2006/relationships/hyperlink" Target="https://www.gov.wales/sites/default/files/publications/2023-06/curriculum-for-wales-statements-of-what-matters-code.pdf" TargetMode="External" Id="Rbd0b8c22e99347d0" /><Relationship Type="http://schemas.openxmlformats.org/officeDocument/2006/relationships/image" Target="/media/imaged.jpg" Id="R4f8ae394db2843fb" /><Relationship Type="http://schemas.openxmlformats.org/officeDocument/2006/relationships/image" Target="/media/imagee.jpg" Id="R6951b535f5fe435d" /><Relationship Type="http://schemas.openxmlformats.org/officeDocument/2006/relationships/image" Target="/media/imagef.jpg" Id="R426ab305980c4661" /><Relationship Type="http://schemas.openxmlformats.org/officeDocument/2006/relationships/image" Target="/media/image10.jpg" Id="Rba738db5216c4108" /><Relationship Type="http://schemas.openxmlformats.org/officeDocument/2006/relationships/image" Target="/media/image11.jpg" Id="R95b7013507a6436e" /><Relationship Type="http://schemas.openxmlformats.org/officeDocument/2006/relationships/image" Target="/media/image12.jpg" Id="Rac2b67c324ad4e6a" /><Relationship Type="http://schemas.openxmlformats.org/officeDocument/2006/relationships/image" Target="/media/image13.jpg" Id="R7cb69df7aa93402f" /><Relationship Type="http://schemas.openxmlformats.org/officeDocument/2006/relationships/hyperlink" Target="https://hwb.gov.wales/curriculum-for-wales/cross-curricular-skills-frameworks/" TargetMode="External" Id="R3ca19c2a60a042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Wright (2416782)</dc:creator>
  <keywords/>
  <dc:description/>
  <lastModifiedBy>Lily Wright (2416782)</lastModifiedBy>
  <revision>4</revision>
  <dcterms:created xsi:type="dcterms:W3CDTF">2025-02-26T15:53:42.7109049Z</dcterms:created>
  <dcterms:modified xsi:type="dcterms:W3CDTF">2025-03-03T16:14:22.2064456Z</dcterms:modified>
</coreProperties>
</file>