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AEF3CD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36F3B">
              <w:rPr>
                <w:rFonts w:ascii="Times New Roman" w:hAnsi="Times New Roman" w:cs="Times New Roman"/>
                <w:b/>
                <w:color w:val="auto"/>
                <w:sz w:val="48"/>
              </w:rPr>
              <w:t>Lisa Sinnott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794577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36F3B">
              <w:rPr>
                <w:rFonts w:ascii="Times New Roman" w:hAnsi="Times New Roman" w:cs="Times New Roman"/>
                <w:b/>
                <w:color w:val="auto"/>
                <w:sz w:val="48"/>
              </w:rPr>
              <w:t xml:space="preserve"> </w:t>
            </w:r>
            <w:r w:rsidR="00A67CE8">
              <w:rPr>
                <w:rFonts w:ascii="Times New Roman" w:hAnsi="Times New Roman" w:cs="Times New Roman"/>
                <w:b/>
                <w:color w:val="auto"/>
                <w:sz w:val="48"/>
              </w:rPr>
              <w:t>lisa.sinnott@live.co.uk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39F96324" w:rsidR="0085230E" w:rsidRPr="005D3F07" w:rsidRDefault="00A67CE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2522</w:t>
            </w:r>
            <w:r w:rsidR="00CD61A8">
              <w:rPr>
                <w:rFonts w:ascii="Times New Roman" w:hAnsi="Times New Roman" w:cs="Times New Roman"/>
                <w:b/>
                <w:color w:val="auto"/>
                <w:sz w:val="48"/>
              </w:rPr>
              <w:t>657</w:t>
            </w: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1225D23D" w14:textId="0E776090"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w:t>
            </w:r>
            <w:r w:rsidR="00C91BB8">
              <w:rPr>
                <w:i/>
                <w:sz w:val="24"/>
                <w:szCs w:val="24"/>
              </w:rPr>
              <w:t>on</w:t>
            </w:r>
          </w:p>
          <w:p w14:paraId="0C1020FE" w14:textId="61CE561C" w:rsidR="00D3203C" w:rsidRDefault="00D3203C" w:rsidP="00FF7EBB">
            <w:pPr>
              <w:jc w:val="both"/>
              <w:rPr>
                <w:i/>
                <w:sz w:val="24"/>
                <w:szCs w:val="24"/>
              </w:rPr>
            </w:pPr>
          </w:p>
          <w:p w14:paraId="4481E5CA" w14:textId="77777777" w:rsidR="00235014" w:rsidRPr="00235014" w:rsidRDefault="00235014" w:rsidP="002350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 xml:space="preserve">This essay will consider a case study, where I completed an Initial Assessment, for care and support. In line with </w:t>
            </w:r>
            <w:r w:rsidRPr="00235014">
              <w:rPr>
                <w:rFonts w:eastAsia="Aptos"/>
                <w:i/>
                <w:iCs/>
                <w:color w:val="auto"/>
                <w:kern w:val="2"/>
                <w:sz w:val="24"/>
                <w:szCs w:val="24"/>
                <w:lang w:eastAsia="en-US"/>
                <w14:ligatures w14:val="standardContextual"/>
              </w:rPr>
              <w:t>General Data Protection Regulations 2018</w:t>
            </w:r>
            <w:r w:rsidRPr="00235014">
              <w:rPr>
                <w:rFonts w:eastAsia="Aptos"/>
                <w:color w:val="auto"/>
                <w:kern w:val="2"/>
                <w:sz w:val="24"/>
                <w:szCs w:val="24"/>
                <w:lang w:eastAsia="en-US"/>
                <w14:ligatures w14:val="standardContextual"/>
              </w:rPr>
              <w:t xml:space="preserve"> (GDPR) this case will be anonymised, and I will refer to this person as Adult 1. The essay will consider legislation policy and procedures that are relevant to safeguarding of adults in Wales. I will consider the overarching legislation such as </w:t>
            </w:r>
            <w:r w:rsidRPr="00235014">
              <w:rPr>
                <w:rFonts w:eastAsia="Aptos"/>
                <w:i/>
                <w:iCs/>
                <w:color w:val="auto"/>
                <w:kern w:val="2"/>
                <w:sz w:val="24"/>
                <w:szCs w:val="24"/>
                <w:lang w:eastAsia="en-US"/>
                <w14:ligatures w14:val="standardContextual"/>
              </w:rPr>
              <w:t>Social services and well-being Wales act 2014</w:t>
            </w:r>
            <w:r w:rsidRPr="00235014">
              <w:rPr>
                <w:rFonts w:eastAsia="Aptos"/>
                <w:color w:val="auto"/>
                <w:kern w:val="2"/>
                <w:sz w:val="24"/>
                <w:szCs w:val="24"/>
                <w:lang w:eastAsia="en-US"/>
                <w14:ligatures w14:val="standardContextual"/>
              </w:rPr>
              <w:t xml:space="preserve"> (SSWB(W)A) along with the Wales Safeguarding Procedures (WSP), (Social Care Wales, 2026) and wider legislation in the United Kingdom (UK) like the </w:t>
            </w:r>
            <w:r w:rsidRPr="00235014">
              <w:rPr>
                <w:rFonts w:eastAsia="Aptos"/>
                <w:i/>
                <w:iCs/>
                <w:color w:val="auto"/>
                <w:kern w:val="2"/>
                <w:sz w:val="24"/>
                <w:szCs w:val="24"/>
                <w:lang w:eastAsia="en-US"/>
                <w14:ligatures w14:val="standardContextual"/>
              </w:rPr>
              <w:t>Mental Capacity Act 2005</w:t>
            </w:r>
            <w:r w:rsidRPr="00235014">
              <w:rPr>
                <w:rFonts w:eastAsia="Aptos"/>
                <w:color w:val="auto"/>
                <w:kern w:val="2"/>
                <w:sz w:val="24"/>
                <w:szCs w:val="24"/>
                <w:lang w:eastAsia="en-US"/>
                <w14:ligatures w14:val="standardContextual"/>
              </w:rPr>
              <w:t xml:space="preserve"> (MCA), along with legislation from the </w:t>
            </w:r>
            <w:r w:rsidRPr="00235014">
              <w:rPr>
                <w:rFonts w:eastAsia="Aptos"/>
                <w:i/>
                <w:iCs/>
                <w:color w:val="auto"/>
                <w:kern w:val="2"/>
                <w:sz w:val="24"/>
                <w:szCs w:val="24"/>
                <w:lang w:eastAsia="en-US"/>
                <w14:ligatures w14:val="standardContextual"/>
              </w:rPr>
              <w:t>European Union such as the Human Rights Act 1998</w:t>
            </w:r>
            <w:r w:rsidRPr="00235014">
              <w:rPr>
                <w:rFonts w:eastAsia="Aptos"/>
                <w:color w:val="auto"/>
                <w:kern w:val="2"/>
                <w:sz w:val="24"/>
                <w:szCs w:val="24"/>
                <w:lang w:eastAsia="en-US"/>
                <w14:ligatures w14:val="standardContextual"/>
              </w:rPr>
              <w:t xml:space="preserve"> (HRA). I will consider how theory can support social work practice in Wales, considering Motivational interviewing (MI) and strengths-based practice, along with relevant research into safeguarding in Wales. This essay will also consider Driscoll’s (1994) model of reflection, along with balancing autonomy and safeguarding whilst applying interventions that are justifiable and proportionate, in complex situations.</w:t>
            </w:r>
          </w:p>
          <w:p w14:paraId="465957F0" w14:textId="77777777" w:rsidR="00235014" w:rsidRPr="00235014" w:rsidRDefault="00235014" w:rsidP="002350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 xml:space="preserve">Adult 1 is a female who lives in Rural Wales, she is in her 40’s, she has worked full time since leaving school. She is homeless, as she cannot live with family and does not have her own property. Adult 1 was admitted to hospital with confusion, a fall and long lie of 36 hours on the bathroom floor. Adult 1 was living with a new partner who is known for violence and sexual offences. She had no memory of what happened prior to admission to hospital and </w:t>
            </w:r>
            <w:r w:rsidRPr="00235014">
              <w:rPr>
                <w:rFonts w:eastAsia="Aptos"/>
                <w:color w:val="auto"/>
                <w:kern w:val="2"/>
                <w:sz w:val="24"/>
                <w:szCs w:val="24"/>
                <w:lang w:eastAsia="en-US"/>
                <w14:ligatures w14:val="standardContextual"/>
              </w:rPr>
              <w:lastRenderedPageBreak/>
              <w:t>cannot walk. Adult 1 presents as very confused extremely anxious and scared, not knowing where she is or why she is in hospital. Adult 1 is reported to have been alcohol dependant; Doctors are considering that her memory loss may be as a result of alcohol and she may have Alcohol Related Brain Damage (ARBD).</w:t>
            </w:r>
          </w:p>
          <w:p w14:paraId="6C8F7F0E" w14:textId="77777777" w:rsidR="00235014" w:rsidRPr="00235014" w:rsidRDefault="00235014" w:rsidP="00235014">
            <w:pPr>
              <w:overflowPunct/>
              <w:autoSpaceDE/>
              <w:autoSpaceDN/>
              <w:adjustRightInd/>
              <w:spacing w:after="160" w:line="278" w:lineRule="auto"/>
              <w:textAlignment w:val="auto"/>
              <w:rPr>
                <w:rFonts w:eastAsia="Aptos"/>
                <w:i/>
                <w:iC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 xml:space="preserve">As a Social Worker in the hospital team, I was allocated Adult 1 along with a Student Social Worker to complete an Initial Assessment of needs as she has been identified as being a person who may have care and support needs, in line with </w:t>
            </w:r>
            <w:r w:rsidRPr="00235014">
              <w:rPr>
                <w:rFonts w:eastAsia="Aptos"/>
                <w:i/>
                <w:iCs/>
                <w:color w:val="auto"/>
                <w:kern w:val="2"/>
                <w:sz w:val="24"/>
                <w:szCs w:val="24"/>
                <w:lang w:eastAsia="en-US"/>
                <w14:ligatures w14:val="standardContextual"/>
              </w:rPr>
              <w:t>S.19,</w:t>
            </w:r>
            <w:r w:rsidRPr="00235014">
              <w:rPr>
                <w:rFonts w:eastAsia="Aptos"/>
                <w:color w:val="auto"/>
                <w:kern w:val="2"/>
                <w:sz w:val="24"/>
                <w:szCs w:val="24"/>
                <w:lang w:eastAsia="en-US"/>
                <w14:ligatures w14:val="standardContextual"/>
              </w:rPr>
              <w:t xml:space="preserve"> </w:t>
            </w:r>
            <w:r w:rsidRPr="00235014">
              <w:rPr>
                <w:rFonts w:eastAsia="Aptos"/>
                <w:i/>
                <w:iCs/>
                <w:color w:val="auto"/>
                <w:kern w:val="2"/>
                <w:sz w:val="24"/>
                <w:szCs w:val="24"/>
                <w:lang w:eastAsia="en-US"/>
                <w14:ligatures w14:val="standardContextual"/>
              </w:rPr>
              <w:t>SSWB(W)A, 2014.</w:t>
            </w:r>
          </w:p>
          <w:p w14:paraId="580A395D" w14:textId="77777777" w:rsidR="00235014" w:rsidRPr="00235014" w:rsidRDefault="00235014" w:rsidP="002350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 xml:space="preserve">A Safeguarding Investigation is open in line with the </w:t>
            </w:r>
            <w:r w:rsidRPr="00235014">
              <w:rPr>
                <w:rFonts w:eastAsia="Aptos"/>
                <w:i/>
                <w:iCs/>
                <w:color w:val="auto"/>
                <w:kern w:val="2"/>
                <w:sz w:val="24"/>
                <w:szCs w:val="24"/>
                <w:lang w:eastAsia="en-US"/>
                <w14:ligatures w14:val="standardContextual"/>
              </w:rPr>
              <w:t>SSWB(W)A, 2014</w:t>
            </w:r>
            <w:r w:rsidRPr="00235014">
              <w:rPr>
                <w:rFonts w:eastAsia="Aptos"/>
                <w:color w:val="auto"/>
                <w:kern w:val="2"/>
                <w:sz w:val="24"/>
                <w:szCs w:val="24"/>
                <w:lang w:eastAsia="en-US"/>
                <w14:ligatures w14:val="standardContextual"/>
              </w:rPr>
              <w:t xml:space="preserve">, in relation to Adult 1’s Partner, a S.47 Joint Investigation is in the progress. As Adult 1 lives in Wales there needs to be a consideration to her language and culture, for example, the </w:t>
            </w:r>
            <w:r w:rsidRPr="00235014">
              <w:rPr>
                <w:rFonts w:eastAsia="Aptos"/>
                <w:i/>
                <w:iCs/>
                <w:color w:val="auto"/>
                <w:kern w:val="2"/>
                <w:sz w:val="24"/>
                <w:szCs w:val="24"/>
                <w:lang w:eastAsia="en-US"/>
                <w14:ligatures w14:val="standardContextual"/>
              </w:rPr>
              <w:t xml:space="preserve">WSP </w:t>
            </w:r>
            <w:r w:rsidRPr="00235014">
              <w:rPr>
                <w:rFonts w:eastAsia="Aptos"/>
                <w:color w:val="auto"/>
                <w:kern w:val="2"/>
                <w:sz w:val="24"/>
                <w:szCs w:val="24"/>
                <w:lang w:eastAsia="en-US"/>
                <w14:ligatures w14:val="standardContextual"/>
              </w:rPr>
              <w:t>(SCW, 2026) will need to be considered along with her vulnerabilities and cultural beliefs. For example, Adult 1 lives in rural Wales where there are large pockets of deprivation, crime and poverty. This means that she may not have the same opportunities as her counterparts who live in more affluent areas, research by the Welsh Government  (WG, 2024) suggests that around 22% of people in Wales live in poverty. Poverty can have a long-term impact on adult 1’s life, for example, it can lead to poor health outcomes.</w:t>
            </w:r>
          </w:p>
          <w:p w14:paraId="35D80123" w14:textId="77777777" w:rsidR="00235014" w:rsidRPr="00235014" w:rsidRDefault="0023501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 xml:space="preserve">I started to gather information for an initial assessment, in line with </w:t>
            </w:r>
            <w:r w:rsidRPr="00235014">
              <w:rPr>
                <w:rFonts w:eastAsia="Aptos"/>
                <w:i/>
                <w:iCs/>
                <w:color w:val="auto"/>
                <w:kern w:val="2"/>
                <w:sz w:val="24"/>
                <w:szCs w:val="24"/>
                <w:lang w:eastAsia="en-US"/>
                <w14:ligatures w14:val="standardContextual"/>
              </w:rPr>
              <w:t>Part 3 Code of Practice (assessing the needs of individuals) SSWB(W)A 2014.</w:t>
            </w:r>
            <w:r w:rsidRPr="00235014">
              <w:rPr>
                <w:rFonts w:eastAsia="Aptos"/>
                <w:color w:val="auto"/>
                <w:kern w:val="2"/>
                <w:sz w:val="24"/>
                <w:szCs w:val="24"/>
                <w:lang w:eastAsia="en-US"/>
                <w14:ligatures w14:val="standardContextual"/>
              </w:rPr>
              <w:t xml:space="preserve"> The </w:t>
            </w:r>
            <w:r w:rsidRPr="00235014">
              <w:rPr>
                <w:rFonts w:eastAsia="Aptos"/>
                <w:i/>
                <w:iCs/>
                <w:color w:val="auto"/>
                <w:kern w:val="2"/>
                <w:sz w:val="24"/>
                <w:szCs w:val="24"/>
                <w:lang w:eastAsia="en-US"/>
                <w14:ligatures w14:val="standardContextual"/>
              </w:rPr>
              <w:t>SSWB(W)A 2014</w:t>
            </w:r>
            <w:r w:rsidRPr="00235014">
              <w:rPr>
                <w:rFonts w:eastAsia="Aptos"/>
                <w:color w:val="auto"/>
                <w:kern w:val="2"/>
                <w:sz w:val="24"/>
                <w:szCs w:val="24"/>
                <w:lang w:eastAsia="en-US"/>
                <w14:ligatures w14:val="standardContextual"/>
              </w:rPr>
              <w:t xml:space="preserve"> is specific to Wales; this legislation sets out the duties of the Local Authority (LA) and underpins Social Work Practice in Wales. The </w:t>
            </w:r>
            <w:r w:rsidRPr="00235014">
              <w:rPr>
                <w:rFonts w:eastAsia="Aptos"/>
                <w:i/>
                <w:iCs/>
                <w:color w:val="auto"/>
                <w:kern w:val="2"/>
                <w:sz w:val="24"/>
                <w:szCs w:val="24"/>
                <w:lang w:eastAsia="en-US"/>
                <w14:ligatures w14:val="standardContextual"/>
              </w:rPr>
              <w:t>SSWB(W)A 2014</w:t>
            </w:r>
            <w:r w:rsidRPr="00235014">
              <w:rPr>
                <w:rFonts w:eastAsia="Aptos"/>
                <w:color w:val="auto"/>
                <w:kern w:val="2"/>
                <w:sz w:val="24"/>
                <w:szCs w:val="24"/>
                <w:lang w:eastAsia="en-US"/>
                <w14:ligatures w14:val="standardContextual"/>
              </w:rPr>
              <w:t xml:space="preserve"> is a revolutionary piece of legislation that changed the way Social Services are delivered in Wales. The </w:t>
            </w:r>
            <w:r w:rsidRPr="00235014">
              <w:rPr>
                <w:rFonts w:eastAsia="Aptos"/>
                <w:i/>
                <w:iCs/>
                <w:color w:val="auto"/>
                <w:kern w:val="2"/>
                <w:sz w:val="24"/>
                <w:szCs w:val="24"/>
                <w:lang w:eastAsia="en-US"/>
                <w14:ligatures w14:val="standardContextual"/>
              </w:rPr>
              <w:t>SSWBWA 2014</w:t>
            </w:r>
            <w:r w:rsidRPr="00235014">
              <w:rPr>
                <w:rFonts w:eastAsia="Aptos"/>
                <w:color w:val="auto"/>
                <w:kern w:val="2"/>
                <w:sz w:val="24"/>
                <w:szCs w:val="24"/>
                <w:lang w:eastAsia="en-US"/>
                <w14:ligatures w14:val="standardContextual"/>
              </w:rPr>
              <w:t xml:space="preserve">, puts the person at the centre, giving them more choice and control over the services they receive, this supports strengths-based practice by working in partnership with Adult 1 and building on her strengths. The </w:t>
            </w:r>
            <w:r w:rsidRPr="00235014">
              <w:rPr>
                <w:rFonts w:eastAsia="Aptos"/>
                <w:i/>
                <w:iCs/>
                <w:color w:val="auto"/>
                <w:kern w:val="2"/>
                <w:sz w:val="24"/>
                <w:szCs w:val="24"/>
                <w:lang w:eastAsia="en-US"/>
                <w14:ligatures w14:val="standardContextual"/>
              </w:rPr>
              <w:t>SSWBWA 2014</w:t>
            </w:r>
            <w:r w:rsidRPr="00235014">
              <w:rPr>
                <w:rFonts w:eastAsia="Aptos"/>
                <w:color w:val="auto"/>
                <w:kern w:val="2"/>
                <w:sz w:val="24"/>
                <w:szCs w:val="24"/>
                <w:lang w:eastAsia="en-US"/>
                <w14:ligatures w14:val="standardContextual"/>
              </w:rPr>
              <w:t>, looks at early intervention and promotes the integration of services such as the National Health Services (NHS) and Social Services to achieve better outcomes for people (</w:t>
            </w:r>
            <w:r w:rsidRPr="00235014">
              <w:rPr>
                <w:rFonts w:eastAsia="Aptos"/>
                <w:i/>
                <w:iCs/>
                <w:color w:val="auto"/>
                <w:kern w:val="2"/>
                <w:sz w:val="24"/>
                <w:szCs w:val="24"/>
                <w:lang w:eastAsia="en-US"/>
                <w14:ligatures w14:val="standardContextual"/>
              </w:rPr>
              <w:t>SSWBWA, 2014</w:t>
            </w:r>
            <w:r w:rsidRPr="00235014">
              <w:rPr>
                <w:rFonts w:eastAsia="Aptos"/>
                <w:color w:val="auto"/>
                <w:kern w:val="2"/>
                <w:sz w:val="24"/>
                <w:szCs w:val="24"/>
                <w:lang w:eastAsia="en-US"/>
                <w14:ligatures w14:val="standardContextual"/>
              </w:rPr>
              <w:t xml:space="preserve">) This is evident in the team I work in, which is made up of Social Care staff and NHS staff, which promotes better outcomes for people leaving hospital. The SSWB(W)A 2014 shows a significant shift towards person centred practice and incorporates other legislation such as the </w:t>
            </w:r>
            <w:r w:rsidRPr="00235014">
              <w:rPr>
                <w:rFonts w:eastAsia="Aptos"/>
                <w:i/>
                <w:iCs/>
                <w:color w:val="auto"/>
                <w:kern w:val="2"/>
                <w:sz w:val="24"/>
                <w:szCs w:val="24"/>
                <w:lang w:eastAsia="en-US"/>
                <w14:ligatures w14:val="standardContextual"/>
              </w:rPr>
              <w:t>Well-being of Future of Generations (Wales) Act 2015</w:t>
            </w:r>
            <w:r w:rsidRPr="00235014">
              <w:rPr>
                <w:rFonts w:eastAsia="Aptos"/>
                <w:color w:val="auto"/>
                <w:kern w:val="2"/>
                <w:sz w:val="24"/>
                <w:szCs w:val="24"/>
                <w:lang w:eastAsia="en-US"/>
                <w14:ligatures w14:val="standardContextual"/>
              </w:rPr>
              <w:t xml:space="preserve"> (WBFGWA), which is about improving the social, economic, and well-being of people in Wales. This </w:t>
            </w:r>
            <w:r w:rsidRPr="00235014">
              <w:rPr>
                <w:rFonts w:eastAsia="Aptos"/>
                <w:i/>
                <w:iCs/>
                <w:color w:val="auto"/>
                <w:kern w:val="2"/>
                <w:sz w:val="24"/>
                <w:szCs w:val="24"/>
                <w:lang w:eastAsia="en-US"/>
                <w14:ligatures w14:val="standardContextual"/>
              </w:rPr>
              <w:t>WBFGWA, 2015</w:t>
            </w:r>
            <w:r w:rsidRPr="00235014">
              <w:rPr>
                <w:rFonts w:eastAsia="Aptos"/>
                <w:color w:val="auto"/>
                <w:kern w:val="2"/>
                <w:sz w:val="24"/>
                <w:szCs w:val="24"/>
                <w:lang w:eastAsia="en-US"/>
                <w14:ligatures w14:val="standardContextual"/>
              </w:rPr>
              <w:t xml:space="preserve"> sets out how LA’s and Health Boards need to work together in partnership to improve the well-being of Wales (SCW, 2016), so that decisions now, do not’ affect future generations, strengthening further need for partnership working,</w:t>
            </w:r>
          </w:p>
          <w:p w14:paraId="567177A6" w14:textId="77777777" w:rsidR="001E394B" w:rsidRDefault="001E394B"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p>
          <w:p w14:paraId="1FD3EC2A" w14:textId="293E4F35" w:rsidR="00235014" w:rsidRPr="00235014" w:rsidRDefault="0023501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 xml:space="preserve">Adult 1 is entitled to an initial assessment in line with Part 3, S.19 of the </w:t>
            </w:r>
            <w:r w:rsidRPr="00235014">
              <w:rPr>
                <w:rFonts w:eastAsia="Aptos"/>
                <w:i/>
                <w:iCs/>
                <w:color w:val="auto"/>
                <w:kern w:val="2"/>
                <w:sz w:val="24"/>
                <w:szCs w:val="24"/>
                <w:lang w:eastAsia="en-US"/>
                <w14:ligatures w14:val="standardContextual"/>
              </w:rPr>
              <w:t>SSWB(W)A, 2014.</w:t>
            </w:r>
            <w:r w:rsidRPr="00235014">
              <w:rPr>
                <w:rFonts w:eastAsia="Aptos"/>
                <w:color w:val="auto"/>
                <w:kern w:val="2"/>
                <w:sz w:val="24"/>
                <w:szCs w:val="24"/>
                <w:lang w:eastAsia="en-US"/>
                <w14:ligatures w14:val="standardContextual"/>
              </w:rPr>
              <w:t xml:space="preserve"> This places a duty on the LA to assess the needs of an adult, where they have needs for care and support. During the assessment, I also considered what other legislation, </w:t>
            </w:r>
            <w:r w:rsidRPr="00235014">
              <w:rPr>
                <w:rFonts w:eastAsia="Aptos"/>
                <w:color w:val="auto"/>
                <w:kern w:val="2"/>
                <w:sz w:val="24"/>
                <w:szCs w:val="24"/>
                <w:lang w:eastAsia="en-US"/>
                <w14:ligatures w14:val="standardContextual"/>
              </w:rPr>
              <w:lastRenderedPageBreak/>
              <w:t xml:space="preserve">standards and policies were relevant to the assessment process. For example, I made sure that Adult 1, had voice and control and her rights were upheld, as Adult 1 lives in Wales this is in line with the Code of Professional Practice for Social Care in Wales (SCW, 2026). I also considered the </w:t>
            </w:r>
            <w:r w:rsidRPr="00235014">
              <w:rPr>
                <w:rFonts w:eastAsia="Aptos"/>
                <w:i/>
                <w:iCs/>
                <w:color w:val="auto"/>
                <w:kern w:val="2"/>
                <w:sz w:val="24"/>
                <w:szCs w:val="24"/>
                <w:lang w:eastAsia="en-US"/>
                <w14:ligatures w14:val="standardContextual"/>
              </w:rPr>
              <w:t>WSP</w:t>
            </w:r>
            <w:r w:rsidRPr="00235014">
              <w:rPr>
                <w:rFonts w:eastAsia="Aptos"/>
                <w:color w:val="auto"/>
                <w:kern w:val="2"/>
                <w:sz w:val="24"/>
                <w:szCs w:val="24"/>
                <w:lang w:eastAsia="en-US"/>
                <w14:ligatures w14:val="standardContextual"/>
              </w:rPr>
              <w:t xml:space="preserve"> (SCW, 2026) and Working Together to Safeguard People (WG, 2022) which sets out the code of Safeguarding practice, as I have a duty in line with the </w:t>
            </w:r>
            <w:r w:rsidRPr="00235014">
              <w:rPr>
                <w:rFonts w:eastAsia="Aptos"/>
                <w:i/>
                <w:iCs/>
                <w:color w:val="auto"/>
                <w:kern w:val="2"/>
                <w:sz w:val="24"/>
                <w:szCs w:val="24"/>
                <w:lang w:eastAsia="en-US"/>
                <w14:ligatures w14:val="standardContextual"/>
              </w:rPr>
              <w:t>SSWB(W)A 2014 S.126</w:t>
            </w:r>
            <w:r w:rsidRPr="00235014">
              <w:rPr>
                <w:rFonts w:eastAsia="Aptos"/>
                <w:color w:val="auto"/>
                <w:kern w:val="2"/>
                <w:sz w:val="24"/>
                <w:szCs w:val="24"/>
                <w:lang w:eastAsia="en-US"/>
                <w14:ligatures w14:val="standardContextual"/>
              </w:rPr>
              <w:t xml:space="preserve"> to ensure early intervention can protect Adult 1 from abuse or neglect. Adult 1 was admitted to hospital after being on the floor for 36 hours, not able to walk, had bruises on her arms and legs and could not remember what happened to her. Therefore, this required more investigation, so I considered the WSP (SCW, 2026), as she “has needs for care and support”. Throughout the assessment I gathered information from different sources such as Health, Social Care, Police and Family and Adult 1, this enabled me to analyse the information which led to many vulnerabilities. Driscoll’s model of reflection (1994) What? So What? Now What? can help me to reflect and analyse the information further.</w:t>
            </w:r>
          </w:p>
          <w:p w14:paraId="2017C573" w14:textId="77777777" w:rsidR="00235014" w:rsidRPr="00235014" w:rsidRDefault="0023501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p>
          <w:p w14:paraId="4AFE9D7A" w14:textId="77777777" w:rsidR="00235014" w:rsidRPr="00235014" w:rsidRDefault="0023501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 xml:space="preserve">I also considered other legislation that is relevant to Adult 1’s situation, such as </w:t>
            </w:r>
            <w:r w:rsidRPr="00235014">
              <w:rPr>
                <w:rFonts w:eastAsia="Aptos"/>
                <w:i/>
                <w:iCs/>
                <w:color w:val="auto"/>
                <w:kern w:val="2"/>
                <w:sz w:val="24"/>
                <w:szCs w:val="24"/>
                <w:lang w:eastAsia="en-US"/>
                <w14:ligatures w14:val="standardContextual"/>
              </w:rPr>
              <w:t>the Violence Against Women, Domestic Abuse and Sexual Violence (Wales) Act 2015</w:t>
            </w:r>
            <w:r w:rsidRPr="00235014">
              <w:rPr>
                <w:rFonts w:eastAsia="Aptos"/>
                <w:color w:val="auto"/>
                <w:kern w:val="2"/>
                <w:sz w:val="24"/>
                <w:szCs w:val="24"/>
                <w:lang w:eastAsia="en-US"/>
                <w14:ligatures w14:val="standardContextual"/>
              </w:rPr>
              <w:t xml:space="preserve"> </w:t>
            </w:r>
            <w:r w:rsidRPr="00235014">
              <w:rPr>
                <w:rFonts w:eastAsia="Aptos"/>
                <w:i/>
                <w:iCs/>
                <w:color w:val="auto"/>
                <w:kern w:val="2"/>
                <w:sz w:val="24"/>
                <w:szCs w:val="24"/>
                <w:lang w:eastAsia="en-US"/>
                <w14:ligatures w14:val="standardContextual"/>
              </w:rPr>
              <w:t xml:space="preserve">(VAWDASV), </w:t>
            </w:r>
            <w:r w:rsidRPr="00235014">
              <w:rPr>
                <w:rFonts w:eastAsia="Aptos"/>
                <w:color w:val="auto"/>
                <w:kern w:val="2"/>
                <w:sz w:val="24"/>
                <w:szCs w:val="24"/>
                <w:lang w:eastAsia="en-US"/>
                <w14:ligatures w14:val="standardContextual"/>
              </w:rPr>
              <w:t xml:space="preserve">reinforces duties to assess risk around domestic abuse, and work collaboratively to protect Adult 1 from abuse. Therefore, I considered if a DASH risk assessment would be necessary to support Adult 1 along with a referral to MAPPA. Furthermore, I considered the </w:t>
            </w:r>
            <w:r w:rsidRPr="00235014">
              <w:rPr>
                <w:rFonts w:eastAsia="Aptos"/>
                <w:i/>
                <w:iCs/>
                <w:color w:val="auto"/>
                <w:kern w:val="2"/>
                <w:sz w:val="24"/>
                <w:szCs w:val="24"/>
                <w:lang w:eastAsia="en-US"/>
                <w14:ligatures w14:val="standardContextual"/>
              </w:rPr>
              <w:t>HRA1998</w:t>
            </w:r>
            <w:r w:rsidRPr="00235014">
              <w:rPr>
                <w:rFonts w:eastAsia="Aptos"/>
                <w:color w:val="auto"/>
                <w:kern w:val="2"/>
                <w:sz w:val="24"/>
                <w:szCs w:val="24"/>
                <w:lang w:eastAsia="en-US"/>
                <w14:ligatures w14:val="standardContextual"/>
              </w:rPr>
              <w:t xml:space="preserve"> as I need to consider </w:t>
            </w:r>
            <w:r w:rsidRPr="00235014">
              <w:rPr>
                <w:rFonts w:eastAsia="Aptos"/>
                <w:i/>
                <w:iCs/>
                <w:color w:val="auto"/>
                <w:kern w:val="2"/>
                <w:sz w:val="24"/>
                <w:szCs w:val="24"/>
                <w:lang w:eastAsia="en-US"/>
                <w14:ligatures w14:val="standardContextual"/>
              </w:rPr>
              <w:t xml:space="preserve">Article 8, Right to private and Family Life, Article 3, Freedom from inhumane or degrading treatment, </w:t>
            </w:r>
            <w:r w:rsidRPr="00235014">
              <w:rPr>
                <w:rFonts w:eastAsia="Aptos"/>
                <w:color w:val="auto"/>
                <w:kern w:val="2"/>
                <w:sz w:val="24"/>
                <w:szCs w:val="24"/>
                <w:lang w:eastAsia="en-US"/>
                <w14:ligatures w14:val="standardContextual"/>
              </w:rPr>
              <w:t xml:space="preserve">could also be considered due to her being on the floor for 36 hours. This poses many dilemmas as there is no real evidence, which in turn could lead to a negative outcome for her. here as I also considered the </w:t>
            </w:r>
            <w:r w:rsidRPr="00235014">
              <w:rPr>
                <w:rFonts w:eastAsia="Aptos"/>
                <w:i/>
                <w:iCs/>
                <w:color w:val="auto"/>
                <w:kern w:val="2"/>
                <w:sz w:val="24"/>
                <w:szCs w:val="24"/>
                <w:lang w:eastAsia="en-US"/>
                <w14:ligatures w14:val="standardContextual"/>
              </w:rPr>
              <w:t>MCA 2005</w:t>
            </w:r>
            <w:r w:rsidRPr="00235014">
              <w:rPr>
                <w:rFonts w:eastAsia="Aptos"/>
                <w:color w:val="auto"/>
                <w:kern w:val="2"/>
                <w:sz w:val="24"/>
                <w:szCs w:val="24"/>
                <w:lang w:eastAsia="en-US"/>
                <w14:ligatures w14:val="standardContextual"/>
              </w:rPr>
              <w:t xml:space="preserve">, as there were concerns around her capacity in relation to her decision making about Care and Residence, and concerns of ARBD.  Although, in line with the </w:t>
            </w:r>
            <w:r w:rsidRPr="00235014">
              <w:rPr>
                <w:rFonts w:eastAsia="Aptos"/>
                <w:i/>
                <w:iCs/>
                <w:color w:val="auto"/>
                <w:kern w:val="2"/>
                <w:sz w:val="24"/>
                <w:szCs w:val="24"/>
                <w:lang w:eastAsia="en-US"/>
                <w14:ligatures w14:val="standardContextual"/>
              </w:rPr>
              <w:t>MCA, 2005</w:t>
            </w:r>
            <w:r w:rsidRPr="00235014">
              <w:rPr>
                <w:rFonts w:eastAsia="Aptos"/>
                <w:color w:val="auto"/>
                <w:kern w:val="2"/>
                <w:sz w:val="24"/>
                <w:szCs w:val="24"/>
                <w:lang w:eastAsia="en-US"/>
                <w14:ligatures w14:val="standardContextual"/>
              </w:rPr>
              <w:t xml:space="preserve"> principles Adult 1 was assumed to have capacity until an MCA (2005) had taken place.</w:t>
            </w:r>
          </w:p>
          <w:p w14:paraId="24EC1CDA" w14:textId="77777777" w:rsidR="00235014" w:rsidRPr="00235014" w:rsidRDefault="0023501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p>
          <w:p w14:paraId="111B8E45" w14:textId="6318E359" w:rsidR="00235014" w:rsidRPr="00235014" w:rsidRDefault="0023501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Furthermore, I also considered Adult 1’s cultural needs, as they live in Wales, I made sure they were aware that information was available to them in Welsh, and an assessment could be completed through the medium of Welsh is she so wished in line with the ‘Active offer’ (More than Just Words framework, 20</w:t>
            </w:r>
            <w:r w:rsidR="00897C8B">
              <w:rPr>
                <w:rFonts w:eastAsia="Aptos"/>
                <w:color w:val="auto"/>
                <w:kern w:val="2"/>
                <w:sz w:val="24"/>
                <w:szCs w:val="24"/>
                <w:lang w:eastAsia="en-US"/>
                <w14:ligatures w14:val="standardContextual"/>
              </w:rPr>
              <w:t>22</w:t>
            </w:r>
            <w:r w:rsidRPr="00235014">
              <w:rPr>
                <w:rFonts w:eastAsia="Aptos"/>
                <w:color w:val="auto"/>
                <w:kern w:val="2"/>
                <w:sz w:val="24"/>
                <w:szCs w:val="24"/>
                <w:lang w:eastAsia="en-US"/>
                <w14:ligatures w14:val="standardContextual"/>
              </w:rPr>
              <w:t>). Research by Westlake &amp; Jones (2017), suggests that assessments carried out in a person’s native language builds better rapport and lead to better assessments, which in turn can lead to better outcomes. Furthermore, this supports anti-oppressive practice by recognising the challenges of cultural oppression. This can be linked to Thompson; s PCS Model (1993, cited in Adams et al.,2021,p.78) by having respect for adult 1’s Identity and culture, and applying policies that are designed to combat oppression. As a Social Worker in Wales, I considered the Rimmer Pyramid. (The Open University, 2013)</w:t>
            </w:r>
            <w:r w:rsidRPr="00235014">
              <w:rPr>
                <w:rFonts w:eastAsia="Aptos"/>
                <w:b/>
                <w:bCs/>
                <w:color w:val="auto"/>
                <w:kern w:val="2"/>
                <w:sz w:val="24"/>
                <w:szCs w:val="24"/>
                <w:lang w:eastAsia="en-US"/>
                <w14:ligatures w14:val="standardContextual"/>
              </w:rPr>
              <w:t xml:space="preserve"> </w:t>
            </w:r>
            <w:r w:rsidRPr="00235014">
              <w:rPr>
                <w:rFonts w:eastAsia="Aptos"/>
                <w:color w:val="auto"/>
                <w:kern w:val="2"/>
                <w:sz w:val="24"/>
                <w:szCs w:val="24"/>
                <w:lang w:eastAsia="en-US"/>
                <w14:ligatures w14:val="standardContextual"/>
              </w:rPr>
              <w:t xml:space="preserve"> which can support me to think about the context that I am practicing in and how my values influence practice Reflecting further it is clear that trying to protect adults </w:t>
            </w:r>
            <w:r w:rsidRPr="00235014">
              <w:rPr>
                <w:rFonts w:eastAsia="Aptos"/>
                <w:color w:val="auto"/>
                <w:kern w:val="2"/>
                <w:sz w:val="24"/>
                <w:szCs w:val="24"/>
                <w:lang w:eastAsia="en-US"/>
                <w14:ligatures w14:val="standardContextual"/>
              </w:rPr>
              <w:lastRenderedPageBreak/>
              <w:t xml:space="preserve">from harm poses ethical dilemmas for Social workers, in Adult 1’s case she wanted to return to her previous partner but was deemed to lack Mental Capacity in line with </w:t>
            </w:r>
            <w:r w:rsidRPr="00235014">
              <w:rPr>
                <w:rFonts w:eastAsia="Aptos"/>
                <w:i/>
                <w:iCs/>
                <w:color w:val="auto"/>
                <w:kern w:val="2"/>
                <w:sz w:val="24"/>
                <w:szCs w:val="24"/>
                <w:lang w:eastAsia="en-US"/>
                <w14:ligatures w14:val="standardContextual"/>
              </w:rPr>
              <w:t>MCA 2005</w:t>
            </w:r>
            <w:r w:rsidRPr="00235014">
              <w:rPr>
                <w:rFonts w:eastAsia="Aptos"/>
                <w:color w:val="auto"/>
                <w:kern w:val="2"/>
                <w:sz w:val="24"/>
                <w:szCs w:val="24"/>
                <w:lang w:eastAsia="en-US"/>
                <w14:ligatures w14:val="standardContextual"/>
              </w:rPr>
              <w:t xml:space="preserve">, to make that decision. Therefore, there was a Best Interest Meeting in line with the </w:t>
            </w:r>
            <w:r w:rsidRPr="00235014">
              <w:rPr>
                <w:rFonts w:eastAsia="Aptos"/>
                <w:i/>
                <w:iCs/>
                <w:color w:val="auto"/>
                <w:kern w:val="2"/>
                <w:sz w:val="24"/>
                <w:szCs w:val="24"/>
                <w:lang w:eastAsia="en-US"/>
                <w14:ligatures w14:val="standardContextual"/>
              </w:rPr>
              <w:t>MCA 2005</w:t>
            </w:r>
            <w:r w:rsidRPr="00235014">
              <w:rPr>
                <w:rFonts w:eastAsia="Aptos"/>
                <w:color w:val="auto"/>
                <w:kern w:val="2"/>
                <w:sz w:val="24"/>
                <w:szCs w:val="24"/>
                <w:lang w:eastAsia="en-US"/>
                <w14:ligatures w14:val="standardContextual"/>
              </w:rPr>
              <w:t xml:space="preserve">, the outcome of this was that it was in her best interest to return to her partner, as she refused the alternatives, the likelihood was she would go back to him anyway, this way she could still access support from Social Services rather than disengage and slip through the net. Research by Jones (2022) suggests that Inherent jurisdiction could be considered even if Adult 1 had mental capacity, this allows the protection of vulnerable adults that may not be able to protect themselves, through the High Court. </w:t>
            </w:r>
          </w:p>
          <w:p w14:paraId="692DB3F2" w14:textId="77777777" w:rsidR="00235014" w:rsidRPr="00235014" w:rsidRDefault="0023501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p>
          <w:p w14:paraId="195D44AD" w14:textId="77777777" w:rsidR="00235014" w:rsidRPr="00235014" w:rsidRDefault="0023501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I made sure that Adult 1’s cultural background was considered further and her right to have her assessment through the medium of Welsh, in line with the “</w:t>
            </w:r>
            <w:r w:rsidRPr="00235014">
              <w:rPr>
                <w:rFonts w:eastAsia="Aptos"/>
                <w:i/>
                <w:iCs/>
                <w:color w:val="auto"/>
                <w:kern w:val="2"/>
                <w:sz w:val="24"/>
                <w:szCs w:val="24"/>
                <w:lang w:eastAsia="en-US"/>
                <w14:ligatures w14:val="standardContextual"/>
              </w:rPr>
              <w:t>More than just words” (WG, 2022)</w:t>
            </w:r>
            <w:r w:rsidRPr="00235014">
              <w:rPr>
                <w:rFonts w:eastAsia="Aptos"/>
                <w:color w:val="auto"/>
                <w:kern w:val="2"/>
                <w:sz w:val="24"/>
                <w:szCs w:val="24"/>
                <w:lang w:eastAsia="en-US"/>
                <w14:ligatures w14:val="standardContextual"/>
              </w:rPr>
              <w:t xml:space="preserve"> which states that Adult 1 should have Health and Social Care services provided in Welsh as well as English and she should not have to ask for it. Furthermore, I also considered if Adult 1 needed an advocate in line with </w:t>
            </w:r>
            <w:r w:rsidRPr="00235014">
              <w:rPr>
                <w:rFonts w:eastAsia="Aptos"/>
                <w:i/>
                <w:iCs/>
                <w:color w:val="auto"/>
                <w:kern w:val="2"/>
                <w:sz w:val="24"/>
                <w:szCs w:val="24"/>
                <w:lang w:eastAsia="en-US"/>
                <w14:ligatures w14:val="standardContextual"/>
              </w:rPr>
              <w:t>SSWB(W)A 2014 s.181,</w:t>
            </w:r>
            <w:r w:rsidRPr="00235014">
              <w:rPr>
                <w:rFonts w:eastAsia="Aptos"/>
                <w:color w:val="auto"/>
                <w:kern w:val="2"/>
                <w:sz w:val="24"/>
                <w:szCs w:val="24"/>
                <w:lang w:eastAsia="en-US"/>
                <w14:ligatures w14:val="standardContextual"/>
              </w:rPr>
              <w:t xml:space="preserve"> due to issues with her memory. An advocate can support with gaining her wishes and feelings in relation to her care and support needs along with safeguarding, and decisions about being discharged to her partner along with supporting her to understand the safeguarding process.</w:t>
            </w:r>
          </w:p>
          <w:p w14:paraId="2A205AB2" w14:textId="77777777" w:rsidR="00235014" w:rsidRPr="00235014" w:rsidRDefault="0023501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p>
          <w:p w14:paraId="36441AD5" w14:textId="77777777" w:rsidR="00235014" w:rsidRPr="00235014" w:rsidRDefault="0023501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Communication is a key aspect of Social Work and working with Adult 1 means that I have to consider her knowledge, skills and values (Adams et al., 2021, p.94) so that I can work in partnership with her, and other professionals, this can be strengthened by using motivational interviewing (Miller and Rollnick, 2002, cited in Teater, 2010, pp.134-135) techniques, which in turn supports anti-oppressive practices and considers Adult 1’s ethical and cultural background.</w:t>
            </w:r>
          </w:p>
          <w:p w14:paraId="6DC631BF" w14:textId="77777777" w:rsidR="00235014" w:rsidRPr="00235014" w:rsidRDefault="00235014" w:rsidP="00235014">
            <w:pPr>
              <w:overflowPunct/>
              <w:autoSpaceDE/>
              <w:autoSpaceDN/>
              <w:adjustRightInd/>
              <w:spacing w:after="160" w:line="278" w:lineRule="auto"/>
              <w:ind w:left="720"/>
              <w:contextualSpacing/>
              <w:textAlignment w:val="auto"/>
              <w:rPr>
                <w:rFonts w:eastAsia="Aptos"/>
                <w:color w:val="auto"/>
                <w:kern w:val="2"/>
                <w:sz w:val="24"/>
                <w:szCs w:val="24"/>
                <w:lang w:eastAsia="en-US"/>
                <w14:ligatures w14:val="standardContextual"/>
              </w:rPr>
            </w:pPr>
          </w:p>
          <w:p w14:paraId="676F5A74" w14:textId="77777777" w:rsidR="00235014" w:rsidRPr="00235014" w:rsidRDefault="0023501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Reflecting on my communication skills, I found it difficult at times communicating with Adult 1, as she had some cognitive difficulties with her memory due possible ARBD. This made it difficult for her to participate in the conversation and highlighted the difficulties she faced understanding and processing the information. This was a barrier to communication with Adult 1, which could lead to her not being able to fully participate and understand the safeguarding process. I needed to adapt my communication skills and consider using visual aids and shorter sessions with her along with using simple language, and reflective listening skills to ensure that she understood the complexity of her situation. During our sessions I was also aware of her body language and on reflection this was very useful as it showed me that she was uncomfortable at times and was struggling to understand the situation.</w:t>
            </w:r>
          </w:p>
          <w:p w14:paraId="35EE0DE6" w14:textId="77777777" w:rsidR="00235014" w:rsidRPr="00235014" w:rsidRDefault="00235014" w:rsidP="00235014">
            <w:pPr>
              <w:overflowPunct/>
              <w:autoSpaceDE/>
              <w:autoSpaceDN/>
              <w:adjustRightInd/>
              <w:spacing w:after="160" w:line="278" w:lineRule="auto"/>
              <w:ind w:left="720"/>
              <w:contextualSpacing/>
              <w:textAlignment w:val="auto"/>
              <w:rPr>
                <w:rFonts w:eastAsia="Aptos"/>
                <w:color w:val="auto"/>
                <w:kern w:val="2"/>
                <w:sz w:val="24"/>
                <w:szCs w:val="24"/>
                <w:lang w:eastAsia="en-US"/>
                <w14:ligatures w14:val="standardContextual"/>
              </w:rPr>
            </w:pPr>
          </w:p>
          <w:p w14:paraId="089810C4" w14:textId="77777777" w:rsidR="00235014" w:rsidRPr="00235014" w:rsidRDefault="0023501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 xml:space="preserve">Considering Driscoll’s (1994) “What” My analysis of the information raised a number of red flags associated with Adult 1 and the risk of abuse. For example, my critical analysis of memory loss, long term alcohol use and a new partner who has a history of violence and </w:t>
            </w:r>
            <w:r w:rsidRPr="00235014">
              <w:rPr>
                <w:rFonts w:eastAsia="Aptos"/>
                <w:color w:val="auto"/>
                <w:kern w:val="2"/>
                <w:sz w:val="24"/>
                <w:szCs w:val="24"/>
                <w:lang w:eastAsia="en-US"/>
                <w14:ligatures w14:val="standardContextual"/>
              </w:rPr>
              <w:lastRenderedPageBreak/>
              <w:t xml:space="preserve">sexual offences against women, put together raises the likelihood of abuse. Furthermore, this information suggests that she could be a victim of physical abuse due to not being able to walk, and neglect as she was on the bathroom floor for 36 hours. It is important to note that neglect is not defined in </w:t>
            </w:r>
            <w:r w:rsidRPr="00235014">
              <w:rPr>
                <w:rFonts w:eastAsia="Aptos"/>
                <w:i/>
                <w:iCs/>
                <w:color w:val="auto"/>
                <w:kern w:val="2"/>
                <w:sz w:val="24"/>
                <w:szCs w:val="24"/>
                <w:lang w:eastAsia="en-US"/>
                <w14:ligatures w14:val="standardContextual"/>
              </w:rPr>
              <w:t>SSWB(W)A 2014</w:t>
            </w:r>
            <w:r w:rsidRPr="00235014">
              <w:rPr>
                <w:rFonts w:eastAsia="Aptos"/>
                <w:color w:val="auto"/>
                <w:kern w:val="2"/>
                <w:sz w:val="24"/>
                <w:szCs w:val="24"/>
                <w:lang w:eastAsia="en-US"/>
                <w14:ligatures w14:val="standardContextual"/>
              </w:rPr>
              <w:t xml:space="preserve">, as it is in the </w:t>
            </w:r>
            <w:r w:rsidRPr="00235014">
              <w:rPr>
                <w:rFonts w:eastAsia="Aptos"/>
                <w:i/>
                <w:iCs/>
                <w:color w:val="auto"/>
                <w:kern w:val="2"/>
                <w:sz w:val="24"/>
                <w:szCs w:val="24"/>
                <w:lang w:eastAsia="en-US"/>
                <w14:ligatures w14:val="standardContextual"/>
              </w:rPr>
              <w:t>Care Act 2014</w:t>
            </w:r>
            <w:r w:rsidRPr="00235014">
              <w:rPr>
                <w:rFonts w:eastAsia="Aptos"/>
                <w:color w:val="auto"/>
                <w:kern w:val="2"/>
                <w:sz w:val="24"/>
                <w:szCs w:val="24"/>
                <w:lang w:eastAsia="en-US"/>
                <w14:ligatures w14:val="standardContextual"/>
              </w:rPr>
              <w:t xml:space="preserve"> (CA) in England. Although, local policies such as the WSP (SCW, 2026) define neglect as “failure to meet a person’s basic needs, emotional, social or psychological needs”. It is also important to consider coercive control, which is now recognised as a form of abuse in the </w:t>
            </w:r>
            <w:r w:rsidRPr="00235014">
              <w:rPr>
                <w:rFonts w:eastAsia="Aptos"/>
                <w:i/>
                <w:iCs/>
                <w:color w:val="auto"/>
                <w:kern w:val="2"/>
                <w:sz w:val="24"/>
                <w:szCs w:val="24"/>
                <w:lang w:eastAsia="en-US"/>
                <w14:ligatures w14:val="standardContextual"/>
              </w:rPr>
              <w:t xml:space="preserve">Serious Crime Act 2015. </w:t>
            </w:r>
            <w:r w:rsidRPr="00235014">
              <w:rPr>
                <w:rFonts w:eastAsia="Aptos"/>
                <w:color w:val="auto"/>
                <w:kern w:val="2"/>
                <w:sz w:val="24"/>
                <w:szCs w:val="24"/>
                <w:lang w:eastAsia="en-US"/>
                <w14:ligatures w14:val="standardContextual"/>
              </w:rPr>
              <w:t>Research from the University of Bristol indicates that victims experience more harm from coercive control than they do from actual physical violence (Stark &amp; Hester, 2019), therefore this needs to be considered as a potential safeguarding risk too.</w:t>
            </w:r>
          </w:p>
          <w:p w14:paraId="4CC7EB5F" w14:textId="77777777" w:rsidR="00235014" w:rsidRPr="00235014" w:rsidRDefault="00235014" w:rsidP="00235014">
            <w:pPr>
              <w:overflowPunct/>
              <w:autoSpaceDE/>
              <w:autoSpaceDN/>
              <w:adjustRightInd/>
              <w:spacing w:after="160" w:line="278" w:lineRule="auto"/>
              <w:ind w:left="720"/>
              <w:contextualSpacing/>
              <w:textAlignment w:val="auto"/>
              <w:rPr>
                <w:rFonts w:eastAsia="Aptos"/>
                <w:color w:val="auto"/>
                <w:kern w:val="2"/>
                <w:sz w:val="24"/>
                <w:szCs w:val="24"/>
                <w:lang w:eastAsia="en-US"/>
                <w14:ligatures w14:val="standardContextual"/>
              </w:rPr>
            </w:pPr>
          </w:p>
          <w:p w14:paraId="2C9D6FE2" w14:textId="77777777" w:rsidR="00235014" w:rsidRPr="00235014" w:rsidRDefault="0023501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Considering Driscoll’s (1994) ‘Now What’ The WSP</w:t>
            </w:r>
            <w:r w:rsidRPr="00235014">
              <w:rPr>
                <w:rFonts w:eastAsia="Aptos"/>
                <w:i/>
                <w:iCs/>
                <w:color w:val="auto"/>
                <w:kern w:val="2"/>
                <w:sz w:val="24"/>
                <w:szCs w:val="24"/>
                <w:lang w:eastAsia="en-US"/>
                <w14:ligatures w14:val="standardContextual"/>
              </w:rPr>
              <w:t xml:space="preserve"> </w:t>
            </w:r>
            <w:r w:rsidRPr="00235014">
              <w:rPr>
                <w:rFonts w:eastAsia="Aptos"/>
                <w:color w:val="auto"/>
                <w:kern w:val="2"/>
                <w:sz w:val="24"/>
                <w:szCs w:val="24"/>
                <w:lang w:eastAsia="en-US"/>
                <w14:ligatures w14:val="standardContextual"/>
              </w:rPr>
              <w:t xml:space="preserve">(SCW, 2026) require me to consider if Adult 1 is at risk and assess her situation to identify if she meets the threshold for an adult at risk, in line with the WSP (SCW 2026), which includes physical, sexual, financial, and emotional abuse neglect. Considering Adult 1’s partner has a history of violence against women; in my professional judgement this increases the likelihood that their memory loss and mobility issues could be a result of abuse, it is unusual that a female in her 40’s would be on the floor for such a long period and experience this level memory loss and along with bruising on her arms and legs, this raises red flags for further investigation. Therefore, there is a need for a section 126 enquiry </w:t>
            </w:r>
            <w:r w:rsidRPr="00235014">
              <w:rPr>
                <w:rFonts w:eastAsia="Aptos"/>
                <w:i/>
                <w:iCs/>
                <w:color w:val="auto"/>
                <w:kern w:val="2"/>
                <w:sz w:val="24"/>
                <w:szCs w:val="24"/>
                <w:lang w:eastAsia="en-US"/>
                <w14:ligatures w14:val="standardContextual"/>
              </w:rPr>
              <w:t>SSWB(W)A 2014</w:t>
            </w:r>
            <w:r w:rsidRPr="00235014">
              <w:rPr>
                <w:rFonts w:eastAsia="Aptos"/>
                <w:color w:val="auto"/>
                <w:kern w:val="2"/>
                <w:sz w:val="24"/>
                <w:szCs w:val="24"/>
                <w:lang w:eastAsia="en-US"/>
                <w14:ligatures w14:val="standardContextual"/>
              </w:rPr>
              <w:t xml:space="preserve"> which means there is a duty to make enquiries and a duty to report an adult at risk, in line with the </w:t>
            </w:r>
            <w:r w:rsidRPr="00235014">
              <w:rPr>
                <w:rFonts w:eastAsia="Aptos"/>
                <w:i/>
                <w:iCs/>
                <w:color w:val="auto"/>
                <w:kern w:val="2"/>
                <w:sz w:val="24"/>
                <w:szCs w:val="24"/>
                <w:lang w:eastAsia="en-US"/>
                <w14:ligatures w14:val="standardContextual"/>
              </w:rPr>
              <w:t>SSWB(W)A 2014</w:t>
            </w:r>
            <w:r w:rsidRPr="00235014">
              <w:rPr>
                <w:rFonts w:eastAsia="Aptos"/>
                <w:color w:val="auto"/>
                <w:kern w:val="2"/>
                <w:sz w:val="24"/>
                <w:szCs w:val="24"/>
                <w:lang w:eastAsia="en-US"/>
                <w14:ligatures w14:val="standardContextual"/>
              </w:rPr>
              <w:t>, the ward had reported this to Safeguarding by filling out the Multi-Agency Referral Form (MARF). This led to a Multi-agency Strategy discussion which included Police, Social Services and Health colleagues, to share information that might be relevant to Adult 1’s situation and the risks posed by her partner, different agencies can hold different information, which can help to build a better understanding of the risks.</w:t>
            </w:r>
          </w:p>
          <w:p w14:paraId="2ED9F8CF" w14:textId="77777777" w:rsidR="00235014" w:rsidRPr="00235014" w:rsidRDefault="00235014" w:rsidP="00235014">
            <w:pPr>
              <w:overflowPunct/>
              <w:autoSpaceDE/>
              <w:autoSpaceDN/>
              <w:adjustRightInd/>
              <w:spacing w:after="160" w:line="278" w:lineRule="auto"/>
              <w:ind w:left="720"/>
              <w:contextualSpacing/>
              <w:textAlignment w:val="auto"/>
              <w:rPr>
                <w:rFonts w:eastAsia="Aptos"/>
                <w:color w:val="auto"/>
                <w:kern w:val="2"/>
                <w:sz w:val="24"/>
                <w:szCs w:val="24"/>
                <w:lang w:eastAsia="en-US"/>
                <w14:ligatures w14:val="standardContextual"/>
              </w:rPr>
            </w:pPr>
          </w:p>
          <w:p w14:paraId="7B2AF084" w14:textId="77777777" w:rsidR="00235014" w:rsidRPr="00235014" w:rsidRDefault="0023501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 xml:space="preserve">Information sharing is an important part of safeguarding and practice reviews have that a lack of information sharing has contributed to missed opportunities, Research carried out by the Wales Safeguarding Board and Manchester University found that inconsistent communication and lack of information sharing was a common theme (McManus et al, 2025). Following on from this research the Welsh Government have made some significant changes to Safeguarding legislation in Wales, updating section 5 of the WSP (SCW, 2026) which tells organisations how they should respond to concerns and allegations of people in authority. These changes to the Safeguarding procedures will support better multi-agency working, accountability and better processes for people who are at risk (SCW, 2026). Furthermore, strengthening the whistle blowing policies of agencies by having better guidance, and learning from practice reviews across Wales. This highlights how a lack of information sharing can lead to negative outcomes for people, who are vulnerable and at risk. The </w:t>
            </w:r>
            <w:r w:rsidRPr="00235014">
              <w:rPr>
                <w:rFonts w:eastAsia="Aptos"/>
                <w:i/>
                <w:iCs/>
                <w:color w:val="auto"/>
                <w:kern w:val="2"/>
                <w:sz w:val="24"/>
                <w:szCs w:val="24"/>
                <w:lang w:eastAsia="en-US"/>
                <w14:ligatures w14:val="standardContextual"/>
              </w:rPr>
              <w:t>Data Protection Act 2018</w:t>
            </w:r>
            <w:r w:rsidRPr="00235014">
              <w:rPr>
                <w:rFonts w:eastAsia="Aptos"/>
                <w:color w:val="auto"/>
                <w:kern w:val="2"/>
                <w:sz w:val="24"/>
                <w:szCs w:val="24"/>
                <w:lang w:eastAsia="en-US"/>
                <w14:ligatures w14:val="standardContextual"/>
              </w:rPr>
              <w:t xml:space="preserve"> allows information sharing if it’s in relation to </w:t>
            </w:r>
            <w:r w:rsidRPr="00235014">
              <w:rPr>
                <w:rFonts w:eastAsia="Aptos"/>
                <w:color w:val="auto"/>
                <w:kern w:val="2"/>
                <w:sz w:val="24"/>
                <w:szCs w:val="24"/>
                <w:lang w:eastAsia="en-US"/>
                <w14:ligatures w14:val="standardContextual"/>
              </w:rPr>
              <w:lastRenderedPageBreak/>
              <w:t>safeguarding and an adult at risk, therefore in this case information sharing is vital to safeguard adult 1 and gather further information to build a better picture of the risk and vulnerabilities, that she faces.</w:t>
            </w:r>
          </w:p>
          <w:p w14:paraId="3959F78F" w14:textId="77777777" w:rsidR="00235014" w:rsidRPr="00235014" w:rsidRDefault="0023501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p>
          <w:p w14:paraId="4B7AE950" w14:textId="77777777" w:rsidR="00235014" w:rsidRPr="00235014" w:rsidRDefault="0023501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It is important that as a social worker I work collaboratively and take a multi-agency approach, there have been many adult practice reviews (CYSUR, 2026) that have highlighted that a lack of communication and information sharing as one of the main factors that led to missed opportunities in protecting adults form harm. This is highlighted in an Adult Practice Review that took place in Urban Wales during the Covid-19 Pandemic (APR C&amp;V 01/2021, Cardiff &amp; Vale). This case highlights how a lack of communication between professionals can lead to serious Safeguarding failures which in turn lead to negative outcomes for people who are in need if care and support. Reflecting further, it can be difficult at times working with health colleagues due to pressures in the NHS, they are often treating the medical condition while I am trying to look at the person holistically, to ensure they are safe when discharged form hospital.</w:t>
            </w:r>
          </w:p>
          <w:p w14:paraId="45557D07" w14:textId="77777777" w:rsidR="00235014" w:rsidRPr="00235014" w:rsidRDefault="0023501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p>
          <w:p w14:paraId="7BAA3CA6" w14:textId="77777777" w:rsidR="00235014" w:rsidRPr="00235014" w:rsidRDefault="0023501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 xml:space="preserve">The </w:t>
            </w:r>
            <w:r w:rsidRPr="00235014">
              <w:rPr>
                <w:rFonts w:eastAsia="Aptos"/>
                <w:i/>
                <w:iCs/>
                <w:color w:val="auto"/>
                <w:kern w:val="2"/>
                <w:sz w:val="24"/>
                <w:szCs w:val="24"/>
                <w:lang w:eastAsia="en-US"/>
                <w14:ligatures w14:val="standardContextual"/>
              </w:rPr>
              <w:t xml:space="preserve">SSWB(W)A 2014 </w:t>
            </w:r>
            <w:r w:rsidRPr="00235014">
              <w:rPr>
                <w:rFonts w:eastAsia="Aptos"/>
                <w:color w:val="auto"/>
                <w:kern w:val="2"/>
                <w:sz w:val="24"/>
                <w:szCs w:val="24"/>
                <w:lang w:eastAsia="en-US"/>
                <w14:ligatures w14:val="standardContextual"/>
              </w:rPr>
              <w:t xml:space="preserve">places a statutory duty on social workers to work with Adult 1, her carers and other professionals, and to support the Safeguarding of Adult 1, I discussed a referral to drug and alcohol services, which would help her to address her alcohol use, and get support if she does have ARBD. Research suggests that ARBD is most common between the ages of 40 – 50 and can present 10 years earlier in females (Royal College of Psychiatrists, 2014). Working collaboratively with other professionals such as Safeguarding, Health, Drug and Alcohol Services and Housing took a multi-agency approach to support and protect her, along with Advocacy services which can support better communication and will ensure that her voice is heard, giving her a say in what her future care and support will look like. This links to the </w:t>
            </w:r>
            <w:r w:rsidRPr="00235014">
              <w:rPr>
                <w:rFonts w:eastAsia="Aptos"/>
                <w:i/>
                <w:iCs/>
                <w:color w:val="auto"/>
                <w:kern w:val="2"/>
                <w:sz w:val="24"/>
                <w:szCs w:val="24"/>
                <w:lang w:eastAsia="en-US"/>
                <w14:ligatures w14:val="standardContextual"/>
              </w:rPr>
              <w:t>SSWB(W)A 2014</w:t>
            </w:r>
            <w:r w:rsidRPr="00235014">
              <w:rPr>
                <w:rFonts w:eastAsia="Aptos"/>
                <w:color w:val="auto"/>
                <w:kern w:val="2"/>
                <w:sz w:val="24"/>
                <w:szCs w:val="24"/>
                <w:lang w:eastAsia="en-US"/>
                <w14:ligatures w14:val="standardContextual"/>
              </w:rPr>
              <w:t xml:space="preserve">, Citizen centred approach by having advocacy support to communicate her wishes and feelings. Furthermore, speaking to family and friends helped to build a better picture of her life, which allows a more holistic approach. Furthermore, the Strategy meeting that was held in line with </w:t>
            </w:r>
            <w:r w:rsidRPr="00235014">
              <w:rPr>
                <w:rFonts w:eastAsia="Aptos"/>
                <w:i/>
                <w:iCs/>
                <w:color w:val="auto"/>
                <w:kern w:val="2"/>
                <w:sz w:val="24"/>
                <w:szCs w:val="24"/>
                <w:lang w:eastAsia="en-US"/>
                <w14:ligatures w14:val="standardContextual"/>
              </w:rPr>
              <w:t>Part 7 of the SSWB(W)A 2014</w:t>
            </w:r>
            <w:r w:rsidRPr="00235014">
              <w:rPr>
                <w:rFonts w:eastAsia="Aptos"/>
                <w:color w:val="auto"/>
                <w:kern w:val="2"/>
                <w:sz w:val="24"/>
                <w:szCs w:val="24"/>
                <w:lang w:eastAsia="en-US"/>
                <w14:ligatures w14:val="standardContextual"/>
              </w:rPr>
              <w:t>, included Police, Social Services, Health, and Domestic Abuse services to share information in relation to safeguarding Adult 1. Collaborative working was crucial to ensure that she was safe, therefore a multi-agency approach meant that we shared information to ensure her safety and well-being, in this complex situation. Working in partnership with Adult 1 to assess her needs and risks is in line with the National Occupational Standard 12 (NOS) (BASW 2003) which states “Assess needs and risks in partnership with those involved”.</w:t>
            </w:r>
          </w:p>
          <w:p w14:paraId="4CE5949B" w14:textId="77777777" w:rsidR="00235014" w:rsidRPr="00235014" w:rsidRDefault="00235014" w:rsidP="00235014">
            <w:pPr>
              <w:overflowPunct/>
              <w:autoSpaceDE/>
              <w:autoSpaceDN/>
              <w:adjustRightInd/>
              <w:spacing w:after="160" w:line="278" w:lineRule="auto"/>
              <w:ind w:left="720"/>
              <w:contextualSpacing/>
              <w:textAlignment w:val="auto"/>
              <w:rPr>
                <w:rFonts w:eastAsia="Aptos"/>
                <w:color w:val="auto"/>
                <w:kern w:val="2"/>
                <w:sz w:val="24"/>
                <w:szCs w:val="24"/>
                <w:lang w:eastAsia="en-US"/>
                <w14:ligatures w14:val="standardContextual"/>
              </w:rPr>
            </w:pPr>
          </w:p>
          <w:p w14:paraId="1E82D228" w14:textId="77777777" w:rsidR="00235014" w:rsidRPr="00235014" w:rsidRDefault="0023501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Reflecting on multi-agency working using Driscoll’s (1994) “Now What” A multi-agency approach and working in collaboration with adult 1, her family and carers was essential</w:t>
            </w:r>
            <w:r w:rsidRPr="00235014">
              <w:rPr>
                <w:rFonts w:eastAsia="Aptos"/>
                <w:i/>
                <w:iCs/>
                <w:color w:val="auto"/>
                <w:kern w:val="2"/>
                <w:sz w:val="24"/>
                <w:szCs w:val="24"/>
                <w:lang w:eastAsia="en-US"/>
                <w14:ligatures w14:val="standardContextual"/>
              </w:rPr>
              <w:t xml:space="preserve"> (SSWB(W)A, 2014) </w:t>
            </w:r>
            <w:r w:rsidRPr="00235014">
              <w:rPr>
                <w:rFonts w:eastAsia="Aptos"/>
                <w:color w:val="auto"/>
                <w:kern w:val="2"/>
                <w:sz w:val="24"/>
                <w:szCs w:val="24"/>
                <w:lang w:eastAsia="en-US"/>
                <w14:ligatures w14:val="standardContextual"/>
              </w:rPr>
              <w:t xml:space="preserve">and required by the </w:t>
            </w:r>
            <w:r w:rsidRPr="00235014">
              <w:rPr>
                <w:rFonts w:eastAsia="Aptos"/>
                <w:i/>
                <w:iCs/>
                <w:color w:val="auto"/>
                <w:kern w:val="2"/>
                <w:sz w:val="24"/>
                <w:szCs w:val="24"/>
                <w:lang w:eastAsia="en-US"/>
                <w14:ligatures w14:val="standardContextual"/>
              </w:rPr>
              <w:t xml:space="preserve">WSP </w:t>
            </w:r>
            <w:r w:rsidRPr="00235014">
              <w:rPr>
                <w:rFonts w:eastAsia="Aptos"/>
                <w:color w:val="auto"/>
                <w:kern w:val="2"/>
                <w:sz w:val="24"/>
                <w:szCs w:val="24"/>
                <w:lang w:eastAsia="en-US"/>
                <w14:ligatures w14:val="standardContextual"/>
              </w:rPr>
              <w:t xml:space="preserve">(SCW, 2019). Due to fear and possible coercive control, she may not want to disclose the harm she experienced. Therefore, </w:t>
            </w:r>
            <w:r w:rsidRPr="00235014">
              <w:rPr>
                <w:rFonts w:eastAsia="Aptos"/>
                <w:color w:val="auto"/>
                <w:kern w:val="2"/>
                <w:sz w:val="24"/>
                <w:szCs w:val="24"/>
                <w:lang w:eastAsia="en-US"/>
                <w14:ligatures w14:val="standardContextual"/>
              </w:rPr>
              <w:lastRenderedPageBreak/>
              <w:t xml:space="preserve">gathering information from other agencies and people close to her can support to build a clearer picture of the harm she has experienced and the risks posed to her. However, any information shared needs to be proportionate and lawful in line with the </w:t>
            </w:r>
            <w:r w:rsidRPr="00235014">
              <w:rPr>
                <w:rFonts w:eastAsia="Aptos"/>
                <w:i/>
                <w:iCs/>
                <w:color w:val="auto"/>
                <w:kern w:val="2"/>
                <w:sz w:val="24"/>
                <w:szCs w:val="24"/>
                <w:lang w:eastAsia="en-US"/>
                <w14:ligatures w14:val="standardContextual"/>
              </w:rPr>
              <w:t xml:space="preserve">WSP </w:t>
            </w:r>
            <w:r w:rsidRPr="00235014">
              <w:rPr>
                <w:rFonts w:eastAsia="Aptos"/>
                <w:color w:val="auto"/>
                <w:kern w:val="2"/>
                <w:sz w:val="24"/>
                <w:szCs w:val="24"/>
                <w:lang w:eastAsia="en-US"/>
                <w14:ligatures w14:val="standardContextual"/>
              </w:rPr>
              <w:t>(SCW, 2026</w:t>
            </w:r>
            <w:r w:rsidRPr="00235014">
              <w:rPr>
                <w:rFonts w:eastAsia="Aptos"/>
                <w:i/>
                <w:iCs/>
                <w:color w:val="auto"/>
                <w:kern w:val="2"/>
                <w:sz w:val="24"/>
                <w:szCs w:val="24"/>
                <w:lang w:eastAsia="en-US"/>
                <w14:ligatures w14:val="standardContextual"/>
              </w:rPr>
              <w:t>)</w:t>
            </w:r>
            <w:r w:rsidRPr="00235014">
              <w:rPr>
                <w:rFonts w:eastAsia="Aptos"/>
                <w:color w:val="auto"/>
                <w:kern w:val="2"/>
                <w:sz w:val="24"/>
                <w:szCs w:val="24"/>
                <w:lang w:eastAsia="en-US"/>
                <w14:ligatures w14:val="standardContextual"/>
              </w:rPr>
              <w:t xml:space="preserve"> and </w:t>
            </w:r>
            <w:r w:rsidRPr="00235014">
              <w:rPr>
                <w:rFonts w:eastAsia="Aptos"/>
                <w:i/>
                <w:iCs/>
                <w:color w:val="auto"/>
                <w:kern w:val="2"/>
                <w:sz w:val="24"/>
                <w:szCs w:val="24"/>
                <w:lang w:eastAsia="en-US"/>
                <w14:ligatures w14:val="standardContextual"/>
              </w:rPr>
              <w:t>GDPR 2018.</w:t>
            </w:r>
            <w:r w:rsidRPr="00235014">
              <w:rPr>
                <w:rFonts w:eastAsia="Aptos"/>
                <w:color w:val="auto"/>
                <w:kern w:val="2"/>
                <w:sz w:val="24"/>
                <w:szCs w:val="24"/>
                <w:lang w:eastAsia="en-US"/>
                <w14:ligatures w14:val="standardContextual"/>
              </w:rPr>
              <w:t xml:space="preserve"> Furthermore</w:t>
            </w:r>
            <w:r w:rsidRPr="00235014">
              <w:rPr>
                <w:rFonts w:eastAsia="Aptos"/>
                <w:i/>
                <w:iCs/>
                <w:color w:val="auto"/>
                <w:kern w:val="2"/>
                <w:sz w:val="24"/>
                <w:szCs w:val="24"/>
                <w:lang w:eastAsia="en-US"/>
                <w14:ligatures w14:val="standardContextual"/>
              </w:rPr>
              <w:t>, Article 8 of the European Convention on Human Rights</w:t>
            </w:r>
            <w:r w:rsidRPr="00235014">
              <w:rPr>
                <w:rFonts w:eastAsia="Aptos"/>
                <w:color w:val="auto"/>
                <w:kern w:val="2"/>
                <w:sz w:val="24"/>
                <w:szCs w:val="24"/>
                <w:lang w:eastAsia="en-US"/>
                <w14:ligatures w14:val="standardContextual"/>
              </w:rPr>
              <w:t xml:space="preserve"> supports Adult 1’s </w:t>
            </w:r>
            <w:r w:rsidRPr="00235014">
              <w:rPr>
                <w:rFonts w:eastAsia="Aptos"/>
                <w:i/>
                <w:iCs/>
                <w:color w:val="auto"/>
                <w:kern w:val="2"/>
                <w:sz w:val="24"/>
                <w:szCs w:val="24"/>
                <w:lang w:eastAsia="en-US"/>
                <w14:ligatures w14:val="standardContextual"/>
              </w:rPr>
              <w:t>right to ‘private and family life’.</w:t>
            </w:r>
            <w:r w:rsidRPr="00235014">
              <w:rPr>
                <w:rFonts w:eastAsia="Aptos"/>
                <w:color w:val="auto"/>
                <w:kern w:val="2"/>
                <w:sz w:val="24"/>
                <w:szCs w:val="24"/>
                <w:lang w:eastAsia="en-US"/>
                <w14:ligatures w14:val="standardContextual"/>
              </w:rPr>
              <w:t xml:space="preserve"> This can be linked to empowerment theory (Saleeby 2006, cited in Davies 2013), which builds on the resources and strengths already available which in turn promotes a strength-based approach, working with Adult 1’s strengths to gain the best outcomes for her. In my professional judgement returning to her partner was not best decision for her, but on balance it was her wish to return to him, the chances are that she would return to him anyway. This highlights that people often make unwise decisions that can often put them at risk.</w:t>
            </w:r>
          </w:p>
          <w:p w14:paraId="1BC505D3" w14:textId="77777777" w:rsidR="00235014" w:rsidRPr="00235014" w:rsidRDefault="0023501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p>
          <w:p w14:paraId="707D3974" w14:textId="77777777" w:rsidR="00235014" w:rsidRDefault="0023501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 xml:space="preserve">The </w:t>
            </w:r>
            <w:r w:rsidRPr="00235014">
              <w:rPr>
                <w:rFonts w:eastAsia="Aptos"/>
                <w:i/>
                <w:iCs/>
                <w:color w:val="auto"/>
                <w:kern w:val="2"/>
                <w:sz w:val="24"/>
                <w:szCs w:val="24"/>
                <w:lang w:eastAsia="en-US"/>
                <w14:ligatures w14:val="standardContextual"/>
              </w:rPr>
              <w:t>SSWB(W)A 2014</w:t>
            </w:r>
            <w:r w:rsidRPr="00235014">
              <w:rPr>
                <w:rFonts w:eastAsia="Aptos"/>
                <w:color w:val="auto"/>
                <w:kern w:val="2"/>
                <w:sz w:val="24"/>
                <w:szCs w:val="24"/>
                <w:lang w:eastAsia="en-US"/>
                <w14:ligatures w14:val="standardContextual"/>
              </w:rPr>
              <w:t xml:space="preserve">, focuses more on working together and in partnership with adult 1, therefore it is important that I build a trusting relationship, so that they feel their voice is being heard, using the Exchange Model (Harris and White, 2018) can support this by recognising that Adult 1 is an expert in her own life, this supports shared decision making and empowerment. Furthermore, the </w:t>
            </w:r>
            <w:r w:rsidRPr="00235014">
              <w:rPr>
                <w:rFonts w:eastAsia="Aptos"/>
                <w:i/>
                <w:iCs/>
                <w:color w:val="auto"/>
                <w:kern w:val="2"/>
                <w:sz w:val="24"/>
                <w:szCs w:val="24"/>
                <w:lang w:eastAsia="en-US"/>
                <w14:ligatures w14:val="standardContextual"/>
              </w:rPr>
              <w:t xml:space="preserve">WSP, </w:t>
            </w:r>
            <w:r w:rsidRPr="00235014">
              <w:rPr>
                <w:rFonts w:eastAsia="Aptos"/>
                <w:color w:val="auto"/>
                <w:kern w:val="2"/>
                <w:sz w:val="24"/>
                <w:szCs w:val="24"/>
                <w:lang w:eastAsia="en-US"/>
                <w14:ligatures w14:val="standardContextual"/>
              </w:rPr>
              <w:t xml:space="preserve">(SCW, 2026) build on working collaboratively to strengthen safe practice. It is also important for me to gather information to gain an understanding of her lived experiences. Considering Systems Theory (Pincus &amp; Minahan 1973, cited in Davies, 2013, p.488-481) can help to understand the different systems in Adult 1’s life and the impact the recent changes are having on her. Although Howe (2009) argued that systems theory is biological and does not fit with Social Science. In this case Systems Theory can support looking at the bigger picture and how different systems in her life interlink, giving a better understanding of her situation. This situation highlights how difficult it can be to balance autonomy with duties to prevent harm, whilst trying to uphold Adult 1’s legal rights, which </w:t>
            </w:r>
            <w:r w:rsidRPr="00235014">
              <w:rPr>
                <w:rFonts w:eastAsia="Aptos"/>
                <w:i/>
                <w:iCs/>
                <w:color w:val="auto"/>
                <w:kern w:val="2"/>
                <w:sz w:val="24"/>
                <w:szCs w:val="24"/>
                <w:lang w:eastAsia="en-US"/>
                <w14:ligatures w14:val="standardContextual"/>
              </w:rPr>
              <w:t>include Article 8 Human Rights Act 1998 “Right to Respect for Private and family life”</w:t>
            </w:r>
            <w:r w:rsidRPr="00235014">
              <w:rPr>
                <w:rFonts w:eastAsia="Aptos"/>
                <w:color w:val="auto"/>
                <w:kern w:val="2"/>
                <w:sz w:val="24"/>
                <w:szCs w:val="24"/>
                <w:lang w:eastAsia="en-US"/>
                <w14:ligatures w14:val="standardContextual"/>
              </w:rPr>
              <w:t>. This emphasises the challenges faced by Social Workers when trying balance rights and risk along with choice and control, ensuring that any intervention can be least restrictive and ethically justified.</w:t>
            </w:r>
          </w:p>
          <w:p w14:paraId="5CF958BF" w14:textId="77777777" w:rsidR="00995DA4" w:rsidRPr="00235014" w:rsidRDefault="00995DA4" w:rsidP="00235014">
            <w:pPr>
              <w:overflowPunct/>
              <w:autoSpaceDE/>
              <w:autoSpaceDN/>
              <w:adjustRightInd/>
              <w:spacing w:after="160" w:line="278" w:lineRule="auto"/>
              <w:contextualSpacing/>
              <w:textAlignment w:val="auto"/>
              <w:rPr>
                <w:rFonts w:eastAsia="Aptos"/>
                <w:color w:val="auto"/>
                <w:kern w:val="2"/>
                <w:sz w:val="24"/>
                <w:szCs w:val="24"/>
                <w:lang w:eastAsia="en-US"/>
                <w14:ligatures w14:val="standardContextual"/>
              </w:rPr>
            </w:pPr>
          </w:p>
          <w:p w14:paraId="0F121420" w14:textId="77777777" w:rsidR="00235014" w:rsidRPr="00235014" w:rsidRDefault="00235014" w:rsidP="002350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 xml:space="preserve">Professional judgement is important in Social Work and part of the NOS (BASW, 2021) in my professional judgement, Adult 1’s situation was complex in relation to safeguarding because there is evidence that she has experienced multiple forms of harm, including physical, emotional, sexual, financial and neglect as stated in the </w:t>
            </w:r>
            <w:r w:rsidRPr="00235014">
              <w:rPr>
                <w:rFonts w:eastAsia="Aptos"/>
                <w:i/>
                <w:iCs/>
                <w:color w:val="auto"/>
                <w:kern w:val="2"/>
                <w:sz w:val="24"/>
                <w:szCs w:val="24"/>
                <w:lang w:eastAsia="en-US"/>
                <w14:ligatures w14:val="standardContextual"/>
              </w:rPr>
              <w:t xml:space="preserve">WSP </w:t>
            </w:r>
            <w:r w:rsidRPr="00235014">
              <w:rPr>
                <w:rFonts w:eastAsia="Aptos"/>
                <w:color w:val="auto"/>
                <w:kern w:val="2"/>
                <w:sz w:val="24"/>
                <w:szCs w:val="24"/>
                <w:lang w:eastAsia="en-US"/>
                <w14:ligatures w14:val="standardContextual"/>
              </w:rPr>
              <w:t xml:space="preserve">(SCW, 2026). Adult 1’s situation highlights how as social worker it can be difficult to make professional judgements as I was working with limited information while trying to balance her autonomy and protect her from harm </w:t>
            </w:r>
            <w:r w:rsidRPr="00235014">
              <w:rPr>
                <w:rFonts w:eastAsia="Aptos"/>
                <w:i/>
                <w:iCs/>
                <w:color w:val="auto"/>
                <w:kern w:val="2"/>
                <w:sz w:val="24"/>
                <w:szCs w:val="24"/>
                <w:lang w:eastAsia="en-US"/>
                <w14:ligatures w14:val="standardContextual"/>
              </w:rPr>
              <w:t>(SSWB(W)A, 2014).</w:t>
            </w:r>
            <w:r w:rsidRPr="00235014">
              <w:rPr>
                <w:rFonts w:eastAsia="Aptos"/>
                <w:color w:val="auto"/>
                <w:kern w:val="2"/>
                <w:sz w:val="24"/>
                <w:szCs w:val="24"/>
                <w:lang w:eastAsia="en-US"/>
                <w14:ligatures w14:val="standardContextual"/>
              </w:rPr>
              <w:t xml:space="preserve"> As Adult 1 was found to have Mental Capacity in relation to care and residence in line with the </w:t>
            </w:r>
            <w:r w:rsidRPr="00235014">
              <w:rPr>
                <w:rFonts w:eastAsia="Aptos"/>
                <w:i/>
                <w:iCs/>
                <w:color w:val="auto"/>
                <w:kern w:val="2"/>
                <w:sz w:val="24"/>
                <w:szCs w:val="24"/>
                <w:lang w:eastAsia="en-US"/>
                <w14:ligatures w14:val="standardContextual"/>
              </w:rPr>
              <w:t>MCA 2005</w:t>
            </w:r>
            <w:r w:rsidRPr="00235014">
              <w:rPr>
                <w:rFonts w:eastAsia="Aptos"/>
                <w:color w:val="auto"/>
                <w:kern w:val="2"/>
                <w:sz w:val="24"/>
                <w:szCs w:val="24"/>
                <w:lang w:eastAsia="en-US"/>
                <w14:ligatures w14:val="standardContextual"/>
              </w:rPr>
              <w:t xml:space="preserve">, any intervention would have to consider her views and wishes. Furthermore, if she has met the threshold for an adult at risk of harm, in line with the WSP (SCW, 2026), then there is also a need to consider </w:t>
            </w:r>
            <w:r w:rsidRPr="00235014">
              <w:rPr>
                <w:rFonts w:eastAsia="Aptos"/>
                <w:color w:val="auto"/>
                <w:kern w:val="2"/>
                <w:sz w:val="24"/>
                <w:szCs w:val="24"/>
                <w:lang w:eastAsia="en-US"/>
                <w14:ligatures w14:val="standardContextual"/>
              </w:rPr>
              <w:lastRenderedPageBreak/>
              <w:t xml:space="preserve">wider legislation like the </w:t>
            </w:r>
            <w:r w:rsidRPr="00235014">
              <w:rPr>
                <w:rFonts w:eastAsia="Aptos"/>
                <w:i/>
                <w:iCs/>
                <w:color w:val="auto"/>
                <w:kern w:val="2"/>
                <w:sz w:val="24"/>
                <w:szCs w:val="24"/>
                <w:lang w:eastAsia="en-US"/>
                <w14:ligatures w14:val="standardContextual"/>
              </w:rPr>
              <w:t>HRA 1998</w:t>
            </w:r>
            <w:r w:rsidRPr="00235014">
              <w:rPr>
                <w:rFonts w:eastAsia="Aptos"/>
                <w:color w:val="auto"/>
                <w:kern w:val="2"/>
                <w:sz w:val="24"/>
                <w:szCs w:val="24"/>
                <w:lang w:eastAsia="en-US"/>
                <w14:ligatures w14:val="standardContextual"/>
              </w:rPr>
              <w:t xml:space="preserve">, as she may have competing rights such as </w:t>
            </w:r>
            <w:r w:rsidRPr="00235014">
              <w:rPr>
                <w:rFonts w:eastAsia="Aptos"/>
                <w:i/>
                <w:iCs/>
                <w:color w:val="auto"/>
                <w:kern w:val="2"/>
                <w:sz w:val="24"/>
                <w:szCs w:val="24"/>
                <w:lang w:eastAsia="en-US"/>
                <w14:ligatures w14:val="standardContextual"/>
              </w:rPr>
              <w:t>Article 3</w:t>
            </w:r>
            <w:r w:rsidRPr="00235014">
              <w:rPr>
                <w:rFonts w:eastAsia="Aptos"/>
                <w:color w:val="auto"/>
                <w:kern w:val="2"/>
                <w:sz w:val="24"/>
                <w:szCs w:val="24"/>
                <w:lang w:eastAsia="en-US"/>
                <w14:ligatures w14:val="standardContextual"/>
              </w:rPr>
              <w:t xml:space="preserve"> and </w:t>
            </w:r>
            <w:r w:rsidRPr="00235014">
              <w:rPr>
                <w:rFonts w:eastAsia="Aptos"/>
                <w:i/>
                <w:iCs/>
                <w:color w:val="auto"/>
                <w:kern w:val="2"/>
                <w:sz w:val="24"/>
                <w:szCs w:val="24"/>
                <w:lang w:eastAsia="en-US"/>
                <w14:ligatures w14:val="standardContextual"/>
              </w:rPr>
              <w:t>Article 8</w:t>
            </w:r>
            <w:r w:rsidRPr="00235014">
              <w:rPr>
                <w:rFonts w:eastAsia="Aptos"/>
                <w:color w:val="auto"/>
                <w:kern w:val="2"/>
                <w:sz w:val="24"/>
                <w:szCs w:val="24"/>
                <w:lang w:eastAsia="en-US"/>
                <w14:ligatures w14:val="standardContextual"/>
              </w:rPr>
              <w:t xml:space="preserve">, </w:t>
            </w:r>
            <w:r w:rsidRPr="00235014">
              <w:rPr>
                <w:rFonts w:eastAsia="Aptos"/>
                <w:i/>
                <w:iCs/>
                <w:color w:val="auto"/>
                <w:kern w:val="2"/>
                <w:sz w:val="24"/>
                <w:szCs w:val="24"/>
                <w:lang w:eastAsia="en-US"/>
                <w14:ligatures w14:val="standardContextual"/>
              </w:rPr>
              <w:t>Article 3</w:t>
            </w:r>
            <w:r w:rsidRPr="00235014">
              <w:rPr>
                <w:rFonts w:eastAsia="Aptos"/>
                <w:color w:val="auto"/>
                <w:kern w:val="2"/>
                <w:sz w:val="24"/>
                <w:szCs w:val="24"/>
                <w:lang w:eastAsia="en-US"/>
                <w14:ligatures w14:val="standardContextual"/>
              </w:rPr>
              <w:t xml:space="preserve"> is absolute right, to protect vulnerable adults.</w:t>
            </w:r>
          </w:p>
          <w:p w14:paraId="439AC234" w14:textId="77777777" w:rsidR="00235014" w:rsidRPr="00235014" w:rsidRDefault="00235014" w:rsidP="002350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The safeguarding of Adult 1 is complex, and this is because it poses ethical dilemmas for me as her Social Worker. For example, trying to balance autonomy with her safety, using a strengths-based approach (Social Care Wales, 2019) can lead to better outcomes. Using professional judgement is difficult when there is limited information available, and when there are multiple forms of harm, such as physical and emotional. Along with her memory loss it is difficult to get a full picture of her situation</w:t>
            </w:r>
            <w:r w:rsidRPr="00235014">
              <w:rPr>
                <w:rFonts w:eastAsia="Aptos"/>
                <w:i/>
                <w:iCs/>
                <w:color w:val="auto"/>
                <w:kern w:val="2"/>
                <w:sz w:val="24"/>
                <w:szCs w:val="24"/>
                <w:lang w:eastAsia="en-US"/>
                <w14:ligatures w14:val="standardContextual"/>
              </w:rPr>
              <w:t xml:space="preserve">. WSP </w:t>
            </w:r>
            <w:r w:rsidRPr="00235014">
              <w:rPr>
                <w:rFonts w:eastAsia="Aptos"/>
                <w:color w:val="auto"/>
                <w:kern w:val="2"/>
                <w:sz w:val="24"/>
                <w:szCs w:val="24"/>
                <w:lang w:eastAsia="en-US"/>
                <w14:ligatures w14:val="standardContextual"/>
              </w:rPr>
              <w:t>(SCW 2026) require that I look at patterns of harm, and Adult 1 has had some previous relationships where she has been a survivor of domestic abuse. This shows a pattern of vulnerability, which could put her at further risk, my professional opinion is, she normalises this kind of abuse, as it has been going on for some time. Adult 1 could ask the Police for a ‘Claire’s Law’ disclosure under the Domestic Violence Disclosure Scheme (2023), which would give her information on her partners criminal history in relation to the risk he poses to her. This would support her to make an informed decision about her current situation.</w:t>
            </w:r>
          </w:p>
          <w:p w14:paraId="23190FAC" w14:textId="77777777" w:rsidR="00235014" w:rsidRPr="00235014" w:rsidRDefault="00235014" w:rsidP="002350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 xml:space="preserve">Social Workers must protect adults at risk in line with </w:t>
            </w:r>
            <w:r w:rsidRPr="00235014">
              <w:rPr>
                <w:rFonts w:eastAsia="Aptos"/>
                <w:i/>
                <w:iCs/>
                <w:color w:val="auto"/>
                <w:kern w:val="2"/>
                <w:sz w:val="24"/>
                <w:szCs w:val="24"/>
                <w:lang w:eastAsia="en-US"/>
                <w14:ligatures w14:val="standardContextual"/>
              </w:rPr>
              <w:t>SSWB(W)A, 2014</w:t>
            </w:r>
            <w:r w:rsidRPr="00235014">
              <w:rPr>
                <w:rFonts w:eastAsia="Aptos"/>
                <w:color w:val="auto"/>
                <w:kern w:val="2"/>
                <w:sz w:val="24"/>
                <w:szCs w:val="24"/>
                <w:lang w:eastAsia="en-US"/>
                <w14:ligatures w14:val="standardContextual"/>
              </w:rPr>
              <w:t xml:space="preserve">, using my professional judgement in Adult 1’s situation, means that I needed to speak to her about where she will live when she leaves hospital and gauge her understanding of the risks, if she chooses to return to her partner. My professional judgement was that there was evidence that she was at risk of cohesive control from her partner. She was reluctant to speak about what had happened to her, and how she was on the floor for so long. There was doubt around her Mental Capacity to make decisions around her safety in line with the </w:t>
            </w:r>
            <w:r w:rsidRPr="00235014">
              <w:rPr>
                <w:rFonts w:eastAsia="Aptos"/>
                <w:i/>
                <w:iCs/>
                <w:color w:val="auto"/>
                <w:kern w:val="2"/>
                <w:sz w:val="24"/>
                <w:szCs w:val="24"/>
                <w:lang w:eastAsia="en-US"/>
                <w14:ligatures w14:val="standardContextual"/>
              </w:rPr>
              <w:t xml:space="preserve">MCA 2005, </w:t>
            </w:r>
            <w:r w:rsidRPr="00235014">
              <w:rPr>
                <w:rFonts w:eastAsia="Aptos"/>
                <w:color w:val="auto"/>
                <w:kern w:val="2"/>
                <w:sz w:val="24"/>
                <w:szCs w:val="24"/>
                <w:lang w:eastAsia="en-US"/>
                <w14:ligatures w14:val="standardContextual"/>
              </w:rPr>
              <w:t xml:space="preserve">although it should be noted that the </w:t>
            </w:r>
            <w:r w:rsidRPr="00235014">
              <w:rPr>
                <w:rFonts w:eastAsia="Aptos"/>
                <w:i/>
                <w:iCs/>
                <w:color w:val="auto"/>
                <w:kern w:val="2"/>
                <w:sz w:val="24"/>
                <w:szCs w:val="24"/>
                <w:lang w:eastAsia="en-US"/>
                <w14:ligatures w14:val="standardContextual"/>
              </w:rPr>
              <w:t>MCA 2005</w:t>
            </w:r>
            <w:r w:rsidRPr="00235014">
              <w:rPr>
                <w:rFonts w:eastAsia="Aptos"/>
                <w:color w:val="auto"/>
                <w:kern w:val="2"/>
                <w:sz w:val="24"/>
                <w:szCs w:val="24"/>
                <w:lang w:eastAsia="en-US"/>
                <w14:ligatures w14:val="standardContextual"/>
              </w:rPr>
              <w:t xml:space="preserve"> principles allow for Adult 1 to make an unwise decision if she has Mental Capacity. My role is to support Adult 1’s autonomy, but to also ensure that she has all the information to make an informed decision, and any intervention is the least restrictive and can be justified. In this case there was a need for me to look beyond just assessing risk, there was a need for me to consider the bigger picture and critically analyse the domestic abuse, her vulnerability, and her capacity.</w:t>
            </w:r>
          </w:p>
          <w:p w14:paraId="137AF79A" w14:textId="77777777" w:rsidR="00235014" w:rsidRPr="00235014" w:rsidRDefault="00235014" w:rsidP="002350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Using a strengths-based approach (SCW, 2025), looking at her strengths and the support available to her, can support her to make informed decisions about her life, whilst ensuring that she has the right support in place. However, a strength-based approach means that I must try and balance autonomy with safety and ensure that any decision she makes is not influenced by her partner and that I have considered all the potential risks. Therefore, this case has highlighted how hard it can be to apply interventions in complex situations that require empowerment and protection.</w:t>
            </w:r>
          </w:p>
          <w:p w14:paraId="6F7998AC" w14:textId="77777777" w:rsidR="00235014" w:rsidRPr="00235014" w:rsidRDefault="00235014" w:rsidP="002350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235014">
              <w:rPr>
                <w:rFonts w:eastAsia="Aptos"/>
                <w:color w:val="auto"/>
                <w:kern w:val="2"/>
                <w:sz w:val="24"/>
                <w:szCs w:val="24"/>
                <w:lang w:eastAsia="en-US"/>
                <w14:ligatures w14:val="standardContextual"/>
              </w:rPr>
              <w:t xml:space="preserve">In conclusion, it is clear that safeguarding adults in Wales can be difficult for social workers and professionals. The legislation that protects adults in Wales guides professionals on what they need to do if they suspect an adult is at risk. Professionals need to use their </w:t>
            </w:r>
            <w:r w:rsidRPr="00235014">
              <w:rPr>
                <w:rFonts w:eastAsia="Aptos"/>
                <w:color w:val="auto"/>
                <w:kern w:val="2"/>
                <w:sz w:val="24"/>
                <w:szCs w:val="24"/>
                <w:lang w:eastAsia="en-US"/>
                <w14:ligatures w14:val="standardContextual"/>
              </w:rPr>
              <w:lastRenderedPageBreak/>
              <w:t>professional judgement and communication skills to protect adults, but they also need to understand that adults have autonomy, and they are the experts in their own lives. It is difficult to promote autonomy and safety, but as social workers we can use theories, supervision, and knowledge to support adults at risk to make informed decisions about their lives. This case has highlighted how collaborative working and person-centred practice can support adults at risk. I have collaborated with various other professionals to gain an understanding of the risks, which supports taking a holistic approach. Along with good communication and information sharing between agencies to ensure any safeguarding concerns were managed in a multi-disciplinary way. This case study highlights the difficulties in managing risk whilst trying to balance rights and autonomy. This case study has been a learning curve for me and has built my confidence in managing risk and has highlighted the importance of supervision and support from my supervisor and mentor.</w:t>
            </w:r>
          </w:p>
          <w:p w14:paraId="43CA65F6" w14:textId="6BB49C50" w:rsidR="00D3203C" w:rsidRPr="00235014" w:rsidRDefault="00235014" w:rsidP="00FF7EBB">
            <w:pPr>
              <w:jc w:val="both"/>
              <w:rPr>
                <w:b/>
                <w:bCs/>
                <w:iCs/>
                <w:sz w:val="24"/>
                <w:szCs w:val="24"/>
              </w:rPr>
            </w:pPr>
            <w:r w:rsidRPr="00235014">
              <w:rPr>
                <w:b/>
                <w:bCs/>
                <w:iCs/>
                <w:sz w:val="24"/>
                <w:szCs w:val="24"/>
              </w:rPr>
              <w:t>Words: 4195</w:t>
            </w:r>
          </w:p>
          <w:p w14:paraId="5C222972" w14:textId="259CE14B" w:rsidR="00D3203C" w:rsidRDefault="00D3203C" w:rsidP="00FF7EBB">
            <w:pPr>
              <w:jc w:val="both"/>
              <w:rPr>
                <w:i/>
                <w:sz w:val="24"/>
                <w:szCs w:val="24"/>
              </w:rPr>
            </w:pPr>
          </w:p>
          <w:p w14:paraId="0E7BBCC9" w14:textId="77777777" w:rsidR="00D3203C" w:rsidRPr="00235014" w:rsidRDefault="00D3203C" w:rsidP="00FF7EBB">
            <w:pPr>
              <w:jc w:val="both"/>
              <w:rPr>
                <w:iCs/>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2C3538" w14:textId="77777777" w:rsidR="00C82232" w:rsidRDefault="00C82232">
      <w:r>
        <w:separator/>
      </w:r>
    </w:p>
  </w:endnote>
  <w:endnote w:type="continuationSeparator" w:id="0">
    <w:p w14:paraId="63378FD6" w14:textId="77777777" w:rsidR="00C82232" w:rsidRDefault="00C822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6E334D" w14:textId="77777777" w:rsidR="00C82232" w:rsidRDefault="00C82232">
      <w:r>
        <w:separator/>
      </w:r>
    </w:p>
  </w:footnote>
  <w:footnote w:type="continuationSeparator" w:id="0">
    <w:p w14:paraId="47AB4FFD" w14:textId="77777777" w:rsidR="00C82232" w:rsidRDefault="00C822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88F0BD2"/>
    <w:multiLevelType w:val="hybridMultilevel"/>
    <w:tmpl w:val="5FA826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5"/>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2003661942">
    <w:abstractNumId w:val="3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24D"/>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6F3B"/>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E394B"/>
    <w:rsid w:val="001F4552"/>
    <w:rsid w:val="002019EB"/>
    <w:rsid w:val="00204B58"/>
    <w:rsid w:val="00205051"/>
    <w:rsid w:val="00211F65"/>
    <w:rsid w:val="00214047"/>
    <w:rsid w:val="00216563"/>
    <w:rsid w:val="0021792F"/>
    <w:rsid w:val="00220D06"/>
    <w:rsid w:val="002246A0"/>
    <w:rsid w:val="00230439"/>
    <w:rsid w:val="00232A09"/>
    <w:rsid w:val="00235014"/>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4EB4"/>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C8B"/>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5DA4"/>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7CE8"/>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2232"/>
    <w:rsid w:val="00C835FE"/>
    <w:rsid w:val="00C836CC"/>
    <w:rsid w:val="00C852D6"/>
    <w:rsid w:val="00C87A74"/>
    <w:rsid w:val="00C91BB8"/>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61A8"/>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C7004"/>
    <w:rsid w:val="00DD31C5"/>
    <w:rsid w:val="00DD5020"/>
    <w:rsid w:val="00DD63BE"/>
    <w:rsid w:val="00DE4296"/>
    <w:rsid w:val="00DE7C78"/>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31D4"/>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1A49"/>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10</Pages>
  <Words>3986</Words>
  <Characters>22722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Sinnott, Lisa</cp:lastModifiedBy>
  <cp:revision>17</cp:revision>
  <cp:lastPrinted>2020-02-11T19:20:00Z</cp:lastPrinted>
  <dcterms:created xsi:type="dcterms:W3CDTF">2022-09-29T11:34:00Z</dcterms:created>
  <dcterms:modified xsi:type="dcterms:W3CDTF">2026-10-05T19:54:00Z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