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after="40" w:line="400" w:lineRule="atLeast"/>
        <w:ind w:left="120" w:right="0" w:firstLine="0"/>
        <w:jc w:val="left"/>
        <w:rPr>
          <w:sz w:val="46"/>
          <w:szCs w:val="46"/>
          <w:rtl w:val="0"/>
        </w:rPr>
      </w:pPr>
      <w:r>
        <w:rPr>
          <w:sz w:val="46"/>
          <w:szCs w:val="46"/>
          <w:rtl w:val="0"/>
          <w:lang w:val="en-US"/>
        </w:rPr>
        <w:t xml:space="preserve">      </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after="40" w:line="400" w:lineRule="atLeast"/>
        <w:ind w:left="120" w:right="0" w:firstLine="0"/>
        <w:jc w:val="left"/>
        <w:rPr>
          <w:sz w:val="46"/>
          <w:szCs w:val="46"/>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after="40" w:line="400" w:lineRule="atLeast"/>
        <w:ind w:left="120" w:right="0" w:firstLine="0"/>
        <w:jc w:val="left"/>
        <w:rPr>
          <w:sz w:val="46"/>
          <w:szCs w:val="46"/>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after="40" w:line="400" w:lineRule="atLeast"/>
        <w:ind w:left="120" w:right="0" w:firstLine="0"/>
        <w:jc w:val="left"/>
        <w:rPr>
          <w:sz w:val="46"/>
          <w:szCs w:val="46"/>
          <w:rtl w:val="0"/>
        </w:rPr>
      </w:pPr>
      <w:r>
        <w:rPr>
          <w:sz w:val="46"/>
          <w:szCs w:val="46"/>
          <w:rtl w:val="0"/>
          <w:lang w:val="en-US"/>
        </w:rPr>
        <w:t xml:space="preserve">         </w:t>
      </w:r>
      <w:r>
        <w:rPr>
          <w:sz w:val="46"/>
          <w:szCs w:val="46"/>
          <w:rtl w:val="0"/>
          <w:lang w:val="en-US"/>
        </w:rPr>
        <w:t>Introduction to Psychology</w:t>
      </w: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after="40" w:line="400" w:lineRule="atLeast"/>
        <w:ind w:left="120" w:right="0" w:firstLine="0"/>
        <w:jc w:val="left"/>
        <w:rPr>
          <w:sz w:val="46"/>
          <w:szCs w:val="46"/>
          <w:rtl w:val="0"/>
        </w:rPr>
      </w:pPr>
    </w:p>
    <w:p>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bidi w:val="0"/>
        <w:spacing w:before="0" w:after="40" w:line="400" w:lineRule="atLeast"/>
        <w:ind w:left="120" w:right="0" w:firstLine="0"/>
        <w:jc w:val="left"/>
        <w:rPr>
          <w:rFonts w:ascii="Times New Roman" w:cs="Times New Roman" w:hAnsi="Times New Roman" w:eastAsia="Times New Roman"/>
          <w:sz w:val="24"/>
          <w:szCs w:val="24"/>
          <w:rtl w:val="0"/>
        </w:rPr>
      </w:pPr>
    </w:p>
    <w:p>
      <w:pPr>
        <w:pStyle w:val="Body"/>
        <w:spacing w:line="360" w:lineRule="auto"/>
        <w:jc w:val="both"/>
        <w:rPr>
          <w:rFonts w:ascii="Times New Roman" w:cs="Times New Roman" w:hAnsi="Times New Roman" w:eastAsia="Times New Roman"/>
          <w:sz w:val="24"/>
          <w:szCs w:val="24"/>
        </w:rPr>
      </w:pPr>
    </w:p>
    <w:p>
      <w:pPr>
        <w:pStyle w:val="Body"/>
        <w:spacing w:line="360" w:lineRule="auto"/>
        <w:jc w:val="both"/>
        <w:rPr>
          <w:rFonts w:ascii="Times New Roman" w:cs="Times New Roman" w:hAnsi="Times New Roman" w:eastAsia="Times New Roman"/>
        </w:rPr>
      </w:pPr>
      <w:r>
        <w:rPr>
          <w:rFonts w:ascii="Times New Roman" w:hAnsi="Times New Roman"/>
          <w:rtl w:val="0"/>
          <w:lang w:val="en-US"/>
        </w:rPr>
        <w:t>Name: Ileana Ioana Chis</w:t>
      </w:r>
    </w:p>
    <w:p>
      <w:pPr>
        <w:pStyle w:val="Body"/>
        <w:spacing w:line="360" w:lineRule="auto"/>
        <w:jc w:val="both"/>
        <w:rPr>
          <w:rFonts w:ascii="Times New Roman" w:cs="Times New Roman" w:hAnsi="Times New Roman" w:eastAsia="Times New Roman"/>
          <w:sz w:val="24"/>
          <w:szCs w:val="24"/>
          <w:lang w:val="en-US"/>
        </w:rPr>
      </w:pPr>
      <w:r>
        <w:rPr>
          <w:rFonts w:ascii="Times New Roman" w:hAnsi="Times New Roman"/>
          <w:sz w:val="24"/>
          <w:szCs w:val="24"/>
          <w:rtl w:val="0"/>
          <w:lang w:val="en-US"/>
        </w:rPr>
        <w:t>Student ID: 1818454</w:t>
      </w:r>
    </w:p>
    <w:p>
      <w:pPr>
        <w:pStyle w:val="Body"/>
        <w:spacing w:line="360" w:lineRule="auto"/>
        <w:jc w:val="both"/>
        <w:rPr>
          <w:rFonts w:ascii="Times New Roman" w:cs="Times New Roman" w:hAnsi="Times New Roman" w:eastAsia="Times New Roman"/>
          <w:sz w:val="24"/>
          <w:szCs w:val="24"/>
          <w:lang w:val="en-US"/>
        </w:rPr>
      </w:pPr>
    </w:p>
    <w:p>
      <w:pPr>
        <w:pStyle w:val="Body"/>
        <w:spacing w:line="360" w:lineRule="auto"/>
        <w:jc w:val="both"/>
        <w:rPr>
          <w:rFonts w:ascii="Times New Roman" w:cs="Times New Roman" w:hAnsi="Times New Roman" w:eastAsia="Times New Roman"/>
          <w:sz w:val="24"/>
          <w:szCs w:val="24"/>
          <w:lang w:val="en-US"/>
        </w:rPr>
      </w:pPr>
    </w:p>
    <w:p>
      <w:pPr>
        <w:pStyle w:val="Body"/>
        <w:spacing w:line="360" w:lineRule="auto"/>
        <w:jc w:val="both"/>
        <w:rPr>
          <w:rFonts w:ascii="Times New Roman" w:cs="Times New Roman" w:hAnsi="Times New Roman" w:eastAsia="Times New Roman"/>
          <w:sz w:val="24"/>
          <w:szCs w:val="24"/>
          <w:lang w:val="en-US"/>
        </w:rPr>
      </w:pPr>
    </w:p>
    <w:p>
      <w:pPr>
        <w:pStyle w:val="Body"/>
        <w:spacing w:line="360" w:lineRule="auto"/>
        <w:jc w:val="both"/>
        <w:rPr>
          <w:rFonts w:ascii="Times New Roman" w:cs="Times New Roman" w:hAnsi="Times New Roman" w:eastAsia="Times New Roman"/>
          <w:sz w:val="24"/>
          <w:szCs w:val="24"/>
          <w:lang w:val="en-US"/>
        </w:rPr>
      </w:pPr>
    </w:p>
    <w:p>
      <w:pPr>
        <w:pStyle w:val="Body"/>
        <w:spacing w:line="360" w:lineRule="auto"/>
        <w:jc w:val="both"/>
        <w:rPr>
          <w:rFonts w:ascii="Times New Roman" w:cs="Times New Roman" w:hAnsi="Times New Roman" w:eastAsia="Times New Roman"/>
          <w:sz w:val="24"/>
          <w:szCs w:val="24"/>
          <w:lang w:val="en-US"/>
        </w:rPr>
      </w:pPr>
    </w:p>
    <w:p>
      <w:pPr>
        <w:pStyle w:val="Body"/>
        <w:spacing w:line="360" w:lineRule="auto"/>
        <w:jc w:val="both"/>
        <w:rPr>
          <w:rFonts w:ascii="Times New Roman" w:cs="Times New Roman" w:hAnsi="Times New Roman" w:eastAsia="Times New Roman"/>
          <w:sz w:val="24"/>
          <w:szCs w:val="24"/>
          <w:lang w:val="en-US"/>
        </w:rPr>
      </w:pPr>
    </w:p>
    <w:p>
      <w:pPr>
        <w:pStyle w:val="Body"/>
        <w:spacing w:line="360" w:lineRule="auto"/>
        <w:jc w:val="both"/>
        <w:rPr>
          <w:rFonts w:ascii="Times New Roman" w:cs="Times New Roman" w:hAnsi="Times New Roman" w:eastAsia="Times New Roman"/>
          <w:sz w:val="24"/>
          <w:szCs w:val="24"/>
          <w:lang w:val="en-US"/>
        </w:rPr>
      </w:pPr>
    </w:p>
    <w:p>
      <w:pPr>
        <w:pStyle w:val="Body"/>
        <w:spacing w:line="360" w:lineRule="auto"/>
        <w:jc w:val="both"/>
        <w:rPr>
          <w:rFonts w:ascii="Times New Roman" w:cs="Times New Roman" w:hAnsi="Times New Roman" w:eastAsia="Times New Roman"/>
          <w:sz w:val="24"/>
          <w:szCs w:val="24"/>
          <w:lang w:val="en-US"/>
        </w:rPr>
      </w:pPr>
    </w:p>
    <w:p>
      <w:pPr>
        <w:pStyle w:val="Body"/>
        <w:spacing w:line="360" w:lineRule="auto"/>
        <w:jc w:val="both"/>
        <w:rPr>
          <w:rFonts w:ascii="Times New Roman" w:cs="Times New Roman" w:hAnsi="Times New Roman" w:eastAsia="Times New Roman"/>
          <w:sz w:val="24"/>
          <w:szCs w:val="24"/>
          <w:lang w:val="en-US"/>
        </w:rPr>
      </w:pPr>
      <w:r>
        <w:rPr>
          <w:rFonts w:ascii="Times New Roman" w:hAnsi="Times New Roman"/>
          <w:sz w:val="24"/>
          <w:szCs w:val="24"/>
          <w:rtl w:val="0"/>
          <w:lang w:val="en-US"/>
        </w:rPr>
        <w:t xml:space="preserve">Module Name: </w:t>
      </w:r>
      <w:r>
        <w:rPr>
          <w:rFonts w:ascii="Times New Roman" w:hAnsi="Times New Roman"/>
          <w:sz w:val="24"/>
          <w:szCs w:val="24"/>
          <w:rtl w:val="0"/>
          <w:lang w:val="en-US"/>
        </w:rPr>
        <w:t xml:space="preserve"> </w:t>
      </w:r>
      <w:r>
        <w:rPr>
          <w:rFonts w:ascii="Times New Roman" w:hAnsi="Times New Roman"/>
          <w:sz w:val="24"/>
          <w:szCs w:val="24"/>
          <w:rtl w:val="0"/>
          <w:lang w:val="en-US"/>
        </w:rPr>
        <w:t>Introduction to Psychology</w:t>
      </w:r>
    </w:p>
    <w:p>
      <w:pPr>
        <w:pStyle w:val="Body"/>
        <w:spacing w:line="360" w:lineRule="auto"/>
        <w:jc w:val="both"/>
        <w:rPr>
          <w:rFonts w:ascii="Times New Roman" w:cs="Times New Roman" w:hAnsi="Times New Roman" w:eastAsia="Times New Roman"/>
          <w:sz w:val="24"/>
          <w:szCs w:val="24"/>
          <w:lang w:val="en-US"/>
        </w:rPr>
      </w:pPr>
      <w:r>
        <w:rPr>
          <w:rFonts w:ascii="Times New Roman" w:hAnsi="Times New Roman"/>
          <w:sz w:val="24"/>
          <w:szCs w:val="24"/>
          <w:rtl w:val="0"/>
          <w:lang w:val="en-US"/>
        </w:rPr>
        <w:t xml:space="preserve">CODE </w:t>
      </w:r>
      <w:r>
        <w:rPr>
          <w:rFonts w:ascii="Times New Roman" w:hAnsi="Times New Roman"/>
          <w:sz w:val="24"/>
          <w:szCs w:val="24"/>
          <w:rtl w:val="0"/>
          <w:lang w:val="en-US"/>
        </w:rPr>
        <w:t>: (BMHP5003_LON)</w:t>
      </w:r>
    </w:p>
    <w:p>
      <w:pPr>
        <w:pStyle w:val="Body"/>
        <w:spacing w:line="360" w:lineRule="auto"/>
        <w:jc w:val="both"/>
        <w:rPr>
          <w:rFonts w:ascii="Times New Roman" w:cs="Times New Roman" w:hAnsi="Times New Roman" w:eastAsia="Times New Roman"/>
          <w:sz w:val="24"/>
          <w:szCs w:val="24"/>
          <w:lang w:val="en-US"/>
        </w:rPr>
      </w:pPr>
      <w:r>
        <w:rPr>
          <w:rFonts w:ascii="Times New Roman" w:hAnsi="Times New Roman"/>
          <w:sz w:val="24"/>
          <w:szCs w:val="24"/>
          <w:rtl w:val="0"/>
          <w:lang w:val="en-US"/>
        </w:rPr>
        <w:t>Name: Noura Mohamed</w:t>
      </w:r>
    </w:p>
    <w:p>
      <w:pPr>
        <w:pStyle w:val="TOC Heading"/>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 </w:t>
      </w:r>
      <w:r>
        <w:rPr>
          <w:rFonts w:ascii="Times New Roman" w:hAnsi="Times New Roman"/>
          <w:sz w:val="24"/>
          <w:szCs w:val="24"/>
          <w:rtl w:val="0"/>
          <w:lang w:val="en-US"/>
        </w:rPr>
        <w:t xml:space="preserve">  </w:t>
      </w:r>
    </w:p>
    <w:p>
      <w:pPr>
        <w:pStyle w:val="TOC Heading"/>
        <w:spacing w:line="360" w:lineRule="auto"/>
        <w:jc w:val="both"/>
        <w:rPr>
          <w:rFonts w:ascii="Times New Roman" w:cs="Times New Roman" w:hAnsi="Times New Roman" w:eastAsia="Times New Roman"/>
          <w:sz w:val="24"/>
          <w:szCs w:val="24"/>
        </w:rPr>
      </w:pPr>
    </w:p>
    <w:p>
      <w:pPr>
        <w:pStyle w:val="TOC Heading"/>
        <w:spacing w:line="360" w:lineRule="auto"/>
        <w:jc w:val="both"/>
        <w:rPr>
          <w:rFonts w:ascii="Times New Roman" w:cs="Times New Roman" w:hAnsi="Times New Roman" w:eastAsia="Times New Roman"/>
          <w:sz w:val="24"/>
          <w:szCs w:val="24"/>
        </w:rPr>
      </w:pPr>
    </w:p>
    <w:p>
      <w:pPr>
        <w:pStyle w:val="TOC Heading"/>
        <w:spacing w:line="360" w:lineRule="auto"/>
        <w:jc w:val="both"/>
        <w:rPr>
          <w:rFonts w:ascii="Times New Roman" w:cs="Times New Roman" w:hAnsi="Times New Roman" w:eastAsia="Times New Roman"/>
          <w:sz w:val="24"/>
          <w:szCs w:val="24"/>
        </w:rPr>
      </w:pPr>
    </w:p>
    <w:p>
      <w:pPr>
        <w:pStyle w:val="TOC Heading"/>
        <w:spacing w:line="360" w:lineRule="auto"/>
        <w:jc w:val="both"/>
        <w:rPr>
          <w:rFonts w:ascii="Times New Roman" w:cs="Times New Roman" w:hAnsi="Times New Roman" w:eastAsia="Times New Roman"/>
          <w:sz w:val="24"/>
          <w:szCs w:val="24"/>
        </w:rPr>
      </w:pPr>
    </w:p>
    <w:p>
      <w:pPr>
        <w:pStyle w:val="TOC Heading"/>
        <w:spacing w:line="360" w:lineRule="auto"/>
        <w:jc w:val="both"/>
        <w:rPr>
          <w:rFonts w:ascii="Times New Roman" w:cs="Times New Roman" w:hAnsi="Times New Roman" w:eastAsia="Times New Roman"/>
          <w:sz w:val="24"/>
          <w:szCs w:val="24"/>
        </w:rPr>
      </w:pPr>
    </w:p>
    <w:p>
      <w:pPr>
        <w:pStyle w:val="TOC Heading"/>
        <w:spacing w:line="360" w:lineRule="auto"/>
        <w:jc w:val="both"/>
        <w:rPr>
          <w:rFonts w:ascii="Times New Roman" w:cs="Times New Roman" w:hAnsi="Times New Roman" w:eastAsia="Times New Roman"/>
          <w:sz w:val="24"/>
          <w:szCs w:val="24"/>
        </w:rPr>
      </w:pPr>
    </w:p>
    <w:p>
      <w:pPr>
        <w:pStyle w:val="TOC Heading"/>
        <w:spacing w:line="360" w:lineRule="auto"/>
        <w:jc w:val="both"/>
        <w:rPr>
          <w:rFonts w:ascii="Times New Roman" w:cs="Times New Roman" w:hAnsi="Times New Roman" w:eastAsia="Times New Roman"/>
          <w:sz w:val="24"/>
          <w:szCs w:val="24"/>
        </w:rPr>
      </w:pPr>
    </w:p>
    <w:p>
      <w:pPr>
        <w:pStyle w:val="TOC Heading"/>
        <w:spacing w:line="360" w:lineRule="auto"/>
        <w:jc w:val="both"/>
        <w:rPr>
          <w:rFonts w:ascii="Times New Roman" w:cs="Times New Roman" w:hAnsi="Times New Roman" w:eastAsia="Times New Roman"/>
          <w:sz w:val="24"/>
          <w:szCs w:val="24"/>
        </w:rPr>
      </w:pPr>
    </w:p>
    <w:p>
      <w:pPr>
        <w:pStyle w:val="TOC Heading"/>
        <w:spacing w:line="360" w:lineRule="auto"/>
        <w:jc w:val="both"/>
        <w:rPr>
          <w:rFonts w:ascii="Times New Roman" w:cs="Times New Roman" w:hAnsi="Times New Roman" w:eastAsia="Times New Roman"/>
          <w:sz w:val="24"/>
          <w:szCs w:val="24"/>
        </w:rPr>
      </w:pPr>
    </w:p>
    <w:p>
      <w:pPr>
        <w:pStyle w:val="TOC Heading"/>
        <w:spacing w:line="360" w:lineRule="auto"/>
        <w:jc w:val="both"/>
        <w:rPr>
          <w:rFonts w:ascii="Times New Roman" w:cs="Times New Roman" w:hAnsi="Times New Roman" w:eastAsia="Times New Roman"/>
          <w:sz w:val="24"/>
          <w:szCs w:val="24"/>
        </w:rPr>
      </w:pPr>
    </w:p>
    <w:p>
      <w:pPr>
        <w:pStyle w:val="TOC Heading"/>
        <w:spacing w:line="360" w:lineRule="auto"/>
        <w:jc w:val="both"/>
        <w:rPr>
          <w:rFonts w:ascii="Times New Roman" w:cs="Times New Roman" w:hAnsi="Times New Roman" w:eastAsia="Times New Roman"/>
          <w:sz w:val="24"/>
          <w:szCs w:val="24"/>
        </w:rPr>
      </w:pPr>
    </w:p>
    <w:p>
      <w:pPr>
        <w:pStyle w:val="TOC Heading"/>
        <w:spacing w:line="360" w:lineRule="auto"/>
        <w:jc w:val="both"/>
        <w:rPr>
          <w:rFonts w:ascii="Times New Roman" w:cs="Times New Roman" w:hAnsi="Times New Roman" w:eastAsia="Times New Roman"/>
          <w:sz w:val="24"/>
          <w:szCs w:val="24"/>
        </w:rPr>
      </w:pPr>
    </w:p>
    <w:p>
      <w:pPr>
        <w:pStyle w:val="TOC Heading"/>
        <w:spacing w:line="360" w:lineRule="auto"/>
        <w:jc w:val="both"/>
        <w:rPr>
          <w:rFonts w:ascii="Times New Roman" w:cs="Times New Roman" w:hAnsi="Times New Roman" w:eastAsia="Times New Roman"/>
          <w:sz w:val="24"/>
          <w:szCs w:val="24"/>
        </w:rPr>
      </w:pPr>
    </w:p>
    <w:p>
      <w:pPr>
        <w:pStyle w:val="TOC Heading"/>
        <w:spacing w:line="360" w:lineRule="auto"/>
        <w:jc w:val="both"/>
        <w:rPr>
          <w:rFonts w:ascii="Times New Roman" w:cs="Times New Roman" w:hAnsi="Times New Roman" w:eastAsia="Times New Roman"/>
          <w:sz w:val="24"/>
          <w:szCs w:val="24"/>
        </w:rPr>
      </w:pPr>
    </w:p>
    <w:p>
      <w:pPr>
        <w:pStyle w:val="TOC Heading"/>
        <w:spacing w:line="360" w:lineRule="auto"/>
        <w:jc w:val="both"/>
        <w:rPr>
          <w:rFonts w:ascii="Times New Roman" w:cs="Times New Roman" w:hAnsi="Times New Roman" w:eastAsia="Times New Roman"/>
          <w:sz w:val="24"/>
          <w:szCs w:val="24"/>
        </w:rPr>
      </w:pPr>
    </w:p>
    <w:p>
      <w:pPr>
        <w:pStyle w:val="Body"/>
        <w:spacing w:line="360" w:lineRule="auto"/>
        <w:jc w:val="both"/>
        <w:rPr>
          <w:rFonts w:ascii="Times New Roman" w:cs="Times New Roman" w:hAnsi="Times New Roman" w:eastAsia="Times New Roman"/>
          <w:sz w:val="24"/>
          <w:szCs w:val="24"/>
        </w:rPr>
      </w:pPr>
    </w:p>
    <w:p>
      <w:pPr>
        <w:pStyle w:val="Body"/>
        <w:spacing w:line="360" w:lineRule="auto"/>
        <w:jc w:val="both"/>
        <w:rPr>
          <w:rFonts w:ascii="Times New Roman" w:cs="Times New Roman" w:hAnsi="Times New Roman" w:eastAsia="Times New Roman"/>
          <w:sz w:val="24"/>
          <w:szCs w:val="24"/>
        </w:rPr>
      </w:pPr>
    </w:p>
    <w:p>
      <w:pPr>
        <w:pStyle w:val="Body"/>
        <w:spacing w:line="360" w:lineRule="auto"/>
        <w:jc w:val="both"/>
        <w:rPr>
          <w:rFonts w:ascii="Times New Roman" w:cs="Times New Roman" w:hAnsi="Times New Roman" w:eastAsia="Times New Roman"/>
          <w:sz w:val="24"/>
          <w:szCs w:val="24"/>
        </w:rPr>
      </w:pPr>
    </w:p>
    <w:p>
      <w:pPr>
        <w:pStyle w:val="TOC Heading"/>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Table </w:t>
      </w:r>
      <w:r>
        <w:rPr>
          <w:rFonts w:ascii="Times New Roman" w:hAnsi="Times New Roman"/>
          <w:sz w:val="24"/>
          <w:szCs w:val="24"/>
          <w:rtl w:val="0"/>
          <w:lang w:val="en-US"/>
        </w:rPr>
        <w:t>of Contents</w:t>
      </w:r>
    </w:p>
    <w:p>
      <w:pPr>
        <w:pStyle w:val="Body"/>
        <w:spacing w:line="360" w:lineRule="auto"/>
        <w:jc w:val="both"/>
        <w:rPr>
          <w:rFonts w:ascii="Times New Roman" w:cs="Times New Roman" w:hAnsi="Times New Roman" w:eastAsia="Times New Roman"/>
          <w:sz w:val="24"/>
          <w:szCs w:val="24"/>
        </w:rPr>
      </w:pPr>
    </w:p>
    <w:p>
      <w:pPr>
        <w:pStyle w:val="Body"/>
        <w:spacing w:line="360" w:lineRule="auto"/>
        <w:jc w:val="both"/>
        <w:rPr>
          <w:rFonts w:ascii="Times New Roman" w:cs="Times New Roman" w:hAnsi="Times New Roman" w:eastAsia="Times New Roman"/>
          <w:sz w:val="24"/>
          <w:szCs w:val="24"/>
        </w:rPr>
      </w:pPr>
    </w:p>
    <w:p>
      <w:pPr>
        <w:pStyle w:val="Body"/>
        <w:spacing w:line="360" w:lineRule="auto"/>
        <w:jc w:val="both"/>
      </w:pPr>
      <w:r>
        <w:rPr>
          <w:rFonts w:ascii="Times New Roman" w:cs="Times New Roman" w:hAnsi="Times New Roman" w:eastAsia="Times New Roman"/>
          <w:sz w:val="24"/>
          <w:szCs w:val="24"/>
        </w:rPr>
        <w:fldChar w:fldCharType="begin" w:fldLock="0"/>
      </w:r>
      <w:r>
        <w:rPr>
          <w:rFonts w:ascii="Times New Roman" w:cs="Times New Roman" w:hAnsi="Times New Roman" w:eastAsia="Times New Roman"/>
          <w:sz w:val="24"/>
          <w:szCs w:val="24"/>
        </w:rPr>
        <w:instrText xml:space="preserve"> TOC \o 1-1 </w:instrText>
      </w:r>
      <w:r>
        <w:rPr>
          <w:rFonts w:ascii="Times New Roman" w:cs="Times New Roman" w:hAnsi="Times New Roman" w:eastAsia="Times New Roman"/>
          <w:sz w:val="24"/>
          <w:szCs w:val="24"/>
        </w:rPr>
        <w:fldChar w:fldCharType="separate" w:fldLock="0"/>
      </w:r>
    </w:p>
    <w:p>
      <w:pPr>
        <w:pStyle w:val="TOC 1"/>
      </w:pPr>
      <w:r>
        <w:rPr>
          <w:rFonts w:cs="Arial Unicode MS" w:eastAsia="Arial Unicode MS"/>
          <w:rtl w:val="0"/>
        </w:rPr>
        <w:t>Introduction</w:t>
        <w:tab/>
      </w:r>
      <w:r>
        <w:rPr/>
        <w:fldChar w:fldCharType="begin" w:fldLock="0"/>
      </w:r>
      <w:r>
        <w:instrText xml:space="preserve"> PAGEREF _Toc \h </w:instrText>
      </w:r>
      <w:r>
        <w:rPr/>
        <w:fldChar w:fldCharType="separate" w:fldLock="0"/>
      </w:r>
      <w:r>
        <w:rPr>
          <w:rFonts w:cs="Arial Unicode MS" w:eastAsia="Arial Unicode MS"/>
          <w:rtl w:val="0"/>
        </w:rPr>
        <w:t>3</w:t>
      </w:r>
      <w:r>
        <w:rPr/>
        <w:fldChar w:fldCharType="end" w:fldLock="0"/>
      </w:r>
    </w:p>
    <w:p>
      <w:pPr>
        <w:pStyle w:val="TOC 1"/>
      </w:pPr>
      <w:r>
        <w:rPr>
          <w:rFonts w:cs="Arial Unicode MS" w:eastAsia="Arial Unicode MS"/>
          <w:rtl w:val="0"/>
        </w:rPr>
        <w:t>Case study</w:t>
        <w:tab/>
      </w:r>
      <w:r>
        <w:rPr/>
        <w:fldChar w:fldCharType="begin" w:fldLock="0"/>
      </w:r>
      <w:r>
        <w:instrText xml:space="preserve"> PAGEREF _Toc1 \h </w:instrText>
      </w:r>
      <w:r>
        <w:rPr/>
        <w:fldChar w:fldCharType="separate" w:fldLock="0"/>
      </w:r>
      <w:r>
        <w:rPr>
          <w:rFonts w:cs="Arial Unicode MS" w:eastAsia="Arial Unicode MS"/>
          <w:rtl w:val="0"/>
        </w:rPr>
        <w:t>4</w:t>
      </w:r>
      <w:r>
        <w:rPr/>
        <w:fldChar w:fldCharType="end" w:fldLock="0"/>
      </w:r>
    </w:p>
    <w:p>
      <w:pPr>
        <w:pStyle w:val="TOC 1"/>
      </w:pPr>
      <w:r>
        <w:rPr>
          <w:rFonts w:cs="Arial Unicode MS" w:eastAsia="Arial Unicode MS"/>
          <w:rtl w:val="0"/>
        </w:rPr>
        <w:t>Health assessment</w:t>
        <w:tab/>
      </w:r>
      <w:r>
        <w:rPr/>
        <w:fldChar w:fldCharType="begin" w:fldLock="0"/>
      </w:r>
      <w:r>
        <w:instrText xml:space="preserve"> PAGEREF _Toc2 \h </w:instrText>
      </w:r>
      <w:r>
        <w:rPr/>
        <w:fldChar w:fldCharType="separate" w:fldLock="0"/>
      </w:r>
      <w:r>
        <w:rPr>
          <w:rFonts w:cs="Arial Unicode MS" w:eastAsia="Arial Unicode MS"/>
          <w:rtl w:val="0"/>
        </w:rPr>
        <w:t>4</w:t>
      </w:r>
      <w:r>
        <w:rPr/>
        <w:fldChar w:fldCharType="end" w:fldLock="0"/>
      </w:r>
    </w:p>
    <w:p>
      <w:pPr>
        <w:pStyle w:val="TOC 1"/>
      </w:pPr>
      <w:r>
        <w:rPr>
          <w:rFonts w:cs="Arial Unicode MS" w:eastAsia="Arial Unicode MS"/>
          <w:rtl w:val="0"/>
        </w:rPr>
        <w:t>Recommendations</w:t>
        <w:tab/>
      </w:r>
      <w:r>
        <w:rPr/>
        <w:fldChar w:fldCharType="begin" w:fldLock="0"/>
      </w:r>
      <w:r>
        <w:instrText xml:space="preserve"> PAGEREF _Toc3 \h </w:instrText>
      </w:r>
      <w:r>
        <w:rPr/>
        <w:fldChar w:fldCharType="separate" w:fldLock="0"/>
      </w:r>
      <w:r>
        <w:rPr>
          <w:rFonts w:cs="Arial Unicode MS" w:eastAsia="Arial Unicode MS"/>
          <w:rtl w:val="0"/>
        </w:rPr>
        <w:t>5</w:t>
      </w:r>
      <w:r>
        <w:rPr/>
        <w:fldChar w:fldCharType="end" w:fldLock="0"/>
      </w:r>
    </w:p>
    <w:p>
      <w:pPr>
        <w:pStyle w:val="TOC 1"/>
      </w:pPr>
      <w:r>
        <w:rPr>
          <w:rFonts w:cs="Arial Unicode MS" w:eastAsia="Arial Unicode MS"/>
          <w:rtl w:val="0"/>
        </w:rPr>
        <w:t>Conclusion</w:t>
        <w:tab/>
      </w:r>
      <w:r>
        <w:rPr/>
        <w:fldChar w:fldCharType="begin" w:fldLock="0"/>
      </w:r>
      <w:r>
        <w:instrText xml:space="preserve"> PAGEREF _Toc4 \h </w:instrText>
      </w:r>
      <w:r>
        <w:rPr/>
        <w:fldChar w:fldCharType="separate" w:fldLock="0"/>
      </w:r>
      <w:r>
        <w:rPr>
          <w:rFonts w:cs="Arial Unicode MS" w:eastAsia="Arial Unicode MS"/>
          <w:rtl w:val="0"/>
        </w:rPr>
        <w:t>7</w:t>
      </w:r>
      <w:r>
        <w:rPr/>
        <w:fldChar w:fldCharType="end" w:fldLock="0"/>
      </w:r>
    </w:p>
    <w:p>
      <w:pPr>
        <w:pStyle w:val="TOC 1"/>
      </w:pPr>
      <w:r>
        <w:rPr>
          <w:rFonts w:cs="Arial Unicode MS" w:eastAsia="Arial Unicode MS"/>
          <w:rtl w:val="0"/>
        </w:rPr>
        <w:t>References</w:t>
        <w:tab/>
      </w:r>
      <w:r>
        <w:rPr/>
        <w:fldChar w:fldCharType="begin" w:fldLock="0"/>
      </w:r>
      <w:r>
        <w:instrText xml:space="preserve"> PAGEREF _Toc5 \h </w:instrText>
      </w:r>
      <w:r>
        <w:rPr/>
        <w:fldChar w:fldCharType="separate" w:fldLock="0"/>
      </w:r>
      <w:r>
        <w:rPr>
          <w:rFonts w:cs="Arial Unicode MS" w:eastAsia="Arial Unicode MS"/>
          <w:rtl w:val="0"/>
        </w:rPr>
        <w:t>8</w:t>
      </w:r>
      <w:r>
        <w:rPr/>
        <w:fldChar w:fldCharType="end" w:fldLock="0"/>
      </w:r>
    </w:p>
    <w:p>
      <w:pPr>
        <w:spacing w:line="360" w:lineRule="auto"/>
        <w:jc w:val="both"/>
        <w:rPr>
          <w:rFonts w:ascii="Times New Roman" w:cs="Times New Roman" w:hAnsi="Times New Roman" w:eastAsia="Times New Roman"/>
          <w:sz w:val="24"/>
          <w:szCs w:val="24"/>
        </w:rPr>
      </w:pPr>
      <w:r>
        <w:rPr>
          <w:rFonts w:ascii="Times New Roman" w:cs="Times New Roman" w:hAnsi="Times New Roman" w:eastAsia="Times New Roman"/>
          <w:sz w:val="24"/>
          <w:szCs w:val="24"/>
        </w:rPr>
        <w:fldChar w:fldCharType="end" w:fldLock="0"/>
      </w:r>
    </w:p>
    <w:p>
      <w:pPr>
        <w:pStyle w:val="Body"/>
        <w:spacing w:line="360" w:lineRule="auto"/>
        <w:jc w:val="both"/>
      </w:pPr>
      <w:r>
        <w:rPr>
          <w:rFonts w:ascii="Arial Unicode MS" w:cs="Arial Unicode MS" w:hAnsi="Arial Unicode MS" w:eastAsia="Arial Unicode MS"/>
          <w:b w:val="0"/>
          <w:bCs w:val="0"/>
          <w:i w:val="0"/>
          <w:iCs w:val="0"/>
          <w:sz w:val="24"/>
          <w:szCs w:val="24"/>
        </w:rPr>
        <w:br w:type="page"/>
      </w:r>
    </w:p>
    <w:p>
      <w:pPr>
        <w:pStyle w:val="Heading"/>
        <w:spacing w:line="360" w:lineRule="auto"/>
        <w:jc w:val="both"/>
        <w:rPr>
          <w:rFonts w:ascii="Times New Roman" w:cs="Times New Roman" w:hAnsi="Times New Roman" w:eastAsia="Times New Roman"/>
          <w:sz w:val="24"/>
          <w:szCs w:val="24"/>
        </w:rPr>
      </w:pPr>
      <w:bookmarkStart w:name="_Toc" w:id="0"/>
      <w:r>
        <w:rPr>
          <w:rFonts w:ascii="Times New Roman" w:hAnsi="Times New Roman"/>
          <w:sz w:val="24"/>
          <w:szCs w:val="24"/>
          <w:rtl w:val="0"/>
          <w:lang w:val="fr-FR"/>
        </w:rPr>
        <w:t xml:space="preserve">Introduction </w:t>
      </w:r>
      <w:bookmarkEnd w:id="0"/>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Health can be defined as a complete state of physical and emotional well-being. Good health is a center to handle stress, a more active life, and living a long life. Financial, emotional, and spiritual health also contribute to overall health. Health assessment is one of the important measures that professionals perform to assess the current health status of the person. Various diseases have been diagnosed by various therapeutic means and hence various health assessments need to be following to evaluate the extent of progression of the disease. This report will discuss the case of a female patient who is physically every inactive and are at risk of developing certain health problems. This report will provide a proper assessment of the patient and what are the recommendations that should be taken to maintain a healthy lifestyle.</w:t>
      </w:r>
    </w:p>
    <w:p>
      <w:pPr>
        <w:pStyle w:val="Body"/>
        <w:spacing w:line="360" w:lineRule="auto"/>
        <w:jc w:val="both"/>
        <w:rPr>
          <w:rFonts w:ascii="Times New Roman" w:cs="Times New Roman" w:hAnsi="Times New Roman" w:eastAsia="Times New Roman"/>
          <w:sz w:val="24"/>
          <w:szCs w:val="24"/>
        </w:rPr>
      </w:pPr>
    </w:p>
    <w:p>
      <w:pPr>
        <w:pStyle w:val="Body"/>
        <w:spacing w:line="360" w:lineRule="auto"/>
        <w:jc w:val="both"/>
        <w:rPr>
          <w:rFonts w:ascii="Times New Roman" w:cs="Times New Roman" w:hAnsi="Times New Roman" w:eastAsia="Times New Roman"/>
          <w:sz w:val="24"/>
          <w:szCs w:val="24"/>
        </w:rPr>
      </w:pPr>
    </w:p>
    <w:p>
      <w:pPr>
        <w:pStyle w:val="Body"/>
        <w:spacing w:line="360" w:lineRule="auto"/>
        <w:jc w:val="both"/>
      </w:pPr>
      <w:r>
        <w:rPr>
          <w:rFonts w:ascii="Arial Unicode MS" w:cs="Arial Unicode MS" w:hAnsi="Arial Unicode MS" w:eastAsia="Arial Unicode MS"/>
          <w:b w:val="0"/>
          <w:bCs w:val="0"/>
          <w:i w:val="0"/>
          <w:iCs w:val="0"/>
          <w:sz w:val="24"/>
          <w:szCs w:val="24"/>
        </w:rPr>
        <w:br w:type="page"/>
      </w:r>
    </w:p>
    <w:p>
      <w:pPr>
        <w:pStyle w:val="Heading"/>
        <w:spacing w:line="360" w:lineRule="auto"/>
        <w:jc w:val="both"/>
        <w:rPr>
          <w:rFonts w:ascii="Times New Roman" w:cs="Times New Roman" w:hAnsi="Times New Roman" w:eastAsia="Times New Roman"/>
          <w:sz w:val="24"/>
          <w:szCs w:val="24"/>
        </w:rPr>
      </w:pPr>
      <w:bookmarkStart w:name="_Toc1" w:id="1"/>
      <w:r>
        <w:rPr>
          <w:rFonts w:ascii="Times New Roman" w:hAnsi="Times New Roman"/>
          <w:sz w:val="24"/>
          <w:szCs w:val="24"/>
          <w:rtl w:val="0"/>
          <w:lang w:val="en-US"/>
        </w:rPr>
        <w:t xml:space="preserve">Case study </w:t>
      </w:r>
      <w:bookmarkEnd w:id="1"/>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A 48-year-old female patient reported to the clinic. She is 165 cm tall and 86 kg weight. According to her weight and height, her BMI fall under the obese category and so requires the assessment of her overall physiological condition and need to assess her health and wellbeing status. The social history of the patient reveals that she used to smoke around 10 to 19 cigarettes per day and consume 3 to 6 units of alcohol per day </w:t>
      </w:r>
      <w:r>
        <w:rPr>
          <w:rFonts w:ascii="Times New Roman" w:hAnsi="Times New Roman"/>
          <w:outline w:val="0"/>
          <w:color w:val="222222"/>
          <w:sz w:val="24"/>
          <w:szCs w:val="24"/>
          <w:u w:color="222222"/>
          <w:shd w:val="clear" w:color="auto" w:fill="ffffff"/>
          <w:rtl w:val="0"/>
          <w14:textFill>
            <w14:solidFill>
              <w14:srgbClr w14:val="222222"/>
            </w14:solidFill>
          </w14:textFill>
        </w:rPr>
        <w:t>(Bozkurt et al., 2016)</w:t>
      </w:r>
      <w:r>
        <w:rPr>
          <w:rFonts w:ascii="Times New Roman" w:hAnsi="Times New Roman"/>
          <w:sz w:val="24"/>
          <w:szCs w:val="24"/>
          <w:rtl w:val="0"/>
          <w:lang w:val="en-US"/>
        </w:rPr>
        <w:t xml:space="preserve">. Medical history reveals she has hypertension and her blood pressure measure are 180/90 mmHg. This parameter makes her susceptible to certain cardiac problems such as myocardial infarction and stroke </w:t>
      </w:r>
      <w:r>
        <w:rPr>
          <w:rFonts w:ascii="Times New Roman" w:hAnsi="Times New Roman"/>
          <w:outline w:val="0"/>
          <w:color w:val="222222"/>
          <w:sz w:val="24"/>
          <w:szCs w:val="24"/>
          <w:u w:color="222222"/>
          <w:shd w:val="clear" w:color="auto" w:fill="ffffff"/>
          <w:rtl w:val="0"/>
          <w14:textFill>
            <w14:solidFill>
              <w14:srgbClr w14:val="222222"/>
            </w14:solidFill>
          </w14:textFill>
        </w:rPr>
        <w:t>(Bozkurt et al., 2016)</w:t>
      </w:r>
      <w:r>
        <w:rPr>
          <w:rFonts w:ascii="Times New Roman" w:hAnsi="Times New Roman"/>
          <w:sz w:val="24"/>
          <w:szCs w:val="24"/>
          <w:rtl w:val="0"/>
          <w:lang w:val="en-US"/>
        </w:rPr>
        <w:t xml:space="preserve">. Eating habit reveals she eat junk foods and chips all day and does not perform any physical exercise that explains the pattern of sedentary lifestyle or choice of unhealthy food option that leads to aggravating the ill effects of health. Family history reveals that her father has a stroke at the age of 68 years </w:t>
      </w:r>
      <w:r>
        <w:rPr>
          <w:rFonts w:ascii="Times New Roman" w:hAnsi="Times New Roman"/>
          <w:outline w:val="0"/>
          <w:color w:val="222222"/>
          <w:sz w:val="24"/>
          <w:szCs w:val="24"/>
          <w:u w:color="222222"/>
          <w:shd w:val="clear" w:color="auto" w:fill="ffffff"/>
          <w:rtl w:val="0"/>
          <w14:textFill>
            <w14:solidFill>
              <w14:srgbClr w14:val="222222"/>
            </w14:solidFill>
          </w14:textFill>
        </w:rPr>
        <w:t>(Bozkurt et al., 2016)</w:t>
      </w:r>
      <w:r>
        <w:rPr>
          <w:rFonts w:ascii="Times New Roman" w:hAnsi="Times New Roman"/>
          <w:sz w:val="24"/>
          <w:szCs w:val="24"/>
          <w:rtl w:val="0"/>
          <w:lang w:val="en-US"/>
        </w:rPr>
        <w:t xml:space="preserve">. Some lab investigations show that the patient did not have a high level of cholesterol in the blood but her sister has complaints of high cholesterol levels. Lifestyle assessment suggests that she eats junk and fast food all time and does not perform physical exercise that leads to increase weight and accumulation of fats in the body that affects the overall health of the patient </w:t>
      </w:r>
      <w:r>
        <w:rPr>
          <w:rFonts w:ascii="Times New Roman" w:hAnsi="Times New Roman"/>
          <w:outline w:val="0"/>
          <w:color w:val="222222"/>
          <w:sz w:val="24"/>
          <w:szCs w:val="24"/>
          <w:u w:color="222222"/>
          <w:shd w:val="clear" w:color="auto" w:fill="ffffff"/>
          <w:rtl w:val="0"/>
          <w14:textFill>
            <w14:solidFill>
              <w14:srgbClr w14:val="222222"/>
            </w14:solidFill>
          </w14:textFill>
        </w:rPr>
        <w:t>(Bozkurt et al., 2016)</w:t>
      </w:r>
      <w:r>
        <w:rPr>
          <w:rFonts w:ascii="Times New Roman" w:hAnsi="Times New Roman"/>
          <w:sz w:val="24"/>
          <w:szCs w:val="24"/>
          <w:rtl w:val="0"/>
        </w:rPr>
        <w:t xml:space="preserve">. </w:t>
      </w:r>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A short questionnaire has been formulated to reveal that patient is a heavy smoker and drinker. She has more than normal intake of alcohol on a daily basis and medical history reveals she is hypertensive that is more susceptible to develop a disease like fatty liver, hyperlipidemia, liver cirrhosis, diabetes mellitus, stroke, and myocardial infarction </w:t>
      </w:r>
      <w:r>
        <w:rPr>
          <w:rFonts w:ascii="Times New Roman" w:hAnsi="Times New Roman"/>
          <w:outline w:val="0"/>
          <w:color w:val="222222"/>
          <w:sz w:val="24"/>
          <w:szCs w:val="24"/>
          <w:u w:color="222222"/>
          <w:shd w:val="clear" w:color="auto" w:fill="ffffff"/>
          <w:rtl w:val="0"/>
          <w14:textFill>
            <w14:solidFill>
              <w14:srgbClr w14:val="222222"/>
            </w14:solidFill>
          </w14:textFill>
        </w:rPr>
        <w:t>(Petrie et al., 2018)</w:t>
      </w:r>
      <w:r>
        <w:rPr>
          <w:rFonts w:ascii="Times New Roman" w:hAnsi="Times New Roman"/>
          <w:sz w:val="24"/>
          <w:szCs w:val="24"/>
          <w:rtl w:val="0"/>
          <w:lang w:val="en-US"/>
        </w:rPr>
        <w:t xml:space="preserve">. She is physically very inactive and choosing unhealthier food that leads to an increase the weight that requires an appropriate weight management program. Hence, a patient needs proper assessment and recommendation to adopt an active and better lifestyle that can help to improve her overall health and wellbeing </w:t>
      </w:r>
      <w:r>
        <w:rPr>
          <w:rFonts w:ascii="Times New Roman" w:hAnsi="Times New Roman"/>
          <w:outline w:val="0"/>
          <w:color w:val="222222"/>
          <w:sz w:val="24"/>
          <w:szCs w:val="24"/>
          <w:u w:color="222222"/>
          <w:shd w:val="clear" w:color="auto" w:fill="ffffff"/>
          <w:rtl w:val="0"/>
          <w:lang w:val="nl-NL"/>
          <w14:textFill>
            <w14:solidFill>
              <w14:srgbClr w14:val="222222"/>
            </w14:solidFill>
          </w14:textFill>
        </w:rPr>
        <w:t>(De Boer et al., 2017)</w:t>
      </w:r>
      <w:r>
        <w:rPr>
          <w:rFonts w:ascii="Times New Roman" w:hAnsi="Times New Roman"/>
          <w:sz w:val="24"/>
          <w:szCs w:val="24"/>
          <w:rtl w:val="0"/>
          <w:lang w:val="en-US"/>
        </w:rPr>
        <w:t xml:space="preserve">. Hence to summarise the finding of the patient, it is revealed that the patient is more inclined towards the development of diabetes mellitus due to choosing unhealthier options and sedentary lifestyles. Additionally, other risk factors are also associated with the development of diabetes mellitus such as family history that makes her vulnerable to develop diabetes in the later stage of her life </w:t>
      </w:r>
      <w:r>
        <w:rPr>
          <w:rFonts w:ascii="Times New Roman" w:hAnsi="Times New Roman"/>
          <w:outline w:val="0"/>
          <w:color w:val="222222"/>
          <w:sz w:val="24"/>
          <w:szCs w:val="24"/>
          <w:u w:color="222222"/>
          <w:shd w:val="clear" w:color="auto" w:fill="ffffff"/>
          <w:rtl w:val="0"/>
          <w:lang w:val="fr-FR"/>
          <w14:textFill>
            <w14:solidFill>
              <w14:srgbClr w14:val="222222"/>
            </w14:solidFill>
          </w14:textFill>
        </w:rPr>
        <w:t>(Mauvais-Jarvis., 2017)</w:t>
      </w:r>
      <w:r>
        <w:rPr>
          <w:rFonts w:ascii="Times New Roman" w:hAnsi="Times New Roman"/>
          <w:sz w:val="24"/>
          <w:szCs w:val="24"/>
          <w:rtl w:val="0"/>
        </w:rPr>
        <w:t>.</w:t>
      </w:r>
    </w:p>
    <w:p>
      <w:pPr>
        <w:pStyle w:val="Heading"/>
        <w:spacing w:line="360" w:lineRule="auto"/>
        <w:jc w:val="both"/>
        <w:rPr>
          <w:rFonts w:ascii="Times New Roman" w:cs="Times New Roman" w:hAnsi="Times New Roman" w:eastAsia="Times New Roman"/>
          <w:sz w:val="24"/>
          <w:szCs w:val="24"/>
        </w:rPr>
      </w:pPr>
      <w:bookmarkStart w:name="_Toc2" w:id="2"/>
      <w:r>
        <w:rPr>
          <w:rFonts w:ascii="Times New Roman" w:hAnsi="Times New Roman"/>
          <w:sz w:val="24"/>
          <w:szCs w:val="24"/>
          <w:rtl w:val="0"/>
          <w:lang w:val="en-US"/>
        </w:rPr>
        <w:t>Health assessment</w:t>
      </w:r>
      <w:bookmarkEnd w:id="2"/>
    </w:p>
    <w:p>
      <w:pPr>
        <w:pStyle w:val="Body"/>
        <w:spacing w:line="360" w:lineRule="auto"/>
        <w:jc w:val="both"/>
        <w:rPr>
          <w:rFonts w:ascii="Times New Roman" w:cs="Times New Roman" w:hAnsi="Times New Roman" w:eastAsia="Times New Roman"/>
          <w:sz w:val="24"/>
          <w:szCs w:val="24"/>
        </w:rPr>
      </w:pP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Bozkurt et al in the year 2016</w:t>
      </w:r>
      <w:r>
        <w:rPr>
          <w:rFonts w:ascii="Times New Roman" w:hAnsi="Times New Roman"/>
          <w:sz w:val="24"/>
          <w:szCs w:val="24"/>
          <w:rtl w:val="0"/>
          <w:lang w:val="en-US"/>
        </w:rPr>
        <w:t xml:space="preserve"> explains that over the past 5 years, people who are sitting inactive may have physiological health consequences that lead to the development of diabetes mellitus and poor metabolism of glucose and lipid. </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Mozaffarian in the year 2016</w:t>
      </w:r>
      <w:r>
        <w:rPr>
          <w:rFonts w:ascii="Times New Roman" w:hAnsi="Times New Roman"/>
          <w:sz w:val="24"/>
          <w:szCs w:val="24"/>
          <w:rtl w:val="0"/>
          <w:lang w:val="en-US"/>
        </w:rPr>
        <w:t xml:space="preserve"> has shown that there are 1123 percent risks associated with a sedentary lifestyle and the development of type 2 diabetes mellitus </w:t>
      </w:r>
      <w:r>
        <w:rPr>
          <w:rFonts w:ascii="Times New Roman" w:hAnsi="Times New Roman"/>
          <w:outline w:val="0"/>
          <w:color w:val="222222"/>
          <w:sz w:val="24"/>
          <w:szCs w:val="24"/>
          <w:u w:color="222222"/>
          <w:shd w:val="clear" w:color="auto" w:fill="ffffff"/>
          <w:rtl w:val="0"/>
          <w:lang w:val="it-IT"/>
          <w14:textFill>
            <w14:solidFill>
              <w14:srgbClr w14:val="222222"/>
            </w14:solidFill>
          </w14:textFill>
        </w:rPr>
        <w:t>(Mozaffarian., 2016)</w:t>
      </w:r>
      <w:r>
        <w:rPr>
          <w:rFonts w:ascii="Times New Roman" w:hAnsi="Times New Roman"/>
          <w:sz w:val="24"/>
          <w:szCs w:val="24"/>
          <w:rtl w:val="0"/>
          <w:lang w:val="en-US"/>
        </w:rPr>
        <w:t xml:space="preserve">. Diabetes mellitus is a condition that affects the body turns food into energy </w:t>
      </w:r>
      <w:r>
        <w:rPr>
          <w:rFonts w:ascii="Times New Roman" w:hAnsi="Times New Roman"/>
          <w:outline w:val="0"/>
          <w:color w:val="222222"/>
          <w:sz w:val="24"/>
          <w:szCs w:val="24"/>
          <w:u w:color="222222"/>
          <w:shd w:val="clear" w:color="auto" w:fill="ffffff"/>
          <w:rtl w:val="0"/>
          <w:lang w:val="it-IT"/>
          <w14:textFill>
            <w14:solidFill>
              <w14:srgbClr w14:val="222222"/>
            </w14:solidFill>
          </w14:textFill>
        </w:rPr>
        <w:t>(Mozaffarian., 2016)</w:t>
      </w:r>
      <w:r>
        <w:rPr>
          <w:rFonts w:ascii="Times New Roman" w:hAnsi="Times New Roman"/>
          <w:sz w:val="24"/>
          <w:szCs w:val="24"/>
          <w:rtl w:val="0"/>
          <w:lang w:val="en-US"/>
        </w:rPr>
        <w:t xml:space="preserve">. This condition causes high sugar levels in the blood. Physical activity recommendations and guidelines for diabetes, dyslipidemia and impaired glucose tolerance have a focus on moderate physical exercise. Diabetes mellitus also has a genetic predisposition that is it is generally transferred from one generation to another generation and it is mainly associated with changing eating patterns and a sedentary or inactive lifestyle </w:t>
      </w:r>
      <w:r>
        <w:rPr>
          <w:rFonts w:ascii="Times New Roman" w:hAnsi="Times New Roman"/>
          <w:outline w:val="0"/>
          <w:color w:val="222222"/>
          <w:sz w:val="24"/>
          <w:szCs w:val="24"/>
          <w:u w:color="222222"/>
          <w:shd w:val="clear" w:color="auto" w:fill="ffffff"/>
          <w:rtl w:val="0"/>
          <w:lang w:val="fr-FR"/>
          <w14:textFill>
            <w14:solidFill>
              <w14:srgbClr w14:val="222222"/>
            </w14:solidFill>
          </w14:textFill>
        </w:rPr>
        <w:t>(Boles et al., 2017)</w:t>
      </w:r>
      <w:r>
        <w:rPr>
          <w:rFonts w:ascii="Times New Roman" w:hAnsi="Times New Roman"/>
          <w:sz w:val="24"/>
          <w:szCs w:val="24"/>
          <w:rtl w:val="0"/>
          <w:lang w:val="en-US"/>
        </w:rPr>
        <w:t xml:space="preserve">. Both obesity and the sedentary lifestyle of the patient can predispose to the development of diabetes mellitus. Obesity is generally calculated according to the basal metabolic rate of the person. The BMI can be calculated as the ratio of weight in kilogram and the square root of the height of the person in meters. A BMI above 25 is considered obese </w:t>
      </w:r>
      <w:r>
        <w:rPr>
          <w:rFonts w:ascii="Times New Roman" w:hAnsi="Times New Roman"/>
          <w:outline w:val="0"/>
          <w:color w:val="222222"/>
          <w:sz w:val="24"/>
          <w:szCs w:val="24"/>
          <w:u w:color="222222"/>
          <w:shd w:val="clear" w:color="auto" w:fill="ffffff"/>
          <w:rtl w:val="0"/>
          <w14:textFill>
            <w14:solidFill>
              <w14:srgbClr w14:val="222222"/>
            </w14:solidFill>
          </w14:textFill>
        </w:rPr>
        <w:t>(Sorensen et al., 2018)</w:t>
      </w:r>
      <w:r>
        <w:rPr>
          <w:rFonts w:ascii="Times New Roman" w:hAnsi="Times New Roman"/>
          <w:sz w:val="24"/>
          <w:szCs w:val="24"/>
          <w:rtl w:val="0"/>
          <w:lang w:val="en-US"/>
        </w:rPr>
        <w:t xml:space="preserve">. The BMI of the patient is 31.6 that puts her in the obese category. Obesity is a condition that leads to excess accumulation of fat in the body which leads to deteriorates cardio-vascular health. Obesity can cause various diseases such as hyperlipidemia, hypertension, diabetes mellitus, stroke, and metabolic syndromes such as altered menstruation and polycystic ovarian syndrome. </w:t>
      </w:r>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The patient is hypertensive and not on any medication and so another vital sign needs to be monitored. Blood pressure can be defined as the lateral pressure exerted by the walls of the artery when the heart pumps blood to various parts of the body. Normal blood pressure is 120/80 mmHg </w:t>
      </w:r>
      <w:r>
        <w:rPr>
          <w:rFonts w:ascii="Times New Roman" w:hAnsi="Times New Roman"/>
          <w:outline w:val="0"/>
          <w:color w:val="222222"/>
          <w:sz w:val="24"/>
          <w:szCs w:val="24"/>
          <w:u w:color="222222"/>
          <w:shd w:val="clear" w:color="auto" w:fill="ffffff"/>
          <w:rtl w:val="0"/>
          <w14:textFill>
            <w14:solidFill>
              <w14:srgbClr w14:val="222222"/>
            </w14:solidFill>
          </w14:textFill>
        </w:rPr>
        <w:t>(Are</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á</w:t>
      </w:r>
      <w:r>
        <w:rPr>
          <w:rFonts w:ascii="Times New Roman" w:hAnsi="Times New Roman"/>
          <w:outline w:val="0"/>
          <w:color w:val="222222"/>
          <w:sz w:val="24"/>
          <w:szCs w:val="24"/>
          <w:u w:color="222222"/>
          <w:shd w:val="clear" w:color="auto" w:fill="ffffff"/>
          <w:rtl w:val="0"/>
          <w14:textFill>
            <w14:solidFill>
              <w14:srgbClr w14:val="222222"/>
            </w14:solidFill>
          </w14:textFill>
        </w:rPr>
        <w:t>n et al., 2016)</w:t>
      </w:r>
      <w:r>
        <w:rPr>
          <w:rFonts w:ascii="Times New Roman" w:hAnsi="Times New Roman"/>
          <w:sz w:val="24"/>
          <w:szCs w:val="24"/>
          <w:rtl w:val="0"/>
          <w:lang w:val="en-US"/>
        </w:rPr>
        <w:t xml:space="preserve">. Blood pressure can be increased due to a variety of reasons such as stress and poor lifestyle, genetic factors, and taking some medications. Hypertension can lead to the development of cardiac disease such as heart attack, or stroke and hence proper follow-up is requires to maintain the health of the patient. Hypertension also increases the risk of developing type 2 diabetes mellitus </w:t>
      </w:r>
      <w:r>
        <w:rPr>
          <w:rFonts w:ascii="Times New Roman" w:hAnsi="Times New Roman"/>
          <w:outline w:val="0"/>
          <w:color w:val="222222"/>
          <w:sz w:val="24"/>
          <w:szCs w:val="24"/>
          <w:u w:color="222222"/>
          <w:shd w:val="clear" w:color="auto" w:fill="ffffff"/>
          <w:rtl w:val="0"/>
          <w14:textFill>
            <w14:solidFill>
              <w14:srgbClr w14:val="222222"/>
            </w14:solidFill>
          </w14:textFill>
        </w:rPr>
        <w:t>(Are</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á</w:t>
      </w:r>
      <w:r>
        <w:rPr>
          <w:rFonts w:ascii="Times New Roman" w:hAnsi="Times New Roman"/>
          <w:outline w:val="0"/>
          <w:color w:val="222222"/>
          <w:sz w:val="24"/>
          <w:szCs w:val="24"/>
          <w:u w:color="222222"/>
          <w:shd w:val="clear" w:color="auto" w:fill="ffffff"/>
          <w:rtl w:val="0"/>
          <w14:textFill>
            <w14:solidFill>
              <w14:srgbClr w14:val="222222"/>
            </w14:solidFill>
          </w14:textFill>
        </w:rPr>
        <w:t>n et al., 2016)</w:t>
      </w:r>
      <w:r>
        <w:rPr>
          <w:rFonts w:ascii="Times New Roman" w:hAnsi="Times New Roman"/>
          <w:sz w:val="24"/>
          <w:szCs w:val="24"/>
          <w:rtl w:val="0"/>
          <w:lang w:val="en-US"/>
        </w:rPr>
        <w:t>. Other risk factors that lead to hypertension are low levels of potassium in the diet, having high sodium and fat diet, high consumption of alcohol, and other chronic conditions such as kidney disease, sleep apnea, and inflammatory arthritis.</w:t>
      </w:r>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Maintaining lipid profile under the range is also an important task that needs to be considered. Lipid levels can be maintained by consuming a diet that contains low-density lipid, very low-density lipid, and high-density lipid </w:t>
      </w:r>
      <w:r>
        <w:rPr>
          <w:rFonts w:ascii="Times New Roman" w:hAnsi="Times New Roman"/>
          <w:outline w:val="0"/>
          <w:color w:val="222222"/>
          <w:sz w:val="24"/>
          <w:szCs w:val="24"/>
          <w:u w:color="222222"/>
          <w:shd w:val="clear" w:color="auto" w:fill="ffffff"/>
          <w:rtl w:val="0"/>
          <w14:textFill>
            <w14:solidFill>
              <w14:srgbClr w14:val="222222"/>
            </w14:solidFill>
          </w14:textFill>
        </w:rPr>
        <w:t>(Tran et al., 2017)</w:t>
      </w:r>
      <w:r>
        <w:rPr>
          <w:rFonts w:ascii="Times New Roman" w:hAnsi="Times New Roman"/>
          <w:sz w:val="24"/>
          <w:szCs w:val="24"/>
          <w:rtl w:val="0"/>
          <w:lang w:val="en-US"/>
        </w:rPr>
        <w:t xml:space="preserve">. These different densities of lipids have different functions and these causes increase the blood viscosity. </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Tran et al in the year 2017</w:t>
      </w:r>
      <w:r>
        <w:rPr>
          <w:rFonts w:ascii="Times New Roman" w:hAnsi="Times New Roman"/>
          <w:sz w:val="24"/>
          <w:szCs w:val="24"/>
          <w:rtl w:val="0"/>
          <w:lang w:val="en-US"/>
        </w:rPr>
        <w:t xml:space="preserve"> found that blood must be slightly viscous because it prevents the excessive loss of blood during injury, and hence so the HDL is the most beneficial lipid which is obtained from meats, eggs, nuts, and fish. LDL and VLDL cause the viscosity of the blood beyond the limit and this cholesterol is present in unhealthy foods such as chips, junk food, and fried food </w:t>
      </w:r>
      <w:r>
        <w:rPr>
          <w:rFonts w:ascii="Times New Roman" w:hAnsi="Times New Roman"/>
          <w:outline w:val="0"/>
          <w:color w:val="222222"/>
          <w:sz w:val="24"/>
          <w:szCs w:val="24"/>
          <w:u w:color="222222"/>
          <w:shd w:val="clear" w:color="auto" w:fill="ffffff"/>
          <w:rtl w:val="0"/>
          <w14:textFill>
            <w14:solidFill>
              <w14:srgbClr w14:val="222222"/>
            </w14:solidFill>
          </w14:textFill>
        </w:rPr>
        <w:t>(Tran et al., 2017)</w:t>
      </w:r>
      <w:r>
        <w:rPr>
          <w:rFonts w:ascii="Times New Roman" w:hAnsi="Times New Roman"/>
          <w:sz w:val="24"/>
          <w:szCs w:val="24"/>
          <w:rtl w:val="0"/>
          <w:lang w:val="en-US"/>
        </w:rPr>
        <w:t xml:space="preserve">. This increased viscosity of blood can leads to the development of myocardial infarction, stroke, and heart attack. The patient has a habit of eating junk food and fast food that increases the level of VLDL and LDL in the blood. The patient has a family history of hyperlipidemia which also suggests that there are high chances of developing cardiac problems </w:t>
      </w:r>
      <w:r>
        <w:rPr>
          <w:rFonts w:ascii="Times New Roman" w:hAnsi="Times New Roman"/>
          <w:outline w:val="0"/>
          <w:color w:val="222222"/>
          <w:sz w:val="24"/>
          <w:szCs w:val="24"/>
          <w:u w:color="222222"/>
          <w:shd w:val="clear" w:color="auto" w:fill="ffffff"/>
          <w:rtl w:val="0"/>
          <w14:textFill>
            <w14:solidFill>
              <w14:srgbClr w14:val="222222"/>
            </w14:solidFill>
          </w14:textFill>
        </w:rPr>
        <w:t>(Jarvis, 2018)</w:t>
      </w:r>
      <w:r>
        <w:rPr>
          <w:rFonts w:ascii="Times New Roman" w:hAnsi="Times New Roman"/>
          <w:sz w:val="24"/>
          <w:szCs w:val="24"/>
          <w:rtl w:val="0"/>
        </w:rPr>
        <w:t>.</w:t>
      </w:r>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 The inactive or sedentary lifestyle of the patient is also the major aspect of developing certain disease and increase the chance the developing diabetes mellitus. In a study, it has been seen that diabetes mellitus can be due to poor quality of life </w:t>
      </w:r>
      <w:r>
        <w:rPr>
          <w:rFonts w:ascii="Times New Roman" w:hAnsi="Times New Roman"/>
          <w:outline w:val="0"/>
          <w:color w:val="222222"/>
          <w:sz w:val="24"/>
          <w:szCs w:val="24"/>
          <w:u w:color="222222"/>
          <w:shd w:val="clear" w:color="auto" w:fill="ffffff"/>
          <w:rtl w:val="0"/>
          <w14:textFill>
            <w14:solidFill>
              <w14:srgbClr w14:val="222222"/>
            </w14:solidFill>
          </w14:textFill>
        </w:rPr>
        <w:t>(Chen et al., 2015)</w:t>
      </w:r>
      <w:r>
        <w:rPr>
          <w:rFonts w:ascii="Times New Roman" w:hAnsi="Times New Roman"/>
          <w:sz w:val="24"/>
          <w:szCs w:val="24"/>
          <w:rtl w:val="0"/>
          <w:lang w:val="en-US"/>
        </w:rPr>
        <w:t xml:space="preserve">. This condition most commonly affects people of age above 45 years and it is majorly seen among overweight or obese people </w:t>
      </w:r>
      <w:r>
        <w:rPr>
          <w:rFonts w:ascii="Times New Roman" w:hAnsi="Times New Roman"/>
          <w:outline w:val="0"/>
          <w:color w:val="222222"/>
          <w:sz w:val="24"/>
          <w:szCs w:val="24"/>
          <w:u w:color="222222"/>
          <w:shd w:val="clear" w:color="auto" w:fill="ffffff"/>
          <w:rtl w:val="0"/>
          <w:lang w:val="it-IT"/>
          <w14:textFill>
            <w14:solidFill>
              <w14:srgbClr w14:val="222222"/>
            </w14:solidFill>
          </w14:textFill>
        </w:rPr>
        <w:t>(Bertoglia et al., 2017)</w:t>
      </w:r>
      <w:r>
        <w:rPr>
          <w:rFonts w:ascii="Times New Roman" w:hAnsi="Times New Roman"/>
          <w:sz w:val="24"/>
          <w:szCs w:val="24"/>
          <w:rtl w:val="0"/>
          <w:lang w:val="en-US"/>
        </w:rPr>
        <w:t xml:space="preserve">. The BMI of the patient is 31.6 and has a sedentary lifestyle that further predisposes to the development of diabetes mellitus </w:t>
      </w:r>
      <w:r>
        <w:rPr>
          <w:rFonts w:ascii="Times New Roman" w:hAnsi="Times New Roman"/>
          <w:outline w:val="0"/>
          <w:color w:val="222222"/>
          <w:sz w:val="24"/>
          <w:szCs w:val="24"/>
          <w:u w:color="222222"/>
          <w:shd w:val="clear" w:color="auto" w:fill="ffffff"/>
          <w:rtl w:val="0"/>
          <w:lang w:val="it-IT"/>
          <w14:textFill>
            <w14:solidFill>
              <w14:srgbClr w14:val="222222"/>
            </w14:solidFill>
          </w14:textFill>
        </w:rPr>
        <w:t>(Bertoglia et al., 2017)</w:t>
      </w:r>
      <w:r>
        <w:rPr>
          <w:rFonts w:ascii="Times New Roman" w:hAnsi="Times New Roman"/>
          <w:sz w:val="24"/>
          <w:szCs w:val="24"/>
          <w:rtl w:val="0"/>
          <w:lang w:val="en-US"/>
        </w:rPr>
        <w:t xml:space="preserve">. Hence, all these assessment findings of the patient can help her to know her health status and what are the risks associated with the development of certain long-term illnesses </w:t>
      </w:r>
      <w:r>
        <w:rPr>
          <w:rFonts w:ascii="Times New Roman" w:hAnsi="Times New Roman"/>
          <w:outline w:val="0"/>
          <w:color w:val="222222"/>
          <w:sz w:val="24"/>
          <w:szCs w:val="24"/>
          <w:u w:color="222222"/>
          <w:shd w:val="clear" w:color="auto" w:fill="ffffff"/>
          <w:rtl w:val="0"/>
          <w:lang w:val="it-IT"/>
          <w14:textFill>
            <w14:solidFill>
              <w14:srgbClr w14:val="222222"/>
            </w14:solidFill>
          </w14:textFill>
        </w:rPr>
        <w:t>(Bertoglia et al., 2017)</w:t>
      </w:r>
      <w:r>
        <w:rPr>
          <w:rFonts w:ascii="Times New Roman" w:hAnsi="Times New Roman"/>
          <w:sz w:val="24"/>
          <w:szCs w:val="24"/>
          <w:rtl w:val="0"/>
          <w:lang w:val="en-US"/>
        </w:rPr>
        <w:t xml:space="preserve">. This assessment highlight the impact of risk associated with her sedentary lifestyle and choosing an unhealthier option as well as genetic factors that lead to the development of diabetes mellitus. Additionally, this assessment helps her to require proper monitoring of vital signs and preventive measures to prevent the adverse effects of health </w:t>
      </w:r>
      <w:r>
        <w:rPr>
          <w:rFonts w:ascii="Times New Roman" w:hAnsi="Times New Roman"/>
          <w:outline w:val="0"/>
          <w:color w:val="222222"/>
          <w:sz w:val="24"/>
          <w:szCs w:val="24"/>
          <w:u w:color="222222"/>
          <w:shd w:val="clear" w:color="auto" w:fill="ffffff"/>
          <w:rtl w:val="0"/>
          <w14:textFill>
            <w14:solidFill>
              <w14:srgbClr w14:val="222222"/>
            </w14:solidFill>
          </w14:textFill>
        </w:rPr>
        <w:t>(JI., 2019)</w:t>
      </w:r>
      <w:r>
        <w:rPr>
          <w:rFonts w:ascii="Times New Roman" w:hAnsi="Times New Roman"/>
          <w:sz w:val="24"/>
          <w:szCs w:val="24"/>
          <w:rtl w:val="0"/>
        </w:rPr>
        <w:t>.</w:t>
      </w:r>
    </w:p>
    <w:p>
      <w:pPr>
        <w:pStyle w:val="Heading"/>
        <w:spacing w:line="360" w:lineRule="auto"/>
        <w:jc w:val="both"/>
        <w:rPr>
          <w:rFonts w:ascii="Times New Roman" w:cs="Times New Roman" w:hAnsi="Times New Roman" w:eastAsia="Times New Roman"/>
          <w:sz w:val="24"/>
          <w:szCs w:val="24"/>
        </w:rPr>
      </w:pPr>
      <w:bookmarkStart w:name="_Toc3" w:id="3"/>
      <w:r>
        <w:rPr>
          <w:rFonts w:ascii="Times New Roman" w:hAnsi="Times New Roman"/>
          <w:sz w:val="24"/>
          <w:szCs w:val="24"/>
          <w:rtl w:val="0"/>
          <w:lang w:val="en-US"/>
        </w:rPr>
        <w:t>Recommendations</w:t>
      </w:r>
      <w:bookmarkEnd w:id="3"/>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On the basis of assessment findings, the patient requires various aspects of recommendation to maintain a healthy lifestyle and improve the health of the individual. This certain recommendation can help the patient to adopt a healthy lifestyle, prevent the adverse effect of health, and remain physically active </w:t>
      </w:r>
      <w:r>
        <w:rPr>
          <w:rFonts w:ascii="Times New Roman" w:hAnsi="Times New Roman"/>
          <w:outline w:val="0"/>
          <w:color w:val="222222"/>
          <w:sz w:val="24"/>
          <w:szCs w:val="24"/>
          <w:u w:color="222222"/>
          <w:shd w:val="clear" w:color="auto" w:fill="ffffff"/>
          <w:rtl w:val="0"/>
          <w:lang w:val="it-IT"/>
          <w14:textFill>
            <w14:solidFill>
              <w14:srgbClr w14:val="222222"/>
            </w14:solidFill>
          </w14:textFill>
        </w:rPr>
        <w:t>(Bertoglia et al., 2017)</w:t>
      </w:r>
      <w:r>
        <w:rPr>
          <w:rFonts w:ascii="Times New Roman" w:hAnsi="Times New Roman"/>
          <w:sz w:val="24"/>
          <w:szCs w:val="24"/>
          <w:rtl w:val="0"/>
        </w:rPr>
        <w:t xml:space="preserve">. </w:t>
      </w:r>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According </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 xml:space="preserve">Bertoglia et al in the year 2017, </w:t>
      </w:r>
      <w:r>
        <w:rPr>
          <w:rFonts w:ascii="Times New Roman" w:hAnsi="Times New Roman"/>
          <w:sz w:val="24"/>
          <w:szCs w:val="24"/>
          <w:rtl w:val="0"/>
          <w:lang w:val="en-US"/>
        </w:rPr>
        <w:t xml:space="preserve">it has been found that smoking increases the viscosity of the blood which further increases the development of hypertension, MI, and stroke. Smoking cessation improves blood circulation and lung functioning increases </w:t>
      </w:r>
      <w:r>
        <w:rPr>
          <w:rFonts w:ascii="Times New Roman" w:hAnsi="Times New Roman"/>
          <w:outline w:val="0"/>
          <w:color w:val="222222"/>
          <w:sz w:val="24"/>
          <w:szCs w:val="24"/>
          <w:u w:color="222222"/>
          <w:shd w:val="clear" w:color="auto" w:fill="ffffff"/>
          <w:rtl w:val="0"/>
          <w:lang w:val="it-IT"/>
          <w14:textFill>
            <w14:solidFill>
              <w14:srgbClr w14:val="222222"/>
            </w14:solidFill>
          </w14:textFill>
        </w:rPr>
        <w:t>(Bertoglia et al., 2017)</w:t>
      </w:r>
      <w:r>
        <w:rPr>
          <w:rFonts w:ascii="Times New Roman" w:hAnsi="Times New Roman"/>
          <w:sz w:val="24"/>
          <w:szCs w:val="24"/>
          <w:rtl w:val="0"/>
          <w:lang w:val="en-US"/>
        </w:rPr>
        <w:t xml:space="preserve">. It is recommended to the patient to reduce smoking as it eventually improves her health and wellbeing. Continued smoking can leads to alter mood, quality of life, and perceived health status. Reducing the consumption of cigarette smoking can improve the social life of the patient </w:t>
      </w:r>
      <w:r>
        <w:rPr>
          <w:rFonts w:ascii="Times New Roman" w:hAnsi="Times New Roman"/>
          <w:outline w:val="0"/>
          <w:color w:val="222222"/>
          <w:sz w:val="24"/>
          <w:szCs w:val="24"/>
          <w:u w:color="222222"/>
          <w:shd w:val="clear" w:color="auto" w:fill="ffffff"/>
          <w:rtl w:val="0"/>
          <w:lang w:val="it-IT"/>
          <w14:textFill>
            <w14:solidFill>
              <w14:srgbClr w14:val="222222"/>
            </w14:solidFill>
          </w14:textFill>
        </w:rPr>
        <w:t>(Bertoglia et al., 2017)</w:t>
      </w:r>
      <w:r>
        <w:rPr>
          <w:rFonts w:ascii="Times New Roman" w:hAnsi="Times New Roman"/>
          <w:sz w:val="24"/>
          <w:szCs w:val="24"/>
          <w:rtl w:val="0"/>
          <w:lang w:val="en-US"/>
        </w:rPr>
        <w:t xml:space="preserve">. She will engage more socially and hence social engagement can help her to feel better and preventing adverse health effects. </w:t>
      </w:r>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As above mention consumption of alcohol also leads to weight gain and the development of serious adverse health effects such as hyperlipidemia and obesity. </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Papatheodorou et al in the year 2016</w:t>
      </w:r>
      <w:r>
        <w:rPr>
          <w:rFonts w:ascii="Times New Roman" w:hAnsi="Times New Roman"/>
          <w:sz w:val="24"/>
          <w:szCs w:val="24"/>
          <w:rtl w:val="0"/>
          <w:lang w:val="en-US"/>
        </w:rPr>
        <w:t xml:space="preserve"> explains that intake of alcohol more than one unit per day can be harmful and injurious to health. The patient should be sent to a proper rehabilitation program for alcohol cessation program because regular intake of alcohol can retard the mental growth of the patient and hence it has a negative impact on the life thus preventing the patient from community-based activities </w:t>
      </w:r>
      <w:r>
        <w:rPr>
          <w:rFonts w:ascii="Times New Roman" w:hAnsi="Times New Roman"/>
          <w:outline w:val="0"/>
          <w:color w:val="222222"/>
          <w:sz w:val="24"/>
          <w:szCs w:val="24"/>
          <w:u w:color="222222"/>
          <w:shd w:val="clear" w:color="auto" w:fill="ffffff"/>
          <w:rtl w:val="0"/>
          <w:lang w:val="fr-FR"/>
          <w14:textFill>
            <w14:solidFill>
              <w14:srgbClr w14:val="222222"/>
            </w14:solidFill>
          </w14:textFill>
        </w:rPr>
        <w:t>(Papatheodorou et al., 2016)</w:t>
      </w:r>
      <w:r>
        <w:rPr>
          <w:rFonts w:ascii="Times New Roman" w:hAnsi="Times New Roman"/>
          <w:sz w:val="24"/>
          <w:szCs w:val="24"/>
          <w:rtl w:val="0"/>
        </w:rPr>
        <w:t>.</w:t>
      </w:r>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Health professionals recommend patients adopt a healthy lifestyle and choose healthy food options. In her assessment findings, it has been noticed that patients daily eat junk and fast food that leads to more intake of fat and carbohydrates which eventually leads to weight gain. The patient has suggested some dietary foods such as green vegetables, soups, fruits, pulses, meat, and egg so that she can take more protein in her diet. </w:t>
      </w:r>
      <w:r>
        <w:rPr>
          <w:rFonts w:ascii="Times New Roman" w:hAnsi="Times New Roman"/>
          <w:outline w:val="0"/>
          <w:color w:val="222222"/>
          <w:sz w:val="24"/>
          <w:szCs w:val="24"/>
          <w:u w:color="222222"/>
          <w:shd w:val="clear" w:color="auto" w:fill="ffffff"/>
          <w:rtl w:val="0"/>
          <w14:textFill>
            <w14:solidFill>
              <w14:srgbClr w14:val="222222"/>
            </w14:solidFill>
          </w14:textFill>
        </w:rPr>
        <w:t>Twinamasiko et al in 2018</w:t>
      </w:r>
      <w:r>
        <w:rPr>
          <w:rFonts w:ascii="Times New Roman" w:hAnsi="Times New Roman"/>
          <w:sz w:val="24"/>
          <w:szCs w:val="24"/>
          <w:rtl w:val="0"/>
          <w:lang w:val="en-US"/>
        </w:rPr>
        <w:t xml:space="preserve"> has found that healthy food not only maintains the weight of the individual but also improves the mood and wellbeing status of the patient. A dietician should relive proper diet chat to track the amount of calories intake person and the essential nutrients needed to balance her health </w:t>
      </w:r>
      <w:r>
        <w:rPr>
          <w:rFonts w:ascii="Times New Roman" w:hAnsi="Times New Roman"/>
          <w:outline w:val="0"/>
          <w:color w:val="222222"/>
          <w:sz w:val="24"/>
          <w:szCs w:val="24"/>
          <w:u w:color="222222"/>
          <w:shd w:val="clear" w:color="auto" w:fill="ffffff"/>
          <w:rtl w:val="0"/>
          <w14:textFill>
            <w14:solidFill>
              <w14:srgbClr w14:val="222222"/>
            </w14:solidFill>
          </w14:textFill>
        </w:rPr>
        <w:t>(Twinamasiko et al., 2018)</w:t>
      </w:r>
      <w:r>
        <w:rPr>
          <w:rFonts w:ascii="Times New Roman" w:hAnsi="Times New Roman"/>
          <w:sz w:val="24"/>
          <w:szCs w:val="24"/>
          <w:rtl w:val="0"/>
        </w:rPr>
        <w:t xml:space="preserve">. </w:t>
      </w:r>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In this case, the patient is physically inactive and hence health professionals should recommend some physical exercise that helps her to remain active and maintain a healthy lifestyle. According to the development of health and social care, the person should perform 150 minutes of physical exercise such as fast walking or cycling every week. This not only provides an improvement in physical health, but it also provides physiological and mental wellbeing. Physical exercise releases endorphin hormone in the blood which is responsible for a mood boost up and level of LHP in the blood. The patient should be recommended to join some gym or yoga classes that can help her to reduce their weight and maintain a healthy lifestyle. </w:t>
      </w:r>
    </w:p>
    <w:p>
      <w:pPr>
        <w:pStyle w:val="Body"/>
        <w:spacing w:line="360" w:lineRule="auto"/>
        <w:jc w:val="both"/>
        <w:rPr>
          <w:rFonts w:ascii="Times New Roman" w:cs="Times New Roman" w:hAnsi="Times New Roman" w:eastAsia="Times New Roman"/>
          <w:sz w:val="24"/>
          <w:szCs w:val="24"/>
        </w:rPr>
      </w:pPr>
    </w:p>
    <w:p>
      <w:pPr>
        <w:pStyle w:val="Body"/>
        <w:spacing w:line="360" w:lineRule="auto"/>
        <w:jc w:val="both"/>
        <w:rPr>
          <w:rFonts w:ascii="Times New Roman" w:cs="Times New Roman" w:hAnsi="Times New Roman" w:eastAsia="Times New Roman"/>
          <w:sz w:val="24"/>
          <w:szCs w:val="24"/>
        </w:rPr>
      </w:pPr>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rPr>
        <w:t xml:space="preserve"> </w:t>
      </w:r>
    </w:p>
    <w:p>
      <w:pPr>
        <w:pStyle w:val="Body"/>
        <w:spacing w:line="360" w:lineRule="auto"/>
        <w:jc w:val="both"/>
      </w:pPr>
      <w:r>
        <w:rPr>
          <w:rFonts w:ascii="Arial Unicode MS" w:cs="Arial Unicode MS" w:hAnsi="Arial Unicode MS" w:eastAsia="Arial Unicode MS"/>
          <w:b w:val="0"/>
          <w:bCs w:val="0"/>
          <w:i w:val="0"/>
          <w:iCs w:val="0"/>
          <w:sz w:val="24"/>
          <w:szCs w:val="24"/>
        </w:rPr>
        <w:br w:type="page"/>
      </w:r>
    </w:p>
    <w:p>
      <w:pPr>
        <w:pStyle w:val="Heading"/>
        <w:spacing w:line="360" w:lineRule="auto"/>
        <w:jc w:val="both"/>
        <w:rPr>
          <w:rFonts w:ascii="Times New Roman" w:cs="Times New Roman" w:hAnsi="Times New Roman" w:eastAsia="Times New Roman"/>
          <w:sz w:val="24"/>
          <w:szCs w:val="24"/>
        </w:rPr>
      </w:pPr>
      <w:bookmarkStart w:name="_Toc4" w:id="4"/>
      <w:r>
        <w:rPr>
          <w:rFonts w:ascii="Times New Roman" w:hAnsi="Times New Roman"/>
          <w:sz w:val="24"/>
          <w:szCs w:val="24"/>
          <w:rtl w:val="0"/>
          <w:lang w:val="it-IT"/>
        </w:rPr>
        <w:t>Conclusion</w:t>
      </w:r>
      <w:bookmarkEnd w:id="4"/>
    </w:p>
    <w:p>
      <w:pPr>
        <w:pStyle w:val="Body"/>
        <w:spacing w:line="360" w:lineRule="auto"/>
        <w:jc w:val="both"/>
        <w:rPr>
          <w:rFonts w:ascii="Times New Roman" w:cs="Times New Roman" w:hAnsi="Times New Roman" w:eastAsia="Times New Roman"/>
          <w:sz w:val="24"/>
          <w:szCs w:val="24"/>
        </w:rPr>
      </w:pPr>
      <w:r>
        <w:rPr>
          <w:rFonts w:ascii="Times New Roman" w:hAnsi="Times New Roman"/>
          <w:sz w:val="24"/>
          <w:szCs w:val="24"/>
          <w:rtl w:val="0"/>
          <w:lang w:val="en-US"/>
        </w:rPr>
        <w:t xml:space="preserve">A health assessment can be defined as a plan of care that determines the specific need of the patient and how these can be addressed according to the health care system. It is the evaluation of the health status of the patient by taking medical, social, family, and personal history and physical examination of the patient. This report has discussed the case of a patient who is a 48-year-old female, BMI is 31.6 requires assessing her health. Family history reveals her father had a stroke and her sister has a history of hyperlipidemia. She is a hypertensive and physically inactive person. This report has explained the adverse effects of health and by this assessment what are the health problems that she needs to face if she cannot control her weight and sedentary lifestyle. There are some of the recommendations to maintain a healthy lifestyle such as smoking and alcohol cessation, eating dietary food, and performing physical exercise can help her to maintain the overall health of the patient. </w:t>
      </w:r>
    </w:p>
    <w:p>
      <w:pPr>
        <w:pStyle w:val="Body"/>
        <w:spacing w:line="360" w:lineRule="auto"/>
        <w:jc w:val="both"/>
        <w:rPr>
          <w:rFonts w:ascii="Times New Roman" w:cs="Times New Roman" w:hAnsi="Times New Roman" w:eastAsia="Times New Roman"/>
          <w:sz w:val="24"/>
          <w:szCs w:val="24"/>
        </w:rPr>
      </w:pPr>
    </w:p>
    <w:p>
      <w:pPr>
        <w:pStyle w:val="Body"/>
        <w:spacing w:line="360" w:lineRule="auto"/>
        <w:jc w:val="both"/>
        <w:rPr>
          <w:rFonts w:ascii="Times New Roman" w:cs="Times New Roman" w:hAnsi="Times New Roman" w:eastAsia="Times New Roman"/>
          <w:sz w:val="24"/>
          <w:szCs w:val="24"/>
        </w:rPr>
      </w:pPr>
    </w:p>
    <w:p>
      <w:pPr>
        <w:pStyle w:val="Body"/>
        <w:spacing w:line="360" w:lineRule="auto"/>
        <w:jc w:val="both"/>
        <w:rPr>
          <w:rFonts w:ascii="Times New Roman" w:cs="Times New Roman" w:hAnsi="Times New Roman" w:eastAsia="Times New Roman"/>
          <w:sz w:val="24"/>
          <w:szCs w:val="24"/>
        </w:rPr>
      </w:pPr>
    </w:p>
    <w:p>
      <w:pPr>
        <w:pStyle w:val="Body"/>
        <w:spacing w:line="360" w:lineRule="auto"/>
        <w:jc w:val="both"/>
      </w:pPr>
      <w:r>
        <w:rPr>
          <w:rFonts w:ascii="Arial Unicode MS" w:cs="Arial Unicode MS" w:hAnsi="Arial Unicode MS" w:eastAsia="Arial Unicode MS"/>
          <w:b w:val="0"/>
          <w:bCs w:val="0"/>
          <w:i w:val="0"/>
          <w:iCs w:val="0"/>
          <w:sz w:val="24"/>
          <w:szCs w:val="24"/>
        </w:rPr>
        <w:br w:type="page"/>
      </w:r>
    </w:p>
    <w:p>
      <w:pPr>
        <w:pStyle w:val="Heading"/>
        <w:spacing w:line="360" w:lineRule="auto"/>
        <w:jc w:val="both"/>
        <w:rPr>
          <w:rFonts w:ascii="Times New Roman" w:cs="Times New Roman" w:hAnsi="Times New Roman" w:eastAsia="Times New Roman"/>
          <w:sz w:val="24"/>
          <w:szCs w:val="24"/>
        </w:rPr>
      </w:pPr>
      <w:bookmarkStart w:name="_Toc5" w:id="5"/>
      <w:r>
        <w:rPr>
          <w:rFonts w:ascii="Times New Roman" w:hAnsi="Times New Roman"/>
          <w:sz w:val="24"/>
          <w:szCs w:val="24"/>
          <w:rtl w:val="0"/>
          <w:lang w:val="fr-FR"/>
        </w:rPr>
        <w:t>References</w:t>
      </w:r>
      <w:bookmarkEnd w:id="5"/>
    </w:p>
    <w:p>
      <w:pPr>
        <w:pStyle w:val="Body"/>
        <w:spacing w:line="360" w:lineRule="auto"/>
        <w:jc w:val="both"/>
        <w:rPr>
          <w:rFonts w:ascii="Times New Roman" w:cs="Times New Roman" w:hAnsi="Times New Roman" w:eastAsia="Times New Roman"/>
          <w:sz w:val="24"/>
          <w:szCs w:val="24"/>
        </w:rPr>
      </w:pPr>
      <w:r>
        <w:rPr>
          <w:rFonts w:ascii="Times New Roman" w:hAnsi="Times New Roman"/>
          <w:outline w:val="0"/>
          <w:color w:val="222222"/>
          <w:sz w:val="24"/>
          <w:szCs w:val="24"/>
          <w:u w:color="222222"/>
          <w:shd w:val="clear" w:color="auto" w:fill="ffffff"/>
          <w:rtl w:val="0"/>
          <w14:textFill>
            <w14:solidFill>
              <w14:srgbClr w14:val="222222"/>
            </w14:solidFill>
          </w14:textFill>
        </w:rPr>
        <w:t>Are</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á</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n, P.A., Ly, K.H. and Andersson, G., 2016. Mobile technology for mental health assessment.</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lang w:val="fr-FR"/>
          <w14:textFill>
            <w14:solidFill>
              <w14:srgbClr w14:val="222222"/>
            </w14:solidFill>
          </w14:textFill>
        </w:rPr>
        <w:t>Dialogues in clinical neuroscience</w:t>
      </w:r>
      <w:r>
        <w:rPr>
          <w:rFonts w:ascii="Times New Roman" w:hAnsi="Times New Roman"/>
          <w:outline w:val="0"/>
          <w:color w:val="222222"/>
          <w:sz w:val="24"/>
          <w:szCs w:val="24"/>
          <w:u w:color="222222"/>
          <w:shd w:val="clear" w:color="auto" w:fill="ffffff"/>
          <w:rtl w:val="0"/>
          <w14:textFill>
            <w14:solidFill>
              <w14:srgbClr w14:val="222222"/>
            </w14:solidFill>
          </w14:textFill>
        </w:rPr>
        <w:t>,</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14:textFill>
            <w14:solidFill>
              <w14:srgbClr w14:val="222222"/>
            </w14:solidFill>
          </w14:textFill>
        </w:rPr>
        <w:t>18</w:t>
      </w:r>
      <w:r>
        <w:rPr>
          <w:rFonts w:ascii="Times New Roman" w:hAnsi="Times New Roman"/>
          <w:outline w:val="0"/>
          <w:color w:val="222222"/>
          <w:sz w:val="24"/>
          <w:szCs w:val="24"/>
          <w:u w:color="222222"/>
          <w:shd w:val="clear" w:color="auto" w:fill="ffffff"/>
          <w:rtl w:val="0"/>
          <w14:textFill>
            <w14:solidFill>
              <w14:srgbClr w14:val="222222"/>
            </w14:solidFill>
          </w14:textFill>
        </w:rPr>
        <w:t>(2), p.163.</w:t>
      </w:r>
    </w:p>
    <w:p>
      <w:pPr>
        <w:pStyle w:val="Body"/>
        <w:spacing w:line="360" w:lineRule="auto"/>
        <w:jc w:val="both"/>
        <w:rPr>
          <w:rFonts w:ascii="Times New Roman" w:cs="Times New Roman" w:hAnsi="Times New Roman" w:eastAsia="Times New Roman"/>
          <w:sz w:val="24"/>
          <w:szCs w:val="24"/>
        </w:rPr>
      </w:pP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Bertoglia, M.P., Gormaz, J.G., Libuy, M., Sanhueza, D., Gajardo, A., Srur, A., Wallbaum, M. and Erazo, M., 2017. The population impact of obesity, sedentary lifestyle, and tobacco and alcohol consumption on the prevalence of type 2 diabetes: Analysis of a health population survey in Chile, 2010.</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lang w:val="en-US"/>
          <w14:textFill>
            <w14:solidFill>
              <w14:srgbClr w14:val="222222"/>
            </w14:solidFill>
          </w14:textFill>
        </w:rPr>
        <w:t>PloS one</w:t>
      </w:r>
      <w:r>
        <w:rPr>
          <w:rFonts w:ascii="Times New Roman" w:hAnsi="Times New Roman"/>
          <w:outline w:val="0"/>
          <w:color w:val="222222"/>
          <w:sz w:val="24"/>
          <w:szCs w:val="24"/>
          <w:u w:color="222222"/>
          <w:shd w:val="clear" w:color="auto" w:fill="ffffff"/>
          <w:rtl w:val="0"/>
          <w14:textFill>
            <w14:solidFill>
              <w14:srgbClr w14:val="222222"/>
            </w14:solidFill>
          </w14:textFill>
        </w:rPr>
        <w:t>,</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14:textFill>
            <w14:solidFill>
              <w14:srgbClr w14:val="222222"/>
            </w14:solidFill>
          </w14:textFill>
        </w:rPr>
        <w:t>12</w:t>
      </w:r>
      <w:r>
        <w:rPr>
          <w:rFonts w:ascii="Times New Roman" w:hAnsi="Times New Roman"/>
          <w:outline w:val="0"/>
          <w:color w:val="222222"/>
          <w:sz w:val="24"/>
          <w:szCs w:val="24"/>
          <w:u w:color="222222"/>
          <w:shd w:val="clear" w:color="auto" w:fill="ffffff"/>
          <w:rtl w:val="0"/>
          <w14:textFill>
            <w14:solidFill>
              <w14:srgbClr w14:val="222222"/>
            </w14:solidFill>
          </w14:textFill>
        </w:rPr>
        <w:t>(5), p.e0178092.</w:t>
      </w:r>
    </w:p>
    <w:p>
      <w:pPr>
        <w:pStyle w:val="Body"/>
        <w:spacing w:line="360" w:lineRule="auto"/>
        <w:jc w:val="both"/>
        <w:rPr>
          <w:rFonts w:ascii="Times New Roman" w:cs="Times New Roman" w:hAnsi="Times New Roman" w:eastAsia="Times New Roman"/>
          <w:sz w:val="24"/>
          <w:szCs w:val="24"/>
        </w:rPr>
      </w:pP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Boles, A., Kandimalla, R. and Reddy, P.H., 2017. Dynamics of diabetes and obesity: epidemiological perspective.</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lang w:val="en-US"/>
          <w14:textFill>
            <w14:solidFill>
              <w14:srgbClr w14:val="222222"/>
            </w14:solidFill>
          </w14:textFill>
        </w:rPr>
        <w:t>Biochimica et Biophysica Acta (BBA)-Molecular Basis of Disease</w:t>
      </w:r>
      <w:r>
        <w:rPr>
          <w:rFonts w:ascii="Times New Roman" w:hAnsi="Times New Roman"/>
          <w:outline w:val="0"/>
          <w:color w:val="222222"/>
          <w:sz w:val="24"/>
          <w:szCs w:val="24"/>
          <w:u w:color="222222"/>
          <w:shd w:val="clear" w:color="auto" w:fill="ffffff"/>
          <w:rtl w:val="0"/>
          <w14:textFill>
            <w14:solidFill>
              <w14:srgbClr w14:val="222222"/>
            </w14:solidFill>
          </w14:textFill>
        </w:rPr>
        <w:t>,</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14:textFill>
            <w14:solidFill>
              <w14:srgbClr w14:val="222222"/>
            </w14:solidFill>
          </w14:textFill>
        </w:rPr>
        <w:t>1863</w:t>
      </w:r>
      <w:r>
        <w:rPr>
          <w:rFonts w:ascii="Times New Roman" w:hAnsi="Times New Roman"/>
          <w:outline w:val="0"/>
          <w:color w:val="222222"/>
          <w:sz w:val="24"/>
          <w:szCs w:val="24"/>
          <w:u w:color="222222"/>
          <w:shd w:val="clear" w:color="auto" w:fill="ffffff"/>
          <w:rtl w:val="0"/>
          <w14:textFill>
            <w14:solidFill>
              <w14:srgbClr w14:val="222222"/>
            </w14:solidFill>
          </w14:textFill>
        </w:rPr>
        <w:t>(5), pp.1026-1036.</w:t>
      </w:r>
    </w:p>
    <w:p>
      <w:pPr>
        <w:pStyle w:val="Body"/>
        <w:spacing w:line="360" w:lineRule="auto"/>
        <w:jc w:val="both"/>
        <w:rPr>
          <w:rFonts w:ascii="Times New Roman" w:cs="Times New Roman" w:hAnsi="Times New Roman" w:eastAsia="Times New Roman"/>
          <w:sz w:val="24"/>
          <w:szCs w:val="24"/>
        </w:rPr>
      </w:pP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Bozkurt, B., Aguilar, D., Deswal, A., Dunbar, S.B., Francis, G.S., Horwich, T., Jessup, M., Kosiborod, M., Pritchett, A.M., Ramasubbu, K. and Rosendorff, C., 2016. Contributory risk and management of comorbidities of hypertension, obesity, diabetes mellitus, hyperlipidemia, and metabolic syndrome in chronic heart failure: a scientific statement from the American Heart Association.</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lang w:val="fr-FR"/>
          <w14:textFill>
            <w14:solidFill>
              <w14:srgbClr w14:val="222222"/>
            </w14:solidFill>
          </w14:textFill>
        </w:rPr>
        <w:t>Circulation</w:t>
      </w:r>
      <w:r>
        <w:rPr>
          <w:rFonts w:ascii="Times New Roman" w:hAnsi="Times New Roman"/>
          <w:outline w:val="0"/>
          <w:color w:val="222222"/>
          <w:sz w:val="24"/>
          <w:szCs w:val="24"/>
          <w:u w:color="222222"/>
          <w:shd w:val="clear" w:color="auto" w:fill="ffffff"/>
          <w:rtl w:val="0"/>
          <w14:textFill>
            <w14:solidFill>
              <w14:srgbClr w14:val="222222"/>
            </w14:solidFill>
          </w14:textFill>
        </w:rPr>
        <w:t>,</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14:textFill>
            <w14:solidFill>
              <w14:srgbClr w14:val="222222"/>
            </w14:solidFill>
          </w14:textFill>
        </w:rPr>
        <w:t>134</w:t>
      </w:r>
      <w:r>
        <w:rPr>
          <w:rFonts w:ascii="Times New Roman" w:hAnsi="Times New Roman"/>
          <w:outline w:val="0"/>
          <w:color w:val="222222"/>
          <w:sz w:val="24"/>
          <w:szCs w:val="24"/>
          <w:u w:color="222222"/>
          <w:shd w:val="clear" w:color="auto" w:fill="ffffff"/>
          <w:rtl w:val="0"/>
          <w14:textFill>
            <w14:solidFill>
              <w14:srgbClr w14:val="222222"/>
            </w14:solidFill>
          </w14:textFill>
        </w:rPr>
        <w:t>(23), pp.e535-e578.</w:t>
      </w:r>
    </w:p>
    <w:p>
      <w:pPr>
        <w:pStyle w:val="Body"/>
        <w:spacing w:line="360" w:lineRule="auto"/>
        <w:jc w:val="both"/>
        <w:rPr>
          <w:rFonts w:ascii="Times New Roman" w:cs="Times New Roman" w:hAnsi="Times New Roman" w:eastAsia="Times New Roman"/>
          <w:sz w:val="24"/>
          <w:szCs w:val="24"/>
        </w:rPr>
      </w:pP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Chen, G.Y., Li, L., Dai, F., Li, X.J., Xu, X.X. and Fan, J.G., 2015. Prevalence of and risk factors for type 2 diabetes mellitus in hyperlipidemia in China.</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lang w:val="en-US"/>
          <w14:textFill>
            <w14:solidFill>
              <w14:srgbClr w14:val="222222"/>
            </w14:solidFill>
          </w14:textFill>
        </w:rPr>
        <w:t>Medical science monitor: international medical journal of experimental and clinical research</w:t>
      </w:r>
      <w:r>
        <w:rPr>
          <w:rFonts w:ascii="Times New Roman" w:hAnsi="Times New Roman"/>
          <w:outline w:val="0"/>
          <w:color w:val="222222"/>
          <w:sz w:val="24"/>
          <w:szCs w:val="24"/>
          <w:u w:color="222222"/>
          <w:shd w:val="clear" w:color="auto" w:fill="ffffff"/>
          <w:rtl w:val="0"/>
          <w14:textFill>
            <w14:solidFill>
              <w14:srgbClr w14:val="222222"/>
            </w14:solidFill>
          </w14:textFill>
        </w:rPr>
        <w:t>,</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14:textFill>
            <w14:solidFill>
              <w14:srgbClr w14:val="222222"/>
            </w14:solidFill>
          </w14:textFill>
        </w:rPr>
        <w:t>21</w:t>
      </w:r>
      <w:r>
        <w:rPr>
          <w:rFonts w:ascii="Times New Roman" w:hAnsi="Times New Roman"/>
          <w:outline w:val="0"/>
          <w:color w:val="222222"/>
          <w:sz w:val="24"/>
          <w:szCs w:val="24"/>
          <w:u w:color="222222"/>
          <w:shd w:val="clear" w:color="auto" w:fill="ffffff"/>
          <w:rtl w:val="0"/>
          <w14:textFill>
            <w14:solidFill>
              <w14:srgbClr w14:val="222222"/>
            </w14:solidFill>
          </w14:textFill>
        </w:rPr>
        <w:t>, p.2476.</w:t>
      </w:r>
    </w:p>
    <w:p>
      <w:pPr>
        <w:pStyle w:val="Body"/>
        <w:spacing w:line="360" w:lineRule="auto"/>
        <w:jc w:val="both"/>
        <w:rPr>
          <w:rFonts w:ascii="Times New Roman" w:cs="Times New Roman" w:hAnsi="Times New Roman" w:eastAsia="Times New Roman"/>
          <w:sz w:val="24"/>
          <w:szCs w:val="24"/>
        </w:rPr>
      </w:pP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De Boer, I.H., Bangalore, S., Benetos, A., Davis, A.M., Michos, E.D., Muntner, P., Rossing, P., Zoungas, S. and Bakris, G., 2017. Diabetes and hypertension: a position statement by the American Diabetes Association.</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lang w:val="en-US"/>
          <w14:textFill>
            <w14:solidFill>
              <w14:srgbClr w14:val="222222"/>
            </w14:solidFill>
          </w14:textFill>
        </w:rPr>
        <w:t>Diabetes care</w:t>
      </w:r>
      <w:r>
        <w:rPr>
          <w:rFonts w:ascii="Times New Roman" w:hAnsi="Times New Roman"/>
          <w:outline w:val="0"/>
          <w:color w:val="222222"/>
          <w:sz w:val="24"/>
          <w:szCs w:val="24"/>
          <w:u w:color="222222"/>
          <w:shd w:val="clear" w:color="auto" w:fill="ffffff"/>
          <w:rtl w:val="0"/>
          <w14:textFill>
            <w14:solidFill>
              <w14:srgbClr w14:val="222222"/>
            </w14:solidFill>
          </w14:textFill>
        </w:rPr>
        <w:t>,</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14:textFill>
            <w14:solidFill>
              <w14:srgbClr w14:val="222222"/>
            </w14:solidFill>
          </w14:textFill>
        </w:rPr>
        <w:t>40</w:t>
      </w:r>
      <w:r>
        <w:rPr>
          <w:rFonts w:ascii="Times New Roman" w:hAnsi="Times New Roman"/>
          <w:outline w:val="0"/>
          <w:color w:val="222222"/>
          <w:sz w:val="24"/>
          <w:szCs w:val="24"/>
          <w:u w:color="222222"/>
          <w:shd w:val="clear" w:color="auto" w:fill="ffffff"/>
          <w:rtl w:val="0"/>
          <w14:textFill>
            <w14:solidFill>
              <w14:srgbClr w14:val="222222"/>
            </w14:solidFill>
          </w14:textFill>
        </w:rPr>
        <w:t>(9), pp.1273-1284.</w:t>
      </w:r>
    </w:p>
    <w:p>
      <w:pPr>
        <w:pStyle w:val="Body"/>
        <w:spacing w:line="360" w:lineRule="auto"/>
        <w:jc w:val="both"/>
        <w:rPr>
          <w:rFonts w:ascii="Times New Roman" w:cs="Times New Roman" w:hAnsi="Times New Roman" w:eastAsia="Times New Roman"/>
          <w:sz w:val="24"/>
          <w:szCs w:val="24"/>
        </w:rPr>
      </w:pPr>
      <w:r>
        <w:rPr>
          <w:rFonts w:ascii="Times New Roman" w:hAnsi="Times New Roman"/>
          <w:outline w:val="0"/>
          <w:color w:val="222222"/>
          <w:sz w:val="24"/>
          <w:szCs w:val="24"/>
          <w:u w:color="222222"/>
          <w:shd w:val="clear" w:color="auto" w:fill="ffffff"/>
          <w:rtl w:val="0"/>
          <w:lang w:val="pt-PT"/>
          <w14:textFill>
            <w14:solidFill>
              <w14:srgbClr w14:val="222222"/>
            </w14:solidFill>
          </w14:textFill>
        </w:rPr>
        <w:t>Jarvis, C., 2018.</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lang w:val="en-US"/>
          <w14:textFill>
            <w14:solidFill>
              <w14:srgbClr w14:val="222222"/>
            </w14:solidFill>
          </w14:textFill>
        </w:rPr>
        <w:t>Physical Examination and Health Assessment-Canadian E-Book</w:t>
      </w: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 Elsevier Health Sciences.</w:t>
      </w:r>
    </w:p>
    <w:p>
      <w:pPr>
        <w:pStyle w:val="Body"/>
        <w:spacing w:line="360" w:lineRule="auto"/>
        <w:jc w:val="both"/>
        <w:rPr>
          <w:rFonts w:ascii="Times New Roman" w:cs="Times New Roman" w:hAnsi="Times New Roman" w:eastAsia="Times New Roman"/>
          <w:sz w:val="24"/>
          <w:szCs w:val="24"/>
        </w:rPr>
      </w:pP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JI, A.R., 2019. Sedentary lifestyle a disease from xxi century.</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lang w:val="es-ES_tradnl"/>
          <w14:textFill>
            <w14:solidFill>
              <w14:srgbClr w14:val="222222"/>
            </w14:solidFill>
          </w14:textFill>
        </w:rPr>
        <w:t>Clinica e investigacion en arteriosclerosis: publicacion oficial de la Sociedad Espanola de Arteriosclerosis</w:t>
      </w:r>
      <w:r>
        <w:rPr>
          <w:rFonts w:ascii="Times New Roman" w:hAnsi="Times New Roman"/>
          <w:outline w:val="0"/>
          <w:color w:val="222222"/>
          <w:sz w:val="24"/>
          <w:szCs w:val="24"/>
          <w:u w:color="222222"/>
          <w:shd w:val="clear" w:color="auto" w:fill="ffffff"/>
          <w:rtl w:val="0"/>
          <w14:textFill>
            <w14:solidFill>
              <w14:srgbClr w14:val="222222"/>
            </w14:solidFill>
          </w14:textFill>
        </w:rPr>
        <w:t>,</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14:textFill>
            <w14:solidFill>
              <w14:srgbClr w14:val="222222"/>
            </w14:solidFill>
          </w14:textFill>
        </w:rPr>
        <w:t>31</w:t>
      </w:r>
      <w:r>
        <w:rPr>
          <w:rFonts w:ascii="Times New Roman" w:hAnsi="Times New Roman"/>
          <w:outline w:val="0"/>
          <w:color w:val="222222"/>
          <w:sz w:val="24"/>
          <w:szCs w:val="24"/>
          <w:u w:color="222222"/>
          <w:shd w:val="clear" w:color="auto" w:fill="ffffff"/>
          <w:rtl w:val="0"/>
          <w14:textFill>
            <w14:solidFill>
              <w14:srgbClr w14:val="222222"/>
            </w14:solidFill>
          </w14:textFill>
        </w:rPr>
        <w:t>(5), pp.233-240.</w:t>
      </w:r>
    </w:p>
    <w:p>
      <w:pPr>
        <w:pStyle w:val="Body"/>
        <w:spacing w:line="360" w:lineRule="auto"/>
        <w:jc w:val="both"/>
        <w:rPr>
          <w:rFonts w:ascii="Times New Roman" w:cs="Times New Roman" w:hAnsi="Times New Roman" w:eastAsia="Times New Roman"/>
          <w:sz w:val="24"/>
          <w:szCs w:val="24"/>
        </w:rPr>
      </w:pP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Mauvais-Jarvis, F., 2017. Epidemiology of gender differences in diabetes and obesity.</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lang w:val="en-US"/>
          <w14:textFill>
            <w14:solidFill>
              <w14:srgbClr w14:val="222222"/>
            </w14:solidFill>
          </w14:textFill>
        </w:rPr>
        <w:t>Sex and gender factors affecting metabolic homeostasis, diabetes and obesity</w:t>
      </w:r>
      <w:r>
        <w:rPr>
          <w:rFonts w:ascii="Times New Roman" w:hAnsi="Times New Roman"/>
          <w:outline w:val="0"/>
          <w:color w:val="222222"/>
          <w:sz w:val="24"/>
          <w:szCs w:val="24"/>
          <w:u w:color="222222"/>
          <w:shd w:val="clear" w:color="auto" w:fill="ffffff"/>
          <w:rtl w:val="0"/>
          <w14:textFill>
            <w14:solidFill>
              <w14:srgbClr w14:val="222222"/>
            </w14:solidFill>
          </w14:textFill>
        </w:rPr>
        <w:t>, pp.3-8.</w:t>
      </w:r>
    </w:p>
    <w:p>
      <w:pPr>
        <w:pStyle w:val="Body"/>
        <w:spacing w:line="360" w:lineRule="auto"/>
        <w:jc w:val="both"/>
        <w:rPr>
          <w:rFonts w:ascii="Times New Roman" w:cs="Times New Roman" w:hAnsi="Times New Roman" w:eastAsia="Times New Roman"/>
          <w:sz w:val="24"/>
          <w:szCs w:val="24"/>
        </w:rPr>
      </w:pP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Mozaffarian, D., 2016. Dietary and policy priorities for cardiovascular disease, diabetes, and obesity: a comprehensive review.</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lang w:val="fr-FR"/>
          <w14:textFill>
            <w14:solidFill>
              <w14:srgbClr w14:val="222222"/>
            </w14:solidFill>
          </w14:textFill>
        </w:rPr>
        <w:t>Circulation</w:t>
      </w:r>
      <w:r>
        <w:rPr>
          <w:rFonts w:ascii="Times New Roman" w:hAnsi="Times New Roman"/>
          <w:outline w:val="0"/>
          <w:color w:val="222222"/>
          <w:sz w:val="24"/>
          <w:szCs w:val="24"/>
          <w:u w:color="222222"/>
          <w:shd w:val="clear" w:color="auto" w:fill="ffffff"/>
          <w:rtl w:val="0"/>
          <w14:textFill>
            <w14:solidFill>
              <w14:srgbClr w14:val="222222"/>
            </w14:solidFill>
          </w14:textFill>
        </w:rPr>
        <w:t>,</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14:textFill>
            <w14:solidFill>
              <w14:srgbClr w14:val="222222"/>
            </w14:solidFill>
          </w14:textFill>
        </w:rPr>
        <w:t>133</w:t>
      </w:r>
      <w:r>
        <w:rPr>
          <w:rFonts w:ascii="Times New Roman" w:hAnsi="Times New Roman"/>
          <w:outline w:val="0"/>
          <w:color w:val="222222"/>
          <w:sz w:val="24"/>
          <w:szCs w:val="24"/>
          <w:u w:color="222222"/>
          <w:shd w:val="clear" w:color="auto" w:fill="ffffff"/>
          <w:rtl w:val="0"/>
          <w14:textFill>
            <w14:solidFill>
              <w14:srgbClr w14:val="222222"/>
            </w14:solidFill>
          </w14:textFill>
        </w:rPr>
        <w:t>(2), pp.187-225.</w:t>
      </w:r>
    </w:p>
    <w:p>
      <w:pPr>
        <w:pStyle w:val="Body"/>
        <w:spacing w:line="360" w:lineRule="auto"/>
        <w:jc w:val="both"/>
        <w:rPr>
          <w:rFonts w:ascii="Times New Roman" w:cs="Times New Roman" w:hAnsi="Times New Roman" w:eastAsia="Times New Roman"/>
          <w:sz w:val="24"/>
          <w:szCs w:val="24"/>
        </w:rPr>
      </w:pP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Papatheodorou, K., Papanas, N., Banach, M., Papazoglou, D. and Edmonds, M., 2016. Complications of diabetes 2016.</w:t>
      </w:r>
    </w:p>
    <w:p>
      <w:pPr>
        <w:pStyle w:val="Body"/>
        <w:spacing w:line="360" w:lineRule="auto"/>
        <w:jc w:val="both"/>
        <w:rPr>
          <w:rFonts w:ascii="Times New Roman" w:cs="Times New Roman" w:hAnsi="Times New Roman" w:eastAsia="Times New Roman"/>
          <w:sz w:val="24"/>
          <w:szCs w:val="24"/>
        </w:rPr>
      </w:pP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Petrie, J.R., Guzik, T.J. and Touyz, R.M., 2018. Diabetes, hypertension, and cardiovascular disease: clinical insights and vascular mechanisms.</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lang w:val="en-US"/>
          <w14:textFill>
            <w14:solidFill>
              <w14:srgbClr w14:val="222222"/>
            </w14:solidFill>
          </w14:textFill>
        </w:rPr>
        <w:t>Canadian Journal of Cardiology</w:t>
      </w:r>
      <w:r>
        <w:rPr>
          <w:rFonts w:ascii="Times New Roman" w:hAnsi="Times New Roman"/>
          <w:outline w:val="0"/>
          <w:color w:val="222222"/>
          <w:sz w:val="24"/>
          <w:szCs w:val="24"/>
          <w:u w:color="222222"/>
          <w:shd w:val="clear" w:color="auto" w:fill="ffffff"/>
          <w:rtl w:val="0"/>
          <w14:textFill>
            <w14:solidFill>
              <w14:srgbClr w14:val="222222"/>
            </w14:solidFill>
          </w14:textFill>
        </w:rPr>
        <w:t>,</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lang w:val="ru-RU"/>
          <w14:textFill>
            <w14:solidFill>
              <w14:srgbClr w14:val="222222"/>
            </w14:solidFill>
          </w14:textFill>
        </w:rPr>
        <w:t>34</w:t>
      </w:r>
      <w:r>
        <w:rPr>
          <w:rFonts w:ascii="Times New Roman" w:hAnsi="Times New Roman"/>
          <w:outline w:val="0"/>
          <w:color w:val="222222"/>
          <w:sz w:val="24"/>
          <w:szCs w:val="24"/>
          <w:u w:color="222222"/>
          <w:shd w:val="clear" w:color="auto" w:fill="ffffff"/>
          <w:rtl w:val="0"/>
          <w14:textFill>
            <w14:solidFill>
              <w14:srgbClr w14:val="222222"/>
            </w14:solidFill>
          </w14:textFill>
        </w:rPr>
        <w:t>(5), pp.575-584.</w:t>
      </w:r>
    </w:p>
    <w:p>
      <w:pPr>
        <w:pStyle w:val="Body"/>
        <w:spacing w:line="360" w:lineRule="auto"/>
        <w:jc w:val="both"/>
        <w:rPr>
          <w:rFonts w:ascii="Times New Roman" w:cs="Times New Roman" w:hAnsi="Times New Roman" w:eastAsia="Times New Roman"/>
          <w:outline w:val="0"/>
          <w:color w:val="222222"/>
          <w:sz w:val="24"/>
          <w:szCs w:val="24"/>
          <w:u w:color="222222"/>
          <w:shd w:val="clear" w:color="auto" w:fill="ffffff"/>
          <w14:textFill>
            <w14:solidFill>
              <w14:srgbClr w14:val="222222"/>
            </w14:solidFill>
          </w14:textFill>
        </w:rPr>
      </w:pP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Sorensen, G., Sparer, E., Williams, J.A., Gundersen, D., Boden, L.I., Dennerlein, J.T., Hashimoto, D., Katz, J.N., McLellan, D.L., Okechukwu, C.A. and Pronk, N.P., 2018. Measuring best practices for workplace safety, health and wellbeing: The Workplace Integrated Safety and Health Assessment.</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lang w:val="en-US"/>
          <w14:textFill>
            <w14:solidFill>
              <w14:srgbClr w14:val="222222"/>
            </w14:solidFill>
          </w14:textFill>
        </w:rPr>
        <w:t>Journal of occupational and environmental medicine</w:t>
      </w:r>
      <w:r>
        <w:rPr>
          <w:rFonts w:ascii="Times New Roman" w:hAnsi="Times New Roman"/>
          <w:outline w:val="0"/>
          <w:color w:val="222222"/>
          <w:sz w:val="24"/>
          <w:szCs w:val="24"/>
          <w:u w:color="222222"/>
          <w:shd w:val="clear" w:color="auto" w:fill="ffffff"/>
          <w:rtl w:val="0"/>
          <w14:textFill>
            <w14:solidFill>
              <w14:srgbClr w14:val="222222"/>
            </w14:solidFill>
          </w14:textFill>
        </w:rPr>
        <w:t>,</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14:textFill>
            <w14:solidFill>
              <w14:srgbClr w14:val="222222"/>
            </w14:solidFill>
          </w14:textFill>
        </w:rPr>
        <w:t>60</w:t>
      </w:r>
      <w:r>
        <w:rPr>
          <w:rFonts w:ascii="Times New Roman" w:hAnsi="Times New Roman"/>
          <w:outline w:val="0"/>
          <w:color w:val="222222"/>
          <w:sz w:val="24"/>
          <w:szCs w:val="24"/>
          <w:u w:color="222222"/>
          <w:shd w:val="clear" w:color="auto" w:fill="ffffff"/>
          <w:rtl w:val="0"/>
          <w14:textFill>
            <w14:solidFill>
              <w14:srgbClr w14:val="222222"/>
            </w14:solidFill>
          </w14:textFill>
        </w:rPr>
        <w:t>(5), p.430.</w:t>
      </w:r>
    </w:p>
    <w:p>
      <w:pPr>
        <w:pStyle w:val="Body"/>
        <w:spacing w:line="360" w:lineRule="auto"/>
        <w:jc w:val="both"/>
        <w:rPr>
          <w:rFonts w:ascii="Times New Roman" w:cs="Times New Roman" w:hAnsi="Times New Roman" w:eastAsia="Times New Roman"/>
          <w:sz w:val="24"/>
          <w:szCs w:val="24"/>
        </w:rPr>
      </w:pP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Tran, A., Tran, L., Geghre, N., Darmon, D., Rampal, M., Brandone, D., Gozzo, J.M., Haas, H., Rebouillat-Savy, K., Caci, H. and Avillach, P., 2017. Health assessment of French university students and risk factors associated with mental health disorders.</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lang w:val="en-US"/>
          <w14:textFill>
            <w14:solidFill>
              <w14:srgbClr w14:val="222222"/>
            </w14:solidFill>
          </w14:textFill>
        </w:rPr>
        <w:t>PloS one</w:t>
      </w:r>
      <w:r>
        <w:rPr>
          <w:rFonts w:ascii="Times New Roman" w:hAnsi="Times New Roman"/>
          <w:outline w:val="0"/>
          <w:color w:val="222222"/>
          <w:sz w:val="24"/>
          <w:szCs w:val="24"/>
          <w:u w:color="222222"/>
          <w:shd w:val="clear" w:color="auto" w:fill="ffffff"/>
          <w:rtl w:val="0"/>
          <w14:textFill>
            <w14:solidFill>
              <w14:srgbClr w14:val="222222"/>
            </w14:solidFill>
          </w14:textFill>
        </w:rPr>
        <w:t>,</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14:textFill>
            <w14:solidFill>
              <w14:srgbClr w14:val="222222"/>
            </w14:solidFill>
          </w14:textFill>
        </w:rPr>
        <w:t>12</w:t>
      </w:r>
      <w:r>
        <w:rPr>
          <w:rFonts w:ascii="Times New Roman" w:hAnsi="Times New Roman"/>
          <w:outline w:val="0"/>
          <w:color w:val="222222"/>
          <w:sz w:val="24"/>
          <w:szCs w:val="24"/>
          <w:u w:color="222222"/>
          <w:shd w:val="clear" w:color="auto" w:fill="ffffff"/>
          <w:rtl w:val="0"/>
          <w14:textFill>
            <w14:solidFill>
              <w14:srgbClr w14:val="222222"/>
            </w14:solidFill>
          </w14:textFill>
        </w:rPr>
        <w:t>(11), p.e0188187.</w:t>
      </w:r>
    </w:p>
    <w:p>
      <w:pPr>
        <w:pStyle w:val="Body"/>
        <w:spacing w:line="360" w:lineRule="auto"/>
        <w:jc w:val="both"/>
      </w:pPr>
      <w:r>
        <w:rPr>
          <w:rFonts w:ascii="Times New Roman" w:hAnsi="Times New Roman"/>
          <w:outline w:val="0"/>
          <w:color w:val="222222"/>
          <w:sz w:val="24"/>
          <w:szCs w:val="24"/>
          <w:u w:color="222222"/>
          <w:shd w:val="clear" w:color="auto" w:fill="ffffff"/>
          <w:rtl w:val="0"/>
          <w:lang w:val="en-US"/>
          <w14:textFill>
            <w14:solidFill>
              <w14:srgbClr w14:val="222222"/>
            </w14:solidFill>
          </w14:textFill>
        </w:rPr>
        <w:t>Twinamasiko, B., Lukenge, E., Nabawanga, S., Nansalire, W., Kobusingye, L., Ruzaaza, G. and Bajunirwe, F., 2018. Sedentary lifestyle and hypertension in a periurban area of Mbarara, South western Uganda: a population based cross sectional survey.</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lang w:val="en-US"/>
          <w14:textFill>
            <w14:solidFill>
              <w14:srgbClr w14:val="222222"/>
            </w14:solidFill>
          </w14:textFill>
        </w:rPr>
        <w:t>International journal of hypertension</w:t>
      </w:r>
      <w:r>
        <w:rPr>
          <w:rFonts w:ascii="Times New Roman" w:hAnsi="Times New Roman"/>
          <w:outline w:val="0"/>
          <w:color w:val="222222"/>
          <w:sz w:val="24"/>
          <w:szCs w:val="24"/>
          <w:u w:color="222222"/>
          <w:shd w:val="clear" w:color="auto" w:fill="ffffff"/>
          <w:rtl w:val="0"/>
          <w14:textFill>
            <w14:solidFill>
              <w14:srgbClr w14:val="222222"/>
            </w14:solidFill>
          </w14:textFill>
        </w:rPr>
        <w:t>,</w:t>
      </w:r>
      <w:r>
        <w:rPr>
          <w:rFonts w:ascii="Times New Roman" w:hAnsi="Times New Roman" w:hint="default"/>
          <w:outline w:val="0"/>
          <w:color w:val="222222"/>
          <w:sz w:val="24"/>
          <w:szCs w:val="24"/>
          <w:u w:color="222222"/>
          <w:shd w:val="clear" w:color="auto" w:fill="ffffff"/>
          <w:rtl w:val="0"/>
          <w:lang w:val="en-US"/>
          <w14:textFill>
            <w14:solidFill>
              <w14:srgbClr w14:val="222222"/>
            </w14:solidFill>
          </w14:textFill>
        </w:rPr>
        <w:t> </w:t>
      </w:r>
      <w:r>
        <w:rPr>
          <w:rFonts w:ascii="Times New Roman" w:hAnsi="Times New Roman"/>
          <w:i w:val="1"/>
          <w:iCs w:val="1"/>
          <w:outline w:val="0"/>
          <w:color w:val="222222"/>
          <w:sz w:val="24"/>
          <w:szCs w:val="24"/>
          <w:u w:color="222222"/>
          <w:shd w:val="clear" w:color="auto" w:fill="ffffff"/>
          <w:rtl w:val="0"/>
          <w14:textFill>
            <w14:solidFill>
              <w14:srgbClr w14:val="222222"/>
            </w14:solidFill>
          </w14:textFill>
        </w:rPr>
        <w:t>2018</w:t>
      </w:r>
      <w:r>
        <w:rPr>
          <w:rFonts w:ascii="Times New Roman" w:hAnsi="Times New Roman"/>
          <w:outline w:val="0"/>
          <w:color w:val="222222"/>
          <w:sz w:val="24"/>
          <w:szCs w:val="24"/>
          <w:u w:color="222222"/>
          <w:shd w:val="clear" w:color="auto" w:fill="ffffff"/>
          <w:rtl w:val="0"/>
          <w14:textFill>
            <w14:solidFill>
              <w14:srgbClr w14:val="222222"/>
            </w14:solidFill>
          </w14:textFill>
        </w:rPr>
        <w:t>.</w:t>
      </w:r>
      <w:r>
        <w:rPr>
          <w:rFonts w:ascii="Times New Roman" w:cs="Times New Roman" w:hAnsi="Times New Roman" w:eastAsia="Times New Roman"/>
          <w:sz w:val="24"/>
          <w:szCs w:val="24"/>
        </w:rPr>
      </w:r>
    </w:p>
    <w:sectPr>
      <w:headerReference w:type="default" r:id="rId4"/>
      <w:footerReference w:type="default" r:id="rId5"/>
      <w:pgSz w:w="12240" w:h="30240" w:orient="portrait"/>
      <w:pgMar w:top="1440" w:right="1440" w:bottom="1440" w:left="1440" w:header="709" w:footer="709"/>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Carlit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ooter"/>
    </w:pPr>
    <w:r>
      <w:rPr>
        <w:rtl w:val="0"/>
      </w:rPr>
      <w:fldChar w:fldCharType="begin" w:fldLock="0"/>
    </w:r>
    <w:r>
      <w:rPr>
        <w:rtl w:val="0"/>
      </w:rPr>
      <w:instrText xml:space="preserve"> PAGE </w:instrText>
    </w:r>
    <w:r>
      <w:rPr>
        <w:rtl w:val="0"/>
      </w:rPr>
      <w:fldChar w:fldCharType="separate" w:fldLock="0"/>
    </w:r>
    <w:r>
      <w:rPr>
        <w:rtl w:val="0"/>
      </w:rPr>
    </w:r>
    <w:r>
      <w:rPr>
        <w:rtl w:val="0"/>
      </w:rPr>
      <w:fldChar w:fldCharType="end" w:fldLock="0"/>
    </w: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footer">
    <w:name w:val="footer"/>
    <w:next w:val="footer"/>
    <w:pPr>
      <w:keepNext w:val="0"/>
      <w:keepLines w:val="0"/>
      <w:pageBreakBefore w:val="0"/>
      <w:widowControl w:val="1"/>
      <w:shd w:val="clear" w:color="auto" w:fill="auto"/>
      <w:tabs>
        <w:tab w:val="center" w:pos="4513"/>
        <w:tab w:val="right" w:pos="9026"/>
      </w:tabs>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160" w:line="259" w:lineRule="auto"/>
      <w:ind w:left="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14:textOutline>
        <w14:noFill/>
      </w14:textOutline>
      <w14:textFill>
        <w14:solidFill>
          <w14:srgbClr w14:val="000000"/>
        </w14:solidFill>
      </w14:textFill>
    </w:rPr>
  </w:style>
  <w:style w:type="paragraph" w:styleId="TOC Heading">
    <w:name w:val="TOC Heading"/>
    <w:next w:val="Body"/>
    <w:pPr>
      <w:keepNext w:val="1"/>
      <w:keepLines w:val="1"/>
      <w:pageBreakBefore w:val="0"/>
      <w:widowControl w:val="1"/>
      <w:shd w:val="clear" w:color="auto" w:fill="auto"/>
      <w:suppressAutoHyphens w:val="0"/>
      <w:bidi w:val="0"/>
      <w:spacing w:before="480" w:after="0" w:line="276" w:lineRule="auto"/>
      <w:ind w:left="0" w:right="0" w:firstLine="0"/>
      <w:jc w:val="left"/>
      <w:outlineLvl w:val="9"/>
    </w:pPr>
    <w:rPr>
      <w:rFonts w:ascii="Carlito" w:cs="Arial Unicode MS" w:hAnsi="Carlito" w:eastAsia="Arial Unicode MS"/>
      <w:b w:val="1"/>
      <w:bCs w:val="1"/>
      <w:i w:val="0"/>
      <w:iCs w:val="0"/>
      <w:caps w:val="0"/>
      <w:smallCaps w:val="0"/>
      <w:strike w:val="0"/>
      <w:dstrike w:val="0"/>
      <w:outline w:val="0"/>
      <w:color w:val="2e74b5"/>
      <w:spacing w:val="0"/>
      <w:kern w:val="0"/>
      <w:position w:val="0"/>
      <w:sz w:val="28"/>
      <w:szCs w:val="28"/>
      <w:u w:val="none" w:color="2e74b5"/>
      <w:shd w:val="nil" w:color="auto" w:fill="auto"/>
      <w:vertAlign w:val="baseline"/>
      <w:lang w:val="en-US"/>
      <w14:textFill>
        <w14:solidFill>
          <w14:srgbClr w14:val="2E74B5"/>
        </w14:solidFill>
      </w14:textFill>
    </w:rPr>
  </w:style>
  <w:style w:type="paragraph" w:styleId="TOC 1">
    <w:name w:val="TOC 1"/>
    <w:next w:val="TOC 1"/>
    <w:pPr>
      <w:keepNext w:val="0"/>
      <w:keepLines w:val="0"/>
      <w:pageBreakBefore w:val="0"/>
      <w:widowControl w:val="1"/>
      <w:shd w:val="clear" w:color="auto" w:fill="auto"/>
      <w:tabs>
        <w:tab w:val="right" w:pos="8638" w:leader="dot"/>
      </w:tabs>
      <w:suppressAutoHyphens w:val="0"/>
      <w:bidi w:val="0"/>
      <w:spacing w:before="0" w:after="100" w:line="360" w:lineRule="auto"/>
      <w:ind w:left="0" w:right="0" w:firstLine="0"/>
      <w:jc w:val="both"/>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Heading">
    <w:name w:val="Heading"/>
    <w:next w:val="Body"/>
    <w:pPr>
      <w:keepNext w:val="1"/>
      <w:keepLines w:val="1"/>
      <w:pageBreakBefore w:val="0"/>
      <w:widowControl w:val="1"/>
      <w:shd w:val="clear" w:color="auto" w:fill="auto"/>
      <w:suppressAutoHyphens w:val="0"/>
      <w:bidi w:val="0"/>
      <w:spacing w:before="480" w:after="0" w:line="259" w:lineRule="auto"/>
      <w:ind w:left="0" w:right="0" w:firstLine="0"/>
      <w:jc w:val="left"/>
      <w:outlineLvl w:val="0"/>
    </w:pPr>
    <w:rPr>
      <w:rFonts w:ascii="Carlito" w:cs="Carlito" w:hAnsi="Carlito" w:eastAsia="Carlito"/>
      <w:b w:val="1"/>
      <w:bCs w:val="1"/>
      <w:i w:val="0"/>
      <w:iCs w:val="0"/>
      <w:caps w:val="0"/>
      <w:smallCaps w:val="0"/>
      <w:strike w:val="0"/>
      <w:dstrike w:val="0"/>
      <w:outline w:val="0"/>
      <w:color w:val="2e74b5"/>
      <w:spacing w:val="0"/>
      <w:kern w:val="0"/>
      <w:position w:val="0"/>
      <w:sz w:val="28"/>
      <w:szCs w:val="28"/>
      <w:u w:val="none" w:color="2e74b5"/>
      <w:shd w:val="nil" w:color="auto" w:fill="auto"/>
      <w:vertAlign w:val="baseline"/>
      <w14:textOutline>
        <w14:noFill/>
      </w14:textOutline>
      <w14:textFill>
        <w14:solidFill>
          <w14:srgbClr w14:val="2E74B5"/>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Theme">
      <a:majorFont>
        <a:latin typeface="Calibri Light"/>
        <a:ea typeface="Calibri Light"/>
        <a:cs typeface="Calibri Light"/>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