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BED81" w14:textId="77777777" w:rsidR="003B7287" w:rsidRDefault="003B7287" w:rsidP="003B7287">
      <w:pPr>
        <w:jc w:val="center"/>
        <w:rPr>
          <w:rFonts w:ascii="Times New Roman" w:hAnsi="Times New Roman" w:cs="Times New Roman"/>
          <w:sz w:val="24"/>
          <w:szCs w:val="24"/>
        </w:rPr>
      </w:pPr>
    </w:p>
    <w:p w14:paraId="63434EE5" w14:textId="77777777" w:rsidR="003B7287" w:rsidRDefault="003B7287" w:rsidP="003B7287">
      <w:pPr>
        <w:jc w:val="center"/>
        <w:rPr>
          <w:rFonts w:ascii="Times New Roman" w:hAnsi="Times New Roman" w:cs="Times New Roman"/>
          <w:sz w:val="24"/>
          <w:szCs w:val="24"/>
        </w:rPr>
      </w:pPr>
    </w:p>
    <w:p w14:paraId="283689A6" w14:textId="77777777" w:rsidR="003B7287" w:rsidRDefault="003B7287" w:rsidP="003B7287">
      <w:pPr>
        <w:jc w:val="center"/>
        <w:rPr>
          <w:rFonts w:ascii="Times New Roman" w:hAnsi="Times New Roman" w:cs="Times New Roman"/>
          <w:sz w:val="24"/>
          <w:szCs w:val="24"/>
        </w:rPr>
      </w:pPr>
    </w:p>
    <w:p w14:paraId="1C7C5595" w14:textId="77777777" w:rsidR="003B7287" w:rsidRDefault="003B7287" w:rsidP="003B7287">
      <w:pPr>
        <w:jc w:val="center"/>
        <w:rPr>
          <w:rFonts w:ascii="Times New Roman" w:hAnsi="Times New Roman" w:cs="Times New Roman"/>
          <w:sz w:val="24"/>
          <w:szCs w:val="24"/>
        </w:rPr>
      </w:pPr>
    </w:p>
    <w:p w14:paraId="68EC0813" w14:textId="77777777" w:rsidR="003B7287" w:rsidRDefault="003B7287" w:rsidP="003B7287">
      <w:pPr>
        <w:jc w:val="center"/>
        <w:rPr>
          <w:rFonts w:ascii="Times New Roman" w:hAnsi="Times New Roman" w:cs="Times New Roman"/>
          <w:sz w:val="24"/>
          <w:szCs w:val="24"/>
        </w:rPr>
      </w:pPr>
    </w:p>
    <w:p w14:paraId="41FE9DAA" w14:textId="77777777" w:rsidR="003B7287" w:rsidRDefault="003B7287" w:rsidP="003B7287">
      <w:pPr>
        <w:jc w:val="center"/>
        <w:rPr>
          <w:rFonts w:ascii="Times New Roman" w:hAnsi="Times New Roman" w:cs="Times New Roman"/>
          <w:sz w:val="24"/>
          <w:szCs w:val="24"/>
        </w:rPr>
      </w:pPr>
    </w:p>
    <w:p w14:paraId="78D95167" w14:textId="77777777" w:rsidR="008F7E62" w:rsidRDefault="008F7E62" w:rsidP="008F7E62">
      <w:pPr>
        <w:spacing w:line="360" w:lineRule="auto"/>
        <w:jc w:val="center"/>
        <w:rPr>
          <w:rFonts w:cstheme="minorHAnsi"/>
          <w:b/>
          <w:sz w:val="48"/>
          <w:szCs w:val="48"/>
        </w:rPr>
      </w:pPr>
      <w:r>
        <w:rPr>
          <w:rFonts w:cstheme="minorHAnsi"/>
          <w:b/>
          <w:sz w:val="48"/>
          <w:szCs w:val="48"/>
        </w:rPr>
        <w:t>University of Wales, Trinity Saint David, London</w:t>
      </w:r>
    </w:p>
    <w:p w14:paraId="4414C5EB" w14:textId="77777777" w:rsidR="008F7E62" w:rsidRDefault="008F7E62" w:rsidP="008F7E62">
      <w:pPr>
        <w:spacing w:line="360" w:lineRule="auto"/>
        <w:jc w:val="center"/>
        <w:rPr>
          <w:rFonts w:cstheme="minorHAnsi"/>
          <w:b/>
          <w:sz w:val="48"/>
          <w:szCs w:val="48"/>
        </w:rPr>
      </w:pPr>
      <w:r>
        <w:rPr>
          <w:rFonts w:cstheme="minorHAnsi"/>
          <w:b/>
          <w:sz w:val="48"/>
          <w:szCs w:val="48"/>
        </w:rPr>
        <w:t>Name: Plamen Petrov Pelov (</w:t>
      </w:r>
      <w:r>
        <w:rPr>
          <w:rFonts w:ascii="Times New Roman" w:hAnsi="Times New Roman" w:cs="Times New Roman"/>
          <w:b/>
          <w:bCs/>
          <w:sz w:val="48"/>
          <w:szCs w:val="48"/>
        </w:rPr>
        <w:t>2024898)</w:t>
      </w:r>
    </w:p>
    <w:p w14:paraId="6BF9989E" w14:textId="77777777" w:rsidR="008F7E62" w:rsidRDefault="008F7E62" w:rsidP="008F7E62">
      <w:pPr>
        <w:spacing w:line="360" w:lineRule="auto"/>
        <w:jc w:val="center"/>
        <w:rPr>
          <w:rFonts w:cstheme="minorHAnsi"/>
          <w:b/>
          <w:sz w:val="48"/>
          <w:szCs w:val="48"/>
        </w:rPr>
      </w:pPr>
    </w:p>
    <w:p w14:paraId="6160D3D7" w14:textId="5B719FEB" w:rsidR="008F7E62" w:rsidRDefault="008F7E62" w:rsidP="008F7E62">
      <w:pPr>
        <w:spacing w:line="360" w:lineRule="auto"/>
        <w:jc w:val="center"/>
        <w:rPr>
          <w:rFonts w:cstheme="minorHAnsi"/>
          <w:b/>
          <w:sz w:val="48"/>
          <w:szCs w:val="48"/>
        </w:rPr>
      </w:pPr>
      <w:r>
        <w:rPr>
          <w:rFonts w:cstheme="minorHAnsi"/>
          <w:b/>
          <w:sz w:val="48"/>
          <w:szCs w:val="48"/>
        </w:rPr>
        <w:t xml:space="preserve">Module: </w:t>
      </w:r>
      <w:r>
        <w:rPr>
          <w:rFonts w:cstheme="minorHAnsi"/>
          <w:b/>
          <w:sz w:val="48"/>
          <w:szCs w:val="48"/>
        </w:rPr>
        <w:t>Project management</w:t>
      </w:r>
    </w:p>
    <w:p w14:paraId="626CF067" w14:textId="77777777" w:rsidR="003B7287" w:rsidRDefault="003B7287" w:rsidP="003B7287">
      <w:pPr>
        <w:jc w:val="center"/>
        <w:rPr>
          <w:rFonts w:ascii="Times New Roman" w:hAnsi="Times New Roman" w:cs="Times New Roman"/>
          <w:sz w:val="24"/>
          <w:szCs w:val="24"/>
        </w:rPr>
      </w:pPr>
    </w:p>
    <w:p w14:paraId="084F8AA5" w14:textId="77777777" w:rsidR="003B7287" w:rsidRDefault="003B7287" w:rsidP="003B7287">
      <w:pPr>
        <w:jc w:val="center"/>
        <w:rPr>
          <w:rFonts w:ascii="Times New Roman" w:hAnsi="Times New Roman" w:cs="Times New Roman"/>
          <w:sz w:val="24"/>
          <w:szCs w:val="24"/>
        </w:rPr>
      </w:pPr>
    </w:p>
    <w:p w14:paraId="6E868CA4" w14:textId="77777777" w:rsidR="003B7287" w:rsidRDefault="003B7287" w:rsidP="003B7287">
      <w:pPr>
        <w:jc w:val="both"/>
        <w:rPr>
          <w:rFonts w:ascii="Times New Roman" w:hAnsi="Times New Roman" w:cs="Times New Roman"/>
          <w:sz w:val="24"/>
          <w:szCs w:val="24"/>
        </w:rPr>
      </w:pPr>
    </w:p>
    <w:p w14:paraId="3ACE7254" w14:textId="77777777" w:rsidR="003B7287" w:rsidRDefault="003B7287" w:rsidP="003B7287">
      <w:pPr>
        <w:jc w:val="both"/>
        <w:rPr>
          <w:rFonts w:ascii="Times New Roman" w:hAnsi="Times New Roman" w:cs="Times New Roman"/>
          <w:sz w:val="24"/>
          <w:szCs w:val="24"/>
        </w:rPr>
      </w:pPr>
    </w:p>
    <w:p w14:paraId="1D04D902" w14:textId="77777777" w:rsidR="003B7287" w:rsidRDefault="003B7287" w:rsidP="003B7287">
      <w:pPr>
        <w:jc w:val="both"/>
        <w:rPr>
          <w:rFonts w:ascii="Times New Roman" w:hAnsi="Times New Roman" w:cs="Times New Roman"/>
          <w:sz w:val="24"/>
          <w:szCs w:val="24"/>
        </w:rPr>
      </w:pPr>
    </w:p>
    <w:p w14:paraId="5E05E90F" w14:textId="77777777" w:rsidR="003B7287" w:rsidRDefault="003B7287" w:rsidP="003B7287">
      <w:pPr>
        <w:jc w:val="both"/>
        <w:rPr>
          <w:rFonts w:ascii="Times New Roman" w:hAnsi="Times New Roman" w:cs="Times New Roman"/>
          <w:sz w:val="24"/>
          <w:szCs w:val="24"/>
        </w:rPr>
      </w:pPr>
    </w:p>
    <w:p w14:paraId="23CABB4B" w14:textId="77777777" w:rsidR="003B7287" w:rsidRDefault="003B7287" w:rsidP="003B7287">
      <w:pPr>
        <w:jc w:val="both"/>
        <w:rPr>
          <w:rFonts w:ascii="Times New Roman" w:hAnsi="Times New Roman" w:cs="Times New Roman"/>
          <w:sz w:val="24"/>
          <w:szCs w:val="24"/>
        </w:rPr>
      </w:pPr>
    </w:p>
    <w:p w14:paraId="337FF3BB" w14:textId="77777777" w:rsidR="003B7287" w:rsidRDefault="003B7287" w:rsidP="003B7287">
      <w:pPr>
        <w:jc w:val="both"/>
        <w:rPr>
          <w:rFonts w:ascii="Times New Roman" w:hAnsi="Times New Roman" w:cs="Times New Roman"/>
          <w:sz w:val="24"/>
          <w:szCs w:val="24"/>
        </w:rPr>
      </w:pPr>
    </w:p>
    <w:p w14:paraId="4EB60B59" w14:textId="77777777" w:rsidR="003B7287" w:rsidRDefault="003B7287" w:rsidP="003B7287">
      <w:pPr>
        <w:jc w:val="both"/>
        <w:rPr>
          <w:rFonts w:ascii="Times New Roman" w:hAnsi="Times New Roman" w:cs="Times New Roman"/>
          <w:sz w:val="24"/>
          <w:szCs w:val="24"/>
        </w:rPr>
      </w:pPr>
    </w:p>
    <w:p w14:paraId="38DE3AF0" w14:textId="77777777" w:rsidR="003B7287" w:rsidRDefault="003B7287" w:rsidP="003B7287">
      <w:pPr>
        <w:jc w:val="both"/>
        <w:rPr>
          <w:rFonts w:ascii="Times New Roman" w:hAnsi="Times New Roman" w:cs="Times New Roman"/>
          <w:sz w:val="24"/>
          <w:szCs w:val="24"/>
        </w:rPr>
      </w:pPr>
    </w:p>
    <w:p w14:paraId="4087C85A" w14:textId="77777777" w:rsidR="003B7287" w:rsidRDefault="003B7287" w:rsidP="003B7287">
      <w:pPr>
        <w:jc w:val="both"/>
        <w:rPr>
          <w:rFonts w:ascii="Times New Roman" w:hAnsi="Times New Roman" w:cs="Times New Roman"/>
          <w:sz w:val="24"/>
          <w:szCs w:val="24"/>
        </w:rPr>
      </w:pPr>
    </w:p>
    <w:p w14:paraId="341E0342" w14:textId="77777777" w:rsidR="003B7287" w:rsidRDefault="003B7287" w:rsidP="003B7287">
      <w:pPr>
        <w:jc w:val="both"/>
        <w:rPr>
          <w:rFonts w:ascii="Times New Roman" w:hAnsi="Times New Roman" w:cs="Times New Roman"/>
          <w:sz w:val="24"/>
          <w:szCs w:val="24"/>
        </w:rPr>
      </w:pPr>
    </w:p>
    <w:p w14:paraId="7E6FB74A" w14:textId="77777777" w:rsidR="003B7287" w:rsidRDefault="003B7287" w:rsidP="003B7287">
      <w:pPr>
        <w:jc w:val="both"/>
        <w:rPr>
          <w:rFonts w:ascii="Times New Roman" w:hAnsi="Times New Roman" w:cs="Times New Roman"/>
          <w:sz w:val="24"/>
          <w:szCs w:val="24"/>
        </w:rPr>
      </w:pPr>
    </w:p>
    <w:p w14:paraId="1ED79A8E" w14:textId="77777777" w:rsidR="003B7287" w:rsidRDefault="003B7287" w:rsidP="003B7287">
      <w:pPr>
        <w:jc w:val="both"/>
        <w:rPr>
          <w:rFonts w:ascii="Times New Roman" w:hAnsi="Times New Roman" w:cs="Times New Roman"/>
          <w:sz w:val="24"/>
          <w:szCs w:val="24"/>
        </w:rPr>
      </w:pPr>
    </w:p>
    <w:p w14:paraId="5050F90D" w14:textId="77777777" w:rsidR="003B7287" w:rsidRDefault="003B7287" w:rsidP="003B7287">
      <w:pPr>
        <w:jc w:val="both"/>
        <w:rPr>
          <w:rFonts w:ascii="Times New Roman" w:hAnsi="Times New Roman" w:cs="Times New Roman"/>
          <w:sz w:val="24"/>
          <w:szCs w:val="24"/>
        </w:rPr>
      </w:pPr>
    </w:p>
    <w:p w14:paraId="4D6F3BCB" w14:textId="77777777" w:rsidR="003B7287" w:rsidRDefault="003B7287" w:rsidP="003B7287">
      <w:pPr>
        <w:jc w:val="both"/>
        <w:rPr>
          <w:rFonts w:ascii="Times New Roman" w:hAnsi="Times New Roman" w:cs="Times New Roman"/>
          <w:sz w:val="24"/>
          <w:szCs w:val="24"/>
        </w:rPr>
      </w:pPr>
    </w:p>
    <w:p w14:paraId="3F55ACF1" w14:textId="77777777" w:rsidR="003B7287" w:rsidRPr="003B7287" w:rsidRDefault="003B7287" w:rsidP="00B50434">
      <w:pPr>
        <w:spacing w:line="360" w:lineRule="auto"/>
        <w:jc w:val="both"/>
        <w:rPr>
          <w:rFonts w:ascii="Times New Roman" w:hAnsi="Times New Roman" w:cs="Times New Roman"/>
          <w:b/>
          <w:sz w:val="24"/>
          <w:szCs w:val="24"/>
        </w:rPr>
      </w:pPr>
      <w:r w:rsidRPr="003B7287">
        <w:rPr>
          <w:rFonts w:ascii="Times New Roman" w:hAnsi="Times New Roman" w:cs="Times New Roman"/>
          <w:b/>
          <w:sz w:val="24"/>
          <w:szCs w:val="24"/>
        </w:rPr>
        <w:t>Provide a detailed narrative on what you think about the project based on assignment 1</w:t>
      </w:r>
    </w:p>
    <w:p w14:paraId="54D87D5B" w14:textId="77777777" w:rsidR="002F4495" w:rsidRPr="003B7287" w:rsidRDefault="002F4495" w:rsidP="00B50434">
      <w:pPr>
        <w:spacing w:line="360" w:lineRule="auto"/>
        <w:jc w:val="both"/>
        <w:rPr>
          <w:rFonts w:ascii="Times New Roman" w:hAnsi="Times New Roman" w:cs="Times New Roman"/>
          <w:b/>
          <w:sz w:val="24"/>
          <w:szCs w:val="24"/>
        </w:rPr>
      </w:pPr>
      <w:r w:rsidRPr="003B7287">
        <w:rPr>
          <w:rFonts w:ascii="Times New Roman" w:hAnsi="Times New Roman" w:cs="Times New Roman"/>
          <w:b/>
          <w:sz w:val="24"/>
          <w:szCs w:val="24"/>
        </w:rPr>
        <w:t xml:space="preserve">Introduction </w:t>
      </w:r>
    </w:p>
    <w:p w14:paraId="104DE3CE"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The Crossrail project: managing geotechnical risk on London’s Elizabeth line is a project that was initiated in 2008 to design, construct and operate a new railway line that connects London’s major airports and connects the west and east of the city. The project was incredibly ambitious and has been the most expensive infrastructure project in Europe to date. The narrative reflection that I will be providing will discuss whether I consider the project a success or a failure and provide a justification for my stance. I will also be highlighting the five key lessons that have been learnt from the project and making a recommendation for a similar project in the future. </w:t>
      </w:r>
    </w:p>
    <w:p w14:paraId="1728FDDA" w14:textId="77777777" w:rsidR="002F4495" w:rsidRPr="003B7287" w:rsidRDefault="002F4495" w:rsidP="00B50434">
      <w:pPr>
        <w:spacing w:line="360" w:lineRule="auto"/>
        <w:jc w:val="both"/>
        <w:rPr>
          <w:rFonts w:ascii="Times New Roman" w:hAnsi="Times New Roman" w:cs="Times New Roman"/>
          <w:b/>
          <w:sz w:val="24"/>
          <w:szCs w:val="24"/>
        </w:rPr>
      </w:pPr>
      <w:r w:rsidRPr="003B7287">
        <w:rPr>
          <w:rFonts w:ascii="Times New Roman" w:hAnsi="Times New Roman" w:cs="Times New Roman"/>
          <w:b/>
          <w:sz w:val="24"/>
          <w:szCs w:val="24"/>
        </w:rPr>
        <w:t xml:space="preserve">Do you consider it a success or a failure and why? </w:t>
      </w:r>
    </w:p>
    <w:p w14:paraId="1A9F4786"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In terms of success, I would argue that the Crossrail project has been a clear success. The project was completed on time and within budget, with the Elizabeth line set to open in December 2019. This is a significant achievement, given the scale and complexity of the project.</w:t>
      </w:r>
    </w:p>
    <w:p w14:paraId="6B87A36A"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The Crossrail project has been a success in some ways; however, it has also been a failure in other aspects. I believe that the project was a success because it has provided a much needed infrastructure to London, it has been completed on time and on budget, it has created thousands of jobs and it has been successful in managing geotechnical risks associated with the project. However, the project has also been a failure in terms of the cost overruns associated with the project, the delays that were incurred due to the complexity of the project, the lack of transparency in the project management and the lack of communication between stakeholders. </w:t>
      </w:r>
    </w:p>
    <w:p w14:paraId="4D94FB24"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lastRenderedPageBreak/>
        <w:t>The Crossrail project has been a major success largely due to its extensive planning, management and risk management. The project was managed by Transport for London (TFL) and a consortium of contractors, and the project team was able to develop a comprehensive plan that included a thorough risk assessment</w:t>
      </w:r>
      <w:r w:rsidR="003B7287" w:rsidRPr="003B7287">
        <w:rPr>
          <w:rFonts w:ascii="Times New Roman" w:hAnsi="Times New Roman" w:cs="Times New Roman"/>
          <w:sz w:val="24"/>
          <w:szCs w:val="24"/>
        </w:rPr>
        <w:t xml:space="preserve"> (Barsam et al., 2017)</w:t>
      </w:r>
      <w:r w:rsidRPr="003B7287">
        <w:rPr>
          <w:rFonts w:ascii="Times New Roman" w:hAnsi="Times New Roman" w:cs="Times New Roman"/>
          <w:sz w:val="24"/>
          <w:szCs w:val="24"/>
        </w:rPr>
        <w:t>. This involved identifying potential risks associated with geotechnical engineering, including subsidence, ground water, tunnelling, and other potential hazards. The team was also able to develop a risk management system that allowed them to identify and address potential risks in a timely manner. The project also benefited from a high level of public support. Despite the potential disruption, public opinion was overwhelmingly in favour of the project due to its potential benefits to London’s transport infrastructure. This allowed the project to move forward without significant opposition.</w:t>
      </w:r>
    </w:p>
    <w:p w14:paraId="677361A0"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The Crossrail project was also successful in managing geotechnical risks, which are associated with construction in urban environments. The project team was able to develop a comprehensive risk management system, which included a comprehensive mapping of the site and a detailed analysis of potential risks. This allowed them to identify and address potential risks in a timely manner, minimising the potential for disruption during construction</w:t>
      </w:r>
      <w:r w:rsidR="003B7287" w:rsidRPr="003B7287">
        <w:rPr>
          <w:rFonts w:ascii="Times New Roman" w:hAnsi="Times New Roman" w:cs="Times New Roman"/>
          <w:sz w:val="24"/>
          <w:szCs w:val="24"/>
        </w:rPr>
        <w:t xml:space="preserve"> (Tucker, 2017)</w:t>
      </w:r>
      <w:r w:rsidRPr="003B7287">
        <w:rPr>
          <w:rFonts w:ascii="Times New Roman" w:hAnsi="Times New Roman" w:cs="Times New Roman"/>
          <w:sz w:val="24"/>
          <w:szCs w:val="24"/>
        </w:rPr>
        <w:t>. The project team was also able to identify potential risks associated with tunnel construction, such as subsidence, ground water, and other hazards. To mitigate these risks, the project team developed a comprehensive plan that included detailed risk assessments and a series of preventative measures, such as ground water control systems and regular monitoring of ground conditions.</w:t>
      </w:r>
    </w:p>
    <w:p w14:paraId="50753740" w14:textId="77777777" w:rsidR="002F4495" w:rsidRPr="003B7287" w:rsidRDefault="002F4495" w:rsidP="00B50434">
      <w:pPr>
        <w:pStyle w:val="NormalWeb"/>
        <w:spacing w:line="360" w:lineRule="auto"/>
        <w:jc w:val="both"/>
      </w:pPr>
      <w:r w:rsidRPr="003B7287">
        <w:t>Another factor that has contributed to the success of the Crossrail project is the strong collaboration between the various stakeholders involved. The project involved a wide range of partners, including local authorities, contractors, and government agencies. These stakeholders worked closely together to ensure the project was delivered on time and to a high standard. This collaboration was facilitated by effective communication and coordination, with regular meetings and updates to ensure all partners were informed of progress and any issues that arose. This enabled the project team to quickly identify and address any challenges, ensuring the smooth and successful completion of the project.</w:t>
      </w:r>
    </w:p>
    <w:p w14:paraId="3BD58351"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Therefore, I believe, the Crossrail project has been a major success, largely due to its comprehensive planning and risk management. The project team was able to develop a comprehensive risk management system, which enabled them to identify and address </w:t>
      </w:r>
      <w:r w:rsidRPr="003B7287">
        <w:rPr>
          <w:rFonts w:ascii="Times New Roman" w:hAnsi="Times New Roman" w:cs="Times New Roman"/>
          <w:sz w:val="24"/>
          <w:szCs w:val="24"/>
        </w:rPr>
        <w:lastRenderedPageBreak/>
        <w:t>potential risks in a timely manner. Furthermore, the project was able to benefit from a high level of public support, which allowed it to proceed without major opposition.</w:t>
      </w:r>
    </w:p>
    <w:p w14:paraId="091B97F1" w14:textId="77777777" w:rsidR="002F4495" w:rsidRPr="003B7287" w:rsidRDefault="002F4495" w:rsidP="00B50434">
      <w:pPr>
        <w:spacing w:line="360" w:lineRule="auto"/>
        <w:jc w:val="both"/>
        <w:rPr>
          <w:rFonts w:ascii="Times New Roman" w:hAnsi="Times New Roman" w:cs="Times New Roman"/>
          <w:b/>
          <w:sz w:val="24"/>
          <w:szCs w:val="24"/>
        </w:rPr>
      </w:pPr>
      <w:r w:rsidRPr="003B7287">
        <w:rPr>
          <w:rFonts w:ascii="Times New Roman" w:hAnsi="Times New Roman" w:cs="Times New Roman"/>
          <w:b/>
          <w:sz w:val="24"/>
          <w:szCs w:val="24"/>
        </w:rPr>
        <w:t xml:space="preserve">Justification </w:t>
      </w:r>
    </w:p>
    <w:p w14:paraId="02A0A00B"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The project has been delivered on time and within budget, despite the many challenges and complexities involved. The Elizabeth line is set to open in December 2018 and will provide a much-needed boost to the city's transport network, reducing journey times and improving connectivity</w:t>
      </w:r>
      <w:r w:rsidR="003B7287" w:rsidRPr="003B7287">
        <w:rPr>
          <w:rFonts w:ascii="Times New Roman" w:hAnsi="Times New Roman" w:cs="Times New Roman"/>
          <w:sz w:val="24"/>
          <w:szCs w:val="24"/>
        </w:rPr>
        <w:t xml:space="preserve"> (Barsam et al., 2017)</w:t>
      </w:r>
      <w:r w:rsidRPr="003B7287">
        <w:rPr>
          <w:rFonts w:ascii="Times New Roman" w:hAnsi="Times New Roman" w:cs="Times New Roman"/>
          <w:sz w:val="24"/>
          <w:szCs w:val="24"/>
        </w:rPr>
        <w:t>. The Crossrail project is an impressive example of how to manage geotechnical risk in order to successfully complete a major infrastructure project. As the largest engineering project in Europe, its success is undeniable. The Elizabeth line, a new railway line that runs from Reading and Heathrow in the west, through the centre of London to Shenfield and Abbey Wood in the east, is a major part of the project.</w:t>
      </w:r>
    </w:p>
    <w:p w14:paraId="67286EE8"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The Crossrail project was a major success in terms of the infrastructure it provided to London and the connections it created between the East and West of the city. The project was completed on time and on budget, and it has created thousands of jobs for the local economy. The project was also successful in managing the geotechnical risks associated with the project, which is a testament to the project management team's ability to plan and execute a complex project. However, the project was also a failure in terms of the cost overruns associated with the project, which were due to the complexity of the project and the lack of transparency in the project management. The delays incurred due to the complexity of the project and the lack of communication between stakeholders also contributed to the project's failure. </w:t>
      </w:r>
    </w:p>
    <w:p w14:paraId="15339ADE"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I therefore believe that because to the meticulous risk management plan that was implemented, the Crossrail project was a complete and utter success. Following the successful completion of the project on schedule and without exceeding the allotted funds, the RIBA London Building of the Year Award was bestowed upon it. The risk management plan for the project was effective in eliminating any potential geotechnical risks, assuring the safety of the general public, and maintaining the stability of the tunnels. The accomplishment of the Elizabeth line is evidence that the risk management method that was implemented for the project was effective.</w:t>
      </w:r>
    </w:p>
    <w:p w14:paraId="77C9064B" w14:textId="77777777" w:rsidR="002F4495" w:rsidRPr="003B7287" w:rsidRDefault="002F4495" w:rsidP="00B50434">
      <w:pPr>
        <w:spacing w:line="360" w:lineRule="auto"/>
        <w:jc w:val="both"/>
        <w:rPr>
          <w:rFonts w:ascii="Times New Roman" w:hAnsi="Times New Roman" w:cs="Times New Roman"/>
          <w:b/>
          <w:sz w:val="24"/>
          <w:szCs w:val="24"/>
        </w:rPr>
      </w:pPr>
      <w:r w:rsidRPr="003B7287">
        <w:rPr>
          <w:rFonts w:ascii="Times New Roman" w:hAnsi="Times New Roman" w:cs="Times New Roman"/>
          <w:b/>
          <w:sz w:val="24"/>
          <w:szCs w:val="24"/>
        </w:rPr>
        <w:t xml:space="preserve">Lessons learnt </w:t>
      </w:r>
    </w:p>
    <w:p w14:paraId="76036EAB"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lastRenderedPageBreak/>
        <w:t xml:space="preserve">The Crossrail project: managing geotechnical risk on London’s Elizabeth line project has provided us with several valuable lessons. </w:t>
      </w:r>
    </w:p>
    <w:p w14:paraId="7CB98709" w14:textId="77777777" w:rsidR="00370FCA" w:rsidRPr="003B7287" w:rsidRDefault="00370FCA"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In the first place, it has brought attention to the significance of careful planning and effective risk management. One of the most important takeaways from the Crossrail project was the significance of thorough planning and effective risk management</w:t>
      </w:r>
      <w:r w:rsidR="003B7287" w:rsidRPr="003B7287">
        <w:rPr>
          <w:rFonts w:ascii="Times New Roman" w:hAnsi="Times New Roman" w:cs="Times New Roman"/>
          <w:sz w:val="24"/>
          <w:szCs w:val="24"/>
        </w:rPr>
        <w:t xml:space="preserve"> (Barsam et al., 2017)</w:t>
      </w:r>
      <w:r w:rsidRPr="003B7287">
        <w:rPr>
          <w:rFonts w:ascii="Times New Roman" w:hAnsi="Times New Roman" w:cs="Times New Roman"/>
          <w:sz w:val="24"/>
          <w:szCs w:val="24"/>
        </w:rPr>
        <w:t xml:space="preserve">. This was learned as a result of the project. Due to the fact that the project required the construction of tunnels and other infrastructure deep underground, it was extremely important for the project team to give serious consideration to the potential dangers that are associated with this kind of work. This includes the management of the geotechnical risks involved with operating in the ground conditions of London, which may be complicated and difficult. In order to mitigate these risks, the team working on the project carried out exhaustive geotechnical investigations and </w:t>
      </w:r>
      <w:proofErr w:type="spellStart"/>
      <w:r w:rsidRPr="003B7287">
        <w:rPr>
          <w:rFonts w:ascii="Times New Roman" w:hAnsi="Times New Roman" w:cs="Times New Roman"/>
          <w:sz w:val="24"/>
          <w:szCs w:val="24"/>
        </w:rPr>
        <w:t>modeling</w:t>
      </w:r>
      <w:proofErr w:type="spellEnd"/>
      <w:r w:rsidRPr="003B7287">
        <w:rPr>
          <w:rFonts w:ascii="Times New Roman" w:hAnsi="Times New Roman" w:cs="Times New Roman"/>
          <w:sz w:val="24"/>
          <w:szCs w:val="24"/>
        </w:rPr>
        <w:t xml:space="preserve"> in order to gain a deeper understanding of the ground conditions and locate potential hazards. They were able to design effective risk management techniques and contingency plans as a result of this, which allowed them to ensure that the project could be finished successfully and securely</w:t>
      </w:r>
      <w:r w:rsidR="003B7287" w:rsidRPr="003B7287">
        <w:rPr>
          <w:rFonts w:ascii="Times New Roman" w:hAnsi="Times New Roman" w:cs="Times New Roman"/>
          <w:sz w:val="24"/>
          <w:szCs w:val="24"/>
        </w:rPr>
        <w:t xml:space="preserve"> (Wright, 2017)</w:t>
      </w:r>
      <w:r w:rsidRPr="003B7287">
        <w:rPr>
          <w:rFonts w:ascii="Times New Roman" w:hAnsi="Times New Roman" w:cs="Times New Roman"/>
          <w:sz w:val="24"/>
          <w:szCs w:val="24"/>
        </w:rPr>
        <w:t>. Consequently, due to the complexity of the project, it was extremely challenging to manage the geotechnical risks that were linked with it. The team in charge of managing the project need to have prepared for this possibility in advance.</w:t>
      </w:r>
    </w:p>
    <w:p w14:paraId="747E5A47" w14:textId="77777777" w:rsidR="00370FCA"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Secondly, </w:t>
      </w:r>
      <w:r w:rsidR="00370FCA" w:rsidRPr="003B7287">
        <w:rPr>
          <w:rFonts w:ascii="Times New Roman" w:hAnsi="Times New Roman" w:cs="Times New Roman"/>
          <w:sz w:val="24"/>
          <w:szCs w:val="24"/>
        </w:rPr>
        <w:t>the project has brought to light the significance of maintaining open lines of communication and transparency. The lack of communication between stakeholders as well as the lack of openness in the management of the project led to delays as well as cost overruns, both of which might have been avoided with appropriate communication. In addition, effective communication is essential to the management of a project of this magnitude. The team working on the Crossrail project had to make sure that all of the project's stakeholders were kept up to date on its development as well as any potential hazards that were linked with it</w:t>
      </w:r>
      <w:r w:rsidR="003B7287" w:rsidRPr="003B7287">
        <w:rPr>
          <w:rFonts w:ascii="Times New Roman" w:hAnsi="Times New Roman" w:cs="Times New Roman"/>
          <w:sz w:val="24"/>
          <w:szCs w:val="24"/>
        </w:rPr>
        <w:t xml:space="preserve"> (Barsam et al., 2017)</w:t>
      </w:r>
      <w:r w:rsidR="00370FCA" w:rsidRPr="003B7287">
        <w:rPr>
          <w:rFonts w:ascii="Times New Roman" w:hAnsi="Times New Roman" w:cs="Times New Roman"/>
          <w:sz w:val="24"/>
          <w:szCs w:val="24"/>
        </w:rPr>
        <w:t>. Everyone who needed to be aware of the risks and the measures that were being executed to reduce them was informed thanks to the open and transparent communication that took place between the project team, the engineers, the contractors, and the stakeholders.</w:t>
      </w:r>
    </w:p>
    <w:p w14:paraId="2E5A594B" w14:textId="77777777" w:rsidR="00370FCA" w:rsidRPr="003B7287" w:rsidRDefault="00370FCA"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Thirdly, the project has brought to light how important it is for different stakeholders to work together and coordinate their efforts. For example, the project included a significant number of stakeholders, such as contractors, consultants, and regulators, all of whom had a vested </w:t>
      </w:r>
      <w:r w:rsidRPr="003B7287">
        <w:rPr>
          <w:rFonts w:ascii="Times New Roman" w:hAnsi="Times New Roman" w:cs="Times New Roman"/>
          <w:sz w:val="24"/>
          <w:szCs w:val="24"/>
        </w:rPr>
        <w:lastRenderedPageBreak/>
        <w:t>interest in the project's success and were participating in the project in some capacity</w:t>
      </w:r>
      <w:r w:rsidR="003B7287" w:rsidRPr="003B7287">
        <w:rPr>
          <w:rFonts w:ascii="Times New Roman" w:hAnsi="Times New Roman" w:cs="Times New Roman"/>
          <w:sz w:val="24"/>
          <w:szCs w:val="24"/>
        </w:rPr>
        <w:t xml:space="preserve"> (Black, 2017)</w:t>
      </w:r>
      <w:r w:rsidRPr="003B7287">
        <w:rPr>
          <w:rFonts w:ascii="Times New Roman" w:hAnsi="Times New Roman" w:cs="Times New Roman"/>
          <w:sz w:val="24"/>
          <w:szCs w:val="24"/>
        </w:rPr>
        <w:t>. The team working on the project collaborated closely with these stakeholders to ensure that all parties were aware of the geotechnical hazards and had a common understanding of how to manage them. This collaboration helped to ensure that all stakeholders were working towards a single goal, which in turn helped to minimize the risks and ensure that the project was completed on time and within the budget constraints.</w:t>
      </w:r>
    </w:p>
    <w:p w14:paraId="5B2063B1"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Fourthly, the project has highlighted the importance of cost estimation and budgeting. The cost overruns associated with the project could have been avoided with proper cost estimation and budgeting. For instance, contingency plans are essential when it comes to managing any potential risks associated with a project. The Crossrail project team had a contingency plan in place in the event that a risk was identified and needed to be managed. This plan included the identification of alternative solutions, the use of additional resources and the implementation of additional safety procedures. Monitoring is an important component of any successful project. The Crossrail project team had to ensure that they were monitoring the works on a regular basis in order to identify any potential risks and take the necessary steps to mitigate them. This included the use of specialist monitoring equipment, such as ground-penetrating radar and test pits, to identify any potential issues before they arose.</w:t>
      </w:r>
    </w:p>
    <w:p w14:paraId="049D6827" w14:textId="77777777" w:rsidR="00850988" w:rsidRPr="003B7287" w:rsidRDefault="00850988"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Finally, the initiative has brought attention to the significance of engaging with stakeholders. The success of the project was contingent on the involvement of the stakeholders, and the participation of the stakeholders in an appropriate manner was crucial for the success of the project. For instance, the team working on the Crossrail project needed to ensure that they have the appropriate experience and knowledge to detect, assess, and manage any potential risks that were linked with the geotechnical activities. This included utilizing contractors and geotechnical engineers with extensive experience to carry out the tasks. In addition, the team in charge of the project was tasked with ensuring that the engineers and contractors involved in the </w:t>
      </w:r>
      <w:r w:rsidR="00370FCA" w:rsidRPr="003B7287">
        <w:rPr>
          <w:rFonts w:ascii="Times New Roman" w:hAnsi="Times New Roman" w:cs="Times New Roman"/>
          <w:sz w:val="24"/>
          <w:szCs w:val="24"/>
        </w:rPr>
        <w:t>endeavour</w:t>
      </w:r>
      <w:r w:rsidRPr="003B7287">
        <w:rPr>
          <w:rFonts w:ascii="Times New Roman" w:hAnsi="Times New Roman" w:cs="Times New Roman"/>
          <w:sz w:val="24"/>
          <w:szCs w:val="24"/>
        </w:rPr>
        <w:t xml:space="preserve"> possessed the appropriate levels of training and experience to carry out the job in a manner that was both secure and productive.</w:t>
      </w:r>
    </w:p>
    <w:p w14:paraId="25B15465" w14:textId="77777777" w:rsidR="002F4495" w:rsidRPr="003B7287" w:rsidRDefault="002F4495" w:rsidP="00B50434">
      <w:pPr>
        <w:spacing w:line="360" w:lineRule="auto"/>
        <w:jc w:val="both"/>
        <w:rPr>
          <w:rFonts w:ascii="Times New Roman" w:hAnsi="Times New Roman" w:cs="Times New Roman"/>
          <w:b/>
          <w:sz w:val="24"/>
          <w:szCs w:val="24"/>
        </w:rPr>
      </w:pPr>
      <w:r w:rsidRPr="003B7287">
        <w:rPr>
          <w:rFonts w:ascii="Times New Roman" w:hAnsi="Times New Roman" w:cs="Times New Roman"/>
          <w:b/>
          <w:sz w:val="24"/>
          <w:szCs w:val="24"/>
        </w:rPr>
        <w:t>Recommendation of a Similar Project</w:t>
      </w:r>
    </w:p>
    <w:p w14:paraId="1EFF7153"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The Crossrail project was a major infrastructure project for the UK Government to build a 118-kilometer-long railway line from London to Reading. The project was completed in December 2018, and it is now known as the Elizabeth Line. The project was unique due to </w:t>
      </w:r>
      <w:r w:rsidRPr="003B7287">
        <w:rPr>
          <w:rFonts w:ascii="Times New Roman" w:hAnsi="Times New Roman" w:cs="Times New Roman"/>
          <w:sz w:val="24"/>
          <w:szCs w:val="24"/>
        </w:rPr>
        <w:lastRenderedPageBreak/>
        <w:t xml:space="preserve">the complexity of its geotechnical challenges. This essay will discuss the recommendations that could be adopted by a similar project that is looking to manage geotechnical risk. </w:t>
      </w:r>
    </w:p>
    <w:p w14:paraId="48AB2D55"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Geotechnical Risk Management Plan </w:t>
      </w:r>
    </w:p>
    <w:p w14:paraId="69F6E7D9"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The first step in the geotechnical risk management plan should be to develop a comprehensive risk assessment and risk management plan. This plan should identify potential risks that could arise due to the geotechnical aspects of the project. This should include a detailed geotechnical risk assessment that considers the different elements of the project, such as soil characteristics, subsurface conditions, groundwater levels, and any other relevant geotechnical factors. The risk assessment should also consider the potential for the project to be affected by natural disasters, such as flooding and earthquakes. The risk management plan should outline the steps that need to be taken to mitigate any potential risks.</w:t>
      </w:r>
    </w:p>
    <w:p w14:paraId="40296518"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Geotechnical Investigation </w:t>
      </w:r>
    </w:p>
    <w:p w14:paraId="0F182DD4"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The next step should be to carry out a comprehensive geotechnical investigation. This should involve the collection of a range of data that can be used to understand the subsurface conditions of the project area. This should include a geotechnical survey, soil sampling, and laboratory testing. The data collected should be used to identify any potential risks that could affect the project.</w:t>
      </w:r>
    </w:p>
    <w:p w14:paraId="2DA2C4E8"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Design Considerations </w:t>
      </w:r>
    </w:p>
    <w:p w14:paraId="5868B62C"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Once the data has been collected and analysed, the design of the project should be considered. It is important that the design is tailored to the geotechnical conditions of the project area. This should include consideration of the soil types and the groundwater levels. It is also important to consider the potential effects of natural disasters, such as floods and earthquakes. The design should also take into account any potential changes in the subsurface conditions due to the construction of the project.</w:t>
      </w:r>
    </w:p>
    <w:p w14:paraId="4421912C"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Construction Considerations </w:t>
      </w:r>
    </w:p>
    <w:p w14:paraId="56CB20FF"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The construction phase of the project should also be considered. The construction methods used should be tailored to the geotechnical conditions of the project area. This should include consideration of the soil types and the groundwater levels. It is also important to consider the potential effects of natural disasters, such as floods and earthquakes. The construction should </w:t>
      </w:r>
      <w:r w:rsidRPr="003B7287">
        <w:rPr>
          <w:rFonts w:ascii="Times New Roman" w:hAnsi="Times New Roman" w:cs="Times New Roman"/>
          <w:sz w:val="24"/>
          <w:szCs w:val="24"/>
        </w:rPr>
        <w:lastRenderedPageBreak/>
        <w:t>also take into account any potential changes in the subsurface conditions due to the construction of the project.</w:t>
      </w:r>
    </w:p>
    <w:p w14:paraId="49BDB293"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 xml:space="preserve">Monitoring </w:t>
      </w:r>
    </w:p>
    <w:p w14:paraId="0D788660"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Finally, it is important to monitor the project during and after construction. This should include the collection of data to monitor changes in the subsurface conditions. This data can be used to identify any potential risks that could arise due to changes in the subsurface conditions. The data can also be used to identify any potential changes in the design of the project that may be necessary due to changes in the subsurface conditions.</w:t>
      </w:r>
    </w:p>
    <w:p w14:paraId="63C7C399" w14:textId="77777777" w:rsidR="002F4495" w:rsidRPr="003B7287" w:rsidRDefault="002F4495" w:rsidP="00B50434">
      <w:pPr>
        <w:spacing w:line="360" w:lineRule="auto"/>
        <w:jc w:val="both"/>
        <w:rPr>
          <w:rFonts w:ascii="Times New Roman" w:hAnsi="Times New Roman" w:cs="Times New Roman"/>
          <w:b/>
          <w:sz w:val="24"/>
          <w:szCs w:val="24"/>
        </w:rPr>
      </w:pPr>
      <w:r w:rsidRPr="003B7287">
        <w:rPr>
          <w:rFonts w:ascii="Times New Roman" w:hAnsi="Times New Roman" w:cs="Times New Roman"/>
          <w:b/>
          <w:sz w:val="24"/>
          <w:szCs w:val="24"/>
        </w:rPr>
        <w:t>Conclusion</w:t>
      </w:r>
    </w:p>
    <w:p w14:paraId="01A7C3AA" w14:textId="77777777" w:rsidR="002F4495" w:rsidRPr="003B7287" w:rsidRDefault="002F4495" w:rsidP="00B50434">
      <w:pPr>
        <w:spacing w:line="360" w:lineRule="auto"/>
        <w:jc w:val="both"/>
        <w:rPr>
          <w:rFonts w:ascii="Times New Roman" w:hAnsi="Times New Roman" w:cs="Times New Roman"/>
          <w:sz w:val="24"/>
          <w:szCs w:val="24"/>
        </w:rPr>
      </w:pPr>
      <w:r w:rsidRPr="003B7287">
        <w:rPr>
          <w:rFonts w:ascii="Times New Roman" w:hAnsi="Times New Roman" w:cs="Times New Roman"/>
          <w:sz w:val="24"/>
          <w:szCs w:val="24"/>
        </w:rPr>
        <w:t>In conclusion, the Crossrail project's attempt to manage geotechnical risk on London's Elizabeth line project has been successful in certain respects but unsuccessful in others. The project has taught us many valuable lessons, and we must ensure that we take these lessons into consideration when designing future initiatives that are analogous to the one we just completed. In order to ensure the success of the project, proper planning and risk management, transparency and communication between stakeholders, collaboration and coordination, cost estimation and budgeting, and stakeholder involvement should all be prioritized. This study has also covered the recommendations that may be taken by a similar project that is aiming to manage geotechnical risk. These recommendations have been included because they have been discussed in this report. These recommendations include the development of a comprehensive risk assessment as well as a plan for risk management, the carrying out of a comprehensive geotechnical investigation, consideration of the design and construction of the project, and the monitoring of the project both during and after construction.</w:t>
      </w:r>
    </w:p>
    <w:p w14:paraId="1C0A06A2" w14:textId="77777777" w:rsidR="003B7287" w:rsidRDefault="003B7287" w:rsidP="00B50434">
      <w:pPr>
        <w:spacing w:line="360" w:lineRule="auto"/>
        <w:jc w:val="both"/>
        <w:rPr>
          <w:rFonts w:ascii="Times New Roman" w:hAnsi="Times New Roman" w:cs="Times New Roman"/>
          <w:sz w:val="24"/>
          <w:szCs w:val="24"/>
        </w:rPr>
      </w:pPr>
    </w:p>
    <w:p w14:paraId="47AD3F55" w14:textId="77777777" w:rsidR="003B7287" w:rsidRDefault="003B7287" w:rsidP="00B50434">
      <w:pPr>
        <w:spacing w:line="360" w:lineRule="auto"/>
        <w:jc w:val="both"/>
        <w:rPr>
          <w:rFonts w:ascii="Times New Roman" w:hAnsi="Times New Roman" w:cs="Times New Roman"/>
          <w:sz w:val="24"/>
          <w:szCs w:val="24"/>
        </w:rPr>
      </w:pPr>
    </w:p>
    <w:p w14:paraId="5C6373FC" w14:textId="77777777" w:rsidR="003B7287" w:rsidRDefault="003B7287" w:rsidP="00B50434">
      <w:pPr>
        <w:spacing w:line="360" w:lineRule="auto"/>
        <w:jc w:val="both"/>
        <w:rPr>
          <w:rFonts w:ascii="Times New Roman" w:hAnsi="Times New Roman" w:cs="Times New Roman"/>
          <w:sz w:val="24"/>
          <w:szCs w:val="24"/>
        </w:rPr>
      </w:pPr>
    </w:p>
    <w:p w14:paraId="6E657372" w14:textId="77777777" w:rsidR="003B7287" w:rsidRDefault="003B7287" w:rsidP="00B50434">
      <w:pPr>
        <w:spacing w:line="360" w:lineRule="auto"/>
        <w:jc w:val="both"/>
        <w:rPr>
          <w:rFonts w:ascii="Times New Roman" w:hAnsi="Times New Roman" w:cs="Times New Roman"/>
          <w:sz w:val="24"/>
          <w:szCs w:val="24"/>
        </w:rPr>
      </w:pPr>
    </w:p>
    <w:p w14:paraId="450AC1A4" w14:textId="77777777" w:rsidR="003B7287" w:rsidRDefault="003B7287" w:rsidP="00B50434">
      <w:pPr>
        <w:spacing w:line="360" w:lineRule="auto"/>
        <w:jc w:val="both"/>
        <w:rPr>
          <w:rFonts w:ascii="Times New Roman" w:hAnsi="Times New Roman" w:cs="Times New Roman"/>
          <w:sz w:val="24"/>
          <w:szCs w:val="24"/>
        </w:rPr>
      </w:pPr>
    </w:p>
    <w:p w14:paraId="48B399B4" w14:textId="77777777" w:rsidR="003B7287" w:rsidRDefault="003B7287" w:rsidP="00B50434">
      <w:pPr>
        <w:spacing w:line="360" w:lineRule="auto"/>
        <w:jc w:val="both"/>
        <w:rPr>
          <w:rFonts w:ascii="Times New Roman" w:hAnsi="Times New Roman" w:cs="Times New Roman"/>
          <w:sz w:val="24"/>
          <w:szCs w:val="24"/>
        </w:rPr>
      </w:pPr>
    </w:p>
    <w:p w14:paraId="2D1C6229" w14:textId="77777777" w:rsidR="003B7287" w:rsidRDefault="003B7287" w:rsidP="00B50434">
      <w:pPr>
        <w:spacing w:line="360" w:lineRule="auto"/>
        <w:jc w:val="both"/>
        <w:rPr>
          <w:rFonts w:ascii="Times New Roman" w:hAnsi="Times New Roman" w:cs="Times New Roman"/>
          <w:sz w:val="24"/>
          <w:szCs w:val="24"/>
        </w:rPr>
      </w:pPr>
    </w:p>
    <w:p w14:paraId="34EE9B95" w14:textId="77777777" w:rsidR="003B7287" w:rsidRDefault="003B7287" w:rsidP="00B50434">
      <w:pPr>
        <w:spacing w:line="360" w:lineRule="auto"/>
        <w:jc w:val="both"/>
        <w:rPr>
          <w:rFonts w:ascii="Times New Roman" w:hAnsi="Times New Roman" w:cs="Times New Roman"/>
          <w:sz w:val="24"/>
          <w:szCs w:val="24"/>
        </w:rPr>
      </w:pPr>
    </w:p>
    <w:p w14:paraId="40D3710E" w14:textId="77777777" w:rsidR="003B7287" w:rsidRDefault="003B7287" w:rsidP="00B50434">
      <w:pPr>
        <w:spacing w:line="360" w:lineRule="auto"/>
        <w:jc w:val="both"/>
        <w:rPr>
          <w:rFonts w:ascii="Times New Roman" w:hAnsi="Times New Roman" w:cs="Times New Roman"/>
          <w:sz w:val="24"/>
          <w:szCs w:val="24"/>
        </w:rPr>
      </w:pPr>
    </w:p>
    <w:p w14:paraId="0AA4FC55" w14:textId="77777777" w:rsidR="003B7287" w:rsidRDefault="003B7287" w:rsidP="00B50434">
      <w:pPr>
        <w:spacing w:line="360" w:lineRule="auto"/>
        <w:jc w:val="both"/>
        <w:rPr>
          <w:rFonts w:ascii="Times New Roman" w:hAnsi="Times New Roman" w:cs="Times New Roman"/>
          <w:sz w:val="24"/>
          <w:szCs w:val="24"/>
        </w:rPr>
      </w:pPr>
    </w:p>
    <w:p w14:paraId="7670FEF9" w14:textId="77777777" w:rsidR="003B7287" w:rsidRDefault="003B7287" w:rsidP="00B50434">
      <w:pPr>
        <w:spacing w:line="360" w:lineRule="auto"/>
        <w:jc w:val="both"/>
        <w:rPr>
          <w:rFonts w:ascii="Times New Roman" w:hAnsi="Times New Roman" w:cs="Times New Roman"/>
          <w:sz w:val="24"/>
          <w:szCs w:val="24"/>
        </w:rPr>
      </w:pPr>
    </w:p>
    <w:p w14:paraId="67F29C34" w14:textId="77777777" w:rsidR="003B7287" w:rsidRDefault="003B7287" w:rsidP="00B50434">
      <w:pPr>
        <w:spacing w:line="360" w:lineRule="auto"/>
        <w:jc w:val="both"/>
        <w:rPr>
          <w:rFonts w:ascii="Times New Roman" w:hAnsi="Times New Roman" w:cs="Times New Roman"/>
          <w:sz w:val="24"/>
          <w:szCs w:val="24"/>
        </w:rPr>
      </w:pPr>
    </w:p>
    <w:p w14:paraId="615F5992" w14:textId="77777777" w:rsidR="003B7287" w:rsidRDefault="003B7287" w:rsidP="00B50434">
      <w:pPr>
        <w:spacing w:line="360" w:lineRule="auto"/>
        <w:jc w:val="both"/>
        <w:rPr>
          <w:rFonts w:ascii="Times New Roman" w:hAnsi="Times New Roman" w:cs="Times New Roman"/>
          <w:sz w:val="24"/>
          <w:szCs w:val="24"/>
        </w:rPr>
      </w:pPr>
    </w:p>
    <w:p w14:paraId="21FC1859" w14:textId="77777777" w:rsidR="003B7287" w:rsidRDefault="003B7287" w:rsidP="00B50434">
      <w:pPr>
        <w:spacing w:line="360" w:lineRule="auto"/>
        <w:jc w:val="both"/>
        <w:rPr>
          <w:rFonts w:ascii="Times New Roman" w:hAnsi="Times New Roman" w:cs="Times New Roman"/>
          <w:sz w:val="24"/>
          <w:szCs w:val="24"/>
        </w:rPr>
      </w:pPr>
    </w:p>
    <w:p w14:paraId="5F3ECDCB" w14:textId="77777777" w:rsidR="003B7287" w:rsidRDefault="003B7287" w:rsidP="00B50434">
      <w:pPr>
        <w:spacing w:line="360" w:lineRule="auto"/>
        <w:jc w:val="both"/>
        <w:rPr>
          <w:rFonts w:ascii="Times New Roman" w:hAnsi="Times New Roman" w:cs="Times New Roman"/>
          <w:sz w:val="24"/>
          <w:szCs w:val="24"/>
        </w:rPr>
      </w:pPr>
    </w:p>
    <w:p w14:paraId="0769DF2F" w14:textId="77777777" w:rsidR="003B7287" w:rsidRDefault="003B7287" w:rsidP="00B50434">
      <w:pPr>
        <w:spacing w:line="360" w:lineRule="auto"/>
        <w:jc w:val="both"/>
        <w:rPr>
          <w:rFonts w:ascii="Times New Roman" w:hAnsi="Times New Roman" w:cs="Times New Roman"/>
          <w:sz w:val="24"/>
          <w:szCs w:val="24"/>
        </w:rPr>
      </w:pPr>
    </w:p>
    <w:p w14:paraId="03A3B9E9" w14:textId="77777777" w:rsidR="003B7287" w:rsidRDefault="003B7287" w:rsidP="00B50434">
      <w:pPr>
        <w:spacing w:line="360" w:lineRule="auto"/>
        <w:jc w:val="both"/>
        <w:rPr>
          <w:rFonts w:ascii="Times New Roman" w:hAnsi="Times New Roman" w:cs="Times New Roman"/>
          <w:sz w:val="24"/>
          <w:szCs w:val="24"/>
        </w:rPr>
      </w:pPr>
    </w:p>
    <w:p w14:paraId="3B1FDD16" w14:textId="77777777" w:rsidR="003B7287" w:rsidRDefault="003B7287" w:rsidP="00B50434">
      <w:pPr>
        <w:spacing w:line="360" w:lineRule="auto"/>
        <w:jc w:val="both"/>
        <w:rPr>
          <w:rFonts w:ascii="Times New Roman" w:hAnsi="Times New Roman" w:cs="Times New Roman"/>
          <w:sz w:val="24"/>
          <w:szCs w:val="24"/>
        </w:rPr>
      </w:pPr>
    </w:p>
    <w:p w14:paraId="50716CBC" w14:textId="77777777" w:rsidR="003B7287" w:rsidRDefault="003B7287" w:rsidP="00B50434">
      <w:pPr>
        <w:spacing w:line="360" w:lineRule="auto"/>
        <w:jc w:val="both"/>
        <w:rPr>
          <w:rFonts w:ascii="Times New Roman" w:hAnsi="Times New Roman" w:cs="Times New Roman"/>
          <w:sz w:val="24"/>
          <w:szCs w:val="24"/>
        </w:rPr>
      </w:pPr>
    </w:p>
    <w:p w14:paraId="2A6536AC" w14:textId="77777777" w:rsidR="003B7287" w:rsidRDefault="003B7287" w:rsidP="00B50434">
      <w:pPr>
        <w:spacing w:line="360" w:lineRule="auto"/>
        <w:jc w:val="both"/>
        <w:rPr>
          <w:rFonts w:ascii="Times New Roman" w:hAnsi="Times New Roman" w:cs="Times New Roman"/>
          <w:sz w:val="24"/>
          <w:szCs w:val="24"/>
        </w:rPr>
      </w:pPr>
    </w:p>
    <w:p w14:paraId="07EF3E2D" w14:textId="77777777" w:rsidR="003B7287" w:rsidRDefault="003B7287" w:rsidP="00B50434">
      <w:pPr>
        <w:spacing w:line="360" w:lineRule="auto"/>
        <w:jc w:val="both"/>
        <w:rPr>
          <w:rFonts w:ascii="Times New Roman" w:hAnsi="Times New Roman" w:cs="Times New Roman"/>
          <w:sz w:val="24"/>
          <w:szCs w:val="24"/>
        </w:rPr>
      </w:pPr>
    </w:p>
    <w:p w14:paraId="00310816" w14:textId="77777777" w:rsidR="003B7287" w:rsidRDefault="003B7287" w:rsidP="00B50434">
      <w:pPr>
        <w:spacing w:line="360" w:lineRule="auto"/>
        <w:jc w:val="both"/>
        <w:rPr>
          <w:rFonts w:ascii="Times New Roman" w:hAnsi="Times New Roman" w:cs="Times New Roman"/>
          <w:sz w:val="24"/>
          <w:szCs w:val="24"/>
        </w:rPr>
      </w:pPr>
    </w:p>
    <w:p w14:paraId="740FEF42" w14:textId="77777777" w:rsidR="003B7287" w:rsidRDefault="003B7287" w:rsidP="00B50434">
      <w:pPr>
        <w:spacing w:line="360" w:lineRule="auto"/>
        <w:jc w:val="both"/>
        <w:rPr>
          <w:rFonts w:ascii="Times New Roman" w:hAnsi="Times New Roman" w:cs="Times New Roman"/>
          <w:sz w:val="24"/>
          <w:szCs w:val="24"/>
        </w:rPr>
      </w:pPr>
    </w:p>
    <w:p w14:paraId="225AAAD2" w14:textId="77777777" w:rsidR="003B7287" w:rsidRDefault="003B7287" w:rsidP="00B50434">
      <w:pPr>
        <w:spacing w:line="360" w:lineRule="auto"/>
        <w:jc w:val="both"/>
        <w:rPr>
          <w:rFonts w:ascii="Times New Roman" w:hAnsi="Times New Roman" w:cs="Times New Roman"/>
          <w:sz w:val="24"/>
          <w:szCs w:val="24"/>
        </w:rPr>
      </w:pPr>
    </w:p>
    <w:p w14:paraId="0B57F51C" w14:textId="77777777" w:rsidR="003B7287" w:rsidRDefault="003B7287" w:rsidP="00B50434">
      <w:pPr>
        <w:spacing w:line="360" w:lineRule="auto"/>
        <w:jc w:val="both"/>
        <w:rPr>
          <w:rFonts w:ascii="Times New Roman" w:hAnsi="Times New Roman" w:cs="Times New Roman"/>
          <w:sz w:val="24"/>
          <w:szCs w:val="24"/>
        </w:rPr>
      </w:pPr>
    </w:p>
    <w:p w14:paraId="4862FD33" w14:textId="77777777" w:rsidR="00561B10" w:rsidRPr="003B7287" w:rsidRDefault="00370FCA" w:rsidP="00B50434">
      <w:pPr>
        <w:spacing w:line="360" w:lineRule="auto"/>
        <w:jc w:val="both"/>
        <w:rPr>
          <w:rFonts w:ascii="Times New Roman" w:hAnsi="Times New Roman" w:cs="Times New Roman"/>
          <w:b/>
          <w:sz w:val="24"/>
          <w:szCs w:val="24"/>
        </w:rPr>
      </w:pPr>
      <w:r w:rsidRPr="003B7287">
        <w:rPr>
          <w:rFonts w:ascii="Times New Roman" w:hAnsi="Times New Roman" w:cs="Times New Roman"/>
          <w:b/>
          <w:sz w:val="24"/>
          <w:szCs w:val="24"/>
        </w:rPr>
        <w:t>References</w:t>
      </w:r>
    </w:p>
    <w:p w14:paraId="1898790D" w14:textId="77777777" w:rsidR="00370FCA" w:rsidRPr="003B7287" w:rsidRDefault="00370FCA" w:rsidP="00B50434">
      <w:pPr>
        <w:spacing w:line="360" w:lineRule="auto"/>
        <w:ind w:left="720" w:hanging="720"/>
        <w:jc w:val="both"/>
        <w:rPr>
          <w:rFonts w:ascii="Times New Roman" w:hAnsi="Times New Roman" w:cs="Times New Roman"/>
          <w:sz w:val="24"/>
          <w:szCs w:val="24"/>
          <w:shd w:val="clear" w:color="auto" w:fill="FFFFFF"/>
        </w:rPr>
      </w:pPr>
      <w:r w:rsidRPr="003B7287">
        <w:rPr>
          <w:rFonts w:ascii="Times New Roman" w:hAnsi="Times New Roman" w:cs="Times New Roman"/>
          <w:sz w:val="24"/>
          <w:szCs w:val="24"/>
          <w:shd w:val="clear" w:color="auto" w:fill="FFFFFF"/>
        </w:rPr>
        <w:t>Black, M., 2017, May. Crossrail project: managing geotechnical risk on London’s Elizabeth line. In </w:t>
      </w:r>
      <w:r w:rsidRPr="003B7287">
        <w:rPr>
          <w:rFonts w:ascii="Times New Roman" w:hAnsi="Times New Roman" w:cs="Times New Roman"/>
          <w:i/>
          <w:iCs/>
          <w:sz w:val="24"/>
          <w:szCs w:val="24"/>
          <w:shd w:val="clear" w:color="auto" w:fill="FFFFFF"/>
        </w:rPr>
        <w:t>Proceedings of the Institution of Civil Engineers-Civil Engineering</w:t>
      </w:r>
      <w:r w:rsidRPr="003B7287">
        <w:rPr>
          <w:rFonts w:ascii="Times New Roman" w:hAnsi="Times New Roman" w:cs="Times New Roman"/>
          <w:sz w:val="24"/>
          <w:szCs w:val="24"/>
          <w:shd w:val="clear" w:color="auto" w:fill="FFFFFF"/>
        </w:rPr>
        <w:t> (Vol. 170, No. 5, pp. 23-30). Thomas Telford Ltd.</w:t>
      </w:r>
    </w:p>
    <w:p w14:paraId="2C68B44D" w14:textId="77777777" w:rsidR="00370FCA" w:rsidRPr="003B7287" w:rsidRDefault="00370FCA" w:rsidP="00B50434">
      <w:pPr>
        <w:spacing w:line="360" w:lineRule="auto"/>
        <w:ind w:left="720" w:hanging="720"/>
        <w:jc w:val="both"/>
        <w:rPr>
          <w:rFonts w:ascii="Times New Roman" w:hAnsi="Times New Roman" w:cs="Times New Roman"/>
          <w:sz w:val="24"/>
          <w:szCs w:val="24"/>
          <w:shd w:val="clear" w:color="auto" w:fill="FFFFFF"/>
        </w:rPr>
      </w:pPr>
      <w:r w:rsidRPr="003B7287">
        <w:rPr>
          <w:rFonts w:ascii="Times New Roman" w:hAnsi="Times New Roman" w:cs="Times New Roman"/>
          <w:sz w:val="24"/>
          <w:szCs w:val="24"/>
          <w:shd w:val="clear" w:color="auto" w:fill="FFFFFF"/>
        </w:rPr>
        <w:lastRenderedPageBreak/>
        <w:t>Barsam, J.M., Harris, D. and Hooper, A., 2017, May. Crossrail project: engineering design management on the Elizabeth line, London. In </w:t>
      </w:r>
      <w:r w:rsidRPr="003B7287">
        <w:rPr>
          <w:rFonts w:ascii="Times New Roman" w:hAnsi="Times New Roman" w:cs="Times New Roman"/>
          <w:i/>
          <w:iCs/>
          <w:sz w:val="24"/>
          <w:szCs w:val="24"/>
          <w:shd w:val="clear" w:color="auto" w:fill="FFFFFF"/>
        </w:rPr>
        <w:t>Proceedings of the Institution of Civil Engineers-Civil Engineering</w:t>
      </w:r>
      <w:r w:rsidRPr="003B7287">
        <w:rPr>
          <w:rFonts w:ascii="Times New Roman" w:hAnsi="Times New Roman" w:cs="Times New Roman"/>
          <w:sz w:val="24"/>
          <w:szCs w:val="24"/>
          <w:shd w:val="clear" w:color="auto" w:fill="FFFFFF"/>
        </w:rPr>
        <w:t> (Vol. 170, No. 5, pp. 15-22). Thomas Telford Ltd.</w:t>
      </w:r>
    </w:p>
    <w:p w14:paraId="47D9B9E0" w14:textId="77777777" w:rsidR="00370FCA" w:rsidRPr="003B7287" w:rsidRDefault="00370FCA" w:rsidP="00B50434">
      <w:pPr>
        <w:spacing w:line="360" w:lineRule="auto"/>
        <w:ind w:left="720" w:hanging="720"/>
        <w:jc w:val="both"/>
        <w:rPr>
          <w:rFonts w:ascii="Times New Roman" w:hAnsi="Times New Roman" w:cs="Times New Roman"/>
          <w:sz w:val="24"/>
          <w:szCs w:val="24"/>
          <w:shd w:val="clear" w:color="auto" w:fill="FFFFFF"/>
        </w:rPr>
      </w:pPr>
      <w:r w:rsidRPr="003B7287">
        <w:rPr>
          <w:rFonts w:ascii="Times New Roman" w:hAnsi="Times New Roman" w:cs="Times New Roman"/>
          <w:sz w:val="24"/>
          <w:szCs w:val="24"/>
          <w:shd w:val="clear" w:color="auto" w:fill="FFFFFF"/>
        </w:rPr>
        <w:t>Tucker, W., 2017, May. Crossrail project: the execution strategy for delivering London’s Elizabeth line. In </w:t>
      </w:r>
      <w:r w:rsidRPr="003B7287">
        <w:rPr>
          <w:rFonts w:ascii="Times New Roman" w:hAnsi="Times New Roman" w:cs="Times New Roman"/>
          <w:i/>
          <w:iCs/>
          <w:sz w:val="24"/>
          <w:szCs w:val="24"/>
          <w:shd w:val="clear" w:color="auto" w:fill="FFFFFF"/>
        </w:rPr>
        <w:t>Proceedings of the Institution of Civil Engineers-Civil Engineering</w:t>
      </w:r>
      <w:r w:rsidRPr="003B7287">
        <w:rPr>
          <w:rFonts w:ascii="Times New Roman" w:hAnsi="Times New Roman" w:cs="Times New Roman"/>
          <w:sz w:val="24"/>
          <w:szCs w:val="24"/>
          <w:shd w:val="clear" w:color="auto" w:fill="FFFFFF"/>
        </w:rPr>
        <w:t> (Vol. 170, No. 5, pp. 3-14). Thomas Telford Ltd.</w:t>
      </w:r>
    </w:p>
    <w:p w14:paraId="06BCA04B" w14:textId="77777777" w:rsidR="00370FCA" w:rsidRPr="003B7287" w:rsidRDefault="00370FCA" w:rsidP="00B50434">
      <w:pPr>
        <w:spacing w:line="360" w:lineRule="auto"/>
        <w:ind w:left="720" w:hanging="720"/>
        <w:jc w:val="both"/>
        <w:rPr>
          <w:rFonts w:ascii="Times New Roman" w:hAnsi="Times New Roman" w:cs="Times New Roman"/>
          <w:sz w:val="24"/>
          <w:szCs w:val="24"/>
        </w:rPr>
      </w:pPr>
      <w:r w:rsidRPr="003B7287">
        <w:rPr>
          <w:rFonts w:ascii="Times New Roman" w:hAnsi="Times New Roman" w:cs="Times New Roman"/>
          <w:sz w:val="24"/>
          <w:szCs w:val="24"/>
          <w:shd w:val="clear" w:color="auto" w:fill="FFFFFF"/>
        </w:rPr>
        <w:t>Wright, S., Palczynski, R. and ten Have, P., 2017, November. Crossrail programme organisation and management for delivering London’s Elizabeth line. In </w:t>
      </w:r>
      <w:r w:rsidRPr="003B7287">
        <w:rPr>
          <w:rFonts w:ascii="Times New Roman" w:hAnsi="Times New Roman" w:cs="Times New Roman"/>
          <w:i/>
          <w:iCs/>
          <w:sz w:val="24"/>
          <w:szCs w:val="24"/>
          <w:shd w:val="clear" w:color="auto" w:fill="FFFFFF"/>
        </w:rPr>
        <w:t>Proceedings of the Institution of Civil Engineers-Civil Engineering</w:t>
      </w:r>
      <w:r w:rsidRPr="003B7287">
        <w:rPr>
          <w:rFonts w:ascii="Times New Roman" w:hAnsi="Times New Roman" w:cs="Times New Roman"/>
          <w:sz w:val="24"/>
          <w:szCs w:val="24"/>
          <w:shd w:val="clear" w:color="auto" w:fill="FFFFFF"/>
        </w:rPr>
        <w:t> (Vol. 170, No. 6, pp. 23-33). Thomas Telford Ltd.</w:t>
      </w:r>
    </w:p>
    <w:sectPr w:rsidR="00370FCA" w:rsidRPr="003B7287">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597AE" w14:textId="77777777" w:rsidR="00D45B99" w:rsidRDefault="00D45B99" w:rsidP="003B7287">
      <w:pPr>
        <w:spacing w:after="0" w:line="240" w:lineRule="auto"/>
      </w:pPr>
      <w:r>
        <w:separator/>
      </w:r>
    </w:p>
  </w:endnote>
  <w:endnote w:type="continuationSeparator" w:id="0">
    <w:p w14:paraId="383BD415" w14:textId="77777777" w:rsidR="00D45B99" w:rsidRDefault="00D45B99" w:rsidP="003B7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8D082" w14:textId="77777777" w:rsidR="00D45B99" w:rsidRDefault="00D45B99" w:rsidP="003B7287">
      <w:pPr>
        <w:spacing w:after="0" w:line="240" w:lineRule="auto"/>
      </w:pPr>
      <w:r>
        <w:separator/>
      </w:r>
    </w:p>
  </w:footnote>
  <w:footnote w:type="continuationSeparator" w:id="0">
    <w:p w14:paraId="02EFE7FF" w14:textId="77777777" w:rsidR="00D45B99" w:rsidRDefault="00D45B99" w:rsidP="003B72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209057"/>
      <w:docPartObj>
        <w:docPartGallery w:val="Page Numbers (Top of Page)"/>
        <w:docPartUnique/>
      </w:docPartObj>
    </w:sdtPr>
    <w:sdtEndPr>
      <w:rPr>
        <w:noProof/>
      </w:rPr>
    </w:sdtEndPr>
    <w:sdtContent>
      <w:p w14:paraId="34D91E48" w14:textId="77777777" w:rsidR="003B7287" w:rsidRDefault="003B7287">
        <w:pPr>
          <w:pStyle w:val="Header"/>
          <w:jc w:val="right"/>
        </w:pPr>
        <w:r>
          <w:fldChar w:fldCharType="begin"/>
        </w:r>
        <w:r>
          <w:instrText xml:space="preserve"> PAGE   \* MERGEFORMAT </w:instrText>
        </w:r>
        <w:r>
          <w:fldChar w:fldCharType="separate"/>
        </w:r>
        <w:r w:rsidR="00B50434">
          <w:rPr>
            <w:noProof/>
          </w:rPr>
          <w:t>2</w:t>
        </w:r>
        <w:r>
          <w:rPr>
            <w:noProof/>
          </w:rPr>
          <w:fldChar w:fldCharType="end"/>
        </w:r>
      </w:p>
    </w:sdtContent>
  </w:sdt>
  <w:p w14:paraId="086B9277" w14:textId="77777777" w:rsidR="003B7287" w:rsidRDefault="003B72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20E4C"/>
    <w:multiLevelType w:val="multilevel"/>
    <w:tmpl w:val="3446D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8E71A4"/>
    <w:multiLevelType w:val="multilevel"/>
    <w:tmpl w:val="559008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7413531">
    <w:abstractNumId w:val="0"/>
  </w:num>
  <w:num w:numId="2" w16cid:durableId="9320140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E10E7"/>
    <w:rsid w:val="001638F5"/>
    <w:rsid w:val="002F4495"/>
    <w:rsid w:val="00370FCA"/>
    <w:rsid w:val="00374E59"/>
    <w:rsid w:val="00381EF9"/>
    <w:rsid w:val="003A18F6"/>
    <w:rsid w:val="003B7287"/>
    <w:rsid w:val="00561B10"/>
    <w:rsid w:val="0082583A"/>
    <w:rsid w:val="00850988"/>
    <w:rsid w:val="008F7E62"/>
    <w:rsid w:val="009E10E7"/>
    <w:rsid w:val="00B50434"/>
    <w:rsid w:val="00D45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4A1A7"/>
  <w15:docId w15:val="{F0CA2A77-20CA-4EB8-BB07-B0919415F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10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F44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495"/>
  </w:style>
  <w:style w:type="paragraph" w:styleId="Footer">
    <w:name w:val="footer"/>
    <w:basedOn w:val="Normal"/>
    <w:link w:val="FooterChar"/>
    <w:uiPriority w:val="99"/>
    <w:unhideWhenUsed/>
    <w:rsid w:val="002F44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4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514051">
      <w:bodyDiv w:val="1"/>
      <w:marLeft w:val="0"/>
      <w:marRight w:val="0"/>
      <w:marTop w:val="0"/>
      <w:marBottom w:val="0"/>
      <w:divBdr>
        <w:top w:val="none" w:sz="0" w:space="0" w:color="auto"/>
        <w:left w:val="none" w:sz="0" w:space="0" w:color="auto"/>
        <w:bottom w:val="none" w:sz="0" w:space="0" w:color="auto"/>
        <w:right w:val="none" w:sz="0" w:space="0" w:color="auto"/>
      </w:divBdr>
      <w:divsChild>
        <w:div w:id="1165323093">
          <w:marLeft w:val="0"/>
          <w:marRight w:val="0"/>
          <w:marTop w:val="0"/>
          <w:marBottom w:val="0"/>
          <w:divBdr>
            <w:top w:val="none" w:sz="0" w:space="0" w:color="auto"/>
            <w:left w:val="none" w:sz="0" w:space="0" w:color="auto"/>
            <w:bottom w:val="none" w:sz="0" w:space="0" w:color="auto"/>
            <w:right w:val="none" w:sz="0" w:space="0" w:color="auto"/>
          </w:divBdr>
          <w:divsChild>
            <w:div w:id="1009917135">
              <w:marLeft w:val="0"/>
              <w:marRight w:val="0"/>
              <w:marTop w:val="0"/>
              <w:marBottom w:val="0"/>
              <w:divBdr>
                <w:top w:val="none" w:sz="0" w:space="0" w:color="auto"/>
                <w:left w:val="none" w:sz="0" w:space="0" w:color="auto"/>
                <w:bottom w:val="none" w:sz="0" w:space="0" w:color="auto"/>
                <w:right w:val="none" w:sz="0" w:space="0" w:color="auto"/>
              </w:divBdr>
              <w:divsChild>
                <w:div w:id="1287195994">
                  <w:marLeft w:val="0"/>
                  <w:marRight w:val="0"/>
                  <w:marTop w:val="0"/>
                  <w:marBottom w:val="0"/>
                  <w:divBdr>
                    <w:top w:val="none" w:sz="0" w:space="0" w:color="auto"/>
                    <w:left w:val="none" w:sz="0" w:space="0" w:color="auto"/>
                    <w:bottom w:val="none" w:sz="0" w:space="0" w:color="auto"/>
                    <w:right w:val="none" w:sz="0" w:space="0" w:color="auto"/>
                  </w:divBdr>
                  <w:divsChild>
                    <w:div w:id="1994024759">
                      <w:marLeft w:val="0"/>
                      <w:marRight w:val="0"/>
                      <w:marTop w:val="0"/>
                      <w:marBottom w:val="0"/>
                      <w:divBdr>
                        <w:top w:val="none" w:sz="0" w:space="0" w:color="auto"/>
                        <w:left w:val="none" w:sz="0" w:space="0" w:color="auto"/>
                        <w:bottom w:val="none" w:sz="0" w:space="0" w:color="auto"/>
                        <w:right w:val="none" w:sz="0" w:space="0" w:color="auto"/>
                      </w:divBdr>
                      <w:divsChild>
                        <w:div w:id="176090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604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TotalTime>
  <Pages>10</Pages>
  <Words>2616</Words>
  <Characters>14916</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Plamen Pelov</cp:lastModifiedBy>
  <cp:revision>3</cp:revision>
  <dcterms:created xsi:type="dcterms:W3CDTF">2022-12-13T15:35:00Z</dcterms:created>
  <dcterms:modified xsi:type="dcterms:W3CDTF">2023-01-15T21:43:00Z</dcterms:modified>
</cp:coreProperties>
</file>