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9239A" w14:textId="77777777" w:rsidR="00032752" w:rsidRPr="00032752" w:rsidRDefault="00032752" w:rsidP="00032752">
      <w:pPr>
        <w:spacing w:line="360" w:lineRule="auto"/>
        <w:jc w:val="both"/>
        <w:rPr>
          <w:rFonts w:ascii="Arial" w:hAnsi="Arial" w:cs="Arial"/>
          <w:sz w:val="24"/>
          <w:szCs w:val="24"/>
        </w:rPr>
      </w:pPr>
    </w:p>
    <w:p w14:paraId="76376C96" w14:textId="4EC3BA25" w:rsidR="00032752" w:rsidRPr="008B1629" w:rsidRDefault="00032752" w:rsidP="008B1629">
      <w:pPr>
        <w:pStyle w:val="IntenseQuote"/>
        <w:rPr>
          <w:sz w:val="36"/>
          <w:szCs w:val="36"/>
        </w:rPr>
      </w:pPr>
      <w:r w:rsidRPr="008B1629">
        <w:rPr>
          <w:sz w:val="36"/>
          <w:szCs w:val="36"/>
        </w:rPr>
        <w:t>Audit and Analysis of Hyatt Group: Understanding Structure, Culture, and Strategic Direction</w:t>
      </w:r>
    </w:p>
    <w:p w14:paraId="474DA5B0" w14:textId="77777777" w:rsidR="00032752" w:rsidRDefault="00032752" w:rsidP="00032752">
      <w:pPr>
        <w:spacing w:line="360" w:lineRule="auto"/>
        <w:jc w:val="both"/>
        <w:rPr>
          <w:rFonts w:ascii="Arial" w:hAnsi="Arial" w:cs="Arial"/>
          <w:sz w:val="24"/>
          <w:szCs w:val="24"/>
        </w:rPr>
      </w:pPr>
    </w:p>
    <w:p w14:paraId="0C16C6DF" w14:textId="77777777" w:rsidR="000362A0" w:rsidRDefault="000362A0" w:rsidP="00032752">
      <w:pPr>
        <w:spacing w:line="360" w:lineRule="auto"/>
        <w:jc w:val="both"/>
        <w:rPr>
          <w:rFonts w:ascii="Arial" w:hAnsi="Arial" w:cs="Arial"/>
          <w:sz w:val="24"/>
          <w:szCs w:val="24"/>
        </w:rPr>
      </w:pPr>
    </w:p>
    <w:p w14:paraId="5B07ED38" w14:textId="77777777" w:rsidR="000362A0" w:rsidRDefault="000362A0" w:rsidP="00032752">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618645634"/>
        <w:docPartObj>
          <w:docPartGallery w:val="Table of Contents"/>
          <w:docPartUnique/>
        </w:docPartObj>
      </w:sdtPr>
      <w:sdtEndPr>
        <w:rPr>
          <w:b/>
          <w:bCs/>
          <w:noProof/>
        </w:rPr>
      </w:sdtEndPr>
      <w:sdtContent>
        <w:p w14:paraId="08D2B915" w14:textId="61C9B69E" w:rsidR="000362A0" w:rsidRPr="000362A0" w:rsidRDefault="000362A0">
          <w:pPr>
            <w:pStyle w:val="TOCHeading"/>
            <w:rPr>
              <w:rFonts w:ascii="Times New Roman" w:hAnsi="Times New Roman" w:cs="Times New Roman"/>
              <w:sz w:val="24"/>
              <w:szCs w:val="24"/>
            </w:rPr>
          </w:pPr>
          <w:r w:rsidRPr="000362A0">
            <w:rPr>
              <w:rFonts w:ascii="Times New Roman" w:hAnsi="Times New Roman" w:cs="Times New Roman"/>
              <w:sz w:val="24"/>
              <w:szCs w:val="24"/>
            </w:rPr>
            <w:t>Contents</w:t>
          </w:r>
        </w:p>
        <w:p w14:paraId="6D2DFF4A" w14:textId="071DA70D" w:rsidR="000362A0" w:rsidRPr="000362A0" w:rsidRDefault="000362A0">
          <w:pPr>
            <w:pStyle w:val="TOC1"/>
            <w:tabs>
              <w:tab w:val="right" w:leader="dot" w:pos="9016"/>
            </w:tabs>
            <w:rPr>
              <w:rFonts w:ascii="Times New Roman" w:hAnsi="Times New Roman"/>
              <w:noProof/>
              <w:sz w:val="24"/>
              <w:szCs w:val="24"/>
              <w:lang w:val="en-GB" w:eastAsia="en-GB"/>
            </w:rPr>
          </w:pPr>
          <w:r w:rsidRPr="000362A0">
            <w:rPr>
              <w:rFonts w:ascii="Times New Roman" w:hAnsi="Times New Roman"/>
              <w:sz w:val="24"/>
              <w:szCs w:val="24"/>
            </w:rPr>
            <w:fldChar w:fldCharType="begin"/>
          </w:r>
          <w:r w:rsidRPr="000362A0">
            <w:rPr>
              <w:rFonts w:ascii="Times New Roman" w:hAnsi="Times New Roman"/>
              <w:sz w:val="24"/>
              <w:szCs w:val="24"/>
            </w:rPr>
            <w:instrText xml:space="preserve"> TOC \o "1-3" \h \z \u </w:instrText>
          </w:r>
          <w:r w:rsidRPr="000362A0">
            <w:rPr>
              <w:rFonts w:ascii="Times New Roman" w:hAnsi="Times New Roman"/>
              <w:sz w:val="24"/>
              <w:szCs w:val="24"/>
            </w:rPr>
            <w:fldChar w:fldCharType="separate"/>
          </w:r>
          <w:hyperlink w:anchor="_Toc159377989" w:history="1">
            <w:r w:rsidRPr="000362A0">
              <w:rPr>
                <w:rStyle w:val="Hyperlink"/>
                <w:rFonts w:ascii="Times New Roman" w:hAnsi="Times New Roman"/>
                <w:noProof/>
                <w:sz w:val="24"/>
                <w:szCs w:val="24"/>
              </w:rPr>
              <w:t>Executive Summary:</w:t>
            </w:r>
            <w:r w:rsidRPr="000362A0">
              <w:rPr>
                <w:rFonts w:ascii="Times New Roman" w:hAnsi="Times New Roman"/>
                <w:noProof/>
                <w:webHidden/>
                <w:sz w:val="24"/>
                <w:szCs w:val="24"/>
              </w:rPr>
              <w:tab/>
            </w:r>
            <w:r w:rsidRPr="000362A0">
              <w:rPr>
                <w:rFonts w:ascii="Times New Roman" w:hAnsi="Times New Roman"/>
                <w:noProof/>
                <w:webHidden/>
                <w:sz w:val="24"/>
                <w:szCs w:val="24"/>
              </w:rPr>
              <w:fldChar w:fldCharType="begin"/>
            </w:r>
            <w:r w:rsidRPr="000362A0">
              <w:rPr>
                <w:rFonts w:ascii="Times New Roman" w:hAnsi="Times New Roman"/>
                <w:noProof/>
                <w:webHidden/>
                <w:sz w:val="24"/>
                <w:szCs w:val="24"/>
              </w:rPr>
              <w:instrText xml:space="preserve"> PAGEREF _Toc159377989 \h </w:instrText>
            </w:r>
            <w:r w:rsidRPr="000362A0">
              <w:rPr>
                <w:rFonts w:ascii="Times New Roman" w:hAnsi="Times New Roman"/>
                <w:noProof/>
                <w:webHidden/>
                <w:sz w:val="24"/>
                <w:szCs w:val="24"/>
              </w:rPr>
            </w:r>
            <w:r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2</w:t>
            </w:r>
            <w:r w:rsidRPr="000362A0">
              <w:rPr>
                <w:rFonts w:ascii="Times New Roman" w:hAnsi="Times New Roman"/>
                <w:noProof/>
                <w:webHidden/>
                <w:sz w:val="24"/>
                <w:szCs w:val="24"/>
              </w:rPr>
              <w:fldChar w:fldCharType="end"/>
            </w:r>
          </w:hyperlink>
        </w:p>
        <w:p w14:paraId="18A7ABED" w14:textId="4F69B479" w:rsidR="000362A0" w:rsidRPr="000362A0" w:rsidRDefault="001C369D">
          <w:pPr>
            <w:pStyle w:val="TOC1"/>
            <w:tabs>
              <w:tab w:val="left" w:pos="440"/>
              <w:tab w:val="right" w:leader="dot" w:pos="9016"/>
            </w:tabs>
            <w:rPr>
              <w:rFonts w:ascii="Times New Roman" w:hAnsi="Times New Roman"/>
              <w:noProof/>
              <w:sz w:val="24"/>
              <w:szCs w:val="24"/>
              <w:lang w:val="en-GB" w:eastAsia="en-GB"/>
            </w:rPr>
          </w:pPr>
          <w:hyperlink w:anchor="_Toc159377990" w:history="1">
            <w:r w:rsidR="000362A0" w:rsidRPr="000362A0">
              <w:rPr>
                <w:rStyle w:val="Hyperlink"/>
                <w:rFonts w:ascii="Times New Roman" w:hAnsi="Times New Roman"/>
                <w:noProof/>
                <w:sz w:val="24"/>
                <w:szCs w:val="24"/>
              </w:rPr>
              <w:t>1.</w:t>
            </w:r>
            <w:r w:rsidR="000362A0" w:rsidRPr="000362A0">
              <w:rPr>
                <w:rFonts w:ascii="Times New Roman" w:hAnsi="Times New Roman"/>
                <w:noProof/>
                <w:sz w:val="24"/>
                <w:szCs w:val="24"/>
                <w:lang w:val="en-GB" w:eastAsia="en-GB"/>
              </w:rPr>
              <w:tab/>
            </w:r>
            <w:r w:rsidR="000362A0" w:rsidRPr="000362A0">
              <w:rPr>
                <w:rStyle w:val="Hyperlink"/>
                <w:rFonts w:ascii="Times New Roman" w:hAnsi="Times New Roman"/>
                <w:noProof/>
                <w:sz w:val="24"/>
                <w:szCs w:val="24"/>
              </w:rPr>
              <w:t>Introduction:</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_Toc159377990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2</w:t>
            </w:r>
            <w:r w:rsidR="000362A0" w:rsidRPr="000362A0">
              <w:rPr>
                <w:rFonts w:ascii="Times New Roman" w:hAnsi="Times New Roman"/>
                <w:noProof/>
                <w:webHidden/>
                <w:sz w:val="24"/>
                <w:szCs w:val="24"/>
              </w:rPr>
              <w:fldChar w:fldCharType="end"/>
            </w:r>
          </w:hyperlink>
        </w:p>
        <w:p w14:paraId="737B6841" w14:textId="486C06D5" w:rsidR="000362A0" w:rsidRPr="000362A0" w:rsidRDefault="001C369D">
          <w:pPr>
            <w:pStyle w:val="TOC1"/>
            <w:tabs>
              <w:tab w:val="left" w:pos="440"/>
              <w:tab w:val="right" w:leader="dot" w:pos="9016"/>
            </w:tabs>
            <w:rPr>
              <w:rFonts w:ascii="Times New Roman" w:hAnsi="Times New Roman"/>
              <w:noProof/>
              <w:sz w:val="24"/>
              <w:szCs w:val="24"/>
              <w:lang w:val="en-GB" w:eastAsia="en-GB"/>
            </w:rPr>
          </w:pPr>
          <w:hyperlink w:anchor="_Toc159377991" w:history="1">
            <w:r w:rsidR="000362A0" w:rsidRPr="000362A0">
              <w:rPr>
                <w:rStyle w:val="Hyperlink"/>
                <w:rFonts w:ascii="Times New Roman" w:hAnsi="Times New Roman"/>
                <w:noProof/>
                <w:sz w:val="24"/>
                <w:szCs w:val="24"/>
              </w:rPr>
              <w:t>2.</w:t>
            </w:r>
            <w:r w:rsidR="000362A0" w:rsidRPr="000362A0">
              <w:rPr>
                <w:rFonts w:ascii="Times New Roman" w:hAnsi="Times New Roman"/>
                <w:noProof/>
                <w:sz w:val="24"/>
                <w:szCs w:val="24"/>
                <w:lang w:val="en-GB" w:eastAsia="en-GB"/>
              </w:rPr>
              <w:tab/>
            </w:r>
            <w:r w:rsidR="000362A0" w:rsidRPr="000362A0">
              <w:rPr>
                <w:rStyle w:val="Hyperlink"/>
                <w:rFonts w:ascii="Times New Roman" w:hAnsi="Times New Roman"/>
                <w:noProof/>
                <w:sz w:val="24"/>
                <w:szCs w:val="24"/>
              </w:rPr>
              <w:t>Organizational Structure, Culture, and Goals:</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_Toc159377991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3</w:t>
            </w:r>
            <w:r w:rsidR="000362A0" w:rsidRPr="000362A0">
              <w:rPr>
                <w:rFonts w:ascii="Times New Roman" w:hAnsi="Times New Roman"/>
                <w:noProof/>
                <w:webHidden/>
                <w:sz w:val="24"/>
                <w:szCs w:val="24"/>
              </w:rPr>
              <w:fldChar w:fldCharType="end"/>
            </w:r>
          </w:hyperlink>
        </w:p>
        <w:p w14:paraId="605B788D" w14:textId="50BD3C7F" w:rsidR="000362A0" w:rsidRPr="000362A0" w:rsidRDefault="001C369D">
          <w:pPr>
            <w:pStyle w:val="TOC2"/>
            <w:tabs>
              <w:tab w:val="right" w:leader="dot" w:pos="9016"/>
            </w:tabs>
            <w:rPr>
              <w:rFonts w:ascii="Times New Roman" w:hAnsi="Times New Roman"/>
              <w:noProof/>
              <w:sz w:val="24"/>
              <w:szCs w:val="24"/>
              <w:lang w:val="en-GB" w:eastAsia="en-GB"/>
            </w:rPr>
          </w:pPr>
          <w:hyperlink w:anchor="_Toc159377992" w:history="1">
            <w:r w:rsidR="000362A0" w:rsidRPr="000362A0">
              <w:rPr>
                <w:rStyle w:val="Hyperlink"/>
                <w:rFonts w:ascii="Times New Roman" w:hAnsi="Times New Roman"/>
                <w:noProof/>
                <w:sz w:val="24"/>
                <w:szCs w:val="24"/>
              </w:rPr>
              <w:t>2.1 Structure:</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_Toc159377992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3</w:t>
            </w:r>
            <w:r w:rsidR="000362A0" w:rsidRPr="000362A0">
              <w:rPr>
                <w:rFonts w:ascii="Times New Roman" w:hAnsi="Times New Roman"/>
                <w:noProof/>
                <w:webHidden/>
                <w:sz w:val="24"/>
                <w:szCs w:val="24"/>
              </w:rPr>
              <w:fldChar w:fldCharType="end"/>
            </w:r>
          </w:hyperlink>
        </w:p>
        <w:p w14:paraId="302CABA4" w14:textId="509DF5D6" w:rsidR="000362A0" w:rsidRPr="000362A0" w:rsidRDefault="001C369D">
          <w:pPr>
            <w:pStyle w:val="TOC2"/>
            <w:tabs>
              <w:tab w:val="right" w:leader="dot" w:pos="9016"/>
            </w:tabs>
            <w:rPr>
              <w:rFonts w:ascii="Times New Roman" w:hAnsi="Times New Roman"/>
              <w:noProof/>
              <w:sz w:val="24"/>
              <w:szCs w:val="24"/>
              <w:lang w:val="en-GB" w:eastAsia="en-GB"/>
            </w:rPr>
          </w:pPr>
          <w:hyperlink w:anchor="_Toc159377993" w:history="1">
            <w:r w:rsidR="000362A0" w:rsidRPr="000362A0">
              <w:rPr>
                <w:rStyle w:val="Hyperlink"/>
                <w:rFonts w:ascii="Times New Roman" w:hAnsi="Times New Roman"/>
                <w:noProof/>
                <w:sz w:val="24"/>
                <w:szCs w:val="24"/>
              </w:rPr>
              <w:t>2.2 Culture:</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_Toc159377993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4</w:t>
            </w:r>
            <w:r w:rsidR="000362A0" w:rsidRPr="000362A0">
              <w:rPr>
                <w:rFonts w:ascii="Times New Roman" w:hAnsi="Times New Roman"/>
                <w:noProof/>
                <w:webHidden/>
                <w:sz w:val="24"/>
                <w:szCs w:val="24"/>
              </w:rPr>
              <w:fldChar w:fldCharType="end"/>
            </w:r>
          </w:hyperlink>
        </w:p>
        <w:p w14:paraId="3CC17411" w14:textId="1E2D662C" w:rsidR="000362A0" w:rsidRPr="000362A0" w:rsidRDefault="001C369D">
          <w:pPr>
            <w:pStyle w:val="TOC2"/>
            <w:tabs>
              <w:tab w:val="right" w:leader="dot" w:pos="9016"/>
            </w:tabs>
            <w:rPr>
              <w:rFonts w:ascii="Times New Roman" w:hAnsi="Times New Roman"/>
              <w:noProof/>
              <w:sz w:val="24"/>
              <w:szCs w:val="24"/>
              <w:lang w:val="en-GB" w:eastAsia="en-GB"/>
            </w:rPr>
          </w:pPr>
          <w:hyperlink w:anchor="_Toc159377994" w:history="1">
            <w:r w:rsidR="000362A0" w:rsidRPr="000362A0">
              <w:rPr>
                <w:rStyle w:val="Hyperlink"/>
                <w:rFonts w:ascii="Times New Roman" w:hAnsi="Times New Roman"/>
                <w:noProof/>
                <w:sz w:val="24"/>
                <w:szCs w:val="24"/>
              </w:rPr>
              <w:t>2.3 Goals:</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_Toc159377994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5</w:t>
            </w:r>
            <w:r w:rsidR="000362A0" w:rsidRPr="000362A0">
              <w:rPr>
                <w:rFonts w:ascii="Times New Roman" w:hAnsi="Times New Roman"/>
                <w:noProof/>
                <w:webHidden/>
                <w:sz w:val="24"/>
                <w:szCs w:val="24"/>
              </w:rPr>
              <w:fldChar w:fldCharType="end"/>
            </w:r>
          </w:hyperlink>
        </w:p>
        <w:p w14:paraId="648E8092" w14:textId="5EC9D00B" w:rsidR="000362A0" w:rsidRPr="000362A0" w:rsidRDefault="001C369D">
          <w:pPr>
            <w:pStyle w:val="TOC1"/>
            <w:tabs>
              <w:tab w:val="right" w:leader="dot" w:pos="9016"/>
            </w:tabs>
            <w:rPr>
              <w:rFonts w:ascii="Times New Roman" w:hAnsi="Times New Roman"/>
              <w:noProof/>
              <w:sz w:val="24"/>
              <w:szCs w:val="24"/>
              <w:lang w:val="en-GB" w:eastAsia="en-GB"/>
            </w:rPr>
          </w:pPr>
          <w:hyperlink w:anchor="_Toc159377995" w:history="1">
            <w:r w:rsidR="000362A0" w:rsidRPr="000362A0">
              <w:rPr>
                <w:rStyle w:val="Hyperlink"/>
                <w:rFonts w:ascii="Times New Roman" w:hAnsi="Times New Roman"/>
                <w:noProof/>
                <w:sz w:val="24"/>
                <w:szCs w:val="24"/>
              </w:rPr>
              <w:t>3. Recent Change Initiatives and Their Impact:</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_Toc159377995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6</w:t>
            </w:r>
            <w:r w:rsidR="000362A0" w:rsidRPr="000362A0">
              <w:rPr>
                <w:rFonts w:ascii="Times New Roman" w:hAnsi="Times New Roman"/>
                <w:noProof/>
                <w:webHidden/>
                <w:sz w:val="24"/>
                <w:szCs w:val="24"/>
              </w:rPr>
              <w:fldChar w:fldCharType="end"/>
            </w:r>
          </w:hyperlink>
        </w:p>
        <w:p w14:paraId="49E75D6B" w14:textId="78A89A6F" w:rsidR="000362A0" w:rsidRPr="000362A0" w:rsidRDefault="001C369D">
          <w:pPr>
            <w:pStyle w:val="TOC2"/>
            <w:tabs>
              <w:tab w:val="right" w:leader="dot" w:pos="9016"/>
            </w:tabs>
            <w:rPr>
              <w:rFonts w:ascii="Times New Roman" w:hAnsi="Times New Roman"/>
              <w:noProof/>
              <w:sz w:val="24"/>
              <w:szCs w:val="24"/>
              <w:lang w:val="en-GB" w:eastAsia="en-GB"/>
            </w:rPr>
          </w:pPr>
          <w:hyperlink w:anchor="_Toc159377996" w:history="1">
            <w:r w:rsidR="000362A0" w:rsidRPr="000362A0">
              <w:rPr>
                <w:rStyle w:val="Hyperlink"/>
                <w:rFonts w:ascii="Times New Roman" w:hAnsi="Times New Roman"/>
                <w:noProof/>
                <w:sz w:val="24"/>
                <w:szCs w:val="24"/>
              </w:rPr>
              <w:t>3.1 Change Initiatives:</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_Toc159377996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6</w:t>
            </w:r>
            <w:r w:rsidR="000362A0" w:rsidRPr="000362A0">
              <w:rPr>
                <w:rFonts w:ascii="Times New Roman" w:hAnsi="Times New Roman"/>
                <w:noProof/>
                <w:webHidden/>
                <w:sz w:val="24"/>
                <w:szCs w:val="24"/>
              </w:rPr>
              <w:fldChar w:fldCharType="end"/>
            </w:r>
          </w:hyperlink>
        </w:p>
        <w:p w14:paraId="4BF7BFCA" w14:textId="6AF30B48" w:rsidR="000362A0" w:rsidRPr="000362A0" w:rsidRDefault="001C369D">
          <w:pPr>
            <w:pStyle w:val="TOC2"/>
            <w:tabs>
              <w:tab w:val="right" w:leader="dot" w:pos="9016"/>
            </w:tabs>
            <w:rPr>
              <w:rFonts w:ascii="Times New Roman" w:hAnsi="Times New Roman"/>
              <w:noProof/>
              <w:sz w:val="24"/>
              <w:szCs w:val="24"/>
              <w:lang w:val="en-GB" w:eastAsia="en-GB"/>
            </w:rPr>
          </w:pPr>
          <w:hyperlink w:anchor="_Toc159377997" w:history="1">
            <w:r w:rsidR="000362A0" w:rsidRPr="000362A0">
              <w:rPr>
                <w:rStyle w:val="Hyperlink"/>
                <w:rFonts w:ascii="Times New Roman" w:hAnsi="Times New Roman"/>
                <w:noProof/>
                <w:sz w:val="24"/>
                <w:szCs w:val="24"/>
              </w:rPr>
              <w:t>3.2 Impact:</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_Toc159377997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7</w:t>
            </w:r>
            <w:r w:rsidR="000362A0" w:rsidRPr="000362A0">
              <w:rPr>
                <w:rFonts w:ascii="Times New Roman" w:hAnsi="Times New Roman"/>
                <w:noProof/>
                <w:webHidden/>
                <w:sz w:val="24"/>
                <w:szCs w:val="24"/>
              </w:rPr>
              <w:fldChar w:fldCharType="end"/>
            </w:r>
          </w:hyperlink>
        </w:p>
        <w:p w14:paraId="7A859420" w14:textId="04E55ABB" w:rsidR="000362A0" w:rsidRPr="000362A0" w:rsidRDefault="001C369D">
          <w:pPr>
            <w:pStyle w:val="TOC1"/>
            <w:tabs>
              <w:tab w:val="right" w:leader="dot" w:pos="9016"/>
            </w:tabs>
            <w:rPr>
              <w:rFonts w:ascii="Times New Roman" w:hAnsi="Times New Roman"/>
              <w:noProof/>
              <w:sz w:val="24"/>
              <w:szCs w:val="24"/>
              <w:lang w:val="en-GB" w:eastAsia="en-GB"/>
            </w:rPr>
          </w:pPr>
          <w:hyperlink w:anchor="_Toc159377998" w:history="1">
            <w:r w:rsidR="000362A0" w:rsidRPr="000362A0">
              <w:rPr>
                <w:rStyle w:val="Hyperlink"/>
                <w:rFonts w:ascii="Times New Roman" w:hAnsi="Times New Roman"/>
                <w:noProof/>
                <w:sz w:val="24"/>
                <w:szCs w:val="24"/>
              </w:rPr>
              <w:t>4. Strategic Direction and Current Business Performance:</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_Toc159377998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8</w:t>
            </w:r>
            <w:r w:rsidR="000362A0" w:rsidRPr="000362A0">
              <w:rPr>
                <w:rFonts w:ascii="Times New Roman" w:hAnsi="Times New Roman"/>
                <w:noProof/>
                <w:webHidden/>
                <w:sz w:val="24"/>
                <w:szCs w:val="24"/>
              </w:rPr>
              <w:fldChar w:fldCharType="end"/>
            </w:r>
          </w:hyperlink>
        </w:p>
        <w:p w14:paraId="71909778" w14:textId="59DDDE07" w:rsidR="000362A0" w:rsidRPr="000362A0" w:rsidRDefault="001C369D">
          <w:pPr>
            <w:pStyle w:val="TOC2"/>
            <w:tabs>
              <w:tab w:val="right" w:leader="dot" w:pos="9016"/>
            </w:tabs>
            <w:rPr>
              <w:rFonts w:ascii="Times New Roman" w:hAnsi="Times New Roman"/>
              <w:noProof/>
              <w:sz w:val="24"/>
              <w:szCs w:val="24"/>
              <w:lang w:val="en-GB" w:eastAsia="en-GB"/>
            </w:rPr>
          </w:pPr>
          <w:hyperlink w:anchor="_Toc159377999" w:history="1">
            <w:r w:rsidR="000362A0" w:rsidRPr="000362A0">
              <w:rPr>
                <w:rStyle w:val="Hyperlink"/>
                <w:rFonts w:ascii="Times New Roman" w:hAnsi="Times New Roman"/>
                <w:noProof/>
                <w:sz w:val="24"/>
                <w:szCs w:val="24"/>
              </w:rPr>
              <w:t>4.1. Strategic Direction and Current Business Performance:</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_Toc159377999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8</w:t>
            </w:r>
            <w:r w:rsidR="000362A0" w:rsidRPr="000362A0">
              <w:rPr>
                <w:rFonts w:ascii="Times New Roman" w:hAnsi="Times New Roman"/>
                <w:noProof/>
                <w:webHidden/>
                <w:sz w:val="24"/>
                <w:szCs w:val="24"/>
              </w:rPr>
              <w:fldChar w:fldCharType="end"/>
            </w:r>
          </w:hyperlink>
        </w:p>
        <w:p w14:paraId="530FBC92" w14:textId="76F6E461" w:rsidR="000362A0" w:rsidRPr="000362A0" w:rsidRDefault="001C369D">
          <w:pPr>
            <w:pStyle w:val="TOC2"/>
            <w:tabs>
              <w:tab w:val="right" w:leader="dot" w:pos="9016"/>
            </w:tabs>
            <w:rPr>
              <w:rFonts w:ascii="Times New Roman" w:hAnsi="Times New Roman"/>
              <w:noProof/>
              <w:sz w:val="24"/>
              <w:szCs w:val="24"/>
              <w:lang w:val="en-GB" w:eastAsia="en-GB"/>
            </w:rPr>
          </w:pPr>
          <w:hyperlink w:anchor="_Toc159378000" w:history="1">
            <w:r w:rsidR="000362A0" w:rsidRPr="000362A0">
              <w:rPr>
                <w:rStyle w:val="Hyperlink"/>
                <w:rFonts w:ascii="Times New Roman" w:hAnsi="Times New Roman"/>
                <w:noProof/>
                <w:sz w:val="24"/>
                <w:szCs w:val="24"/>
              </w:rPr>
              <w:t>4.2 Business Performance:</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_Toc159378000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9</w:t>
            </w:r>
            <w:r w:rsidR="000362A0" w:rsidRPr="000362A0">
              <w:rPr>
                <w:rFonts w:ascii="Times New Roman" w:hAnsi="Times New Roman"/>
                <w:noProof/>
                <w:webHidden/>
                <w:sz w:val="24"/>
                <w:szCs w:val="24"/>
              </w:rPr>
              <w:fldChar w:fldCharType="end"/>
            </w:r>
          </w:hyperlink>
        </w:p>
        <w:p w14:paraId="1DC20F1F" w14:textId="29337D4E" w:rsidR="000362A0" w:rsidRPr="000362A0" w:rsidRDefault="001C369D">
          <w:pPr>
            <w:pStyle w:val="TOC1"/>
            <w:tabs>
              <w:tab w:val="right" w:leader="dot" w:pos="9016"/>
            </w:tabs>
            <w:rPr>
              <w:rFonts w:ascii="Times New Roman" w:hAnsi="Times New Roman"/>
              <w:noProof/>
              <w:sz w:val="24"/>
              <w:szCs w:val="24"/>
              <w:lang w:val="en-GB" w:eastAsia="en-GB"/>
            </w:rPr>
          </w:pPr>
          <w:hyperlink w:anchor="_Toc159378001" w:history="1">
            <w:r w:rsidR="000362A0" w:rsidRPr="000362A0">
              <w:rPr>
                <w:rStyle w:val="Hyperlink"/>
                <w:rFonts w:ascii="Times New Roman" w:hAnsi="Times New Roman"/>
                <w:noProof/>
                <w:sz w:val="24"/>
                <w:szCs w:val="24"/>
              </w:rPr>
              <w:t>5. Recommendations:</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_Toc159378001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10</w:t>
            </w:r>
            <w:r w:rsidR="000362A0" w:rsidRPr="000362A0">
              <w:rPr>
                <w:rFonts w:ascii="Times New Roman" w:hAnsi="Times New Roman"/>
                <w:noProof/>
                <w:webHidden/>
                <w:sz w:val="24"/>
                <w:szCs w:val="24"/>
              </w:rPr>
              <w:fldChar w:fldCharType="end"/>
            </w:r>
          </w:hyperlink>
        </w:p>
        <w:p w14:paraId="38CAE92F" w14:textId="6199A9D4" w:rsidR="000362A0" w:rsidRPr="000362A0" w:rsidRDefault="001C369D">
          <w:pPr>
            <w:pStyle w:val="TOC2"/>
            <w:tabs>
              <w:tab w:val="right" w:leader="dot" w:pos="9016"/>
            </w:tabs>
            <w:rPr>
              <w:rFonts w:ascii="Times New Roman" w:hAnsi="Times New Roman"/>
              <w:noProof/>
              <w:sz w:val="24"/>
              <w:szCs w:val="24"/>
              <w:lang w:val="en-GB" w:eastAsia="en-GB"/>
            </w:rPr>
          </w:pPr>
          <w:hyperlink w:anchor="_Toc159378002" w:history="1">
            <w:r w:rsidR="000362A0" w:rsidRPr="000362A0">
              <w:rPr>
                <w:rStyle w:val="Hyperlink"/>
                <w:rFonts w:ascii="Times New Roman" w:hAnsi="Times New Roman"/>
                <w:noProof/>
                <w:sz w:val="24"/>
                <w:szCs w:val="24"/>
              </w:rPr>
              <w:t>5.1 Strengthen Communication and Collaboration:</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_Toc159378002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10</w:t>
            </w:r>
            <w:r w:rsidR="000362A0" w:rsidRPr="000362A0">
              <w:rPr>
                <w:rFonts w:ascii="Times New Roman" w:hAnsi="Times New Roman"/>
                <w:noProof/>
                <w:webHidden/>
                <w:sz w:val="24"/>
                <w:szCs w:val="24"/>
              </w:rPr>
              <w:fldChar w:fldCharType="end"/>
            </w:r>
          </w:hyperlink>
        </w:p>
        <w:p w14:paraId="5B609081" w14:textId="4557D9FF" w:rsidR="000362A0" w:rsidRPr="000362A0" w:rsidRDefault="001C369D">
          <w:pPr>
            <w:pStyle w:val="TOC2"/>
            <w:tabs>
              <w:tab w:val="right" w:leader="dot" w:pos="9016"/>
            </w:tabs>
            <w:rPr>
              <w:rFonts w:ascii="Times New Roman" w:hAnsi="Times New Roman"/>
              <w:noProof/>
              <w:sz w:val="24"/>
              <w:szCs w:val="24"/>
              <w:lang w:val="en-GB" w:eastAsia="en-GB"/>
            </w:rPr>
          </w:pPr>
          <w:hyperlink w:anchor="_Toc159378003" w:history="1">
            <w:r w:rsidR="000362A0" w:rsidRPr="000362A0">
              <w:rPr>
                <w:rStyle w:val="Hyperlink"/>
                <w:rFonts w:ascii="Times New Roman" w:hAnsi="Times New Roman"/>
                <w:noProof/>
                <w:sz w:val="24"/>
                <w:szCs w:val="24"/>
              </w:rPr>
              <w:t>5.2 Invest in Employee Development:</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_Toc159378003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10</w:t>
            </w:r>
            <w:r w:rsidR="000362A0" w:rsidRPr="000362A0">
              <w:rPr>
                <w:rFonts w:ascii="Times New Roman" w:hAnsi="Times New Roman"/>
                <w:noProof/>
                <w:webHidden/>
                <w:sz w:val="24"/>
                <w:szCs w:val="24"/>
              </w:rPr>
              <w:fldChar w:fldCharType="end"/>
            </w:r>
          </w:hyperlink>
        </w:p>
        <w:p w14:paraId="22949C4D" w14:textId="00468265" w:rsidR="000362A0" w:rsidRPr="000362A0" w:rsidRDefault="001C369D">
          <w:pPr>
            <w:pStyle w:val="TOC2"/>
            <w:tabs>
              <w:tab w:val="right" w:leader="dot" w:pos="9016"/>
            </w:tabs>
            <w:rPr>
              <w:rFonts w:ascii="Times New Roman" w:hAnsi="Times New Roman"/>
              <w:noProof/>
              <w:sz w:val="24"/>
              <w:szCs w:val="24"/>
              <w:lang w:val="en-GB" w:eastAsia="en-GB"/>
            </w:rPr>
          </w:pPr>
          <w:hyperlink w:anchor="_Toc159378004" w:history="1">
            <w:r w:rsidR="000362A0" w:rsidRPr="000362A0">
              <w:rPr>
                <w:rStyle w:val="Hyperlink"/>
                <w:rFonts w:ascii="Times New Roman" w:hAnsi="Times New Roman"/>
                <w:noProof/>
                <w:sz w:val="24"/>
                <w:szCs w:val="24"/>
              </w:rPr>
              <w:t>5.3 Embrace Technological Innovation:</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_Toc159378004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11</w:t>
            </w:r>
            <w:r w:rsidR="000362A0" w:rsidRPr="000362A0">
              <w:rPr>
                <w:rFonts w:ascii="Times New Roman" w:hAnsi="Times New Roman"/>
                <w:noProof/>
                <w:webHidden/>
                <w:sz w:val="24"/>
                <w:szCs w:val="24"/>
              </w:rPr>
              <w:fldChar w:fldCharType="end"/>
            </w:r>
          </w:hyperlink>
        </w:p>
        <w:p w14:paraId="3A3CFDFB" w14:textId="566E10A6" w:rsidR="000362A0" w:rsidRPr="000362A0" w:rsidRDefault="001C369D">
          <w:pPr>
            <w:pStyle w:val="TOC2"/>
            <w:tabs>
              <w:tab w:val="right" w:leader="dot" w:pos="9016"/>
            </w:tabs>
            <w:rPr>
              <w:rFonts w:ascii="Times New Roman" w:hAnsi="Times New Roman"/>
              <w:noProof/>
              <w:sz w:val="24"/>
              <w:szCs w:val="24"/>
              <w:lang w:val="en-GB" w:eastAsia="en-GB"/>
            </w:rPr>
          </w:pPr>
          <w:hyperlink w:anchor="_Toc159378005" w:history="1">
            <w:r w:rsidR="000362A0" w:rsidRPr="000362A0">
              <w:rPr>
                <w:rStyle w:val="Hyperlink"/>
                <w:rFonts w:ascii="Times New Roman" w:hAnsi="Times New Roman"/>
                <w:noProof/>
                <w:sz w:val="24"/>
                <w:szCs w:val="24"/>
              </w:rPr>
              <w:t>5.4 Enhance Sustainability Efforts:</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_Toc159378005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11</w:t>
            </w:r>
            <w:r w:rsidR="000362A0" w:rsidRPr="000362A0">
              <w:rPr>
                <w:rFonts w:ascii="Times New Roman" w:hAnsi="Times New Roman"/>
                <w:noProof/>
                <w:webHidden/>
                <w:sz w:val="24"/>
                <w:szCs w:val="24"/>
              </w:rPr>
              <w:fldChar w:fldCharType="end"/>
            </w:r>
          </w:hyperlink>
        </w:p>
        <w:p w14:paraId="50E84F03" w14:textId="20ECD604" w:rsidR="000362A0" w:rsidRPr="000362A0" w:rsidRDefault="001C369D">
          <w:pPr>
            <w:pStyle w:val="TOC1"/>
            <w:tabs>
              <w:tab w:val="right" w:leader="dot" w:pos="9016"/>
            </w:tabs>
            <w:rPr>
              <w:rFonts w:ascii="Times New Roman" w:hAnsi="Times New Roman"/>
              <w:noProof/>
              <w:sz w:val="24"/>
              <w:szCs w:val="24"/>
              <w:lang w:val="en-GB" w:eastAsia="en-GB"/>
            </w:rPr>
          </w:pPr>
          <w:hyperlink w:anchor="_Toc159378006" w:history="1">
            <w:r w:rsidR="000362A0" w:rsidRPr="000362A0">
              <w:rPr>
                <w:rStyle w:val="Hyperlink"/>
                <w:rFonts w:ascii="Times New Roman" w:hAnsi="Times New Roman"/>
                <w:noProof/>
                <w:sz w:val="24"/>
                <w:szCs w:val="24"/>
              </w:rPr>
              <w:t>6. Conclusion:</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_Toc159378006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11</w:t>
            </w:r>
            <w:r w:rsidR="000362A0" w:rsidRPr="000362A0">
              <w:rPr>
                <w:rFonts w:ascii="Times New Roman" w:hAnsi="Times New Roman"/>
                <w:noProof/>
                <w:webHidden/>
                <w:sz w:val="24"/>
                <w:szCs w:val="24"/>
              </w:rPr>
              <w:fldChar w:fldCharType="end"/>
            </w:r>
          </w:hyperlink>
        </w:p>
        <w:p w14:paraId="7B2C1535" w14:textId="6C1EB018" w:rsidR="000362A0" w:rsidRPr="000362A0" w:rsidRDefault="001C369D">
          <w:pPr>
            <w:pStyle w:val="TOC1"/>
            <w:tabs>
              <w:tab w:val="right" w:leader="dot" w:pos="9016"/>
            </w:tabs>
            <w:rPr>
              <w:rFonts w:ascii="Times New Roman" w:hAnsi="Times New Roman"/>
              <w:noProof/>
              <w:sz w:val="24"/>
              <w:szCs w:val="24"/>
              <w:lang w:val="en-GB" w:eastAsia="en-GB"/>
            </w:rPr>
          </w:pPr>
          <w:hyperlink w:anchor="_Toc159378007" w:history="1">
            <w:r w:rsidR="000362A0" w:rsidRPr="000362A0">
              <w:rPr>
                <w:rStyle w:val="Hyperlink"/>
                <w:rFonts w:ascii="Times New Roman" w:hAnsi="Times New Roman"/>
                <w:noProof/>
                <w:sz w:val="24"/>
                <w:szCs w:val="24"/>
              </w:rPr>
              <w:t>7. References</w:t>
            </w:r>
            <w:r w:rsidR="000362A0" w:rsidRPr="000362A0">
              <w:rPr>
                <w:rFonts w:ascii="Times New Roman" w:hAnsi="Times New Roman"/>
                <w:noProof/>
                <w:webHidden/>
                <w:sz w:val="24"/>
                <w:szCs w:val="24"/>
              </w:rPr>
              <w:tab/>
            </w:r>
            <w:r w:rsidR="000362A0" w:rsidRPr="000362A0">
              <w:rPr>
                <w:rFonts w:ascii="Times New Roman" w:hAnsi="Times New Roman"/>
                <w:noProof/>
                <w:webHidden/>
                <w:sz w:val="24"/>
                <w:szCs w:val="24"/>
              </w:rPr>
              <w:fldChar w:fldCharType="begin"/>
            </w:r>
            <w:r w:rsidR="000362A0" w:rsidRPr="000362A0">
              <w:rPr>
                <w:rFonts w:ascii="Times New Roman" w:hAnsi="Times New Roman"/>
                <w:noProof/>
                <w:webHidden/>
                <w:sz w:val="24"/>
                <w:szCs w:val="24"/>
              </w:rPr>
              <w:instrText xml:space="preserve"> PAGEREF _Toc159378007 \h </w:instrText>
            </w:r>
            <w:r w:rsidR="000362A0" w:rsidRPr="000362A0">
              <w:rPr>
                <w:rFonts w:ascii="Times New Roman" w:hAnsi="Times New Roman"/>
                <w:noProof/>
                <w:webHidden/>
                <w:sz w:val="24"/>
                <w:szCs w:val="24"/>
              </w:rPr>
            </w:r>
            <w:r w:rsidR="000362A0" w:rsidRPr="000362A0">
              <w:rPr>
                <w:rFonts w:ascii="Times New Roman" w:hAnsi="Times New Roman"/>
                <w:noProof/>
                <w:webHidden/>
                <w:sz w:val="24"/>
                <w:szCs w:val="24"/>
              </w:rPr>
              <w:fldChar w:fldCharType="separate"/>
            </w:r>
            <w:r w:rsidR="00A15E8E">
              <w:rPr>
                <w:rFonts w:ascii="Times New Roman" w:hAnsi="Times New Roman"/>
                <w:noProof/>
                <w:webHidden/>
                <w:sz w:val="24"/>
                <w:szCs w:val="24"/>
              </w:rPr>
              <w:t>12</w:t>
            </w:r>
            <w:r w:rsidR="000362A0" w:rsidRPr="000362A0">
              <w:rPr>
                <w:rFonts w:ascii="Times New Roman" w:hAnsi="Times New Roman"/>
                <w:noProof/>
                <w:webHidden/>
                <w:sz w:val="24"/>
                <w:szCs w:val="24"/>
              </w:rPr>
              <w:fldChar w:fldCharType="end"/>
            </w:r>
          </w:hyperlink>
        </w:p>
        <w:p w14:paraId="171311DB" w14:textId="2F3A11CD" w:rsidR="000362A0" w:rsidRDefault="000362A0">
          <w:r w:rsidRPr="000362A0">
            <w:rPr>
              <w:rFonts w:ascii="Times New Roman" w:hAnsi="Times New Roman" w:cs="Times New Roman"/>
              <w:b/>
              <w:bCs/>
              <w:noProof/>
              <w:sz w:val="24"/>
              <w:szCs w:val="24"/>
            </w:rPr>
            <w:fldChar w:fldCharType="end"/>
          </w:r>
        </w:p>
      </w:sdtContent>
    </w:sdt>
    <w:p w14:paraId="1EC946E8" w14:textId="4CE214C9" w:rsidR="00B71BC2" w:rsidRDefault="00B71BC2" w:rsidP="0054230B">
      <w:pPr>
        <w:pStyle w:val="TOCHeading"/>
      </w:pPr>
    </w:p>
    <w:p w14:paraId="0320A525" w14:textId="77777777" w:rsidR="000362A0" w:rsidRPr="000362A0" w:rsidRDefault="000362A0" w:rsidP="000362A0">
      <w:pPr>
        <w:rPr>
          <w:lang w:val="en-US"/>
        </w:rPr>
      </w:pPr>
    </w:p>
    <w:p w14:paraId="56751A90" w14:textId="77777777" w:rsidR="00266977" w:rsidRDefault="00266977" w:rsidP="002A77AB">
      <w:pPr>
        <w:spacing w:line="360" w:lineRule="auto"/>
        <w:jc w:val="both"/>
        <w:rPr>
          <w:rFonts w:ascii="Times New Roman" w:hAnsi="Times New Roman" w:cs="Times New Roman"/>
          <w:b/>
          <w:bCs/>
          <w:sz w:val="24"/>
          <w:szCs w:val="24"/>
        </w:rPr>
      </w:pPr>
    </w:p>
    <w:p w14:paraId="0CCE4CCB" w14:textId="03B87535" w:rsidR="004E7F6F" w:rsidRDefault="004E7F6F" w:rsidP="006B3384">
      <w:pPr>
        <w:pStyle w:val="Heading1"/>
      </w:pPr>
      <w:bookmarkStart w:id="0" w:name="_Toc159377680"/>
      <w:bookmarkStart w:id="1" w:name="_Toc159377989"/>
      <w:r w:rsidRPr="002A77AB">
        <w:lastRenderedPageBreak/>
        <w:t>Executive Summary:</w:t>
      </w:r>
      <w:bookmarkEnd w:id="0"/>
      <w:bookmarkEnd w:id="1"/>
    </w:p>
    <w:p w14:paraId="05A29624" w14:textId="77777777" w:rsidR="00394F99" w:rsidRPr="00394F99" w:rsidRDefault="00394F99" w:rsidP="00394F99"/>
    <w:p w14:paraId="7538A4CE" w14:textId="25A44CAB" w:rsidR="000E3116" w:rsidRDefault="004E7F6F"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This report offers a thorough examination of Hyatt Group, a prominent global hospitality entity renowned for its luxury hotels and resorts. Established in 1957 by Jay Pritzker, Hyatt Hotels Corporation engages in hotel ownership, operation, franchising, and management across the globe. Its diverse portfolio includes renowned brands such as Park Hyatt, Grand Hyatt, Hyatt Regency, Andaz, Hyatt Place, and Hyatt House. Hyatt distinguishes itself through its unwavering dedication to exceptional guest experiences, innovative design, and top-tier service. Moreover, the company prioritizes sustainability, diversity, and corporate social responsibility. This report delves into Hyatt's organizational framework, cultural ethos, recent strategic initiatives, directional focus, and present business performance. By integrating pertinent theories and contemporary resources, the report aims to furnish holistic insights into Hyatt's corporate and operational landscape, proposing recommendations for enhancement and future prosperity.</w:t>
      </w:r>
    </w:p>
    <w:p w14:paraId="2C1CA098" w14:textId="77777777" w:rsidR="00AD296E" w:rsidRPr="00AD296E" w:rsidRDefault="00AD296E" w:rsidP="002A77AB">
      <w:pPr>
        <w:spacing w:line="360" w:lineRule="auto"/>
        <w:jc w:val="both"/>
        <w:rPr>
          <w:rFonts w:ascii="Times New Roman" w:hAnsi="Times New Roman" w:cs="Times New Roman"/>
          <w:sz w:val="24"/>
          <w:szCs w:val="24"/>
        </w:rPr>
      </w:pPr>
    </w:p>
    <w:p w14:paraId="3AD604D7" w14:textId="4236743C" w:rsidR="00624E0B" w:rsidRDefault="00AD296E" w:rsidP="00394F99">
      <w:pPr>
        <w:pStyle w:val="Heading1"/>
        <w:numPr>
          <w:ilvl w:val="0"/>
          <w:numId w:val="2"/>
        </w:numPr>
      </w:pPr>
      <w:bookmarkStart w:id="2" w:name="_Toc159377681"/>
      <w:bookmarkStart w:id="3" w:name="_Toc159377990"/>
      <w:r>
        <w:t>I</w:t>
      </w:r>
      <w:r w:rsidR="00624E0B" w:rsidRPr="002A77AB">
        <w:t>ntroduction:</w:t>
      </w:r>
      <w:bookmarkEnd w:id="2"/>
      <w:bookmarkEnd w:id="3"/>
    </w:p>
    <w:p w14:paraId="0259985A" w14:textId="77777777" w:rsidR="00394F99" w:rsidRPr="00394F99" w:rsidRDefault="00394F99" w:rsidP="00394F99"/>
    <w:p w14:paraId="2844BCAC" w14:textId="3F847E9A" w:rsidR="00624E0B" w:rsidRPr="002A77AB" w:rsidRDefault="00624E0B"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 the dynamic landscape of the hospitality industry, Hyatt Group stands out as a prominent player, boasting a rich portfolio of upscale hotels and resorts. PricewaterhouseCoopers (2023) sheds light on current market trends and industry developments, emphasizing the need for Hyatt to continually assess its organizational structure, culture, and strategic direction to maintain its competitive edge and foster sustainable growth. Through meticulous audits and analyses, Hyatt gains invaluable insights into its strengths and areas for enhancement, enabling swift adaptation to evolving market dynamics and consumer preferences. The company's dedication to innovation and responsible business practices, as highlighted by Smith et al. (2023) in their exploration of "organizational fortitude," underscores its commitment to meeting customer expectations and driving enduring growth.</w:t>
      </w:r>
    </w:p>
    <w:p w14:paraId="50E9AB23" w14:textId="77777777" w:rsidR="00624E0B" w:rsidRPr="002A77AB" w:rsidRDefault="00624E0B" w:rsidP="002A77AB">
      <w:pPr>
        <w:spacing w:line="360" w:lineRule="auto"/>
        <w:jc w:val="both"/>
        <w:rPr>
          <w:rFonts w:ascii="Times New Roman" w:hAnsi="Times New Roman" w:cs="Times New Roman"/>
          <w:b/>
          <w:bCs/>
          <w:sz w:val="24"/>
          <w:szCs w:val="24"/>
        </w:rPr>
      </w:pPr>
    </w:p>
    <w:p w14:paraId="71C25CF6" w14:textId="1F4B39C9" w:rsidR="00394F99" w:rsidRPr="00394F99" w:rsidRDefault="006F060A" w:rsidP="00394F99">
      <w:pPr>
        <w:pStyle w:val="Heading1"/>
        <w:numPr>
          <w:ilvl w:val="0"/>
          <w:numId w:val="2"/>
        </w:numPr>
      </w:pPr>
      <w:bookmarkStart w:id="4" w:name="_Toc159377682"/>
      <w:bookmarkStart w:id="5" w:name="_Toc159377991"/>
      <w:r w:rsidRPr="002A77AB">
        <w:lastRenderedPageBreak/>
        <w:t>Organizational Structure, Culture, and Goals:</w:t>
      </w:r>
      <w:bookmarkEnd w:id="4"/>
      <w:bookmarkEnd w:id="5"/>
    </w:p>
    <w:p w14:paraId="148660A8" w14:textId="77777777" w:rsidR="006F060A" w:rsidRPr="002A77AB" w:rsidRDefault="006F060A" w:rsidP="006B3384">
      <w:pPr>
        <w:pStyle w:val="Heading2"/>
      </w:pPr>
      <w:bookmarkStart w:id="6" w:name="_Toc159377683"/>
      <w:bookmarkStart w:id="7" w:name="_Toc159377992"/>
      <w:r w:rsidRPr="002A77AB">
        <w:t>2.1 Structure:</w:t>
      </w:r>
      <w:bookmarkEnd w:id="6"/>
      <w:bookmarkEnd w:id="7"/>
    </w:p>
    <w:p w14:paraId="0236CE26" w14:textId="77777777" w:rsidR="006F060A" w:rsidRPr="002A77AB" w:rsidRDefault="006F060A"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Hotels Corporation's annual report for 2023 highlights the company's journey towards achieving global success through decentralization (Hyatt Hotels Corporation, 2024). Hyatt's organizational structure strikes a balance between centralized control and decentralized decision-making. Operating a vast network of hotels and resorts globally, each property has its management team overseeing day-to-day operations. Yet, overarching corporate standards and policies ensure consistency and brand integrity.</w:t>
      </w:r>
    </w:p>
    <w:p w14:paraId="0B8F355D" w14:textId="77777777" w:rsidR="006F060A" w:rsidRPr="002A77AB" w:rsidRDefault="006F060A" w:rsidP="002A77AB">
      <w:pPr>
        <w:spacing w:line="360" w:lineRule="auto"/>
        <w:jc w:val="both"/>
        <w:rPr>
          <w:rFonts w:ascii="Times New Roman" w:hAnsi="Times New Roman" w:cs="Times New Roman"/>
          <w:sz w:val="24"/>
          <w:szCs w:val="24"/>
        </w:rPr>
      </w:pPr>
    </w:p>
    <w:p w14:paraId="0FFEF50D" w14:textId="77777777" w:rsidR="006F060A" w:rsidRPr="002A77AB" w:rsidRDefault="006F060A"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For instance, Hyatt boasts a diverse brand portfolio targeting various market segments, from luxury to budget-conscious </w:t>
      </w:r>
      <w:proofErr w:type="spellStart"/>
      <w:r w:rsidRPr="002A77AB">
        <w:rPr>
          <w:rFonts w:ascii="Times New Roman" w:hAnsi="Times New Roman" w:cs="Times New Roman"/>
          <w:sz w:val="24"/>
          <w:szCs w:val="24"/>
        </w:rPr>
        <w:t>travelers</w:t>
      </w:r>
      <w:proofErr w:type="spellEnd"/>
      <w:r w:rsidRPr="002A77AB">
        <w:rPr>
          <w:rFonts w:ascii="Times New Roman" w:hAnsi="Times New Roman" w:cs="Times New Roman"/>
          <w:sz w:val="24"/>
          <w:szCs w:val="24"/>
        </w:rPr>
        <w:t>. Each brand may adopt a distinct organizational structure tailored to its clientele and services. A luxury brand like Park Hyatt might implement a more centralized structure with rigorous quality control, while a budget-friendly brand like Hyatt Place may opt for decentralization, empowering local teams for operational decisions (Hollander, 2022).</w:t>
      </w:r>
    </w:p>
    <w:p w14:paraId="430BAA09" w14:textId="77777777" w:rsidR="006F060A" w:rsidRPr="002A77AB" w:rsidRDefault="006F060A" w:rsidP="002A77AB">
      <w:pPr>
        <w:spacing w:line="360" w:lineRule="auto"/>
        <w:jc w:val="both"/>
        <w:rPr>
          <w:rFonts w:ascii="Times New Roman" w:hAnsi="Times New Roman" w:cs="Times New Roman"/>
          <w:sz w:val="24"/>
          <w:szCs w:val="24"/>
        </w:rPr>
      </w:pPr>
    </w:p>
    <w:p w14:paraId="31870050" w14:textId="77777777" w:rsidR="006F060A" w:rsidRPr="002A77AB" w:rsidRDefault="006F060A"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This decentralized approach enables properties to swiftly adapt to local market dynamics and guest preferences. For instance, a Hyatt Regency in a bustling urban hub may employ a dynamic structure to respond promptly to changing guest demographics or competitive landscapes (Booking.com, 2024). Conversely, a resort property in a leisure destination may adopt a more flexible approach to enhance the vacation experience (</w:t>
      </w:r>
      <w:proofErr w:type="spellStart"/>
      <w:r w:rsidRPr="002A77AB">
        <w:rPr>
          <w:rFonts w:ascii="Times New Roman" w:hAnsi="Times New Roman" w:cs="Times New Roman"/>
          <w:sz w:val="24"/>
          <w:szCs w:val="24"/>
        </w:rPr>
        <w:t>Tripadvisor</w:t>
      </w:r>
      <w:proofErr w:type="spellEnd"/>
      <w:r w:rsidRPr="002A77AB">
        <w:rPr>
          <w:rFonts w:ascii="Times New Roman" w:hAnsi="Times New Roman" w:cs="Times New Roman"/>
          <w:sz w:val="24"/>
          <w:szCs w:val="24"/>
        </w:rPr>
        <w:t>, 2024).</w:t>
      </w:r>
    </w:p>
    <w:p w14:paraId="2323C18D" w14:textId="77777777" w:rsidR="006F060A" w:rsidRPr="002A77AB" w:rsidRDefault="006F060A" w:rsidP="002A77AB">
      <w:pPr>
        <w:spacing w:line="360" w:lineRule="auto"/>
        <w:jc w:val="both"/>
        <w:rPr>
          <w:rFonts w:ascii="Times New Roman" w:hAnsi="Times New Roman" w:cs="Times New Roman"/>
          <w:sz w:val="24"/>
          <w:szCs w:val="24"/>
        </w:rPr>
      </w:pPr>
    </w:p>
    <w:p w14:paraId="2DC4F273" w14:textId="77777777" w:rsidR="006F060A" w:rsidRPr="002A77AB" w:rsidRDefault="006F060A"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However, decentralized structures pose challenges in coordination and communication. Ensuring alignment with corporate objectives and standards amidst autonomy requires meticulous effort. Implementing company-wide initiatives may necessitate extensive coordination and communication to maintain consistency (Tsybulko, n.d.). Despite challenges, Hyatt's decentralized structure fosters innovation and agility at the unit level. Empowering local teams to make strategic decisions based on market knowledge enhances guest satisfaction and maintains competitiveness.</w:t>
      </w:r>
    </w:p>
    <w:p w14:paraId="7795F067" w14:textId="77777777" w:rsidR="006F060A" w:rsidRPr="002A77AB" w:rsidRDefault="006F060A" w:rsidP="002A77AB">
      <w:pPr>
        <w:spacing w:line="360" w:lineRule="auto"/>
        <w:jc w:val="both"/>
        <w:rPr>
          <w:rFonts w:ascii="Times New Roman" w:hAnsi="Times New Roman" w:cs="Times New Roman"/>
          <w:sz w:val="24"/>
          <w:szCs w:val="24"/>
        </w:rPr>
      </w:pPr>
    </w:p>
    <w:p w14:paraId="1CFB2764" w14:textId="4F51C088" w:rsidR="00FD0B4C" w:rsidRPr="00E63168" w:rsidRDefault="00FD0B4C" w:rsidP="006B3384">
      <w:pPr>
        <w:pStyle w:val="Heading2"/>
      </w:pPr>
      <w:bookmarkStart w:id="8" w:name="_Toc159377684"/>
      <w:bookmarkStart w:id="9" w:name="_Toc159377993"/>
      <w:r w:rsidRPr="00E63168">
        <w:lastRenderedPageBreak/>
        <w:t>2.2 Culture:</w:t>
      </w:r>
      <w:bookmarkEnd w:id="8"/>
      <w:bookmarkEnd w:id="9"/>
    </w:p>
    <w:p w14:paraId="6A22E002"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Hyatt's organizational culture, epitomized by its core values and impactful practices, is extensively detailed on their official website (Hyatt, 2024).</w:t>
      </w:r>
    </w:p>
    <w:p w14:paraId="56F8A985" w14:textId="77777777" w:rsidR="00FD0B4C" w:rsidRPr="002A77AB" w:rsidRDefault="00FD0B4C" w:rsidP="002A77AB">
      <w:pPr>
        <w:spacing w:line="360" w:lineRule="auto"/>
        <w:jc w:val="both"/>
        <w:rPr>
          <w:rFonts w:ascii="Times New Roman" w:hAnsi="Times New Roman" w:cs="Times New Roman"/>
          <w:sz w:val="24"/>
          <w:szCs w:val="24"/>
        </w:rPr>
      </w:pPr>
    </w:p>
    <w:p w14:paraId="48CCC7C8" w14:textId="51292126" w:rsidR="00FD0B4C" w:rsidRPr="006A733A" w:rsidRDefault="00FD0B4C" w:rsidP="002A77AB">
      <w:pPr>
        <w:spacing w:line="360" w:lineRule="auto"/>
        <w:jc w:val="both"/>
        <w:rPr>
          <w:rFonts w:ascii="Times New Roman" w:hAnsi="Times New Roman" w:cs="Times New Roman"/>
          <w:sz w:val="24"/>
          <w:szCs w:val="24"/>
        </w:rPr>
      </w:pPr>
      <w:r w:rsidRPr="006A733A">
        <w:rPr>
          <w:rFonts w:ascii="Times New Roman" w:hAnsi="Times New Roman" w:cs="Times New Roman"/>
          <w:sz w:val="24"/>
          <w:szCs w:val="24"/>
        </w:rPr>
        <w:t>Excellence in Customer Service:</w:t>
      </w:r>
    </w:p>
    <w:p w14:paraId="73191613"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prioritizes exceptional guest experiences through comprehensive training programs.</w:t>
      </w:r>
    </w:p>
    <w:p w14:paraId="2470CF9D" w14:textId="77777777" w:rsidR="00FD0B4C"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company fosters a customer-centric mindset among employees, evident in the "Guest Satisfaction Index."</w:t>
      </w:r>
    </w:p>
    <w:p w14:paraId="68B5C1E5" w14:textId="77777777" w:rsidR="006A733A" w:rsidRPr="002A77AB" w:rsidRDefault="006A733A" w:rsidP="002A77AB">
      <w:pPr>
        <w:spacing w:line="360" w:lineRule="auto"/>
        <w:jc w:val="both"/>
        <w:rPr>
          <w:rFonts w:ascii="Times New Roman" w:hAnsi="Times New Roman" w:cs="Times New Roman"/>
          <w:sz w:val="24"/>
          <w:szCs w:val="24"/>
        </w:rPr>
      </w:pPr>
    </w:p>
    <w:p w14:paraId="31E2E2E1" w14:textId="412A81F5"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Employee Empowerment:</w:t>
      </w:r>
    </w:p>
    <w:p w14:paraId="68269CBD"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cultivates a culture of trust, respect, and collaboration, empowering employees to take ownership of their roles.</w:t>
      </w:r>
    </w:p>
    <w:p w14:paraId="2C57F80C"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company champions a supportive work environment where employees are encouraged to voice their ideas and concerns.</w:t>
      </w:r>
    </w:p>
    <w:p w14:paraId="45D3A1BA"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(ADVANCING OUR PURPOSE OF CARE: Diversity, Equity and Inclusion at Hyatt 2021 Report, 2021) offers valuable insights into Hyatt's dedication to diversity, equity, and inclusion initiatives.</w:t>
      </w:r>
    </w:p>
    <w:p w14:paraId="62F02D57" w14:textId="77777777" w:rsidR="00FD0B4C" w:rsidRPr="002A77AB" w:rsidRDefault="00FD0B4C" w:rsidP="002A77AB">
      <w:pPr>
        <w:spacing w:line="360" w:lineRule="auto"/>
        <w:jc w:val="both"/>
        <w:rPr>
          <w:rFonts w:ascii="Times New Roman" w:hAnsi="Times New Roman" w:cs="Times New Roman"/>
          <w:sz w:val="24"/>
          <w:szCs w:val="24"/>
        </w:rPr>
      </w:pPr>
    </w:p>
    <w:p w14:paraId="33085B77"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fosters diversity and inclusion in the workplace, reflecting the communities it serves.</w:t>
      </w:r>
    </w:p>
    <w:p w14:paraId="62A9BD8B"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company's "Diversity and Inclusion Council" drives initiatives to promote diversity.</w:t>
      </w:r>
    </w:p>
    <w:p w14:paraId="24D96B1E"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Initiatives such as the "Hyatt </w:t>
      </w:r>
      <w:proofErr w:type="spellStart"/>
      <w:r w:rsidRPr="002A77AB">
        <w:rPr>
          <w:rFonts w:ascii="Times New Roman" w:hAnsi="Times New Roman" w:cs="Times New Roman"/>
          <w:sz w:val="24"/>
          <w:szCs w:val="24"/>
        </w:rPr>
        <w:t>Women@Work</w:t>
      </w:r>
      <w:proofErr w:type="spellEnd"/>
      <w:r w:rsidRPr="002A77AB">
        <w:rPr>
          <w:rFonts w:ascii="Times New Roman" w:hAnsi="Times New Roman" w:cs="Times New Roman"/>
          <w:sz w:val="24"/>
          <w:szCs w:val="24"/>
        </w:rPr>
        <w:t>" program and partnerships with local community organizations underscore its commitment to supporting diverse communities.</w:t>
      </w:r>
    </w:p>
    <w:p w14:paraId="43EF2DC6"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Impact on Corporate Social Responsibility and Community Engagement:</w:t>
      </w:r>
    </w:p>
    <w:p w14:paraId="49BBD088" w14:textId="77777777" w:rsidR="00FD0B4C" w:rsidRPr="002A77AB" w:rsidRDefault="00FD0B4C" w:rsidP="002A77AB">
      <w:pPr>
        <w:spacing w:line="360" w:lineRule="auto"/>
        <w:jc w:val="both"/>
        <w:rPr>
          <w:rFonts w:ascii="Times New Roman" w:hAnsi="Times New Roman" w:cs="Times New Roman"/>
          <w:sz w:val="24"/>
          <w:szCs w:val="24"/>
        </w:rPr>
      </w:pPr>
    </w:p>
    <w:p w14:paraId="453BD5CF"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Hyatt's "Hyatt Thrive" sustainability program underscores its dedication to environmental stewardship and corporate citizenship.</w:t>
      </w:r>
    </w:p>
    <w:p w14:paraId="23864F53"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 xml:space="preserve">Through collaborations with local </w:t>
      </w:r>
      <w:proofErr w:type="spellStart"/>
      <w:r w:rsidRPr="002A77AB">
        <w:rPr>
          <w:rFonts w:ascii="Times New Roman" w:hAnsi="Times New Roman" w:cs="Times New Roman"/>
          <w:sz w:val="24"/>
          <w:szCs w:val="24"/>
        </w:rPr>
        <w:t>nonprofit</w:t>
      </w:r>
      <w:proofErr w:type="spellEnd"/>
      <w:r w:rsidRPr="002A77AB">
        <w:rPr>
          <w:rFonts w:ascii="Times New Roman" w:hAnsi="Times New Roman" w:cs="Times New Roman"/>
          <w:sz w:val="24"/>
          <w:szCs w:val="24"/>
        </w:rPr>
        <w:t xml:space="preserve"> organizations and schools, Hyatt supports environmental conservation projects and offers opportunities for employee volunteering and mentorship.</w:t>
      </w:r>
    </w:p>
    <w:p w14:paraId="729DF6EB" w14:textId="77777777" w:rsidR="00FD0B4C" w:rsidRPr="002A77AB" w:rsidRDefault="00FD0B4C" w:rsidP="002A77AB">
      <w:pPr>
        <w:spacing w:line="360" w:lineRule="auto"/>
        <w:jc w:val="both"/>
        <w:rPr>
          <w:rFonts w:ascii="Times New Roman" w:hAnsi="Times New Roman" w:cs="Times New Roman"/>
          <w:b/>
          <w:bCs/>
          <w:sz w:val="24"/>
          <w:szCs w:val="24"/>
        </w:rPr>
      </w:pPr>
    </w:p>
    <w:p w14:paraId="2ADE21DC" w14:textId="42AA84F0" w:rsidR="00793443" w:rsidRPr="002A77AB" w:rsidRDefault="00793443" w:rsidP="006B3384">
      <w:pPr>
        <w:pStyle w:val="Heading2"/>
      </w:pPr>
      <w:bookmarkStart w:id="10" w:name="_Toc159377685"/>
      <w:bookmarkStart w:id="11" w:name="_Toc159377994"/>
      <w:r w:rsidRPr="00E63168">
        <w:t>2.3 Goals:</w:t>
      </w:r>
      <w:bookmarkEnd w:id="10"/>
      <w:bookmarkEnd w:id="11"/>
    </w:p>
    <w:p w14:paraId="26C5BA3B"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Hyatt Hotels Corporation's mission statement, vision, and core values for 2023 are outlined in "Mission Statement, Vision, &amp; Core Values (2023) of Hyatt Hotels Corporation (H)" (The4, n.d.).</w:t>
      </w:r>
    </w:p>
    <w:p w14:paraId="0A8643F3" w14:textId="77777777" w:rsidR="00793443" w:rsidRPr="002A77AB" w:rsidRDefault="00793443" w:rsidP="002A77AB">
      <w:pPr>
        <w:spacing w:line="360" w:lineRule="auto"/>
        <w:jc w:val="both"/>
        <w:rPr>
          <w:rFonts w:ascii="Times New Roman" w:hAnsi="Times New Roman" w:cs="Times New Roman"/>
          <w:sz w:val="24"/>
          <w:szCs w:val="24"/>
        </w:rPr>
      </w:pPr>
    </w:p>
    <w:p w14:paraId="289DC5DA" w14:textId="798AD063"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Exceptional Guest Experiences:</w:t>
      </w:r>
    </w:p>
    <w:p w14:paraId="47BC0DCB"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invests in innovative amenities, personalized services, and memorable experiences.</w:t>
      </w:r>
    </w:p>
    <w:p w14:paraId="1469F72C"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"Hyatt Gold Passport" loyalty program offers exclusive benefits to guests.</w:t>
      </w:r>
    </w:p>
    <w:p w14:paraId="403BFEF8"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Emphasizes design excellence and architectural innovation for unique guest experiences.</w:t>
      </w:r>
    </w:p>
    <w:p w14:paraId="58B13B78"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Sustainable Growth and Profitability:</w:t>
      </w:r>
    </w:p>
    <w:p w14:paraId="22436075" w14:textId="77777777" w:rsidR="00793443" w:rsidRPr="002A77AB" w:rsidRDefault="00793443" w:rsidP="002A77AB">
      <w:pPr>
        <w:spacing w:line="360" w:lineRule="auto"/>
        <w:jc w:val="both"/>
        <w:rPr>
          <w:rFonts w:ascii="Times New Roman" w:hAnsi="Times New Roman" w:cs="Times New Roman"/>
          <w:sz w:val="24"/>
          <w:szCs w:val="24"/>
        </w:rPr>
      </w:pPr>
    </w:p>
    <w:p w14:paraId="0DD837A2"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balances growth with sustainability.</w:t>
      </w:r>
    </w:p>
    <w:p w14:paraId="3ADAEE23"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company's "2025 Environmental Sustainability Goals" aim to reduce greenhouse gas emissions, water consumption, and waste generation.</w:t>
      </w:r>
    </w:p>
    <w:p w14:paraId="3F5BE4AB" w14:textId="6FB951DB" w:rsidR="00477BB4"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Investments in renewable energy, energy-efficient technologies, and waste reduction initiatives are made.</w:t>
      </w:r>
    </w:p>
    <w:p w14:paraId="3BB6038B" w14:textId="77777777" w:rsidR="00477BB4" w:rsidRPr="002A77AB" w:rsidRDefault="00477BB4" w:rsidP="002A77AB">
      <w:pPr>
        <w:spacing w:line="360" w:lineRule="auto"/>
        <w:jc w:val="both"/>
        <w:rPr>
          <w:rFonts w:ascii="Times New Roman" w:hAnsi="Times New Roman" w:cs="Times New Roman"/>
          <w:sz w:val="24"/>
          <w:szCs w:val="24"/>
        </w:rPr>
      </w:pPr>
    </w:p>
    <w:p w14:paraId="06227A54"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Market Expansion and Brand Diversification:</w:t>
      </w:r>
    </w:p>
    <w:p w14:paraId="7DFD80B8"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expands its presence in key markets and diversifies its brand portfolio.</w:t>
      </w:r>
    </w:p>
    <w:p w14:paraId="6B8321E9" w14:textId="25B931F6" w:rsidR="00477BB4"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Strategic acquisitions and partnerships enable entry into emerging markets and target new customer segments.</w:t>
      </w:r>
    </w:p>
    <w:p w14:paraId="3E5E17EB" w14:textId="5BEC25C9"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Embracing Emerging Trends:</w:t>
      </w:r>
    </w:p>
    <w:p w14:paraId="3AC879F6"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remains agile and responsive to emerging trends in the hospitality industry.</w:t>
      </w:r>
    </w:p>
    <w:p w14:paraId="37FB9D99"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Strategic investments in wellness-focused amenities cater to the growing demand for holistic travel experiences.</w:t>
      </w:r>
    </w:p>
    <w:p w14:paraId="4AD9B825"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"Hyatt Wellbeing Experience" at select properties promotes relaxation, rejuvenation, and overall well-being.</w:t>
      </w:r>
    </w:p>
    <w:p w14:paraId="3116986C" w14:textId="1D7A3ACF" w:rsidR="00FD0B4C"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The comprehensive overview of Hyatt Hotels Corporation provided by </w:t>
      </w:r>
      <w:proofErr w:type="spellStart"/>
      <w:r w:rsidRPr="002A77AB">
        <w:rPr>
          <w:rFonts w:ascii="Times New Roman" w:hAnsi="Times New Roman" w:cs="Times New Roman"/>
          <w:sz w:val="24"/>
          <w:szCs w:val="24"/>
        </w:rPr>
        <w:t>NomadTreneur</w:t>
      </w:r>
      <w:proofErr w:type="spellEnd"/>
      <w:r w:rsidRPr="002A77AB">
        <w:rPr>
          <w:rFonts w:ascii="Times New Roman" w:hAnsi="Times New Roman" w:cs="Times New Roman"/>
          <w:sz w:val="24"/>
          <w:szCs w:val="24"/>
        </w:rPr>
        <w:t xml:space="preserve"> (2023) offers valuable insights into the operations and significance of this hospitality giant.</w:t>
      </w:r>
    </w:p>
    <w:p w14:paraId="63A39566" w14:textId="77777777" w:rsidR="00F8180A" w:rsidRPr="002A77AB" w:rsidRDefault="00F8180A" w:rsidP="002A77AB">
      <w:pPr>
        <w:spacing w:line="360" w:lineRule="auto"/>
        <w:jc w:val="both"/>
        <w:rPr>
          <w:rFonts w:ascii="Times New Roman" w:hAnsi="Times New Roman" w:cs="Times New Roman"/>
          <w:sz w:val="24"/>
          <w:szCs w:val="24"/>
        </w:rPr>
      </w:pPr>
    </w:p>
    <w:p w14:paraId="01EC792E" w14:textId="77777777" w:rsidR="0012016A" w:rsidRPr="00E63168" w:rsidRDefault="0012016A" w:rsidP="006B3384">
      <w:pPr>
        <w:pStyle w:val="Heading1"/>
      </w:pPr>
      <w:bookmarkStart w:id="12" w:name="_Toc159377686"/>
      <w:bookmarkStart w:id="13" w:name="_Toc159377995"/>
      <w:r w:rsidRPr="00E63168">
        <w:t>3. Recent Change Initiatives and Their Impact:</w:t>
      </w:r>
      <w:bookmarkEnd w:id="12"/>
      <w:bookmarkEnd w:id="13"/>
    </w:p>
    <w:p w14:paraId="4C3BC169" w14:textId="77777777" w:rsidR="00056178" w:rsidRPr="002A77AB" w:rsidRDefault="00056178" w:rsidP="002A77AB">
      <w:pPr>
        <w:spacing w:line="360" w:lineRule="auto"/>
        <w:jc w:val="both"/>
        <w:rPr>
          <w:rFonts w:ascii="Times New Roman" w:hAnsi="Times New Roman" w:cs="Times New Roman"/>
          <w:b/>
          <w:bCs/>
          <w:color w:val="4472C4" w:themeColor="accent1"/>
          <w:sz w:val="24"/>
          <w:szCs w:val="24"/>
        </w:rPr>
      </w:pPr>
    </w:p>
    <w:p w14:paraId="113CAA5F" w14:textId="5BABB5AC" w:rsidR="00491E74" w:rsidRPr="00E63168" w:rsidRDefault="00491E74" w:rsidP="006B3384">
      <w:pPr>
        <w:pStyle w:val="Heading2"/>
      </w:pPr>
      <w:bookmarkStart w:id="14" w:name="_Toc159377687"/>
      <w:bookmarkStart w:id="15" w:name="_Toc159377996"/>
      <w:r w:rsidRPr="00E63168">
        <w:t>3.1 Change Initiatives:</w:t>
      </w:r>
      <w:bookmarkEnd w:id="14"/>
      <w:bookmarkEnd w:id="15"/>
    </w:p>
    <w:p w14:paraId="5F60C072"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The initiatives led by Egan, M. and </w:t>
      </w:r>
      <w:proofErr w:type="spellStart"/>
      <w:r w:rsidRPr="002A77AB">
        <w:rPr>
          <w:rFonts w:ascii="Times New Roman" w:hAnsi="Times New Roman" w:cs="Times New Roman"/>
          <w:sz w:val="24"/>
          <w:szCs w:val="24"/>
        </w:rPr>
        <w:t>Hoplamazian</w:t>
      </w:r>
      <w:proofErr w:type="spellEnd"/>
      <w:r w:rsidRPr="002A77AB">
        <w:rPr>
          <w:rFonts w:ascii="Times New Roman" w:hAnsi="Times New Roman" w:cs="Times New Roman"/>
          <w:sz w:val="24"/>
          <w:szCs w:val="24"/>
        </w:rPr>
        <w:t>, M. (2021), Executive Vice President and General Counsel President, Chief Executive Officer and Co-Chair of the Global DE&amp;I Council at Hyatt, are detailed in their report.</w:t>
      </w:r>
    </w:p>
    <w:p w14:paraId="1DC3CFA0" w14:textId="77777777" w:rsidR="00491E74" w:rsidRPr="002A77AB" w:rsidRDefault="00491E74" w:rsidP="002A77AB">
      <w:pPr>
        <w:spacing w:line="360" w:lineRule="auto"/>
        <w:jc w:val="both"/>
        <w:rPr>
          <w:rFonts w:ascii="Times New Roman" w:hAnsi="Times New Roman" w:cs="Times New Roman"/>
          <w:sz w:val="24"/>
          <w:szCs w:val="24"/>
        </w:rPr>
      </w:pPr>
    </w:p>
    <w:p w14:paraId="4A2DD4AD" w14:textId="111509AF"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Digital Transformation:</w:t>
      </w:r>
    </w:p>
    <w:p w14:paraId="5B44C78A"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Invested in digital transformation to enhance guest engagement and streamline operations (Goldman, n.d.).</w:t>
      </w:r>
    </w:p>
    <w:p w14:paraId="78A7D90A" w14:textId="77777777" w:rsidR="00491E74"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Introduced the "Hyatt Mobile App" for direct booking, check-in/out, and hotel services access (Hyatt Newsroom, 2023).</w:t>
      </w:r>
    </w:p>
    <w:p w14:paraId="6ABA49AA" w14:textId="77777777" w:rsidR="00056178" w:rsidRPr="002A77AB" w:rsidRDefault="00056178" w:rsidP="002A77AB">
      <w:pPr>
        <w:spacing w:line="360" w:lineRule="auto"/>
        <w:jc w:val="both"/>
        <w:rPr>
          <w:rFonts w:ascii="Times New Roman" w:hAnsi="Times New Roman" w:cs="Times New Roman"/>
          <w:sz w:val="24"/>
          <w:szCs w:val="24"/>
        </w:rPr>
      </w:pPr>
    </w:p>
    <w:p w14:paraId="21698899" w14:textId="6CAD26E3"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Sustainability Initiatives:</w:t>
      </w:r>
    </w:p>
    <w:p w14:paraId="68AA22C2"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Implemented energy-saving measures and waste-reduction strategies (News, E.S.G., 2023).</w:t>
      </w:r>
    </w:p>
    <w:p w14:paraId="620449C3"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Adopted composting programs and single-use plastic bans (Hyatt, n.d.).</w:t>
      </w:r>
    </w:p>
    <w:p w14:paraId="598E9D26"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Employee Training and Development:</w:t>
      </w:r>
    </w:p>
    <w:p w14:paraId="4F2F9671" w14:textId="77777777" w:rsidR="00491E74" w:rsidRPr="002A77AB" w:rsidRDefault="00491E74" w:rsidP="002A77AB">
      <w:pPr>
        <w:spacing w:line="360" w:lineRule="auto"/>
        <w:jc w:val="both"/>
        <w:rPr>
          <w:rFonts w:ascii="Times New Roman" w:hAnsi="Times New Roman" w:cs="Times New Roman"/>
          <w:sz w:val="24"/>
          <w:szCs w:val="24"/>
        </w:rPr>
      </w:pPr>
    </w:p>
    <w:p w14:paraId="6FAB4C82"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Launched comprehensive training programs on customer service excellence, diversity and inclusion, and leadership development (PricewaterhouseCoopers, 2023).</w:t>
      </w:r>
    </w:p>
    <w:p w14:paraId="19A300CE" w14:textId="77777777" w:rsidR="00491E74"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Provided career advancement opportunities through the "Hyatt University" platform (ADVANCING OUR PURPOSE OF CARE: Diversity, Equity and Inclusion at Hyatt 2021 Report, 2021).</w:t>
      </w:r>
    </w:p>
    <w:p w14:paraId="3E45A080" w14:textId="77777777" w:rsidR="00BD2A90" w:rsidRPr="002A77AB" w:rsidRDefault="00BD2A90" w:rsidP="002A77AB">
      <w:pPr>
        <w:spacing w:line="360" w:lineRule="auto"/>
        <w:jc w:val="both"/>
        <w:rPr>
          <w:rFonts w:ascii="Times New Roman" w:hAnsi="Times New Roman" w:cs="Times New Roman"/>
          <w:sz w:val="24"/>
          <w:szCs w:val="24"/>
        </w:rPr>
      </w:pPr>
    </w:p>
    <w:p w14:paraId="69321D21" w14:textId="48532AE9"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Brand Refresh and Revitalization:</w:t>
      </w:r>
    </w:p>
    <w:p w14:paraId="42946D67"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Undertook extensive renovations and refurbishments to modernize hotels and resorts (Hospitality ON, 2023).</w:t>
      </w:r>
    </w:p>
    <w:p w14:paraId="5335F045" w14:textId="77777777" w:rsidR="00491E74"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Introduced new brand concepts and partnerships to cater to niche market segments (Hyatt Hotels Corporation, 2024).</w:t>
      </w:r>
    </w:p>
    <w:p w14:paraId="190A8746" w14:textId="77777777" w:rsidR="00BD2A90" w:rsidRPr="002A77AB" w:rsidRDefault="00BD2A90" w:rsidP="002A77AB">
      <w:pPr>
        <w:spacing w:line="360" w:lineRule="auto"/>
        <w:jc w:val="both"/>
        <w:rPr>
          <w:rFonts w:ascii="Times New Roman" w:hAnsi="Times New Roman" w:cs="Times New Roman"/>
          <w:sz w:val="24"/>
          <w:szCs w:val="24"/>
        </w:rPr>
      </w:pPr>
    </w:p>
    <w:p w14:paraId="19DB4640" w14:textId="3D0EFC4F"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COVID-19 Response and Recovery Efforts:</w:t>
      </w:r>
    </w:p>
    <w:p w14:paraId="5C807EB0" w14:textId="08A42566" w:rsidR="007B4A3E"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Implemented enhanced health and safety protocols, </w:t>
      </w:r>
      <w:r w:rsidR="007A4C1E" w:rsidRPr="002A77AB">
        <w:rPr>
          <w:rFonts w:ascii="Times New Roman" w:hAnsi="Times New Roman" w:cs="Times New Roman"/>
          <w:sz w:val="24"/>
          <w:szCs w:val="24"/>
        </w:rPr>
        <w:t xml:space="preserve">and </w:t>
      </w:r>
      <w:r w:rsidRPr="002A77AB">
        <w:rPr>
          <w:rFonts w:ascii="Times New Roman" w:hAnsi="Times New Roman" w:cs="Times New Roman"/>
          <w:sz w:val="24"/>
          <w:szCs w:val="24"/>
        </w:rPr>
        <w:t>relief efforts, and adapted business model to meet changing customer needs (Staff, L., 2023).</w:t>
      </w:r>
    </w:p>
    <w:p w14:paraId="3A987A90" w14:textId="77777777" w:rsidR="005D6657" w:rsidRDefault="005D6657" w:rsidP="002A77AB">
      <w:pPr>
        <w:spacing w:line="360" w:lineRule="auto"/>
        <w:jc w:val="both"/>
        <w:rPr>
          <w:rFonts w:ascii="Times New Roman" w:hAnsi="Times New Roman" w:cs="Times New Roman"/>
          <w:sz w:val="24"/>
          <w:szCs w:val="24"/>
        </w:rPr>
      </w:pPr>
    </w:p>
    <w:p w14:paraId="5758493E" w14:textId="77777777" w:rsidR="00FF0E9E" w:rsidRPr="002A77AB" w:rsidRDefault="00FF0E9E" w:rsidP="002A77AB">
      <w:pPr>
        <w:spacing w:line="360" w:lineRule="auto"/>
        <w:jc w:val="both"/>
        <w:rPr>
          <w:rFonts w:ascii="Times New Roman" w:hAnsi="Times New Roman" w:cs="Times New Roman"/>
          <w:sz w:val="24"/>
          <w:szCs w:val="24"/>
        </w:rPr>
      </w:pPr>
    </w:p>
    <w:p w14:paraId="743BEB95" w14:textId="5792AEA1" w:rsidR="00796442" w:rsidRPr="00E63168" w:rsidRDefault="00B2429A" w:rsidP="006B3384">
      <w:pPr>
        <w:pStyle w:val="Heading2"/>
      </w:pPr>
      <w:bookmarkStart w:id="16" w:name="_Toc159377688"/>
      <w:bookmarkStart w:id="17" w:name="_Toc159377997"/>
      <w:r w:rsidRPr="00E63168">
        <w:t>3</w:t>
      </w:r>
      <w:r w:rsidR="00796442" w:rsidRPr="00E63168">
        <w:t>.2 Impact:</w:t>
      </w:r>
      <w:bookmarkEnd w:id="16"/>
      <w:bookmarkEnd w:id="17"/>
    </w:p>
    <w:p w14:paraId="39C9A95E" w14:textId="77777777"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Hyatt's initiative "Change Starts Here" on diversity, equity, and inclusion is highlighted on their official website (Hyatt, 2023). The impact of Hyatt's change initiatives can be seen in several ways, with clear and relevant examples:</w:t>
      </w:r>
    </w:p>
    <w:p w14:paraId="087346E8" w14:textId="77777777" w:rsidR="00796442" w:rsidRPr="002A77AB" w:rsidRDefault="00796442" w:rsidP="002A77AB">
      <w:pPr>
        <w:spacing w:line="360" w:lineRule="auto"/>
        <w:jc w:val="both"/>
        <w:rPr>
          <w:rFonts w:ascii="Times New Roman" w:hAnsi="Times New Roman" w:cs="Times New Roman"/>
          <w:sz w:val="24"/>
          <w:szCs w:val="24"/>
        </w:rPr>
      </w:pPr>
    </w:p>
    <w:p w14:paraId="7C2E4D12" w14:textId="7360F24B"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Implementation of new technologies:</w:t>
      </w:r>
    </w:p>
    <w:p w14:paraId="65B052E0" w14:textId="5017DD59"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A clear example of the impact of the initiative to implement new technologies is the introduction of the Hyatt mobile application, which allows guests to check-in and check-out quickly and access hotel services directly from their smartphones. However, the adoption of this technology faced some challenges from employees and guests, who experienced difficulties in familiarizing themselves with the new platform and adapting to changes in hotel service processes. Goldman (2021) stated the technology innovation behind Hyatt’s pandemic pivot indicates a long-lasting change in the hotel industry.</w:t>
      </w:r>
    </w:p>
    <w:p w14:paraId="1457C7EB" w14:textId="0273E8F4"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Effective change management:</w:t>
      </w:r>
    </w:p>
    <w:p w14:paraId="069D3B9F" w14:textId="77777777"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Faced with employee and guest resistance to new technologies, Hyatt implemented effective change management strategies to ease the transition and ensure proper adoption. For example, the company organized training sessions and meetings to educate employees and guests about the benefits and proper use of new technologies, leading to increased understanding and acceptance. Panel (2023) discusses innovative applications of computer vision in an article for Forbes.</w:t>
      </w:r>
    </w:p>
    <w:p w14:paraId="5904ED8B" w14:textId="77777777" w:rsidR="00796442" w:rsidRPr="002A77AB" w:rsidRDefault="00796442" w:rsidP="002A77AB">
      <w:pPr>
        <w:spacing w:line="360" w:lineRule="auto"/>
        <w:jc w:val="both"/>
        <w:rPr>
          <w:rFonts w:ascii="Times New Roman" w:hAnsi="Times New Roman" w:cs="Times New Roman"/>
          <w:sz w:val="24"/>
          <w:szCs w:val="24"/>
        </w:rPr>
      </w:pPr>
    </w:p>
    <w:p w14:paraId="551FF073" w14:textId="119F270B"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Competitive advantage and market leadership:</w:t>
      </w:r>
    </w:p>
    <w:p w14:paraId="45585B45" w14:textId="77777777"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positive impact of Hyatt's change initiatives can be seen in its consolidation as a market leader and gaining a competitive advantage in the hospitality industry. For example, the company's strategic investments in innovation and customer-centricity have led to increased customer satisfaction and loyalty, solidifying its reputation as a preferred destination for travellers. These initiatives have also helped to increase Hyatt's revenue and market share, cementing its position as an industry leader. Staff (2023) reports on Hyatt's DE&amp;I initiatives and ESG advancements in an article for LODGING Magazine.</w:t>
      </w:r>
    </w:p>
    <w:p w14:paraId="69B24AB1" w14:textId="77777777" w:rsidR="00796442" w:rsidRPr="002A77AB" w:rsidRDefault="00796442" w:rsidP="002A77AB">
      <w:pPr>
        <w:spacing w:line="360" w:lineRule="auto"/>
        <w:jc w:val="both"/>
        <w:rPr>
          <w:rFonts w:ascii="Times New Roman" w:hAnsi="Times New Roman" w:cs="Times New Roman"/>
          <w:sz w:val="24"/>
          <w:szCs w:val="24"/>
        </w:rPr>
      </w:pPr>
    </w:p>
    <w:p w14:paraId="47DFEC15" w14:textId="77777777" w:rsidR="00796442" w:rsidRPr="002A77AB" w:rsidRDefault="00796442" w:rsidP="002A77AB">
      <w:pPr>
        <w:spacing w:line="360" w:lineRule="auto"/>
        <w:jc w:val="both"/>
        <w:rPr>
          <w:rFonts w:ascii="Times New Roman" w:hAnsi="Times New Roman" w:cs="Times New Roman"/>
          <w:sz w:val="24"/>
          <w:szCs w:val="24"/>
        </w:rPr>
      </w:pPr>
    </w:p>
    <w:p w14:paraId="4BE64F05" w14:textId="77777777" w:rsidR="0012016A" w:rsidRPr="00E63168" w:rsidRDefault="0012016A" w:rsidP="006B3384">
      <w:pPr>
        <w:pStyle w:val="Heading1"/>
      </w:pPr>
      <w:bookmarkStart w:id="18" w:name="_Toc159377689"/>
      <w:bookmarkStart w:id="19" w:name="_Toc159377998"/>
      <w:r w:rsidRPr="00E63168">
        <w:t>4. Strategic Direction and Current Business Performance:</w:t>
      </w:r>
      <w:bookmarkEnd w:id="18"/>
      <w:bookmarkEnd w:id="19"/>
    </w:p>
    <w:p w14:paraId="2DAF2C20" w14:textId="77777777" w:rsidR="00BE4560" w:rsidRPr="002A77AB" w:rsidRDefault="00BE4560" w:rsidP="002A77AB">
      <w:pPr>
        <w:spacing w:line="360" w:lineRule="auto"/>
        <w:jc w:val="both"/>
        <w:rPr>
          <w:rFonts w:ascii="Times New Roman" w:hAnsi="Times New Roman" w:cs="Times New Roman"/>
          <w:sz w:val="24"/>
          <w:szCs w:val="24"/>
        </w:rPr>
      </w:pPr>
    </w:p>
    <w:p w14:paraId="69C2EE53" w14:textId="77777777" w:rsidR="006F458C" w:rsidRDefault="00721336" w:rsidP="006B3384">
      <w:pPr>
        <w:pStyle w:val="Heading2"/>
      </w:pPr>
      <w:bookmarkStart w:id="20" w:name="_Toc159377690"/>
      <w:bookmarkStart w:id="21" w:name="_Toc159377999"/>
      <w:r>
        <w:t>4.1</w:t>
      </w:r>
      <w:r w:rsidR="006F458C">
        <w:t xml:space="preserve">. </w:t>
      </w:r>
      <w:r w:rsidR="00E84BF9">
        <w:t>Strategic</w:t>
      </w:r>
      <w:r w:rsidR="00F571D0" w:rsidRPr="002A77AB">
        <w:t xml:space="preserve"> Direction and Current Business Performance:</w:t>
      </w:r>
      <w:bookmarkEnd w:id="20"/>
      <w:bookmarkEnd w:id="21"/>
    </w:p>
    <w:p w14:paraId="566598DE" w14:textId="77777777" w:rsidR="00485560" w:rsidRDefault="00485560" w:rsidP="00A251D6">
      <w:pPr>
        <w:spacing w:line="360" w:lineRule="auto"/>
        <w:jc w:val="both"/>
        <w:rPr>
          <w:rFonts w:ascii="Times New Roman" w:hAnsi="Times New Roman" w:cs="Times New Roman"/>
          <w:sz w:val="24"/>
          <w:szCs w:val="24"/>
        </w:rPr>
      </w:pPr>
    </w:p>
    <w:p w14:paraId="121D0D6A" w14:textId="0F159C84" w:rsidR="00485560" w:rsidRDefault="00485560" w:rsidP="00A251D6">
      <w:pPr>
        <w:spacing w:line="360" w:lineRule="auto"/>
        <w:jc w:val="both"/>
        <w:rPr>
          <w:rFonts w:ascii="Times New Roman" w:hAnsi="Times New Roman" w:cs="Times New Roman"/>
          <w:sz w:val="24"/>
          <w:szCs w:val="24"/>
        </w:rPr>
      </w:pPr>
      <w:r w:rsidRPr="00485560">
        <w:rPr>
          <w:rFonts w:ascii="Times New Roman" w:hAnsi="Times New Roman" w:cs="Times New Roman"/>
          <w:sz w:val="24"/>
          <w:szCs w:val="24"/>
        </w:rPr>
        <w:t>Expansion in Key Markets:</w:t>
      </w:r>
    </w:p>
    <w:p w14:paraId="3E3F7EF4" w14:textId="12A65524" w:rsidR="00F571D0" w:rsidRPr="00A251D6" w:rsidRDefault="00F571D0" w:rsidP="00A251D6">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Hyatt's strategic expansion across the Americas Region aims to strengthen its growth in luxury and lifestyle segments (Hyatt Newsroom, 2023). Notably, the acquisition of Two Roads Hospitality in 2018 played a pivotal role in diversifying Hyatt's brand portfolio, adding lifestyle and boutique hotel brands such as Thompson Hotels and Joie de Vivre (Hyatt Newsroom, 2023). These strategic moves reflect Hyatt's commitment to meeting the diverse needs of </w:t>
      </w:r>
      <w:r w:rsidR="006F458C">
        <w:rPr>
          <w:rFonts w:ascii="Times New Roman" w:hAnsi="Times New Roman" w:cs="Times New Roman"/>
          <w:sz w:val="24"/>
          <w:szCs w:val="24"/>
        </w:rPr>
        <w:t>travellers</w:t>
      </w:r>
      <w:r w:rsidRPr="002A77AB">
        <w:rPr>
          <w:rFonts w:ascii="Times New Roman" w:hAnsi="Times New Roman" w:cs="Times New Roman"/>
          <w:sz w:val="24"/>
          <w:szCs w:val="24"/>
        </w:rPr>
        <w:t xml:space="preserve"> and solidifying its presence in key markets.</w:t>
      </w:r>
      <w:r w:rsidR="00EF5E86">
        <w:rPr>
          <w:rFonts w:ascii="Times New Roman" w:hAnsi="Times New Roman" w:cs="Times New Roman"/>
          <w:sz w:val="24"/>
          <w:szCs w:val="24"/>
        </w:rPr>
        <w:t xml:space="preserve"> </w:t>
      </w:r>
      <w:r w:rsidRPr="002A77AB">
        <w:t>Embracing Emerging Trends:</w:t>
      </w:r>
    </w:p>
    <w:p w14:paraId="65C21F69" w14:textId="63E11577" w:rsidR="00A251D6" w:rsidRDefault="00F571D0" w:rsidP="00EF5E86">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 xml:space="preserve">Hyatt Hotels has demonstrated a proactive approach to embracing sustainability and environmental stewardship, aligning with emerging trends in eco-conscious travel (Hyatt Newsroom, n.d.). Through various eco-friendly practices such as energy-efficient lighting and waste reduction initiatives, Hyatt showcases its dedication to responsible business practices while catering to the evolving preferences of environmentally conscious </w:t>
      </w:r>
      <w:r w:rsidR="00EF5E86">
        <w:rPr>
          <w:rFonts w:ascii="Times New Roman" w:hAnsi="Times New Roman" w:cs="Times New Roman"/>
          <w:sz w:val="24"/>
          <w:szCs w:val="24"/>
        </w:rPr>
        <w:t>travellers</w:t>
      </w:r>
    </w:p>
    <w:p w14:paraId="4A494798" w14:textId="77777777" w:rsidR="00EF5E86" w:rsidRPr="00EF5E86" w:rsidRDefault="00EF5E86" w:rsidP="00EF5E86">
      <w:pPr>
        <w:spacing w:line="360" w:lineRule="auto"/>
        <w:jc w:val="both"/>
        <w:rPr>
          <w:rFonts w:ascii="Times New Roman" w:hAnsi="Times New Roman" w:cs="Times New Roman"/>
          <w:sz w:val="24"/>
          <w:szCs w:val="24"/>
        </w:rPr>
      </w:pPr>
    </w:p>
    <w:p w14:paraId="2AAC8B7B" w14:textId="23BCDBAD" w:rsidR="00394F99" w:rsidRDefault="00394F99" w:rsidP="002A77AB">
      <w:pPr>
        <w:spacing w:line="360" w:lineRule="auto"/>
        <w:jc w:val="both"/>
        <w:rPr>
          <w:rFonts w:ascii="Times New Roman" w:hAnsi="Times New Roman" w:cs="Times New Roman"/>
          <w:sz w:val="24"/>
          <w:szCs w:val="24"/>
        </w:rPr>
      </w:pPr>
      <w:r w:rsidRPr="00394F99">
        <w:rPr>
          <w:rFonts w:ascii="Times New Roman" w:hAnsi="Times New Roman" w:cs="Times New Roman"/>
          <w:sz w:val="24"/>
          <w:szCs w:val="24"/>
        </w:rPr>
        <w:t>Environmental Sustainability and Social Responsibility:</w:t>
      </w:r>
    </w:p>
    <w:p w14:paraId="06A73BE7" w14:textId="63901CC5" w:rsidR="00F571D0" w:rsidRPr="002A77AB" w:rsidRDefault="00F571D0"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Hyatt's environmental and social impact reporting underscores its commitment to transparency and accountability (News, E.S.G., 2023). By disclosing its progress in meeting critical Diversity, Equity, and Inclusion (DE&amp;I) goals and sustaining momentum with key initiatives in 2023, Hyatt showcases its dedication to responsible business practices and social responsibility.</w:t>
      </w:r>
    </w:p>
    <w:p w14:paraId="376DC602" w14:textId="77777777" w:rsidR="00F571D0" w:rsidRPr="002A77AB" w:rsidRDefault="00F571D0" w:rsidP="002A77AB">
      <w:pPr>
        <w:spacing w:line="360" w:lineRule="auto"/>
        <w:jc w:val="both"/>
        <w:rPr>
          <w:rFonts w:ascii="Times New Roman" w:hAnsi="Times New Roman" w:cs="Times New Roman"/>
          <w:sz w:val="24"/>
          <w:szCs w:val="24"/>
        </w:rPr>
      </w:pPr>
    </w:p>
    <w:p w14:paraId="17F1DCA5" w14:textId="391B9A38" w:rsidR="00394F99" w:rsidRPr="00394F99" w:rsidRDefault="00486FBC" w:rsidP="00476DF7">
      <w:pPr>
        <w:pStyle w:val="Heading2"/>
      </w:pPr>
      <w:bookmarkStart w:id="22" w:name="_Toc159377693"/>
      <w:bookmarkStart w:id="23" w:name="_Toc159378000"/>
      <w:r w:rsidRPr="002A77AB">
        <w:t>4.2 Business Performance:</w:t>
      </w:r>
      <w:bookmarkEnd w:id="22"/>
      <w:bookmarkEnd w:id="23"/>
    </w:p>
    <w:p w14:paraId="5BD9BCF6"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Hyatt's Resilience and Adaptability During COVID-19</w:t>
      </w:r>
    </w:p>
    <w:p w14:paraId="4B331DCE" w14:textId="77777777" w:rsidR="00486FBC" w:rsidRPr="002A77AB" w:rsidRDefault="00486FBC" w:rsidP="002A77AB">
      <w:pPr>
        <w:spacing w:line="360" w:lineRule="auto"/>
        <w:jc w:val="both"/>
        <w:rPr>
          <w:rFonts w:ascii="Times New Roman" w:hAnsi="Times New Roman" w:cs="Times New Roman"/>
          <w:sz w:val="24"/>
          <w:szCs w:val="24"/>
        </w:rPr>
      </w:pPr>
    </w:p>
    <w:p w14:paraId="030B4C05"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Health and Safety Protocols:</w:t>
      </w:r>
    </w:p>
    <w:p w14:paraId="637009AC"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(2020) outlines comprehensive care and cleanliness protocols in the EAME/SWA region.</w:t>
      </w:r>
    </w:p>
    <w:p w14:paraId="5C2FEB9E"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Enhanced cleaning protocols and implemented contactless procedures.</w:t>
      </w:r>
    </w:p>
    <w:p w14:paraId="356EFEF7"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Hyatt Global Care &amp; Cleanliness Commitment ensures a safe environment for guests and staff.</w:t>
      </w:r>
    </w:p>
    <w:p w14:paraId="7E381927" w14:textId="77777777" w:rsidR="00486FBC" w:rsidRPr="002A77AB" w:rsidRDefault="00486FBC" w:rsidP="002A77AB">
      <w:pPr>
        <w:spacing w:line="360" w:lineRule="auto"/>
        <w:jc w:val="both"/>
        <w:rPr>
          <w:rFonts w:ascii="Times New Roman" w:hAnsi="Times New Roman" w:cs="Times New Roman"/>
          <w:sz w:val="24"/>
          <w:szCs w:val="24"/>
        </w:rPr>
      </w:pPr>
    </w:p>
    <w:p w14:paraId="4929DBB0"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Flexible Booking Policies:</w:t>
      </w:r>
    </w:p>
    <w:p w14:paraId="65DDC5C7" w14:textId="77777777" w:rsidR="00486FBC" w:rsidRPr="002A77AB" w:rsidRDefault="00486FBC" w:rsidP="002A77AB">
      <w:pPr>
        <w:spacing w:line="360" w:lineRule="auto"/>
        <w:jc w:val="both"/>
        <w:rPr>
          <w:rFonts w:ascii="Times New Roman" w:hAnsi="Times New Roman" w:cs="Times New Roman"/>
          <w:sz w:val="24"/>
          <w:szCs w:val="24"/>
        </w:rPr>
      </w:pPr>
      <w:proofErr w:type="spellStart"/>
      <w:r w:rsidRPr="002A77AB">
        <w:rPr>
          <w:rFonts w:ascii="Times New Roman" w:hAnsi="Times New Roman" w:cs="Times New Roman"/>
          <w:sz w:val="24"/>
          <w:szCs w:val="24"/>
        </w:rPr>
        <w:t>TravelPulse</w:t>
      </w:r>
      <w:proofErr w:type="spellEnd"/>
      <w:r w:rsidRPr="002A77AB">
        <w:rPr>
          <w:rFonts w:ascii="Times New Roman" w:hAnsi="Times New Roman" w:cs="Times New Roman"/>
          <w:sz w:val="24"/>
          <w:szCs w:val="24"/>
        </w:rPr>
        <w:t xml:space="preserve"> (2020) notes Hyatt's extension of flexible cancellation policies.</w:t>
      </w:r>
    </w:p>
    <w:p w14:paraId="07F95124"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Waived change fees and extended booking windows.</w:t>
      </w:r>
    </w:p>
    <w:p w14:paraId="64761760" w14:textId="66AACBFA"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Aimed at reassuring guests and accommodating changing travel plans.</w:t>
      </w:r>
    </w:p>
    <w:p w14:paraId="216BA368"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Innovation in Guest Experience:</w:t>
      </w:r>
    </w:p>
    <w:p w14:paraId="39689BFB"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Hospitality Tech (2020) highlights Hyatt's efforts in reimagining the hotel experience.</w:t>
      </w:r>
    </w:p>
    <w:p w14:paraId="7D34C5CB"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Introduced digital amenities to enhance guest satisfaction.</w:t>
      </w:r>
    </w:p>
    <w:p w14:paraId="6C95063D"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Adapting to evolving consumer preferences.</w:t>
      </w:r>
    </w:p>
    <w:p w14:paraId="2C1D37FD" w14:textId="77777777" w:rsidR="00486FBC" w:rsidRPr="002A77AB" w:rsidRDefault="00486FBC" w:rsidP="002A77AB">
      <w:pPr>
        <w:spacing w:line="360" w:lineRule="auto"/>
        <w:jc w:val="both"/>
        <w:rPr>
          <w:rFonts w:ascii="Times New Roman" w:hAnsi="Times New Roman" w:cs="Times New Roman"/>
          <w:sz w:val="24"/>
          <w:szCs w:val="24"/>
        </w:rPr>
      </w:pPr>
    </w:p>
    <w:p w14:paraId="77F9B90D"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Community Support and Relief Efforts:</w:t>
      </w:r>
    </w:p>
    <w:p w14:paraId="423D2740"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(2021) underscores its commitment to community engagement.</w:t>
      </w:r>
    </w:p>
    <w:p w14:paraId="3F17A215"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Provided support to affected communities and frontline workers.</w:t>
      </w:r>
    </w:p>
    <w:p w14:paraId="08B1E5AF"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Financial assistance to furloughed employees and relief efforts.</w:t>
      </w:r>
    </w:p>
    <w:p w14:paraId="2BC52D30" w14:textId="77777777" w:rsidR="00486FBC" w:rsidRPr="002A77AB" w:rsidRDefault="00486FBC" w:rsidP="002A77AB">
      <w:pPr>
        <w:spacing w:line="360" w:lineRule="auto"/>
        <w:jc w:val="both"/>
        <w:rPr>
          <w:rFonts w:ascii="Times New Roman" w:hAnsi="Times New Roman" w:cs="Times New Roman"/>
          <w:sz w:val="24"/>
          <w:szCs w:val="24"/>
        </w:rPr>
      </w:pPr>
    </w:p>
    <w:p w14:paraId="46635045"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Strategic Investments in Recovery:</w:t>
      </w:r>
    </w:p>
    <w:p w14:paraId="6B0B4BFE"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CNBC (2021) reports Hyatt CEO's vision for industry recovery.</w:t>
      </w:r>
    </w:p>
    <w:p w14:paraId="2B6F42D1"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Investments in property renovations and technology upgrades.</w:t>
      </w:r>
    </w:p>
    <w:p w14:paraId="2089C7BF" w14:textId="666302FF"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Marketing campaigns to stimulate demand and drive recovery.</w:t>
      </w:r>
    </w:p>
    <w:p w14:paraId="35B8E191" w14:textId="77777777" w:rsidR="00E2345F" w:rsidRPr="002A77AB" w:rsidRDefault="00E2345F" w:rsidP="002A77AB">
      <w:pPr>
        <w:spacing w:line="360" w:lineRule="auto"/>
        <w:jc w:val="both"/>
        <w:rPr>
          <w:rFonts w:ascii="Times New Roman" w:hAnsi="Times New Roman" w:cs="Times New Roman"/>
          <w:sz w:val="24"/>
          <w:szCs w:val="24"/>
        </w:rPr>
      </w:pPr>
    </w:p>
    <w:p w14:paraId="77711D02" w14:textId="7F517FC9" w:rsidR="00C92332" w:rsidRPr="00967619" w:rsidRDefault="00E63168" w:rsidP="00EF5E86">
      <w:pPr>
        <w:pStyle w:val="Heading1"/>
      </w:pPr>
      <w:bookmarkStart w:id="24" w:name="_Toc159377694"/>
      <w:bookmarkStart w:id="25" w:name="_Toc159378001"/>
      <w:r>
        <w:t xml:space="preserve">5. </w:t>
      </w:r>
      <w:r w:rsidR="00C92332" w:rsidRPr="00967619">
        <w:t>Recommendations:</w:t>
      </w:r>
      <w:bookmarkEnd w:id="24"/>
      <w:bookmarkEnd w:id="25"/>
    </w:p>
    <w:p w14:paraId="4972CC0A"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Based on the audit and analysis conducted, the following recommendations are proposed for Hyatt to enhance its organizational effectiveness and competitiveness:</w:t>
      </w:r>
    </w:p>
    <w:p w14:paraId="540A6E47" w14:textId="77777777" w:rsidR="00C92332" w:rsidRPr="002A77AB" w:rsidRDefault="00C92332" w:rsidP="002A77AB">
      <w:pPr>
        <w:spacing w:line="360" w:lineRule="auto"/>
        <w:jc w:val="both"/>
        <w:rPr>
          <w:rFonts w:ascii="Times New Roman" w:hAnsi="Times New Roman" w:cs="Times New Roman"/>
          <w:sz w:val="24"/>
          <w:szCs w:val="24"/>
        </w:rPr>
      </w:pPr>
    </w:p>
    <w:p w14:paraId="2F35810C" w14:textId="77777777" w:rsidR="00C92332" w:rsidRPr="002A77AB" w:rsidRDefault="00C92332" w:rsidP="00EF5E86">
      <w:pPr>
        <w:pStyle w:val="Heading2"/>
      </w:pPr>
      <w:bookmarkStart w:id="26" w:name="_Toc159377695"/>
      <w:bookmarkStart w:id="27" w:name="_Toc159378002"/>
      <w:r w:rsidRPr="002A77AB">
        <w:t>5.1 Strengthen Communication and Collaboration:</w:t>
      </w:r>
      <w:bookmarkEnd w:id="26"/>
      <w:bookmarkEnd w:id="27"/>
    </w:p>
    <w:p w14:paraId="32A46860"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Enhance communication channels between corporate headquarters and individual properties to ensure alignment with strategic goals and initiatives (Smith et al., 2023). Foster a culture of collaboration and knowledge sharing to facilitate best practices and innovation across the organization (Hyatt Newsroom, 2023).</w:t>
      </w:r>
    </w:p>
    <w:p w14:paraId="6844FB7F" w14:textId="77777777" w:rsidR="00C92332" w:rsidRPr="002A77AB" w:rsidRDefault="00C92332" w:rsidP="002A77AB">
      <w:pPr>
        <w:spacing w:line="360" w:lineRule="auto"/>
        <w:jc w:val="both"/>
        <w:rPr>
          <w:rFonts w:ascii="Times New Roman" w:hAnsi="Times New Roman" w:cs="Times New Roman"/>
          <w:sz w:val="24"/>
          <w:szCs w:val="24"/>
        </w:rPr>
      </w:pPr>
    </w:p>
    <w:p w14:paraId="3971220F" w14:textId="77777777" w:rsidR="00C92332" w:rsidRPr="002A77AB" w:rsidRDefault="00C92332" w:rsidP="00EF5E86">
      <w:pPr>
        <w:pStyle w:val="Heading2"/>
      </w:pPr>
      <w:bookmarkStart w:id="28" w:name="_Toc159377696"/>
      <w:bookmarkStart w:id="29" w:name="_Toc159378003"/>
      <w:r w:rsidRPr="002A77AB">
        <w:t>5.2 Invest in Employee Development:</w:t>
      </w:r>
      <w:bookmarkEnd w:id="28"/>
      <w:bookmarkEnd w:id="29"/>
    </w:p>
    <w:p w14:paraId="44347B02"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Invest in comprehensive training and development programs to equip employees with the skills and competencies needed to excel in a rapidly evolving hospitality landscape </w:t>
      </w:r>
      <w:r w:rsidRPr="002A77AB">
        <w:rPr>
          <w:rFonts w:ascii="Times New Roman" w:hAnsi="Times New Roman" w:cs="Times New Roman"/>
          <w:sz w:val="24"/>
          <w:szCs w:val="24"/>
        </w:rPr>
        <w:lastRenderedPageBreak/>
        <w:t>(PricewaterhouseCoopers, 2023). Prioritize employee engagement and empowerment to foster a culture of continuous learning and improvement (ADVANCING OUR PURPOSE OF CARE: Diversity, Equity and Inclusion at Hyatt 2021 Report, 2021).</w:t>
      </w:r>
    </w:p>
    <w:p w14:paraId="2C5FC23C" w14:textId="77777777" w:rsidR="00C92332" w:rsidRPr="002A77AB" w:rsidRDefault="00C92332" w:rsidP="002A77AB">
      <w:pPr>
        <w:spacing w:line="360" w:lineRule="auto"/>
        <w:jc w:val="both"/>
        <w:rPr>
          <w:rFonts w:ascii="Times New Roman" w:hAnsi="Times New Roman" w:cs="Times New Roman"/>
          <w:sz w:val="24"/>
          <w:szCs w:val="24"/>
        </w:rPr>
      </w:pPr>
    </w:p>
    <w:p w14:paraId="70AB4EB6" w14:textId="77777777" w:rsidR="00C92332" w:rsidRPr="002A77AB" w:rsidRDefault="00C92332" w:rsidP="00EF5E86">
      <w:pPr>
        <w:pStyle w:val="Heading2"/>
      </w:pPr>
      <w:bookmarkStart w:id="30" w:name="_Toc159377697"/>
      <w:bookmarkStart w:id="31" w:name="_Toc159378004"/>
      <w:r w:rsidRPr="002A77AB">
        <w:t>5.3 Embrace Technological Innovation:</w:t>
      </w:r>
      <w:bookmarkEnd w:id="30"/>
      <w:bookmarkEnd w:id="31"/>
    </w:p>
    <w:p w14:paraId="76F790ED"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Continue to invest in technological innovation and digitalization to enhance operational efficiency, guest satisfaction, and revenue generation (Goldman, n.d.). Prioritize user-friendly solutions that streamline processes and enhance the overall guest experience while minimizing disruptions and complexities (Hospitality Tech, 2020).</w:t>
      </w:r>
    </w:p>
    <w:p w14:paraId="127FDB32" w14:textId="77777777" w:rsidR="00C92332" w:rsidRPr="002A77AB" w:rsidRDefault="00C92332" w:rsidP="002A77AB">
      <w:pPr>
        <w:spacing w:line="360" w:lineRule="auto"/>
        <w:jc w:val="both"/>
        <w:rPr>
          <w:rFonts w:ascii="Times New Roman" w:hAnsi="Times New Roman" w:cs="Times New Roman"/>
          <w:sz w:val="24"/>
          <w:szCs w:val="24"/>
        </w:rPr>
      </w:pPr>
    </w:p>
    <w:p w14:paraId="4E08D3D2" w14:textId="77777777" w:rsidR="00C92332" w:rsidRPr="002A77AB" w:rsidRDefault="00C92332" w:rsidP="00EF5E86">
      <w:pPr>
        <w:pStyle w:val="Heading2"/>
      </w:pPr>
      <w:bookmarkStart w:id="32" w:name="_Toc159377698"/>
      <w:bookmarkStart w:id="33" w:name="_Toc159378005"/>
      <w:r w:rsidRPr="002A77AB">
        <w:t>5.4 Enhance Sustainability Efforts:</w:t>
      </w:r>
      <w:bookmarkEnd w:id="32"/>
      <w:bookmarkEnd w:id="33"/>
    </w:p>
    <w:p w14:paraId="0543212D" w14:textId="43B30425" w:rsidR="0012016A"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Further integrate sustainability principles into core business operations and corporate culture (Hyatt, n.d.). Set ambitious targets for reducing environmental footprint, promoting responsible sourcing, and contributing to local communities (News, E.S.G., 2023). Engage stakeholders at all levels to drive meaningful progress towards sustainability (Hyatt, 2021).</w:t>
      </w:r>
    </w:p>
    <w:p w14:paraId="19AC8296" w14:textId="77777777" w:rsidR="00E84BF9" w:rsidRPr="002A77AB" w:rsidRDefault="00E84BF9" w:rsidP="002A77AB">
      <w:pPr>
        <w:spacing w:line="360" w:lineRule="auto"/>
        <w:jc w:val="both"/>
        <w:rPr>
          <w:rFonts w:ascii="Times New Roman" w:hAnsi="Times New Roman" w:cs="Times New Roman"/>
          <w:sz w:val="24"/>
          <w:szCs w:val="24"/>
        </w:rPr>
      </w:pPr>
    </w:p>
    <w:p w14:paraId="7B5C641B" w14:textId="77777777" w:rsidR="0012016A" w:rsidRPr="009A1197" w:rsidRDefault="0012016A" w:rsidP="00EF5E86">
      <w:pPr>
        <w:pStyle w:val="Heading1"/>
      </w:pPr>
      <w:bookmarkStart w:id="34" w:name="_Toc159377699"/>
      <w:bookmarkStart w:id="35" w:name="_Toc159378006"/>
      <w:r w:rsidRPr="009A1197">
        <w:t>6. Conclusion:</w:t>
      </w:r>
      <w:bookmarkEnd w:id="34"/>
      <w:bookmarkEnd w:id="35"/>
    </w:p>
    <w:p w14:paraId="5641904D" w14:textId="3418CF7D" w:rsidR="005622EA" w:rsidRPr="002A77AB" w:rsidRDefault="008A3B78"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In conclusion, this report provides a detailed insight into the Hyatt Group, highlighting a dynamic </w:t>
      </w:r>
      <w:r w:rsidR="00E84BF9">
        <w:rPr>
          <w:rFonts w:ascii="Times New Roman" w:hAnsi="Times New Roman" w:cs="Times New Roman"/>
          <w:sz w:val="24"/>
          <w:szCs w:val="24"/>
        </w:rPr>
        <w:t>organisation</w:t>
      </w:r>
      <w:r w:rsidRPr="002A77AB">
        <w:rPr>
          <w:rFonts w:ascii="Times New Roman" w:hAnsi="Times New Roman" w:cs="Times New Roman"/>
          <w:sz w:val="24"/>
          <w:szCs w:val="24"/>
        </w:rPr>
        <w:t xml:space="preserve"> committed to excellence, innovation, and sustainability in the global hospitality industry. By leveraging its decentralized structure, fostering a culture of hospitality and inclusivity, and embracing strategic initiatives to adapt to changing market dynamics, Hyatt can position itself for continued success and leadership in the years to come. Through the effective implementation of recommendations and a steadfast commitment to its core values, Hyatt can navigate challenges, capitalize on emerging opportunities, and deliver exceptional value to guests, employees, and shareholders alike. This report offers a comprehensive examination of Hyatt Group's structure, culture, and strategic direction, providing valuable insights and recommendations for organizational improvement. By addressing key challenges and capitalizing on emerging opportunities, Hyatt can enhance its competitiveness and sustain its leadership position in the global hospitality industry.</w:t>
      </w:r>
    </w:p>
    <w:p w14:paraId="1E0DF979" w14:textId="77777777" w:rsidR="009A1197" w:rsidRPr="002A77AB" w:rsidRDefault="009A1197" w:rsidP="002A77AB">
      <w:pPr>
        <w:spacing w:line="360" w:lineRule="auto"/>
        <w:jc w:val="both"/>
        <w:rPr>
          <w:rFonts w:ascii="Times New Roman" w:hAnsi="Times New Roman" w:cs="Times New Roman"/>
          <w:sz w:val="24"/>
          <w:szCs w:val="24"/>
        </w:rPr>
      </w:pPr>
    </w:p>
    <w:p w14:paraId="59DB5098" w14:textId="18025E94" w:rsidR="00804E52" w:rsidRPr="00EA54FB" w:rsidRDefault="009A1197" w:rsidP="00EF5E86">
      <w:pPr>
        <w:pStyle w:val="Heading1"/>
      </w:pPr>
      <w:bookmarkStart w:id="36" w:name="_Toc159377700"/>
      <w:bookmarkStart w:id="37" w:name="_Toc159378007"/>
      <w:r w:rsidRPr="00EA54FB">
        <w:lastRenderedPageBreak/>
        <w:t>7.</w:t>
      </w:r>
      <w:r w:rsidR="00F31C04" w:rsidRPr="00EA54FB">
        <w:t xml:space="preserve"> </w:t>
      </w:r>
      <w:r w:rsidR="00A61DC5" w:rsidRPr="00EA54FB">
        <w:t>References</w:t>
      </w:r>
      <w:bookmarkEnd w:id="36"/>
      <w:bookmarkEnd w:id="37"/>
    </w:p>
    <w:p w14:paraId="70B56F0F" w14:textId="77777777" w:rsidR="00A61DC5" w:rsidRPr="002A77AB" w:rsidRDefault="00A61DC5" w:rsidP="002A77AB">
      <w:pPr>
        <w:spacing w:line="360" w:lineRule="auto"/>
        <w:jc w:val="both"/>
        <w:rPr>
          <w:rFonts w:ascii="Times New Roman" w:hAnsi="Times New Roman" w:cs="Times New Roman"/>
          <w:sz w:val="24"/>
          <w:szCs w:val="24"/>
        </w:rPr>
      </w:pPr>
    </w:p>
    <w:p w14:paraId="73741961" w14:textId="5BDE725F"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ADVANCING OUR PURPOSE OF CARE: Diversity, Equity and Inclusion at Hyatt 2021 Report. (2021). Available at: https://about.hyatt.com/content/dam/hyatt/woc/2021DEIReport.pdf. [Accessed 18 Feb. 2024].</w:t>
      </w:r>
    </w:p>
    <w:p w14:paraId="0A6DD0B4" w14:textId="733824E4"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Booking.com. (2024). </w:t>
      </w:r>
      <w:r w:rsidRPr="002A77AB">
        <w:rPr>
          <w:rFonts w:ascii="Segoe UI Symbol" w:hAnsi="Segoe UI Symbol" w:cs="Segoe UI Symbol"/>
          <w:sz w:val="24"/>
          <w:szCs w:val="24"/>
        </w:rPr>
        <w:t>★★★★</w:t>
      </w:r>
      <w:r w:rsidRPr="002A77AB">
        <w:rPr>
          <w:rFonts w:ascii="Times New Roman" w:hAnsi="Times New Roman" w:cs="Times New Roman"/>
          <w:sz w:val="24"/>
          <w:szCs w:val="24"/>
        </w:rPr>
        <w:t xml:space="preserve"> Hyatt Regency Birmingham, Birmingham, UK. [online] Available at: https://www.booking.com/hotel/gb/hyatt-regency-birmingham.en-gb.html [Accessed 18 Feb. 2024].</w:t>
      </w:r>
    </w:p>
    <w:p w14:paraId="4EC28400" w14:textId="6E1E35C9"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CNBC. (2021). Hyatt Hotels CEO sees </w:t>
      </w:r>
      <w:r w:rsidR="00F31C04">
        <w:rPr>
          <w:rFonts w:ascii="Times New Roman" w:hAnsi="Times New Roman" w:cs="Times New Roman"/>
          <w:sz w:val="24"/>
          <w:szCs w:val="24"/>
        </w:rPr>
        <w:t xml:space="preserve">a </w:t>
      </w:r>
      <w:r w:rsidRPr="002A77AB">
        <w:rPr>
          <w:rFonts w:ascii="Times New Roman" w:hAnsi="Times New Roman" w:cs="Times New Roman"/>
          <w:sz w:val="24"/>
          <w:szCs w:val="24"/>
        </w:rPr>
        <w:t xml:space="preserve">clear path to recovery after COVID rocked </w:t>
      </w:r>
      <w:r w:rsidR="00F31C04">
        <w:rPr>
          <w:rFonts w:ascii="Times New Roman" w:hAnsi="Times New Roman" w:cs="Times New Roman"/>
          <w:sz w:val="24"/>
          <w:szCs w:val="24"/>
        </w:rPr>
        <w:t xml:space="preserve">the </w:t>
      </w:r>
      <w:r w:rsidRPr="002A77AB">
        <w:rPr>
          <w:rFonts w:ascii="Times New Roman" w:hAnsi="Times New Roman" w:cs="Times New Roman"/>
          <w:sz w:val="24"/>
          <w:szCs w:val="24"/>
        </w:rPr>
        <w:t>industry. [online] Available at: https://www.cnbc.com/2021/03/11/hyatt-hotels-ceo-sees-clear-path-to-recovery-after-covid-rocked-industry.html [Accessed 19 Feb. 2024].</w:t>
      </w:r>
    </w:p>
    <w:p w14:paraId="4771C94D" w14:textId="4A182A25"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Egan, M. and </w:t>
      </w:r>
      <w:proofErr w:type="spellStart"/>
      <w:r w:rsidRPr="002A77AB">
        <w:rPr>
          <w:rFonts w:ascii="Times New Roman" w:hAnsi="Times New Roman" w:cs="Times New Roman"/>
          <w:sz w:val="24"/>
          <w:szCs w:val="24"/>
        </w:rPr>
        <w:t>Hoplamazian</w:t>
      </w:r>
      <w:proofErr w:type="spellEnd"/>
      <w:r w:rsidRPr="002A77AB">
        <w:rPr>
          <w:rFonts w:ascii="Times New Roman" w:hAnsi="Times New Roman" w:cs="Times New Roman"/>
          <w:sz w:val="24"/>
          <w:szCs w:val="24"/>
        </w:rPr>
        <w:t>, M. (2021). Executive Vice President and General Counsel President, Chief Executive Officer and Co-Chair of the Global DE&amp;I Council. [online] Available at: https://about.hyatt.com/content/dam/hyatt/woc/Hyatt2021GRIIndex.pdf. [Accessed 18 Feb. 2024].</w:t>
      </w:r>
    </w:p>
    <w:p w14:paraId="2175F0BF" w14:textId="10777D53"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Goldman, S. (2021). The technology innovation behind Hyatt’s pandemic pivot indicates a long-lasting change in the hotel industry. [online] Business Insider. Available at: https://www.businessinsider.com/hyatt-cco-on-how-technology-changed-hotel-business-marketing-model-2021-9?r=US&amp;IR=T. [Accessed 18 Feb. 2024].</w:t>
      </w:r>
    </w:p>
    <w:p w14:paraId="0650C57E" w14:textId="52157BD9"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Hollander, J. (2022). The Ultimate Guide to Hyatt's Hotel Brands. Hotel Tech Report. https://hoteltechreport.com/news/hyatt-hotel-brands. [Accessed 18 Feb. 2024].</w:t>
      </w:r>
    </w:p>
    <w:p w14:paraId="35C8CB19" w14:textId="460E6DAE"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Hospitality ON. (2023). Hyatt will continue its worldwide expansion in 2023. [online] Available at: https://hospitality-on.com/en/opening/hyatt-continues-its-worldwide-expansion-2023.</w:t>
      </w:r>
    </w:p>
    <w:p w14:paraId="52D81B38" w14:textId="0DE6A4DF"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Hospitality Tech. (2020). Hyatt Reimagines Hotel Experience for Guests, Workforce. [online] Available at: https://hospitalitytech.com/hyatt-reimagines-hotel-experience-guests-workforce [Accessed 19 Feb. 2024].</w:t>
      </w:r>
    </w:p>
    <w:p w14:paraId="555698D9" w14:textId="10C84EE4"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(2021). Community Engagement. [online] Available at: https://about.hyatt.com/en/world-of-care/caring-for-people/community-engagement.html [Accessed 19 Feb. 2024].</w:t>
      </w:r>
    </w:p>
    <w:p w14:paraId="110CB0A8" w14:textId="01372F88"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Hyatt. (2023). Care and Cleanliness - EAME/SWA. [online] Available at: https://www.hyatt.com/info/care-and-cleanliness-eame-swa [Accessed 19 Feb. 2024].</w:t>
      </w:r>
    </w:p>
    <w:p w14:paraId="271767C3" w14:textId="4FC525A6"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(2023). Change Starts Here. Retrieved from https://about.hyatt.com/en/world-of-care/caring-for-people/Diversity-equity-inclusion/change-starts-here.html. [Accessed 18 Feb. 2024].</w:t>
      </w:r>
    </w:p>
    <w:p w14:paraId="09978D1C" w14:textId="300584E2"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(2021). Hyatt's Organizational Culture: Key Values and Impact. Available at https://about.hyatt.com/en/world-of-care/caring-for-people/culture.html. [Accessed 18 Feb. 2024].</w:t>
      </w:r>
    </w:p>
    <w:p w14:paraId="12578138" w14:textId="5FCB77CF"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Hotels Corporation. (2024). Annual report 2023: Navigating decentralization for global success. [https://annualreport.stocklight.com/nyse/h/23637687.pdf]. [Accessed 18 Feb. 2024].</w:t>
      </w:r>
    </w:p>
    <w:p w14:paraId="53A9A887" w14:textId="7C92C845"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Newsroom. (2023). Hyatt Newsroom - News Releases. [online] Available at: https://newsroom.hyatt.com/113018-Hyatt-Completes-Acquisition-of-Two-Roads-Hospitality.</w:t>
      </w:r>
    </w:p>
    <w:p w14:paraId="2B253C38" w14:textId="0DB3B39E"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News, E.S.G. (2023). Hyatt Shares Environmental and Social Impact Reporting, Eclipses Critical DE&amp;I Goals and Sustains Momentum with Key 2023 Initiatives. [online] ESG News. Available at: https://esgnews.com/hyatt-shares-environmental-and-social-impact-reporting-eclipses-critical-dei-goals-and-sustains-momentum-with-key-2023-initiatives/ [Accessed 19 Feb. 2024].</w:t>
      </w:r>
    </w:p>
    <w:p w14:paraId="393FCD7D" w14:textId="5F576227" w:rsidR="00A61DC5" w:rsidRPr="002A77AB" w:rsidRDefault="00A61DC5" w:rsidP="002A77AB">
      <w:pPr>
        <w:spacing w:line="360" w:lineRule="auto"/>
        <w:jc w:val="both"/>
        <w:rPr>
          <w:rFonts w:ascii="Times New Roman" w:hAnsi="Times New Roman" w:cs="Times New Roman"/>
          <w:sz w:val="24"/>
          <w:szCs w:val="24"/>
        </w:rPr>
      </w:pPr>
      <w:proofErr w:type="spellStart"/>
      <w:r w:rsidRPr="002A77AB">
        <w:rPr>
          <w:rFonts w:ascii="Times New Roman" w:hAnsi="Times New Roman" w:cs="Times New Roman"/>
          <w:sz w:val="24"/>
          <w:szCs w:val="24"/>
        </w:rPr>
        <w:t>NomadTreneur</w:t>
      </w:r>
      <w:proofErr w:type="spellEnd"/>
      <w:r w:rsidRPr="002A77AB">
        <w:rPr>
          <w:rFonts w:ascii="Times New Roman" w:hAnsi="Times New Roman" w:cs="Times New Roman"/>
          <w:sz w:val="24"/>
          <w:szCs w:val="24"/>
        </w:rPr>
        <w:t xml:space="preserve">. (2023). Hyatt Hotels Corporation: A Comprehensive Overview Of A Hospitality Giant - </w:t>
      </w:r>
      <w:proofErr w:type="spellStart"/>
      <w:r w:rsidRPr="002A77AB">
        <w:rPr>
          <w:rFonts w:ascii="Times New Roman" w:hAnsi="Times New Roman" w:cs="Times New Roman"/>
          <w:sz w:val="24"/>
          <w:szCs w:val="24"/>
        </w:rPr>
        <w:t>NomadTreneur</w:t>
      </w:r>
      <w:proofErr w:type="spellEnd"/>
      <w:r w:rsidRPr="002A77AB">
        <w:rPr>
          <w:rFonts w:ascii="Times New Roman" w:hAnsi="Times New Roman" w:cs="Times New Roman"/>
          <w:sz w:val="24"/>
          <w:szCs w:val="24"/>
        </w:rPr>
        <w:t>. [online] Available at: https://nomadtreneur.com/hyatt-hotels-corporation-a-comprehensive-overview-of-a-hospitality-giant/ [Accessed 19 Feb. 2024].</w:t>
      </w:r>
    </w:p>
    <w:p w14:paraId="227C1B2F" w14:textId="2F70B673" w:rsidR="00A61DC5" w:rsidRPr="002A77AB" w:rsidRDefault="00A61DC5" w:rsidP="002A77AB">
      <w:pPr>
        <w:spacing w:line="360" w:lineRule="auto"/>
        <w:jc w:val="both"/>
        <w:rPr>
          <w:rFonts w:ascii="Times New Roman" w:hAnsi="Times New Roman" w:cs="Times New Roman"/>
          <w:sz w:val="24"/>
          <w:szCs w:val="24"/>
        </w:rPr>
      </w:pPr>
      <w:proofErr w:type="spellStart"/>
      <w:r w:rsidRPr="002A77AB">
        <w:rPr>
          <w:rFonts w:ascii="Times New Roman" w:hAnsi="Times New Roman" w:cs="Times New Roman"/>
          <w:sz w:val="24"/>
          <w:szCs w:val="24"/>
        </w:rPr>
        <w:t>Organimi</w:t>
      </w:r>
      <w:proofErr w:type="spellEnd"/>
      <w:r w:rsidRPr="002A77AB">
        <w:rPr>
          <w:rFonts w:ascii="Times New Roman" w:hAnsi="Times New Roman" w:cs="Times New Roman"/>
          <w:sz w:val="24"/>
          <w:szCs w:val="24"/>
        </w:rPr>
        <w:t>. (2023). Hyatt Hotels Organizational Structure. Retrieved from https://www.organimi.com/organizational-structures/hyatt-hotels/ [Accessed 18 Feb. 2024].</w:t>
      </w:r>
    </w:p>
    <w:p w14:paraId="3B6E8307" w14:textId="39E895DA"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PricewaterhouseCoopers. (2023). Hyatt’s talent strategy transformation. [online] PwC. Available at: https://www.pwc.com/us/en/library/case-studies/hyatt-talent-strategy-transformation.html. [Accessed 18 Feb. 2024].</w:t>
      </w:r>
    </w:p>
    <w:p w14:paraId="7D07276D" w14:textId="40B000E9"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Panel, E. (2023). Council Post: Take A Look At Innovative Applications Of Computer Vision. [online] Forbes. Available athttps://www.forbes.com/sites/forbestechcouncil/2024/02/16/take-a-look-at-innovative-applications-of-computer-vision/? [Accessed 19 Feb. 2024].</w:t>
      </w:r>
    </w:p>
    <w:p w14:paraId="58B2230C" w14:textId="32FC0831"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Smith, C., Rondi, E., De Massis, A., &amp; Nordqvist, M. (2023). Rising every time fall: Organizational fortitude and response to adversities. Journal of Management, In Press. [Accessed 18 Feb. 2024].</w:t>
      </w:r>
    </w:p>
    <w:p w14:paraId="65512A90" w14:textId="78E44F6F"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Staff, L. (2023). Hyatt Publishes DE&amp;I Report and Advances ESG Initiatives. [online] LODGING Magazine. Available at: https://lodgingmagazine.com/hyatt-publishes-dei-report-and-advances-esg-initiatives/ [Accessed 19 Feb. 2024].</w:t>
      </w:r>
    </w:p>
    <w:p w14:paraId="632E681F" w14:textId="2DEE7A1A" w:rsidR="00A61DC5" w:rsidRPr="002A77AB" w:rsidRDefault="00A61DC5" w:rsidP="002A77AB">
      <w:pPr>
        <w:spacing w:line="360" w:lineRule="auto"/>
        <w:jc w:val="both"/>
        <w:rPr>
          <w:rFonts w:ascii="Times New Roman" w:hAnsi="Times New Roman" w:cs="Times New Roman"/>
          <w:sz w:val="24"/>
          <w:szCs w:val="24"/>
        </w:rPr>
      </w:pPr>
      <w:proofErr w:type="spellStart"/>
      <w:r w:rsidRPr="002A77AB">
        <w:rPr>
          <w:rFonts w:ascii="Times New Roman" w:hAnsi="Times New Roman" w:cs="Times New Roman"/>
          <w:sz w:val="24"/>
          <w:szCs w:val="24"/>
        </w:rPr>
        <w:t>TravelPulse</w:t>
      </w:r>
      <w:proofErr w:type="spellEnd"/>
      <w:r w:rsidRPr="002A77AB">
        <w:rPr>
          <w:rFonts w:ascii="Times New Roman" w:hAnsi="Times New Roman" w:cs="Times New Roman"/>
          <w:sz w:val="24"/>
          <w:szCs w:val="24"/>
        </w:rPr>
        <w:t>. (2020). Hyatt extends its flexible cancellation policy for stays through July 2021. [online] Available at: https://www.travelpulse.com/news/hotels-and-resorts/hyatt-extends-flexible-cancellation-policy-for-stays-through-july-2021 [Accessed 19 Feb. 2024].</w:t>
      </w:r>
    </w:p>
    <w:p w14:paraId="450FF003" w14:textId="7E546A9F" w:rsidR="00A61DC5" w:rsidRPr="002A77AB" w:rsidRDefault="00A61DC5" w:rsidP="002A77AB">
      <w:pPr>
        <w:spacing w:line="360" w:lineRule="auto"/>
        <w:jc w:val="both"/>
        <w:rPr>
          <w:rFonts w:ascii="Times New Roman" w:hAnsi="Times New Roman" w:cs="Times New Roman"/>
          <w:sz w:val="24"/>
          <w:szCs w:val="24"/>
        </w:rPr>
      </w:pPr>
      <w:proofErr w:type="spellStart"/>
      <w:r w:rsidRPr="002A77AB">
        <w:rPr>
          <w:rFonts w:ascii="Times New Roman" w:hAnsi="Times New Roman" w:cs="Times New Roman"/>
          <w:sz w:val="24"/>
          <w:szCs w:val="24"/>
        </w:rPr>
        <w:t>Tripadvisor</w:t>
      </w:r>
      <w:proofErr w:type="spellEnd"/>
      <w:r w:rsidRPr="002A77AB">
        <w:rPr>
          <w:rFonts w:ascii="Times New Roman" w:hAnsi="Times New Roman" w:cs="Times New Roman"/>
          <w:sz w:val="24"/>
          <w:szCs w:val="24"/>
        </w:rPr>
        <w:t>. (2024). HYATT REGENCY LONDON BLACKFRIARS - Updated 2024 Reviews. [online] Available at: https://www.tripadvisor.co.uk/Hotel_Review-g186338-d24175396-Reviews-Hyatt_Regency_London_Blackfriars-London_England.html [Accessed 18 Feb. 2024].</w:t>
      </w:r>
    </w:p>
    <w:p w14:paraId="1E62BA08" w14:textId="62ACF58B" w:rsidR="00147E1E" w:rsidRPr="00967619" w:rsidRDefault="00A61DC5" w:rsidP="00560D33">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Tsybulko, K. (2020). Council Post: How To Stay In Sync In A Decentralized Organizational Structure. [online] Forbes. Available at: https://www.forbes.com/sites/forbesbusinessdevelopmentcouncil/2020/10/21/how-to-stay-in-sync-in-a-decentralized-organizational-structure/.[Accessed 18 Feb. 2024].</w:t>
      </w:r>
    </w:p>
    <w:sectPr w:rsidR="00147E1E" w:rsidRPr="0096761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1C103" w14:textId="77777777" w:rsidR="001C369D" w:rsidRDefault="001C369D" w:rsidP="00D234A7">
      <w:pPr>
        <w:spacing w:after="0" w:line="240" w:lineRule="auto"/>
      </w:pPr>
      <w:r>
        <w:separator/>
      </w:r>
    </w:p>
  </w:endnote>
  <w:endnote w:type="continuationSeparator" w:id="0">
    <w:p w14:paraId="4F656A12" w14:textId="77777777" w:rsidR="001C369D" w:rsidRDefault="001C369D" w:rsidP="00D23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0FE96" w14:textId="77777777" w:rsidR="00D858B2" w:rsidRDefault="00D858B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EDBA9F7" w14:textId="77777777" w:rsidR="00D234A7" w:rsidRDefault="00D234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DBB0D" w14:textId="77777777" w:rsidR="001C369D" w:rsidRDefault="001C369D" w:rsidP="00D234A7">
      <w:pPr>
        <w:spacing w:after="0" w:line="240" w:lineRule="auto"/>
      </w:pPr>
      <w:r>
        <w:separator/>
      </w:r>
    </w:p>
  </w:footnote>
  <w:footnote w:type="continuationSeparator" w:id="0">
    <w:p w14:paraId="091B592F" w14:textId="77777777" w:rsidR="001C369D" w:rsidRDefault="001C369D" w:rsidP="00D234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4472C4" w:themeColor="accent1"/>
        <w:sz w:val="20"/>
        <w:szCs w:val="20"/>
      </w:rPr>
      <w:alias w:val="Author"/>
      <w:tag w:val=""/>
      <w:id w:val="-952397527"/>
      <w:placeholder>
        <w:docPart w:val="0B10AD6793B44A698CED382D3E62A28D"/>
      </w:placeholder>
      <w:dataBinding w:prefixMappings="xmlns:ns0='http://purl.org/dc/elements/1.1/' xmlns:ns1='http://schemas.openxmlformats.org/package/2006/metadata/core-properties' " w:xpath="/ns1:coreProperties[1]/ns0:creator[1]" w:storeItemID="{6C3C8BC8-F283-45AE-878A-BAB7291924A1}"/>
      <w:text/>
    </w:sdtPr>
    <w:sdtEndPr/>
    <w:sdtContent>
      <w:p w14:paraId="6159177B" w14:textId="3C123E93" w:rsidR="007E3B30" w:rsidRDefault="007E3B30">
        <w:pPr>
          <w:pStyle w:val="Header"/>
          <w:jc w:val="center"/>
          <w:rPr>
            <w:color w:val="4472C4" w:themeColor="accent1"/>
            <w:sz w:val="20"/>
          </w:rPr>
        </w:pPr>
        <w:r>
          <w:rPr>
            <w:color w:val="4472C4" w:themeColor="accent1"/>
            <w:sz w:val="20"/>
            <w:szCs w:val="20"/>
          </w:rPr>
          <w:t>Maria Ana Iordache</w:t>
        </w:r>
        <w:r w:rsidR="0047175F">
          <w:rPr>
            <w:color w:val="4472C4" w:themeColor="accent1"/>
            <w:sz w:val="20"/>
            <w:szCs w:val="20"/>
          </w:rPr>
          <w:t xml:space="preserve">, </w:t>
        </w:r>
        <w:r w:rsidR="00A162D5">
          <w:rPr>
            <w:color w:val="4472C4" w:themeColor="accent1"/>
            <w:sz w:val="20"/>
            <w:szCs w:val="20"/>
          </w:rPr>
          <w:t>2126874</w:t>
        </w:r>
      </w:p>
    </w:sdtContent>
  </w:sdt>
  <w:p w14:paraId="31E6A8C5" w14:textId="49F1999C" w:rsidR="007E3B30" w:rsidRDefault="007E3B30">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4CCDAD6EC2444F15903F9C08BCB6362D"/>
        </w:placeholder>
        <w:dataBinding w:prefixMappings="xmlns:ns0='http://purl.org/dc/elements/1.1/' xmlns:ns1='http://schemas.openxmlformats.org/package/2006/metadata/core-properties' " w:xpath="/ns1:coreProperties[1]/ns0:title[1]" w:storeItemID="{6C3C8BC8-F283-45AE-878A-BAB7291924A1}"/>
        <w:text/>
      </w:sdtPr>
      <w:sdtEndPr/>
      <w:sdtContent>
        <w:r w:rsidR="0047175F" w:rsidRPr="0047175F">
          <w:rPr>
            <w:caps/>
            <w:color w:val="4472C4" w:themeColor="accent1"/>
          </w:rPr>
          <w:t>Management &amp; Organisational Behaviour (BMIH5004)</w:t>
        </w:r>
      </w:sdtContent>
    </w:sdt>
  </w:p>
  <w:p w14:paraId="5AAF7314" w14:textId="77777777" w:rsidR="00824617" w:rsidRDefault="008246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156C90"/>
    <w:multiLevelType w:val="hybridMultilevel"/>
    <w:tmpl w:val="29ECC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ED09F4"/>
    <w:multiLevelType w:val="multilevel"/>
    <w:tmpl w:val="0B946A2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771"/>
    <w:rsid w:val="00000771"/>
    <w:rsid w:val="000129ED"/>
    <w:rsid w:val="00032752"/>
    <w:rsid w:val="00034257"/>
    <w:rsid w:val="000362A0"/>
    <w:rsid w:val="00056178"/>
    <w:rsid w:val="0006236D"/>
    <w:rsid w:val="00063716"/>
    <w:rsid w:val="000933C8"/>
    <w:rsid w:val="0009464C"/>
    <w:rsid w:val="000966DF"/>
    <w:rsid w:val="000A23B5"/>
    <w:rsid w:val="000C04CF"/>
    <w:rsid w:val="000C1B38"/>
    <w:rsid w:val="000C650B"/>
    <w:rsid w:val="000D0589"/>
    <w:rsid w:val="000D3F76"/>
    <w:rsid w:val="000D52E5"/>
    <w:rsid w:val="000E3116"/>
    <w:rsid w:val="00104B87"/>
    <w:rsid w:val="0012016A"/>
    <w:rsid w:val="0012375B"/>
    <w:rsid w:val="00131AA7"/>
    <w:rsid w:val="00136B25"/>
    <w:rsid w:val="00147E1E"/>
    <w:rsid w:val="0018390F"/>
    <w:rsid w:val="001C369D"/>
    <w:rsid w:val="001C386F"/>
    <w:rsid w:val="001C51F2"/>
    <w:rsid w:val="001C7067"/>
    <w:rsid w:val="001D1A04"/>
    <w:rsid w:val="001D1B92"/>
    <w:rsid w:val="001E40FF"/>
    <w:rsid w:val="001E738E"/>
    <w:rsid w:val="001F4937"/>
    <w:rsid w:val="0020117C"/>
    <w:rsid w:val="0021392B"/>
    <w:rsid w:val="0021562F"/>
    <w:rsid w:val="00236708"/>
    <w:rsid w:val="00242141"/>
    <w:rsid w:val="00261B20"/>
    <w:rsid w:val="00266977"/>
    <w:rsid w:val="002A77AB"/>
    <w:rsid w:val="002B4694"/>
    <w:rsid w:val="002D032B"/>
    <w:rsid w:val="002F1BB6"/>
    <w:rsid w:val="002F7E4B"/>
    <w:rsid w:val="00306FCF"/>
    <w:rsid w:val="00320407"/>
    <w:rsid w:val="003315AA"/>
    <w:rsid w:val="00344B99"/>
    <w:rsid w:val="00351E8D"/>
    <w:rsid w:val="00394F99"/>
    <w:rsid w:val="003B33F1"/>
    <w:rsid w:val="003C0319"/>
    <w:rsid w:val="003D4A50"/>
    <w:rsid w:val="003F1712"/>
    <w:rsid w:val="00411A4A"/>
    <w:rsid w:val="00414637"/>
    <w:rsid w:val="00422031"/>
    <w:rsid w:val="00424848"/>
    <w:rsid w:val="004257D5"/>
    <w:rsid w:val="0047175F"/>
    <w:rsid w:val="00476DF7"/>
    <w:rsid w:val="00477BB4"/>
    <w:rsid w:val="00485560"/>
    <w:rsid w:val="00486FBC"/>
    <w:rsid w:val="00490CF1"/>
    <w:rsid w:val="00491E74"/>
    <w:rsid w:val="00492349"/>
    <w:rsid w:val="004A64E7"/>
    <w:rsid w:val="004B153A"/>
    <w:rsid w:val="004C0CA0"/>
    <w:rsid w:val="004C1035"/>
    <w:rsid w:val="004C7FAB"/>
    <w:rsid w:val="004E0E61"/>
    <w:rsid w:val="004E3B80"/>
    <w:rsid w:val="004E59CA"/>
    <w:rsid w:val="004E7F6F"/>
    <w:rsid w:val="004F4CDE"/>
    <w:rsid w:val="004F7E04"/>
    <w:rsid w:val="005148F4"/>
    <w:rsid w:val="0054230B"/>
    <w:rsid w:val="0054761D"/>
    <w:rsid w:val="00554748"/>
    <w:rsid w:val="00560D33"/>
    <w:rsid w:val="00561496"/>
    <w:rsid w:val="005622EA"/>
    <w:rsid w:val="00565E8E"/>
    <w:rsid w:val="00567BE5"/>
    <w:rsid w:val="00570338"/>
    <w:rsid w:val="00575154"/>
    <w:rsid w:val="00575574"/>
    <w:rsid w:val="005906C7"/>
    <w:rsid w:val="005D6657"/>
    <w:rsid w:val="005E379D"/>
    <w:rsid w:val="00611184"/>
    <w:rsid w:val="00624E0B"/>
    <w:rsid w:val="006568F3"/>
    <w:rsid w:val="00665155"/>
    <w:rsid w:val="006717CB"/>
    <w:rsid w:val="00673835"/>
    <w:rsid w:val="00675491"/>
    <w:rsid w:val="0068147A"/>
    <w:rsid w:val="006978B6"/>
    <w:rsid w:val="006A3183"/>
    <w:rsid w:val="006A733A"/>
    <w:rsid w:val="006A7EFA"/>
    <w:rsid w:val="006B3384"/>
    <w:rsid w:val="006C1912"/>
    <w:rsid w:val="006D214E"/>
    <w:rsid w:val="006E70AB"/>
    <w:rsid w:val="006F060A"/>
    <w:rsid w:val="006F458C"/>
    <w:rsid w:val="006F65C4"/>
    <w:rsid w:val="00721336"/>
    <w:rsid w:val="00735DBE"/>
    <w:rsid w:val="00782A70"/>
    <w:rsid w:val="00785853"/>
    <w:rsid w:val="00793443"/>
    <w:rsid w:val="00796442"/>
    <w:rsid w:val="007A4C1E"/>
    <w:rsid w:val="007A643B"/>
    <w:rsid w:val="007B44F1"/>
    <w:rsid w:val="007B4A3E"/>
    <w:rsid w:val="007B670A"/>
    <w:rsid w:val="007E3B30"/>
    <w:rsid w:val="00804E52"/>
    <w:rsid w:val="00824617"/>
    <w:rsid w:val="0083614C"/>
    <w:rsid w:val="0084098E"/>
    <w:rsid w:val="00863D73"/>
    <w:rsid w:val="008923A8"/>
    <w:rsid w:val="008A3B78"/>
    <w:rsid w:val="008A4BE8"/>
    <w:rsid w:val="008B1629"/>
    <w:rsid w:val="008B6E01"/>
    <w:rsid w:val="008C5223"/>
    <w:rsid w:val="008E54FA"/>
    <w:rsid w:val="00904113"/>
    <w:rsid w:val="00916E66"/>
    <w:rsid w:val="0092713A"/>
    <w:rsid w:val="0093235C"/>
    <w:rsid w:val="009328A8"/>
    <w:rsid w:val="00944EDC"/>
    <w:rsid w:val="00953951"/>
    <w:rsid w:val="009543B3"/>
    <w:rsid w:val="00967619"/>
    <w:rsid w:val="00973B2A"/>
    <w:rsid w:val="009A1197"/>
    <w:rsid w:val="009B5973"/>
    <w:rsid w:val="009D0682"/>
    <w:rsid w:val="009E4277"/>
    <w:rsid w:val="009F219F"/>
    <w:rsid w:val="009F679C"/>
    <w:rsid w:val="00A00AF6"/>
    <w:rsid w:val="00A030D7"/>
    <w:rsid w:val="00A15E8E"/>
    <w:rsid w:val="00A162D5"/>
    <w:rsid w:val="00A22967"/>
    <w:rsid w:val="00A251D6"/>
    <w:rsid w:val="00A25B2A"/>
    <w:rsid w:val="00A321FA"/>
    <w:rsid w:val="00A35993"/>
    <w:rsid w:val="00A5440A"/>
    <w:rsid w:val="00A61DC5"/>
    <w:rsid w:val="00A62C5B"/>
    <w:rsid w:val="00A72B2E"/>
    <w:rsid w:val="00AA7F28"/>
    <w:rsid w:val="00AC72EF"/>
    <w:rsid w:val="00AD296E"/>
    <w:rsid w:val="00B020C9"/>
    <w:rsid w:val="00B033DB"/>
    <w:rsid w:val="00B06586"/>
    <w:rsid w:val="00B2429A"/>
    <w:rsid w:val="00B27890"/>
    <w:rsid w:val="00B43CCC"/>
    <w:rsid w:val="00B51088"/>
    <w:rsid w:val="00B63B07"/>
    <w:rsid w:val="00B63E93"/>
    <w:rsid w:val="00B71BC2"/>
    <w:rsid w:val="00B73799"/>
    <w:rsid w:val="00B80F14"/>
    <w:rsid w:val="00B840C7"/>
    <w:rsid w:val="00B9382B"/>
    <w:rsid w:val="00BB1A29"/>
    <w:rsid w:val="00BB6EFC"/>
    <w:rsid w:val="00BC22B1"/>
    <w:rsid w:val="00BC3D4B"/>
    <w:rsid w:val="00BD2A90"/>
    <w:rsid w:val="00BD47B2"/>
    <w:rsid w:val="00BE2B1B"/>
    <w:rsid w:val="00BE4560"/>
    <w:rsid w:val="00BF1CE5"/>
    <w:rsid w:val="00C308F6"/>
    <w:rsid w:val="00C42E26"/>
    <w:rsid w:val="00C52847"/>
    <w:rsid w:val="00C6130C"/>
    <w:rsid w:val="00C638E9"/>
    <w:rsid w:val="00C66A60"/>
    <w:rsid w:val="00C92332"/>
    <w:rsid w:val="00CA201A"/>
    <w:rsid w:val="00CC436B"/>
    <w:rsid w:val="00CE0219"/>
    <w:rsid w:val="00CE46FA"/>
    <w:rsid w:val="00CF7917"/>
    <w:rsid w:val="00D10CBE"/>
    <w:rsid w:val="00D16828"/>
    <w:rsid w:val="00D234A7"/>
    <w:rsid w:val="00D46AC4"/>
    <w:rsid w:val="00D77C70"/>
    <w:rsid w:val="00D858B2"/>
    <w:rsid w:val="00D96F2D"/>
    <w:rsid w:val="00DB4000"/>
    <w:rsid w:val="00DC00A5"/>
    <w:rsid w:val="00DD6ACF"/>
    <w:rsid w:val="00DE071E"/>
    <w:rsid w:val="00DE557F"/>
    <w:rsid w:val="00DE6C00"/>
    <w:rsid w:val="00E06623"/>
    <w:rsid w:val="00E2345F"/>
    <w:rsid w:val="00E272C0"/>
    <w:rsid w:val="00E45636"/>
    <w:rsid w:val="00E63168"/>
    <w:rsid w:val="00E671D2"/>
    <w:rsid w:val="00E83340"/>
    <w:rsid w:val="00E84BF9"/>
    <w:rsid w:val="00E86A88"/>
    <w:rsid w:val="00E91F31"/>
    <w:rsid w:val="00E92A35"/>
    <w:rsid w:val="00E93F85"/>
    <w:rsid w:val="00EA0D1D"/>
    <w:rsid w:val="00EA54FB"/>
    <w:rsid w:val="00EF05CF"/>
    <w:rsid w:val="00EF5E86"/>
    <w:rsid w:val="00F31C04"/>
    <w:rsid w:val="00F571D0"/>
    <w:rsid w:val="00F71323"/>
    <w:rsid w:val="00F74C16"/>
    <w:rsid w:val="00F80F19"/>
    <w:rsid w:val="00F8180A"/>
    <w:rsid w:val="00F869BD"/>
    <w:rsid w:val="00F86EB5"/>
    <w:rsid w:val="00FA74EA"/>
    <w:rsid w:val="00FD0B4C"/>
    <w:rsid w:val="00FF0E9E"/>
    <w:rsid w:val="00FF6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F4908DB"/>
  <w15:chartTrackingRefBased/>
  <w15:docId w15:val="{04CBAE0E-7506-4598-9F55-EB53FD0E5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4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64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2375B"/>
    <w:rPr>
      <w:i/>
      <w:iCs/>
    </w:rPr>
  </w:style>
  <w:style w:type="character" w:styleId="Hyperlink">
    <w:name w:val="Hyperlink"/>
    <w:basedOn w:val="DefaultParagraphFont"/>
    <w:uiPriority w:val="99"/>
    <w:unhideWhenUsed/>
    <w:rsid w:val="00B51088"/>
    <w:rPr>
      <w:color w:val="0563C1" w:themeColor="hyperlink"/>
      <w:u w:val="single"/>
    </w:rPr>
  </w:style>
  <w:style w:type="character" w:styleId="UnresolvedMention">
    <w:name w:val="Unresolved Mention"/>
    <w:basedOn w:val="DefaultParagraphFont"/>
    <w:uiPriority w:val="99"/>
    <w:semiHidden/>
    <w:unhideWhenUsed/>
    <w:rsid w:val="00B51088"/>
    <w:rPr>
      <w:color w:val="605E5C"/>
      <w:shd w:val="clear" w:color="auto" w:fill="E1DFDD"/>
    </w:rPr>
  </w:style>
  <w:style w:type="paragraph" w:styleId="NormalWeb">
    <w:name w:val="Normal (Web)"/>
    <w:basedOn w:val="Normal"/>
    <w:uiPriority w:val="99"/>
    <w:semiHidden/>
    <w:unhideWhenUsed/>
    <w:rsid w:val="00BE456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BE456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E4560"/>
    <w:rPr>
      <w:rFonts w:ascii="Arial" w:eastAsia="Times New Roman" w:hAnsi="Arial" w:cs="Arial"/>
      <w:vanish/>
      <w:sz w:val="16"/>
      <w:szCs w:val="16"/>
      <w:lang w:eastAsia="en-GB"/>
    </w:rPr>
  </w:style>
  <w:style w:type="paragraph" w:styleId="ListParagraph">
    <w:name w:val="List Paragraph"/>
    <w:basedOn w:val="Normal"/>
    <w:uiPriority w:val="34"/>
    <w:qFormat/>
    <w:rsid w:val="00A61DC5"/>
    <w:pPr>
      <w:ind w:left="720"/>
      <w:contextualSpacing/>
    </w:pPr>
  </w:style>
  <w:style w:type="paragraph" w:styleId="Header">
    <w:name w:val="header"/>
    <w:basedOn w:val="Normal"/>
    <w:link w:val="HeaderChar"/>
    <w:uiPriority w:val="99"/>
    <w:unhideWhenUsed/>
    <w:rsid w:val="00D23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4A7"/>
  </w:style>
  <w:style w:type="paragraph" w:styleId="Footer">
    <w:name w:val="footer"/>
    <w:basedOn w:val="Normal"/>
    <w:link w:val="FooterChar"/>
    <w:uiPriority w:val="99"/>
    <w:unhideWhenUsed/>
    <w:rsid w:val="00D23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4A7"/>
  </w:style>
  <w:style w:type="paragraph" w:styleId="Title">
    <w:name w:val="Title"/>
    <w:basedOn w:val="Normal"/>
    <w:next w:val="Normal"/>
    <w:link w:val="TitleChar"/>
    <w:uiPriority w:val="10"/>
    <w:qFormat/>
    <w:rsid w:val="007A64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43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A643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A643B"/>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8B162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B1629"/>
    <w:rPr>
      <w:i/>
      <w:iCs/>
      <w:color w:val="4472C4" w:themeColor="accent1"/>
    </w:rPr>
  </w:style>
  <w:style w:type="paragraph" w:styleId="TOCHeading">
    <w:name w:val="TOC Heading"/>
    <w:basedOn w:val="Heading1"/>
    <w:next w:val="Normal"/>
    <w:uiPriority w:val="39"/>
    <w:unhideWhenUsed/>
    <w:qFormat/>
    <w:rsid w:val="002F7E4B"/>
    <w:pPr>
      <w:outlineLvl w:val="9"/>
    </w:pPr>
    <w:rPr>
      <w:lang w:val="en-US"/>
    </w:rPr>
  </w:style>
  <w:style w:type="paragraph" w:styleId="TOC2">
    <w:name w:val="toc 2"/>
    <w:basedOn w:val="Normal"/>
    <w:next w:val="Normal"/>
    <w:autoRedefine/>
    <w:uiPriority w:val="39"/>
    <w:unhideWhenUsed/>
    <w:rsid w:val="00565E8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65E8E"/>
    <w:pPr>
      <w:spacing w:after="100"/>
    </w:pPr>
    <w:rPr>
      <w:rFonts w:eastAsiaTheme="minorEastAsia" w:cs="Times New Roman"/>
      <w:lang w:val="en-US"/>
    </w:rPr>
  </w:style>
  <w:style w:type="paragraph" w:styleId="TOC3">
    <w:name w:val="toc 3"/>
    <w:basedOn w:val="Normal"/>
    <w:next w:val="Normal"/>
    <w:autoRedefine/>
    <w:uiPriority w:val="39"/>
    <w:unhideWhenUsed/>
    <w:rsid w:val="00565E8E"/>
    <w:pPr>
      <w:spacing w:after="100"/>
      <w:ind w:left="440"/>
    </w:pPr>
    <w:rPr>
      <w:rFonts w:eastAsiaTheme="minorEastAsia" w:cs="Times New Roman"/>
      <w:lang w:val="en-US"/>
    </w:rPr>
  </w:style>
  <w:style w:type="character" w:styleId="PlaceholderText">
    <w:name w:val="Placeholder Text"/>
    <w:basedOn w:val="DefaultParagraphFont"/>
    <w:uiPriority w:val="99"/>
    <w:semiHidden/>
    <w:rsid w:val="0056149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854408">
      <w:bodyDiv w:val="1"/>
      <w:marLeft w:val="0"/>
      <w:marRight w:val="0"/>
      <w:marTop w:val="0"/>
      <w:marBottom w:val="0"/>
      <w:divBdr>
        <w:top w:val="none" w:sz="0" w:space="0" w:color="auto"/>
        <w:left w:val="none" w:sz="0" w:space="0" w:color="auto"/>
        <w:bottom w:val="none" w:sz="0" w:space="0" w:color="auto"/>
        <w:right w:val="none" w:sz="0" w:space="0" w:color="auto"/>
      </w:divBdr>
    </w:div>
    <w:div w:id="808863064">
      <w:bodyDiv w:val="1"/>
      <w:marLeft w:val="0"/>
      <w:marRight w:val="0"/>
      <w:marTop w:val="0"/>
      <w:marBottom w:val="0"/>
      <w:divBdr>
        <w:top w:val="none" w:sz="0" w:space="0" w:color="auto"/>
        <w:left w:val="none" w:sz="0" w:space="0" w:color="auto"/>
        <w:bottom w:val="none" w:sz="0" w:space="0" w:color="auto"/>
        <w:right w:val="none" w:sz="0" w:space="0" w:color="auto"/>
      </w:divBdr>
      <w:divsChild>
        <w:div w:id="744112815">
          <w:marLeft w:val="0"/>
          <w:marRight w:val="0"/>
          <w:marTop w:val="0"/>
          <w:marBottom w:val="0"/>
          <w:divBdr>
            <w:top w:val="single" w:sz="2" w:space="0" w:color="E3E3E3"/>
            <w:left w:val="single" w:sz="2" w:space="0" w:color="E3E3E3"/>
            <w:bottom w:val="single" w:sz="2" w:space="0" w:color="E3E3E3"/>
            <w:right w:val="single" w:sz="2" w:space="0" w:color="E3E3E3"/>
          </w:divBdr>
          <w:divsChild>
            <w:div w:id="782378685">
              <w:marLeft w:val="0"/>
              <w:marRight w:val="0"/>
              <w:marTop w:val="100"/>
              <w:marBottom w:val="100"/>
              <w:divBdr>
                <w:top w:val="single" w:sz="2" w:space="0" w:color="E3E3E3"/>
                <w:left w:val="single" w:sz="2" w:space="0" w:color="E3E3E3"/>
                <w:bottom w:val="single" w:sz="2" w:space="0" w:color="E3E3E3"/>
                <w:right w:val="single" w:sz="2" w:space="0" w:color="E3E3E3"/>
              </w:divBdr>
              <w:divsChild>
                <w:div w:id="1329022849">
                  <w:marLeft w:val="0"/>
                  <w:marRight w:val="0"/>
                  <w:marTop w:val="0"/>
                  <w:marBottom w:val="0"/>
                  <w:divBdr>
                    <w:top w:val="single" w:sz="2" w:space="0" w:color="E3E3E3"/>
                    <w:left w:val="single" w:sz="2" w:space="0" w:color="E3E3E3"/>
                    <w:bottom w:val="single" w:sz="2" w:space="0" w:color="E3E3E3"/>
                    <w:right w:val="single" w:sz="2" w:space="0" w:color="E3E3E3"/>
                  </w:divBdr>
                  <w:divsChild>
                    <w:div w:id="430711622">
                      <w:marLeft w:val="0"/>
                      <w:marRight w:val="0"/>
                      <w:marTop w:val="0"/>
                      <w:marBottom w:val="0"/>
                      <w:divBdr>
                        <w:top w:val="single" w:sz="2" w:space="0" w:color="E3E3E3"/>
                        <w:left w:val="single" w:sz="2" w:space="0" w:color="E3E3E3"/>
                        <w:bottom w:val="single" w:sz="2" w:space="0" w:color="E3E3E3"/>
                        <w:right w:val="single" w:sz="2" w:space="0" w:color="E3E3E3"/>
                      </w:divBdr>
                      <w:divsChild>
                        <w:div w:id="800416929">
                          <w:marLeft w:val="0"/>
                          <w:marRight w:val="0"/>
                          <w:marTop w:val="0"/>
                          <w:marBottom w:val="0"/>
                          <w:divBdr>
                            <w:top w:val="single" w:sz="2" w:space="0" w:color="E3E3E3"/>
                            <w:left w:val="single" w:sz="2" w:space="0" w:color="E3E3E3"/>
                            <w:bottom w:val="single" w:sz="2" w:space="0" w:color="E3E3E3"/>
                            <w:right w:val="single" w:sz="2" w:space="0" w:color="E3E3E3"/>
                          </w:divBdr>
                          <w:divsChild>
                            <w:div w:id="1056471844">
                              <w:marLeft w:val="0"/>
                              <w:marRight w:val="0"/>
                              <w:marTop w:val="0"/>
                              <w:marBottom w:val="0"/>
                              <w:divBdr>
                                <w:top w:val="single" w:sz="2" w:space="0" w:color="E3E3E3"/>
                                <w:left w:val="single" w:sz="2" w:space="0" w:color="E3E3E3"/>
                                <w:bottom w:val="single" w:sz="2" w:space="0" w:color="E3E3E3"/>
                                <w:right w:val="single" w:sz="2" w:space="0" w:color="E3E3E3"/>
                              </w:divBdr>
                              <w:divsChild>
                                <w:div w:id="274992401">
                                  <w:marLeft w:val="0"/>
                                  <w:marRight w:val="0"/>
                                  <w:marTop w:val="0"/>
                                  <w:marBottom w:val="0"/>
                                  <w:divBdr>
                                    <w:top w:val="single" w:sz="2" w:space="0" w:color="E3E3E3"/>
                                    <w:left w:val="single" w:sz="2" w:space="0" w:color="E3E3E3"/>
                                    <w:bottom w:val="single" w:sz="2" w:space="0" w:color="E3E3E3"/>
                                    <w:right w:val="single" w:sz="2" w:space="0" w:color="E3E3E3"/>
                                  </w:divBdr>
                                  <w:divsChild>
                                    <w:div w:id="9047248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95674909">
      <w:bodyDiv w:val="1"/>
      <w:marLeft w:val="0"/>
      <w:marRight w:val="0"/>
      <w:marTop w:val="0"/>
      <w:marBottom w:val="0"/>
      <w:divBdr>
        <w:top w:val="none" w:sz="0" w:space="0" w:color="auto"/>
        <w:left w:val="none" w:sz="0" w:space="0" w:color="auto"/>
        <w:bottom w:val="none" w:sz="0" w:space="0" w:color="auto"/>
        <w:right w:val="none" w:sz="0" w:space="0" w:color="auto"/>
      </w:divBdr>
    </w:div>
    <w:div w:id="1386610755">
      <w:bodyDiv w:val="1"/>
      <w:marLeft w:val="0"/>
      <w:marRight w:val="0"/>
      <w:marTop w:val="0"/>
      <w:marBottom w:val="0"/>
      <w:divBdr>
        <w:top w:val="none" w:sz="0" w:space="0" w:color="auto"/>
        <w:left w:val="none" w:sz="0" w:space="0" w:color="auto"/>
        <w:bottom w:val="none" w:sz="0" w:space="0" w:color="auto"/>
        <w:right w:val="none" w:sz="0" w:space="0" w:color="auto"/>
      </w:divBdr>
    </w:div>
    <w:div w:id="1597858933">
      <w:bodyDiv w:val="1"/>
      <w:marLeft w:val="0"/>
      <w:marRight w:val="0"/>
      <w:marTop w:val="0"/>
      <w:marBottom w:val="0"/>
      <w:divBdr>
        <w:top w:val="none" w:sz="0" w:space="0" w:color="auto"/>
        <w:left w:val="none" w:sz="0" w:space="0" w:color="auto"/>
        <w:bottom w:val="none" w:sz="0" w:space="0" w:color="auto"/>
        <w:right w:val="none" w:sz="0" w:space="0" w:color="auto"/>
      </w:divBdr>
      <w:divsChild>
        <w:div w:id="1188258461">
          <w:marLeft w:val="0"/>
          <w:marRight w:val="0"/>
          <w:marTop w:val="0"/>
          <w:marBottom w:val="0"/>
          <w:divBdr>
            <w:top w:val="single" w:sz="2" w:space="0" w:color="E3E3E3"/>
            <w:left w:val="single" w:sz="2" w:space="0" w:color="E3E3E3"/>
            <w:bottom w:val="single" w:sz="2" w:space="0" w:color="E3E3E3"/>
            <w:right w:val="single" w:sz="2" w:space="0" w:color="E3E3E3"/>
          </w:divBdr>
          <w:divsChild>
            <w:div w:id="1397628872">
              <w:marLeft w:val="0"/>
              <w:marRight w:val="0"/>
              <w:marTop w:val="0"/>
              <w:marBottom w:val="0"/>
              <w:divBdr>
                <w:top w:val="single" w:sz="2" w:space="0" w:color="E3E3E3"/>
                <w:left w:val="single" w:sz="2" w:space="0" w:color="E3E3E3"/>
                <w:bottom w:val="single" w:sz="2" w:space="0" w:color="E3E3E3"/>
                <w:right w:val="single" w:sz="2" w:space="0" w:color="E3E3E3"/>
              </w:divBdr>
              <w:divsChild>
                <w:div w:id="597834468">
                  <w:marLeft w:val="0"/>
                  <w:marRight w:val="0"/>
                  <w:marTop w:val="0"/>
                  <w:marBottom w:val="0"/>
                  <w:divBdr>
                    <w:top w:val="single" w:sz="2" w:space="0" w:color="E3E3E3"/>
                    <w:left w:val="single" w:sz="2" w:space="0" w:color="E3E3E3"/>
                    <w:bottom w:val="single" w:sz="2" w:space="0" w:color="E3E3E3"/>
                    <w:right w:val="single" w:sz="2" w:space="0" w:color="E3E3E3"/>
                  </w:divBdr>
                  <w:divsChild>
                    <w:div w:id="1529831095">
                      <w:marLeft w:val="0"/>
                      <w:marRight w:val="0"/>
                      <w:marTop w:val="0"/>
                      <w:marBottom w:val="0"/>
                      <w:divBdr>
                        <w:top w:val="single" w:sz="2" w:space="0" w:color="E3E3E3"/>
                        <w:left w:val="single" w:sz="2" w:space="0" w:color="E3E3E3"/>
                        <w:bottom w:val="single" w:sz="2" w:space="0" w:color="E3E3E3"/>
                        <w:right w:val="single" w:sz="2" w:space="0" w:color="E3E3E3"/>
                      </w:divBdr>
                      <w:divsChild>
                        <w:div w:id="1860926802">
                          <w:marLeft w:val="0"/>
                          <w:marRight w:val="0"/>
                          <w:marTop w:val="0"/>
                          <w:marBottom w:val="0"/>
                          <w:divBdr>
                            <w:top w:val="single" w:sz="2" w:space="0" w:color="E3E3E3"/>
                            <w:left w:val="single" w:sz="2" w:space="0" w:color="E3E3E3"/>
                            <w:bottom w:val="single" w:sz="2" w:space="0" w:color="E3E3E3"/>
                            <w:right w:val="single" w:sz="2" w:space="0" w:color="E3E3E3"/>
                          </w:divBdr>
                          <w:divsChild>
                            <w:div w:id="991639635">
                              <w:marLeft w:val="0"/>
                              <w:marRight w:val="0"/>
                              <w:marTop w:val="100"/>
                              <w:marBottom w:val="100"/>
                              <w:divBdr>
                                <w:top w:val="single" w:sz="2" w:space="0" w:color="E3E3E3"/>
                                <w:left w:val="single" w:sz="2" w:space="0" w:color="E3E3E3"/>
                                <w:bottom w:val="single" w:sz="2" w:space="0" w:color="E3E3E3"/>
                                <w:right w:val="single" w:sz="2" w:space="0" w:color="E3E3E3"/>
                              </w:divBdr>
                              <w:divsChild>
                                <w:div w:id="1097409987">
                                  <w:marLeft w:val="0"/>
                                  <w:marRight w:val="0"/>
                                  <w:marTop w:val="0"/>
                                  <w:marBottom w:val="0"/>
                                  <w:divBdr>
                                    <w:top w:val="single" w:sz="2" w:space="0" w:color="E3E3E3"/>
                                    <w:left w:val="single" w:sz="2" w:space="0" w:color="E3E3E3"/>
                                    <w:bottom w:val="single" w:sz="2" w:space="0" w:color="E3E3E3"/>
                                    <w:right w:val="single" w:sz="2" w:space="0" w:color="E3E3E3"/>
                                  </w:divBdr>
                                  <w:divsChild>
                                    <w:div w:id="509833702">
                                      <w:marLeft w:val="0"/>
                                      <w:marRight w:val="0"/>
                                      <w:marTop w:val="0"/>
                                      <w:marBottom w:val="0"/>
                                      <w:divBdr>
                                        <w:top w:val="single" w:sz="2" w:space="0" w:color="E3E3E3"/>
                                        <w:left w:val="single" w:sz="2" w:space="0" w:color="E3E3E3"/>
                                        <w:bottom w:val="single" w:sz="2" w:space="0" w:color="E3E3E3"/>
                                        <w:right w:val="single" w:sz="2" w:space="0" w:color="E3E3E3"/>
                                      </w:divBdr>
                                      <w:divsChild>
                                        <w:div w:id="882181681">
                                          <w:marLeft w:val="0"/>
                                          <w:marRight w:val="0"/>
                                          <w:marTop w:val="0"/>
                                          <w:marBottom w:val="0"/>
                                          <w:divBdr>
                                            <w:top w:val="single" w:sz="2" w:space="0" w:color="E3E3E3"/>
                                            <w:left w:val="single" w:sz="2" w:space="0" w:color="E3E3E3"/>
                                            <w:bottom w:val="single" w:sz="2" w:space="0" w:color="E3E3E3"/>
                                            <w:right w:val="single" w:sz="2" w:space="0" w:color="E3E3E3"/>
                                          </w:divBdr>
                                          <w:divsChild>
                                            <w:div w:id="144665045">
                                              <w:marLeft w:val="0"/>
                                              <w:marRight w:val="0"/>
                                              <w:marTop w:val="0"/>
                                              <w:marBottom w:val="0"/>
                                              <w:divBdr>
                                                <w:top w:val="single" w:sz="2" w:space="0" w:color="E3E3E3"/>
                                                <w:left w:val="single" w:sz="2" w:space="0" w:color="E3E3E3"/>
                                                <w:bottom w:val="single" w:sz="2" w:space="0" w:color="E3E3E3"/>
                                                <w:right w:val="single" w:sz="2" w:space="0" w:color="E3E3E3"/>
                                              </w:divBdr>
                                              <w:divsChild>
                                                <w:div w:id="273829914">
                                                  <w:marLeft w:val="0"/>
                                                  <w:marRight w:val="0"/>
                                                  <w:marTop w:val="0"/>
                                                  <w:marBottom w:val="0"/>
                                                  <w:divBdr>
                                                    <w:top w:val="single" w:sz="2" w:space="0" w:color="E3E3E3"/>
                                                    <w:left w:val="single" w:sz="2" w:space="0" w:color="E3E3E3"/>
                                                    <w:bottom w:val="single" w:sz="2" w:space="0" w:color="E3E3E3"/>
                                                    <w:right w:val="single" w:sz="2" w:space="0" w:color="E3E3E3"/>
                                                  </w:divBdr>
                                                  <w:divsChild>
                                                    <w:div w:id="15578604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39685354">
          <w:marLeft w:val="0"/>
          <w:marRight w:val="0"/>
          <w:marTop w:val="0"/>
          <w:marBottom w:val="0"/>
          <w:divBdr>
            <w:top w:val="none" w:sz="0" w:space="0" w:color="auto"/>
            <w:left w:val="none" w:sz="0" w:space="0" w:color="auto"/>
            <w:bottom w:val="none" w:sz="0" w:space="0" w:color="auto"/>
            <w:right w:val="none" w:sz="0" w:space="0" w:color="auto"/>
          </w:divBdr>
        </w:div>
      </w:divsChild>
    </w:div>
    <w:div w:id="1998537807">
      <w:bodyDiv w:val="1"/>
      <w:marLeft w:val="0"/>
      <w:marRight w:val="0"/>
      <w:marTop w:val="0"/>
      <w:marBottom w:val="0"/>
      <w:divBdr>
        <w:top w:val="none" w:sz="0" w:space="0" w:color="auto"/>
        <w:left w:val="none" w:sz="0" w:space="0" w:color="auto"/>
        <w:bottom w:val="none" w:sz="0" w:space="0" w:color="auto"/>
        <w:right w:val="none" w:sz="0" w:space="0" w:color="auto"/>
      </w:divBdr>
      <w:divsChild>
        <w:div w:id="920411417">
          <w:marLeft w:val="0"/>
          <w:marRight w:val="0"/>
          <w:marTop w:val="0"/>
          <w:marBottom w:val="0"/>
          <w:divBdr>
            <w:top w:val="single" w:sz="2" w:space="0" w:color="E3E3E3"/>
            <w:left w:val="single" w:sz="2" w:space="0" w:color="E3E3E3"/>
            <w:bottom w:val="single" w:sz="2" w:space="0" w:color="E3E3E3"/>
            <w:right w:val="single" w:sz="2" w:space="0" w:color="E3E3E3"/>
          </w:divBdr>
          <w:divsChild>
            <w:div w:id="969284544">
              <w:marLeft w:val="0"/>
              <w:marRight w:val="0"/>
              <w:marTop w:val="0"/>
              <w:marBottom w:val="0"/>
              <w:divBdr>
                <w:top w:val="single" w:sz="2" w:space="0" w:color="E3E3E3"/>
                <w:left w:val="single" w:sz="2" w:space="0" w:color="E3E3E3"/>
                <w:bottom w:val="single" w:sz="2" w:space="0" w:color="E3E3E3"/>
                <w:right w:val="single" w:sz="2" w:space="0" w:color="E3E3E3"/>
              </w:divBdr>
              <w:divsChild>
                <w:div w:id="1384718233">
                  <w:marLeft w:val="0"/>
                  <w:marRight w:val="0"/>
                  <w:marTop w:val="0"/>
                  <w:marBottom w:val="0"/>
                  <w:divBdr>
                    <w:top w:val="single" w:sz="2" w:space="0" w:color="E3E3E3"/>
                    <w:left w:val="single" w:sz="2" w:space="0" w:color="E3E3E3"/>
                    <w:bottom w:val="single" w:sz="2" w:space="0" w:color="E3E3E3"/>
                    <w:right w:val="single" w:sz="2" w:space="0" w:color="E3E3E3"/>
                  </w:divBdr>
                  <w:divsChild>
                    <w:div w:id="1031956916">
                      <w:marLeft w:val="0"/>
                      <w:marRight w:val="0"/>
                      <w:marTop w:val="0"/>
                      <w:marBottom w:val="0"/>
                      <w:divBdr>
                        <w:top w:val="single" w:sz="2" w:space="0" w:color="E3E3E3"/>
                        <w:left w:val="single" w:sz="2" w:space="0" w:color="E3E3E3"/>
                        <w:bottom w:val="single" w:sz="2" w:space="0" w:color="E3E3E3"/>
                        <w:right w:val="single" w:sz="2" w:space="0" w:color="E3E3E3"/>
                      </w:divBdr>
                      <w:divsChild>
                        <w:div w:id="1144856863">
                          <w:marLeft w:val="0"/>
                          <w:marRight w:val="0"/>
                          <w:marTop w:val="0"/>
                          <w:marBottom w:val="0"/>
                          <w:divBdr>
                            <w:top w:val="single" w:sz="2" w:space="0" w:color="E3E3E3"/>
                            <w:left w:val="single" w:sz="2" w:space="0" w:color="E3E3E3"/>
                            <w:bottom w:val="single" w:sz="2" w:space="0" w:color="E3E3E3"/>
                            <w:right w:val="single" w:sz="2" w:space="0" w:color="E3E3E3"/>
                          </w:divBdr>
                          <w:divsChild>
                            <w:div w:id="37631478">
                              <w:marLeft w:val="0"/>
                              <w:marRight w:val="0"/>
                              <w:marTop w:val="100"/>
                              <w:marBottom w:val="100"/>
                              <w:divBdr>
                                <w:top w:val="single" w:sz="2" w:space="0" w:color="E3E3E3"/>
                                <w:left w:val="single" w:sz="2" w:space="0" w:color="E3E3E3"/>
                                <w:bottom w:val="single" w:sz="2" w:space="0" w:color="E3E3E3"/>
                                <w:right w:val="single" w:sz="2" w:space="0" w:color="E3E3E3"/>
                              </w:divBdr>
                              <w:divsChild>
                                <w:div w:id="275404686">
                                  <w:marLeft w:val="0"/>
                                  <w:marRight w:val="0"/>
                                  <w:marTop w:val="0"/>
                                  <w:marBottom w:val="0"/>
                                  <w:divBdr>
                                    <w:top w:val="single" w:sz="2" w:space="0" w:color="E3E3E3"/>
                                    <w:left w:val="single" w:sz="2" w:space="0" w:color="E3E3E3"/>
                                    <w:bottom w:val="single" w:sz="2" w:space="0" w:color="E3E3E3"/>
                                    <w:right w:val="single" w:sz="2" w:space="0" w:color="E3E3E3"/>
                                  </w:divBdr>
                                  <w:divsChild>
                                    <w:div w:id="1665741381">
                                      <w:marLeft w:val="0"/>
                                      <w:marRight w:val="0"/>
                                      <w:marTop w:val="0"/>
                                      <w:marBottom w:val="0"/>
                                      <w:divBdr>
                                        <w:top w:val="single" w:sz="2" w:space="0" w:color="E3E3E3"/>
                                        <w:left w:val="single" w:sz="2" w:space="0" w:color="E3E3E3"/>
                                        <w:bottom w:val="single" w:sz="2" w:space="0" w:color="E3E3E3"/>
                                        <w:right w:val="single" w:sz="2" w:space="0" w:color="E3E3E3"/>
                                      </w:divBdr>
                                      <w:divsChild>
                                        <w:div w:id="1315909845">
                                          <w:marLeft w:val="0"/>
                                          <w:marRight w:val="0"/>
                                          <w:marTop w:val="0"/>
                                          <w:marBottom w:val="0"/>
                                          <w:divBdr>
                                            <w:top w:val="single" w:sz="2" w:space="0" w:color="E3E3E3"/>
                                            <w:left w:val="single" w:sz="2" w:space="0" w:color="E3E3E3"/>
                                            <w:bottom w:val="single" w:sz="2" w:space="0" w:color="E3E3E3"/>
                                            <w:right w:val="single" w:sz="2" w:space="0" w:color="E3E3E3"/>
                                          </w:divBdr>
                                          <w:divsChild>
                                            <w:div w:id="340620895">
                                              <w:marLeft w:val="0"/>
                                              <w:marRight w:val="0"/>
                                              <w:marTop w:val="0"/>
                                              <w:marBottom w:val="0"/>
                                              <w:divBdr>
                                                <w:top w:val="single" w:sz="2" w:space="0" w:color="E3E3E3"/>
                                                <w:left w:val="single" w:sz="2" w:space="0" w:color="E3E3E3"/>
                                                <w:bottom w:val="single" w:sz="2" w:space="0" w:color="E3E3E3"/>
                                                <w:right w:val="single" w:sz="2" w:space="0" w:color="E3E3E3"/>
                                              </w:divBdr>
                                              <w:divsChild>
                                                <w:div w:id="1058673452">
                                                  <w:marLeft w:val="0"/>
                                                  <w:marRight w:val="0"/>
                                                  <w:marTop w:val="0"/>
                                                  <w:marBottom w:val="0"/>
                                                  <w:divBdr>
                                                    <w:top w:val="single" w:sz="2" w:space="0" w:color="E3E3E3"/>
                                                    <w:left w:val="single" w:sz="2" w:space="0" w:color="E3E3E3"/>
                                                    <w:bottom w:val="single" w:sz="2" w:space="0" w:color="E3E3E3"/>
                                                    <w:right w:val="single" w:sz="2" w:space="0" w:color="E3E3E3"/>
                                                  </w:divBdr>
                                                  <w:divsChild>
                                                    <w:div w:id="1865291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842774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B10AD6793B44A698CED382D3E62A28D"/>
        <w:category>
          <w:name w:val="General"/>
          <w:gallery w:val="placeholder"/>
        </w:category>
        <w:types>
          <w:type w:val="bbPlcHdr"/>
        </w:types>
        <w:behaviors>
          <w:behavior w:val="content"/>
        </w:behaviors>
        <w:guid w:val="{1D504314-558E-4C01-8343-DA106A632574}"/>
      </w:docPartPr>
      <w:docPartBody>
        <w:p w:rsidR="0094446E" w:rsidRDefault="002579CA" w:rsidP="002579CA">
          <w:pPr>
            <w:pStyle w:val="0B10AD6793B44A698CED382D3E62A28D"/>
          </w:pPr>
          <w:r>
            <w:rPr>
              <w:color w:val="4472C4" w:themeColor="accent1"/>
              <w:sz w:val="20"/>
              <w:szCs w:val="20"/>
            </w:rPr>
            <w:t>[Author name]</w:t>
          </w:r>
        </w:p>
      </w:docPartBody>
    </w:docPart>
    <w:docPart>
      <w:docPartPr>
        <w:name w:val="4CCDAD6EC2444F15903F9C08BCB6362D"/>
        <w:category>
          <w:name w:val="General"/>
          <w:gallery w:val="placeholder"/>
        </w:category>
        <w:types>
          <w:type w:val="bbPlcHdr"/>
        </w:types>
        <w:behaviors>
          <w:behavior w:val="content"/>
        </w:behaviors>
        <w:guid w:val="{2EEE14C3-9A92-4546-81A7-678A44577C91}"/>
      </w:docPartPr>
      <w:docPartBody>
        <w:p w:rsidR="0094446E" w:rsidRDefault="002579CA" w:rsidP="002579CA">
          <w:pPr>
            <w:pStyle w:val="4CCDAD6EC2444F15903F9C08BCB6362D"/>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75E"/>
    <w:rsid w:val="002579CA"/>
    <w:rsid w:val="0094446E"/>
    <w:rsid w:val="009C675E"/>
    <w:rsid w:val="00A30DB8"/>
    <w:rsid w:val="00FE7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579CA"/>
    <w:rPr>
      <w:color w:val="808080"/>
    </w:rPr>
  </w:style>
  <w:style w:type="paragraph" w:customStyle="1" w:styleId="0B10AD6793B44A698CED382D3E62A28D">
    <w:name w:val="0B10AD6793B44A698CED382D3E62A28D"/>
    <w:rsid w:val="002579CA"/>
  </w:style>
  <w:style w:type="paragraph" w:customStyle="1" w:styleId="4CCDAD6EC2444F15903F9C08BCB6362D">
    <w:name w:val="4CCDAD6EC2444F15903F9C08BCB6362D"/>
    <w:rsid w:val="002579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787E0-6727-4373-8BE3-4DFCD2F60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2697</Words>
  <Characters>19718</Characters>
  <Application>Microsoft Office Word</Application>
  <DocSecurity>0</DocSecurity>
  <Lines>386</Lines>
  <Paragraphs>155</Paragraphs>
  <ScaleCrop>false</ScaleCrop>
  <Company/>
  <LinksUpToDate>false</LinksUpToDate>
  <CharactersWithSpaces>22270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&amp; Organisational Behaviour (BMIH5004)</dc:title>
  <dc:subject/>
  <dc:creator>Maria Ana Iordache, 2126874</dc:creator>
  <cp:keywords/>
  <dc:description/>
  <cp:lastModifiedBy>Maria Ana Iordache</cp:lastModifiedBy>
  <cp:revision>260</cp:revision>
  <dcterms:created xsi:type="dcterms:W3CDTF">2024-02-18T17:43:00Z</dcterms:created>
  <dcterms:modified xsi:type="dcterms:W3CDTF">2024-02-21T03:29:00Z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5b29b93259d501cd0e294a22f61d10dad1d496ebd01467bfb47b51b5f1e0ac9b</vt:lpwstr>
  </property>
</Properties>
</file>