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15CBD" w:rsidRDefault="00960C0F">
      <w:pPr>
        <w:jc w:val="center"/>
        <w:rPr>
          <w:rFonts w:ascii="Times New Roman" w:eastAsia="Times New Roman" w:hAnsi="Times New Roman" w:cs="Times New Roman"/>
          <w:b/>
          <w:bCs/>
          <w:sz w:val="48"/>
          <w:szCs w:val="48"/>
        </w:rPr>
      </w:pPr>
      <w:r>
        <w:rPr>
          <w:rFonts w:ascii="Times New Roman" w:eastAsia="Times New Roman" w:hAnsi="Times New Roman" w:cs="Times New Roman"/>
          <w:b/>
          <w:bCs/>
          <w:sz w:val="48"/>
          <w:szCs w:val="48"/>
        </w:rPr>
        <w:t>Strategic Management and Sustainability</w:t>
      </w:r>
    </w:p>
    <w:p w14:paraId="00000002" w14:textId="77777777" w:rsidR="00215CBD" w:rsidRDefault="00215CBD">
      <w:pPr>
        <w:jc w:val="center"/>
        <w:rPr>
          <w:rFonts w:ascii="Times New Roman" w:eastAsia="Times New Roman" w:hAnsi="Times New Roman" w:cs="Times New Roman"/>
          <w:b/>
          <w:bCs/>
          <w:sz w:val="48"/>
          <w:szCs w:val="48"/>
        </w:rPr>
      </w:pPr>
    </w:p>
    <w:p w14:paraId="00000003" w14:textId="77777777" w:rsidR="00215CBD" w:rsidRDefault="00215CBD">
      <w:pPr>
        <w:jc w:val="center"/>
        <w:rPr>
          <w:rFonts w:ascii="Times New Roman" w:eastAsia="Times New Roman" w:hAnsi="Times New Roman" w:cs="Times New Roman"/>
          <w:b/>
          <w:bCs/>
          <w:sz w:val="48"/>
          <w:szCs w:val="48"/>
        </w:rPr>
      </w:pPr>
    </w:p>
    <w:p w14:paraId="00000004" w14:textId="77777777" w:rsidR="00215CBD" w:rsidRDefault="00215CBD">
      <w:pPr>
        <w:jc w:val="center"/>
        <w:rPr>
          <w:rFonts w:ascii="Times New Roman" w:eastAsia="Times New Roman" w:hAnsi="Times New Roman" w:cs="Times New Roman"/>
          <w:b/>
          <w:bCs/>
          <w:sz w:val="48"/>
          <w:szCs w:val="48"/>
        </w:rPr>
      </w:pPr>
    </w:p>
    <w:p w14:paraId="00000005" w14:textId="77777777" w:rsidR="00215CBD" w:rsidRDefault="00215CBD">
      <w:pPr>
        <w:jc w:val="center"/>
        <w:rPr>
          <w:rFonts w:ascii="Times New Roman" w:eastAsia="Times New Roman" w:hAnsi="Times New Roman" w:cs="Times New Roman"/>
          <w:b/>
          <w:bCs/>
          <w:sz w:val="48"/>
          <w:szCs w:val="48"/>
        </w:rPr>
      </w:pPr>
    </w:p>
    <w:p w14:paraId="00000006" w14:textId="77777777" w:rsidR="00215CBD" w:rsidRDefault="00215CBD">
      <w:pPr>
        <w:jc w:val="center"/>
        <w:rPr>
          <w:rFonts w:ascii="Times New Roman" w:eastAsia="Times New Roman" w:hAnsi="Times New Roman" w:cs="Times New Roman"/>
          <w:b/>
          <w:bCs/>
          <w:sz w:val="48"/>
          <w:szCs w:val="48"/>
        </w:rPr>
      </w:pPr>
    </w:p>
    <w:p w14:paraId="00000007" w14:textId="77777777" w:rsidR="00215CBD" w:rsidRDefault="00215CBD">
      <w:pPr>
        <w:jc w:val="center"/>
        <w:rPr>
          <w:rFonts w:ascii="Times New Roman" w:eastAsia="Times New Roman" w:hAnsi="Times New Roman" w:cs="Times New Roman"/>
          <w:b/>
          <w:bCs/>
          <w:sz w:val="48"/>
          <w:szCs w:val="48"/>
        </w:rPr>
      </w:pPr>
    </w:p>
    <w:p w14:paraId="00000008" w14:textId="77777777" w:rsidR="00215CBD" w:rsidRDefault="00215CBD">
      <w:pPr>
        <w:jc w:val="center"/>
        <w:rPr>
          <w:rFonts w:ascii="Times New Roman" w:eastAsia="Times New Roman" w:hAnsi="Times New Roman" w:cs="Times New Roman"/>
          <w:b/>
          <w:bCs/>
          <w:sz w:val="48"/>
          <w:szCs w:val="48"/>
        </w:rPr>
      </w:pPr>
    </w:p>
    <w:p w14:paraId="00000009" w14:textId="77777777" w:rsidR="00215CBD" w:rsidRDefault="00960C0F">
      <w:pPr>
        <w:rPr>
          <w:rFonts w:ascii="Times New Roman" w:eastAsia="Times New Roman" w:hAnsi="Times New Roman" w:cs="Times New Roman"/>
          <w:b/>
          <w:bCs/>
        </w:rPr>
      </w:pPr>
      <w:r>
        <w:rPr>
          <w:rFonts w:ascii="Times New Roman" w:eastAsia="Times New Roman" w:hAnsi="Times New Roman" w:cs="Times New Roman"/>
          <w:b/>
          <w:bCs/>
        </w:rPr>
        <w:t>Student name: Gabriela Vasilica Coteneanu</w:t>
      </w:r>
    </w:p>
    <w:p w14:paraId="0000000A" w14:textId="77777777" w:rsidR="00215CBD" w:rsidRDefault="00215CBD">
      <w:pPr>
        <w:rPr>
          <w:rFonts w:ascii="Times New Roman" w:eastAsia="Times New Roman" w:hAnsi="Times New Roman" w:cs="Times New Roman"/>
          <w:b/>
          <w:bCs/>
        </w:rPr>
      </w:pPr>
    </w:p>
    <w:p w14:paraId="0000000B" w14:textId="77777777" w:rsidR="00215CBD" w:rsidRDefault="00960C0F">
      <w:pPr>
        <w:rPr>
          <w:rFonts w:ascii="Times New Roman" w:eastAsia="Times New Roman" w:hAnsi="Times New Roman" w:cs="Times New Roman"/>
          <w:b/>
          <w:bCs/>
        </w:rPr>
      </w:pPr>
      <w:r>
        <w:rPr>
          <w:rFonts w:ascii="Times New Roman" w:eastAsia="Times New Roman" w:hAnsi="Times New Roman" w:cs="Times New Roman"/>
          <w:b/>
          <w:bCs/>
        </w:rPr>
        <w:t>Student number: 2243467</w:t>
      </w:r>
    </w:p>
    <w:p w14:paraId="0000000C" w14:textId="77777777" w:rsidR="00215CBD" w:rsidRDefault="00215CBD">
      <w:pPr>
        <w:rPr>
          <w:rFonts w:ascii="Times New Roman" w:eastAsia="Times New Roman" w:hAnsi="Times New Roman" w:cs="Times New Roman"/>
          <w:b/>
          <w:bCs/>
        </w:rPr>
      </w:pPr>
    </w:p>
    <w:p w14:paraId="0000000D" w14:textId="77777777" w:rsidR="00215CBD" w:rsidRDefault="00215CBD">
      <w:pPr>
        <w:rPr>
          <w:rFonts w:ascii="Times New Roman" w:eastAsia="Times New Roman" w:hAnsi="Times New Roman" w:cs="Times New Roman"/>
          <w:b/>
          <w:bCs/>
        </w:rPr>
      </w:pPr>
    </w:p>
    <w:p w14:paraId="0000000E" w14:textId="77777777" w:rsidR="00215CBD" w:rsidRDefault="00215CBD">
      <w:pPr>
        <w:rPr>
          <w:rFonts w:ascii="Times New Roman" w:eastAsia="Times New Roman" w:hAnsi="Times New Roman" w:cs="Times New Roman"/>
          <w:b/>
          <w:bCs/>
        </w:rPr>
      </w:pPr>
    </w:p>
    <w:p w14:paraId="0000000F" w14:textId="77777777" w:rsidR="00215CBD" w:rsidRDefault="00215CBD">
      <w:pPr>
        <w:rPr>
          <w:rFonts w:ascii="Times New Roman" w:eastAsia="Times New Roman" w:hAnsi="Times New Roman" w:cs="Times New Roman"/>
          <w:b/>
          <w:bCs/>
        </w:rPr>
      </w:pPr>
    </w:p>
    <w:p w14:paraId="00000010" w14:textId="77777777" w:rsidR="00215CBD" w:rsidRDefault="00215CBD">
      <w:pPr>
        <w:rPr>
          <w:rFonts w:ascii="Times New Roman" w:eastAsia="Times New Roman" w:hAnsi="Times New Roman" w:cs="Times New Roman"/>
          <w:b/>
          <w:bCs/>
        </w:rPr>
      </w:pPr>
    </w:p>
    <w:p w14:paraId="00000011" w14:textId="77777777" w:rsidR="00215CBD" w:rsidRDefault="00215CBD">
      <w:pPr>
        <w:rPr>
          <w:rFonts w:ascii="Times New Roman" w:eastAsia="Times New Roman" w:hAnsi="Times New Roman" w:cs="Times New Roman"/>
          <w:b/>
          <w:bCs/>
        </w:rPr>
      </w:pPr>
    </w:p>
    <w:p w14:paraId="00000012" w14:textId="77777777" w:rsidR="00215CBD" w:rsidRDefault="00215CBD">
      <w:pPr>
        <w:rPr>
          <w:rFonts w:ascii="Times New Roman" w:eastAsia="Times New Roman" w:hAnsi="Times New Roman" w:cs="Times New Roman"/>
          <w:b/>
          <w:bCs/>
        </w:rPr>
      </w:pPr>
    </w:p>
    <w:p w14:paraId="00000013" w14:textId="77777777" w:rsidR="00215CBD" w:rsidRDefault="00215CBD">
      <w:pPr>
        <w:rPr>
          <w:rFonts w:ascii="Times New Roman" w:eastAsia="Times New Roman" w:hAnsi="Times New Roman" w:cs="Times New Roman"/>
          <w:b/>
          <w:bCs/>
        </w:rPr>
      </w:pPr>
    </w:p>
    <w:p w14:paraId="00000014" w14:textId="77777777" w:rsidR="00215CBD" w:rsidRDefault="00215CBD">
      <w:pPr>
        <w:rPr>
          <w:rFonts w:ascii="Times New Roman" w:eastAsia="Times New Roman" w:hAnsi="Times New Roman" w:cs="Times New Roman"/>
          <w:b/>
          <w:bCs/>
        </w:rPr>
      </w:pPr>
    </w:p>
    <w:p w14:paraId="00000015" w14:textId="77777777" w:rsidR="00215CBD" w:rsidRDefault="00215CBD">
      <w:pPr>
        <w:rPr>
          <w:rFonts w:ascii="Times New Roman" w:eastAsia="Times New Roman" w:hAnsi="Times New Roman" w:cs="Times New Roman"/>
          <w:b/>
          <w:bCs/>
        </w:rPr>
      </w:pPr>
    </w:p>
    <w:p w14:paraId="00000016" w14:textId="77777777" w:rsidR="00215CBD" w:rsidRDefault="00215CBD">
      <w:pPr>
        <w:rPr>
          <w:rFonts w:ascii="Times New Roman" w:eastAsia="Times New Roman" w:hAnsi="Times New Roman" w:cs="Times New Roman"/>
          <w:b/>
          <w:bCs/>
        </w:rPr>
      </w:pPr>
    </w:p>
    <w:p w14:paraId="00000017" w14:textId="77777777" w:rsidR="00215CBD" w:rsidRDefault="00215CBD">
      <w:pPr>
        <w:rPr>
          <w:rFonts w:ascii="Times New Roman" w:eastAsia="Times New Roman" w:hAnsi="Times New Roman" w:cs="Times New Roman"/>
          <w:b/>
          <w:bCs/>
        </w:rPr>
      </w:pPr>
    </w:p>
    <w:p w14:paraId="00000018" w14:textId="77777777" w:rsidR="00215CBD" w:rsidRDefault="00215CBD">
      <w:pPr>
        <w:rPr>
          <w:rFonts w:ascii="Times New Roman" w:eastAsia="Times New Roman" w:hAnsi="Times New Roman" w:cs="Times New Roman"/>
          <w:b/>
          <w:bCs/>
        </w:rPr>
      </w:pPr>
    </w:p>
    <w:p w14:paraId="00000019" w14:textId="77777777" w:rsidR="00215CBD" w:rsidRDefault="00215CBD">
      <w:pPr>
        <w:rPr>
          <w:rFonts w:ascii="Times New Roman" w:eastAsia="Times New Roman" w:hAnsi="Times New Roman" w:cs="Times New Roman"/>
          <w:b/>
          <w:bCs/>
        </w:rPr>
      </w:pPr>
    </w:p>
    <w:p w14:paraId="0000001A" w14:textId="77777777" w:rsidR="00215CBD" w:rsidRDefault="00215CBD">
      <w:pPr>
        <w:rPr>
          <w:rFonts w:ascii="Times New Roman" w:eastAsia="Times New Roman" w:hAnsi="Times New Roman" w:cs="Times New Roman"/>
          <w:b/>
          <w:bCs/>
        </w:rPr>
      </w:pPr>
    </w:p>
    <w:p w14:paraId="0000001B" w14:textId="77777777" w:rsidR="00215CBD" w:rsidRDefault="00215CBD">
      <w:pPr>
        <w:rPr>
          <w:rFonts w:ascii="Times New Roman" w:eastAsia="Times New Roman" w:hAnsi="Times New Roman" w:cs="Times New Roman"/>
          <w:b/>
          <w:bCs/>
        </w:rPr>
      </w:pPr>
    </w:p>
    <w:p w14:paraId="0000001C" w14:textId="77777777" w:rsidR="00215CBD" w:rsidRDefault="00215CBD">
      <w:pPr>
        <w:rPr>
          <w:rFonts w:ascii="Times New Roman" w:eastAsia="Times New Roman" w:hAnsi="Times New Roman" w:cs="Times New Roman"/>
          <w:b/>
          <w:bCs/>
        </w:rPr>
      </w:pPr>
    </w:p>
    <w:p w14:paraId="0000001D" w14:textId="77777777" w:rsidR="00215CBD" w:rsidRDefault="00215CBD">
      <w:pPr>
        <w:rPr>
          <w:rFonts w:ascii="Times New Roman" w:eastAsia="Times New Roman" w:hAnsi="Times New Roman" w:cs="Times New Roman"/>
          <w:b/>
          <w:bCs/>
        </w:rPr>
      </w:pPr>
    </w:p>
    <w:p w14:paraId="0000001E" w14:textId="77777777" w:rsidR="00215CBD" w:rsidRDefault="00215CBD">
      <w:pPr>
        <w:rPr>
          <w:rFonts w:ascii="Times New Roman" w:eastAsia="Times New Roman" w:hAnsi="Times New Roman" w:cs="Times New Roman"/>
          <w:b/>
          <w:bCs/>
        </w:rPr>
      </w:pPr>
    </w:p>
    <w:p w14:paraId="0000001F" w14:textId="77777777" w:rsidR="00215CBD" w:rsidRDefault="00215CBD">
      <w:pPr>
        <w:rPr>
          <w:rFonts w:ascii="Times New Roman" w:eastAsia="Times New Roman" w:hAnsi="Times New Roman" w:cs="Times New Roman"/>
          <w:b/>
          <w:bCs/>
        </w:rPr>
      </w:pPr>
    </w:p>
    <w:p w14:paraId="00000020" w14:textId="77777777" w:rsidR="00215CBD" w:rsidRDefault="00215CBD">
      <w:pPr>
        <w:rPr>
          <w:rFonts w:ascii="Times New Roman" w:eastAsia="Times New Roman" w:hAnsi="Times New Roman" w:cs="Times New Roman"/>
          <w:b/>
          <w:bCs/>
        </w:rPr>
      </w:pPr>
    </w:p>
    <w:p w14:paraId="00000021" w14:textId="77777777" w:rsidR="00215CBD" w:rsidRDefault="00215CBD">
      <w:pPr>
        <w:rPr>
          <w:rFonts w:ascii="Times New Roman" w:eastAsia="Times New Roman" w:hAnsi="Times New Roman" w:cs="Times New Roman"/>
          <w:b/>
          <w:bCs/>
        </w:rPr>
      </w:pPr>
    </w:p>
    <w:p w14:paraId="00000022" w14:textId="77777777" w:rsidR="00215CBD" w:rsidRDefault="00215CBD">
      <w:pPr>
        <w:rPr>
          <w:rFonts w:ascii="Times New Roman" w:eastAsia="Times New Roman" w:hAnsi="Times New Roman" w:cs="Times New Roman"/>
          <w:b/>
          <w:bCs/>
        </w:rPr>
      </w:pPr>
    </w:p>
    <w:p w14:paraId="00000023" w14:textId="77777777" w:rsidR="00215CBD" w:rsidRDefault="00215CBD">
      <w:pPr>
        <w:rPr>
          <w:rFonts w:ascii="Times New Roman" w:eastAsia="Times New Roman" w:hAnsi="Times New Roman" w:cs="Times New Roman"/>
          <w:b/>
          <w:bCs/>
        </w:rPr>
      </w:pPr>
    </w:p>
    <w:p w14:paraId="00000024" w14:textId="77777777" w:rsidR="00215CBD" w:rsidRDefault="00215CBD">
      <w:pPr>
        <w:rPr>
          <w:rFonts w:ascii="Times New Roman" w:eastAsia="Times New Roman" w:hAnsi="Times New Roman" w:cs="Times New Roman"/>
          <w:b/>
          <w:bCs/>
        </w:rPr>
      </w:pPr>
    </w:p>
    <w:p w14:paraId="00000025" w14:textId="77777777" w:rsidR="00215CBD" w:rsidRDefault="00215CBD">
      <w:pPr>
        <w:rPr>
          <w:rFonts w:ascii="Times New Roman" w:eastAsia="Times New Roman" w:hAnsi="Times New Roman" w:cs="Times New Roman"/>
          <w:b/>
          <w:bCs/>
        </w:rPr>
      </w:pPr>
    </w:p>
    <w:p w14:paraId="00000026" w14:textId="77777777" w:rsidR="00215CBD" w:rsidRDefault="00215CBD">
      <w:pPr>
        <w:rPr>
          <w:rFonts w:ascii="Times New Roman" w:eastAsia="Times New Roman" w:hAnsi="Times New Roman" w:cs="Times New Roman"/>
          <w:b/>
          <w:bCs/>
        </w:rPr>
      </w:pPr>
    </w:p>
    <w:p w14:paraId="00000027" w14:textId="77777777" w:rsidR="00215CBD" w:rsidRDefault="00215CBD">
      <w:pPr>
        <w:rPr>
          <w:rFonts w:ascii="Times New Roman" w:eastAsia="Times New Roman" w:hAnsi="Times New Roman" w:cs="Times New Roman"/>
          <w:b/>
          <w:bCs/>
        </w:rPr>
      </w:pPr>
    </w:p>
    <w:p w14:paraId="00000028" w14:textId="77777777" w:rsidR="00215CBD" w:rsidRDefault="00215CBD">
      <w:pPr>
        <w:rPr>
          <w:rFonts w:ascii="Times New Roman" w:eastAsia="Times New Roman" w:hAnsi="Times New Roman" w:cs="Times New Roman"/>
          <w:b/>
          <w:bCs/>
        </w:rPr>
      </w:pPr>
    </w:p>
    <w:p w14:paraId="00000029" w14:textId="77777777" w:rsidR="00215CBD" w:rsidRDefault="00215CBD">
      <w:pPr>
        <w:rPr>
          <w:rFonts w:ascii="Times New Roman" w:eastAsia="Times New Roman" w:hAnsi="Times New Roman" w:cs="Times New Roman"/>
          <w:b/>
          <w:bCs/>
        </w:rPr>
      </w:pPr>
    </w:p>
    <w:p w14:paraId="0000002A" w14:textId="77777777" w:rsidR="00215CBD" w:rsidRDefault="00215CBD">
      <w:pPr>
        <w:rPr>
          <w:rFonts w:ascii="Times New Roman" w:eastAsia="Times New Roman" w:hAnsi="Times New Roman" w:cs="Times New Roman"/>
          <w:b/>
          <w:bCs/>
        </w:rPr>
      </w:pPr>
    </w:p>
    <w:p w14:paraId="0000002B" w14:textId="77777777" w:rsidR="00215CBD" w:rsidRDefault="00960C0F">
      <w:pPr>
        <w:pStyle w:val="Heading1"/>
      </w:pPr>
      <w:bookmarkStart w:id="0" w:name="_61e4agi1n70d" w:colFirst="0" w:colLast="0"/>
      <w:bookmarkEnd w:id="0"/>
      <w:r>
        <w:lastRenderedPageBreak/>
        <w:t xml:space="preserve">1. Executive Summary </w:t>
      </w:r>
    </w:p>
    <w:p w14:paraId="0000002C"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Jaguar Land Rover (JLR) is a company in a UK automotive industry that is experiencing significant disruption due to the transition to electric cars, increased environmental policy, and the increase of competition globally. Since Brexit and these pressures have increased, there has been the need to be more technologically capable and increase the strength of the supply chain. Straitening emissions regulations, fast development of EV and software, and aggressive competition by Tesla, German luxury brands, and</w:t>
      </w:r>
      <w:r>
        <w:rPr>
          <w:rFonts w:ascii="Times New Roman" w:eastAsia="Times New Roman" w:hAnsi="Times New Roman" w:cs="Times New Roman"/>
        </w:rPr>
        <w:t xml:space="preserve"> rapidly developing Chinese EV producers constitute the external environment of JLR.</w:t>
      </w:r>
    </w:p>
    <w:p w14:paraId="0000002D"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Within the company, JLR has a great brand equity with the Range Rover and Defender brands and the financial support of Tata Motors. Nonetheless, it has apparent limitations, such as a lack of in-house battery technology, unreliable production processes, and dependence on other vendors of essential parts.</w:t>
      </w:r>
    </w:p>
    <w:p w14:paraId="0000002E"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Three strategic options identified by the report include the establishment of the advanced EV technology partnerships, localisation of the supply chain, as well as the differenceiation through the high-end EV products. The suggested course of action is the hybridization of the initial two, allowing JLR to have a quicker entry to the state-of-the-art EV but enhancing the manufacturing sustainability and competitiveness in the long-term.</w:t>
      </w:r>
    </w:p>
    <w:p w14:paraId="0000002F" w14:textId="77777777" w:rsidR="00215CBD" w:rsidRDefault="00215CBD">
      <w:pPr>
        <w:spacing w:line="360" w:lineRule="auto"/>
        <w:jc w:val="both"/>
        <w:rPr>
          <w:rFonts w:ascii="Times New Roman" w:eastAsia="Times New Roman" w:hAnsi="Times New Roman" w:cs="Times New Roman"/>
        </w:rPr>
      </w:pPr>
    </w:p>
    <w:p w14:paraId="00000030" w14:textId="77777777" w:rsidR="00215CBD" w:rsidRDefault="00215CBD">
      <w:pPr>
        <w:spacing w:line="360" w:lineRule="auto"/>
        <w:jc w:val="both"/>
        <w:rPr>
          <w:rFonts w:ascii="Times New Roman" w:eastAsia="Times New Roman" w:hAnsi="Times New Roman" w:cs="Times New Roman"/>
        </w:rPr>
      </w:pPr>
    </w:p>
    <w:p w14:paraId="00000031" w14:textId="77777777" w:rsidR="00215CBD" w:rsidRDefault="00215CBD">
      <w:pPr>
        <w:spacing w:line="360" w:lineRule="auto"/>
        <w:jc w:val="both"/>
        <w:rPr>
          <w:rFonts w:ascii="Times New Roman" w:eastAsia="Times New Roman" w:hAnsi="Times New Roman" w:cs="Times New Roman"/>
        </w:rPr>
      </w:pPr>
    </w:p>
    <w:p w14:paraId="00000032" w14:textId="77777777" w:rsidR="00215CBD" w:rsidRDefault="00215CBD">
      <w:pPr>
        <w:spacing w:line="360" w:lineRule="auto"/>
        <w:jc w:val="both"/>
        <w:rPr>
          <w:rFonts w:ascii="Times New Roman" w:eastAsia="Times New Roman" w:hAnsi="Times New Roman" w:cs="Times New Roman"/>
        </w:rPr>
      </w:pPr>
    </w:p>
    <w:p w14:paraId="00000033" w14:textId="77777777" w:rsidR="00215CBD" w:rsidRDefault="00215CBD">
      <w:pPr>
        <w:spacing w:line="360" w:lineRule="auto"/>
        <w:jc w:val="both"/>
        <w:rPr>
          <w:rFonts w:ascii="Times New Roman" w:eastAsia="Times New Roman" w:hAnsi="Times New Roman" w:cs="Times New Roman"/>
        </w:rPr>
      </w:pPr>
    </w:p>
    <w:p w14:paraId="00000034" w14:textId="77777777" w:rsidR="00215CBD" w:rsidRDefault="00215CBD">
      <w:pPr>
        <w:spacing w:line="360" w:lineRule="auto"/>
        <w:jc w:val="both"/>
        <w:rPr>
          <w:rFonts w:ascii="Times New Roman" w:eastAsia="Times New Roman" w:hAnsi="Times New Roman" w:cs="Times New Roman"/>
        </w:rPr>
      </w:pPr>
    </w:p>
    <w:p w14:paraId="00000035" w14:textId="77777777" w:rsidR="00215CBD" w:rsidRDefault="00215CBD">
      <w:pPr>
        <w:spacing w:line="360" w:lineRule="auto"/>
        <w:jc w:val="both"/>
        <w:rPr>
          <w:rFonts w:ascii="Times New Roman" w:eastAsia="Times New Roman" w:hAnsi="Times New Roman" w:cs="Times New Roman"/>
        </w:rPr>
      </w:pPr>
    </w:p>
    <w:p w14:paraId="00000036" w14:textId="77777777" w:rsidR="00215CBD" w:rsidRDefault="00215CBD">
      <w:pPr>
        <w:spacing w:line="360" w:lineRule="auto"/>
        <w:jc w:val="both"/>
        <w:rPr>
          <w:rFonts w:ascii="Times New Roman" w:eastAsia="Times New Roman" w:hAnsi="Times New Roman" w:cs="Times New Roman"/>
        </w:rPr>
      </w:pPr>
    </w:p>
    <w:p w14:paraId="00000037" w14:textId="77777777" w:rsidR="00215CBD" w:rsidRDefault="00215CBD">
      <w:pPr>
        <w:spacing w:line="360" w:lineRule="auto"/>
        <w:jc w:val="both"/>
        <w:rPr>
          <w:rFonts w:ascii="Times New Roman" w:eastAsia="Times New Roman" w:hAnsi="Times New Roman" w:cs="Times New Roman"/>
        </w:rPr>
      </w:pPr>
    </w:p>
    <w:p w14:paraId="00000038" w14:textId="77777777" w:rsidR="00215CBD" w:rsidRDefault="00215CBD">
      <w:pPr>
        <w:spacing w:line="360" w:lineRule="auto"/>
        <w:jc w:val="both"/>
        <w:rPr>
          <w:rFonts w:ascii="Times New Roman" w:eastAsia="Times New Roman" w:hAnsi="Times New Roman" w:cs="Times New Roman"/>
        </w:rPr>
      </w:pPr>
    </w:p>
    <w:p w14:paraId="00000039" w14:textId="77777777" w:rsidR="00215CBD" w:rsidRDefault="00215CBD">
      <w:pPr>
        <w:spacing w:line="360" w:lineRule="auto"/>
        <w:jc w:val="both"/>
        <w:rPr>
          <w:rFonts w:ascii="Times New Roman" w:eastAsia="Times New Roman" w:hAnsi="Times New Roman" w:cs="Times New Roman"/>
        </w:rPr>
      </w:pPr>
    </w:p>
    <w:p w14:paraId="0000003A" w14:textId="77777777" w:rsidR="00215CBD" w:rsidRDefault="00215CBD">
      <w:pPr>
        <w:spacing w:line="360" w:lineRule="auto"/>
        <w:jc w:val="both"/>
        <w:rPr>
          <w:rFonts w:ascii="Times New Roman" w:eastAsia="Times New Roman" w:hAnsi="Times New Roman" w:cs="Times New Roman"/>
        </w:rPr>
      </w:pPr>
    </w:p>
    <w:p w14:paraId="0000003B" w14:textId="77777777" w:rsidR="00215CBD" w:rsidRDefault="00215CBD">
      <w:pPr>
        <w:spacing w:line="360" w:lineRule="auto"/>
        <w:jc w:val="both"/>
        <w:rPr>
          <w:rFonts w:ascii="Times New Roman" w:eastAsia="Times New Roman" w:hAnsi="Times New Roman" w:cs="Times New Roman"/>
        </w:rPr>
      </w:pPr>
    </w:p>
    <w:p w14:paraId="0000003C" w14:textId="77777777" w:rsidR="00215CBD" w:rsidRDefault="00215CBD">
      <w:pPr>
        <w:spacing w:line="360" w:lineRule="auto"/>
        <w:jc w:val="both"/>
        <w:rPr>
          <w:rFonts w:ascii="Times New Roman" w:eastAsia="Times New Roman" w:hAnsi="Times New Roman" w:cs="Times New Roman"/>
        </w:rPr>
      </w:pPr>
    </w:p>
    <w:p w14:paraId="0000003D" w14:textId="77777777" w:rsidR="00215CBD" w:rsidRDefault="00960C0F">
      <w:pPr>
        <w:keepNext/>
        <w:keepLines/>
        <w:pBdr>
          <w:top w:val="nil"/>
          <w:left w:val="nil"/>
          <w:bottom w:val="nil"/>
          <w:right w:val="nil"/>
          <w:between w:val="nil"/>
        </w:pBdr>
        <w:spacing w:before="480" w:line="276" w:lineRule="auto"/>
        <w:rPr>
          <w:rFonts w:ascii="Play" w:eastAsia="Play" w:hAnsi="Play" w:cs="Play"/>
          <w:b/>
          <w:bCs/>
          <w:color w:val="0F4761"/>
          <w:sz w:val="28"/>
          <w:szCs w:val="28"/>
        </w:rPr>
      </w:pPr>
      <w:r>
        <w:rPr>
          <w:rFonts w:ascii="Play" w:eastAsia="Play" w:hAnsi="Play" w:cs="Play"/>
          <w:b/>
          <w:bCs/>
          <w:color w:val="0F4761"/>
          <w:sz w:val="28"/>
          <w:szCs w:val="28"/>
        </w:rPr>
        <w:lastRenderedPageBreak/>
        <w:t>Table of Contents</w:t>
      </w:r>
    </w:p>
    <w:sdt>
      <w:sdtPr>
        <w:id w:val="-447994603"/>
        <w:docPartObj>
          <w:docPartGallery w:val="Table of Contents"/>
          <w:docPartUnique/>
        </w:docPartObj>
      </w:sdtPr>
      <w:sdtEndPr/>
      <w:sdtContent>
        <w:p w14:paraId="0000003E" w14:textId="77777777" w:rsidR="00215CBD" w:rsidRDefault="00960C0F">
          <w:pPr>
            <w:pBdr>
              <w:top w:val="nil"/>
              <w:left w:val="nil"/>
              <w:bottom w:val="nil"/>
              <w:right w:val="nil"/>
              <w:between w:val="nil"/>
            </w:pBdr>
            <w:tabs>
              <w:tab w:val="right" w:pos="9016"/>
            </w:tabs>
            <w:spacing w:before="120"/>
            <w:rPr>
              <w:b/>
              <w:bCs/>
              <w:i/>
              <w:iCs/>
              <w:color w:val="000000"/>
            </w:rPr>
          </w:pPr>
          <w:r>
            <w:fldChar w:fldCharType="begin"/>
          </w:r>
          <w:r>
            <w:instrText xml:space="preserve"> TOC \h \u \z \t "Heading 1,1,Heading 2,2,Heading 3,3,"</w:instrText>
          </w:r>
          <w:r>
            <w:fldChar w:fldCharType="separate"/>
          </w:r>
          <w:hyperlink w:anchor="_61e4agi1n70d">
            <w:r>
              <w:rPr>
                <w:b/>
                <w:bCs/>
                <w:i/>
                <w:iCs/>
                <w:color w:val="000000"/>
              </w:rPr>
              <w:t>1. Executive Summary</w:t>
            </w:r>
            <w:r>
              <w:rPr>
                <w:b/>
                <w:bCs/>
                <w:i/>
                <w:iCs/>
                <w:color w:val="000000"/>
              </w:rPr>
              <w:tab/>
              <w:t>2</w:t>
            </w:r>
          </w:hyperlink>
        </w:p>
        <w:p w14:paraId="0000003F" w14:textId="77777777" w:rsidR="00215CBD" w:rsidRDefault="00960C0F">
          <w:pPr>
            <w:pBdr>
              <w:top w:val="nil"/>
              <w:left w:val="nil"/>
              <w:bottom w:val="nil"/>
              <w:right w:val="nil"/>
              <w:between w:val="nil"/>
            </w:pBdr>
            <w:tabs>
              <w:tab w:val="right" w:pos="9016"/>
            </w:tabs>
            <w:spacing w:before="120"/>
            <w:rPr>
              <w:b/>
              <w:bCs/>
              <w:i/>
              <w:iCs/>
              <w:color w:val="000000"/>
            </w:rPr>
          </w:pPr>
          <w:hyperlink w:anchor="_ki1xyg2iwanp">
            <w:r>
              <w:rPr>
                <w:b/>
                <w:bCs/>
                <w:i/>
                <w:iCs/>
                <w:color w:val="000000"/>
              </w:rPr>
              <w:t>2. Introduction</w:t>
            </w:r>
            <w:r>
              <w:rPr>
                <w:b/>
                <w:bCs/>
                <w:i/>
                <w:iCs/>
                <w:color w:val="000000"/>
              </w:rPr>
              <w:tab/>
              <w:t>3</w:t>
            </w:r>
          </w:hyperlink>
        </w:p>
        <w:p w14:paraId="00000040" w14:textId="77777777" w:rsidR="00215CBD" w:rsidRDefault="00960C0F">
          <w:pPr>
            <w:pBdr>
              <w:top w:val="nil"/>
              <w:left w:val="nil"/>
              <w:bottom w:val="nil"/>
              <w:right w:val="nil"/>
              <w:between w:val="nil"/>
            </w:pBdr>
            <w:tabs>
              <w:tab w:val="right" w:pos="9016"/>
            </w:tabs>
            <w:spacing w:before="120"/>
            <w:rPr>
              <w:b/>
              <w:bCs/>
              <w:i/>
              <w:iCs/>
              <w:color w:val="000000"/>
            </w:rPr>
          </w:pPr>
          <w:hyperlink w:anchor="_7ipp5g7ti74h">
            <w:r>
              <w:rPr>
                <w:b/>
                <w:bCs/>
                <w:i/>
                <w:iCs/>
                <w:color w:val="000000"/>
              </w:rPr>
              <w:t>3. Strategy Analysis</w:t>
            </w:r>
            <w:r>
              <w:rPr>
                <w:b/>
                <w:bCs/>
                <w:i/>
                <w:iCs/>
                <w:color w:val="000000"/>
              </w:rPr>
              <w:tab/>
              <w:t>3</w:t>
            </w:r>
          </w:hyperlink>
        </w:p>
        <w:p w14:paraId="00000041" w14:textId="77777777" w:rsidR="00215CBD" w:rsidRDefault="00960C0F">
          <w:pPr>
            <w:pBdr>
              <w:top w:val="nil"/>
              <w:left w:val="nil"/>
              <w:bottom w:val="nil"/>
              <w:right w:val="nil"/>
              <w:between w:val="nil"/>
            </w:pBdr>
            <w:tabs>
              <w:tab w:val="right" w:pos="9016"/>
            </w:tabs>
            <w:spacing w:before="120"/>
            <w:ind w:left="240"/>
            <w:rPr>
              <w:b/>
              <w:bCs/>
              <w:color w:val="000000"/>
              <w:sz w:val="22"/>
              <w:szCs w:val="22"/>
            </w:rPr>
          </w:pPr>
          <w:hyperlink w:anchor="_pz56j59t8vw3">
            <w:r>
              <w:rPr>
                <w:b/>
                <w:bCs/>
                <w:color w:val="000000"/>
                <w:sz w:val="22"/>
                <w:szCs w:val="22"/>
              </w:rPr>
              <w:t>3.1 External Environment Audit</w:t>
            </w:r>
            <w:r>
              <w:rPr>
                <w:b/>
                <w:bCs/>
                <w:color w:val="000000"/>
                <w:sz w:val="22"/>
                <w:szCs w:val="22"/>
              </w:rPr>
              <w:tab/>
              <w:t>3</w:t>
            </w:r>
          </w:hyperlink>
        </w:p>
        <w:p w14:paraId="00000042" w14:textId="77777777" w:rsidR="00215CBD" w:rsidRDefault="00960C0F">
          <w:pPr>
            <w:pBdr>
              <w:top w:val="nil"/>
              <w:left w:val="nil"/>
              <w:bottom w:val="nil"/>
              <w:right w:val="nil"/>
              <w:between w:val="nil"/>
            </w:pBdr>
            <w:tabs>
              <w:tab w:val="right" w:pos="9016"/>
            </w:tabs>
            <w:ind w:left="480"/>
            <w:rPr>
              <w:color w:val="000000"/>
              <w:sz w:val="20"/>
              <w:szCs w:val="20"/>
            </w:rPr>
          </w:pPr>
          <w:hyperlink w:anchor="_rdn18aecwcl4">
            <w:r>
              <w:rPr>
                <w:color w:val="000000"/>
                <w:sz w:val="20"/>
                <w:szCs w:val="20"/>
              </w:rPr>
              <w:t>3.1.1 PESTLE Analysis</w:t>
            </w:r>
            <w:r>
              <w:rPr>
                <w:color w:val="000000"/>
                <w:sz w:val="20"/>
                <w:szCs w:val="20"/>
              </w:rPr>
              <w:tab/>
              <w:t>3</w:t>
            </w:r>
          </w:hyperlink>
        </w:p>
        <w:p w14:paraId="00000043" w14:textId="77777777" w:rsidR="00215CBD" w:rsidRDefault="00960C0F">
          <w:pPr>
            <w:pBdr>
              <w:top w:val="nil"/>
              <w:left w:val="nil"/>
              <w:bottom w:val="nil"/>
              <w:right w:val="nil"/>
              <w:between w:val="nil"/>
            </w:pBdr>
            <w:tabs>
              <w:tab w:val="right" w:pos="9016"/>
            </w:tabs>
            <w:ind w:left="480"/>
            <w:rPr>
              <w:color w:val="000000"/>
              <w:sz w:val="20"/>
              <w:szCs w:val="20"/>
            </w:rPr>
          </w:pPr>
          <w:hyperlink w:anchor="_et5ofkqc6wjh">
            <w:r>
              <w:rPr>
                <w:color w:val="000000"/>
                <w:sz w:val="20"/>
                <w:szCs w:val="20"/>
              </w:rPr>
              <w:t>3.1.2 Porters five Forces</w:t>
            </w:r>
            <w:r>
              <w:rPr>
                <w:color w:val="000000"/>
                <w:sz w:val="20"/>
                <w:szCs w:val="20"/>
              </w:rPr>
              <w:tab/>
              <w:t>4</w:t>
            </w:r>
          </w:hyperlink>
        </w:p>
        <w:p w14:paraId="00000044" w14:textId="77777777" w:rsidR="00215CBD" w:rsidRDefault="00960C0F">
          <w:pPr>
            <w:pBdr>
              <w:top w:val="nil"/>
              <w:left w:val="nil"/>
              <w:bottom w:val="nil"/>
              <w:right w:val="nil"/>
              <w:between w:val="nil"/>
            </w:pBdr>
            <w:tabs>
              <w:tab w:val="right" w:pos="9016"/>
            </w:tabs>
            <w:spacing w:before="120"/>
            <w:ind w:left="240"/>
            <w:rPr>
              <w:b/>
              <w:bCs/>
              <w:color w:val="000000"/>
              <w:sz w:val="22"/>
              <w:szCs w:val="22"/>
            </w:rPr>
          </w:pPr>
          <w:hyperlink w:anchor="_tkphgajwgem3">
            <w:r>
              <w:rPr>
                <w:b/>
                <w:bCs/>
                <w:color w:val="000000"/>
                <w:sz w:val="22"/>
                <w:szCs w:val="22"/>
              </w:rPr>
              <w:t>3.2 Internal Environment Audit</w:t>
            </w:r>
            <w:r>
              <w:rPr>
                <w:b/>
                <w:bCs/>
                <w:color w:val="000000"/>
                <w:sz w:val="22"/>
                <w:szCs w:val="22"/>
              </w:rPr>
              <w:tab/>
              <w:t>5</w:t>
            </w:r>
          </w:hyperlink>
        </w:p>
        <w:p w14:paraId="00000045" w14:textId="77777777" w:rsidR="00215CBD" w:rsidRDefault="00960C0F">
          <w:pPr>
            <w:pBdr>
              <w:top w:val="nil"/>
              <w:left w:val="nil"/>
              <w:bottom w:val="nil"/>
              <w:right w:val="nil"/>
              <w:between w:val="nil"/>
            </w:pBdr>
            <w:tabs>
              <w:tab w:val="right" w:pos="9016"/>
            </w:tabs>
            <w:ind w:left="480"/>
            <w:rPr>
              <w:color w:val="000000"/>
              <w:sz w:val="20"/>
              <w:szCs w:val="20"/>
            </w:rPr>
          </w:pPr>
          <w:hyperlink w:anchor="_2tgaut3j74w6">
            <w:r>
              <w:rPr>
                <w:color w:val="000000"/>
                <w:sz w:val="20"/>
                <w:szCs w:val="20"/>
              </w:rPr>
              <w:t>3.2.1 Value Chain Analysis</w:t>
            </w:r>
            <w:r>
              <w:rPr>
                <w:color w:val="000000"/>
                <w:sz w:val="20"/>
                <w:szCs w:val="20"/>
              </w:rPr>
              <w:tab/>
              <w:t>5</w:t>
            </w:r>
          </w:hyperlink>
        </w:p>
        <w:p w14:paraId="00000046" w14:textId="77777777" w:rsidR="00215CBD" w:rsidRDefault="00960C0F">
          <w:pPr>
            <w:pBdr>
              <w:top w:val="nil"/>
              <w:left w:val="nil"/>
              <w:bottom w:val="nil"/>
              <w:right w:val="nil"/>
              <w:between w:val="nil"/>
            </w:pBdr>
            <w:tabs>
              <w:tab w:val="right" w:pos="9016"/>
            </w:tabs>
            <w:ind w:left="480"/>
            <w:rPr>
              <w:color w:val="000000"/>
              <w:sz w:val="20"/>
              <w:szCs w:val="20"/>
            </w:rPr>
          </w:pPr>
          <w:hyperlink w:anchor="_7b3wvitbzxj7">
            <w:r>
              <w:rPr>
                <w:color w:val="000000"/>
                <w:sz w:val="20"/>
                <w:szCs w:val="20"/>
              </w:rPr>
              <w:t>3.2.2 RBV and VRIO</w:t>
            </w:r>
            <w:r>
              <w:rPr>
                <w:color w:val="000000"/>
                <w:sz w:val="20"/>
                <w:szCs w:val="20"/>
              </w:rPr>
              <w:tab/>
              <w:t>6</w:t>
            </w:r>
          </w:hyperlink>
        </w:p>
        <w:p w14:paraId="00000047" w14:textId="77777777" w:rsidR="00215CBD" w:rsidRDefault="00960C0F">
          <w:pPr>
            <w:pBdr>
              <w:top w:val="nil"/>
              <w:left w:val="nil"/>
              <w:bottom w:val="nil"/>
              <w:right w:val="nil"/>
              <w:between w:val="nil"/>
            </w:pBdr>
            <w:tabs>
              <w:tab w:val="right" w:pos="9016"/>
            </w:tabs>
            <w:ind w:left="480"/>
            <w:rPr>
              <w:color w:val="000000"/>
              <w:sz w:val="20"/>
              <w:szCs w:val="20"/>
            </w:rPr>
          </w:pPr>
          <w:hyperlink w:anchor="_gkpdqw46l3f9">
            <w:r>
              <w:rPr>
                <w:color w:val="000000"/>
                <w:sz w:val="20"/>
                <w:szCs w:val="20"/>
              </w:rPr>
              <w:t>3.3 SWOT Synthesis</w:t>
            </w:r>
            <w:r>
              <w:rPr>
                <w:color w:val="000000"/>
                <w:sz w:val="20"/>
                <w:szCs w:val="20"/>
              </w:rPr>
              <w:tab/>
              <w:t>6</w:t>
            </w:r>
          </w:hyperlink>
        </w:p>
        <w:p w14:paraId="00000048" w14:textId="77777777" w:rsidR="00215CBD" w:rsidRDefault="00960C0F">
          <w:pPr>
            <w:pBdr>
              <w:top w:val="nil"/>
              <w:left w:val="nil"/>
              <w:bottom w:val="nil"/>
              <w:right w:val="nil"/>
              <w:between w:val="nil"/>
            </w:pBdr>
            <w:tabs>
              <w:tab w:val="right" w:pos="9016"/>
            </w:tabs>
            <w:spacing w:before="120"/>
            <w:rPr>
              <w:b/>
              <w:bCs/>
              <w:i/>
              <w:iCs/>
              <w:color w:val="000000"/>
            </w:rPr>
          </w:pPr>
          <w:hyperlink w:anchor="_pbfas1yj2z6r">
            <w:r>
              <w:rPr>
                <w:b/>
                <w:bCs/>
                <w:i/>
                <w:iCs/>
                <w:color w:val="000000"/>
              </w:rPr>
              <w:t>4. Strategy Formulation</w:t>
            </w:r>
            <w:r>
              <w:rPr>
                <w:b/>
                <w:bCs/>
                <w:i/>
                <w:iCs/>
                <w:color w:val="000000"/>
              </w:rPr>
              <w:tab/>
              <w:t>7</w:t>
            </w:r>
          </w:hyperlink>
        </w:p>
        <w:p w14:paraId="00000049" w14:textId="77777777" w:rsidR="00215CBD" w:rsidRDefault="00960C0F">
          <w:pPr>
            <w:pBdr>
              <w:top w:val="nil"/>
              <w:left w:val="nil"/>
              <w:bottom w:val="nil"/>
              <w:right w:val="nil"/>
              <w:between w:val="nil"/>
            </w:pBdr>
            <w:tabs>
              <w:tab w:val="right" w:pos="9016"/>
            </w:tabs>
            <w:spacing w:before="120"/>
            <w:ind w:left="240"/>
            <w:rPr>
              <w:b/>
              <w:bCs/>
              <w:color w:val="000000"/>
              <w:sz w:val="22"/>
              <w:szCs w:val="22"/>
            </w:rPr>
          </w:pPr>
          <w:hyperlink w:anchor="_vxfum57h87ox">
            <w:r>
              <w:rPr>
                <w:b/>
                <w:bCs/>
                <w:color w:val="000000"/>
                <w:sz w:val="22"/>
                <w:szCs w:val="22"/>
              </w:rPr>
              <w:t>4.1 Strategic Alternatives</w:t>
            </w:r>
            <w:r>
              <w:rPr>
                <w:b/>
                <w:bCs/>
                <w:color w:val="000000"/>
                <w:sz w:val="22"/>
                <w:szCs w:val="22"/>
              </w:rPr>
              <w:tab/>
              <w:t>7</w:t>
            </w:r>
          </w:hyperlink>
        </w:p>
        <w:p w14:paraId="0000004A" w14:textId="77777777" w:rsidR="00215CBD" w:rsidRDefault="00960C0F">
          <w:pPr>
            <w:pBdr>
              <w:top w:val="nil"/>
              <w:left w:val="nil"/>
              <w:bottom w:val="nil"/>
              <w:right w:val="nil"/>
              <w:between w:val="nil"/>
            </w:pBdr>
            <w:tabs>
              <w:tab w:val="right" w:pos="9016"/>
            </w:tabs>
            <w:spacing w:before="120"/>
            <w:ind w:left="240"/>
            <w:rPr>
              <w:b/>
              <w:bCs/>
              <w:color w:val="000000"/>
              <w:sz w:val="22"/>
              <w:szCs w:val="22"/>
            </w:rPr>
          </w:pPr>
          <w:hyperlink w:anchor="_jkrsiaqlrqtq">
            <w:r>
              <w:rPr>
                <w:b/>
                <w:bCs/>
                <w:color w:val="000000"/>
                <w:sz w:val="22"/>
                <w:szCs w:val="22"/>
              </w:rPr>
              <w:t>4.2 Evaluation and Selection</w:t>
            </w:r>
            <w:r>
              <w:rPr>
                <w:b/>
                <w:bCs/>
                <w:color w:val="000000"/>
                <w:sz w:val="22"/>
                <w:szCs w:val="22"/>
              </w:rPr>
              <w:tab/>
              <w:t>8</w:t>
            </w:r>
          </w:hyperlink>
        </w:p>
        <w:p w14:paraId="0000004B" w14:textId="77777777" w:rsidR="00215CBD" w:rsidRDefault="00960C0F">
          <w:pPr>
            <w:pBdr>
              <w:top w:val="nil"/>
              <w:left w:val="nil"/>
              <w:bottom w:val="nil"/>
              <w:right w:val="nil"/>
              <w:between w:val="nil"/>
            </w:pBdr>
            <w:tabs>
              <w:tab w:val="right" w:pos="9016"/>
            </w:tabs>
            <w:spacing w:before="120"/>
            <w:rPr>
              <w:b/>
              <w:bCs/>
              <w:i/>
              <w:iCs/>
              <w:color w:val="000000"/>
            </w:rPr>
          </w:pPr>
          <w:hyperlink w:anchor="_ejivh5hzivlk">
            <w:r>
              <w:rPr>
                <w:b/>
                <w:bCs/>
                <w:i/>
                <w:iCs/>
                <w:color w:val="000000"/>
              </w:rPr>
              <w:t>5. Conclusion and Recommendations</w:t>
            </w:r>
            <w:r>
              <w:rPr>
                <w:b/>
                <w:bCs/>
                <w:i/>
                <w:iCs/>
                <w:color w:val="000000"/>
              </w:rPr>
              <w:tab/>
              <w:t>8</w:t>
            </w:r>
          </w:hyperlink>
        </w:p>
        <w:p w14:paraId="0000004C" w14:textId="77777777" w:rsidR="00215CBD" w:rsidRDefault="00960C0F">
          <w:pPr>
            <w:pBdr>
              <w:top w:val="nil"/>
              <w:left w:val="nil"/>
              <w:bottom w:val="nil"/>
              <w:right w:val="nil"/>
              <w:between w:val="nil"/>
            </w:pBdr>
            <w:tabs>
              <w:tab w:val="right" w:pos="9016"/>
            </w:tabs>
            <w:spacing w:before="120"/>
            <w:ind w:left="240"/>
            <w:rPr>
              <w:b/>
              <w:bCs/>
              <w:color w:val="000000"/>
              <w:sz w:val="22"/>
              <w:szCs w:val="22"/>
            </w:rPr>
          </w:pPr>
          <w:hyperlink w:anchor="_8sxks2u03zg">
            <w:r>
              <w:rPr>
                <w:b/>
                <w:bCs/>
                <w:color w:val="000000"/>
                <w:sz w:val="22"/>
                <w:szCs w:val="22"/>
              </w:rPr>
              <w:t>5.1 Conclusion</w:t>
            </w:r>
            <w:r>
              <w:rPr>
                <w:b/>
                <w:bCs/>
                <w:color w:val="000000"/>
                <w:sz w:val="22"/>
                <w:szCs w:val="22"/>
              </w:rPr>
              <w:tab/>
              <w:t>8</w:t>
            </w:r>
          </w:hyperlink>
        </w:p>
        <w:p w14:paraId="0000004D" w14:textId="77777777" w:rsidR="00215CBD" w:rsidRDefault="00960C0F">
          <w:pPr>
            <w:pBdr>
              <w:top w:val="nil"/>
              <w:left w:val="nil"/>
              <w:bottom w:val="nil"/>
              <w:right w:val="nil"/>
              <w:between w:val="nil"/>
            </w:pBdr>
            <w:tabs>
              <w:tab w:val="right" w:pos="9016"/>
            </w:tabs>
            <w:spacing w:before="120"/>
            <w:ind w:left="240"/>
            <w:rPr>
              <w:b/>
              <w:bCs/>
              <w:color w:val="000000"/>
              <w:sz w:val="22"/>
              <w:szCs w:val="22"/>
            </w:rPr>
          </w:pPr>
          <w:hyperlink w:anchor="_p8g08pojg6gr">
            <w:r>
              <w:rPr>
                <w:b/>
                <w:bCs/>
                <w:color w:val="000000"/>
                <w:sz w:val="22"/>
                <w:szCs w:val="22"/>
              </w:rPr>
              <w:t>5.2 Actionable Recommendations</w:t>
            </w:r>
            <w:r>
              <w:rPr>
                <w:b/>
                <w:bCs/>
                <w:color w:val="000000"/>
                <w:sz w:val="22"/>
                <w:szCs w:val="22"/>
              </w:rPr>
              <w:tab/>
              <w:t>9</w:t>
            </w:r>
          </w:hyperlink>
        </w:p>
        <w:p w14:paraId="0000004E" w14:textId="77777777" w:rsidR="00215CBD" w:rsidRDefault="00960C0F">
          <w:pPr>
            <w:pBdr>
              <w:top w:val="nil"/>
              <w:left w:val="nil"/>
              <w:bottom w:val="nil"/>
              <w:right w:val="nil"/>
              <w:between w:val="nil"/>
            </w:pBdr>
            <w:tabs>
              <w:tab w:val="right" w:pos="9016"/>
            </w:tabs>
            <w:spacing w:before="120"/>
            <w:rPr>
              <w:b/>
              <w:bCs/>
              <w:i/>
              <w:iCs/>
              <w:color w:val="000000"/>
            </w:rPr>
          </w:pPr>
          <w:hyperlink w:anchor="_gxf6ljcs7qbl">
            <w:r>
              <w:rPr>
                <w:b/>
                <w:bCs/>
                <w:i/>
                <w:iCs/>
                <w:color w:val="000000"/>
              </w:rPr>
              <w:t>6. References</w:t>
            </w:r>
            <w:r>
              <w:rPr>
                <w:b/>
                <w:bCs/>
                <w:i/>
                <w:iCs/>
                <w:color w:val="000000"/>
              </w:rPr>
              <w:tab/>
              <w:t>9</w:t>
            </w:r>
          </w:hyperlink>
        </w:p>
        <w:p w14:paraId="0000004F" w14:textId="77777777" w:rsidR="00215CBD" w:rsidRDefault="00960C0F">
          <w:r>
            <w:fldChar w:fldCharType="end"/>
          </w:r>
        </w:p>
      </w:sdtContent>
    </w:sdt>
    <w:p w14:paraId="00000050" w14:textId="77777777" w:rsidR="00215CBD" w:rsidRDefault="00215CBD">
      <w:pPr>
        <w:spacing w:line="360" w:lineRule="auto"/>
        <w:jc w:val="both"/>
        <w:rPr>
          <w:rFonts w:ascii="Times New Roman" w:eastAsia="Times New Roman" w:hAnsi="Times New Roman" w:cs="Times New Roman"/>
        </w:rPr>
      </w:pPr>
    </w:p>
    <w:p w14:paraId="00000051" w14:textId="77777777" w:rsidR="00215CBD" w:rsidRDefault="00215CBD">
      <w:pPr>
        <w:spacing w:line="360" w:lineRule="auto"/>
        <w:jc w:val="both"/>
        <w:rPr>
          <w:rFonts w:ascii="Times New Roman" w:eastAsia="Times New Roman" w:hAnsi="Times New Roman" w:cs="Times New Roman"/>
        </w:rPr>
      </w:pPr>
    </w:p>
    <w:p w14:paraId="00000052" w14:textId="77777777" w:rsidR="00215CBD" w:rsidRDefault="00215CBD">
      <w:pPr>
        <w:spacing w:line="360" w:lineRule="auto"/>
        <w:jc w:val="both"/>
        <w:rPr>
          <w:rFonts w:ascii="Times New Roman" w:eastAsia="Times New Roman" w:hAnsi="Times New Roman" w:cs="Times New Roman"/>
        </w:rPr>
      </w:pPr>
    </w:p>
    <w:p w14:paraId="00000053" w14:textId="77777777" w:rsidR="00215CBD" w:rsidRDefault="00215CBD">
      <w:pPr>
        <w:spacing w:line="360" w:lineRule="auto"/>
        <w:jc w:val="both"/>
        <w:rPr>
          <w:rFonts w:ascii="Times New Roman" w:eastAsia="Times New Roman" w:hAnsi="Times New Roman" w:cs="Times New Roman"/>
        </w:rPr>
      </w:pPr>
    </w:p>
    <w:p w14:paraId="00000054" w14:textId="77777777" w:rsidR="00215CBD" w:rsidRDefault="00215CBD">
      <w:pPr>
        <w:spacing w:line="360" w:lineRule="auto"/>
        <w:jc w:val="both"/>
        <w:rPr>
          <w:rFonts w:ascii="Times New Roman" w:eastAsia="Times New Roman" w:hAnsi="Times New Roman" w:cs="Times New Roman"/>
        </w:rPr>
      </w:pPr>
    </w:p>
    <w:p w14:paraId="00000055" w14:textId="77777777" w:rsidR="00215CBD" w:rsidRDefault="00215CBD">
      <w:pPr>
        <w:spacing w:line="360" w:lineRule="auto"/>
        <w:jc w:val="both"/>
        <w:rPr>
          <w:rFonts w:ascii="Times New Roman" w:eastAsia="Times New Roman" w:hAnsi="Times New Roman" w:cs="Times New Roman"/>
        </w:rPr>
      </w:pPr>
    </w:p>
    <w:p w14:paraId="00000056" w14:textId="77777777" w:rsidR="00215CBD" w:rsidRDefault="00215CBD">
      <w:pPr>
        <w:spacing w:line="360" w:lineRule="auto"/>
        <w:jc w:val="both"/>
        <w:rPr>
          <w:rFonts w:ascii="Times New Roman" w:eastAsia="Times New Roman" w:hAnsi="Times New Roman" w:cs="Times New Roman"/>
        </w:rPr>
      </w:pPr>
    </w:p>
    <w:p w14:paraId="00000057" w14:textId="77777777" w:rsidR="00215CBD" w:rsidRDefault="00215CBD">
      <w:pPr>
        <w:spacing w:line="360" w:lineRule="auto"/>
        <w:jc w:val="both"/>
        <w:rPr>
          <w:rFonts w:ascii="Times New Roman" w:eastAsia="Times New Roman" w:hAnsi="Times New Roman" w:cs="Times New Roman"/>
        </w:rPr>
      </w:pPr>
    </w:p>
    <w:p w14:paraId="00000058" w14:textId="77777777" w:rsidR="00215CBD" w:rsidRDefault="00215CBD">
      <w:pPr>
        <w:spacing w:line="360" w:lineRule="auto"/>
        <w:jc w:val="both"/>
        <w:rPr>
          <w:rFonts w:ascii="Times New Roman" w:eastAsia="Times New Roman" w:hAnsi="Times New Roman" w:cs="Times New Roman"/>
        </w:rPr>
      </w:pPr>
    </w:p>
    <w:p w14:paraId="00000059" w14:textId="77777777" w:rsidR="00215CBD" w:rsidRDefault="00215CBD">
      <w:pPr>
        <w:spacing w:line="360" w:lineRule="auto"/>
        <w:jc w:val="both"/>
        <w:rPr>
          <w:rFonts w:ascii="Times New Roman" w:eastAsia="Times New Roman" w:hAnsi="Times New Roman" w:cs="Times New Roman"/>
        </w:rPr>
      </w:pPr>
    </w:p>
    <w:p w14:paraId="0000005A" w14:textId="77777777" w:rsidR="00215CBD" w:rsidRDefault="00215CBD">
      <w:pPr>
        <w:spacing w:line="360" w:lineRule="auto"/>
        <w:jc w:val="both"/>
        <w:rPr>
          <w:rFonts w:ascii="Times New Roman" w:eastAsia="Times New Roman" w:hAnsi="Times New Roman" w:cs="Times New Roman"/>
        </w:rPr>
      </w:pPr>
    </w:p>
    <w:p w14:paraId="0000005B" w14:textId="77777777" w:rsidR="00215CBD" w:rsidRDefault="00215CBD">
      <w:pPr>
        <w:spacing w:line="360" w:lineRule="auto"/>
        <w:jc w:val="both"/>
        <w:rPr>
          <w:rFonts w:ascii="Times New Roman" w:eastAsia="Times New Roman" w:hAnsi="Times New Roman" w:cs="Times New Roman"/>
        </w:rPr>
      </w:pPr>
    </w:p>
    <w:p w14:paraId="0000005C" w14:textId="77777777" w:rsidR="00215CBD" w:rsidRDefault="00215CBD">
      <w:pPr>
        <w:spacing w:line="360" w:lineRule="auto"/>
        <w:jc w:val="both"/>
        <w:rPr>
          <w:rFonts w:ascii="Times New Roman" w:eastAsia="Times New Roman" w:hAnsi="Times New Roman" w:cs="Times New Roman"/>
        </w:rPr>
      </w:pPr>
    </w:p>
    <w:p w14:paraId="0000005D" w14:textId="77777777" w:rsidR="00215CBD" w:rsidRDefault="00215CBD">
      <w:pPr>
        <w:spacing w:line="360" w:lineRule="auto"/>
        <w:jc w:val="both"/>
        <w:rPr>
          <w:rFonts w:ascii="Times New Roman" w:eastAsia="Times New Roman" w:hAnsi="Times New Roman" w:cs="Times New Roman"/>
        </w:rPr>
      </w:pPr>
    </w:p>
    <w:p w14:paraId="0000005E" w14:textId="77777777" w:rsidR="00215CBD" w:rsidRDefault="00215CBD">
      <w:pPr>
        <w:spacing w:line="360" w:lineRule="auto"/>
        <w:jc w:val="both"/>
        <w:rPr>
          <w:rFonts w:ascii="Times New Roman" w:eastAsia="Times New Roman" w:hAnsi="Times New Roman" w:cs="Times New Roman"/>
        </w:rPr>
      </w:pPr>
    </w:p>
    <w:p w14:paraId="0000005F" w14:textId="77777777" w:rsidR="00215CBD" w:rsidRDefault="00960C0F">
      <w:pPr>
        <w:pStyle w:val="Heading1"/>
      </w:pPr>
      <w:bookmarkStart w:id="1" w:name="_ki1xyg2iwanp" w:colFirst="0" w:colLast="0"/>
      <w:bookmarkEnd w:id="1"/>
      <w:r>
        <w:lastRenderedPageBreak/>
        <w:t xml:space="preserve">2. Introduction </w:t>
      </w:r>
    </w:p>
    <w:p w14:paraId="00000060"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Strategic management offers a systematic way companies can match internal strengths to external forces to remain competitive and generate long-term value. This alignment is necessary in the UK automotive industry. The sector is changing fast because of the shift to electric vehicles, stricter environmental regulations, the adoption of digital technologies, and the intense competition in the world market, especially due to the emergence of new players oriented towards the new electric vehicle. The companies </w:t>
      </w:r>
      <w:r>
        <w:rPr>
          <w:rFonts w:ascii="Times New Roman" w:eastAsia="Times New Roman" w:hAnsi="Times New Roman" w:cs="Times New Roman"/>
        </w:rPr>
        <w:t>are now in need of strategies that can assist them to react to uncertainty in the policy, the increasing production prices, risks in the supply chain, and changing consumer demands of low-emission and high-technology vehicles (McKinsey, 2023).</w:t>
      </w:r>
    </w:p>
    <w:p w14:paraId="00000061"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Jaguar Land Rover (JLR), which is a Tata owned company since 2008, is the largest car maker in UK. The company boasts of a strong brand name in high quality SUVs under Land Rover and luxury performance under Jaguar. Electrification delays, supply chain upheaval, and declining growth in China and Europe are also some of the forces that JLR has had to contend with in recent years (Tata Motors Annual Report, 2023). Its market niche is still powerful, but it is getting more vulnerable as competitors get faster </w:t>
      </w:r>
      <w:r>
        <w:rPr>
          <w:rFonts w:ascii="Times New Roman" w:eastAsia="Times New Roman" w:hAnsi="Times New Roman" w:cs="Times New Roman"/>
        </w:rPr>
        <w:t>with EV models and digital innovation.</w:t>
      </w:r>
    </w:p>
    <w:p w14:paraId="00000062"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current strategy of JLR is bound to its Reimagine programme that was released in 2021. This project will make the company a fully electric luxury automobile manufacturer, with Jaguar, and Land Rover set to go fully electric brands, and a new series of electrified SUVs (JLR, 2023). The implementation of the strategy also focuses on the aspect of sustainability, with net-zero carbon targets across operations and value chains in the year 2039. These goals define the strategic questions examined in this rep</w:t>
      </w:r>
      <w:r>
        <w:rPr>
          <w:rFonts w:ascii="Times New Roman" w:eastAsia="Times New Roman" w:hAnsi="Times New Roman" w:cs="Times New Roman"/>
        </w:rPr>
        <w:t>ort and set the environment on which to examine the external environment of JLR, its internal capabilities, and long-term competitiveness.</w:t>
      </w:r>
    </w:p>
    <w:p w14:paraId="00000063" w14:textId="77777777" w:rsidR="00215CBD" w:rsidRDefault="00960C0F">
      <w:pPr>
        <w:pStyle w:val="Heading1"/>
      </w:pPr>
      <w:bookmarkStart w:id="2" w:name="_7ipp5g7ti74h" w:colFirst="0" w:colLast="0"/>
      <w:bookmarkEnd w:id="2"/>
      <w:r>
        <w:t xml:space="preserve">3. Strategy Analysis </w:t>
      </w:r>
    </w:p>
    <w:p w14:paraId="00000064" w14:textId="77777777" w:rsidR="00215CBD" w:rsidRDefault="00960C0F">
      <w:pPr>
        <w:pStyle w:val="Heading2"/>
      </w:pPr>
      <w:bookmarkStart w:id="3" w:name="_pz56j59t8vw3" w:colFirst="0" w:colLast="0"/>
      <w:bookmarkEnd w:id="3"/>
      <w:r>
        <w:t>3.1 External Environment Audit</w:t>
      </w:r>
    </w:p>
    <w:p w14:paraId="00000065" w14:textId="77777777" w:rsidR="00215CBD" w:rsidRDefault="00960C0F">
      <w:pPr>
        <w:pStyle w:val="Heading3"/>
      </w:pPr>
      <w:bookmarkStart w:id="4" w:name="_rdn18aecwcl4" w:colFirst="0" w:colLast="0"/>
      <w:bookmarkEnd w:id="4"/>
      <w:r>
        <w:t xml:space="preserve">3.1.1 PESTLE Analysis </w:t>
      </w:r>
    </w:p>
    <w:p w14:paraId="00000066"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All of these are due to the fact that the political environment is still influencing the strategic decisions of JLR. The industrial policy in the UK has been enabling towards electrification (with schemes like the Automotive Transformation Fund) yet planning investment has been hindered by delays to long-term commitments and inconsistent signalling (National Audit Office, 2023). JLR is also still susceptible to the post-Brexit regulations of origin that raise </w:t>
      </w:r>
      <w:r>
        <w:rPr>
          <w:rFonts w:ascii="Times New Roman" w:eastAsia="Times New Roman" w:hAnsi="Times New Roman" w:cs="Times New Roman"/>
        </w:rPr>
        <w:lastRenderedPageBreak/>
        <w:t>tariffs on EVs between the UK and EU in case an adequate battery content is not obtained locally (SMMT, 2023). This increases the need that JLR localise battery supply.</w:t>
      </w:r>
    </w:p>
    <w:p w14:paraId="00000067"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There has been instability in economic conditions. Inflation and the rise in the cost of materials, particularly lithium, nickel, and aluminium, have raised the base of prices of EV production (IEA, 2022). Even though the premium segment is stronger than the mass market, the decrease in the pace of the growth in China and Europe has impacted the luxury car demand (Tata Motors Annual Report, 2023). The cost of EV investment is also highly costly and puts strain on the cash flow resulting in strategic tension</w:t>
      </w:r>
      <w:r>
        <w:rPr>
          <w:rFonts w:ascii="Times New Roman" w:eastAsia="Times New Roman" w:hAnsi="Times New Roman" w:cs="Times New Roman"/>
        </w:rPr>
        <w:t xml:space="preserve"> between innovation funding and profitability.</w:t>
      </w:r>
    </w:p>
    <w:p w14:paraId="00000068"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social tendencies are more favourable. There is increased demand for sustainable mobility and luxury EVs among consumers because of their increased awareness of the environment and the transition to more technologically advanced vehicles (McKinsey, 2023). Nevertheless, its long-term history with huge petrol and diesel SUVs means that JLR needs to rebrand quickly to accommodate the demands of younger and greener consumers.</w:t>
      </w:r>
    </w:p>
    <w:p w14:paraId="00000069"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external forces are technological strains. Rivalry especially Tesla and Chinese producers has increased speed in battery efficiency, digital platforms, and autonomous driving, reducing product cycles (Forbes, 2023). JLR has to either internally develop or collaborate to achieve these abilities to stay competitive.</w:t>
      </w:r>
    </w:p>
    <w:p w14:paraId="0000006A"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Regulations and laws are becoming stricter. The UK is going to prohibit the sale of new petrol and diesel cars by 2035, and both the UK and EU emissions regulations mean that compliance pressures exist (UK Government, 2023). Failure to comply with fleet emissions would attract fines.</w:t>
      </w:r>
    </w:p>
    <w:p w14:paraId="0000006B"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Scrutiny of the environment is also growing. JLR is under pressure to decarbonise its production processes which are heavy in aluminium, and embrace sustainable raw materials (Financial Times, 2023). In general, the most significant strategic pressure is caused by technological and regulatory factors and requires accelerated electrification and reorganization of the supply chain.</w:t>
      </w:r>
    </w:p>
    <w:p w14:paraId="0000006C" w14:textId="77777777" w:rsidR="00215CBD" w:rsidRDefault="00960C0F">
      <w:pPr>
        <w:pStyle w:val="Heading3"/>
      </w:pPr>
      <w:bookmarkStart w:id="5" w:name="_et5ofkqc6wjh" w:colFirst="0" w:colLast="0"/>
      <w:bookmarkEnd w:id="5"/>
      <w:r>
        <w:t xml:space="preserve">3.1.2 Porters five Forces </w:t>
      </w:r>
    </w:p>
    <w:p w14:paraId="0000006D" w14:textId="77777777" w:rsidR="00215CBD" w:rsidRDefault="00960C0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Threat of new entrants – High.</w:t>
      </w:r>
    </w:p>
    <w:p w14:paraId="0000006E"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Conventional barriers of entry have decreased in EV-oriented companies. Chinese companies like BYD, NIO, and XPeng have increased in size in Europe already with cost-competitive EVs and good battery capacity (FT, 2023). Their high pricing is a threat to the expensive EV strategy of JLR.</w:t>
      </w:r>
    </w:p>
    <w:p w14:paraId="0000006F" w14:textId="77777777" w:rsidR="00215CBD" w:rsidRDefault="00960C0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Bargaining power of suppliers – High.</w:t>
      </w:r>
    </w:p>
    <w:p w14:paraId="00000070"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Battery, semiconductor and critical mineral supply are highly concentrated. Since 2021, Semiconductor shortages have upset the output of JLR (BBC, 2023). Battery suppliers are quite powerful since only a few raw materials are available globally, and there is little capacity in the UK (McKinsey, 2022).</w:t>
      </w:r>
    </w:p>
    <w:p w14:paraId="00000071" w14:textId="77777777" w:rsidR="00215CBD" w:rsidRDefault="00960C0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Bargaining power of buyers – Medium to High.</w:t>
      </w:r>
    </w:p>
    <w:p w14:paraId="00000072"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Premium consumers are being choosy and are provided with many alternatives of EVs. There is an increase in the expectations of digital features, long-range, and sustainable materials. The level of switching costs is minimal, and brand loyalty has been undermined within the context of the EV era (HBR, 2021).</w:t>
      </w:r>
    </w:p>
    <w:p w14:paraId="00000073" w14:textId="77777777" w:rsidR="00215CBD" w:rsidRDefault="00960C0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Threat of substitutes – Medium.</w:t>
      </w:r>
    </w:p>
    <w:p w14:paraId="00000074"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number of cars owned by people is gradually decreasing particularly in urban regions because subscription services, mobility services, and low-emission transportation solutions are becoming more attractive (Deloitte, 2023). Although it is not applicable to the luxury buyers, it influences the long-term demand.</w:t>
      </w:r>
    </w:p>
    <w:p w14:paraId="00000075" w14:textId="77777777" w:rsidR="00215CBD" w:rsidRDefault="00960C0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Competitive rivalry – Very High.</w:t>
      </w:r>
    </w:p>
    <w:p w14:paraId="00000076"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luxury EV market is highly competitive. Technology Tesla is the technological leader, and Mercedes, BMW, Audi, and Volvo have increased electrification. The product cycles are becoming shorter and the marketing intensity is elevated and increasing the risk of margin erosion (SMMT, 2023).</w:t>
      </w:r>
    </w:p>
    <w:p w14:paraId="00000077"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All these forces indicate, collectively, to a very competitive environment in which technology power and supply chain resiliency are key determinants.</w:t>
      </w:r>
    </w:p>
    <w:p w14:paraId="00000078" w14:textId="77777777" w:rsidR="00215CBD" w:rsidRDefault="00960C0F">
      <w:pPr>
        <w:pStyle w:val="Heading2"/>
      </w:pPr>
      <w:bookmarkStart w:id="6" w:name="_tkphgajwgem3" w:colFirst="0" w:colLast="0"/>
      <w:bookmarkEnd w:id="6"/>
      <w:r>
        <w:t>3.2 Internal Environment Audit</w:t>
      </w:r>
    </w:p>
    <w:p w14:paraId="00000079" w14:textId="77777777" w:rsidR="00215CBD" w:rsidRDefault="00960C0F">
      <w:pPr>
        <w:pStyle w:val="Heading3"/>
      </w:pPr>
      <w:bookmarkStart w:id="7" w:name="_2tgaut3j74w6" w:colFirst="0" w:colLast="0"/>
      <w:bookmarkEnd w:id="7"/>
      <w:r>
        <w:t xml:space="preserve">3.2.1 Value Chain Analysis </w:t>
      </w:r>
    </w:p>
    <w:p w14:paraId="0000007A"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JLR value chain is characterized by a good brand and design resources and obvious operational limitations. Within the area of R&amp;D, the company is strong in the design of the vehicles and craftsmanship of luxury and weak in battery and software development, so it is left at the mercy of its partners (Tata Motors, 2023). The scale of manufacturing facilities in Solihull and Halewood are necessary, but would need significant investment to shift to EV production. Repeated production setbacks have been cause</w:t>
      </w:r>
      <w:r>
        <w:rPr>
          <w:rFonts w:ascii="Times New Roman" w:eastAsia="Times New Roman" w:hAnsi="Times New Roman" w:cs="Times New Roman"/>
        </w:rPr>
        <w:t>d by disruption in supply chains and increased cost of inputs (BBC, 2023).</w:t>
      </w:r>
    </w:p>
    <w:p w14:paraId="0000007B"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Marketing is good given the world recognition of the range Rover and Defender brands, but the aged product line of Jaguar has undermined its brand relevance. There is an improvement in digital services and connectivity, which still lag behind competition, including Tesla. Similar </w:t>
      </w:r>
      <w:r>
        <w:rPr>
          <w:rFonts w:ascii="Times New Roman" w:eastAsia="Times New Roman" w:hAnsi="Times New Roman" w:cs="Times New Roman"/>
        </w:rPr>
        <w:lastRenderedPageBreak/>
        <w:t>constraints can be seen in support activities: procurement experiences vulnerability to battery shortages all over the world, and HR experiences skills shortages in software engineering and electrification (McKinsey, 2023). Altogether, branding is a competitive advantage, operational inflexibility, and a lack of technology impede performance.</w:t>
      </w:r>
    </w:p>
    <w:p w14:paraId="0000007C" w14:textId="77777777" w:rsidR="00215CBD" w:rsidRDefault="00960C0F">
      <w:pPr>
        <w:pStyle w:val="Heading3"/>
      </w:pPr>
      <w:bookmarkStart w:id="8" w:name="_7b3wvitbzxj7" w:colFirst="0" w:colLast="0"/>
      <w:bookmarkEnd w:id="8"/>
      <w:r>
        <w:t>3.2.2 RBV and VRIO</w:t>
      </w:r>
    </w:p>
    <w:p w14:paraId="0000007D"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most valuable resources possessed by JLR include the brand equity, design and the international distribution network. The differentiation and premium margins provide Range Rover and Defender with the opportunity to be a market leader in luxury SUVs (Interbrand, 2023). Such assets are also quite scarce with not many competitors merging luxury, off-road and heritage into one.</w:t>
      </w:r>
    </w:p>
    <w:p w14:paraId="0000007E"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Certain assets can not be easily copied and the examples of such assets are the legacy of craftsmanship, historical brand name and the availability of the capital and networks owned by Tata Motors. Technological resources, however, e.g., EV platforms and software, are not unique. JLR does not compete well with its rivals in terms of battery range, charging infrastructure and digital systems.</w:t>
      </w:r>
    </w:p>
    <w:p w14:paraId="0000007F"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weakest VRIO dimension is organisation. The strategy of Reimagine gives some guidance, but the time gap between relaunching Jaguar as well as the inconsistency of its production reveals that JLR is not in a completely organized form to capitalize on its strengths (Tata Motors, 2023). All in all, JLR has short-term strengths in brand and heritage but does not have long-term competitive strength in EV technology and operational performance.</w:t>
      </w:r>
    </w:p>
    <w:p w14:paraId="00000080" w14:textId="77777777" w:rsidR="00215CBD" w:rsidRDefault="00960C0F">
      <w:pPr>
        <w:pStyle w:val="Heading3"/>
      </w:pPr>
      <w:bookmarkStart w:id="9" w:name="_gkpdqw46l3f9" w:colFirst="0" w:colLast="0"/>
      <w:bookmarkEnd w:id="9"/>
      <w:r>
        <w:t>3.3 SWOT Synthesis</w:t>
      </w:r>
    </w:p>
    <w:p w14:paraId="00000081"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strategic environment of JLR indicates that it has a lot of strengths but equally a lot of challenges.</w:t>
      </w:r>
    </w:p>
    <w:p w14:paraId="00000082"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Strong brand equity, design excellence and strong Tata Motors support are some strengths. These assets offer a differentiation in the high-end SUV and margin assists.</w:t>
      </w:r>
    </w:p>
    <w:p w14:paraId="00000083"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weaknesses are related to slowness in electrification, vulnerability in the supply chain, and inefficiencies in production. JLR is weak because it depends on its external suppliers of batteries and is less digital. The vague market identity that Jaguar has had in transition has also diminished competitiveness  (Tata Motors, 2023).</w:t>
      </w:r>
    </w:p>
    <w:p w14:paraId="00000084"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Opportunities are in the increasing luxury EV market where the sales are increasing in Europe, China and North America. The strategy of restructure Jaguar into a fully electric luxury brand that JLR is planning to implement is a potential source of differentiation. Battery technology and sustainable materials Partnerships on creation of batteries and sustainable materials can speed up innovation and decrease operational risk.</w:t>
      </w:r>
    </w:p>
    <w:p w14:paraId="00000085"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threats involve high competition against Tesla, BMW, Mercedes, and Chinese EV companies that will move fast. Tightening the regulations raises the cost of compliance and economic variability endangers the premium demand (HBR, 2021).</w:t>
      </w:r>
    </w:p>
    <w:p w14:paraId="00000086"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Strategic problem statement</w:t>
      </w:r>
    </w:p>
    <w:p w14:paraId="00000087"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To stay competitive on the high-end EV market, JLR needs to speed up the process of electrification and ensure the robustness of supply chains, which are technologically advanced.</w:t>
      </w:r>
    </w:p>
    <w:p w14:paraId="00000088" w14:textId="77777777" w:rsidR="00215CBD" w:rsidRDefault="00960C0F">
      <w:pPr>
        <w:pStyle w:val="Heading1"/>
      </w:pPr>
      <w:bookmarkStart w:id="10" w:name="_pbfas1yj2z6r" w:colFirst="0" w:colLast="0"/>
      <w:bookmarkEnd w:id="10"/>
      <w:r>
        <w:t xml:space="preserve">4. Strategy Formulation </w:t>
      </w:r>
    </w:p>
    <w:p w14:paraId="00000089" w14:textId="77777777" w:rsidR="00215CBD" w:rsidRDefault="00960C0F">
      <w:pPr>
        <w:pStyle w:val="Heading2"/>
      </w:pPr>
      <w:bookmarkStart w:id="11" w:name="_vxfum57h87ox" w:colFirst="0" w:colLast="0"/>
      <w:bookmarkEnd w:id="11"/>
      <w:r>
        <w:t xml:space="preserve">4.1 Strategic Alternatives </w:t>
      </w:r>
    </w:p>
    <w:p w14:paraId="0000008A" w14:textId="77777777" w:rsidR="00215CBD" w:rsidRDefault="00960C0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Option 1: EV Technology Partnership</w:t>
      </w:r>
    </w:p>
    <w:p w14:paraId="0000008B"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As a way of speeding up its electrification strategy, JLR might establish closer relationships with the battery leaders like CATL or Northvolt. The competitors have already obtained such alliances so as to stabilise supply as well as achieve advanced cell chemistries (FT, 2023). One reason why JLR is trailing its competitors in battery power, software integration, and charging, is its inadequate internal capacity (Tata Motors Annual Report, 2023). Strategic partnership would enable the company to gain acces</w:t>
      </w:r>
      <w:r>
        <w:rPr>
          <w:rFonts w:ascii="Times New Roman" w:eastAsia="Times New Roman" w:hAnsi="Times New Roman" w:cs="Times New Roman"/>
        </w:rPr>
        <w:t>s to next generation technology, minimize cost of research and development, and lessen the time taken to launch its new EV platforms.</w:t>
      </w:r>
    </w:p>
    <w:p w14:paraId="0000008C" w14:textId="77777777" w:rsidR="00215CBD" w:rsidRDefault="00960C0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Option 2: Supply Chain Localisation</w:t>
      </w:r>
    </w:p>
    <w:p w14:paraId="0000008D"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Establishing battery and component supply in the UK or EU would lessen the exposure of JLR to the rules of origin and eliminate the tax risks that Brexit had established (SMMT, 2023). Some of the localisation would involve joint ventures on battery plants, long term agreements with suppliers in UK and investing in domestic semiconductor. This would enhance stability in production, reduction in the logistics expense, and facilitate the ability to comply with the growing stricter sustainability laws.</w:t>
      </w:r>
    </w:p>
    <w:p w14:paraId="0000008E" w14:textId="77777777" w:rsidR="00215CBD" w:rsidRDefault="00960C0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Option 3: Premium EV Product Differentiation</w:t>
      </w:r>
    </w:p>
    <w:p w14:paraId="0000008F"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JLR has an opportunity to leverage its heritage in producing its uniquely luxurious EV with a design-oriented nature, off-road prowess, and even better digital functionality. There is a void in the luxury-plus-experience approach as competitors tend to differentiate on the performance or technological level. This would assist in rebranding Jaguar as an all-electric luxury brand and enhance the capability of Land Rover to compete with luxury electric SUVs (McKinsey, 2023). Nonetheless, differentiation is not</w:t>
      </w:r>
      <w:r>
        <w:rPr>
          <w:rFonts w:ascii="Times New Roman" w:eastAsia="Times New Roman" w:hAnsi="Times New Roman" w:cs="Times New Roman"/>
        </w:rPr>
        <w:t xml:space="preserve"> a solution to the technology or supply limitations that were identified above.</w:t>
      </w:r>
    </w:p>
    <w:p w14:paraId="00000090" w14:textId="77777777" w:rsidR="00215CBD" w:rsidRDefault="00960C0F">
      <w:pPr>
        <w:pStyle w:val="Heading2"/>
      </w:pPr>
      <w:bookmarkStart w:id="12" w:name="_jkrsiaqlrqtq" w:colFirst="0" w:colLast="0"/>
      <w:bookmarkEnd w:id="12"/>
      <w:r>
        <w:t xml:space="preserve">4.2 Evaluation and Selection </w:t>
      </w:r>
    </w:p>
    <w:p w14:paraId="00000091"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An analysis of the options reveals that both Option 1 and Option 2 have the best strategic fit. A technology strategy based on partnership is quite plausible since JLR already cooperates with its external suppliers and it offers the quickest path to better EV range, performance, and software integration. It also helps to achieve the sustainability goals as it allows accessing more efficient battery chemistries (IEA, 2022). Localisation of supply chains enhances resilience in the long term and is a direct re</w:t>
      </w:r>
      <w:r>
        <w:rPr>
          <w:rFonts w:ascii="Times New Roman" w:eastAsia="Times New Roman" w:hAnsi="Times New Roman" w:cs="Times New Roman"/>
        </w:rPr>
        <w:t>sponse to the impact of tariffs, supply time, and sustainability.</w:t>
      </w:r>
    </w:p>
    <w:p w14:paraId="00000092"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Option 3 enhances competitiveness of the brands, but fails to address the root technological limitations of JLR. It is also expensive and time consuming to establish without a robust EV platform.</w:t>
      </w:r>
    </w:p>
    <w:p w14:paraId="00000093" w14:textId="77777777" w:rsidR="00215CBD" w:rsidRDefault="00960C0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Recommended Hybrid Strategy:</w:t>
      </w:r>
    </w:p>
    <w:p w14:paraId="00000094"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Integrate Option 1 (EV technology partnerships), and Option 2 (supply chain localisation) to develop short-term technological capacity and resilience in manufacturing in the long term. This solution has the greatest potential of creating competitive advantage and is directly related to the JLR Reimagine strategy.</w:t>
      </w:r>
    </w:p>
    <w:p w14:paraId="00000095" w14:textId="77777777" w:rsidR="00215CBD" w:rsidRDefault="00960C0F">
      <w:pPr>
        <w:pStyle w:val="Heading1"/>
      </w:pPr>
      <w:bookmarkStart w:id="13" w:name="_ejivh5hzivlk" w:colFirst="0" w:colLast="0"/>
      <w:bookmarkEnd w:id="13"/>
      <w:r>
        <w:t xml:space="preserve">5. Conclusion and Recommendations </w:t>
      </w:r>
    </w:p>
    <w:p w14:paraId="00000096" w14:textId="77777777" w:rsidR="00215CBD" w:rsidRDefault="00960C0F">
      <w:pPr>
        <w:pStyle w:val="Heading2"/>
      </w:pPr>
      <w:bookmarkStart w:id="14" w:name="_8sxks2u03zg" w:colFirst="0" w:colLast="0"/>
      <w:bookmarkEnd w:id="14"/>
      <w:r>
        <w:t xml:space="preserve">5.1 Conclusion </w:t>
      </w:r>
    </w:p>
    <w:p w14:paraId="00000097"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The analysis has indicated that JLR is doing business in a very dynamic environment with great technological, regulatory, and competition pressures. The PESTLE analysis revealed that regulatory timeframes, the increase in material prices, and the intensive development of EVs put severe pressure on JLR to accelerate the innovation process (IEA, 2022). The Five Forces framework by Porter also suggested strong competition on the part of Tesla, German luxury EV manufacturers, and emerging Chinese competitors (F</w:t>
      </w:r>
      <w:r>
        <w:rPr>
          <w:rFonts w:ascii="Times New Roman" w:eastAsia="Times New Roman" w:hAnsi="Times New Roman" w:cs="Times New Roman"/>
        </w:rPr>
        <w:t>T, 2023). At the internal level, the RBV and VRIO assessment showed that the company had a powerful brand, but had weaknesses in EV technology, software potential, and supply chain dependability (Tata Motors, 2023).</w:t>
      </w:r>
    </w:p>
    <w:p w14:paraId="00000098" w14:textId="77777777" w:rsidR="00215CBD" w:rsidRDefault="00960C0F">
      <w:pPr>
        <w:spacing w:line="360" w:lineRule="auto"/>
        <w:jc w:val="both"/>
        <w:rPr>
          <w:rFonts w:ascii="Times New Roman" w:eastAsia="Times New Roman" w:hAnsi="Times New Roman" w:cs="Times New Roman"/>
        </w:rPr>
      </w:pPr>
      <w:r>
        <w:rPr>
          <w:rFonts w:ascii="Times New Roman" w:eastAsia="Times New Roman" w:hAnsi="Times New Roman" w:cs="Times New Roman"/>
        </w:rPr>
        <w:t>Under such circumstances, there is need to enhance EV capability. The hybrid approach suggested by the author combines technology partnerships and supply chain localisation as the recommended way to achieve competitive advantage. It allows one to electrify faster and develop the resilience towards long-term sustainability and compliance.</w:t>
      </w:r>
    </w:p>
    <w:p w14:paraId="00000099" w14:textId="77777777" w:rsidR="00215CBD" w:rsidRDefault="00960C0F">
      <w:pPr>
        <w:pStyle w:val="Heading2"/>
      </w:pPr>
      <w:bookmarkStart w:id="15" w:name="_p8g08pojg6gr" w:colFirst="0" w:colLast="0"/>
      <w:bookmarkEnd w:id="15"/>
      <w:r>
        <w:t xml:space="preserve">5.2 Actionable Recommendations </w:t>
      </w:r>
    </w:p>
    <w:p w14:paraId="0000009A" w14:textId="77777777" w:rsidR="00215CBD" w:rsidRDefault="00960C0F">
      <w:pPr>
        <w:spacing w:line="360" w:lineRule="auto"/>
        <w:rPr>
          <w:rFonts w:ascii="Times New Roman" w:eastAsia="Times New Roman" w:hAnsi="Times New Roman" w:cs="Times New Roman"/>
        </w:rPr>
      </w:pPr>
      <w:r>
        <w:rPr>
          <w:rFonts w:ascii="Times New Roman" w:eastAsia="Times New Roman" w:hAnsi="Times New Roman" w:cs="Times New Roman"/>
          <w:b/>
          <w:bCs/>
        </w:rPr>
        <w:t>1. Establish long-term battery partnerships and joint ventures.</w:t>
      </w:r>
      <w:r>
        <w:rPr>
          <w:rFonts w:ascii="Times New Roman" w:eastAsia="Times New Roman" w:hAnsi="Times New Roman" w:cs="Times New Roman"/>
        </w:rPr>
        <w:br/>
        <w:t>JLR should form multi-year agreements with leading battery manufacturers such as CATL or Northvolt to secure access to advanced cell chemistries and stabilise supply (FT, 2023).</w:t>
      </w:r>
    </w:p>
    <w:p w14:paraId="0000009B" w14:textId="77777777" w:rsidR="00215CBD" w:rsidRDefault="00960C0F">
      <w:pPr>
        <w:spacing w:line="360" w:lineRule="auto"/>
        <w:rPr>
          <w:rFonts w:ascii="Times New Roman" w:eastAsia="Times New Roman" w:hAnsi="Times New Roman" w:cs="Times New Roman"/>
        </w:rPr>
      </w:pPr>
      <w:r>
        <w:rPr>
          <w:rFonts w:ascii="Times New Roman" w:eastAsia="Times New Roman" w:hAnsi="Times New Roman" w:cs="Times New Roman"/>
          <w:b/>
          <w:bCs/>
        </w:rPr>
        <w:t>2. Invest in UK-based battery assembly facilities.</w:t>
      </w:r>
      <w:r>
        <w:rPr>
          <w:rFonts w:ascii="Times New Roman" w:eastAsia="Times New Roman" w:hAnsi="Times New Roman" w:cs="Times New Roman"/>
        </w:rPr>
        <w:br/>
        <w:t>Localising battery production reduces tariff exposure, strengthens compliance with rules of origin, and supports UK industrial policy (SMMT, 2023).</w:t>
      </w:r>
    </w:p>
    <w:p w14:paraId="0000009C" w14:textId="77777777" w:rsidR="00215CBD" w:rsidRDefault="00960C0F">
      <w:pPr>
        <w:spacing w:line="360" w:lineRule="auto"/>
        <w:rPr>
          <w:rFonts w:ascii="Times New Roman" w:eastAsia="Times New Roman" w:hAnsi="Times New Roman" w:cs="Times New Roman"/>
        </w:rPr>
      </w:pPr>
      <w:r>
        <w:rPr>
          <w:rFonts w:ascii="Times New Roman" w:eastAsia="Times New Roman" w:hAnsi="Times New Roman" w:cs="Times New Roman"/>
          <w:b/>
          <w:bCs/>
        </w:rPr>
        <w:t>3. Accelerate Jaguar’s full-electric repositioning.</w:t>
      </w:r>
      <w:r>
        <w:rPr>
          <w:rFonts w:ascii="Times New Roman" w:eastAsia="Times New Roman" w:hAnsi="Times New Roman" w:cs="Times New Roman"/>
        </w:rPr>
        <w:br/>
        <w:t>JLR should prioritise rapid deployment of Jaguar’s new EV platform to regain competitiveness in the luxury segment.</w:t>
      </w:r>
    </w:p>
    <w:p w14:paraId="0000009D" w14:textId="77777777" w:rsidR="00215CBD" w:rsidRDefault="00960C0F">
      <w:pPr>
        <w:spacing w:line="360" w:lineRule="auto"/>
        <w:rPr>
          <w:rFonts w:ascii="Times New Roman" w:eastAsia="Times New Roman" w:hAnsi="Times New Roman" w:cs="Times New Roman"/>
        </w:rPr>
      </w:pPr>
      <w:r>
        <w:rPr>
          <w:rFonts w:ascii="Times New Roman" w:eastAsia="Times New Roman" w:hAnsi="Times New Roman" w:cs="Times New Roman"/>
          <w:b/>
          <w:bCs/>
        </w:rPr>
        <w:t>4. Expand digital and autonomous features.</w:t>
      </w:r>
      <w:r>
        <w:rPr>
          <w:rFonts w:ascii="Times New Roman" w:eastAsia="Times New Roman" w:hAnsi="Times New Roman" w:cs="Times New Roman"/>
        </w:rPr>
        <w:br/>
        <w:t>Investment in software engineering and partnerships for autonomous systems will help close competitive gaps with Tesla and German rivals.</w:t>
      </w:r>
    </w:p>
    <w:p w14:paraId="0000009E" w14:textId="77777777" w:rsidR="00215CBD" w:rsidRDefault="00960C0F">
      <w:pPr>
        <w:spacing w:line="360" w:lineRule="auto"/>
        <w:rPr>
          <w:rFonts w:ascii="Times New Roman" w:eastAsia="Times New Roman" w:hAnsi="Times New Roman" w:cs="Times New Roman"/>
        </w:rPr>
      </w:pPr>
      <w:r>
        <w:rPr>
          <w:rFonts w:ascii="Times New Roman" w:eastAsia="Times New Roman" w:hAnsi="Times New Roman" w:cs="Times New Roman"/>
          <w:b/>
          <w:bCs/>
        </w:rPr>
        <w:t>5. Strengthen sustainability reporting and circular manufacturing.</w:t>
      </w:r>
      <w:r>
        <w:rPr>
          <w:rFonts w:ascii="Times New Roman" w:eastAsia="Times New Roman" w:hAnsi="Times New Roman" w:cs="Times New Roman"/>
        </w:rPr>
        <w:br/>
        <w:t>Improving traceability of materials and adopting circular processes will support JLR’s 2039 net-zero goals and improve stakeholder confidence.</w:t>
      </w:r>
    </w:p>
    <w:p w14:paraId="0000009F" w14:textId="77777777" w:rsidR="00215CBD" w:rsidRDefault="00960C0F">
      <w:pPr>
        <w:pStyle w:val="Heading1"/>
      </w:pPr>
      <w:bookmarkStart w:id="16" w:name="_gxf6ljcs7qbl" w:colFirst="0" w:colLast="0"/>
      <w:bookmarkEnd w:id="16"/>
      <w:r>
        <w:t xml:space="preserve">6. References </w:t>
      </w:r>
    </w:p>
    <w:p w14:paraId="000000A0"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BBC (2023) </w:t>
      </w:r>
      <w:r>
        <w:rPr>
          <w:rFonts w:ascii="Times New Roman" w:eastAsia="Times New Roman" w:hAnsi="Times New Roman" w:cs="Times New Roman"/>
          <w:i/>
          <w:iCs/>
          <w:color w:val="000000"/>
        </w:rPr>
        <w:t>Jaguar Land Rover production hit by chip shortages</w:t>
      </w:r>
      <w:r>
        <w:rPr>
          <w:rFonts w:ascii="Times New Roman" w:eastAsia="Times New Roman" w:hAnsi="Times New Roman" w:cs="Times New Roman"/>
          <w:color w:val="000000"/>
        </w:rPr>
        <w:t>. Available at: https://www.bbc.co.uk/news(Accessed: 14 November 2025).</w:t>
      </w:r>
    </w:p>
    <w:p w14:paraId="000000A1"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Deloitte (2023) </w:t>
      </w:r>
      <w:r>
        <w:rPr>
          <w:rFonts w:ascii="Times New Roman" w:eastAsia="Times New Roman" w:hAnsi="Times New Roman" w:cs="Times New Roman"/>
          <w:i/>
          <w:iCs/>
          <w:color w:val="000000"/>
        </w:rPr>
        <w:t>2023 Global Automotive Consumer Study</w:t>
      </w:r>
      <w:r>
        <w:rPr>
          <w:rFonts w:ascii="Times New Roman" w:eastAsia="Times New Roman" w:hAnsi="Times New Roman" w:cs="Times New Roman"/>
          <w:color w:val="000000"/>
        </w:rPr>
        <w:t>. Deloitte Insights. Available at: </w:t>
      </w:r>
      <w:hyperlink r:id="rId6">
        <w:r>
          <w:rPr>
            <w:rFonts w:ascii="Times New Roman" w:eastAsia="Times New Roman" w:hAnsi="Times New Roman" w:cs="Times New Roman"/>
            <w:color w:val="000000"/>
            <w:u w:val="single"/>
          </w:rPr>
          <w:t>https://www2.deloitte.com</w:t>
        </w:r>
      </w:hyperlink>
      <w:r>
        <w:rPr>
          <w:rFonts w:ascii="Times New Roman" w:eastAsia="Times New Roman" w:hAnsi="Times New Roman" w:cs="Times New Roman"/>
          <w:color w:val="000000"/>
        </w:rPr>
        <w:t>(Accessed: 16 November 2025).</w:t>
      </w:r>
    </w:p>
    <w:p w14:paraId="000000A2"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Financial Times (2023) </w:t>
      </w:r>
      <w:r>
        <w:rPr>
          <w:rFonts w:ascii="Times New Roman" w:eastAsia="Times New Roman" w:hAnsi="Times New Roman" w:cs="Times New Roman"/>
          <w:i/>
          <w:iCs/>
          <w:color w:val="000000"/>
        </w:rPr>
        <w:t>Carmakers face pressure to cut carbon in aluminium supply chains</w:t>
      </w:r>
      <w:r>
        <w:rPr>
          <w:rFonts w:ascii="Times New Roman" w:eastAsia="Times New Roman" w:hAnsi="Times New Roman" w:cs="Times New Roman"/>
          <w:color w:val="000000"/>
        </w:rPr>
        <w:t>. Available at: https://www.ft.com (Accessed: 11 November 2025).</w:t>
      </w:r>
    </w:p>
    <w:p w14:paraId="000000A3"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Forbes (2023) </w:t>
      </w:r>
      <w:r>
        <w:rPr>
          <w:rFonts w:ascii="Times New Roman" w:eastAsia="Times New Roman" w:hAnsi="Times New Roman" w:cs="Times New Roman"/>
          <w:i/>
          <w:iCs/>
          <w:color w:val="000000"/>
        </w:rPr>
        <w:t>Battery innovation and the global EV race</w:t>
      </w:r>
      <w:r>
        <w:rPr>
          <w:rFonts w:ascii="Times New Roman" w:eastAsia="Times New Roman" w:hAnsi="Times New Roman" w:cs="Times New Roman"/>
          <w:color w:val="000000"/>
        </w:rPr>
        <w:t>. Available at: </w:t>
      </w:r>
      <w:hyperlink r:id="rId7">
        <w:r>
          <w:rPr>
            <w:rFonts w:ascii="Times New Roman" w:eastAsia="Times New Roman" w:hAnsi="Times New Roman" w:cs="Times New Roman"/>
            <w:color w:val="000000"/>
            <w:u w:val="single"/>
          </w:rPr>
          <w:t>https://www.forbes.com</w:t>
        </w:r>
      </w:hyperlink>
      <w:r>
        <w:rPr>
          <w:rFonts w:ascii="Times New Roman" w:eastAsia="Times New Roman" w:hAnsi="Times New Roman" w:cs="Times New Roman"/>
          <w:color w:val="000000"/>
        </w:rPr>
        <w:t> (Accessed: 15 November 2025).</w:t>
      </w:r>
    </w:p>
    <w:p w14:paraId="000000A4"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FT (2023) </w:t>
      </w:r>
      <w:r>
        <w:rPr>
          <w:rFonts w:ascii="Times New Roman" w:eastAsia="Times New Roman" w:hAnsi="Times New Roman" w:cs="Times New Roman"/>
          <w:i/>
          <w:iCs/>
          <w:color w:val="000000"/>
        </w:rPr>
        <w:t>Chinese EV makers accelerate push into Europe</w:t>
      </w:r>
      <w:r>
        <w:rPr>
          <w:rFonts w:ascii="Times New Roman" w:eastAsia="Times New Roman" w:hAnsi="Times New Roman" w:cs="Times New Roman"/>
          <w:color w:val="000000"/>
        </w:rPr>
        <w:t>. Financial Times. Available at: https://www.ft.com(Accessed: 17 November 2025).</w:t>
      </w:r>
    </w:p>
    <w:p w14:paraId="000000A5"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Harvard Business Review (2021) </w:t>
      </w:r>
      <w:r>
        <w:rPr>
          <w:rFonts w:ascii="Times New Roman" w:eastAsia="Times New Roman" w:hAnsi="Times New Roman" w:cs="Times New Roman"/>
          <w:i/>
          <w:iCs/>
          <w:color w:val="000000"/>
        </w:rPr>
        <w:t>Why consumers are switching brands in the EV market</w:t>
      </w:r>
      <w:r>
        <w:rPr>
          <w:rFonts w:ascii="Times New Roman" w:eastAsia="Times New Roman" w:hAnsi="Times New Roman" w:cs="Times New Roman"/>
          <w:color w:val="000000"/>
        </w:rPr>
        <w:t>. Available at: https://hbr.org(Accessed: 12 November 2025).</w:t>
      </w:r>
    </w:p>
    <w:p w14:paraId="000000A6"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IEA (2022) </w:t>
      </w:r>
      <w:r>
        <w:rPr>
          <w:rFonts w:ascii="Times New Roman" w:eastAsia="Times New Roman" w:hAnsi="Times New Roman" w:cs="Times New Roman"/>
          <w:i/>
          <w:iCs/>
          <w:color w:val="000000"/>
        </w:rPr>
        <w:t>Global EV Outlook 2022</w:t>
      </w:r>
      <w:r>
        <w:rPr>
          <w:rFonts w:ascii="Times New Roman" w:eastAsia="Times New Roman" w:hAnsi="Times New Roman" w:cs="Times New Roman"/>
          <w:color w:val="000000"/>
        </w:rPr>
        <w:t>. International Energy Agency. Available at: </w:t>
      </w:r>
      <w:hyperlink r:id="rId8">
        <w:r>
          <w:rPr>
            <w:rFonts w:ascii="Times New Roman" w:eastAsia="Times New Roman" w:hAnsi="Times New Roman" w:cs="Times New Roman"/>
            <w:color w:val="000000"/>
            <w:u w:val="single"/>
          </w:rPr>
          <w:t>https://www.iea.org</w:t>
        </w:r>
      </w:hyperlink>
      <w:r>
        <w:rPr>
          <w:rFonts w:ascii="Times New Roman" w:eastAsia="Times New Roman" w:hAnsi="Times New Roman" w:cs="Times New Roman"/>
          <w:color w:val="000000"/>
        </w:rPr>
        <w:t> (Accessed: 18 November 2025).</w:t>
      </w:r>
    </w:p>
    <w:p w14:paraId="000000A7"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Interbrand (2023) </w:t>
      </w:r>
      <w:r>
        <w:rPr>
          <w:rFonts w:ascii="Times New Roman" w:eastAsia="Times New Roman" w:hAnsi="Times New Roman" w:cs="Times New Roman"/>
          <w:i/>
          <w:iCs/>
          <w:color w:val="000000"/>
        </w:rPr>
        <w:t>Best Global Brands 2023: Automotive Sector Analysis</w:t>
      </w:r>
      <w:r>
        <w:rPr>
          <w:rFonts w:ascii="Times New Roman" w:eastAsia="Times New Roman" w:hAnsi="Times New Roman" w:cs="Times New Roman"/>
          <w:color w:val="000000"/>
        </w:rPr>
        <w:t>. Available at: </w:t>
      </w:r>
      <w:hyperlink r:id="rId9">
        <w:r>
          <w:rPr>
            <w:rFonts w:ascii="Times New Roman" w:eastAsia="Times New Roman" w:hAnsi="Times New Roman" w:cs="Times New Roman"/>
            <w:color w:val="000000"/>
            <w:u w:val="single"/>
          </w:rPr>
          <w:t>https://interbrand.com</w:t>
        </w:r>
      </w:hyperlink>
      <w:r>
        <w:rPr>
          <w:rFonts w:ascii="Times New Roman" w:eastAsia="Times New Roman" w:hAnsi="Times New Roman" w:cs="Times New Roman"/>
          <w:color w:val="000000"/>
        </w:rPr>
        <w:t>(Accessed: 10 November 2025).</w:t>
      </w:r>
    </w:p>
    <w:p w14:paraId="000000A8"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McKinsey &amp; Company (2022) </w:t>
      </w:r>
      <w:r>
        <w:rPr>
          <w:rFonts w:ascii="Times New Roman" w:eastAsia="Times New Roman" w:hAnsi="Times New Roman" w:cs="Times New Roman"/>
          <w:i/>
          <w:iCs/>
          <w:color w:val="000000"/>
        </w:rPr>
        <w:t>Semiconductor shortage: Impact on global automotive manufacturing</w:t>
      </w:r>
      <w:r>
        <w:rPr>
          <w:rFonts w:ascii="Times New Roman" w:eastAsia="Times New Roman" w:hAnsi="Times New Roman" w:cs="Times New Roman"/>
          <w:color w:val="000000"/>
        </w:rPr>
        <w:t>. Available at: </w:t>
      </w:r>
      <w:hyperlink r:id="rId10">
        <w:r>
          <w:rPr>
            <w:rFonts w:ascii="Times New Roman" w:eastAsia="Times New Roman" w:hAnsi="Times New Roman" w:cs="Times New Roman"/>
            <w:color w:val="000000"/>
            <w:u w:val="single"/>
          </w:rPr>
          <w:t>https://www.mckinsey.com</w:t>
        </w:r>
      </w:hyperlink>
      <w:r>
        <w:rPr>
          <w:rFonts w:ascii="Times New Roman" w:eastAsia="Times New Roman" w:hAnsi="Times New Roman" w:cs="Times New Roman"/>
          <w:color w:val="000000"/>
        </w:rPr>
        <w:t> (Accessed: 13 November 2025).</w:t>
      </w:r>
    </w:p>
    <w:p w14:paraId="000000A9"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McKinsey &amp; Company (2023) </w:t>
      </w:r>
      <w:r>
        <w:rPr>
          <w:rFonts w:ascii="Times New Roman" w:eastAsia="Times New Roman" w:hAnsi="Times New Roman" w:cs="Times New Roman"/>
          <w:i/>
          <w:iCs/>
          <w:color w:val="000000"/>
        </w:rPr>
        <w:t>The future of premium electric vehicles</w:t>
      </w:r>
      <w:r>
        <w:rPr>
          <w:rFonts w:ascii="Times New Roman" w:eastAsia="Times New Roman" w:hAnsi="Times New Roman" w:cs="Times New Roman"/>
          <w:color w:val="000000"/>
        </w:rPr>
        <w:t>. Available at: </w:t>
      </w:r>
      <w:hyperlink r:id="rId11">
        <w:r>
          <w:rPr>
            <w:rFonts w:ascii="Times New Roman" w:eastAsia="Times New Roman" w:hAnsi="Times New Roman" w:cs="Times New Roman"/>
            <w:color w:val="000000"/>
            <w:u w:val="single"/>
          </w:rPr>
          <w:t>https://www.mckinsey.com</w:t>
        </w:r>
      </w:hyperlink>
      <w:r>
        <w:rPr>
          <w:rFonts w:ascii="Times New Roman" w:eastAsia="Times New Roman" w:hAnsi="Times New Roman" w:cs="Times New Roman"/>
          <w:color w:val="000000"/>
        </w:rPr>
        <w:t>(Accessed: 18 November 2025).</w:t>
      </w:r>
    </w:p>
    <w:p w14:paraId="000000AA"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National Audit Office (2023) </w:t>
      </w:r>
      <w:r>
        <w:rPr>
          <w:rFonts w:ascii="Times New Roman" w:eastAsia="Times New Roman" w:hAnsi="Times New Roman" w:cs="Times New Roman"/>
          <w:i/>
          <w:iCs/>
          <w:color w:val="000000"/>
        </w:rPr>
        <w:t>Government support for the UK automotive sector</w:t>
      </w:r>
      <w:r>
        <w:rPr>
          <w:rFonts w:ascii="Times New Roman" w:eastAsia="Times New Roman" w:hAnsi="Times New Roman" w:cs="Times New Roman"/>
          <w:color w:val="000000"/>
        </w:rPr>
        <w:t>. Available at: </w:t>
      </w:r>
      <w:hyperlink r:id="rId12">
        <w:r>
          <w:rPr>
            <w:rFonts w:ascii="Times New Roman" w:eastAsia="Times New Roman" w:hAnsi="Times New Roman" w:cs="Times New Roman"/>
            <w:color w:val="000000"/>
            <w:u w:val="single"/>
          </w:rPr>
          <w:t>https://www.nao.org.uk</w:t>
        </w:r>
      </w:hyperlink>
      <w:r>
        <w:rPr>
          <w:rFonts w:ascii="Times New Roman" w:eastAsia="Times New Roman" w:hAnsi="Times New Roman" w:cs="Times New Roman"/>
          <w:color w:val="000000"/>
        </w:rPr>
        <w:t>(Accessed: 11 November 2025).</w:t>
      </w:r>
    </w:p>
    <w:p w14:paraId="000000AB"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SMMT (2023) </w:t>
      </w:r>
      <w:r>
        <w:rPr>
          <w:rFonts w:ascii="Times New Roman" w:eastAsia="Times New Roman" w:hAnsi="Times New Roman" w:cs="Times New Roman"/>
          <w:i/>
          <w:iCs/>
          <w:color w:val="000000"/>
        </w:rPr>
        <w:t>UK Automotive Industry Outlook Report 2023</w:t>
      </w:r>
      <w:r>
        <w:rPr>
          <w:rFonts w:ascii="Times New Roman" w:eastAsia="Times New Roman" w:hAnsi="Times New Roman" w:cs="Times New Roman"/>
          <w:color w:val="000000"/>
        </w:rPr>
        <w:t>. Society of Motor Manufacturers and Traders. Available at: </w:t>
      </w:r>
      <w:hyperlink r:id="rId13">
        <w:r>
          <w:rPr>
            <w:rFonts w:ascii="Times New Roman" w:eastAsia="Times New Roman" w:hAnsi="Times New Roman" w:cs="Times New Roman"/>
            <w:color w:val="000000"/>
            <w:u w:val="single"/>
          </w:rPr>
          <w:t>https://www.smmt.co.uk</w:t>
        </w:r>
      </w:hyperlink>
      <w:r>
        <w:rPr>
          <w:rFonts w:ascii="Times New Roman" w:eastAsia="Times New Roman" w:hAnsi="Times New Roman" w:cs="Times New Roman"/>
          <w:color w:val="000000"/>
        </w:rPr>
        <w:t> (Accessed: 16 November 2025).</w:t>
      </w:r>
    </w:p>
    <w:p w14:paraId="000000AC"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Tata Motors (2023) </w:t>
      </w:r>
      <w:r>
        <w:rPr>
          <w:rFonts w:ascii="Times New Roman" w:eastAsia="Times New Roman" w:hAnsi="Times New Roman" w:cs="Times New Roman"/>
          <w:i/>
          <w:iCs/>
          <w:color w:val="000000"/>
        </w:rPr>
        <w:t>Tata Motors Annual Report 2023</w:t>
      </w:r>
      <w:r>
        <w:rPr>
          <w:rFonts w:ascii="Times New Roman" w:eastAsia="Times New Roman" w:hAnsi="Times New Roman" w:cs="Times New Roman"/>
          <w:color w:val="000000"/>
        </w:rPr>
        <w:t>. Tata Motors Ltd. Available at: </w:t>
      </w:r>
      <w:hyperlink r:id="rId14">
        <w:r>
          <w:rPr>
            <w:rFonts w:ascii="Times New Roman" w:eastAsia="Times New Roman" w:hAnsi="Times New Roman" w:cs="Times New Roman"/>
            <w:color w:val="000000"/>
            <w:u w:val="single"/>
          </w:rPr>
          <w:t>https://www.tatamotors.com</w:t>
        </w:r>
      </w:hyperlink>
      <w:r>
        <w:rPr>
          <w:rFonts w:ascii="Times New Roman" w:eastAsia="Times New Roman" w:hAnsi="Times New Roman" w:cs="Times New Roman"/>
          <w:color w:val="000000"/>
        </w:rPr>
        <w:t>(Accessed: 17 November 2025).</w:t>
      </w:r>
    </w:p>
    <w:p w14:paraId="000000AD" w14:textId="77777777" w:rsidR="00215CBD" w:rsidRDefault="00960C0F">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UK Government (2023) </w:t>
      </w:r>
      <w:r>
        <w:rPr>
          <w:rFonts w:ascii="Times New Roman" w:eastAsia="Times New Roman" w:hAnsi="Times New Roman" w:cs="Times New Roman"/>
          <w:i/>
          <w:iCs/>
          <w:color w:val="000000"/>
        </w:rPr>
        <w:t>Ending the sale of new petrol and diesel cars by 2035: Policy statement</w:t>
      </w:r>
      <w:r>
        <w:rPr>
          <w:rFonts w:ascii="Times New Roman" w:eastAsia="Times New Roman" w:hAnsi="Times New Roman" w:cs="Times New Roman"/>
          <w:color w:val="000000"/>
        </w:rPr>
        <w:t>. GOV.UK. Available at: </w:t>
      </w:r>
      <w:hyperlink r:id="rId15">
        <w:r>
          <w:rPr>
            <w:rFonts w:ascii="Times New Roman" w:eastAsia="Times New Roman" w:hAnsi="Times New Roman" w:cs="Times New Roman"/>
            <w:color w:val="000000"/>
            <w:u w:val="single"/>
          </w:rPr>
          <w:t>https://www.gov.uk</w:t>
        </w:r>
      </w:hyperlink>
      <w:r>
        <w:rPr>
          <w:rFonts w:ascii="Times New Roman" w:eastAsia="Times New Roman" w:hAnsi="Times New Roman" w:cs="Times New Roman"/>
          <w:color w:val="000000"/>
        </w:rPr>
        <w:t> (Accessed: 10 November 2025).</w:t>
      </w:r>
    </w:p>
    <w:p w14:paraId="000000AE" w14:textId="77777777" w:rsidR="00215CBD" w:rsidRDefault="00215CBD"/>
    <w:p w14:paraId="000000AF" w14:textId="77777777" w:rsidR="00215CBD" w:rsidRDefault="00215CBD">
      <w:pPr>
        <w:rPr>
          <w:rFonts w:ascii="Times New Roman" w:eastAsia="Times New Roman" w:hAnsi="Times New Roman" w:cs="Times New Roman"/>
          <w:b/>
          <w:bCs/>
        </w:rPr>
      </w:pPr>
    </w:p>
    <w:sectPr w:rsidR="00215CBD">
      <w:footerReference w:type="even" r:id="rId16"/>
      <w:footerReference w:type="default" r:id="rId1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C4596" w14:textId="77777777" w:rsidR="00960C0F" w:rsidRDefault="00960C0F">
      <w:r>
        <w:separator/>
      </w:r>
    </w:p>
  </w:endnote>
  <w:endnote w:type="continuationSeparator" w:id="0">
    <w:p w14:paraId="6915EE11" w14:textId="77777777" w:rsidR="00960C0F" w:rsidRDefault="00960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lay">
    <w:charset w:val="00"/>
    <w:family w:val="auto"/>
    <w:pitch w:val="default"/>
    <w:embedRegular r:id="rId1" w:fontKey="{1714F5B9-ADBE-554A-A630-7C4977F710CF}"/>
    <w:embedBold r:id="rId2" w:fontKey="{F3008649-A8C1-BB44-94DB-DA2AF9D0FF64}"/>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2" w14:textId="77777777" w:rsidR="00215CBD" w:rsidRDefault="00960C0F">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B3" w14:textId="77777777" w:rsidR="00215CBD" w:rsidRDefault="00215CBD">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0" w14:textId="0A20ADC3" w:rsidR="00215CBD" w:rsidRDefault="00960C0F">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B1" w14:textId="77777777" w:rsidR="00215CBD" w:rsidRDefault="00215CBD">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0DF44" w14:textId="77777777" w:rsidR="00960C0F" w:rsidRDefault="00960C0F">
      <w:r>
        <w:separator/>
      </w:r>
    </w:p>
  </w:footnote>
  <w:footnote w:type="continuationSeparator" w:id="0">
    <w:p w14:paraId="74F3575E" w14:textId="77777777" w:rsidR="00960C0F" w:rsidRDefault="00960C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9"/>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CBD"/>
    <w:rsid w:val="00215CBD"/>
    <w:rsid w:val="008C0A41"/>
    <w:rsid w:val="00960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DF59F7A4-ABF2-9040-B7BE-DF6EA27F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ea.org/" TargetMode="External" /><Relationship Id="rId13" Type="http://schemas.openxmlformats.org/officeDocument/2006/relationships/hyperlink" Target="https://www.smmt.co.uk/" TargetMode="External" /><Relationship Id="rId1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forbes.com/" TargetMode="External" /><Relationship Id="rId12" Type="http://schemas.openxmlformats.org/officeDocument/2006/relationships/hyperlink" Target="https://www.nao.org.uk/" TargetMode="External" /><Relationship Id="rId17" Type="http://schemas.openxmlformats.org/officeDocument/2006/relationships/footer" Target="footer2.xml" /><Relationship Id="rId2" Type="http://schemas.openxmlformats.org/officeDocument/2006/relationships/settings" Target="settings.xml" /><Relationship Id="rId16" Type="http://schemas.openxmlformats.org/officeDocument/2006/relationships/footer" Target="footer1.xml" /><Relationship Id="rId1" Type="http://schemas.openxmlformats.org/officeDocument/2006/relationships/styles" Target="styles.xml" /><Relationship Id="rId6" Type="http://schemas.openxmlformats.org/officeDocument/2006/relationships/hyperlink" Target="https://www2.deloitte.com/" TargetMode="External" /><Relationship Id="rId11" Type="http://schemas.openxmlformats.org/officeDocument/2006/relationships/hyperlink" Target="https://www.mckinsey.com/" TargetMode="External" /><Relationship Id="rId5" Type="http://schemas.openxmlformats.org/officeDocument/2006/relationships/endnotes" Target="endnotes.xml" /><Relationship Id="rId15" Type="http://schemas.openxmlformats.org/officeDocument/2006/relationships/hyperlink" Target="https://www.gov.uk/" TargetMode="External" /><Relationship Id="rId10" Type="http://schemas.openxmlformats.org/officeDocument/2006/relationships/hyperlink" Target="https://www.mckinsey.com/" TargetMode="External" /><Relationship Id="rId19"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hyperlink" Target="https://interbrand.com/" TargetMode="External" /><Relationship Id="rId14" Type="http://schemas.openxmlformats.org/officeDocument/2006/relationships/hyperlink" Target="https://www.tatamotors.com/"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3113</Words>
  <Characters>17745</Characters>
  <Application>Microsoft Office Word</Application>
  <DocSecurity>0</DocSecurity>
  <Lines>147</Lines>
  <Paragraphs>41</Paragraphs>
  <ScaleCrop>false</ScaleCrop>
  <Company/>
  <LinksUpToDate>false</LinksUpToDate>
  <CharactersWithSpaces>20817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Coteneanu</cp:lastModifiedBy>
  <cp:revision>2</cp:revision>
  <dcterms:created xsi:type="dcterms:W3CDTF">2025-11-29T19:13:00Z</dcterms:created>
  <dcterms:modified xsi:type="dcterms:W3CDTF">2025-11-29T19:13:00Z</dcterms:modified>
</cp:coreProperties>
</file>