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School of Sport, Health &amp; Outdoor Education</w:t>
      </w:r>
    </w:p>
    <w:p w:rsidR="00000000" w:rsidDel="00000000" w:rsidP="00000000" w:rsidRDefault="00000000" w:rsidRPr="00000000" w14:paraId="00000002">
      <w:pPr>
        <w:spacing w:line="276"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International Outdoor Pursuits</w:t>
      </w:r>
    </w:p>
    <w:p w:rsidR="00000000" w:rsidDel="00000000" w:rsidP="00000000" w:rsidRDefault="00000000" w:rsidRPr="00000000" w14:paraId="00000003">
      <w:pPr>
        <w:spacing w:line="276"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Assessment Feedback Sheet</w:t>
      </w:r>
    </w:p>
    <w:p w:rsidR="00000000" w:rsidDel="00000000" w:rsidP="00000000" w:rsidRDefault="00000000" w:rsidRPr="00000000" w14:paraId="00000004">
      <w:pPr>
        <w:spacing w:line="276"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276"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Student No./Name:</w:t>
        <w:tab/>
      </w:r>
    </w:p>
    <w:p w:rsidR="00000000" w:rsidDel="00000000" w:rsidP="00000000" w:rsidRDefault="00000000" w:rsidRPr="00000000" w14:paraId="00000006">
      <w:pPr>
        <w:spacing w:line="276"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Module: SHOA4001</w:t>
        <w:tab/>
      </w:r>
    </w:p>
    <w:p w:rsidR="00000000" w:rsidDel="00000000" w:rsidP="00000000" w:rsidRDefault="00000000" w:rsidRPr="00000000" w14:paraId="00000007">
      <w:pPr>
        <w:spacing w:line="276"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Module Code: Theoretical Issues In Outdoor Pursuits</w:t>
      </w:r>
    </w:p>
    <w:p w:rsidR="00000000" w:rsidDel="00000000" w:rsidP="00000000" w:rsidRDefault="00000000" w:rsidRPr="00000000" w14:paraId="0000000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276" w:lineRule="auto"/>
        <w:rPr>
          <w:rFonts w:ascii="Times New Roman" w:cs="Times New Roman" w:eastAsia="Times New Roman" w:hAnsi="Times New Roman"/>
          <w:sz w:val="24"/>
          <w:szCs w:val="24"/>
        </w:rPr>
      </w:pPr>
      <w:r w:rsidDel="00000000" w:rsidR="00000000" w:rsidRPr="00000000">
        <w:rPr>
          <w:rtl w:val="0"/>
        </w:rPr>
      </w:r>
    </w:p>
    <w:tbl>
      <w:tblPr>
        <w:tblStyle w:val="Table1"/>
        <w:tblW w:w="11040.0" w:type="dxa"/>
        <w:jc w:val="left"/>
        <w:tblInd w:w="-725.0" w:type="dxa"/>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600"/>
      </w:tblPr>
      <w:tblGrid>
        <w:gridCol w:w="1500"/>
        <w:gridCol w:w="1155"/>
        <w:gridCol w:w="1155"/>
        <w:gridCol w:w="270"/>
        <w:gridCol w:w="300"/>
        <w:gridCol w:w="495"/>
        <w:gridCol w:w="2040"/>
        <w:gridCol w:w="435"/>
        <w:gridCol w:w="285"/>
        <w:gridCol w:w="285"/>
        <w:gridCol w:w="840"/>
        <w:gridCol w:w="675"/>
        <w:gridCol w:w="435"/>
        <w:gridCol w:w="1170"/>
        <w:tblGridChange w:id="0">
          <w:tblGrid>
            <w:gridCol w:w="1500"/>
            <w:gridCol w:w="1155"/>
            <w:gridCol w:w="1155"/>
            <w:gridCol w:w="270"/>
            <w:gridCol w:w="300"/>
            <w:gridCol w:w="495"/>
            <w:gridCol w:w="2040"/>
            <w:gridCol w:w="435"/>
            <w:gridCol w:w="285"/>
            <w:gridCol w:w="285"/>
            <w:gridCol w:w="840"/>
            <w:gridCol w:w="675"/>
            <w:gridCol w:w="435"/>
            <w:gridCol w:w="1170"/>
          </w:tblGrid>
        </w:tblGridChange>
      </w:tblGrid>
      <w:tr>
        <w:trPr>
          <w:trHeight w:val="860" w:hRule="atLeast"/>
        </w:trPr>
        <w:tc>
          <w:tcPr>
            <w:gridSpan w:val="14"/>
            <w:tcMar>
              <w:top w:w="100.0" w:type="dxa"/>
              <w:left w:w="100.0" w:type="dxa"/>
              <w:bottom w:w="100.0" w:type="dxa"/>
              <w:right w:w="100.0" w:type="dxa"/>
            </w:tcMar>
            <w:vAlign w:val="top"/>
          </w:tcPr>
          <w:p w:rsidR="00000000" w:rsidDel="00000000" w:rsidP="00000000" w:rsidRDefault="00000000" w:rsidRPr="00000000" w14:paraId="0000000A">
            <w:pPr>
              <w:spacing w:line="276" w:lineRule="auto"/>
              <w:jc w:val="center"/>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Personal Evaluation – to support your academic progress please complete the section below BEFORE submitting your work.</w:t>
            </w:r>
          </w:p>
        </w:tc>
      </w:tr>
      <w:tr>
        <w:trPr>
          <w:trHeight w:val="920" w:hRule="atLeast"/>
        </w:trPr>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18">
            <w:pPr>
              <w:widowControl w:val="0"/>
              <w:spacing w:line="276"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What do you consider to be the best aspects of this work?</w:t>
            </w:r>
          </w:p>
        </w:tc>
        <w:tc>
          <w:tcPr>
            <w:gridSpan w:val="11"/>
            <w:shd w:fill="auto" w:val="clear"/>
            <w:tcMar>
              <w:top w:w="100.0" w:type="dxa"/>
              <w:left w:w="100.0" w:type="dxa"/>
              <w:bottom w:w="100.0" w:type="dxa"/>
              <w:right w:w="100.0" w:type="dxa"/>
            </w:tcMar>
            <w:vAlign w:val="top"/>
          </w:tcPr>
          <w:p w:rsidR="00000000" w:rsidDel="00000000" w:rsidP="00000000" w:rsidRDefault="00000000" w:rsidRPr="00000000" w14:paraId="0000001B">
            <w:pPr>
              <w:spacing w:line="276" w:lineRule="auto"/>
              <w:jc w:val="center"/>
              <w:rPr>
                <w:rFonts w:ascii="Times New Roman" w:cs="Times New Roman" w:eastAsia="Times New Roman" w:hAnsi="Times New Roman"/>
                <w:sz w:val="24"/>
                <w:szCs w:val="24"/>
              </w:rPr>
            </w:pPr>
            <w:r w:rsidDel="00000000" w:rsidR="00000000" w:rsidRPr="00000000">
              <w:rPr>
                <w:rtl w:val="0"/>
              </w:rPr>
            </w:r>
          </w:p>
        </w:tc>
      </w:tr>
      <w:tr>
        <w:trPr>
          <w:trHeight w:val="1060" w:hRule="atLeast"/>
        </w:trPr>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76"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Which aspects do you consider could have been improved in this piece of work?</w:t>
            </w:r>
          </w:p>
        </w:tc>
        <w:tc>
          <w:tcPr>
            <w:gridSpan w:val="11"/>
            <w:shd w:fill="auto" w:val="clear"/>
            <w:tcMar>
              <w:top w:w="100.0" w:type="dxa"/>
              <w:left w:w="100.0" w:type="dxa"/>
              <w:bottom w:w="100.0" w:type="dxa"/>
              <w:right w:w="100.0" w:type="dxa"/>
            </w:tcMar>
            <w:vAlign w:val="top"/>
          </w:tcPr>
          <w:p w:rsidR="00000000" w:rsidDel="00000000" w:rsidP="00000000" w:rsidRDefault="00000000" w:rsidRPr="00000000" w14:paraId="00000029">
            <w:pPr>
              <w:spacing w:line="276" w:lineRule="auto"/>
              <w:jc w:val="center"/>
              <w:rPr>
                <w:rFonts w:ascii="Times New Roman" w:cs="Times New Roman" w:eastAsia="Times New Roman" w:hAnsi="Times New Roman"/>
                <w:sz w:val="24"/>
                <w:szCs w:val="24"/>
              </w:rPr>
            </w:pPr>
            <w:r w:rsidDel="00000000" w:rsidR="00000000" w:rsidRPr="00000000">
              <w:rPr>
                <w:rtl w:val="0"/>
              </w:rPr>
            </w:r>
          </w:p>
        </w:tc>
      </w:tr>
      <w:tr>
        <w:trPr>
          <w:trHeight w:val="1060" w:hRule="atLeast"/>
        </w:trPr>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76"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What have you found most satisfying whilst undertaking this submission?</w:t>
            </w:r>
          </w:p>
        </w:tc>
        <w:tc>
          <w:tcPr>
            <w:gridSpan w:val="11"/>
            <w:shd w:fill="auto" w:val="clear"/>
            <w:tcMar>
              <w:top w:w="100.0" w:type="dxa"/>
              <w:left w:w="100.0" w:type="dxa"/>
              <w:bottom w:w="100.0" w:type="dxa"/>
              <w:right w:w="100.0" w:type="dxa"/>
            </w:tcMar>
            <w:vAlign w:val="top"/>
          </w:tcPr>
          <w:p w:rsidR="00000000" w:rsidDel="00000000" w:rsidP="00000000" w:rsidRDefault="00000000" w:rsidRPr="00000000" w14:paraId="00000037">
            <w:pPr>
              <w:spacing w:line="276" w:lineRule="auto"/>
              <w:jc w:val="center"/>
              <w:rPr>
                <w:rFonts w:ascii="Times New Roman" w:cs="Times New Roman" w:eastAsia="Times New Roman" w:hAnsi="Times New Roman"/>
                <w:sz w:val="24"/>
                <w:szCs w:val="24"/>
              </w:rPr>
            </w:pPr>
            <w:r w:rsidDel="00000000" w:rsidR="00000000" w:rsidRPr="00000000">
              <w:rPr>
                <w:rtl w:val="0"/>
              </w:rPr>
            </w:r>
          </w:p>
        </w:tc>
      </w:tr>
      <w:tr>
        <w:trPr>
          <w:trHeight w:val="920" w:hRule="atLeast"/>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4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276" w:lineRule="auto"/>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ASSESSMENT CRITERIA</w:t>
            </w:r>
          </w:p>
        </w:tc>
        <w:tc>
          <w:tcPr>
            <w:gridSpan w:val="2"/>
            <w:vMerge w:val="restart"/>
            <w:shd w:fill="auto" w:val="clear"/>
            <w:tcMar>
              <w:top w:w="100.0" w:type="dxa"/>
              <w:left w:w="100.0" w:type="dxa"/>
              <w:bottom w:w="100.0" w:type="dxa"/>
              <w:right w:w="100.0" w:type="dxa"/>
            </w:tcMar>
            <w:vAlign w:val="top"/>
          </w:tcPr>
          <w:p w:rsidR="00000000" w:rsidDel="00000000" w:rsidP="00000000" w:rsidRDefault="00000000" w:rsidRPr="00000000" w14:paraId="0000004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gridSpan w:val="11"/>
            <w:shd w:fill="auto" w:val="clear"/>
            <w:tcMar>
              <w:top w:w="100.0" w:type="dxa"/>
              <w:left w:w="100.0" w:type="dxa"/>
              <w:bottom w:w="100.0" w:type="dxa"/>
              <w:right w:w="100.0" w:type="dxa"/>
            </w:tcMar>
            <w:vAlign w:val="top"/>
          </w:tcPr>
          <w:p w:rsidR="00000000" w:rsidDel="00000000" w:rsidP="00000000" w:rsidRDefault="00000000" w:rsidRPr="00000000" w14:paraId="00000047">
            <w:pPr>
              <w:spacing w:line="276" w:lineRule="auto"/>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GRADE</w:t>
            </w:r>
          </w:p>
        </w:tc>
      </w:tr>
      <w:tr>
        <w:trPr>
          <w:trHeight w:val="1980" w:hRule="atLeast"/>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76" w:lineRule="auto"/>
              <w:rPr>
                <w:rFonts w:ascii="Times New Roman" w:cs="Times New Roman" w:eastAsia="Times New Roman" w:hAnsi="Times New Roman"/>
                <w:sz w:val="24"/>
                <w:szCs w:val="24"/>
              </w:rPr>
            </w:pPr>
            <w:r w:rsidDel="00000000" w:rsidR="00000000" w:rsidRPr="00000000">
              <w:rPr>
                <w:rtl w:val="0"/>
              </w:rPr>
            </w:r>
          </w:p>
        </w:tc>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276"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Poor</w:t>
            </w:r>
          </w:p>
          <w:p w:rsidR="00000000" w:rsidDel="00000000" w:rsidP="00000000" w:rsidRDefault="00000000" w:rsidRPr="00000000" w14:paraId="00000056">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&lt; 20%</w:t>
            </w:r>
          </w:p>
          <w:p w:rsidR="00000000" w:rsidDel="00000000" w:rsidP="00000000" w:rsidRDefault="00000000" w:rsidRPr="00000000" w14:paraId="00000057">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Weak</w:t>
            </w:r>
          </w:p>
          <w:p w:rsidR="00000000" w:rsidDel="00000000" w:rsidP="00000000" w:rsidRDefault="00000000" w:rsidRPr="00000000" w14:paraId="00000059">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20-29%</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5A">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Unsatisfactory</w:t>
            </w:r>
          </w:p>
          <w:p w:rsidR="00000000" w:rsidDel="00000000" w:rsidP="00000000" w:rsidRDefault="00000000" w:rsidRPr="00000000" w14:paraId="0000005B">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30-39%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Satisfactory</w:t>
            </w:r>
          </w:p>
          <w:p w:rsidR="00000000" w:rsidDel="00000000" w:rsidP="00000000" w:rsidRDefault="00000000" w:rsidRPr="00000000" w14:paraId="0000005E">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40 – 49%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Good</w:t>
            </w:r>
          </w:p>
          <w:p w:rsidR="00000000" w:rsidDel="00000000" w:rsidP="00000000" w:rsidRDefault="00000000" w:rsidRPr="00000000" w14:paraId="00000060">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50 – 59%</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Very Good</w:t>
            </w:r>
          </w:p>
          <w:p w:rsidR="00000000" w:rsidDel="00000000" w:rsidP="00000000" w:rsidRDefault="00000000" w:rsidRPr="00000000" w14:paraId="00000062">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60 – 69%</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63">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Excellent</w:t>
            </w:r>
          </w:p>
          <w:p w:rsidR="00000000" w:rsidDel="00000000" w:rsidP="00000000" w:rsidRDefault="00000000" w:rsidRPr="00000000" w14:paraId="00000064">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70 – 84%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Exceptional</w:t>
            </w:r>
          </w:p>
          <w:p w:rsidR="00000000" w:rsidDel="00000000" w:rsidP="00000000" w:rsidRDefault="00000000" w:rsidRPr="00000000" w14:paraId="00000067">
            <w:pPr>
              <w:spacing w:line="276" w:lineRule="auto"/>
              <w:jc w:val="center"/>
              <w:rPr>
                <w:rFonts w:ascii="Times New Roman" w:cs="Times New Roman" w:eastAsia="Times New Roman" w:hAnsi="Times New Roman"/>
                <w:b w:val="1"/>
                <w:sz w:val="16"/>
                <w:szCs w:val="16"/>
              </w:rPr>
            </w:pPr>
            <w:r w:rsidDel="00000000" w:rsidR="00000000" w:rsidRPr="00000000">
              <w:rPr>
                <w:rFonts w:ascii="Times New Roman" w:cs="Times New Roman" w:eastAsia="Times New Roman" w:hAnsi="Times New Roman"/>
                <w:b w:val="1"/>
                <w:sz w:val="16"/>
                <w:szCs w:val="16"/>
                <w:rtl w:val="0"/>
              </w:rPr>
              <w:t xml:space="preserve">85– 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w:t>
            </w:r>
          </w:p>
        </w:tc>
      </w:tr>
      <w:tr>
        <w:trPr>
          <w:trHeight w:val="228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spacing w:line="276"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Exploration of the defining characteristics of an experiential learning experience.</w:t>
            </w:r>
          </w:p>
          <w:p w:rsidR="00000000" w:rsidDel="00000000" w:rsidP="00000000" w:rsidRDefault="00000000" w:rsidRPr="00000000" w14:paraId="0000006B">
            <w:pPr>
              <w:spacing w:line="276" w:lineRule="auto"/>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6C">
            <w:pPr>
              <w:spacing w:line="276"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70">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spacing w:line="276" w:lineRule="auto"/>
              <w:jc w:val="right"/>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75">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40%</w:t>
            </w:r>
          </w:p>
        </w:tc>
      </w:tr>
      <w:tr>
        <w:trPr>
          <w:trHeight w:val="27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79">
            <w:pPr>
              <w:spacing w:line="276"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Demonstrate an appreciation of how a range of outdoor activities might be used to facilitate experiential learning opportunities.</w:t>
            </w:r>
          </w:p>
          <w:p w:rsidR="00000000" w:rsidDel="00000000" w:rsidP="00000000" w:rsidRDefault="00000000" w:rsidRPr="00000000" w14:paraId="0000007A">
            <w:pPr>
              <w:spacing w:line="276" w:lineRule="auto"/>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7B">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7F">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spacing w:line="276"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spacing w:line="276"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spacing w:line="276" w:lineRule="auto"/>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84">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40%</w:t>
            </w:r>
          </w:p>
        </w:tc>
      </w:tr>
      <w:tr>
        <w:trPr>
          <w:trHeight w:val="390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spacing w:line="276"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Evidence of reflective thinking and application of relevant theories to personal experience in the outdoors.</w:t>
            </w:r>
          </w:p>
          <w:p w:rsidR="00000000" w:rsidDel="00000000" w:rsidP="00000000" w:rsidRDefault="00000000" w:rsidRPr="00000000" w14:paraId="00000089">
            <w:pPr>
              <w:spacing w:line="276" w:lineRule="auto"/>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8A">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8E">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spacing w:line="276"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spacing w:line="276"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spacing w:line="276" w:lineRule="auto"/>
              <w:rPr>
                <w:rFonts w:ascii="Times New Roman" w:cs="Times New Roman" w:eastAsia="Times New Roman" w:hAnsi="Times New Roman"/>
                <w:sz w:val="24"/>
                <w:szCs w:val="24"/>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93">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spacing w:line="276" w:lineRule="auto"/>
              <w:jc w:val="cente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20%</w:t>
            </w:r>
          </w:p>
        </w:tc>
      </w:tr>
      <w:tr>
        <w:tc>
          <w:tcPr>
            <w:gridSpan w:val="13"/>
            <w:shd w:fill="auto" w:val="clear"/>
            <w:tcMar>
              <w:top w:w="100.0" w:type="dxa"/>
              <w:left w:w="100.0" w:type="dxa"/>
              <w:bottom w:w="100.0" w:type="dxa"/>
              <w:right w:w="100.0" w:type="dxa"/>
            </w:tcMar>
            <w:vAlign w:val="top"/>
          </w:tcPr>
          <w:p w:rsidR="00000000" w:rsidDel="00000000" w:rsidP="00000000" w:rsidRDefault="00000000" w:rsidRPr="00000000" w14:paraId="00000097">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It is expected that students will present work that is proof read and correctly referenced. Poor presentation will be penalised.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spacing w:line="276" w:lineRule="auto"/>
              <w:rPr>
                <w:rFonts w:ascii="Times New Roman" w:cs="Times New Roman" w:eastAsia="Times New Roman" w:hAnsi="Times New Roman"/>
                <w:sz w:val="24"/>
                <w:szCs w:val="24"/>
              </w:rPr>
            </w:pPr>
            <w:r w:rsidDel="00000000" w:rsidR="00000000" w:rsidRPr="00000000">
              <w:rPr>
                <w:rtl w:val="0"/>
              </w:rPr>
            </w:r>
          </w:p>
        </w:tc>
      </w:tr>
      <w:tr>
        <w:trPr>
          <w:trHeight w:val="2460" w:hRule="atLeast"/>
        </w:trPr>
        <w:tc>
          <w:tcPr>
            <w:gridSpan w:val="14"/>
            <w:shd w:fill="auto" w:val="clear"/>
            <w:tcMar>
              <w:top w:w="100.0" w:type="dxa"/>
              <w:left w:w="100.0" w:type="dxa"/>
              <w:bottom w:w="100.0" w:type="dxa"/>
              <w:right w:w="100.0" w:type="dxa"/>
            </w:tcMar>
            <w:vAlign w:val="top"/>
          </w:tcPr>
          <w:p w:rsidR="00000000" w:rsidDel="00000000" w:rsidP="00000000" w:rsidRDefault="00000000" w:rsidRPr="00000000" w14:paraId="000000A5">
            <w:pPr>
              <w:spacing w:line="276"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TUTOR COMMENTS:</w:t>
            </w:r>
          </w:p>
          <w:p w:rsidR="00000000" w:rsidDel="00000000" w:rsidP="00000000" w:rsidRDefault="00000000" w:rsidRPr="00000000" w14:paraId="000000A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276" w:lineRule="auto"/>
              <w:rPr>
                <w:rFonts w:ascii="Times New Roman" w:cs="Times New Roman" w:eastAsia="Times New Roman" w:hAnsi="Times New Roman"/>
                <w:sz w:val="24"/>
                <w:szCs w:val="24"/>
              </w:rPr>
            </w:pPr>
            <w:r w:rsidDel="00000000" w:rsidR="00000000" w:rsidRPr="00000000">
              <w:rPr>
                <w:rtl w:val="0"/>
              </w:rPr>
            </w:r>
          </w:p>
        </w:tc>
      </w:tr>
      <w:t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BA">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Submission date: </w:t>
            </w:r>
          </w:p>
          <w:p w:rsidR="00000000" w:rsidDel="00000000" w:rsidP="00000000" w:rsidRDefault="00000000" w:rsidRPr="00000000" w14:paraId="000000BB">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via Turnitin</w:t>
            </w:r>
          </w:p>
        </w:tc>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0BD">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Return date:</w:t>
            </w:r>
          </w:p>
          <w:p w:rsidR="00000000" w:rsidDel="00000000" w:rsidP="00000000" w:rsidRDefault="00000000" w:rsidRPr="00000000" w14:paraId="000000BE">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(at least within 4 weeks)</w:t>
            </w:r>
          </w:p>
        </w:tc>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0C2">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Tutor: TOM MOORE</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C7">
            <w:pPr>
              <w:spacing w:line="276" w:lineRule="auto"/>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Mark:</w:t>
            </w:r>
          </w:p>
        </w:tc>
      </w:tr>
    </w:tbl>
    <w:p w:rsidR="00000000" w:rsidDel="00000000" w:rsidP="00000000" w:rsidRDefault="00000000" w:rsidRPr="00000000" w14:paraId="000000CA">
      <w:pPr>
        <w:spacing w:line="276"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Zane Piedmonte-Lang</w:t>
      </w:r>
    </w:p>
    <w:p w:rsidR="00000000" w:rsidDel="00000000" w:rsidP="00000000" w:rsidRDefault="00000000" w:rsidRPr="00000000" w14:paraId="000000C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Wales Final Research Paper</w:t>
      </w:r>
    </w:p>
    <w:p w:rsidR="00000000" w:rsidDel="00000000" w:rsidP="00000000" w:rsidRDefault="00000000" w:rsidRPr="00000000" w14:paraId="000000C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23/07/2019</w:t>
      </w:r>
    </w:p>
    <w:p w:rsidR="00000000" w:rsidDel="00000000" w:rsidP="00000000" w:rsidRDefault="00000000" w:rsidRPr="00000000" w14:paraId="000000CE">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Outdoor Experience</w:t>
      </w:r>
    </w:p>
    <w:p w:rsidR="00000000" w:rsidDel="00000000" w:rsidP="00000000" w:rsidRDefault="00000000" w:rsidRPr="00000000" w14:paraId="000000C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During the Fall of my first year at HWS, I learned the profound teachings of </w:t>
      </w:r>
      <w:r w:rsidDel="00000000" w:rsidR="00000000" w:rsidRPr="00000000">
        <w:rPr>
          <w:rFonts w:ascii="Times New Roman" w:cs="Times New Roman" w:eastAsia="Times New Roman" w:hAnsi="Times New Roman"/>
          <w:i w:val="1"/>
          <w:sz w:val="24"/>
          <w:szCs w:val="24"/>
          <w:rtl w:val="0"/>
        </w:rPr>
        <w:t xml:space="preserve">a priori and a posteriori </w:t>
      </w:r>
      <w:r w:rsidDel="00000000" w:rsidR="00000000" w:rsidRPr="00000000">
        <w:rPr>
          <w:rFonts w:ascii="Times New Roman" w:cs="Times New Roman" w:eastAsia="Times New Roman" w:hAnsi="Times New Roman"/>
          <w:sz w:val="24"/>
          <w:szCs w:val="24"/>
          <w:rtl w:val="0"/>
        </w:rPr>
        <w:t xml:space="preserve">learning.  The two proponents of knowledge had been popularized by the renowned philosopher Imannuel Kant- whose memoirs turned out to be incredibly difficult for me to understand.  Kant proved that learned knowledge could be separated into a dichotomy.  The first component is </w:t>
      </w:r>
      <w:r w:rsidDel="00000000" w:rsidR="00000000" w:rsidRPr="00000000">
        <w:rPr>
          <w:rFonts w:ascii="Times New Roman" w:cs="Times New Roman" w:eastAsia="Times New Roman" w:hAnsi="Times New Roman"/>
          <w:i w:val="1"/>
          <w:sz w:val="24"/>
          <w:szCs w:val="24"/>
          <w:rtl w:val="0"/>
        </w:rPr>
        <w:t xml:space="preserve">a priori </w:t>
      </w:r>
      <w:r w:rsidDel="00000000" w:rsidR="00000000" w:rsidRPr="00000000">
        <w:rPr>
          <w:rFonts w:ascii="Times New Roman" w:cs="Times New Roman" w:eastAsia="Times New Roman" w:hAnsi="Times New Roman"/>
          <w:sz w:val="24"/>
          <w:szCs w:val="24"/>
          <w:rtl w:val="0"/>
        </w:rPr>
        <w:t xml:space="preserve">knowledge- everything that can be determined by reason.  The best example of this is mathematics (if you have one (1) of something and (1) of another, you ultimately have (2) things).  The second component is </w:t>
      </w:r>
      <w:r w:rsidDel="00000000" w:rsidR="00000000" w:rsidRPr="00000000">
        <w:rPr>
          <w:rFonts w:ascii="Times New Roman" w:cs="Times New Roman" w:eastAsia="Times New Roman" w:hAnsi="Times New Roman"/>
          <w:i w:val="1"/>
          <w:sz w:val="24"/>
          <w:szCs w:val="24"/>
          <w:rtl w:val="0"/>
        </w:rPr>
        <w:t xml:space="preserve">a posteriori </w:t>
      </w:r>
      <w:r w:rsidDel="00000000" w:rsidR="00000000" w:rsidRPr="00000000">
        <w:rPr>
          <w:rFonts w:ascii="Times New Roman" w:cs="Times New Roman" w:eastAsia="Times New Roman" w:hAnsi="Times New Roman"/>
          <w:sz w:val="24"/>
          <w:szCs w:val="24"/>
          <w:rtl w:val="0"/>
        </w:rPr>
        <w:t xml:space="preserve">knowledge- knowledge built by experience.  This is learned knowledge that is built by empirical evidence- it has been shaped and acquired by the use of the senses.  Experiential learning (knowledge built by an </w:t>
      </w:r>
      <w:r w:rsidDel="00000000" w:rsidR="00000000" w:rsidRPr="00000000">
        <w:rPr>
          <w:rFonts w:ascii="Times New Roman" w:cs="Times New Roman" w:eastAsia="Times New Roman" w:hAnsi="Times New Roman"/>
          <w:i w:val="1"/>
          <w:sz w:val="24"/>
          <w:szCs w:val="24"/>
          <w:rtl w:val="0"/>
        </w:rPr>
        <w:t xml:space="preserve">a posteriori</w:t>
      </w:r>
      <w:r w:rsidDel="00000000" w:rsidR="00000000" w:rsidRPr="00000000">
        <w:rPr>
          <w:rFonts w:ascii="Times New Roman" w:cs="Times New Roman" w:eastAsia="Times New Roman" w:hAnsi="Times New Roman"/>
          <w:sz w:val="24"/>
          <w:szCs w:val="24"/>
          <w:rtl w:val="0"/>
        </w:rPr>
        <w:t xml:space="preserve"> construct) depends on doing something and reflecting on it.  Our previous experiences then shape us and propel us to make careful, precise decisions.  In its essence, experience creates who we will become.  My trip to Cymru embodied experiential learning in its greatest medium possible- the great outdoors.  Outdoor education has been approached by countless authors.  In this paper, I will delve into the theories of Kolb, and Dewey, Morlock, and Priest with references to prior experiences and reflections.</w:t>
      </w:r>
    </w:p>
    <w:p w:rsidR="00000000" w:rsidDel="00000000" w:rsidP="00000000" w:rsidRDefault="00000000" w:rsidRPr="00000000" w14:paraId="000000D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Dewey would recognize the way I have previously been taught as a “traditional education” and would consider an outdoor education to fit more into the framework of a “progressive education” (Dewey, 2002).  The traditional education model is what I, and most of the developed world, have acquired knowledge.  This model manifests a “trickle-down” approach where information is passed from the teacher to the student- there is no real experience for the student in this circumstance.  In this scenario, learning is imposed.  A student’s level of intelligence is how much he/she absorbs the information.  This framework for learning has many problems.  One is that it creates a drastic power dynamic between the teacher and the student.  No wonder I’ve been told that I have an “authority problem.”  Another problem is that it structures education into a finite form- so after a student is done learning, the knowledge gained is no longer part of everyday life.  </w:t>
      </w:r>
    </w:p>
    <w:p w:rsidR="00000000" w:rsidDel="00000000" w:rsidP="00000000" w:rsidRDefault="00000000" w:rsidRPr="00000000" w14:paraId="000000D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a progressive model of education, the student dictates the framework in which he/she learns.  In contrast to being a passive learner in the traditional model, the student’s drive for learning now correlates directly to the significance of the lesson.  It creates a “get out what you put in” model in which the student takes the brunt of responsibility for his/her experience.  In this model, students are empowered and authoritative.  This deletes the power dynamic because progresssive model professors are there to guide students through their experience, not relay one person’s experience to them.  Thus, instructors in progressive education systems are merely a tool for students to take opportunity from.  After the experience has run its course, the trip is cemented in the students brain.  This enables a student to reflect and learn from their personal experience at any point in their lives.  </w:t>
      </w:r>
    </w:p>
    <w:p w:rsidR="00000000" w:rsidDel="00000000" w:rsidP="00000000" w:rsidRDefault="00000000" w:rsidRPr="00000000" w14:paraId="000000D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conclusion of my trip to Wales brought many realizations, one of which is that it made me walking proof that a progressive education is valuable.  I have struggled my entire student life to work for a letter.  The result of this is a great deal of school work that I am ashamed of because it’s not up to par with traditional grading systems.  Learning in a progressive education environment, like in Cymru, derived a passion for learning in me that I don’t realize the same way in a traditional education environment.  There is a massive difference between </w:t>
      </w:r>
      <w:r w:rsidDel="00000000" w:rsidR="00000000" w:rsidRPr="00000000">
        <w:rPr>
          <w:rFonts w:ascii="Times New Roman" w:cs="Times New Roman" w:eastAsia="Times New Roman" w:hAnsi="Times New Roman"/>
          <w:i w:val="1"/>
          <w:sz w:val="24"/>
          <w:szCs w:val="24"/>
          <w:rtl w:val="0"/>
        </w:rPr>
        <w:t xml:space="preserve">reading </w:t>
      </w:r>
      <w:r w:rsidDel="00000000" w:rsidR="00000000" w:rsidRPr="00000000">
        <w:rPr>
          <w:rFonts w:ascii="Times New Roman" w:cs="Times New Roman" w:eastAsia="Times New Roman" w:hAnsi="Times New Roman"/>
          <w:sz w:val="24"/>
          <w:szCs w:val="24"/>
          <w:rtl w:val="0"/>
        </w:rPr>
        <w:t xml:space="preserve">or </w:t>
      </w:r>
      <w:r w:rsidDel="00000000" w:rsidR="00000000" w:rsidRPr="00000000">
        <w:rPr>
          <w:rFonts w:ascii="Times New Roman" w:cs="Times New Roman" w:eastAsia="Times New Roman" w:hAnsi="Times New Roman"/>
          <w:i w:val="1"/>
          <w:sz w:val="24"/>
          <w:szCs w:val="24"/>
          <w:rtl w:val="0"/>
        </w:rPr>
        <w:t xml:space="preserve">hearing </w:t>
      </w:r>
      <w:r w:rsidDel="00000000" w:rsidR="00000000" w:rsidRPr="00000000">
        <w:rPr>
          <w:rFonts w:ascii="Times New Roman" w:cs="Times New Roman" w:eastAsia="Times New Roman" w:hAnsi="Times New Roman"/>
          <w:sz w:val="24"/>
          <w:szCs w:val="24"/>
          <w:rtl w:val="0"/>
        </w:rPr>
        <w:t xml:space="preserve">about an experience and actually </w:t>
      </w:r>
      <w:r w:rsidDel="00000000" w:rsidR="00000000" w:rsidRPr="00000000">
        <w:rPr>
          <w:rFonts w:ascii="Times New Roman" w:cs="Times New Roman" w:eastAsia="Times New Roman" w:hAnsi="Times New Roman"/>
          <w:i w:val="1"/>
          <w:sz w:val="24"/>
          <w:szCs w:val="24"/>
          <w:rtl w:val="0"/>
        </w:rPr>
        <w:t xml:space="preserve">doing </w:t>
      </w:r>
      <w:r w:rsidDel="00000000" w:rsidR="00000000" w:rsidRPr="00000000">
        <w:rPr>
          <w:rFonts w:ascii="Times New Roman" w:cs="Times New Roman" w:eastAsia="Times New Roman" w:hAnsi="Times New Roman"/>
          <w:sz w:val="24"/>
          <w:szCs w:val="24"/>
          <w:rtl w:val="0"/>
        </w:rPr>
        <w:t xml:space="preserve">that experience.</w:t>
      </w:r>
    </w:p>
    <w:p w:rsidR="00000000" w:rsidDel="00000000" w:rsidP="00000000" w:rsidRDefault="00000000" w:rsidRPr="00000000" w14:paraId="000000D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Dewey also noted that in a progressive education model, when something is being experienced, the level of engagement from the student will be higher (Dewey, 2002).  A significant experience is directly correlated with a student’s stemming questions and concerns.  In contrast a traditional education model, where an experience is relayed to a student, the interest level and engagement is low.  In a progressive model of education, individual inquiry can lead to a passionate education of a certain discipline.  I’m well aware that I was one of the few in our cohort to take Andy seriously while we conquered the Preseli Hills in West Wales.  In terms of weather and overall mood, our group was not in ideal standings.  I, among others, was genuinely interested in the region- I asked many questions.  Learning the history of the biome and all about the bluestone made that day trip unforgettable.  I’ve reflected on it many times since we left for the States.  I’ve found I learn best in a progressive education model.  </w:t>
      </w:r>
    </w:p>
    <w:p w:rsidR="00000000" w:rsidDel="00000000" w:rsidP="00000000" w:rsidRDefault="00000000" w:rsidRPr="00000000" w14:paraId="000000D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beautiful part of learning via outdoor experiences is the ability to continuously apply the techniques for insight and reflection to provide a framework for not only one experience, but from any and all experiences. Kolb’s learning cycle is a prime example for being able to understand the process and apply it to multiple factors of one’s life.  I will explain Kolb’s cycle with the most recent time I tried something new. It is not the most high-risk example, but this past winter was the first time I ever stepped foot in a squash court.  Firstly, is the concrete experience where I was an active participant in the game of squash.  Turns out squash is not as easy as it looks- it took me a while to get into the motions of swinging a racket on the run. During the second phase, reflexive observation, I began to understand the cause and effect relationship between different movements of my body such as planting my feet and focussing on a corner of the court.  It was at this time I realized that a steady, precise shot can be more lethal than a hit on the run.  The third phase, abstract conceptualizing, was marked by questioning the combination of specific movements that I had developed over my first game of squash. Finally, during the fourth phase, I began experimenting with new movements and thus started the cycle over again with a higher level of both confidence and skill. </w:t>
      </w:r>
    </w:p>
    <w:p w:rsidR="00000000" w:rsidDel="00000000" w:rsidP="00000000" w:rsidRDefault="00000000" w:rsidRPr="00000000" w14:paraId="000000D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risks of experiential learning, though.  There are the do's and don’ts that could make or break an experience.  These are Mortlock and Priest’s </w:t>
      </w:r>
      <w:r w:rsidDel="00000000" w:rsidR="00000000" w:rsidRPr="00000000">
        <w:rPr>
          <w:rFonts w:ascii="Times New Roman" w:cs="Times New Roman" w:eastAsia="Times New Roman" w:hAnsi="Times New Roman"/>
          <w:i w:val="1"/>
          <w:sz w:val="24"/>
          <w:szCs w:val="24"/>
          <w:rtl w:val="0"/>
        </w:rPr>
        <w:t xml:space="preserve">Stages of Adventure</w:t>
      </w:r>
      <w:r w:rsidDel="00000000" w:rsidR="00000000" w:rsidRPr="00000000">
        <w:rPr>
          <w:rFonts w:ascii="Times New Roman" w:cs="Times New Roman" w:eastAsia="Times New Roman" w:hAnsi="Times New Roman"/>
          <w:sz w:val="24"/>
          <w:szCs w:val="24"/>
          <w:rtl w:val="0"/>
        </w:rPr>
        <w:t xml:space="preserve">.  The stages of adventure sit on an axis of risk and skill.  The lower the risk and the higher the skill, the easier (and safer) an experience will be.  The higher the risk and lower the skill and experience is, the harder, more dangerous, and more transformative an experience will be.  The first stage of adventure is Play.  This is a stage that involves little risk and ample skill.  Playing can be fun to experience, but being challenged by an experience often allows more valuable lessons to be learned.  The second stage is Adventure.  This creates a comfortable environment for a student; students are not out of their comfort zone.  The third stage is Frontier or Peak adventure.  This is the sweet spot in our axis of adventure.  This stage rides the wave between being in your comfort zone and being challenged.  A student should strive to experience Peak Adventure in an outdoor education to learn from it.  The last stage is Misadventure.  This is when the student possesses a low skill set while performing high risk tasks.  At best, this can lead to drastic mistake in an experience.  At worst, misadventure can lead to death.  </w:t>
      </w:r>
    </w:p>
    <w:p w:rsidR="00000000" w:rsidDel="00000000" w:rsidP="00000000" w:rsidRDefault="00000000" w:rsidRPr="00000000" w14:paraId="000000D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value that is brought from experiential education (especially in the great outdoors) teaches individuals more about themselves then could ever be obtained otherwise. The experiences held by individuals hold a power to learn that is based in reflection and understanding.  With further reflection, experiences can lead to a heightened understanding of self.  </w:t>
      </w:r>
      <w:r w:rsidDel="00000000" w:rsidR="00000000" w:rsidRPr="00000000">
        <w:br w:type="page"/>
      </w:r>
      <w:r w:rsidDel="00000000" w:rsidR="00000000" w:rsidRPr="00000000">
        <w:rPr>
          <w:rtl w:val="0"/>
        </w:rPr>
      </w:r>
    </w:p>
    <w:p w:rsidR="00000000" w:rsidDel="00000000" w:rsidP="00000000" w:rsidRDefault="00000000" w:rsidRPr="00000000" w14:paraId="000000D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Took Place </w:t>
      </w:r>
    </w:p>
    <w:p w:rsidR="00000000" w:rsidDel="00000000" w:rsidP="00000000" w:rsidRDefault="00000000" w:rsidRPr="00000000" w14:paraId="000000D8">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48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end of Spring semester was a very overwhelming time for me.  I was in over-my-head with  the classes I chose.  Three of my classes were introductory courses; three weeder courses.  These classes are quick pace and very challenging.  This is because it weeds out students that aren’t serious about the department.  My fourth class was a two hundred level course taught by a notoriously inspiring but demanding professor.  I was keeping up with my studies and studios in all of my classes for most of the semester.  In the Spring, when this assignment was due, I was behind in one of my classes.  It wasn’t because I was slacking all that much- I had just fell behind in readings and it started to affect my grade.  On top of my work I was trying to manage a dying relationship.  My girlfriend and I split up later that Spring because I wasn’t “emotionally available” for a relationship at the moment because I had over-extended myself by taking tough classes.  This wasn’t great to have on my conscious.  </w:t>
      </w:r>
    </w:p>
    <w:p w:rsidR="00000000" w:rsidDel="00000000" w:rsidP="00000000" w:rsidRDefault="00000000" w:rsidRPr="00000000" w14:paraId="000000DA">
      <w:pPr>
        <w:spacing w:line="480" w:lineRule="auto"/>
        <w:ind w:left="72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just what happened- this was my headspace for when I plagiarized.  This is not an excuse- this is just some sort of explanation for what made me do this.  Honest, this is my first time ever plagiarizing.  You could definitely say I have learned my lesson.  The threat of the school finding out about this is nothing compared to the shame I had after I told my parents about this.  Ironically, the paper written is about learning by experience.  Even though Wales was the coolest experience I’ve ever witnessed, I will not forget about this side of it.  I was dumb.  I messed up.  But I plan to remember this and not let something like this happen again.  I’ve learned from this and I will grow from this.  </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