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Study Skills for Biblical Interpretation</w:t>
      </w:r>
    </w:p>
    <w:p>
      <w:pPr>
        <w:pStyle w:val="Body"/>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Assignment 1 </w:t>
      </w:r>
    </w:p>
    <w:p>
      <w:pPr>
        <w:pStyle w:val="Body"/>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Graeme Guthrie</w:t>
      </w:r>
    </w:p>
    <w:p>
      <w:pPr>
        <w:pStyle w:val="Body"/>
        <w:rPr>
          <w:rFonts w:ascii="Times New Roman" w:cs="Times New Roman" w:hAnsi="Times New Roman" w:eastAsia="Times New Roman"/>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After reading several encyclopaedia entries I have produced an article for the Oxford Companion to the Bible (1993) on the subject of </w:t>
      </w:r>
      <w:r>
        <w:rPr>
          <w:rFonts w:ascii="Times New Roman" w:hAnsi="Times New Roman" w:hint="default"/>
          <w:sz w:val="24"/>
          <w:szCs w:val="24"/>
          <w:rtl w:val="0"/>
          <w:lang w:val="en-US"/>
        </w:rPr>
        <w:t>“</w:t>
      </w:r>
      <w:r>
        <w:rPr>
          <w:rFonts w:ascii="Times New Roman" w:hAnsi="Times New Roman"/>
          <w:sz w:val="24"/>
          <w:szCs w:val="24"/>
          <w:rtl w:val="0"/>
          <w:lang w:val="en-US"/>
        </w:rPr>
        <w:t>The Garden of Eden</w:t>
      </w:r>
      <w:r>
        <w:rPr>
          <w:rFonts w:ascii="Times New Roman" w:hAnsi="Times New Roman" w:hint="default"/>
          <w:sz w:val="24"/>
          <w:szCs w:val="24"/>
          <w:rtl w:val="0"/>
          <w:lang w:val="en-US"/>
        </w:rPr>
        <w:t>”</w:t>
      </w:r>
      <w:r>
        <w:rPr>
          <w:rFonts w:ascii="Times New Roman" w:hAnsi="Times New Roman"/>
          <w:sz w:val="24"/>
          <w:szCs w:val="24"/>
          <w:rtl w:val="0"/>
          <w:lang w:val="en-US"/>
        </w:rPr>
        <w:t xml:space="preserve">. The article in its present form is brief, yet does touch on the main points of scholarship relating to Eden (etymology, geographical location and theological significance).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other articles surveyed are in broad agreement with the above. The Anchor Bible  Dictionary (1992)  has by far the most thorough treatment on the various theories surrounding the meaning behind the original Hebrew. The Jewish </w:t>
      </w:r>
      <w:r>
        <w:rPr>
          <w:rFonts w:ascii="Times New Roman" w:hAnsi="Times New Roman"/>
          <w:sz w:val="24"/>
          <w:szCs w:val="24"/>
          <w:rtl w:val="0"/>
          <w:lang w:val="en-US"/>
        </w:rPr>
        <w:t>Encyclopaedia</w:t>
      </w:r>
      <w:r>
        <w:rPr>
          <w:rFonts w:ascii="Times New Roman" w:hAnsi="Times New Roman"/>
          <w:sz w:val="24"/>
          <w:szCs w:val="24"/>
          <w:rtl w:val="0"/>
          <w:lang w:val="en-US"/>
        </w:rPr>
        <w:t xml:space="preserve"> (1901-1906), though dated, gives an extensive discourse on the occurrence of </w:t>
      </w:r>
      <w:r>
        <w:rPr>
          <w:rFonts w:ascii="Times New Roman" w:hAnsi="Times New Roman" w:hint="default"/>
          <w:sz w:val="24"/>
          <w:szCs w:val="24"/>
          <w:rtl w:val="0"/>
          <w:lang w:val="en-US"/>
        </w:rPr>
        <w:t>“</w:t>
      </w:r>
      <w:r>
        <w:rPr>
          <w:rFonts w:ascii="Times New Roman" w:hAnsi="Times New Roman"/>
          <w:sz w:val="24"/>
          <w:szCs w:val="24"/>
          <w:rtl w:val="0"/>
          <w:lang w:val="en-US"/>
        </w:rPr>
        <w:t>Eden</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extra Biblical sources such as the Rabbinic and Islamic literature.</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Of note, in all the articles studied there was very little relating to the symbolism of Eden and resonances with the  Tabernacle/Temple, a theme developed by several contemporary scholars, some of which I have included in my article. </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Encyclopaedia bibliography:</w:t>
      </w:r>
    </w:p>
    <w:p>
      <w:pPr>
        <w:pStyle w:val="Body"/>
        <w:rPr>
          <w:rFonts w:ascii="Times New Roman" w:cs="Times New Roman" w:hAnsi="Times New Roman" w:eastAsia="Times New Roman"/>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Childs, B.S. </w:t>
      </w:r>
      <w:r>
        <w:rPr>
          <w:rFonts w:ascii="Times New Roman" w:hAnsi="Times New Roman" w:hint="default"/>
          <w:sz w:val="24"/>
          <w:szCs w:val="24"/>
          <w:rtl w:val="0"/>
          <w:lang w:val="en-US"/>
        </w:rPr>
        <w:t>“</w:t>
      </w:r>
      <w:r>
        <w:rPr>
          <w:rFonts w:ascii="Times New Roman" w:hAnsi="Times New Roman"/>
          <w:sz w:val="24"/>
          <w:szCs w:val="24"/>
          <w:rtl w:val="0"/>
          <w:lang w:val="en-US"/>
        </w:rPr>
        <w:t>Eden, Garden of</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G.A. Butterick (ed.) </w:t>
      </w:r>
      <w:r>
        <w:rPr>
          <w:rFonts w:ascii="Times New Roman" w:hAnsi="Times New Roman"/>
          <w:i w:val="1"/>
          <w:iCs w:val="1"/>
          <w:sz w:val="24"/>
          <w:szCs w:val="24"/>
          <w:rtl w:val="0"/>
          <w:lang w:val="en-US"/>
        </w:rPr>
        <w:t>The Interpreter</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 xml:space="preserve">s Dictionary of the Bible Vol.2 </w:t>
      </w:r>
      <w:r>
        <w:rPr>
          <w:rFonts w:ascii="Times New Roman" w:hAnsi="Times New Roman"/>
          <w:sz w:val="24"/>
          <w:szCs w:val="24"/>
          <w:rtl w:val="0"/>
          <w:lang w:val="en-US"/>
        </w:rPr>
        <w:t>(New York: Abingdon, 1962) pp. 22-23.</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Marlowe, W.C. </w:t>
      </w:r>
      <w:r>
        <w:rPr>
          <w:rFonts w:ascii="Times New Roman" w:hAnsi="Times New Roman" w:hint="default"/>
          <w:sz w:val="24"/>
          <w:szCs w:val="24"/>
          <w:rtl w:val="0"/>
          <w:lang w:val="en-US"/>
        </w:rPr>
        <w:t>“</w:t>
      </w:r>
      <w:r>
        <w:rPr>
          <w:rFonts w:ascii="Times New Roman" w:hAnsi="Times New Roman"/>
          <w:sz w:val="24"/>
          <w:szCs w:val="24"/>
          <w:rtl w:val="0"/>
          <w:lang w:val="en-US"/>
        </w:rPr>
        <w:t>Eden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D.N. Freedman (ed.) </w:t>
      </w:r>
      <w:r>
        <w:rPr>
          <w:rFonts w:ascii="Times New Roman" w:hAnsi="Times New Roman"/>
          <w:i w:val="1"/>
          <w:iCs w:val="1"/>
          <w:sz w:val="24"/>
          <w:szCs w:val="24"/>
          <w:rtl w:val="0"/>
          <w:lang w:val="en-US"/>
        </w:rPr>
        <w:t>Eerdman</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 xml:space="preserve">s Dictionary of the Bible. </w:t>
      </w:r>
      <w:r>
        <w:rPr>
          <w:rFonts w:ascii="Times New Roman" w:hAnsi="Times New Roman"/>
          <w:sz w:val="24"/>
          <w:szCs w:val="24"/>
          <w:rtl w:val="0"/>
          <w:lang w:val="en-US"/>
        </w:rPr>
        <w:t>(Grand Rapids: Eerdman</w:t>
      </w:r>
      <w:r>
        <w:rPr>
          <w:rFonts w:ascii="Times New Roman" w:hAnsi="Times New Roman" w:hint="default"/>
          <w:sz w:val="24"/>
          <w:szCs w:val="24"/>
          <w:rtl w:val="0"/>
          <w:lang w:val="en-US"/>
        </w:rPr>
        <w:t>’</w:t>
      </w:r>
      <w:r>
        <w:rPr>
          <w:rFonts w:ascii="Times New Roman" w:hAnsi="Times New Roman"/>
          <w:sz w:val="24"/>
          <w:szCs w:val="24"/>
          <w:rtl w:val="0"/>
          <w:lang w:val="en-US"/>
        </w:rPr>
        <w:t>s Publishing, 2000) p371.</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Olson, D.T. </w:t>
      </w:r>
      <w:r>
        <w:rPr>
          <w:rFonts w:ascii="Times New Roman" w:hAnsi="Times New Roman" w:hint="default"/>
          <w:sz w:val="24"/>
          <w:szCs w:val="24"/>
          <w:rtl w:val="0"/>
          <w:lang w:val="en-US"/>
        </w:rPr>
        <w:t>“</w:t>
      </w:r>
      <w:r>
        <w:rPr>
          <w:rFonts w:ascii="Times New Roman" w:hAnsi="Times New Roman"/>
          <w:sz w:val="24"/>
          <w:szCs w:val="24"/>
          <w:rtl w:val="0"/>
          <w:lang w:val="en-US"/>
        </w:rPr>
        <w:t>Eden, the Garden of</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B.M. Metzger, M.D. Coogan (eds.), </w:t>
      </w:r>
      <w:r>
        <w:rPr>
          <w:rFonts w:ascii="Times New Roman" w:hAnsi="Times New Roman"/>
          <w:i w:val="1"/>
          <w:iCs w:val="1"/>
          <w:sz w:val="24"/>
          <w:szCs w:val="24"/>
          <w:rtl w:val="0"/>
          <w:lang w:val="en-US"/>
        </w:rPr>
        <w:t xml:space="preserve">The Oxford Companion to the Bible. </w:t>
      </w:r>
      <w:r>
        <w:rPr>
          <w:rFonts w:ascii="Times New Roman" w:hAnsi="Times New Roman"/>
          <w:sz w:val="24"/>
          <w:szCs w:val="24"/>
          <w:rtl w:val="0"/>
          <w:lang w:val="en-US"/>
        </w:rPr>
        <w:t>(Oxford: Oxford University Press, 1993) p178.</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Seligsohn, M. </w:t>
      </w:r>
      <w:r>
        <w:rPr>
          <w:rFonts w:ascii="Times New Roman" w:hAnsi="Times New Roman" w:hint="default"/>
          <w:sz w:val="24"/>
          <w:szCs w:val="24"/>
          <w:rtl w:val="0"/>
          <w:lang w:val="en-US"/>
        </w:rPr>
        <w:t>“</w:t>
      </w:r>
      <w:r>
        <w:rPr>
          <w:rFonts w:ascii="Times New Roman" w:hAnsi="Times New Roman"/>
          <w:sz w:val="24"/>
          <w:szCs w:val="24"/>
          <w:rtl w:val="0"/>
          <w:lang w:val="en-US"/>
        </w:rPr>
        <w:t>Eden, Garden of</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Singer, Isidore (ed.) </w:t>
      </w:r>
      <w:r>
        <w:rPr>
          <w:rFonts w:ascii="Times New Roman" w:hAnsi="Times New Roman"/>
          <w:i w:val="1"/>
          <w:iCs w:val="1"/>
          <w:sz w:val="24"/>
          <w:szCs w:val="24"/>
          <w:rtl w:val="0"/>
          <w:lang w:val="en-US"/>
        </w:rPr>
        <w:t xml:space="preserve">Jewish </w:t>
      </w:r>
      <w:r>
        <w:rPr>
          <w:rFonts w:ascii="Times New Roman" w:hAnsi="Times New Roman"/>
          <w:i w:val="1"/>
          <w:iCs w:val="1"/>
          <w:sz w:val="24"/>
          <w:szCs w:val="24"/>
          <w:rtl w:val="0"/>
          <w:lang w:val="en-US"/>
        </w:rPr>
        <w:t>Encyclopaedia</w:t>
      </w:r>
      <w:r>
        <w:rPr>
          <w:rFonts w:ascii="Times New Roman" w:hAnsi="Times New Roman"/>
          <w:i w:val="1"/>
          <w:iCs w:val="1"/>
          <w:sz w:val="24"/>
          <w:szCs w:val="24"/>
          <w:rtl w:val="0"/>
          <w:lang w:val="en-US"/>
        </w:rPr>
        <w:t xml:space="preserve">: Description, History, Religion, Literature and Custom of the Jewish People. Vol. 5. </w:t>
      </w:r>
      <w:r>
        <w:rPr>
          <w:rFonts w:ascii="Times New Roman" w:hAnsi="Times New Roman"/>
          <w:sz w:val="24"/>
          <w:szCs w:val="24"/>
          <w:rtl w:val="0"/>
          <w:lang w:val="en-US"/>
        </w:rPr>
        <w:t>(New York: Funk &amp; Wagnalls, 1901-1906) pp. 36- 39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Wallace, H.N. </w:t>
      </w:r>
      <w:r>
        <w:rPr>
          <w:rFonts w:ascii="Times New Roman" w:hAnsi="Times New Roman" w:hint="default"/>
          <w:sz w:val="24"/>
          <w:szCs w:val="24"/>
          <w:rtl w:val="0"/>
          <w:lang w:val="en-US"/>
        </w:rPr>
        <w:t>“</w:t>
      </w:r>
      <w:r>
        <w:rPr>
          <w:rFonts w:ascii="Times New Roman" w:hAnsi="Times New Roman"/>
          <w:sz w:val="24"/>
          <w:szCs w:val="24"/>
          <w:rtl w:val="0"/>
          <w:lang w:val="en-US"/>
        </w:rPr>
        <w:t>Eden, Garden of</w:t>
      </w:r>
      <w:r>
        <w:rPr>
          <w:rFonts w:ascii="Times New Roman" w:hAnsi="Times New Roman" w:hint="default"/>
          <w:sz w:val="24"/>
          <w:szCs w:val="24"/>
          <w:rtl w:val="0"/>
          <w:lang w:val="en-US"/>
        </w:rPr>
        <w:t xml:space="preserve">” </w:t>
      </w:r>
      <w:r>
        <w:rPr>
          <w:rFonts w:ascii="Times New Roman" w:hAnsi="Times New Roman"/>
          <w:sz w:val="24"/>
          <w:szCs w:val="24"/>
          <w:rtl w:val="0"/>
          <w:lang w:val="nl-NL"/>
        </w:rPr>
        <w:t>in D.N. Freeman</w:t>
      </w:r>
      <w:r>
        <w:rPr>
          <w:rFonts w:ascii="Times New Roman" w:hAnsi="Times New Roman"/>
          <w:sz w:val="24"/>
          <w:szCs w:val="24"/>
          <w:rtl w:val="0"/>
          <w:lang w:val="en-US"/>
        </w:rPr>
        <w:t xml:space="preserve"> </w:t>
      </w:r>
      <w:r>
        <w:rPr>
          <w:rFonts w:ascii="Times New Roman" w:hAnsi="Times New Roman"/>
          <w:sz w:val="24"/>
          <w:szCs w:val="24"/>
          <w:rtl w:val="0"/>
        </w:rPr>
        <w:t xml:space="preserve">(ed.), </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 xml:space="preserve">The Anchor Bible Dictionary Vol. 2 </w:t>
      </w:r>
      <w:r>
        <w:rPr>
          <w:rFonts w:ascii="Times New Roman" w:hAnsi="Times New Roman"/>
          <w:sz w:val="24"/>
          <w:szCs w:val="24"/>
          <w:rtl w:val="0"/>
          <w:lang w:val="en-US"/>
        </w:rPr>
        <w:t>(New York: Doubleday, 1992) pp.</w:t>
      </w:r>
      <w:r>
        <w:rPr>
          <w:rFonts w:ascii="Times New Roman" w:hAnsi="Times New Roman"/>
          <w:sz w:val="24"/>
          <w:szCs w:val="24"/>
          <w:rtl w:val="0"/>
          <w:lang w:val="en-US"/>
        </w:rPr>
        <w:t xml:space="preserve"> 281-283</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Eden, Garden of.</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garden planted by YHWH in which are placed the first human beings, Adam and Eve, and from which they are later expelled (Gen 2-3).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meaning of the word </w:t>
      </w:r>
      <w:r>
        <w:rPr>
          <w:rFonts w:ascii="Times New Roman" w:hAnsi="Times New Roman" w:hint="default"/>
          <w:sz w:val="24"/>
          <w:szCs w:val="24"/>
          <w:rtl w:val="0"/>
          <w:lang w:val="en-US"/>
        </w:rPr>
        <w:t>“</w:t>
      </w:r>
      <w:r>
        <w:rPr>
          <w:rFonts w:ascii="Times New Roman" w:hAnsi="Times New Roman"/>
          <w:sz w:val="24"/>
          <w:szCs w:val="24"/>
          <w:rtl w:val="0"/>
          <w:lang w:val="en-US"/>
        </w:rPr>
        <w:t>Eden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Hebrew has long been contested (Millward, 1984:103-106). Two schools of thoughts exist at present: a) that it is derived from an Akkadian word </w:t>
      </w:r>
      <w:r>
        <w:rPr>
          <w:rFonts w:ascii="Times New Roman" w:hAnsi="Times New Roman"/>
          <w:i w:val="1"/>
          <w:iCs w:val="1"/>
          <w:sz w:val="24"/>
          <w:szCs w:val="24"/>
          <w:rtl w:val="0"/>
          <w:lang w:val="en-US"/>
        </w:rPr>
        <w:t xml:space="preserve">edinu, </w:t>
      </w:r>
      <w:r>
        <w:rPr>
          <w:rFonts w:ascii="Times New Roman" w:hAnsi="Times New Roman"/>
          <w:sz w:val="24"/>
          <w:szCs w:val="24"/>
          <w:rtl w:val="0"/>
          <w:lang w:val="en-US"/>
        </w:rPr>
        <w:t xml:space="preserve">itself a loan word from the Sumerian </w:t>
      </w:r>
      <w:r>
        <w:rPr>
          <w:rFonts w:ascii="Times New Roman" w:hAnsi="Times New Roman"/>
          <w:i w:val="1"/>
          <w:iCs w:val="1"/>
          <w:sz w:val="24"/>
          <w:szCs w:val="24"/>
          <w:rtl w:val="0"/>
          <w:lang w:val="en-US"/>
        </w:rPr>
        <w:t xml:space="preserve">eden, </w:t>
      </w:r>
      <w:r>
        <w:rPr>
          <w:rFonts w:ascii="Times New Roman" w:hAnsi="Times New Roman"/>
          <w:sz w:val="24"/>
          <w:szCs w:val="24"/>
          <w:rtl w:val="0"/>
          <w:lang w:val="en-US"/>
        </w:rPr>
        <w:t xml:space="preserve">meaning </w:t>
      </w:r>
      <w:r>
        <w:rPr>
          <w:rFonts w:ascii="Times New Roman" w:hAnsi="Times New Roman" w:hint="default"/>
          <w:sz w:val="24"/>
          <w:szCs w:val="24"/>
          <w:rtl w:val="0"/>
          <w:lang w:val="en-US"/>
        </w:rPr>
        <w:t>“</w:t>
      </w:r>
      <w:r>
        <w:rPr>
          <w:rFonts w:ascii="Times New Roman" w:hAnsi="Times New Roman"/>
          <w:sz w:val="24"/>
          <w:szCs w:val="24"/>
          <w:rtl w:val="0"/>
          <w:lang w:val="en-US"/>
        </w:rPr>
        <w:t>steppe</w:t>
      </w:r>
      <w:r>
        <w:rPr>
          <w:rFonts w:ascii="Times New Roman" w:hAnsi="Times New Roman" w:hint="default"/>
          <w:sz w:val="24"/>
          <w:szCs w:val="24"/>
          <w:rtl w:val="0"/>
          <w:lang w:val="en-US"/>
        </w:rPr>
        <w:t>”</w:t>
      </w:r>
      <w:r>
        <w:rPr>
          <w:rFonts w:ascii="Times New Roman" w:hAnsi="Times New Roman"/>
          <w:sz w:val="24"/>
          <w:szCs w:val="24"/>
          <w:rtl w:val="0"/>
          <w:lang w:val="en-US"/>
        </w:rPr>
        <w:t xml:space="preserve">or </w:t>
      </w:r>
      <w:r>
        <w:rPr>
          <w:rFonts w:ascii="Times New Roman" w:hAnsi="Times New Roman" w:hint="default"/>
          <w:sz w:val="24"/>
          <w:szCs w:val="24"/>
          <w:rtl w:val="0"/>
          <w:lang w:val="en-US"/>
        </w:rPr>
        <w:t>“</w:t>
      </w:r>
      <w:r>
        <w:rPr>
          <w:rFonts w:ascii="Times New Roman" w:hAnsi="Times New Roman"/>
          <w:sz w:val="24"/>
          <w:szCs w:val="24"/>
          <w:rtl w:val="0"/>
          <w:lang w:val="en-US"/>
        </w:rPr>
        <w:t>plain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b) that it is a Western Semitic word, from the stem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 xml:space="preserve">dn </w:t>
      </w:r>
      <w:r>
        <w:rPr>
          <w:rFonts w:ascii="Times New Roman" w:hAnsi="Times New Roman"/>
          <w:sz w:val="24"/>
          <w:szCs w:val="24"/>
          <w:rtl w:val="0"/>
          <w:lang w:val="en-US"/>
        </w:rPr>
        <w:t xml:space="preserve">meaning </w:t>
      </w:r>
      <w:r>
        <w:rPr>
          <w:rFonts w:ascii="Times New Roman" w:hAnsi="Times New Roman" w:hint="default"/>
          <w:sz w:val="24"/>
          <w:szCs w:val="24"/>
          <w:rtl w:val="0"/>
          <w:lang w:val="en-US"/>
        </w:rPr>
        <w:t>“</w:t>
      </w:r>
      <w:r>
        <w:rPr>
          <w:rFonts w:ascii="Times New Roman" w:hAnsi="Times New Roman"/>
          <w:sz w:val="24"/>
          <w:szCs w:val="24"/>
          <w:rtl w:val="0"/>
          <w:lang w:val="en-US"/>
        </w:rPr>
        <w:t>pleasure, luxury, abundance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Indeed, one commentator translates Eden simply as </w:t>
      </w:r>
      <w:r>
        <w:rPr>
          <w:rFonts w:ascii="Times New Roman" w:hAnsi="Times New Roman" w:hint="default"/>
          <w:sz w:val="24"/>
          <w:szCs w:val="24"/>
          <w:rtl w:val="0"/>
          <w:lang w:val="en-US"/>
        </w:rPr>
        <w:t>“</w:t>
      </w:r>
      <w:r>
        <w:rPr>
          <w:rFonts w:ascii="Times New Roman" w:hAnsi="Times New Roman"/>
          <w:sz w:val="24"/>
          <w:szCs w:val="24"/>
          <w:rtl w:val="0"/>
          <w:lang w:val="en-US"/>
        </w:rPr>
        <w:t>Land of Pleasure</w:t>
      </w:r>
      <w:r>
        <w:rPr>
          <w:rFonts w:ascii="Times New Roman" w:hAnsi="Times New Roman" w:hint="default"/>
          <w:sz w:val="24"/>
          <w:szCs w:val="24"/>
          <w:rtl w:val="0"/>
          <w:lang w:val="en-US"/>
        </w:rPr>
        <w:t>”</w:t>
      </w:r>
      <w:r>
        <w:rPr>
          <w:rFonts w:ascii="Times New Roman" w:hAnsi="Times New Roman"/>
          <w:sz w:val="24"/>
          <w:szCs w:val="24"/>
          <w:rtl w:val="0"/>
          <w:lang w:val="en-US"/>
        </w:rPr>
        <w:t>(Fox, 1995:19).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first proposal came to light in the last 1800s after the discovery of a tablet from Nineveh containing Sumerian logograms and their corresponding Akkadian words. However this proposal is problematic: there is no </w:t>
      </w:r>
      <w:r>
        <w:rPr>
          <w:rFonts w:ascii="Times New Roman" w:hAnsi="Times New Roman"/>
          <w:sz w:val="24"/>
          <w:szCs w:val="24"/>
          <w:rtl w:val="0"/>
          <w:lang w:val="en-US"/>
        </w:rPr>
        <w:t>occurrence</w:t>
      </w:r>
      <w:r>
        <w:rPr>
          <w:rFonts w:ascii="Times New Roman" w:hAnsi="Times New Roman"/>
          <w:sz w:val="24"/>
          <w:szCs w:val="24"/>
          <w:rtl w:val="0"/>
          <w:lang w:val="en-US"/>
        </w:rPr>
        <w:t xml:space="preserve"> of the Akkadian </w:t>
      </w:r>
      <w:r>
        <w:rPr>
          <w:rFonts w:ascii="Times New Roman" w:hAnsi="Times New Roman"/>
          <w:i w:val="1"/>
          <w:iCs w:val="1"/>
          <w:sz w:val="24"/>
          <w:szCs w:val="24"/>
          <w:rtl w:val="0"/>
          <w:lang w:val="en-US"/>
        </w:rPr>
        <w:t>edinu</w:t>
      </w:r>
      <w:r>
        <w:rPr>
          <w:rFonts w:ascii="Times New Roman" w:hAnsi="Times New Roman"/>
          <w:sz w:val="24"/>
          <w:szCs w:val="24"/>
          <w:rtl w:val="0"/>
          <w:lang w:val="en-US"/>
        </w:rPr>
        <w:t xml:space="preserve"> outside of the tablet, whilst </w:t>
      </w:r>
      <w:r>
        <w:rPr>
          <w:rFonts w:ascii="Times New Roman" w:hAnsi="Times New Roman"/>
          <w:i w:val="1"/>
          <w:iCs w:val="1"/>
          <w:sz w:val="24"/>
          <w:szCs w:val="24"/>
          <w:rtl w:val="0"/>
          <w:lang w:val="en-US"/>
        </w:rPr>
        <w:t>eden</w:t>
      </w:r>
      <w:r>
        <w:rPr>
          <w:rFonts w:ascii="Times New Roman" w:hAnsi="Times New Roman"/>
          <w:sz w:val="24"/>
          <w:szCs w:val="24"/>
          <w:rtl w:val="0"/>
          <w:lang w:val="en-US"/>
        </w:rPr>
        <w:t xml:space="preserve"> in </w:t>
      </w:r>
      <w:r>
        <w:rPr>
          <w:rFonts w:ascii="Times New Roman" w:hAnsi="Times New Roman"/>
          <w:sz w:val="24"/>
          <w:szCs w:val="24"/>
          <w:rtl w:val="0"/>
          <w:lang w:val="it-IT"/>
        </w:rPr>
        <w:t>Sumerian</w:t>
      </w:r>
      <w:r>
        <w:rPr>
          <w:rFonts w:ascii="Times New Roman" w:hAnsi="Times New Roman"/>
          <w:sz w:val="24"/>
          <w:szCs w:val="24"/>
          <w:rtl w:val="0"/>
          <w:lang w:val="en-US"/>
        </w:rPr>
        <w:t xml:space="preserve"> is very common (Millward, 1984:104). Further, whenever Eden is pictured in the Biblical text it is described as fertile and well watered, a lush oasis, for which </w:t>
      </w:r>
      <w:r>
        <w:rPr>
          <w:rFonts w:ascii="Times New Roman" w:hAnsi="Times New Roman" w:hint="default"/>
          <w:sz w:val="24"/>
          <w:szCs w:val="24"/>
          <w:rtl w:val="0"/>
          <w:lang w:val="en-US"/>
        </w:rPr>
        <w:t>“</w:t>
      </w:r>
      <w:r>
        <w:rPr>
          <w:rFonts w:ascii="Times New Roman" w:hAnsi="Times New Roman"/>
          <w:sz w:val="24"/>
          <w:szCs w:val="24"/>
          <w:rtl w:val="0"/>
          <w:lang w:val="en-US"/>
        </w:rPr>
        <w:t>plain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would be an unusual title (Wenham, 1987:61).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second proposal, that Eden derives from the Hebraic </w:t>
      </w:r>
      <w:r>
        <w:rPr>
          <w:rFonts w:ascii="Times New Roman" w:hAnsi="Times New Roman"/>
          <w:sz w:val="24"/>
          <w:szCs w:val="24"/>
          <w:rtl w:val="0"/>
        </w:rPr>
        <w:t>stem</w:t>
      </w:r>
      <w:r>
        <w:rPr>
          <w:rFonts w:ascii="Times New Roman" w:hAnsi="Times New Roman"/>
          <w:sz w:val="24"/>
          <w:szCs w:val="24"/>
          <w:rtl w:val="0"/>
          <w:lang w:val="en-US"/>
        </w:rPr>
        <w:t xml:space="preserve">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 xml:space="preserve">dn </w:t>
      </w:r>
      <w:r>
        <w:rPr>
          <w:rFonts w:ascii="Times New Roman" w:hAnsi="Times New Roman"/>
          <w:sz w:val="24"/>
          <w:szCs w:val="24"/>
          <w:rtl w:val="0"/>
          <w:lang w:val="en-US"/>
        </w:rPr>
        <w:t xml:space="preserve">denoting </w:t>
      </w:r>
      <w:r>
        <w:rPr>
          <w:rFonts w:ascii="Times New Roman" w:hAnsi="Times New Roman" w:hint="default"/>
          <w:sz w:val="24"/>
          <w:szCs w:val="24"/>
          <w:rtl w:val="0"/>
          <w:lang w:val="en-US"/>
        </w:rPr>
        <w:t>“</w:t>
      </w:r>
      <w:r>
        <w:rPr>
          <w:rFonts w:ascii="Times New Roman" w:hAnsi="Times New Roman"/>
          <w:sz w:val="24"/>
          <w:szCs w:val="24"/>
          <w:rtl w:val="0"/>
          <w:lang w:val="en-US"/>
        </w:rPr>
        <w:t>pleasure, delight</w:t>
      </w:r>
      <w:r>
        <w:rPr>
          <w:rFonts w:ascii="Times New Roman" w:hAnsi="Times New Roman" w:hint="default"/>
          <w:sz w:val="24"/>
          <w:szCs w:val="24"/>
          <w:rtl w:val="0"/>
          <w:lang w:val="en-US"/>
        </w:rPr>
        <w:t>”</w:t>
      </w:r>
      <w:r>
        <w:rPr>
          <w:rFonts w:ascii="Times New Roman" w:hAnsi="Times New Roman"/>
          <w:sz w:val="24"/>
          <w:szCs w:val="24"/>
          <w:rtl w:val="0"/>
          <w:lang w:val="en-US"/>
        </w:rPr>
        <w:t>, makes more sense of the Biblical text: the garden contains  "trees that were pleasing to the eye and good for food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(Gen 2:9). This is in accordance with other occurrences of Eden in the scriptures e.g. psalm 36:8: </w:t>
      </w:r>
      <w:r>
        <w:rPr>
          <w:rFonts w:ascii="Times New Roman" w:hAnsi="Times New Roman" w:hint="default"/>
          <w:sz w:val="24"/>
          <w:szCs w:val="24"/>
          <w:rtl w:val="0"/>
          <w:lang w:val="en-US"/>
        </w:rPr>
        <w:t>“</w:t>
      </w:r>
      <w:r>
        <w:rPr>
          <w:rFonts w:ascii="Times New Roman" w:hAnsi="Times New Roman"/>
          <w:sz w:val="24"/>
          <w:szCs w:val="24"/>
          <w:rtl w:val="0"/>
          <w:lang w:val="en-US"/>
        </w:rPr>
        <w:t>T</w:t>
      </w:r>
      <w:r>
        <w:rPr>
          <w:rFonts w:ascii="Times New Roman" w:hAnsi="Times New Roman"/>
          <w:sz w:val="24"/>
          <w:szCs w:val="24"/>
          <w:rtl w:val="0"/>
          <w:lang w:val="en-US"/>
        </w:rPr>
        <w:t xml:space="preserve">hey feast on the abundance of your house; you give them drink from </w:t>
      </w:r>
      <w:r>
        <w:rPr>
          <w:rFonts w:ascii="Times New Roman" w:hAnsi="Times New Roman"/>
          <w:i w:val="1"/>
          <w:iCs w:val="1"/>
          <w:sz w:val="24"/>
          <w:szCs w:val="24"/>
          <w:rtl w:val="0"/>
          <w:lang w:val="en-US"/>
        </w:rPr>
        <w:t>your river of delights</w:t>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 xml:space="preserve">literally </w:t>
      </w:r>
      <w:r>
        <w:rPr>
          <w:rFonts w:ascii="Times New Roman" w:hAnsi="Times New Roman" w:hint="default"/>
          <w:sz w:val="24"/>
          <w:szCs w:val="24"/>
          <w:rtl w:val="0"/>
          <w:lang w:val="en-US"/>
        </w:rPr>
        <w:t>“</w:t>
      </w:r>
      <w:r>
        <w:rPr>
          <w:rFonts w:ascii="Times New Roman" w:hAnsi="Times New Roman"/>
          <w:sz w:val="24"/>
          <w:szCs w:val="24"/>
          <w:rtl w:val="0"/>
          <w:lang w:val="en-US"/>
        </w:rPr>
        <w:t>The river of your Edens</w:t>
      </w:r>
      <w:r>
        <w:rPr>
          <w:rFonts w:ascii="Times New Roman" w:hAnsi="Times New Roman" w:hint="default"/>
          <w:sz w:val="24"/>
          <w:szCs w:val="24"/>
          <w:rtl w:val="0"/>
          <w:lang w:val="en-US"/>
        </w:rPr>
        <w:t xml:space="preserve">” </w:t>
      </w:r>
      <w:r>
        <w:rPr>
          <w:rFonts w:ascii="Times New Roman" w:hAnsi="Times New Roman"/>
          <w:sz w:val="24"/>
          <w:szCs w:val="24"/>
          <w:rtl w:val="0"/>
          <w:lang w:val="en-US"/>
        </w:rPr>
        <w:t>(Beale, 2004:73)</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There is further reason to suppose this is the meaning behind </w:t>
      </w:r>
      <w:r>
        <w:rPr>
          <w:rFonts w:ascii="Times New Roman" w:hAnsi="Times New Roman" w:hint="default"/>
          <w:sz w:val="24"/>
          <w:szCs w:val="24"/>
          <w:rtl w:val="0"/>
          <w:lang w:val="en-US"/>
        </w:rPr>
        <w:t>“</w:t>
      </w:r>
      <w:r>
        <w:rPr>
          <w:rFonts w:ascii="Times New Roman" w:hAnsi="Times New Roman"/>
          <w:sz w:val="24"/>
          <w:szCs w:val="24"/>
          <w:rtl w:val="0"/>
          <w:lang w:val="en-US"/>
        </w:rPr>
        <w:t>Eden</w:t>
      </w:r>
      <w:r>
        <w:rPr>
          <w:rFonts w:ascii="Times New Roman" w:hAnsi="Times New Roman" w:hint="default"/>
          <w:sz w:val="24"/>
          <w:szCs w:val="24"/>
          <w:rtl w:val="0"/>
          <w:lang w:val="en-US"/>
        </w:rPr>
        <w:t>”</w:t>
      </w:r>
      <w:r>
        <w:rPr>
          <w:rFonts w:ascii="Times New Roman" w:hAnsi="Times New Roman"/>
          <w:sz w:val="24"/>
          <w:szCs w:val="24"/>
          <w:rtl w:val="0"/>
          <w:lang w:val="en-US"/>
        </w:rPr>
        <w:t xml:space="preserve">. The discovery of a statue of the mid 9th century BC King of Guzan in North Syria contained a bilingual inscription, in Assyrian and Aramaic. The phrase translates as </w:t>
      </w:r>
      <w:r>
        <w:rPr>
          <w:rFonts w:ascii="Times New Roman" w:hAnsi="Times New Roman" w:hint="default"/>
          <w:sz w:val="24"/>
          <w:szCs w:val="24"/>
          <w:rtl w:val="0"/>
          <w:lang w:val="en-US"/>
        </w:rPr>
        <w:t>“</w:t>
      </w:r>
      <w:r>
        <w:rPr>
          <w:rFonts w:ascii="Times New Roman" w:hAnsi="Times New Roman"/>
          <w:sz w:val="24"/>
          <w:szCs w:val="24"/>
          <w:rtl w:val="0"/>
          <w:lang w:val="en-US"/>
        </w:rPr>
        <w:t>the provider of the regions</w:t>
      </w:r>
      <w:r>
        <w:rPr>
          <w:rFonts w:ascii="Times New Roman" w:hAnsi="Times New Roman" w:hint="default"/>
          <w:sz w:val="24"/>
          <w:szCs w:val="24"/>
          <w:rtl w:val="0"/>
          <w:lang w:val="en-US"/>
        </w:rPr>
        <w:t>”</w:t>
      </w:r>
      <w:r>
        <w:rPr>
          <w:rFonts w:ascii="Times New Roman" w:hAnsi="Times New Roman"/>
          <w:sz w:val="24"/>
          <w:szCs w:val="24"/>
          <w:rtl w:val="0"/>
          <w:lang w:val="en-US"/>
        </w:rPr>
        <w:t xml:space="preserve">, with the Aramaic participle </w:t>
      </w:r>
      <w:r>
        <w:rPr>
          <w:rFonts w:ascii="Times New Roman" w:hAnsi="Times New Roman"/>
          <w:i w:val="1"/>
          <w:iCs w:val="1"/>
          <w:sz w:val="24"/>
          <w:szCs w:val="24"/>
          <w:rtl w:val="0"/>
          <w:lang w:val="en-US"/>
        </w:rPr>
        <w:t>m</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dn</w:t>
      </w:r>
      <w:r>
        <w:rPr>
          <w:rFonts w:ascii="Times New Roman" w:hAnsi="Times New Roman"/>
          <w:sz w:val="24"/>
          <w:szCs w:val="24"/>
          <w:rtl w:val="0"/>
          <w:lang w:val="en-US"/>
        </w:rPr>
        <w:t xml:space="preserve"> connoting </w:t>
      </w:r>
      <w:r>
        <w:rPr>
          <w:rFonts w:ascii="Times New Roman" w:hAnsi="Times New Roman" w:hint="default"/>
          <w:sz w:val="24"/>
          <w:szCs w:val="24"/>
          <w:rtl w:val="0"/>
          <w:lang w:val="en-US"/>
        </w:rPr>
        <w:t>“</w:t>
      </w:r>
      <w:r>
        <w:rPr>
          <w:rFonts w:ascii="Times New Roman" w:hAnsi="Times New Roman"/>
          <w:sz w:val="24"/>
          <w:szCs w:val="24"/>
          <w:rtl w:val="0"/>
          <w:lang w:val="en-US"/>
        </w:rPr>
        <w:t>provision</w:t>
      </w:r>
      <w:r>
        <w:rPr>
          <w:rFonts w:ascii="Times New Roman" w:hAnsi="Times New Roman" w:hint="default"/>
          <w:sz w:val="24"/>
          <w:szCs w:val="24"/>
          <w:rtl w:val="0"/>
          <w:lang w:val="en-US"/>
        </w:rPr>
        <w:t>”</w:t>
      </w:r>
      <w:r>
        <w:rPr>
          <w:rFonts w:ascii="Times New Roman" w:hAnsi="Times New Roman"/>
          <w:sz w:val="24"/>
          <w:szCs w:val="24"/>
          <w:rtl w:val="0"/>
          <w:lang w:val="en-US"/>
        </w:rPr>
        <w:t xml:space="preserve">. Whilst this is not directly specifying </w:t>
      </w:r>
      <w:r>
        <w:rPr>
          <w:rFonts w:ascii="Times New Roman" w:hAnsi="Times New Roman" w:hint="default"/>
          <w:sz w:val="24"/>
          <w:szCs w:val="24"/>
          <w:rtl w:val="0"/>
          <w:lang w:val="en-US"/>
        </w:rPr>
        <w:t>“</w:t>
      </w:r>
      <w:r>
        <w:rPr>
          <w:rFonts w:ascii="Times New Roman" w:hAnsi="Times New Roman"/>
          <w:sz w:val="24"/>
          <w:szCs w:val="24"/>
          <w:rtl w:val="0"/>
          <w:lang w:val="en-US"/>
        </w:rPr>
        <w:t>pleasure/delight</w:t>
      </w:r>
      <w:r>
        <w:rPr>
          <w:rFonts w:ascii="Times New Roman" w:hAnsi="Times New Roman" w:hint="default"/>
          <w:sz w:val="24"/>
          <w:szCs w:val="24"/>
          <w:rtl w:val="0"/>
          <w:lang w:val="en-US"/>
        </w:rPr>
        <w:t>”</w:t>
      </w:r>
      <w:r>
        <w:rPr>
          <w:rFonts w:ascii="Times New Roman" w:hAnsi="Times New Roman"/>
          <w:sz w:val="24"/>
          <w:szCs w:val="24"/>
          <w:rtl w:val="0"/>
          <w:lang w:val="en-US"/>
        </w:rPr>
        <w:t>, the notion of an abundant provider would be more in accord with the lavish garden imagery than an arid plain (Millward, 1984:105).</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There has been extensive speculation throughout history as to the location (if any) of the Garden. Various suggestions have been put forward ranging from Babylon, Somaliland, the Persian Gulf and even the North Pole (Albright, 1922:16-18).</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Most theories have attempted to plot a possible location based on Eden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relation to the four rivers specified in the Genesis text: Pishon, Gihon, Tigris and Euphrates (Gen 2:11-14), though the exact identification of the first two is contested. Similarly, </w:t>
      </w:r>
      <w:r>
        <w:rPr>
          <w:rFonts w:ascii="Times New Roman" w:hAnsi="Times New Roman" w:hint="default"/>
          <w:sz w:val="24"/>
          <w:szCs w:val="24"/>
          <w:rtl w:val="0"/>
          <w:lang w:val="en-US"/>
        </w:rPr>
        <w:t>“</w:t>
      </w:r>
      <w:r>
        <w:rPr>
          <w:rFonts w:ascii="Times New Roman" w:hAnsi="Times New Roman"/>
          <w:sz w:val="24"/>
          <w:szCs w:val="24"/>
          <w:rtl w:val="0"/>
          <w:lang w:val="en-US"/>
        </w:rPr>
        <w:t>the land of Havilah</w:t>
      </w:r>
      <w:r>
        <w:rPr>
          <w:rFonts w:ascii="Times New Roman" w:hAnsi="Times New Roman" w:hint="default"/>
          <w:sz w:val="24"/>
          <w:szCs w:val="24"/>
          <w:rtl w:val="0"/>
          <w:lang w:val="en-US"/>
        </w:rPr>
        <w:t xml:space="preserve">” </w:t>
      </w:r>
      <w:r>
        <w:rPr>
          <w:rFonts w:ascii="Times New Roman" w:hAnsi="Times New Roman"/>
          <w:sz w:val="24"/>
          <w:szCs w:val="24"/>
          <w:rtl w:val="0"/>
          <w:lang w:val="en-US"/>
        </w:rPr>
        <w:t>(Gen 2:11), as well as the mention of regions rich in gold and resins, has led scholars to speculate over various locations in the Middle East and Africa, without reaching a general consensus.</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What is agreed is that the author of Genesis 2 clearly intends to locate Eden in geographical terms (Gen 2:8, 2:10-14). The mention of a known direction (East) and existing bodies of water (the Euphrates  and Tigris rivers) would suggest that, for the author at least, Eden was a literal place. Yet even this description may be stylistic: setting the creation narrative in a far off land is a common theme in other similar writings (Westermann, 1984:210-211).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More recent scholarship, drawing upon contemporary understanding of Ancient Near Eastern culture, has examined the relationship between the original Garden of Eden and the Jerusalem Temple.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Rather than utilising the Rivers of Genesis 2 to locate Eden geographically, Stager (2000:36-37) makes the claim that, in the Ancient Near East, a temple would often be built on a mountain, and this would be the place where heaven and earth intersect. From here, creation would be renewed and maintained through the various priestly rituals, and the mountain itself was believed to be situated above primordial waters that would gush forth and water the four corners of the earth. This would be in accordance with various other Biblical texts (Psalm 36:8,9; Ezek 47:12; Zech 14:8) in which waters flow from the sanctuary to bring life to the surrounding creation.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Similarly, other scholars (Beale, 2004; Walton, 2006) have built upon the notion of the Eden Garden being an </w:t>
      </w:r>
      <w:r>
        <w:rPr>
          <w:rFonts w:ascii="Times New Roman" w:hAnsi="Times New Roman" w:hint="default"/>
          <w:sz w:val="24"/>
          <w:szCs w:val="24"/>
          <w:rtl w:val="0"/>
          <w:lang w:val="en-US"/>
        </w:rPr>
        <w:t>“</w:t>
      </w:r>
      <w:r>
        <w:rPr>
          <w:rFonts w:ascii="Times New Roman" w:hAnsi="Times New Roman"/>
          <w:sz w:val="24"/>
          <w:szCs w:val="24"/>
          <w:rtl w:val="0"/>
          <w:lang w:val="en-US"/>
        </w:rPr>
        <w:t>archetypal sanctuary</w:t>
      </w:r>
      <w:r>
        <w:rPr>
          <w:rFonts w:ascii="Times New Roman" w:hAnsi="Times New Roman" w:hint="default"/>
          <w:sz w:val="24"/>
          <w:szCs w:val="24"/>
          <w:rtl w:val="0"/>
          <w:lang w:val="en-US"/>
        </w:rPr>
        <w:t xml:space="preserve">” </w:t>
      </w:r>
      <w:r>
        <w:rPr>
          <w:rFonts w:ascii="Times New Roman" w:hAnsi="Times New Roman"/>
          <w:sz w:val="24"/>
          <w:szCs w:val="24"/>
          <w:rtl w:val="0"/>
          <w:lang w:val="en-US"/>
        </w:rPr>
        <w:t>(Wenham, 1987:86) and made multiple links between the descriptive elements of Eden with the Tabernacle and Jerusalem Temple: God</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hint="default"/>
          <w:sz w:val="24"/>
          <w:szCs w:val="24"/>
          <w:rtl w:val="0"/>
          <w:lang w:val="en-US"/>
        </w:rPr>
        <w:t>“</w:t>
      </w:r>
      <w:r>
        <w:rPr>
          <w:rFonts w:ascii="Times New Roman" w:hAnsi="Times New Roman"/>
          <w:sz w:val="24"/>
          <w:szCs w:val="24"/>
          <w:rtl w:val="0"/>
          <w:lang w:val="en-US"/>
        </w:rPr>
        <w:t>walking back and forth</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the Garden (Gen 3:18) has similar wording describing his presence in the Tabernacle (Lev 26:12; Deut 23:14); the command to Adam to </w:t>
      </w:r>
      <w:r>
        <w:rPr>
          <w:rFonts w:ascii="Times New Roman" w:hAnsi="Times New Roman" w:hint="default"/>
          <w:sz w:val="24"/>
          <w:szCs w:val="24"/>
          <w:rtl w:val="0"/>
          <w:lang w:val="en-US"/>
        </w:rPr>
        <w:t>“</w:t>
      </w:r>
      <w:r>
        <w:rPr>
          <w:rFonts w:ascii="Times New Roman" w:hAnsi="Times New Roman"/>
          <w:sz w:val="24"/>
          <w:szCs w:val="24"/>
          <w:rtl w:val="0"/>
          <w:lang w:val="en-US"/>
        </w:rPr>
        <w:t>cultivate and keep</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the Garden (Gen 2:15) can be translated </w:t>
      </w:r>
      <w:r>
        <w:rPr>
          <w:rFonts w:ascii="Times New Roman" w:hAnsi="Times New Roman" w:hint="default"/>
          <w:sz w:val="24"/>
          <w:szCs w:val="24"/>
          <w:rtl w:val="0"/>
          <w:lang w:val="en-US"/>
        </w:rPr>
        <w:t>“</w:t>
      </w:r>
      <w:r>
        <w:rPr>
          <w:rFonts w:ascii="Times New Roman" w:hAnsi="Times New Roman"/>
          <w:sz w:val="24"/>
          <w:szCs w:val="24"/>
          <w:rtl w:val="0"/>
          <w:lang w:val="en-US"/>
        </w:rPr>
        <w:t>serve and guard</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would be understood as a priestly command (to guard God</w:t>
      </w:r>
      <w:r>
        <w:rPr>
          <w:rFonts w:ascii="Times New Roman" w:hAnsi="Times New Roman" w:hint="default"/>
          <w:sz w:val="24"/>
          <w:szCs w:val="24"/>
          <w:rtl w:val="0"/>
          <w:lang w:val="en-US"/>
        </w:rPr>
        <w:t>’</w:t>
      </w:r>
      <w:r>
        <w:rPr>
          <w:rFonts w:ascii="Times New Roman" w:hAnsi="Times New Roman"/>
          <w:sz w:val="24"/>
          <w:szCs w:val="24"/>
          <w:rtl w:val="0"/>
          <w:lang w:val="en-US"/>
        </w:rPr>
        <w:t>s word and serve in the Tabernacle); the Tree of Life planted in the centre of the garden (Gen 2:9) has been likened to the Temple lamp stand (Beale, 2004:66-70).</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Stager takes the sanctuary theme of Eden further (2000: 38), drawing attention to the multiple garden motifs in the construction of the first Temple (1Kings 6-7), in addition to the fact that of all Solomon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renowned wisdom, particular attention is given to his horticultural knowledge (1 Kings 4:32-33). Solomon, the first Royal Temple builder thus echoes Adam, the first human tending to the garden sanctuary of Eden.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Garden of Eden in Genesis 2, then, regardless of whether or not its original geographical location can be identified, is symbolic. It describes a cosmic, rather than topographical, geography (Walton,2006:124). As the archetypal Temple, it represents the dwelling place of YHWH, with human beings placed there in the priestly role of tending to the created order and enjoying God</w:t>
      </w:r>
      <w:r>
        <w:rPr>
          <w:rFonts w:ascii="Times New Roman" w:hAnsi="Times New Roman" w:hint="default"/>
          <w:sz w:val="24"/>
          <w:szCs w:val="24"/>
          <w:rtl w:val="0"/>
          <w:lang w:val="en-US"/>
        </w:rPr>
        <w:t>’</w:t>
      </w:r>
      <w:r>
        <w:rPr>
          <w:rFonts w:ascii="Times New Roman" w:hAnsi="Times New Roman"/>
          <w:sz w:val="24"/>
          <w:szCs w:val="24"/>
          <w:rtl w:val="0"/>
          <w:lang w:val="en-US"/>
        </w:rPr>
        <w:t xml:space="preserve">s presence. From Eden, blessing and life flow to the rest of creation in the form of the four great rivers.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For all the attention given to it in the Genesis account, Eden features relatively few times throughout the rest of the Biblical text. The word itself occurs a total of 17 times (14 in the singular and 3 in the plural), with Genesis and Ezekiel accounting for 14 of these instances (Westermann, 1984: 209).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Of note is the way in which the later prophetic writers use Eden. Isaiah describes the restoration of Israel as a return of the land to the Edenic state (Isa 51:3), whilst Ezekiel recounts the expulsion of Adam from the Garden and applies it to the King of Tyre (Ezek 28:11-19). In both these texts the Garden of Eden is used interchangeably with the </w:t>
      </w:r>
      <w:r>
        <w:rPr>
          <w:rFonts w:ascii="Times New Roman" w:hAnsi="Times New Roman" w:hint="default"/>
          <w:sz w:val="24"/>
          <w:szCs w:val="24"/>
          <w:rtl w:val="0"/>
          <w:lang w:val="en-US"/>
        </w:rPr>
        <w:t>“</w:t>
      </w:r>
      <w:r>
        <w:rPr>
          <w:rFonts w:ascii="Times New Roman" w:hAnsi="Times New Roman"/>
          <w:sz w:val="24"/>
          <w:szCs w:val="24"/>
          <w:rtl w:val="0"/>
          <w:lang w:val="en-US"/>
        </w:rPr>
        <w:t>garden of God</w:t>
      </w:r>
      <w:r>
        <w:rPr>
          <w:rFonts w:ascii="Times New Roman" w:hAnsi="Times New Roman" w:hint="default"/>
          <w:sz w:val="24"/>
          <w:szCs w:val="24"/>
          <w:rtl w:val="0"/>
          <w:lang w:val="en-US"/>
        </w:rPr>
        <w:t xml:space="preserve">” </w:t>
      </w:r>
      <w:r>
        <w:rPr>
          <w:rFonts w:ascii="Times New Roman" w:hAnsi="Times New Roman"/>
          <w:sz w:val="24"/>
          <w:szCs w:val="24"/>
          <w:rtl w:val="0"/>
          <w:lang w:val="en-US"/>
        </w:rPr>
        <w:t>(cf Gen 13:10), suggesting a memory of Eden as the original dwelling place of YHWH (Wenham, 1984:61).</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suppressAutoHyphens w:val="1"/>
        <w:bidi w:val="0"/>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Bibliography:</w:t>
      </w: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Albright, W.F. 1922. The location of the Garden of Eden. </w:t>
      </w:r>
      <w:r>
        <w:rPr>
          <w:rFonts w:ascii="Times New Roman" w:hAnsi="Times New Roman"/>
          <w:i w:val="1"/>
          <w:iCs w:val="1"/>
          <w:sz w:val="24"/>
          <w:szCs w:val="24"/>
          <w:u w:color="000000"/>
          <w:rtl w:val="0"/>
          <w:lang w:val="en-US"/>
        </w:rPr>
        <w:t>AJSL</w:t>
      </w:r>
      <w:r>
        <w:rPr>
          <w:rFonts w:ascii="Times New Roman" w:hAnsi="Times New Roman"/>
          <w:sz w:val="24"/>
          <w:szCs w:val="24"/>
          <w:u w:color="000000"/>
          <w:rtl w:val="0"/>
          <w:lang w:val="en-US"/>
        </w:rPr>
        <w:t>, 39(1): 15-31</w:t>
      </w:r>
      <w:r>
        <w:rPr>
          <w:rFonts w:ascii="Times New Roman" w:hAnsi="Times New Roman"/>
          <w:sz w:val="24"/>
          <w:szCs w:val="24"/>
          <w:u w:color="000000"/>
          <w:rtl w:val="0"/>
          <w:lang w:val="en-US"/>
        </w:rPr>
        <w:t>.</w:t>
      </w: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Beale, G.K. 2004. </w:t>
      </w:r>
      <w:r>
        <w:rPr>
          <w:rFonts w:ascii="Times New Roman" w:hAnsi="Times New Roman"/>
          <w:i w:val="1"/>
          <w:iCs w:val="1"/>
          <w:sz w:val="24"/>
          <w:szCs w:val="24"/>
          <w:u w:color="000000"/>
          <w:rtl w:val="0"/>
          <w:lang w:val="en-US"/>
        </w:rPr>
        <w:t>The Temple and the Church</w:t>
      </w: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s Mission</w:t>
      </w:r>
      <w:r>
        <w:rPr>
          <w:rFonts w:ascii="Times New Roman" w:hAnsi="Times New Roman"/>
          <w:sz w:val="24"/>
          <w:szCs w:val="24"/>
          <w:u w:color="000000"/>
          <w:rtl w:val="0"/>
          <w:lang w:val="en-US"/>
        </w:rPr>
        <w:t>. (Downer</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Grove: IVP Academic). </w:t>
      </w: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Fox, E. 1995. </w:t>
      </w:r>
      <w:r>
        <w:rPr>
          <w:rFonts w:ascii="Times New Roman" w:hAnsi="Times New Roman"/>
          <w:i w:val="1"/>
          <w:iCs w:val="1"/>
          <w:sz w:val="24"/>
          <w:szCs w:val="24"/>
          <w:u w:color="000000"/>
          <w:rtl w:val="0"/>
          <w:lang w:val="en-US"/>
        </w:rPr>
        <w:t xml:space="preserve">The Five Books of Moses. </w:t>
      </w:r>
      <w:r>
        <w:rPr>
          <w:rFonts w:ascii="Times New Roman" w:hAnsi="Times New Roman"/>
          <w:sz w:val="24"/>
          <w:szCs w:val="24"/>
          <w:u w:color="000000"/>
          <w:rtl w:val="0"/>
          <w:lang w:val="en-US"/>
        </w:rPr>
        <w:t>(New York: Schocken).</w:t>
      </w: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Millard, A.R. 1984. The Etymology of Eden. </w:t>
      </w:r>
      <w:r>
        <w:rPr>
          <w:rFonts w:ascii="Times New Roman" w:hAnsi="Times New Roman"/>
          <w:i w:val="1"/>
          <w:iCs w:val="1"/>
          <w:sz w:val="24"/>
          <w:szCs w:val="24"/>
          <w:u w:color="000000"/>
          <w:rtl w:val="0"/>
          <w:lang w:val="en-US"/>
        </w:rPr>
        <w:t>VT</w:t>
      </w:r>
      <w:r>
        <w:rPr>
          <w:rFonts w:ascii="Times New Roman" w:hAnsi="Times New Roman"/>
          <w:sz w:val="24"/>
          <w:szCs w:val="24"/>
          <w:u w:color="000000"/>
          <w:rtl w:val="0"/>
          <w:lang w:val="en-US"/>
        </w:rPr>
        <w:t>, 34: 103-106</w:t>
      </w:r>
      <w:r>
        <w:rPr>
          <w:rFonts w:ascii="Times New Roman" w:hAnsi="Times New Roman"/>
          <w:sz w:val="24"/>
          <w:szCs w:val="24"/>
          <w:u w:color="000000"/>
          <w:rtl w:val="0"/>
          <w:lang w:val="en-US"/>
        </w:rPr>
        <w:t>.</w:t>
      </w: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Stager, L.E. 2000 Jerusalem as Eden . </w:t>
      </w:r>
      <w:r>
        <w:rPr>
          <w:rFonts w:ascii="Times New Roman" w:hAnsi="Times New Roman"/>
          <w:i w:val="1"/>
          <w:iCs w:val="1"/>
          <w:sz w:val="24"/>
          <w:szCs w:val="24"/>
          <w:u w:color="000000"/>
          <w:rtl w:val="0"/>
          <w:lang w:val="en-US"/>
        </w:rPr>
        <w:t>BAR</w:t>
      </w:r>
      <w:r>
        <w:rPr>
          <w:rFonts w:ascii="Times New Roman" w:hAnsi="Times New Roman"/>
          <w:sz w:val="24"/>
          <w:szCs w:val="24"/>
          <w:u w:color="000000"/>
          <w:rtl w:val="0"/>
          <w:lang w:val="en-US"/>
        </w:rPr>
        <w:t>, 26(3): 36-47.</w:t>
      </w: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Walton, J. </w:t>
      </w:r>
      <w:r>
        <w:rPr>
          <w:rFonts w:ascii="Times New Roman" w:hAnsi="Times New Roman"/>
          <w:i w:val="1"/>
          <w:iCs w:val="1"/>
          <w:sz w:val="24"/>
          <w:szCs w:val="24"/>
          <w:u w:color="000000"/>
          <w:rtl w:val="0"/>
          <w:lang w:val="en-US"/>
        </w:rPr>
        <w:t>Ancient Near Eastern Thought and the Old Testament.</w:t>
      </w:r>
      <w:r>
        <w:rPr>
          <w:rFonts w:ascii="Times New Roman" w:hAnsi="Times New Roman"/>
          <w:sz w:val="24"/>
          <w:szCs w:val="24"/>
          <w:u w:color="000000"/>
          <w:rtl w:val="0"/>
          <w:lang w:val="en-US"/>
        </w:rPr>
        <w:t xml:space="preserve"> (Grand Rapids: Baker Academic).</w:t>
      </w: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Wenham, G.J. 1987. </w:t>
      </w:r>
      <w:r>
        <w:rPr>
          <w:rFonts w:ascii="Times New Roman" w:hAnsi="Times New Roman"/>
          <w:i w:val="1"/>
          <w:iCs w:val="1"/>
          <w:sz w:val="24"/>
          <w:szCs w:val="24"/>
          <w:u w:color="000000"/>
          <w:rtl w:val="0"/>
          <w:lang w:val="en-US"/>
        </w:rPr>
        <w:t xml:space="preserve">Genesis 1-15. </w:t>
      </w:r>
      <w:r>
        <w:rPr>
          <w:rFonts w:ascii="Times New Roman" w:hAnsi="Times New Roman"/>
          <w:sz w:val="24"/>
          <w:szCs w:val="24"/>
          <w:u w:color="000000"/>
          <w:rtl w:val="0"/>
          <w:lang w:val="en-US"/>
        </w:rPr>
        <w:t>(Nashville: Thomas Nelson).</w:t>
      </w: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Westermann, C. 1984. </w:t>
      </w:r>
      <w:r>
        <w:rPr>
          <w:rFonts w:ascii="Times New Roman" w:hAnsi="Times New Roman"/>
          <w:i w:val="1"/>
          <w:iCs w:val="1"/>
          <w:sz w:val="24"/>
          <w:szCs w:val="24"/>
          <w:u w:color="000000"/>
          <w:rtl w:val="0"/>
          <w:lang w:val="en-US"/>
        </w:rPr>
        <w:t>Genesis 1-11.</w:t>
      </w:r>
      <w:r>
        <w:rPr>
          <w:rFonts w:ascii="Times New Roman" w:hAnsi="Times New Roman"/>
          <w:sz w:val="24"/>
          <w:szCs w:val="24"/>
          <w:u w:color="000000"/>
          <w:rtl w:val="0"/>
          <w:lang w:val="en-US"/>
        </w:rPr>
        <w:t xml:space="preserve"> (London: SPCK).</w:t>
      </w: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p>
    <w:p>
      <w:pPr>
        <w:pStyle w:val="Body"/>
        <w:suppressAutoHyphens w:val="1"/>
        <w:bidi w:val="0"/>
        <w:ind w:left="0" w:right="0" w:firstLine="0"/>
        <w:jc w:val="left"/>
        <w:rPr>
          <w:rFonts w:ascii="Times New Roman" w:cs="Times New Roman" w:hAnsi="Times New Roman" w:eastAsia="Times New Roman"/>
          <w:sz w:val="24"/>
          <w:szCs w:val="24"/>
          <w:u w:color="000000"/>
          <w:rtl w:val="0"/>
          <w:lang w:val="en-US"/>
        </w:rPr>
      </w:pPr>
    </w:p>
    <w:p>
      <w:pPr>
        <w:pStyle w:val="Body"/>
        <w:suppressAutoHyphens w:val="1"/>
        <w:bidi w:val="0"/>
        <w:ind w:left="0" w:right="0" w:firstLine="0"/>
        <w:jc w:val="left"/>
        <w:rPr>
          <w:rtl w:val="0"/>
        </w:rPr>
      </w:pPr>
      <w:r>
        <w:rPr>
          <w:rFonts w:ascii="Times New Roman" w:cs="Times New Roman" w:hAnsi="Times New Roman" w:eastAsia="Times New Roman"/>
          <w:sz w:val="24"/>
          <w:szCs w:val="24"/>
          <w:u w:color="000000"/>
          <w:rtl w:val="0"/>
          <w:lang w:val="en-US"/>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