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webextensions/taskpanes.xml" ContentType="application/vnd.ms-office.webextensiontaskpanes+xml"/>
  <Override PartName="/word/webextensions/webextension.xml" ContentType="application/vnd.ms-office.webextension+xml"/>
</Types>
</file>

<file path=_rels/.rels>&#65279;<?xml version="1.0" encoding="utf-8"?><Relationships xmlns="http://schemas.openxmlformats.org/package/2006/relationships"><Relationship Type="http://schemas.openxmlformats.org/package/2006/relationships/metadata/core-properties" Target="docProps/core.xml" Id="rId3" /><Relationship Type="http://schemas.openxmlformats.org/officeDocument/2006/relationships/extended-properties" Target="docProps/app.xml" Id="rId4" /><Relationship Type="http://schemas.openxmlformats.org/officeDocument/2006/relationships/officeDocument" Target="word/document.xml" Id="rId1" /><Relationship Type="http://schemas.openxmlformats.org/package/2006/relationships/metadata/thumbnail" Target="docProps/thumbnail.jpeg" Id="rId2" /><Relationship Type="http://schemas.microsoft.com/office/2011/relationships/webextensiontaskpanes" Target="word/webextensions/taskpanes.xml" Id="R64d50ba4e5c74501" 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p14">
  <w:body>
    <w:p xmlns:wp14="http://schemas.microsoft.com/office/word/2010/wordml" w:rsidP="0FBECC8F" w14:paraId="070C9CC2" wp14:textId="3CB1B354">
      <w:pPr>
        <w:pStyle w:val="Normal"/>
        <w:spacing w:before="0" w:beforeAutospacing="off" w:after="165" w:afterAutospacing="off"/>
        <w:ind w:left="0" w:right="0"/>
        <w:jc w:val="center"/>
      </w:pPr>
      <w:r w:rsidRPr="0FBECC8F" w:rsidR="3129711F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US"/>
        </w:rPr>
        <w:t xml:space="preserve">     </w:t>
      </w:r>
      <w:r w:rsidRPr="0FBECC8F" w:rsidR="5BEB6D8A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US"/>
        </w:rPr>
        <w:t>Student name:</w:t>
      </w:r>
      <w:r w:rsidRPr="0FBECC8F" w:rsidR="5F841646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0FBECC8F" w:rsidR="5F84164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Sintia Ponta Garca Do Rosari</w:t>
      </w:r>
      <w:r w:rsidRPr="0FBECC8F" w:rsidR="1E7B0235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o </w:t>
      </w:r>
    </w:p>
    <w:p xmlns:wp14="http://schemas.microsoft.com/office/word/2010/wordml" w:rsidP="0FBECC8F" w14:paraId="3B7D3BB0" wp14:textId="14282F68">
      <w:pPr>
        <w:pStyle w:val="Normal"/>
        <w:spacing w:before="0" w:beforeAutospacing="off" w:after="165" w:afterAutospacing="off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0FBECC8F" w:rsidR="5BEB6D8A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US"/>
        </w:rPr>
        <w:t>Student ID:</w:t>
      </w:r>
      <w:r w:rsidRPr="0FBECC8F" w:rsidR="3E487D37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2316842</w:t>
      </w:r>
    </w:p>
    <w:p xmlns:wp14="http://schemas.microsoft.com/office/word/2010/wordml" w:rsidP="0FBECC8F" w14:paraId="2005A67E" wp14:textId="2221AB99">
      <w:pPr>
        <w:pStyle w:val="Normal"/>
        <w:spacing w:before="0" w:beforeAutospacing="off" w:after="165" w:afterAutospacing="off"/>
        <w:ind w:left="320" w:right="0"/>
        <w:jc w:val="center"/>
      </w:pPr>
      <w:r w:rsidRPr="0FBECC8F" w:rsidR="5BEB6D8A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US"/>
        </w:rPr>
        <w:t>Module name</w:t>
      </w:r>
      <w:r w:rsidRPr="0FBECC8F" w:rsidR="5BEB6D8A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US"/>
        </w:rPr>
        <w:t>:</w:t>
      </w:r>
      <w:r w:rsidRPr="0FBECC8F" w:rsidR="5BEB6D8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0FBECC8F" w:rsidR="77BD88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GB"/>
        </w:rPr>
        <w:t>Empowering the Older Person</w:t>
      </w:r>
    </w:p>
    <w:p xmlns:wp14="http://schemas.microsoft.com/office/word/2010/wordml" w:rsidP="0FBECC8F" w14:paraId="0F859392" wp14:textId="282CFFE4">
      <w:pPr>
        <w:spacing w:before="0" w:beforeAutospacing="off" w:after="165" w:afterAutospacing="off"/>
        <w:ind w:left="320" w:right="0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0FBECC8F" w:rsidR="5BEB6D8A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US"/>
        </w:rPr>
        <w:t>Module code</w:t>
      </w:r>
      <w:r w:rsidRPr="0FBECC8F" w:rsidR="5BEB6D8A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US"/>
        </w:rPr>
        <w:t>:</w:t>
      </w:r>
      <w:r w:rsidRPr="0FBECC8F" w:rsidR="747C789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BMHP6027</w:t>
      </w:r>
    </w:p>
    <w:p xmlns:wp14="http://schemas.microsoft.com/office/word/2010/wordml" w:rsidP="0FBECC8F" w14:paraId="705F14E0" wp14:textId="4C4A4C73">
      <w:pPr>
        <w:spacing w:before="0" w:beforeAutospacing="off" w:after="165" w:afterAutospacing="off"/>
        <w:ind w:left="320" w:right="0"/>
        <w:jc w:val="center"/>
      </w:pPr>
      <w:r w:rsidRPr="0FBECC8F" w:rsidR="5BEB6D8A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US"/>
        </w:rPr>
        <w:t>Lecturer’s name</w:t>
      </w:r>
      <w:r w:rsidRPr="0FBECC8F" w:rsidR="5BEB6D8A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US"/>
        </w:rPr>
        <w:t>:</w:t>
      </w:r>
      <w:r w:rsidRPr="0FBECC8F" w:rsidR="668ECD6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Laila Surani</w:t>
      </w:r>
    </w:p>
    <w:p xmlns:wp14="http://schemas.microsoft.com/office/word/2010/wordml" w:rsidP="0FBECC8F" w14:paraId="77C22E43" wp14:textId="3BB2BDF3">
      <w:pPr>
        <w:spacing w:before="0" w:beforeAutospacing="off" w:after="165" w:afterAutospacing="off"/>
        <w:ind w:left="320" w:right="0"/>
        <w:jc w:val="left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FBECC8F" w14:paraId="7694B3E0" wp14:textId="4CDE8FBF">
      <w:pPr>
        <w:spacing w:before="0" w:beforeAutospacing="off" w:after="165" w:afterAutospacing="off"/>
        <w:ind w:left="320" w:right="0"/>
        <w:jc w:val="left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FBECC8F" w14:paraId="5323B2DA" wp14:textId="1E134BAE">
      <w:pPr>
        <w:spacing w:before="0" w:beforeAutospacing="off" w:after="165" w:afterAutospacing="off"/>
        <w:ind w:left="320" w:right="0"/>
        <w:jc w:val="left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FBECC8F" w14:paraId="2211CAA8" wp14:textId="7D392E2B">
      <w:pPr>
        <w:spacing w:before="0" w:beforeAutospacing="off" w:after="165" w:afterAutospacing="off"/>
        <w:ind w:left="320" w:right="0"/>
        <w:jc w:val="left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FBECC8F" w14:paraId="16D03613" wp14:textId="2BD31E48">
      <w:pPr>
        <w:spacing w:before="0" w:beforeAutospacing="off" w:after="165" w:afterAutospacing="off"/>
        <w:ind w:left="320" w:right="0"/>
        <w:jc w:val="left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FBECC8F" w14:paraId="028399FF" wp14:textId="63AB4014">
      <w:pPr>
        <w:spacing w:before="0" w:beforeAutospacing="off" w:after="165" w:afterAutospacing="off"/>
        <w:ind w:left="320" w:right="0"/>
        <w:jc w:val="left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FBECC8F" w14:paraId="2065FA9B" w14:noSpellErr="1" wp14:textId="2D3F4BE9">
      <w:pPr>
        <w:spacing w:before="0" w:beforeAutospacing="off" w:after="165" w:afterAutospacing="off"/>
        <w:ind w:left="320" w:right="0"/>
        <w:jc w:val="left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FBECC8F" w14:paraId="028A4EC4" w14:noSpellErr="1" wp14:textId="32A9E2C9">
      <w:pPr>
        <w:spacing w:before="0" w:beforeAutospacing="off" w:after="165" w:afterAutospacing="off"/>
        <w:ind w:left="320" w:right="0"/>
        <w:jc w:val="left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FBECC8F" w14:paraId="5C7B8356" wp14:textId="3DDA7A7B">
      <w:pPr>
        <w:spacing w:before="0" w:beforeAutospacing="off" w:after="165" w:afterAutospacing="off"/>
        <w:ind w:left="320" w:right="0"/>
        <w:jc w:val="left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FBECC8F" w14:paraId="56566E82" wp14:textId="71062115">
      <w:pPr>
        <w:spacing w:before="0" w:beforeAutospacing="off" w:after="165" w:afterAutospacing="off"/>
        <w:ind w:left="320" w:right="0"/>
        <w:jc w:val="left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FBECC8F" w14:paraId="728B6DFC" wp14:textId="492EF5CB">
      <w:pPr>
        <w:spacing w:before="0" w:beforeAutospacing="off" w:after="165" w:afterAutospacing="off"/>
        <w:ind w:left="320" w:right="0"/>
        <w:jc w:val="left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FBECC8F" w14:paraId="0A10B650" wp14:textId="4DA0C9EB">
      <w:pPr>
        <w:spacing w:before="0" w:beforeAutospacing="off" w:after="165" w:afterAutospacing="off"/>
        <w:ind w:left="320" w:right="0"/>
        <w:jc w:val="left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FBECC8F" w14:paraId="1DE36C29" wp14:textId="0D76083D">
      <w:pPr>
        <w:spacing w:before="0" w:beforeAutospacing="off" w:after="165" w:afterAutospacing="off"/>
        <w:ind w:left="320" w:right="0"/>
        <w:jc w:val="left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FBECC8F" w14:paraId="48F64180" wp14:textId="46A4803F">
      <w:pPr>
        <w:spacing w:before="0" w:beforeAutospacing="off" w:after="165" w:afterAutospacing="off"/>
        <w:ind w:left="320" w:right="0"/>
        <w:jc w:val="left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FBECC8F" w14:paraId="14400CF1" wp14:textId="10A075A1">
      <w:pPr>
        <w:spacing w:before="0" w:beforeAutospacing="off" w:after="165" w:afterAutospacing="off"/>
        <w:ind w:left="320" w:right="0"/>
        <w:jc w:val="left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FBECC8F" w14:paraId="194AB4BE" wp14:textId="158E9DCF">
      <w:pPr>
        <w:spacing w:before="0" w:beforeAutospacing="off" w:after="165" w:afterAutospacing="off"/>
        <w:ind w:left="32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739E75F0" w14:paraId="25D5227A" wp14:textId="1829CD9C">
      <w:pPr>
        <w:pStyle w:val="Normal"/>
        <w:spacing w:before="0" w:beforeAutospacing="off" w:after="165" w:afterAutospacing="off"/>
        <w:ind w:left="320" w:righ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="5D17FD3F">
        <w:drawing>
          <wp:inline xmlns:wp14="http://schemas.microsoft.com/office/word/2010/wordprocessingDrawing" wp14:editId="532AC0D4" wp14:anchorId="74627176">
            <wp:extent cx="455840" cy="436241"/>
            <wp:effectExtent l="0" t="0" r="0" b="0"/>
            <wp:docPr id="179427906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94279065" name="Picture 1794279065"/>
                    <pic:cNvPicPr/>
                  </pic:nvPicPr>
                  <pic:blipFill>
                    <a:blip xmlns:r="http://schemas.openxmlformats.org/officeDocument/2006/relationships" r:embed="rId125348939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30235" t="26106" r="18289" b="0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55840" cy="4362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39E75F0" w:rsidR="7675D2EE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 </w:t>
      </w:r>
      <w:r w:rsidRPr="739E75F0" w:rsidR="76ACD51D">
        <w:rPr>
          <w:rFonts w:ascii="Arial" w:hAnsi="Arial" w:eastAsia="Arial" w:cs="Arial"/>
          <w:b w:val="1"/>
          <w:bCs w:val="1"/>
          <w:sz w:val="22"/>
          <w:szCs w:val="22"/>
        </w:rPr>
        <w:t xml:space="preserve">Promoting </w:t>
      </w:r>
      <w:r w:rsidRPr="739E75F0" w:rsidR="76ACD51D">
        <w:rPr>
          <w:rFonts w:ascii="Arial" w:hAnsi="Arial" w:eastAsia="Arial" w:cs="Arial"/>
          <w:b w:val="1"/>
          <w:bCs w:val="1"/>
          <w:sz w:val="22"/>
          <w:szCs w:val="22"/>
        </w:rPr>
        <w:t>I</w:t>
      </w:r>
      <w:r w:rsidRPr="739E75F0" w:rsidR="76ACD51D">
        <w:rPr>
          <w:rFonts w:ascii="Arial" w:hAnsi="Arial" w:eastAsia="Arial" w:cs="Arial"/>
          <w:b w:val="1"/>
          <w:bCs w:val="1"/>
          <w:sz w:val="22"/>
          <w:szCs w:val="22"/>
        </w:rPr>
        <w:t>nde</w:t>
      </w:r>
      <w:r w:rsidRPr="739E75F0" w:rsidR="76ACD51D">
        <w:rPr>
          <w:rFonts w:ascii="Arial" w:hAnsi="Arial" w:eastAsia="Arial" w:cs="Arial"/>
          <w:b w:val="1"/>
          <w:bCs w:val="1"/>
          <w:sz w:val="22"/>
          <w:szCs w:val="22"/>
        </w:rPr>
        <w:t>pe</w:t>
      </w:r>
      <w:r w:rsidRPr="739E75F0" w:rsidR="76ACD51D">
        <w:rPr>
          <w:rFonts w:ascii="Arial" w:hAnsi="Arial" w:eastAsia="Arial" w:cs="Arial"/>
          <w:b w:val="1"/>
          <w:bCs w:val="1"/>
          <w:sz w:val="22"/>
          <w:szCs w:val="22"/>
        </w:rPr>
        <w:t>nd</w:t>
      </w:r>
      <w:r w:rsidRPr="739E75F0" w:rsidR="76ACD51D">
        <w:rPr>
          <w:rFonts w:ascii="Arial" w:hAnsi="Arial" w:eastAsia="Arial" w:cs="Arial"/>
          <w:b w:val="1"/>
          <w:bCs w:val="1"/>
          <w:sz w:val="22"/>
          <w:szCs w:val="22"/>
        </w:rPr>
        <w:t>ence, E</w:t>
      </w:r>
      <w:r w:rsidRPr="739E75F0" w:rsidR="76ACD51D">
        <w:rPr>
          <w:rFonts w:ascii="Arial" w:hAnsi="Arial" w:eastAsia="Arial" w:cs="Arial"/>
          <w:b w:val="1"/>
          <w:bCs w:val="1"/>
          <w:sz w:val="22"/>
          <w:szCs w:val="22"/>
        </w:rPr>
        <w:t>mp</w:t>
      </w:r>
      <w:r w:rsidRPr="739E75F0" w:rsidR="76ACD51D">
        <w:rPr>
          <w:rFonts w:ascii="Arial" w:hAnsi="Arial" w:eastAsia="Arial" w:cs="Arial"/>
          <w:b w:val="1"/>
          <w:bCs w:val="1"/>
          <w:sz w:val="22"/>
          <w:szCs w:val="22"/>
        </w:rPr>
        <w:t>o</w:t>
      </w:r>
      <w:r w:rsidRPr="739E75F0" w:rsidR="76ACD51D">
        <w:rPr>
          <w:rFonts w:ascii="Arial" w:hAnsi="Arial" w:eastAsia="Arial" w:cs="Arial"/>
          <w:b w:val="1"/>
          <w:bCs w:val="1"/>
          <w:sz w:val="22"/>
          <w:szCs w:val="22"/>
        </w:rPr>
        <w:t>w</w:t>
      </w:r>
      <w:r w:rsidRPr="739E75F0" w:rsidR="76ACD51D">
        <w:rPr>
          <w:rFonts w:ascii="Arial" w:hAnsi="Arial" w:eastAsia="Arial" w:cs="Arial"/>
          <w:b w:val="1"/>
          <w:bCs w:val="1"/>
          <w:sz w:val="22"/>
          <w:szCs w:val="22"/>
        </w:rPr>
        <w:t>erme</w:t>
      </w:r>
      <w:r w:rsidRPr="739E75F0" w:rsidR="76ACD51D">
        <w:rPr>
          <w:rFonts w:ascii="Arial" w:hAnsi="Arial" w:eastAsia="Arial" w:cs="Arial"/>
          <w:b w:val="1"/>
          <w:bCs w:val="1"/>
          <w:sz w:val="22"/>
          <w:szCs w:val="22"/>
        </w:rPr>
        <w:t>nt a</w:t>
      </w:r>
      <w:r w:rsidRPr="739E75F0" w:rsidR="76ACD51D">
        <w:rPr>
          <w:rFonts w:ascii="Arial" w:hAnsi="Arial" w:eastAsia="Arial" w:cs="Arial"/>
          <w:b w:val="1"/>
          <w:bCs w:val="1"/>
          <w:sz w:val="22"/>
          <w:szCs w:val="22"/>
        </w:rPr>
        <w:t>nd Quality of Life in Old</w:t>
      </w:r>
      <w:r w:rsidRPr="739E75F0" w:rsidR="76ACD51D">
        <w:rPr>
          <w:rFonts w:ascii="Arial" w:hAnsi="Arial" w:eastAsia="Arial" w:cs="Arial"/>
          <w:b w:val="1"/>
          <w:bCs w:val="1"/>
          <w:sz w:val="22"/>
          <w:szCs w:val="22"/>
        </w:rPr>
        <w:t xml:space="preserve">er </w:t>
      </w:r>
      <w:r w:rsidRPr="739E75F0" w:rsidR="76ACD51D">
        <w:rPr>
          <w:rFonts w:ascii="Arial" w:hAnsi="Arial" w:eastAsia="Arial" w:cs="Arial"/>
          <w:b w:val="1"/>
          <w:bCs w:val="1"/>
          <w:sz w:val="22"/>
          <w:szCs w:val="22"/>
        </w:rPr>
        <w:t>A</w:t>
      </w:r>
      <w:r w:rsidRPr="739E75F0" w:rsidR="76ACD51D">
        <w:rPr>
          <w:rFonts w:ascii="Arial" w:hAnsi="Arial" w:eastAsia="Arial" w:cs="Arial"/>
          <w:b w:val="1"/>
          <w:bCs w:val="1"/>
          <w:sz w:val="22"/>
          <w:szCs w:val="22"/>
        </w:rPr>
        <w:t>dults</w:t>
      </w:r>
      <w:r w:rsidRPr="739E75F0" w:rsidR="12602EC7">
        <w:rPr>
          <w:rFonts w:ascii="Arial" w:hAnsi="Arial" w:eastAsia="Arial" w:cs="Arial"/>
          <w:b w:val="1"/>
          <w:bCs w:val="1"/>
          <w:sz w:val="22"/>
          <w:szCs w:val="22"/>
        </w:rPr>
        <w:t>:</w:t>
      </w:r>
      <w:r w:rsidRPr="739E75F0" w:rsidR="5861D80D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739E75F0" w:rsidR="5861D80D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</w:t>
      </w:r>
      <w:r w:rsidRPr="739E75F0" w:rsidR="5861D80D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="14F7B311">
        <w:drawing>
          <wp:inline xmlns:wp14="http://schemas.microsoft.com/office/word/2010/wordprocessingDrawing" wp14:editId="393E40AC" wp14:anchorId="35337C1C">
            <wp:extent cx="352889" cy="441450"/>
            <wp:effectExtent l="0" t="0" r="0" b="0"/>
            <wp:docPr id="89657788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20480421" name="Picture 1320480421"/>
                    <pic:cNvPicPr/>
                  </pic:nvPicPr>
                  <pic:blipFill>
                    <a:blip xmlns:r="http://schemas.openxmlformats.org/officeDocument/2006/relationships" r:embed="rId7466384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9783" t="4512" r="23465" b="37003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52889" cy="441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FBECC8F" w14:paraId="2497BEB8" wp14:textId="44CC9815">
      <w:pPr>
        <w:spacing w:before="0" w:beforeAutospacing="off" w:after="165" w:afterAutospacing="off"/>
        <w:ind w:left="320" w:righ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739E75F0" w:rsidR="12602EC7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739E75F0" w:rsidR="76ACD51D">
        <w:rPr>
          <w:rFonts w:ascii="Arial" w:hAnsi="Arial" w:eastAsia="Arial" w:cs="Arial"/>
          <w:b w:val="1"/>
          <w:bCs w:val="1"/>
          <w:sz w:val="22"/>
          <w:szCs w:val="22"/>
        </w:rPr>
        <w:t>A Critical Evaluation of Care, Support and Empowerme</w:t>
      </w:r>
      <w:r w:rsidRPr="739E75F0" w:rsidR="76ACD51D">
        <w:rPr>
          <w:rFonts w:ascii="Arial" w:hAnsi="Arial" w:eastAsia="Arial" w:cs="Arial"/>
          <w:b w:val="1"/>
          <w:bCs w:val="1"/>
          <w:sz w:val="22"/>
          <w:szCs w:val="22"/>
        </w:rPr>
        <w:t>nt i</w:t>
      </w:r>
      <w:r w:rsidRPr="739E75F0" w:rsidR="5949810E">
        <w:rPr>
          <w:rFonts w:ascii="Arial" w:hAnsi="Arial" w:eastAsia="Arial" w:cs="Arial"/>
          <w:b w:val="1"/>
          <w:bCs w:val="1"/>
          <w:sz w:val="22"/>
          <w:szCs w:val="22"/>
        </w:rPr>
        <w:t>n</w:t>
      </w:r>
      <w:r w:rsidRPr="739E75F0" w:rsidR="76ACD51D">
        <w:rPr>
          <w:rFonts w:ascii="Arial" w:hAnsi="Arial" w:eastAsia="Arial" w:cs="Arial"/>
          <w:b w:val="1"/>
          <w:bCs w:val="1"/>
          <w:sz w:val="22"/>
          <w:szCs w:val="22"/>
        </w:rPr>
        <w:t xml:space="preserve"> the UK</w:t>
      </w:r>
      <w:r w:rsidRPr="739E75F0" w:rsidR="2A4C5F53">
        <w:rPr>
          <w:rFonts w:ascii="Arial" w:hAnsi="Arial" w:eastAsia="Arial" w:cs="Arial"/>
          <w:b w:val="1"/>
          <w:bCs w:val="1"/>
          <w:sz w:val="22"/>
          <w:szCs w:val="22"/>
        </w:rPr>
        <w:t>.</w:t>
      </w:r>
    </w:p>
    <w:p xmlns:wp14="http://schemas.microsoft.com/office/word/2010/wordml" w:rsidP="0FBECC8F" w14:paraId="7F2CCB39" wp14:textId="0DD709A3">
      <w:pPr>
        <w:rPr>
          <w:rFonts w:ascii="Arial" w:hAnsi="Arial" w:eastAsia="Arial" w:cs="Arial"/>
          <w:b w:val="1"/>
          <w:bCs w:val="1"/>
          <w:color w:val="7030A0"/>
          <w:sz w:val="22"/>
          <w:szCs w:val="22"/>
        </w:rPr>
      </w:pPr>
      <w:r w:rsidRPr="739E75F0" w:rsidR="76ACD51D">
        <w:rPr>
          <w:rFonts w:ascii="Arial" w:hAnsi="Arial" w:eastAsia="Arial" w:cs="Arial"/>
          <w:b w:val="1"/>
          <w:bCs w:val="1"/>
          <w:color w:val="7030A0"/>
          <w:sz w:val="22"/>
          <w:szCs w:val="22"/>
        </w:rPr>
        <w:t xml:space="preserve">KEY ONS STATISTIC: Older adults (65+) living in care homes decreased </w:t>
      </w:r>
      <w:r w:rsidRPr="739E75F0" w:rsidR="76ACD51D">
        <w:rPr>
          <w:rFonts w:ascii="Arial" w:hAnsi="Arial" w:eastAsia="Arial" w:cs="Arial"/>
          <w:b w:val="1"/>
          <w:bCs w:val="1"/>
          <w:color w:val="7030A0"/>
          <w:sz w:val="22"/>
          <w:szCs w:val="22"/>
        </w:rPr>
        <w:t>fr</w:t>
      </w:r>
      <w:r w:rsidRPr="739E75F0" w:rsidR="76ACD51D">
        <w:rPr>
          <w:rFonts w:ascii="Arial" w:hAnsi="Arial" w:eastAsia="Arial" w:cs="Arial"/>
          <w:b w:val="1"/>
          <w:bCs w:val="1"/>
          <w:color w:val="7030A0"/>
          <w:sz w:val="22"/>
          <w:szCs w:val="22"/>
        </w:rPr>
        <w:t>o</w:t>
      </w:r>
      <w:r w:rsidRPr="739E75F0" w:rsidR="76ACD51D">
        <w:rPr>
          <w:rFonts w:ascii="Arial" w:hAnsi="Arial" w:eastAsia="Arial" w:cs="Arial"/>
          <w:b w:val="1"/>
          <w:bCs w:val="1"/>
          <w:color w:val="7030A0"/>
          <w:sz w:val="22"/>
          <w:szCs w:val="22"/>
        </w:rPr>
        <w:t>m 3.2</w:t>
      </w:r>
      <w:r w:rsidRPr="739E75F0" w:rsidR="76ACD51D">
        <w:rPr>
          <w:rFonts w:ascii="Arial" w:hAnsi="Arial" w:eastAsia="Arial" w:cs="Arial"/>
          <w:b w:val="1"/>
          <w:bCs w:val="1"/>
          <w:color w:val="7030A0"/>
          <w:sz w:val="22"/>
          <w:szCs w:val="22"/>
        </w:rPr>
        <w:t>% (2011) to 2.5% (2021), reflecting greater support for independent living.</w:t>
      </w:r>
    </w:p>
    <w:tbl>
      <w:tblPr>
        <w:tblW w:w="14832" w:type="dxa"/>
        <w:tblLook w:val="04A0" w:firstRow="1" w:lastRow="0" w:firstColumn="1" w:lastColumn="0" w:noHBand="0" w:noVBand="1"/>
      </w:tblPr>
      <w:tblGrid>
        <w:gridCol w:w="4815"/>
        <w:gridCol w:w="5073"/>
        <w:gridCol w:w="4944"/>
      </w:tblGrid>
      <w:tr xmlns:wp14="http://schemas.microsoft.com/office/word/2010/wordml" w:rsidTr="33F3619D" w14:paraId="73624C7E" wp14:textId="77777777">
        <w:tc>
          <w:tcPr>
            <w:tcW w:w="4815" w:type="dxa"/>
            <w:tcMar/>
          </w:tcPr>
          <w:p w14:paraId="764ED989" wp14:textId="3DCC64AA">
            <w:r w:rsidRPr="0FBECC8F" w:rsidR="0FBECC8F">
              <w:rPr>
                <w:rFonts w:ascii="Arial" w:hAnsi="Arial" w:eastAsia="Arial" w:cs="Arial"/>
                <w:b w:val="1"/>
                <w:bCs w:val="1"/>
                <w:color w:val="4F81BD" w:themeColor="accent1" w:themeTint="FF" w:themeShade="FF"/>
                <w:sz w:val="22"/>
                <w:szCs w:val="22"/>
              </w:rPr>
              <w:t>INTRODUCTION</w:t>
            </w:r>
            <w:r>
              <w:br/>
            </w:r>
            <w:r w:rsidRPr="0FBECC8F" w:rsidR="0FBECC8F">
              <w:rPr>
                <w:rFonts w:ascii="Arial" w:hAnsi="Arial" w:eastAsia="Arial" w:cs="Arial"/>
                <w:sz w:val="22"/>
                <w:szCs w:val="22"/>
              </w:rPr>
              <w:t>• Healthy ageing supports wellbeing and independence.</w:t>
            </w:r>
            <w:r>
              <w:br/>
            </w:r>
            <w:r w:rsidRPr="0FBECC8F" w:rsidR="0FBECC8F">
              <w:rPr>
                <w:rFonts w:ascii="Arial" w:hAnsi="Arial" w:eastAsia="Arial" w:cs="Arial"/>
                <w:sz w:val="22"/>
                <w:szCs w:val="22"/>
              </w:rPr>
              <w:t>• Growing ageing population increases care demand.</w:t>
            </w:r>
            <w:r>
              <w:br/>
            </w:r>
            <w:r w:rsidRPr="0FBECC8F" w:rsidR="0FBECC8F">
              <w:rPr>
                <w:rFonts w:ascii="Arial" w:hAnsi="Arial" w:eastAsia="Arial" w:cs="Arial"/>
                <w:sz w:val="22"/>
                <w:szCs w:val="22"/>
              </w:rPr>
              <w:t xml:space="preserve">• Frailty, long-term </w:t>
            </w:r>
            <w:r w:rsidRPr="0FBECC8F" w:rsidR="0FBECC8F">
              <w:rPr>
                <w:rFonts w:ascii="Arial" w:hAnsi="Arial" w:eastAsia="Arial" w:cs="Arial"/>
                <w:sz w:val="22"/>
                <w:szCs w:val="22"/>
              </w:rPr>
              <w:t>conditions</w:t>
            </w:r>
            <w:r w:rsidRPr="0FBECC8F" w:rsidR="0FBECC8F">
              <w:rPr>
                <w:rFonts w:ascii="Arial" w:hAnsi="Arial" w:eastAsia="Arial" w:cs="Arial"/>
                <w:sz w:val="22"/>
                <w:szCs w:val="22"/>
              </w:rPr>
              <w:t xml:space="preserve"> and isolation require person-</w:t>
            </w:r>
            <w:r w:rsidRPr="0FBECC8F" w:rsidR="0FBECC8F">
              <w:rPr>
                <w:rFonts w:ascii="Arial" w:hAnsi="Arial" w:eastAsia="Arial" w:cs="Arial"/>
                <w:sz w:val="22"/>
                <w:szCs w:val="22"/>
              </w:rPr>
              <w:t>centred</w:t>
            </w:r>
            <w:r w:rsidRPr="0FBECC8F" w:rsidR="0FBECC8F">
              <w:rPr>
                <w:rFonts w:ascii="Arial" w:hAnsi="Arial" w:eastAsia="Arial" w:cs="Arial"/>
                <w:sz w:val="22"/>
                <w:szCs w:val="22"/>
              </w:rPr>
              <w:t xml:space="preserve"> care.</w:t>
            </w:r>
            <w:r>
              <w:br/>
            </w:r>
            <w:r>
              <w:br/>
            </w:r>
            <w:r w:rsidRPr="0FBECC8F" w:rsidR="0FBECC8F">
              <w:rPr>
                <w:rFonts w:ascii="Arial" w:hAnsi="Arial" w:eastAsia="Arial" w:cs="Arial"/>
                <w:b w:val="1"/>
                <w:bCs w:val="1"/>
                <w:color w:val="4F81BD" w:themeColor="accent1" w:themeTint="FF" w:themeShade="FF"/>
                <w:sz w:val="22"/>
                <w:szCs w:val="22"/>
              </w:rPr>
              <w:t>PHYSICAL CARE</w:t>
            </w:r>
            <w:r w:rsidRPr="0FBECC8F" w:rsidR="6DB75C91">
              <w:rPr>
                <w:rFonts w:ascii="Arial" w:hAnsi="Arial" w:eastAsia="Arial" w:cs="Arial"/>
                <w:b w:val="1"/>
                <w:bCs w:val="1"/>
                <w:color w:val="4F81BD" w:themeColor="accent1" w:themeTint="FF" w:themeShade="FF"/>
                <w:sz w:val="22"/>
                <w:szCs w:val="22"/>
              </w:rPr>
              <w:t>:</w:t>
            </w:r>
            <w:r>
              <w:br/>
            </w:r>
            <w:r w:rsidRPr="0FBECC8F" w:rsidR="0FBECC8F">
              <w:rPr>
                <w:rFonts w:ascii="Arial" w:hAnsi="Arial" w:eastAsia="Arial" w:cs="Arial"/>
                <w:sz w:val="22"/>
                <w:szCs w:val="22"/>
              </w:rPr>
              <w:t>• Falls, frailty, nutrition, mobility.</w:t>
            </w:r>
            <w:r>
              <w:br/>
            </w:r>
            <w:r w:rsidRPr="0FBECC8F" w:rsidR="0FBECC8F">
              <w:rPr>
                <w:rFonts w:ascii="Arial" w:hAnsi="Arial" w:eastAsia="Arial" w:cs="Arial"/>
                <w:sz w:val="22"/>
                <w:szCs w:val="22"/>
              </w:rPr>
              <w:t>• MDT assessment improves outcomes.</w:t>
            </w:r>
            <w:r>
              <w:br/>
            </w:r>
            <w:r>
              <w:br/>
            </w:r>
            <w:r w:rsidRPr="0FBECC8F" w:rsidR="0FBECC8F">
              <w:rPr>
                <w:rFonts w:ascii="Arial" w:hAnsi="Arial" w:eastAsia="Arial" w:cs="Arial"/>
                <w:b w:val="1"/>
                <w:bCs w:val="1"/>
                <w:color w:val="4F81BD" w:themeColor="accent1" w:themeTint="FF" w:themeShade="FF"/>
                <w:sz w:val="22"/>
                <w:szCs w:val="22"/>
              </w:rPr>
              <w:t>PSYCHOLOGICAL CARE</w:t>
            </w:r>
            <w:r w:rsidRPr="0FBECC8F" w:rsidR="56D42495">
              <w:rPr>
                <w:rFonts w:ascii="Arial" w:hAnsi="Arial" w:eastAsia="Arial" w:cs="Arial"/>
                <w:b w:val="1"/>
                <w:bCs w:val="1"/>
                <w:color w:val="4F81BD" w:themeColor="accent1" w:themeTint="FF" w:themeShade="FF"/>
                <w:sz w:val="22"/>
                <w:szCs w:val="22"/>
              </w:rPr>
              <w:t>:</w:t>
            </w:r>
            <w:r w:rsidRPr="0FBECC8F" w:rsidR="0FBECC8F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</w:t>
            </w:r>
            <w:r>
              <w:br/>
            </w:r>
            <w:r w:rsidRPr="0FBECC8F" w:rsidR="0FBECC8F">
              <w:rPr>
                <w:rFonts w:ascii="Arial" w:hAnsi="Arial" w:eastAsia="Arial" w:cs="Arial"/>
                <w:sz w:val="22"/>
                <w:szCs w:val="22"/>
              </w:rPr>
              <w:t>• Dementia, anxiety, depression.</w:t>
            </w:r>
            <w:r>
              <w:br/>
            </w:r>
            <w:r w:rsidRPr="0FBECC8F" w:rsidR="0FBECC8F">
              <w:rPr>
                <w:rFonts w:ascii="Arial" w:hAnsi="Arial" w:eastAsia="Arial" w:cs="Arial"/>
                <w:sz w:val="22"/>
                <w:szCs w:val="22"/>
              </w:rPr>
              <w:t>• Early diagnosis improves quality of life.</w:t>
            </w:r>
          </w:p>
          <w:p w:rsidP="0FBECC8F" w14:paraId="50DCF090" wp14:textId="7B1042A0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739E75F0" w:rsidR="4292AC25">
              <w:rPr>
                <w:rFonts w:ascii="Arial" w:hAnsi="Arial" w:eastAsia="Arial" w:cs="Arial"/>
                <w:b w:val="1"/>
                <w:bCs w:val="1"/>
                <w:color w:val="4F80BD"/>
                <w:sz w:val="22"/>
                <w:szCs w:val="22"/>
              </w:rPr>
              <w:t>T</w:t>
            </w:r>
            <w:r w:rsidRPr="739E75F0" w:rsidR="42E5A9C8">
              <w:rPr>
                <w:rFonts w:ascii="Arial" w:hAnsi="Arial" w:eastAsia="Arial" w:cs="Arial"/>
                <w:b w:val="1"/>
                <w:bCs w:val="1"/>
                <w:color w:val="4F80BD"/>
                <w:sz w:val="22"/>
                <w:szCs w:val="22"/>
              </w:rPr>
              <w:t>HEORIES</w:t>
            </w:r>
            <w:r w:rsidRPr="739E75F0" w:rsidR="4292AC25">
              <w:rPr>
                <w:rFonts w:ascii="Arial" w:hAnsi="Arial" w:eastAsia="Arial" w:cs="Arial"/>
                <w:b w:val="1"/>
                <w:bCs w:val="1"/>
                <w:color w:val="4F80BD"/>
                <w:sz w:val="22"/>
                <w:szCs w:val="22"/>
              </w:rPr>
              <w:t>:</w:t>
            </w:r>
            <w:r w:rsidRPr="739E75F0" w:rsidR="323E1ABE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</w:t>
            </w:r>
            <w:r w:rsidRPr="739E75F0" w:rsidR="4292AC25">
              <w:rPr>
                <w:rFonts w:ascii="Arial" w:hAnsi="Arial" w:eastAsia="Arial" w:cs="Arial"/>
                <w:sz w:val="22"/>
                <w:szCs w:val="22"/>
              </w:rPr>
              <w:t>Kitwood</w:t>
            </w:r>
            <w:r w:rsidRPr="739E75F0" w:rsidR="4292AC25">
              <w:rPr>
                <w:rFonts w:ascii="Arial" w:hAnsi="Arial" w:eastAsia="Arial" w:cs="Arial"/>
                <w:sz w:val="22"/>
                <w:szCs w:val="22"/>
              </w:rPr>
              <w:t xml:space="preserve"> Person-</w:t>
            </w:r>
            <w:r w:rsidRPr="739E75F0" w:rsidR="4292AC25">
              <w:rPr>
                <w:rFonts w:ascii="Arial" w:hAnsi="Arial" w:eastAsia="Arial" w:cs="Arial"/>
                <w:sz w:val="22"/>
                <w:szCs w:val="22"/>
              </w:rPr>
              <w:t>Centred</w:t>
            </w:r>
            <w:r w:rsidRPr="739E75F0" w:rsidR="4292AC25">
              <w:rPr>
                <w:rFonts w:ascii="Arial" w:hAnsi="Arial" w:eastAsia="Arial" w:cs="Arial"/>
                <w:sz w:val="22"/>
                <w:szCs w:val="22"/>
              </w:rPr>
              <w:t xml:space="preserve"> Care</w:t>
            </w:r>
            <w:r>
              <w:br/>
            </w:r>
            <w:r w:rsidRPr="739E75F0" w:rsidR="4292AC25">
              <w:rPr>
                <w:rFonts w:ascii="Arial" w:hAnsi="Arial" w:eastAsia="Arial" w:cs="Arial"/>
                <w:sz w:val="22"/>
                <w:szCs w:val="22"/>
              </w:rPr>
              <w:t>Oliver Social Model of Disability</w:t>
            </w:r>
            <w:r w:rsidRPr="739E75F0" w:rsidR="2D20442C">
              <w:rPr>
                <w:rFonts w:ascii="Arial" w:hAnsi="Arial" w:eastAsia="Arial" w:cs="Arial"/>
                <w:sz w:val="22"/>
                <w:szCs w:val="22"/>
              </w:rPr>
              <w:t xml:space="preserve">                         </w:t>
            </w:r>
          </w:p>
        </w:tc>
        <w:tc>
          <w:tcPr>
            <w:tcW w:w="5073" w:type="dxa"/>
            <w:tcMar/>
          </w:tcPr>
          <w:p w:rsidP="739E75F0" w14:paraId="150E2A39" wp14:textId="60BBB9F5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739E75F0" w:rsidR="76ACD51D">
              <w:rPr>
                <w:rFonts w:ascii="Arial" w:hAnsi="Arial" w:eastAsia="Arial" w:cs="Arial"/>
                <w:b w:val="1"/>
                <w:bCs w:val="1"/>
                <w:color w:val="00B050"/>
                <w:sz w:val="22"/>
                <w:szCs w:val="22"/>
              </w:rPr>
              <w:t>EMPOWERMENT &amp; IND</w:t>
            </w:r>
            <w:r w:rsidRPr="739E75F0" w:rsidR="76ACD51D">
              <w:rPr>
                <w:rFonts w:ascii="Arial" w:hAnsi="Arial" w:eastAsia="Arial" w:cs="Arial"/>
                <w:b w:val="1"/>
                <w:bCs w:val="1"/>
                <w:color w:val="00B050"/>
                <w:sz w:val="22"/>
                <w:szCs w:val="22"/>
              </w:rPr>
              <w:t xml:space="preserve">EPENDENCE </w:t>
            </w:r>
            <w:r>
              <w:br/>
            </w:r>
            <w:r w:rsidRPr="739E75F0" w:rsidR="76ACD51D">
              <w:rPr>
                <w:rFonts w:ascii="Arial" w:hAnsi="Arial" w:eastAsia="Arial" w:cs="Arial"/>
                <w:b w:val="1"/>
                <w:bCs w:val="1"/>
                <w:color w:val="00B050"/>
                <w:sz w:val="22"/>
                <w:szCs w:val="22"/>
              </w:rPr>
              <w:t>PERSON-CENTRED CARE MODEL</w:t>
            </w:r>
            <w:r w:rsidRPr="739E75F0" w:rsidR="5074B190">
              <w:rPr>
                <w:rFonts w:ascii="Arial" w:hAnsi="Arial" w:eastAsia="Arial" w:cs="Arial"/>
                <w:b w:val="1"/>
                <w:bCs w:val="1"/>
                <w:color w:val="00B050"/>
                <w:sz w:val="22"/>
                <w:szCs w:val="22"/>
              </w:rPr>
              <w:t>:</w:t>
            </w:r>
            <w:r>
              <w:br/>
            </w:r>
            <w:r w:rsidRPr="739E75F0" w:rsidR="76ACD51D">
              <w:rPr>
                <w:rFonts w:ascii="Arial" w:hAnsi="Arial" w:eastAsia="Arial" w:cs="Arial"/>
                <w:sz w:val="22"/>
                <w:szCs w:val="22"/>
              </w:rPr>
              <w:t>Choice</w:t>
            </w:r>
            <w:r>
              <w:br/>
            </w:r>
            <w:r w:rsidRPr="739E75F0" w:rsidR="76ACD51D">
              <w:rPr>
                <w:rFonts w:ascii="Arial" w:hAnsi="Arial" w:eastAsia="Arial" w:cs="Arial"/>
                <w:sz w:val="22"/>
                <w:szCs w:val="22"/>
              </w:rPr>
              <w:t>↑</w:t>
            </w:r>
            <w:r>
              <w:br/>
            </w:r>
            <w:r w:rsidRPr="739E75F0" w:rsidR="76ACD51D">
              <w:rPr>
                <w:rFonts w:ascii="Arial" w:hAnsi="Arial" w:eastAsia="Arial" w:cs="Arial"/>
                <w:sz w:val="22"/>
                <w:szCs w:val="22"/>
              </w:rPr>
              <w:t>Person</w:t>
            </w:r>
            <w:r>
              <w:br/>
            </w:r>
            <w:r w:rsidRPr="739E75F0" w:rsidR="76ACD51D">
              <w:rPr>
                <w:rFonts w:ascii="Arial" w:hAnsi="Arial" w:eastAsia="Arial" w:cs="Arial"/>
                <w:sz w:val="22"/>
                <w:szCs w:val="22"/>
              </w:rPr>
              <w:t>↓</w:t>
            </w:r>
            <w:r>
              <w:br/>
            </w:r>
            <w:r w:rsidRPr="739E75F0" w:rsidR="76ACD51D">
              <w:rPr>
                <w:rFonts w:ascii="Arial" w:hAnsi="Arial" w:eastAsia="Arial" w:cs="Arial"/>
                <w:b w:val="1"/>
                <w:bCs w:val="1"/>
                <w:color w:val="00B050"/>
                <w:sz w:val="22"/>
                <w:szCs w:val="22"/>
              </w:rPr>
              <w:t>W</w:t>
            </w:r>
            <w:r w:rsidRPr="739E75F0" w:rsidR="41DEC46E">
              <w:rPr>
                <w:rFonts w:ascii="Arial" w:hAnsi="Arial" w:eastAsia="Arial" w:cs="Arial"/>
                <w:b w:val="1"/>
                <w:bCs w:val="1"/>
                <w:color w:val="00B050"/>
                <w:sz w:val="22"/>
                <w:szCs w:val="22"/>
              </w:rPr>
              <w:t>ELLBEING</w:t>
            </w:r>
            <w:r w:rsidRPr="739E75F0" w:rsidR="76ACD51D">
              <w:rPr>
                <w:rFonts w:ascii="Arial" w:hAnsi="Arial" w:eastAsia="Arial" w:cs="Arial"/>
                <w:b w:val="1"/>
                <w:bCs w:val="1"/>
                <w:color w:val="00B050"/>
                <w:sz w:val="22"/>
                <w:szCs w:val="22"/>
              </w:rPr>
              <w:t>:</w:t>
            </w:r>
            <w:r>
              <w:br/>
            </w:r>
            <w:r w:rsidRPr="739E75F0" w:rsidR="76ACD51D">
              <w:rPr>
                <w:rFonts w:ascii="Arial" w:hAnsi="Arial" w:eastAsia="Arial" w:cs="Arial"/>
                <w:sz w:val="22"/>
                <w:szCs w:val="22"/>
              </w:rPr>
              <w:t xml:space="preserve">Supported by dignity, </w:t>
            </w:r>
            <w:r w:rsidRPr="739E75F0" w:rsidR="1874BCBC">
              <w:rPr>
                <w:rFonts w:ascii="Arial" w:hAnsi="Arial" w:eastAsia="Arial" w:cs="Arial"/>
                <w:sz w:val="22"/>
                <w:szCs w:val="22"/>
              </w:rPr>
              <w:t>independence,</w:t>
            </w:r>
            <w:r w:rsidRPr="739E75F0" w:rsidR="76ACD51D">
              <w:rPr>
                <w:rFonts w:ascii="Arial" w:hAnsi="Arial" w:eastAsia="Arial" w:cs="Arial"/>
                <w:sz w:val="22"/>
                <w:szCs w:val="22"/>
              </w:rPr>
              <w:t xml:space="preserve"> and shared decision-making.</w:t>
            </w:r>
            <w:r>
              <w:br/>
            </w:r>
            <w:r>
              <w:br/>
            </w:r>
            <w:r w:rsidRPr="739E75F0" w:rsidR="35EFD2CF">
              <w:rPr>
                <w:rFonts w:ascii="Arial" w:hAnsi="Arial" w:eastAsia="Arial" w:cs="Arial"/>
                <w:b w:val="1"/>
                <w:bCs w:val="1"/>
                <w:color w:val="00B050"/>
                <w:sz w:val="22"/>
                <w:szCs w:val="22"/>
              </w:rPr>
              <w:t>MAINTAINING INDEPENDENCE</w:t>
            </w:r>
            <w:r w:rsidRPr="739E75F0" w:rsidR="76ACD51D">
              <w:rPr>
                <w:rFonts w:ascii="Arial" w:hAnsi="Arial" w:eastAsia="Arial" w:cs="Arial"/>
                <w:b w:val="1"/>
                <w:bCs w:val="1"/>
                <w:color w:val="00B050"/>
                <w:sz w:val="22"/>
                <w:szCs w:val="22"/>
              </w:rPr>
              <w:t>:</w:t>
            </w:r>
            <w:r>
              <w:br/>
            </w:r>
            <w:r w:rsidRPr="739E75F0" w:rsidR="76ACD51D">
              <w:rPr>
                <w:rFonts w:ascii="Arial" w:hAnsi="Arial" w:eastAsia="Arial" w:cs="Arial"/>
                <w:sz w:val="22"/>
                <w:szCs w:val="22"/>
              </w:rPr>
              <w:t>• Occupational therapy</w:t>
            </w:r>
            <w:r>
              <w:br/>
            </w:r>
            <w:r w:rsidRPr="739E75F0" w:rsidR="76ACD51D">
              <w:rPr>
                <w:rFonts w:ascii="Arial" w:hAnsi="Arial" w:eastAsia="Arial" w:cs="Arial"/>
                <w:sz w:val="22"/>
                <w:szCs w:val="22"/>
              </w:rPr>
              <w:t>• Home care</w:t>
            </w:r>
            <w:r>
              <w:br/>
            </w:r>
            <w:r w:rsidRPr="739E75F0" w:rsidR="76ACD51D">
              <w:rPr>
                <w:rFonts w:ascii="Arial" w:hAnsi="Arial" w:eastAsia="Arial" w:cs="Arial"/>
                <w:sz w:val="22"/>
                <w:szCs w:val="22"/>
              </w:rPr>
              <w:t>• Exercise programmes</w:t>
            </w:r>
            <w:r>
              <w:br/>
            </w:r>
            <w:r w:rsidRPr="739E75F0" w:rsidR="76ACD51D">
              <w:rPr>
                <w:rFonts w:ascii="Arial" w:hAnsi="Arial" w:eastAsia="Arial" w:cs="Arial"/>
                <w:sz w:val="22"/>
                <w:szCs w:val="22"/>
              </w:rPr>
              <w:t>• Community su</w:t>
            </w:r>
            <w:r w:rsidRPr="739E75F0" w:rsidR="76ACD51D">
              <w:rPr>
                <w:rFonts w:ascii="Arial" w:hAnsi="Arial" w:eastAsia="Arial" w:cs="Arial"/>
                <w:sz w:val="22"/>
                <w:szCs w:val="22"/>
              </w:rPr>
              <w:t>ppor</w:t>
            </w:r>
            <w:r w:rsidRPr="739E75F0" w:rsidR="76ACD51D">
              <w:rPr>
                <w:rFonts w:ascii="Arial" w:hAnsi="Arial" w:eastAsia="Arial" w:cs="Arial"/>
                <w:sz w:val="22"/>
                <w:szCs w:val="22"/>
              </w:rPr>
              <w:t>t</w:t>
            </w:r>
            <w:r>
              <w:br/>
            </w:r>
            <w:r w:rsidRPr="739E75F0" w:rsidR="76ACD51D">
              <w:rPr>
                <w:rFonts w:ascii="Arial" w:hAnsi="Arial" w:eastAsia="Arial" w:cs="Arial"/>
                <w:sz w:val="22"/>
                <w:szCs w:val="22"/>
              </w:rPr>
              <w:t>• Communication and continuity of care</w:t>
            </w:r>
            <w:r>
              <w:br/>
            </w:r>
            <w:r w:rsidRPr="739E75F0" w:rsidR="0AE0C2BB">
              <w:rPr>
                <w:rFonts w:ascii="Arial" w:hAnsi="Arial" w:eastAsia="Arial" w:cs="Arial"/>
                <w:sz w:val="22"/>
                <w:szCs w:val="22"/>
              </w:rPr>
              <w:t xml:space="preserve">  </w:t>
            </w:r>
            <w:r w:rsidR="655DED6E">
              <w:drawing>
                <wp:inline xmlns:wp14="http://schemas.microsoft.com/office/word/2010/wordprocessingDrawing" wp14:editId="6E640572" wp14:anchorId="43702DE4">
                  <wp:extent cx="602590" cy="406068"/>
                  <wp:effectExtent l="0" t="0" r="0" b="0"/>
                  <wp:docPr id="330413236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46947105" name="Picture 146947105"/>
                          <pic:cNvPicPr/>
                        </pic:nvPicPr>
                        <pic:blipFill>
                          <a:blip xmlns:r="http://schemas.openxmlformats.org/officeDocument/2006/relationships" r:embed="rId758022285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 l="10416" t="0" r="25462" b="0"/>
                          <a:stretch>
                            <a:fillRect/>
                          </a:stretch>
                        </pic:blipFill>
                        <pic:spPr>
                          <a:xfrm rot="0">
                            <a:off x="0" y="0"/>
                            <a:ext cx="602590" cy="40606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5A0BEDF8">
              <w:drawing>
                <wp:inline xmlns:wp14="http://schemas.microsoft.com/office/word/2010/wordprocessingDrawing" wp14:editId="2C1F2E09" wp14:anchorId="3FB1B0C2">
                  <wp:extent cx="419561" cy="425904"/>
                  <wp:effectExtent l="0" t="0" r="0" b="0"/>
                  <wp:docPr id="1057968530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057968530" name="Picture 1057968530"/>
                          <pic:cNvPicPr/>
                        </pic:nvPicPr>
                        <pic:blipFill>
                          <a:blip xmlns:r="http://schemas.openxmlformats.org/officeDocument/2006/relationships" r:embed="rId31624636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 l="12345" t="6172" r="10030" b="5015"/>
                          <a:stretch>
                            <a:fillRect/>
                          </a:stretch>
                        </pic:blipFill>
                        <pic:spPr>
                          <a:xfrm rot="0">
                            <a:off x="0" y="0"/>
                            <a:ext cx="419561" cy="42590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944" w:type="dxa"/>
            <w:tcMar/>
          </w:tcPr>
          <w:p w14:paraId="44516704" wp14:textId="132EA8F1">
            <w:r w:rsidRPr="33F3619D" w:rsidR="2AEF01C6">
              <w:rPr>
                <w:rFonts w:ascii="Arial" w:hAnsi="Arial" w:eastAsia="Arial" w:cs="Arial"/>
                <w:b w:val="1"/>
                <w:bCs w:val="1"/>
                <w:color w:val="E36C0A" w:themeColor="accent6" w:themeTint="FF" w:themeShade="BF"/>
                <w:sz w:val="22"/>
                <w:szCs w:val="22"/>
              </w:rPr>
              <w:t>LAW, CHALLENGES &amp; RECOMMENDATIONS</w:t>
            </w:r>
            <w:r>
              <w:br/>
            </w:r>
            <w:r w:rsidRPr="33F3619D" w:rsidR="2AEF01C6">
              <w:rPr>
                <w:rFonts w:ascii="Arial" w:hAnsi="Arial" w:eastAsia="Arial" w:cs="Arial"/>
                <w:b w:val="1"/>
                <w:bCs w:val="1"/>
                <w:color w:val="E36C0A" w:themeColor="accent6" w:themeTint="FF" w:themeShade="BF"/>
                <w:sz w:val="22"/>
                <w:szCs w:val="22"/>
              </w:rPr>
              <w:t>C</w:t>
            </w:r>
            <w:r w:rsidRPr="33F3619D" w:rsidR="3AB30D6A">
              <w:rPr>
                <w:rFonts w:ascii="Arial" w:hAnsi="Arial" w:eastAsia="Arial" w:cs="Arial"/>
                <w:b w:val="1"/>
                <w:bCs w:val="1"/>
                <w:color w:val="E36C0A" w:themeColor="accent6" w:themeTint="FF" w:themeShade="BF"/>
                <w:sz w:val="22"/>
                <w:szCs w:val="22"/>
              </w:rPr>
              <w:t xml:space="preserve">ARE ACT </w:t>
            </w:r>
            <w:r w:rsidRPr="33F3619D" w:rsidR="2AEF01C6">
              <w:rPr>
                <w:rFonts w:ascii="Arial" w:hAnsi="Arial" w:eastAsia="Arial" w:cs="Arial"/>
                <w:b w:val="1"/>
                <w:bCs w:val="1"/>
                <w:color w:val="E36C0A" w:themeColor="accent6" w:themeTint="FF" w:themeShade="BF"/>
                <w:sz w:val="22"/>
                <w:szCs w:val="22"/>
              </w:rPr>
              <w:t>2014</w:t>
            </w:r>
            <w:r w:rsidRPr="33F3619D" w:rsidR="45FD74A4">
              <w:rPr>
                <w:rFonts w:ascii="Arial" w:hAnsi="Arial" w:eastAsia="Arial" w:cs="Arial"/>
                <w:b w:val="1"/>
                <w:bCs w:val="1"/>
                <w:color w:val="E36C0A" w:themeColor="accent6" w:themeTint="FF" w:themeShade="BF"/>
                <w:sz w:val="22"/>
                <w:szCs w:val="22"/>
              </w:rPr>
              <w:t>:</w:t>
            </w:r>
            <w:r>
              <w:br/>
            </w:r>
            <w:r w:rsidRPr="33F3619D" w:rsidR="2AEF01C6">
              <w:rPr>
                <w:rFonts w:ascii="Arial" w:hAnsi="Arial" w:eastAsia="Arial" w:cs="Arial"/>
                <w:sz w:val="22"/>
                <w:szCs w:val="22"/>
              </w:rPr>
              <w:t>• Wellbeing Principle</w:t>
            </w:r>
            <w:r>
              <w:br/>
            </w:r>
            <w:r w:rsidRPr="33F3619D" w:rsidR="2AEF01C6">
              <w:rPr>
                <w:rFonts w:ascii="Arial" w:hAnsi="Arial" w:eastAsia="Arial" w:cs="Arial"/>
                <w:sz w:val="22"/>
                <w:szCs w:val="22"/>
              </w:rPr>
              <w:t>• Independence and dignity</w:t>
            </w:r>
          </w:p>
          <w:p w14:paraId="5CC4F0B3" wp14:textId="29D207B5">
            <w:r>
              <w:br/>
            </w:r>
            <w:r w:rsidRPr="33F3619D" w:rsidR="2AEF01C6">
              <w:rPr>
                <w:rFonts w:ascii="Arial" w:hAnsi="Arial" w:eastAsia="Arial" w:cs="Arial"/>
                <w:b w:val="1"/>
                <w:bCs w:val="1"/>
                <w:color w:val="E36C0A" w:themeColor="accent6" w:themeTint="FF" w:themeShade="BF"/>
                <w:sz w:val="22"/>
                <w:szCs w:val="22"/>
              </w:rPr>
              <w:t>E</w:t>
            </w:r>
            <w:r w:rsidRPr="33F3619D" w:rsidR="1C919615">
              <w:rPr>
                <w:rFonts w:ascii="Arial" w:hAnsi="Arial" w:eastAsia="Arial" w:cs="Arial"/>
                <w:b w:val="1"/>
                <w:bCs w:val="1"/>
                <w:color w:val="E36C0A" w:themeColor="accent6" w:themeTint="FF" w:themeShade="BF"/>
                <w:sz w:val="22"/>
                <w:szCs w:val="22"/>
              </w:rPr>
              <w:t>QUALITY ACT</w:t>
            </w:r>
            <w:r w:rsidRPr="33F3619D" w:rsidR="2AEF01C6">
              <w:rPr>
                <w:rFonts w:ascii="Arial" w:hAnsi="Arial" w:eastAsia="Arial" w:cs="Arial"/>
                <w:b w:val="1"/>
                <w:bCs w:val="1"/>
                <w:color w:val="E36C0A" w:themeColor="accent6" w:themeTint="FF" w:themeShade="BF"/>
                <w:sz w:val="22"/>
                <w:szCs w:val="22"/>
              </w:rPr>
              <w:t xml:space="preserve"> 2010</w:t>
            </w:r>
            <w:r w:rsidRPr="33F3619D" w:rsidR="528C84B3">
              <w:rPr>
                <w:rFonts w:ascii="Arial" w:hAnsi="Arial" w:eastAsia="Arial" w:cs="Arial"/>
                <w:b w:val="1"/>
                <w:bCs w:val="1"/>
                <w:color w:val="E36C0A" w:themeColor="accent6" w:themeTint="FF" w:themeShade="BF"/>
                <w:sz w:val="22"/>
                <w:szCs w:val="22"/>
              </w:rPr>
              <w:t>:</w:t>
            </w:r>
            <w:r>
              <w:br/>
            </w:r>
            <w:r w:rsidRPr="33F3619D" w:rsidR="2AEF01C6">
              <w:rPr>
                <w:rFonts w:ascii="Arial" w:hAnsi="Arial" w:eastAsia="Arial" w:cs="Arial"/>
                <w:sz w:val="22"/>
                <w:szCs w:val="22"/>
              </w:rPr>
              <w:t>• Protects against age discrimination</w:t>
            </w:r>
          </w:p>
          <w:p w14:paraId="2C36FEA7" wp14:textId="1A7AB1DB">
            <w:r w:rsidRPr="0FBECC8F" w:rsidR="0FBECC8F">
              <w:rPr>
                <w:rFonts w:ascii="Arial" w:hAnsi="Arial" w:eastAsia="Arial" w:cs="Arial"/>
                <w:b w:val="1"/>
                <w:bCs w:val="1"/>
                <w:color w:val="E36C0A" w:themeColor="accent6" w:themeTint="FF" w:themeShade="BF"/>
                <w:sz w:val="22"/>
                <w:szCs w:val="22"/>
              </w:rPr>
              <w:t>C</w:t>
            </w:r>
            <w:r w:rsidRPr="0FBECC8F" w:rsidR="131CF1E5">
              <w:rPr>
                <w:rFonts w:ascii="Arial" w:hAnsi="Arial" w:eastAsia="Arial" w:cs="Arial"/>
                <w:b w:val="1"/>
                <w:bCs w:val="1"/>
                <w:color w:val="E36C0A" w:themeColor="accent6" w:themeTint="FF" w:themeShade="BF"/>
                <w:sz w:val="22"/>
                <w:szCs w:val="22"/>
              </w:rPr>
              <w:t>HALENGES</w:t>
            </w:r>
            <w:r w:rsidRPr="0FBECC8F" w:rsidR="450F300B">
              <w:rPr>
                <w:rFonts w:ascii="Arial" w:hAnsi="Arial" w:eastAsia="Arial" w:cs="Arial"/>
                <w:b w:val="1"/>
                <w:bCs w:val="1"/>
                <w:color w:val="E36C0A" w:themeColor="accent6" w:themeTint="FF" w:themeShade="BF"/>
                <w:sz w:val="22"/>
                <w:szCs w:val="22"/>
              </w:rPr>
              <w:t>:</w:t>
            </w:r>
            <w:r>
              <w:br/>
            </w:r>
            <w:r w:rsidRPr="0FBECC8F" w:rsidR="0FBECC8F">
              <w:rPr>
                <w:rFonts w:ascii="Arial" w:hAnsi="Arial" w:eastAsia="Arial" w:cs="Arial"/>
                <w:sz w:val="22"/>
                <w:szCs w:val="22"/>
              </w:rPr>
              <w:t>• Workforce shortages</w:t>
            </w:r>
            <w:r>
              <w:br/>
            </w:r>
            <w:r w:rsidRPr="0FBECC8F" w:rsidR="0FBECC8F">
              <w:rPr>
                <w:rFonts w:ascii="Arial" w:hAnsi="Arial" w:eastAsia="Arial" w:cs="Arial"/>
                <w:sz w:val="22"/>
                <w:szCs w:val="22"/>
              </w:rPr>
              <w:t>• Waiting lists</w:t>
            </w:r>
            <w:r>
              <w:br/>
            </w:r>
            <w:r w:rsidRPr="0FBECC8F" w:rsidR="0FBECC8F">
              <w:rPr>
                <w:rFonts w:ascii="Arial" w:hAnsi="Arial" w:eastAsia="Arial" w:cs="Arial"/>
                <w:sz w:val="22"/>
                <w:szCs w:val="22"/>
              </w:rPr>
              <w:t>• Dementia and loneliness</w:t>
            </w:r>
            <w:r>
              <w:br/>
            </w:r>
            <w:r w:rsidRPr="0FBECC8F" w:rsidR="0FBECC8F">
              <w:rPr>
                <w:rFonts w:ascii="Arial" w:hAnsi="Arial" w:eastAsia="Arial" w:cs="Arial"/>
                <w:sz w:val="22"/>
                <w:szCs w:val="22"/>
              </w:rPr>
              <w:t>• Ageing population</w:t>
            </w:r>
          </w:p>
          <w:p w:rsidP="739E75F0" w14:paraId="745DD10B" wp14:textId="722F244A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739E75F0" w:rsidR="76ACD51D">
              <w:rPr>
                <w:rFonts w:ascii="Arial" w:hAnsi="Arial" w:eastAsia="Arial" w:cs="Arial"/>
                <w:b w:val="1"/>
                <w:bCs w:val="1"/>
                <w:color w:val="E36C0A" w:themeColor="accent6" w:themeTint="FF" w:themeShade="BF"/>
                <w:sz w:val="22"/>
                <w:szCs w:val="22"/>
              </w:rPr>
              <w:t>R</w:t>
            </w:r>
            <w:r w:rsidRPr="739E75F0" w:rsidR="2FD27B74">
              <w:rPr>
                <w:rFonts w:ascii="Arial" w:hAnsi="Arial" w:eastAsia="Arial" w:cs="Arial"/>
                <w:b w:val="1"/>
                <w:bCs w:val="1"/>
                <w:color w:val="E36C0A" w:themeColor="accent6" w:themeTint="FF" w:themeShade="BF"/>
                <w:sz w:val="22"/>
                <w:szCs w:val="22"/>
              </w:rPr>
              <w:t>ECOMMENDATIONS</w:t>
            </w:r>
            <w:r w:rsidRPr="739E75F0" w:rsidR="18ED6B0F">
              <w:rPr>
                <w:rFonts w:ascii="Arial" w:hAnsi="Arial" w:eastAsia="Arial" w:cs="Arial"/>
                <w:b w:val="1"/>
                <w:bCs w:val="1"/>
                <w:color w:val="E36C0A" w:themeColor="accent6" w:themeTint="FF" w:themeShade="BF"/>
                <w:sz w:val="22"/>
                <w:szCs w:val="22"/>
              </w:rPr>
              <w:t>:</w:t>
            </w:r>
            <w:r>
              <w:br/>
            </w:r>
            <w:r w:rsidRPr="739E75F0" w:rsidR="76ACD51D">
              <w:rPr>
                <w:rFonts w:ascii="Arial" w:hAnsi="Arial" w:eastAsia="Arial" w:cs="Arial"/>
                <w:sz w:val="22"/>
                <w:szCs w:val="22"/>
              </w:rPr>
              <w:t>• Rehabilitation</w:t>
            </w:r>
            <w:r>
              <w:br/>
            </w:r>
            <w:r w:rsidRPr="739E75F0" w:rsidR="76ACD51D">
              <w:rPr>
                <w:rFonts w:ascii="Arial" w:hAnsi="Arial" w:eastAsia="Arial" w:cs="Arial"/>
                <w:sz w:val="22"/>
                <w:szCs w:val="22"/>
              </w:rPr>
              <w:t>• Falls prevention</w:t>
            </w:r>
            <w:r>
              <w:br/>
            </w:r>
            <w:r w:rsidRPr="739E75F0" w:rsidR="76ACD51D">
              <w:rPr>
                <w:rFonts w:ascii="Arial" w:hAnsi="Arial" w:eastAsia="Arial" w:cs="Arial"/>
                <w:sz w:val="22"/>
                <w:szCs w:val="22"/>
              </w:rPr>
              <w:t>• Dementia support</w:t>
            </w:r>
            <w:r>
              <w:br/>
            </w:r>
            <w:r w:rsidRPr="739E75F0" w:rsidR="76ACD51D">
              <w:rPr>
                <w:rFonts w:ascii="Arial" w:hAnsi="Arial" w:eastAsia="Arial" w:cs="Arial"/>
                <w:sz w:val="22"/>
                <w:szCs w:val="22"/>
              </w:rPr>
              <w:t>• Digital inclusion</w:t>
            </w:r>
            <w:r>
              <w:br/>
            </w:r>
            <w:r w:rsidRPr="739E75F0" w:rsidR="76ACD51D">
              <w:rPr>
                <w:rFonts w:ascii="Arial" w:hAnsi="Arial" w:eastAsia="Arial" w:cs="Arial"/>
                <w:sz w:val="22"/>
                <w:szCs w:val="22"/>
              </w:rPr>
              <w:t>• Shared decision-making</w:t>
            </w:r>
          </w:p>
        </w:tc>
      </w:tr>
    </w:tbl>
    <w:p w:rsidR="0FBECC8F" w:rsidP="739E75F0" w:rsidRDefault="0FBECC8F" w14:paraId="70FE8731" w14:textId="500A2235">
      <w:pPr>
        <w:pStyle w:val="Normal"/>
        <w:spacing w:before="240" w:beforeAutospacing="off" w:after="240" w:afterAutospacing="off"/>
      </w:pPr>
      <w:r w:rsidRPr="118DC99B" w:rsidR="749FEB30">
        <w:rPr>
          <w:rFonts w:ascii="Arial" w:hAnsi="Arial" w:eastAsia="Arial" w:cs="Arial"/>
          <w:b w:val="1"/>
          <w:bCs w:val="1"/>
          <w:color w:val="0070C0"/>
          <w:sz w:val="22"/>
          <w:szCs w:val="22"/>
        </w:rPr>
        <w:t>CON</w:t>
      </w:r>
      <w:r w:rsidRPr="118DC99B" w:rsidR="749FEB30">
        <w:rPr>
          <w:rFonts w:ascii="Arial" w:hAnsi="Arial" w:eastAsia="Arial" w:cs="Arial"/>
          <w:b w:val="1"/>
          <w:bCs w:val="1"/>
          <w:color w:val="00B050"/>
          <w:sz w:val="22"/>
          <w:szCs w:val="22"/>
        </w:rPr>
        <w:t>CLUSI</w:t>
      </w:r>
      <w:r w:rsidRPr="118DC99B" w:rsidR="749FEB30">
        <w:rPr>
          <w:rFonts w:ascii="Arial" w:hAnsi="Arial" w:eastAsia="Arial" w:cs="Arial"/>
          <w:b w:val="1"/>
          <w:bCs w:val="1"/>
          <w:color w:val="E36C0A" w:themeColor="accent6" w:themeTint="FF" w:themeShade="BF"/>
          <w:sz w:val="22"/>
          <w:szCs w:val="22"/>
        </w:rPr>
        <w:t>ON</w:t>
      </w:r>
      <w:r>
        <w:br/>
      </w:r>
      <w:r w:rsidRPr="118DC99B" w:rsidR="749FEB30">
        <w:rPr>
          <w:rFonts w:ascii="Arial" w:hAnsi="Arial" w:eastAsia="Arial" w:cs="Arial"/>
          <w:sz w:val="22"/>
          <w:szCs w:val="22"/>
        </w:rPr>
        <w:t>Holistic person-</w:t>
      </w:r>
      <w:r w:rsidRPr="118DC99B" w:rsidR="749FEB30">
        <w:rPr>
          <w:rFonts w:ascii="Arial" w:hAnsi="Arial" w:eastAsia="Arial" w:cs="Arial"/>
          <w:sz w:val="22"/>
          <w:szCs w:val="22"/>
        </w:rPr>
        <w:t>centred</w:t>
      </w:r>
      <w:r w:rsidRPr="118DC99B" w:rsidR="749FEB30">
        <w:rPr>
          <w:rFonts w:ascii="Arial" w:hAnsi="Arial" w:eastAsia="Arial" w:cs="Arial"/>
          <w:sz w:val="22"/>
          <w:szCs w:val="22"/>
        </w:rPr>
        <w:t xml:space="preserve"> care improves independence, </w:t>
      </w:r>
      <w:r w:rsidRPr="118DC99B" w:rsidR="749FEB30">
        <w:rPr>
          <w:rFonts w:ascii="Arial" w:hAnsi="Arial" w:eastAsia="Arial" w:cs="Arial"/>
          <w:sz w:val="22"/>
          <w:szCs w:val="22"/>
        </w:rPr>
        <w:t>wellbeing</w:t>
      </w:r>
      <w:r w:rsidRPr="118DC99B" w:rsidR="749FEB30">
        <w:rPr>
          <w:rFonts w:ascii="Arial" w:hAnsi="Arial" w:eastAsia="Arial" w:cs="Arial"/>
          <w:sz w:val="22"/>
          <w:szCs w:val="22"/>
        </w:rPr>
        <w:t xml:space="preserve"> and quality of</w:t>
      </w:r>
      <w:r w:rsidRPr="118DC99B" w:rsidR="749FEB30">
        <w:rPr>
          <w:rFonts w:ascii="Arial" w:hAnsi="Arial" w:eastAsia="Arial" w:cs="Arial"/>
          <w:sz w:val="22"/>
          <w:szCs w:val="22"/>
        </w:rPr>
        <w:t xml:space="preserve"> life.</w:t>
      </w:r>
      <w:r w:rsidRPr="118DC99B" w:rsidR="1391FAE6">
        <w:rPr>
          <w:rFonts w:ascii="Arial" w:hAnsi="Arial" w:eastAsia="Arial" w:cs="Arial"/>
          <w:sz w:val="22"/>
          <w:szCs w:val="22"/>
        </w:rPr>
        <w:t xml:space="preserve"> </w:t>
      </w:r>
      <w:r w:rsidRPr="118DC99B" w:rsidR="4E4B20DA">
        <w:rPr>
          <w:rFonts w:ascii="Arial" w:hAnsi="Arial" w:eastAsia="Arial" w:cs="Arial"/>
          <w:sz w:val="22"/>
          <w:szCs w:val="22"/>
        </w:rPr>
        <w:t xml:space="preserve">Evidence-based interventions, </w:t>
      </w:r>
      <w:r w:rsidRPr="118DC99B" w:rsidR="4E4B20DA">
        <w:rPr>
          <w:rFonts w:ascii="Arial" w:hAnsi="Arial" w:eastAsia="Arial" w:cs="Arial"/>
          <w:sz w:val="22"/>
          <w:szCs w:val="22"/>
        </w:rPr>
        <w:t>rehabilitation</w:t>
      </w:r>
      <w:r w:rsidRPr="118DC99B" w:rsidR="4E4B20DA">
        <w:rPr>
          <w:rFonts w:ascii="Arial" w:hAnsi="Arial" w:eastAsia="Arial" w:cs="Arial"/>
          <w:sz w:val="22"/>
          <w:szCs w:val="22"/>
        </w:rPr>
        <w:t xml:space="preserve"> and community support help older adults remain independent for longer.</w:t>
      </w:r>
    </w:p>
    <w:p w:rsidR="7BA0CF4E" w:rsidP="118DC99B" w:rsidRDefault="7BA0CF4E" w14:paraId="6B5FD1B8" w14:textId="53485BFA">
      <w:p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118DC99B" w:rsidR="7BA0CF4E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US"/>
        </w:rPr>
        <w:t>REFERENCES</w:t>
      </w:r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</w:p>
    <w:p w:rsidR="7BA0CF4E" w:rsidP="118DC99B" w:rsidRDefault="7BA0CF4E" w14:paraId="0523F120" w14:textId="66E1C129">
      <w:pPr>
        <w:pStyle w:val="ListParagraph"/>
        <w:numPr>
          <w:ilvl w:val="0"/>
          <w:numId w:val="12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18DC99B" w:rsidR="7BA0CF4E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Age UK (2024)</w:t>
      </w:r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18DC99B" w:rsidR="7BA0CF4E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Later Life in the United Kingdom 2024</w:t>
      </w:r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r:id="R0ee6e2c15e9443dd">
        <w:r w:rsidRPr="118DC99B" w:rsidR="7BA0CF4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lang w:val="en-US"/>
          </w:rPr>
          <w:t>https://www.ageuk.org.uk/information-advice/work-learning/looking-for-work/later-life-in-the-united-kingdom/</w:t>
        </w:r>
      </w:hyperlink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 on: 15 July 2026). </w:t>
      </w:r>
    </w:p>
    <w:p w:rsidR="7BA0CF4E" w:rsidP="118DC99B" w:rsidRDefault="7BA0CF4E" w14:paraId="68F9A256" w14:textId="230A4D8C">
      <w:p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</w:p>
    <w:p w:rsidR="7BA0CF4E" w:rsidP="118DC99B" w:rsidRDefault="7BA0CF4E" w14:paraId="36F11B80" w14:textId="3966A006">
      <w:pPr>
        <w:pStyle w:val="ListParagraph"/>
        <w:numPr>
          <w:ilvl w:val="0"/>
          <w:numId w:val="13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118DC99B" w:rsidR="7BA0CF4E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US"/>
        </w:rPr>
        <w:t>British Geriatrics Society (2023)</w:t>
      </w:r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18DC99B" w:rsidR="7BA0CF4E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lang w:val="en-US"/>
        </w:rPr>
        <w:t>Introduction to Frailty</w:t>
      </w:r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. Available at: </w:t>
      </w:r>
      <w:hyperlink r:id="R351265639f0a4171">
        <w:r w:rsidRPr="118DC99B" w:rsidR="7BA0CF4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DCA10D"/>
            <w:sz w:val="22"/>
            <w:szCs w:val="22"/>
            <w:lang w:val="en-US"/>
          </w:rPr>
          <w:t>https://www.bgs.org.uk/resources/introduction-to-frailty</w:t>
        </w:r>
      </w:hyperlink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(Accessed on: 15 July 2026). </w:t>
      </w:r>
    </w:p>
    <w:p w:rsidR="7BA0CF4E" w:rsidP="118DC99B" w:rsidRDefault="7BA0CF4E" w14:paraId="7A052D81" w14:textId="2A92E2A3">
      <w:p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</w:p>
    <w:p w:rsidR="7BA0CF4E" w:rsidP="118DC99B" w:rsidRDefault="7BA0CF4E" w14:paraId="711C2AE5" w14:textId="2F9D23A7">
      <w:pPr>
        <w:pStyle w:val="ListParagraph"/>
        <w:numPr>
          <w:ilvl w:val="0"/>
          <w:numId w:val="14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118DC99B" w:rsidR="7BA0CF4E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US"/>
        </w:rPr>
        <w:t>Department of Health and Social Care (2024)</w:t>
      </w:r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18DC99B" w:rsidR="7BA0CF4E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lang w:val="en-US"/>
        </w:rPr>
        <w:t>Care and Support Statutory Guidance</w:t>
      </w:r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. Available at: </w:t>
      </w:r>
      <w:hyperlink r:id="R313e5aafb3374202">
        <w:r w:rsidRPr="118DC99B" w:rsidR="7BA0CF4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DCA10D"/>
            <w:sz w:val="22"/>
            <w:szCs w:val="22"/>
            <w:lang w:val="en-US"/>
          </w:rPr>
          <w:t>https://www.gov.uk/government/publications/care-act-statutory-guidance/care-and-support-statutory-guidance</w:t>
        </w:r>
      </w:hyperlink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(Accessed on: 15 July 2026). </w:t>
      </w:r>
    </w:p>
    <w:p w:rsidR="7BA0CF4E" w:rsidP="118DC99B" w:rsidRDefault="7BA0CF4E" w14:paraId="03ABDA2F" w14:textId="1FAC0E74">
      <w:p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</w:p>
    <w:p w:rsidR="7BA0CF4E" w:rsidP="118DC99B" w:rsidRDefault="7BA0CF4E" w14:paraId="5B367859" w14:textId="498DB96B">
      <w:pPr>
        <w:pStyle w:val="ListParagraph"/>
        <w:numPr>
          <w:ilvl w:val="0"/>
          <w:numId w:val="15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118DC99B" w:rsidR="7BA0CF4E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US"/>
        </w:rPr>
        <w:t>Equality Act 2010 (2010)</w:t>
      </w:r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18DC99B" w:rsidR="7BA0CF4E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lang w:val="en-US"/>
        </w:rPr>
        <w:t>Equality Act 2010</w:t>
      </w:r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. Available at: </w:t>
      </w:r>
      <w:hyperlink r:id="R2803ad7db6d84f62">
        <w:r w:rsidRPr="118DC99B" w:rsidR="7BA0CF4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DCA10D"/>
            <w:sz w:val="22"/>
            <w:szCs w:val="22"/>
            <w:lang w:val="en-US"/>
          </w:rPr>
          <w:t>https://www.legislation.gov.uk/ukpga/2010/15/contents</w:t>
        </w:r>
      </w:hyperlink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(Accessed on: 15 July 2026). </w:t>
      </w:r>
    </w:p>
    <w:p w:rsidR="7BA0CF4E" w:rsidP="118DC99B" w:rsidRDefault="7BA0CF4E" w14:paraId="5B7A7C0F" w14:textId="315425B7">
      <w:p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</w:p>
    <w:p w:rsidR="7BA0CF4E" w:rsidP="118DC99B" w:rsidRDefault="7BA0CF4E" w14:paraId="63E8613D" w14:textId="4EA475AB">
      <w:pPr>
        <w:pStyle w:val="ListParagraph"/>
        <w:numPr>
          <w:ilvl w:val="0"/>
          <w:numId w:val="16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118DC99B" w:rsidR="7BA0CF4E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US"/>
        </w:rPr>
        <w:t>GOV.UK (2026)</w:t>
      </w:r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18DC99B" w:rsidR="7BA0CF4E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lang w:val="en-US"/>
        </w:rPr>
        <w:t>Equality Act 2010: Guidance</w:t>
      </w:r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. Available at: </w:t>
      </w:r>
      <w:hyperlink r:id="R51838d129f2a4b1e">
        <w:r w:rsidRPr="118DC99B" w:rsidR="7BA0CF4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DCA10D"/>
            <w:sz w:val="22"/>
            <w:szCs w:val="22"/>
            <w:lang w:val="en-US"/>
          </w:rPr>
          <w:t>https://www.gov.uk/guidance/equality-act-2010-guidance</w:t>
        </w:r>
      </w:hyperlink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(Accessed on: 15 July 2026). </w:t>
      </w:r>
    </w:p>
    <w:p w:rsidR="7BA0CF4E" w:rsidP="118DC99B" w:rsidRDefault="7BA0CF4E" w14:paraId="46C5E36C" w14:textId="1278C898">
      <w:p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</w:p>
    <w:p w:rsidR="7BA0CF4E" w:rsidP="118DC99B" w:rsidRDefault="7BA0CF4E" w14:paraId="17F66433" w14:textId="1EE2411F">
      <w:pPr>
        <w:pStyle w:val="ListParagraph"/>
        <w:numPr>
          <w:ilvl w:val="0"/>
          <w:numId w:val="17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118DC99B" w:rsidR="7BA0CF4E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US"/>
        </w:rPr>
        <w:t>Kitwood, T. (1997)</w:t>
      </w:r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18DC99B" w:rsidR="7BA0CF4E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lang w:val="en-US"/>
        </w:rPr>
        <w:t>Dementia Reconsidered: The Person Comes First</w:t>
      </w:r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. Buckingham: Open University Press. Available at: </w:t>
      </w:r>
      <w:hyperlink r:id="Rc3f6b2c4f4df4aaa">
        <w:r w:rsidRPr="118DC99B" w:rsidR="7BA0CF4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DCA10D"/>
            <w:sz w:val="22"/>
            <w:szCs w:val="22"/>
            <w:lang w:val="en-US"/>
          </w:rPr>
          <w:t>https://books.google.com/books?id=AJ4iGwAACAAJ</w:t>
        </w:r>
      </w:hyperlink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(Accessed on: 15 July 2026). </w:t>
      </w:r>
    </w:p>
    <w:p w:rsidR="7BA0CF4E" w:rsidP="118DC99B" w:rsidRDefault="7BA0CF4E" w14:paraId="6386CAEE" w14:textId="3DDB4006">
      <w:p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</w:p>
    <w:p w:rsidR="7BA0CF4E" w:rsidP="118DC99B" w:rsidRDefault="7BA0CF4E" w14:paraId="0DC55397" w14:textId="42C97F37">
      <w:pPr>
        <w:pStyle w:val="ListParagraph"/>
        <w:numPr>
          <w:ilvl w:val="0"/>
          <w:numId w:val="18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118DC99B" w:rsidR="7BA0CF4E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US"/>
        </w:rPr>
        <w:t>National Institute for Health and Care Excellence (NICE) (2023)</w:t>
      </w:r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18DC99B" w:rsidR="7BA0CF4E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lang w:val="en-US"/>
        </w:rPr>
        <w:t>Falls: Assessment and Prevention in Older People and in People 50 and Over at Higher Risk (NG249)</w:t>
      </w:r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. Available at: </w:t>
      </w:r>
      <w:hyperlink r:id="R40d965287d9743e6">
        <w:r w:rsidRPr="118DC99B" w:rsidR="7BA0CF4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DCA10D"/>
            <w:sz w:val="22"/>
            <w:szCs w:val="22"/>
            <w:lang w:val="en-US"/>
          </w:rPr>
          <w:t>https://www.nice.org.uk/guidance/ng249</w:t>
        </w:r>
      </w:hyperlink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(Accessed on: 15 July 2026). </w:t>
      </w:r>
    </w:p>
    <w:p w:rsidR="7BA0CF4E" w:rsidP="118DC99B" w:rsidRDefault="7BA0CF4E" w14:paraId="0CFA7F2B" w14:textId="494F2A12">
      <w:p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</w:p>
    <w:p w:rsidR="7BA0CF4E" w:rsidP="118DC99B" w:rsidRDefault="7BA0CF4E" w14:paraId="0FCF617A" w14:textId="6A3B136E">
      <w:pPr>
        <w:pStyle w:val="ListParagraph"/>
        <w:numPr>
          <w:ilvl w:val="0"/>
          <w:numId w:val="19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118DC99B" w:rsidR="7BA0CF4E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US"/>
        </w:rPr>
        <w:t>NHS England (2023)</w:t>
      </w:r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18DC99B" w:rsidR="7BA0CF4E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lang w:val="en-US"/>
        </w:rPr>
        <w:t>NHS Long Term Workforce Plan</w:t>
      </w:r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. Available at: </w:t>
      </w:r>
      <w:hyperlink r:id="R223d4fc0c3394a73">
        <w:r w:rsidRPr="118DC99B" w:rsidR="7BA0CF4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DCA10D"/>
            <w:sz w:val="22"/>
            <w:szCs w:val="22"/>
            <w:lang w:val="en-US"/>
          </w:rPr>
          <w:t>https://www.england.nhs.uk/publication/nhs-long-term-workforce-plan/</w:t>
        </w:r>
      </w:hyperlink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(Accessed on: 15 July 2026). </w:t>
      </w:r>
    </w:p>
    <w:p w:rsidR="7BA0CF4E" w:rsidP="118DC99B" w:rsidRDefault="7BA0CF4E" w14:paraId="57267BF4" w14:textId="6C6274D9">
      <w:p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</w:p>
    <w:p w:rsidR="7BA0CF4E" w:rsidP="118DC99B" w:rsidRDefault="7BA0CF4E" w14:paraId="79CFD20E" w14:textId="3D19B3E5">
      <w:pPr>
        <w:pStyle w:val="ListParagraph"/>
        <w:numPr>
          <w:ilvl w:val="0"/>
          <w:numId w:val="20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118DC99B" w:rsidR="7BA0CF4E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US"/>
        </w:rPr>
        <w:t>Office for National Statistics (ONS) (2024)</w:t>
      </w:r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18DC99B" w:rsidR="7BA0CF4E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lang w:val="en-US"/>
        </w:rPr>
        <w:t>Changes in the older resident care home population between 2011 and 2021, England and Wales</w:t>
      </w:r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. Available at: </w:t>
      </w:r>
      <w:hyperlink r:id="Rd73d5b44837f483b">
        <w:r w:rsidRPr="118DC99B" w:rsidR="7BA0CF4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DCA10D"/>
            <w:sz w:val="22"/>
            <w:szCs w:val="22"/>
            <w:lang w:val="en-US"/>
          </w:rPr>
          <w:t>https://www.ons.gov.uk/peoplepopulationandcommunity/birthsdeathsandmarriages/ageing/articles/changesintheolderresidentcarehomepopulationbetween2011and2021englandandwales/2024-05-15</w:t>
        </w:r>
      </w:hyperlink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(Accessed on: 15 July 2026). </w:t>
      </w:r>
    </w:p>
    <w:p w:rsidR="7BA0CF4E" w:rsidP="118DC99B" w:rsidRDefault="7BA0CF4E" w14:paraId="1E5D1285" w14:textId="05A1600C">
      <w:p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</w:p>
    <w:p w:rsidR="7BA0CF4E" w:rsidP="118DC99B" w:rsidRDefault="7BA0CF4E" w14:paraId="53750535" w14:textId="5C7BF642">
      <w:pPr>
        <w:pStyle w:val="ListParagraph"/>
        <w:numPr>
          <w:ilvl w:val="0"/>
          <w:numId w:val="21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118DC99B" w:rsidR="7BA0CF4E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US"/>
        </w:rPr>
        <w:t>Office for National Statistics (ONS) (2024)</w:t>
      </w:r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18DC99B" w:rsidR="7BA0CF4E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lang w:val="en-US"/>
        </w:rPr>
        <w:t>Living Longer: Caring in Later Working Life</w:t>
      </w:r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. Available at: </w:t>
      </w:r>
      <w:hyperlink r:id="R60d0bc4943df4881">
        <w:r w:rsidRPr="118DC99B" w:rsidR="7BA0CF4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DCA10D"/>
            <w:sz w:val="22"/>
            <w:szCs w:val="22"/>
            <w:lang w:val="en-US"/>
          </w:rPr>
          <w:t>https://www.ons.gov.uk/peoplepopulationandcommunity/birthsdeathsandmarriages/ageing/articles/livinglongercaringinlaterworkinglife/2024</w:t>
        </w:r>
      </w:hyperlink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(Accessed on: 15 July 2026). </w:t>
      </w:r>
    </w:p>
    <w:p w:rsidR="7BA0CF4E" w:rsidP="118DC99B" w:rsidRDefault="7BA0CF4E" w14:paraId="474CC1C7" w14:textId="139C17F5">
      <w:pPr>
        <w:pStyle w:val="ListParagraph"/>
        <w:numPr>
          <w:ilvl w:val="0"/>
          <w:numId w:val="21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118DC99B" w:rsidR="7BA0CF4E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US"/>
        </w:rPr>
        <w:t>Oliver, M. (1990)</w:t>
      </w:r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. The</w:t>
      </w:r>
      <w:r w:rsidRPr="118DC99B" w:rsidR="7BA0CF4E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 Politics of Disablement</w:t>
      </w:r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. London: Macmillan Education. Available at: </w:t>
      </w:r>
      <w:hyperlink r:id="R52eb9f1f3c6c4501">
        <w:r w:rsidRPr="118DC99B" w:rsidR="7BA0CF4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DCA10D"/>
            <w:sz w:val="22"/>
            <w:szCs w:val="22"/>
            <w:lang w:val="en-US"/>
          </w:rPr>
          <w:t>https://disability-studies.leeds.ac.uk/wp-content/uploads/sites/40/library/Oliver-politics-of-disablement.pdf</w:t>
        </w:r>
      </w:hyperlink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(Accessed on: 15 July 2026). </w:t>
      </w:r>
    </w:p>
    <w:p w:rsidR="7BA0CF4E" w:rsidP="118DC99B" w:rsidRDefault="7BA0CF4E" w14:paraId="665FA42C" w14:textId="51FDE0D4">
      <w:p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</w:p>
    <w:p w:rsidR="7BA0CF4E" w:rsidP="118DC99B" w:rsidRDefault="7BA0CF4E" w14:paraId="552E9467" w14:textId="35D4DE54">
      <w:pPr>
        <w:pStyle w:val="ListParagraph"/>
        <w:numPr>
          <w:ilvl w:val="0"/>
          <w:numId w:val="22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118DC99B" w:rsidR="7BA0CF4E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US"/>
        </w:rPr>
        <w:t>Panza, F., Solfrizzi, V., Barulli, M.R., Bonfiglio, C., Guerra, V., Osella, A. and Logroscino, G. (2021)</w:t>
      </w:r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‘Physical activity, healthy ageing and frailty: A systematic review’, </w:t>
      </w:r>
      <w:r w:rsidRPr="118DC99B" w:rsidR="7BA0CF4E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lang w:val="en-US"/>
        </w:rPr>
        <w:t>International Journal of Environmental Research and Public Health</w:t>
      </w:r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, 18(22), p.11796. Available at: </w:t>
      </w:r>
      <w:hyperlink r:id="R1baed24e26cb4347">
        <w:r w:rsidRPr="118DC99B" w:rsidR="7BA0CF4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DCA10D"/>
            <w:sz w:val="22"/>
            <w:szCs w:val="22"/>
            <w:lang w:val="en-US"/>
          </w:rPr>
          <w:t>https://www.mdpi.com/1660-4601/18/22/11796</w:t>
        </w:r>
      </w:hyperlink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(Accessed on: 15 July 2026). </w:t>
      </w:r>
    </w:p>
    <w:p w:rsidR="7BA0CF4E" w:rsidP="118DC99B" w:rsidRDefault="7BA0CF4E" w14:paraId="502CCFFD" w14:textId="3ED49B4D">
      <w:p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</w:p>
    <w:p w:rsidR="7BA0CF4E" w:rsidP="118DC99B" w:rsidRDefault="7BA0CF4E" w14:paraId="2E433A28" w14:textId="5249AB64">
      <w:pPr>
        <w:pStyle w:val="ListParagraph"/>
        <w:numPr>
          <w:ilvl w:val="0"/>
          <w:numId w:val="23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118DC99B" w:rsidR="7BA0CF4E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US"/>
        </w:rPr>
        <w:t>World Health Organization (2020)</w:t>
      </w:r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18DC99B" w:rsidR="7BA0CF4E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lang w:val="en-US"/>
        </w:rPr>
        <w:t>Decade of Healthy Ageing: Baseline Report</w:t>
      </w:r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. Available at: </w:t>
      </w:r>
      <w:hyperlink r:id="R68cd2743a7a04bcd">
        <w:r w:rsidRPr="118DC99B" w:rsidR="7BA0CF4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DCA10D"/>
            <w:sz w:val="22"/>
            <w:szCs w:val="22"/>
            <w:lang w:val="en-US"/>
          </w:rPr>
          <w:t>https://www.who.int/publications/i/item/9789240017900</w:t>
        </w:r>
      </w:hyperlink>
      <w:r w:rsidRPr="118DC99B" w:rsidR="7BA0CF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(Accessed on: 15 July 2026). </w:t>
      </w:r>
    </w:p>
    <w:p w:rsidR="118DC99B" w:rsidP="118DC99B" w:rsidRDefault="118DC99B" w14:paraId="439E4812" w14:textId="6A09A40D">
      <w:pPr>
        <w:spacing w:before="0" w:beforeAutospacing="off" w:after="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18DC99B" w:rsidP="118DC99B" w:rsidRDefault="118DC99B" w14:paraId="213F2008" w14:textId="7CAA7E6A">
      <w:pPr>
        <w:spacing w:before="0" w:beforeAutospacing="off" w:after="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18DC99B" w:rsidP="118DC99B" w:rsidRDefault="118DC99B" w14:paraId="6BFF114E" w14:textId="2420C983">
      <w:pPr>
        <w:pStyle w:val="Normal"/>
        <w:spacing w:before="240" w:beforeAutospacing="off" w:after="240" w:afterAutospacing="off" w:line="360" w:lineRule="auto"/>
        <w:rPr>
          <w:rFonts w:ascii="Arial" w:hAnsi="Arial" w:eastAsia="Arial" w:cs="Arial"/>
          <w:sz w:val="22"/>
          <w:szCs w:val="22"/>
        </w:rPr>
      </w:pPr>
    </w:p>
    <w:sectPr w:rsidRPr="0006063C" w:rsidR="00FC693F" w:rsidSect="00034616">
      <w:pgSz w:w="15840" w:h="12240" w:orient="landscape"/>
      <w:pgMar w:top="1440" w:right="504" w:bottom="1440" w:left="504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xmlns:w="http://schemas.openxmlformats.org/wordprocessingml/2006/main" w:abstractNumId="22">
    <w:nsid w:val="72c4ee3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440b86b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336779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90e1a2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3ef43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24efc64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3215dd3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7de3b2c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4d5c7c2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3a52234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4ad591e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a51a92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5093245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158d85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</w:abstractNum>
  <w:abstractNum w:abstractNumId="5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</w:abstractNum>
  <w:abstractNum w:abstractNumId="6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</w:abstractNum>
  <w:abstractNum w:abstractNumId="7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num w:numId="23">
    <w:abstractNumId w:val="22"/>
  </w:num>
  <w:num w:numId="22">
    <w:abstractNumId w:val="21"/>
  </w:num>
  <w:num w:numId="21">
    <w:abstractNumId w:val="20"/>
  </w:num>
  <w:num w:numId="20">
    <w:abstractNumId w:val="19"/>
  </w:num>
  <w:num w:numId="19">
    <w:abstractNumId w:val="18"/>
  </w:num>
  <w:num w:numId="18">
    <w:abstractNumId w:val="17"/>
  </w:num>
  <w:num w:numId="17">
    <w:abstractNumId w:val="16"/>
  </w:num>
  <w:num w:numId="16">
    <w:abstractNumId w:val="15"/>
  </w:num>
  <w:num w:numId="15">
    <w:abstractNumId w:val="14"/>
  </w:num>
  <w:num w:numId="14">
    <w:abstractNumId w:val="13"/>
  </w:num>
  <w:num w:numId="13">
    <w:abstractNumId w:val="12"/>
  </w:num>
  <w:num w:numId="12">
    <w:abstractNumId w:val="11"/>
  </w:num>
  <w:num w:numId="11">
    <w:abstractNumId w:val="10"/>
  </w:num>
  <w:num w:numId="10">
    <w:abstractNumId w:val="9"/>
  </w: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15="http://schemas.microsoft.com/office/word/2012/wordml" mc:Ignorable="w14 wp14 w15">
  <w:zoom w:val="bestFit"/>
  <w:proofState w:spelling="clean" w:grammar="dirty"/>
  <w:trackRevisions w:val="false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54AA30"/>
    <w:rsid w:val="00AA1D8D"/>
    <w:rsid w:val="00B47730"/>
    <w:rsid w:val="00CB0664"/>
    <w:rsid w:val="00FC693F"/>
    <w:rsid w:val="0149434D"/>
    <w:rsid w:val="0149434D"/>
    <w:rsid w:val="02ABC168"/>
    <w:rsid w:val="0344A51A"/>
    <w:rsid w:val="0344A51A"/>
    <w:rsid w:val="0419C84B"/>
    <w:rsid w:val="04658026"/>
    <w:rsid w:val="046954BF"/>
    <w:rsid w:val="04B4F055"/>
    <w:rsid w:val="04B4F055"/>
    <w:rsid w:val="050EA09C"/>
    <w:rsid w:val="054A1C27"/>
    <w:rsid w:val="054A1C27"/>
    <w:rsid w:val="05CC1D6C"/>
    <w:rsid w:val="09CB8286"/>
    <w:rsid w:val="09E9351C"/>
    <w:rsid w:val="0AE0C2BB"/>
    <w:rsid w:val="0B57D103"/>
    <w:rsid w:val="0B57D103"/>
    <w:rsid w:val="0C9BD1FE"/>
    <w:rsid w:val="0CB701FB"/>
    <w:rsid w:val="0CCEC7CE"/>
    <w:rsid w:val="0D5C273E"/>
    <w:rsid w:val="0DE969D6"/>
    <w:rsid w:val="0E475A53"/>
    <w:rsid w:val="0E74D575"/>
    <w:rsid w:val="0F1624CE"/>
    <w:rsid w:val="0FBECC8F"/>
    <w:rsid w:val="0FC16D7D"/>
    <w:rsid w:val="101F1F9F"/>
    <w:rsid w:val="101F1F9F"/>
    <w:rsid w:val="1117F945"/>
    <w:rsid w:val="115AE81A"/>
    <w:rsid w:val="118DC99B"/>
    <w:rsid w:val="12602EC7"/>
    <w:rsid w:val="12605C35"/>
    <w:rsid w:val="131CF1E5"/>
    <w:rsid w:val="13795AA7"/>
    <w:rsid w:val="137F75CB"/>
    <w:rsid w:val="1391FAE6"/>
    <w:rsid w:val="13F64D13"/>
    <w:rsid w:val="13F64D13"/>
    <w:rsid w:val="13F8CE72"/>
    <w:rsid w:val="14A14E48"/>
    <w:rsid w:val="14F7B311"/>
    <w:rsid w:val="16B6E470"/>
    <w:rsid w:val="1874BCBC"/>
    <w:rsid w:val="18ED6B0F"/>
    <w:rsid w:val="1AD28EFA"/>
    <w:rsid w:val="1BEC486B"/>
    <w:rsid w:val="1BEC486B"/>
    <w:rsid w:val="1C919615"/>
    <w:rsid w:val="1E3F75CF"/>
    <w:rsid w:val="1E4F54F3"/>
    <w:rsid w:val="1E7B0235"/>
    <w:rsid w:val="1F8100F2"/>
    <w:rsid w:val="223F04ED"/>
    <w:rsid w:val="231A7EC1"/>
    <w:rsid w:val="231A7EC1"/>
    <w:rsid w:val="2358254A"/>
    <w:rsid w:val="23D03D68"/>
    <w:rsid w:val="23D03D68"/>
    <w:rsid w:val="248C3E23"/>
    <w:rsid w:val="248C3E23"/>
    <w:rsid w:val="281CDB93"/>
    <w:rsid w:val="28D79B47"/>
    <w:rsid w:val="28FEE323"/>
    <w:rsid w:val="2929B5BF"/>
    <w:rsid w:val="2A4C5F53"/>
    <w:rsid w:val="2A96BF2F"/>
    <w:rsid w:val="2AEF01C6"/>
    <w:rsid w:val="2B21ADC5"/>
    <w:rsid w:val="2BD05EE3"/>
    <w:rsid w:val="2D20442C"/>
    <w:rsid w:val="2DD1D3BE"/>
    <w:rsid w:val="2E4B3093"/>
    <w:rsid w:val="2F695CB8"/>
    <w:rsid w:val="2F8DF595"/>
    <w:rsid w:val="2FD27B74"/>
    <w:rsid w:val="30C9B8D6"/>
    <w:rsid w:val="3129711F"/>
    <w:rsid w:val="323A2479"/>
    <w:rsid w:val="323E1ABE"/>
    <w:rsid w:val="33F3619D"/>
    <w:rsid w:val="34207980"/>
    <w:rsid w:val="344F6D49"/>
    <w:rsid w:val="34B907FA"/>
    <w:rsid w:val="34E2C762"/>
    <w:rsid w:val="350752EE"/>
    <w:rsid w:val="35EFD2CF"/>
    <w:rsid w:val="36271B4A"/>
    <w:rsid w:val="366F7C04"/>
    <w:rsid w:val="36BBC366"/>
    <w:rsid w:val="36E531EA"/>
    <w:rsid w:val="36E531EA"/>
    <w:rsid w:val="384F0CA4"/>
    <w:rsid w:val="3990F791"/>
    <w:rsid w:val="3AB30D6A"/>
    <w:rsid w:val="3AFAE685"/>
    <w:rsid w:val="3B371FA1"/>
    <w:rsid w:val="3B78ABAA"/>
    <w:rsid w:val="3C9BE1AA"/>
    <w:rsid w:val="3CB54422"/>
    <w:rsid w:val="3CF91DE2"/>
    <w:rsid w:val="3E2C5025"/>
    <w:rsid w:val="3E487D37"/>
    <w:rsid w:val="3E5EFBC0"/>
    <w:rsid w:val="3EEDF1AB"/>
    <w:rsid w:val="3FD2A909"/>
    <w:rsid w:val="412C0DE4"/>
    <w:rsid w:val="41866541"/>
    <w:rsid w:val="41B89CC1"/>
    <w:rsid w:val="41DEC46E"/>
    <w:rsid w:val="426619A5"/>
    <w:rsid w:val="42872B8F"/>
    <w:rsid w:val="4292AC25"/>
    <w:rsid w:val="42E5A9C8"/>
    <w:rsid w:val="430BB47F"/>
    <w:rsid w:val="434DED7F"/>
    <w:rsid w:val="4372E41F"/>
    <w:rsid w:val="4499A1ED"/>
    <w:rsid w:val="4499A1ED"/>
    <w:rsid w:val="450F300B"/>
    <w:rsid w:val="453DED53"/>
    <w:rsid w:val="45FD74A4"/>
    <w:rsid w:val="47A82189"/>
    <w:rsid w:val="47AA5EF1"/>
    <w:rsid w:val="47D546D3"/>
    <w:rsid w:val="47D546D3"/>
    <w:rsid w:val="4992FF84"/>
    <w:rsid w:val="4A40BF66"/>
    <w:rsid w:val="4A5768F8"/>
    <w:rsid w:val="4BA473DD"/>
    <w:rsid w:val="4C7E480A"/>
    <w:rsid w:val="4CE23077"/>
    <w:rsid w:val="4D3AE107"/>
    <w:rsid w:val="4DA1644B"/>
    <w:rsid w:val="4E4B20DA"/>
    <w:rsid w:val="504617C1"/>
    <w:rsid w:val="5074B190"/>
    <w:rsid w:val="50BCA0BA"/>
    <w:rsid w:val="50D7757F"/>
    <w:rsid w:val="50F55522"/>
    <w:rsid w:val="513A8AA5"/>
    <w:rsid w:val="523260E8"/>
    <w:rsid w:val="528C84B3"/>
    <w:rsid w:val="5334638B"/>
    <w:rsid w:val="539D12DA"/>
    <w:rsid w:val="5557E0C0"/>
    <w:rsid w:val="55C27BB0"/>
    <w:rsid w:val="55DB23CE"/>
    <w:rsid w:val="55FFB51D"/>
    <w:rsid w:val="55FFB51D"/>
    <w:rsid w:val="56811B40"/>
    <w:rsid w:val="56D42495"/>
    <w:rsid w:val="56FD0338"/>
    <w:rsid w:val="57FEC5B1"/>
    <w:rsid w:val="582B1854"/>
    <w:rsid w:val="5861D80D"/>
    <w:rsid w:val="58EBFA15"/>
    <w:rsid w:val="5949810E"/>
    <w:rsid w:val="5A0BEDF8"/>
    <w:rsid w:val="5A52F814"/>
    <w:rsid w:val="5BEB6D8A"/>
    <w:rsid w:val="5C6D96B0"/>
    <w:rsid w:val="5D17FD3F"/>
    <w:rsid w:val="5F2E2ADD"/>
    <w:rsid w:val="5F841646"/>
    <w:rsid w:val="62072025"/>
    <w:rsid w:val="623788B6"/>
    <w:rsid w:val="63EBC3F8"/>
    <w:rsid w:val="6454CD64"/>
    <w:rsid w:val="655DED6E"/>
    <w:rsid w:val="6599396C"/>
    <w:rsid w:val="6684F647"/>
    <w:rsid w:val="668ECD62"/>
    <w:rsid w:val="66D9BBEA"/>
    <w:rsid w:val="66F0B2DA"/>
    <w:rsid w:val="6709644C"/>
    <w:rsid w:val="68D3176D"/>
    <w:rsid w:val="6946064B"/>
    <w:rsid w:val="695B5AC0"/>
    <w:rsid w:val="69BBA244"/>
    <w:rsid w:val="6AA6821C"/>
    <w:rsid w:val="6BF645D1"/>
    <w:rsid w:val="6C3668D1"/>
    <w:rsid w:val="6DB75C91"/>
    <w:rsid w:val="6F17CAEE"/>
    <w:rsid w:val="72F2375E"/>
    <w:rsid w:val="739E75F0"/>
    <w:rsid w:val="73EE466B"/>
    <w:rsid w:val="747C7892"/>
    <w:rsid w:val="749FEB30"/>
    <w:rsid w:val="74CB260D"/>
    <w:rsid w:val="75A35599"/>
    <w:rsid w:val="7642046C"/>
    <w:rsid w:val="7675D2EE"/>
    <w:rsid w:val="76ACD51D"/>
    <w:rsid w:val="774B94A6"/>
    <w:rsid w:val="77BD88E5"/>
    <w:rsid w:val="77CF87C0"/>
    <w:rsid w:val="781DD66C"/>
    <w:rsid w:val="7A07A8E1"/>
    <w:rsid w:val="7A85D51B"/>
    <w:rsid w:val="7A85D51B"/>
    <w:rsid w:val="7AE6A7AB"/>
    <w:rsid w:val="7B8599B9"/>
    <w:rsid w:val="7BA0CF4E"/>
    <w:rsid w:val="7BD2C2B9"/>
    <w:rsid w:val="7BF447DA"/>
    <w:rsid w:val="7C0E4C17"/>
    <w:rsid w:val="7C0E4C17"/>
    <w:rsid w:val="7DA0E757"/>
    <w:rsid w:val="7DA0E757"/>
    <w:rsid w:val="7F18BB2A"/>
    <w:rsid w:val="7F18BB2A"/>
    <w:rsid w:val="7F56EC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4062061"/>
  <w14:defaultImageDpi w14:val="300"/>
  <w15:docId w15:val="{83BF7A99-74DB-495E-90B1-83A4FF46E71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 wp14">
  <w:docDefaults>
    <w:rPrDefault>
      <w:rPr>
        <w:rFonts w:asciiTheme="minorHAnsi" w:hAnsiTheme="minorHAnsi" w:eastAsiaTheme="minorEastAsia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uiPriority="0" w:semiHidden="0" w:unhideWhenUsed="0" w:qFormat="1"/>
    <w:lsdException w:name="heading 1" w:uiPriority="9" w:semiHidden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uiPriority="10" w:semiHidden="0" w:unhideWhenUsed="0" w:qFormat="1"/>
    <w:lsdException w:name="Default Paragraph Font" w:uiPriority="1"/>
    <w:lsdException w:name="Subtitle" w:uiPriority="11" w:semiHidden="0" w:unhideWhenUsed="0" w:qFormat="1"/>
    <w:lsdException w:name="Strong" w:uiPriority="22" w:semiHidden="0" w:unhideWhenUsed="0" w:qFormat="1"/>
    <w:lsdException w:name="Emphasis" w:uiPriority="20" w:semiHidden="0" w:unhideWhenUsed="0" w:qFormat="1"/>
    <w:lsdException w:name="Table Grid" w:uiPriority="59" w:semiHidden="0" w:unhideWhenUsed="0"/>
    <w:lsdException w:name="Placeholder Text" w:unhideWhenUsed="0"/>
    <w:lsdException w:name="No Spacing" w:uiPriority="1" w:semiHidden="0" w:unhideWhenUsed="0" w:qFormat="1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Revision" w:unhideWhenUsed="0"/>
    <w:lsdException w:name="List Paragraph" w:uiPriority="34" w:semiHidden="0" w:unhideWhenUsed="0" w:qFormat="1"/>
    <w:lsdException w:name="Quote" w:uiPriority="29" w:semiHidden="0" w:unhideWhenUsed="0" w:qFormat="1"/>
    <w:lsdException w:name="Intense Quote" w:uiPriority="30" w:semiHidden="0" w:unhideWhenUsed="0" w:qFormat="1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  <w:lsdException w:name="Subtle Emphasis" w:uiPriority="19" w:semiHidden="0" w:unhideWhenUsed="0" w:qFormat="1"/>
    <w:lsdException w:name="Intense Emphasis" w:uiPriority="21" w:semiHidden="0" w:unhideWhenUsed="0" w:qFormat="1"/>
    <w:lsdException w:name="Subtle Reference" w:uiPriority="31" w:semiHidden="0" w:unhideWhenUsed="0" w:qFormat="1"/>
    <w:lsdException w:name="Intense Reference" w:uiPriority="32" w:semiHidden="0" w:unhideWhenUsed="0" w:qFormat="1"/>
    <w:lsdException w:name="Book Title" w:uiPriority="33" w:semiHidden="0" w:unhideWhenUsed="0" w:qFormat="1"/>
    <w:lsdException w:name="Bibliography" w:uiPriority="37"/>
    <w:lsdException w:name="TOC Heading" w:uiPriority="39" w:qFormat="1"/>
  </w:latentStyles>
  <w:style w:type="paragraph" w:styleId="Normal" w:default="1">
    <w:name w:val="Normal"/>
    <w:qFormat/>
    <w:rsid w:val="00FC693F"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618B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hAnsiTheme="majorHAnsi" w:eastAsiaTheme="majorEastAsia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hAnsiTheme="majorHAnsi" w:eastAsiaTheme="majorEastAsia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hAnsiTheme="majorHAnsi" w:eastAsiaTheme="majorEastAsia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hAnsiTheme="majorHAnsi" w:eastAsiaTheme="majorEastAsia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hAnsiTheme="majorHAnsi" w:eastAsiaTheme="majorEastAsia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hAnsiTheme="majorHAnsi" w:eastAsiaTheme="majorEastAsia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hAnsiTheme="majorHAnsi" w:eastAsiaTheme="majorEastAsia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hAnsiTheme="majorHAnsi" w:eastAsiaTheme="majorEastAsia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hAnsiTheme="majorHAnsi" w:eastAsiaTheme="majorEastAsia" w:cstheme="majorBidi"/>
      <w:i/>
      <w:iCs/>
      <w:color w:val="404040" w:themeColor="text1" w:themeTint="BF"/>
      <w:sz w:val="20"/>
      <w:szCs w:val="2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styleId="Heading1Char" w:customStyle="1">
    <w:name w:val="Heading 1 Char"/>
    <w:basedOn w:val="DefaultParagraphFont"/>
    <w:link w:val="Heading1"/>
    <w:uiPriority w:val="9"/>
    <w:rsid w:val="00FC693F"/>
    <w:rPr>
      <w:rFonts w:asciiTheme="majorHAnsi" w:hAnsiTheme="majorHAnsi" w:eastAsiaTheme="majorEastAsia" w:cstheme="majorBidi"/>
      <w:b/>
      <w:bCs/>
      <w:color w:val="365F91" w:themeColor="accent1" w:themeShade="BF"/>
      <w:sz w:val="28"/>
      <w:szCs w:val="28"/>
    </w:rPr>
  </w:style>
  <w:style w:type="character" w:styleId="Heading2Char" w:customStyle="1">
    <w:name w:val="Heading 2 Char"/>
    <w:basedOn w:val="DefaultParagraphFont"/>
    <w:link w:val="Heading2"/>
    <w:uiPriority w:val="9"/>
    <w:rsid w:val="00FC693F"/>
    <w:rPr>
      <w:rFonts w:asciiTheme="majorHAnsi" w:hAnsiTheme="majorHAnsi" w:eastAsiaTheme="majorEastAsia" w:cstheme="majorBidi"/>
      <w:b/>
      <w:bCs/>
      <w:color w:val="4F81BD" w:themeColor="accent1"/>
      <w:sz w:val="2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FC693F"/>
    <w:rPr>
      <w:rFonts w:asciiTheme="majorHAnsi" w:hAnsiTheme="majorHAnsi" w:eastAsiaTheme="majorEastAsia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color="4F81BD" w:themeColor="accent1" w:sz="8" w:space="4"/>
      </w:pBdr>
      <w:spacing w:after="300" w:line="240" w:lineRule="auto"/>
      <w:contextualSpacing/>
    </w:pPr>
    <w:rPr>
      <w:rFonts w:asciiTheme="majorHAnsi" w:hAnsiTheme="majorHAnsi" w:eastAsiaTheme="majorEastAsia" w:cstheme="majorBidi"/>
      <w:color w:val="17365D" w:themeColor="text2" w:themeShade="BF"/>
      <w:spacing w:val="5"/>
      <w:kern w:val="28"/>
      <w:sz w:val="52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FC693F"/>
    <w:rPr>
      <w:rFonts w:asciiTheme="majorHAnsi" w:hAnsiTheme="majorHAnsi" w:eastAsiaTheme="majorEastAsia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hAnsiTheme="majorHAnsi" w:eastAsiaTheme="majorEastAsia" w:cstheme="majorBidi"/>
      <w:i/>
      <w:iCs/>
      <w:color w:val="4F81BD" w:themeColor="accent1"/>
      <w:spacing w:val="15"/>
      <w:sz w:val="24"/>
      <w:szCs w:val="24"/>
    </w:rPr>
  </w:style>
  <w:style w:type="character" w:styleId="SubtitleChar" w:customStyle="1">
    <w:name w:val="Subtitle Char"/>
    <w:basedOn w:val="DefaultParagraphFont"/>
    <w:link w:val="Subtitle"/>
    <w:uiPriority w:val="11"/>
    <w:rsid w:val="00FC693F"/>
    <w:rPr>
      <w:rFonts w:asciiTheme="majorHAnsi" w:hAnsiTheme="majorHAnsi" w:eastAsiaTheme="majorEastAsia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styleId="BodyTextChar" w:customStyle="1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styleId="QuoteChar" w:customStyle="1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FC693F"/>
    <w:rPr>
      <w:rFonts w:asciiTheme="majorHAnsi" w:hAnsiTheme="majorHAnsi" w:eastAsiaTheme="majorEastAsia" w:cstheme="majorBidi"/>
      <w:b/>
      <w:bCs/>
      <w:i/>
      <w:iCs/>
      <w:color w:val="4F81BD" w:themeColor="accent1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FC693F"/>
    <w:rPr>
      <w:rFonts w:asciiTheme="majorHAnsi" w:hAnsiTheme="majorHAnsi" w:eastAsiaTheme="majorEastAsia" w:cstheme="majorBidi"/>
      <w:color w:val="243F60" w:themeColor="accent1" w:themeShade="7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FC693F"/>
    <w:rPr>
      <w:rFonts w:asciiTheme="majorHAnsi" w:hAnsiTheme="majorHAnsi" w:eastAsiaTheme="majorEastAsia" w:cstheme="majorBidi"/>
      <w:i/>
      <w:iCs/>
      <w:color w:val="243F60" w:themeColor="accent1" w:themeShade="7F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FC693F"/>
    <w:rPr>
      <w:rFonts w:asciiTheme="majorHAnsi" w:hAnsiTheme="majorHAnsi" w:eastAsiaTheme="majorEastAsia" w:cstheme="majorBidi"/>
      <w:i/>
      <w:iCs/>
      <w:color w:val="404040" w:themeColor="text1" w:themeTint="BF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FC693F"/>
    <w:rPr>
      <w:rFonts w:asciiTheme="majorHAnsi" w:hAnsiTheme="majorHAnsi" w:eastAsiaTheme="majorEastAsia" w:cstheme="majorBidi"/>
      <w:color w:val="4F81BD" w:themeColor="accent1"/>
      <w:sz w:val="20"/>
      <w:szCs w:val="20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FC693F"/>
    <w:rPr>
      <w:rFonts w:asciiTheme="majorHAnsi" w:hAnsiTheme="majorHAnsi" w:eastAsiaTheme="majorEastAsia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color="4F81BD" w:themeColor="accent1" w:sz="4" w:space="4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color="000000" w:themeColor="text1" w:sz="8" w:space="0"/>
        <w:bottom w:val="single" w:color="000000" w:themeColor="tex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color="4F81BD" w:themeColor="accent1" w:sz="8" w:space="0"/>
        <w:bottom w:val="single" w:color="4F81BD" w:themeColor="accen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F81BD" w:themeColor="accent1" w:sz="8" w:space="0"/>
          <w:left w:val="nil"/>
          <w:bottom w:val="single" w:color="4F81BD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F81BD" w:themeColor="accent1" w:sz="8" w:space="0"/>
          <w:left w:val="nil"/>
          <w:bottom w:val="single" w:color="4F81BD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color="C0504D" w:themeColor="accent2" w:sz="8" w:space="0"/>
        <w:bottom w:val="single" w:color="C0504D" w:themeColor="accent2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C0504D" w:themeColor="accent2" w:sz="8" w:space="0"/>
          <w:left w:val="nil"/>
          <w:bottom w:val="single" w:color="C0504D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C0504D" w:themeColor="accent2" w:sz="8" w:space="0"/>
          <w:left w:val="nil"/>
          <w:bottom w:val="single" w:color="C0504D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color="9BBB59" w:themeColor="accent3" w:sz="8" w:space="0"/>
        <w:bottom w:val="single" w:color="9BBB59" w:themeColor="accent3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9BBB59" w:themeColor="accent3" w:sz="8" w:space="0"/>
          <w:left w:val="nil"/>
          <w:bottom w:val="single" w:color="9BBB59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9BBB59" w:themeColor="accent3" w:sz="8" w:space="0"/>
          <w:left w:val="nil"/>
          <w:bottom w:val="single" w:color="9BBB59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color="8064A2" w:themeColor="accent4" w:sz="8" w:space="0"/>
        <w:bottom w:val="single" w:color="8064A2" w:themeColor="accent4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8064A2" w:themeColor="accent4" w:sz="8" w:space="0"/>
          <w:left w:val="nil"/>
          <w:bottom w:val="single" w:color="8064A2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8064A2" w:themeColor="accent4" w:sz="8" w:space="0"/>
          <w:left w:val="nil"/>
          <w:bottom w:val="single" w:color="8064A2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color="4BACC6" w:themeColor="accent5" w:sz="8" w:space="0"/>
        <w:bottom w:val="single" w:color="4BACC6" w:themeColor="accent5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BACC6" w:themeColor="accent5" w:sz="8" w:space="0"/>
          <w:left w:val="nil"/>
          <w:bottom w:val="single" w:color="4BACC6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BACC6" w:themeColor="accent5" w:sz="8" w:space="0"/>
          <w:left w:val="nil"/>
          <w:bottom w:val="single" w:color="4BACC6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color="F79646" w:themeColor="accent6" w:sz="8" w:space="0"/>
        <w:bottom w:val="single" w:color="F79646" w:themeColor="accent6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F79646" w:themeColor="accent6" w:sz="8" w:space="0"/>
          <w:left w:val="nil"/>
          <w:bottom w:val="single" w:color="F79646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F79646" w:themeColor="accent6" w:sz="8" w:space="0"/>
          <w:left w:val="nil"/>
          <w:bottom w:val="single" w:color="F79646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F81BD" w:themeColor="accent1" w:sz="6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band1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0504D" w:themeColor="accent2" w:sz="6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band1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BBB59" w:themeColor="accent3" w:sz="6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band1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064A2" w:themeColor="accent4" w:sz="6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band1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BACC6" w:themeColor="accent5" w:sz="6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band1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79646" w:themeColor="accent6" w:sz="6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band1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  <w:insideH w:val="single" w:color="4F81BD" w:themeColor="accent1" w:sz="8" w:space="0"/>
        <w:insideV w:val="single" w:color="4F81BD" w:themeColor="accen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18" w:space="0"/>
          <w:right w:val="single" w:color="4F81BD" w:themeColor="accent1" w:sz="8" w:space="0"/>
          <w:insideH w:val="nil"/>
          <w:insideV w:val="single" w:color="4F81BD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4F81BD" w:themeColor="accent1" w:sz="6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H w:val="nil"/>
          <w:insideV w:val="single" w:color="4F81BD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band1Vert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V w:val="single" w:color="4F81BD" w:themeColor="accent1" w:sz="8" w:space="0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V w:val="single" w:color="4F81BD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  <w:insideH w:val="single" w:color="C0504D" w:themeColor="accent2" w:sz="8" w:space="0"/>
        <w:insideV w:val="single" w:color="C0504D" w:themeColor="accent2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18" w:space="0"/>
          <w:right w:val="single" w:color="C0504D" w:themeColor="accent2" w:sz="8" w:space="0"/>
          <w:insideH w:val="nil"/>
          <w:insideV w:val="single" w:color="C0504D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C0504D" w:themeColor="accent2" w:sz="6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H w:val="nil"/>
          <w:insideV w:val="single" w:color="C0504D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band1Vert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V w:val="single" w:color="C0504D" w:themeColor="accent2" w:sz="8" w:space="0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V w:val="single" w:color="C0504D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  <w:insideH w:val="single" w:color="9BBB59" w:themeColor="accent3" w:sz="8" w:space="0"/>
        <w:insideV w:val="single" w:color="9BBB59" w:themeColor="accent3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18" w:space="0"/>
          <w:right w:val="single" w:color="9BBB59" w:themeColor="accent3" w:sz="8" w:space="0"/>
          <w:insideH w:val="nil"/>
          <w:insideV w:val="single" w:color="9BBB59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9BBB59" w:themeColor="accent3" w:sz="6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H w:val="nil"/>
          <w:insideV w:val="single" w:color="9BBB59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band1Vert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V w:val="single" w:color="9BBB59" w:themeColor="accent3" w:sz="8" w:space="0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V w:val="single" w:color="9BBB59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  <w:insideH w:val="single" w:color="8064A2" w:themeColor="accent4" w:sz="8" w:space="0"/>
        <w:insideV w:val="single" w:color="8064A2" w:themeColor="accent4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18" w:space="0"/>
          <w:right w:val="single" w:color="8064A2" w:themeColor="accent4" w:sz="8" w:space="0"/>
          <w:insideH w:val="nil"/>
          <w:insideV w:val="single" w:color="8064A2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8064A2" w:themeColor="accent4" w:sz="6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H w:val="nil"/>
          <w:insideV w:val="single" w:color="8064A2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band1Vert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V w:val="single" w:color="8064A2" w:themeColor="accent4" w:sz="8" w:space="0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V w:val="single" w:color="8064A2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  <w:insideH w:val="single" w:color="4BACC6" w:themeColor="accent5" w:sz="8" w:space="0"/>
        <w:insideV w:val="single" w:color="4BACC6" w:themeColor="accent5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18" w:space="0"/>
          <w:right w:val="single" w:color="4BACC6" w:themeColor="accent5" w:sz="8" w:space="0"/>
          <w:insideH w:val="nil"/>
          <w:insideV w:val="single" w:color="4BACC6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4BACC6" w:themeColor="accent5" w:sz="6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H w:val="nil"/>
          <w:insideV w:val="single" w:color="4BACC6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band1Vert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V w:val="single" w:color="4BACC6" w:themeColor="accent5" w:sz="8" w:space="0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V w:val="single" w:color="4BACC6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  <w:insideH w:val="single" w:color="F79646" w:themeColor="accent6" w:sz="8" w:space="0"/>
        <w:insideV w:val="single" w:color="F79646" w:themeColor="accent6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18" w:space="0"/>
          <w:right w:val="single" w:color="F79646" w:themeColor="accent6" w:sz="8" w:space="0"/>
          <w:insideH w:val="nil"/>
          <w:insideV w:val="single" w:color="F79646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F79646" w:themeColor="accent6" w:sz="6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H w:val="nil"/>
          <w:insideV w:val="single" w:color="F79646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band1Vert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V w:val="single" w:color="F79646" w:themeColor="accent6" w:sz="8" w:space="0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V w:val="single" w:color="F79646" w:themeColor="accent6" w:sz="8" w:space="0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7BA0CD" w:themeColor="accent1" w:themeTint="BF" w:sz="8" w:space="0"/>
        <w:left w:val="single" w:color="7BA0CD" w:themeColor="accent1" w:themeTint="BF" w:sz="8" w:space="0"/>
        <w:bottom w:val="single" w:color="7BA0CD" w:themeColor="accent1" w:themeTint="BF" w:sz="8" w:space="0"/>
        <w:right w:val="single" w:color="7BA0CD" w:themeColor="accent1" w:themeTint="BF" w:sz="8" w:space="0"/>
        <w:insideH w:val="single" w:color="7BA0CD" w:themeColor="accent1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7BA0CD" w:themeColor="accent1" w:themeTint="BF" w:sz="8" w:space="0"/>
          <w:left w:val="single" w:color="7BA0CD" w:themeColor="accent1" w:themeTint="BF" w:sz="8" w:space="0"/>
          <w:bottom w:val="single" w:color="7BA0CD" w:themeColor="accent1" w:themeTint="BF" w:sz="8" w:space="0"/>
          <w:right w:val="single" w:color="7BA0CD" w:themeColor="accent1" w:themeTint="BF" w:sz="8" w:space="0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BA0CD" w:themeColor="accent1" w:themeTint="BF" w:sz="6" w:space="0"/>
          <w:left w:val="single" w:color="7BA0CD" w:themeColor="accent1" w:themeTint="BF" w:sz="8" w:space="0"/>
          <w:bottom w:val="single" w:color="7BA0CD" w:themeColor="accent1" w:themeTint="BF" w:sz="8" w:space="0"/>
          <w:right w:val="single" w:color="7BA0CD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CF7B79" w:themeColor="accent2" w:themeTint="BF" w:sz="8" w:space="0"/>
        <w:left w:val="single" w:color="CF7B79" w:themeColor="accent2" w:themeTint="BF" w:sz="8" w:space="0"/>
        <w:bottom w:val="single" w:color="CF7B79" w:themeColor="accent2" w:themeTint="BF" w:sz="8" w:space="0"/>
        <w:right w:val="single" w:color="CF7B79" w:themeColor="accent2" w:themeTint="BF" w:sz="8" w:space="0"/>
        <w:insideH w:val="single" w:color="CF7B79" w:themeColor="accent2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CF7B79" w:themeColor="accent2" w:themeTint="BF" w:sz="8" w:space="0"/>
          <w:left w:val="single" w:color="CF7B79" w:themeColor="accent2" w:themeTint="BF" w:sz="8" w:space="0"/>
          <w:bottom w:val="single" w:color="CF7B79" w:themeColor="accent2" w:themeTint="BF" w:sz="8" w:space="0"/>
          <w:right w:val="single" w:color="CF7B79" w:themeColor="accent2" w:themeTint="BF" w:sz="8" w:space="0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F7B79" w:themeColor="accent2" w:themeTint="BF" w:sz="6" w:space="0"/>
          <w:left w:val="single" w:color="CF7B79" w:themeColor="accent2" w:themeTint="BF" w:sz="8" w:space="0"/>
          <w:bottom w:val="single" w:color="CF7B79" w:themeColor="accent2" w:themeTint="BF" w:sz="8" w:space="0"/>
          <w:right w:val="single" w:color="CF7B79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B3CC82" w:themeColor="accent3" w:themeTint="BF" w:sz="8" w:space="0"/>
        <w:left w:val="single" w:color="B3CC82" w:themeColor="accent3" w:themeTint="BF" w:sz="8" w:space="0"/>
        <w:bottom w:val="single" w:color="B3CC82" w:themeColor="accent3" w:themeTint="BF" w:sz="8" w:space="0"/>
        <w:right w:val="single" w:color="B3CC82" w:themeColor="accent3" w:themeTint="BF" w:sz="8" w:space="0"/>
        <w:insideH w:val="single" w:color="B3CC82" w:themeColor="accent3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B3CC82" w:themeColor="accent3" w:themeTint="BF" w:sz="8" w:space="0"/>
          <w:left w:val="single" w:color="B3CC82" w:themeColor="accent3" w:themeTint="BF" w:sz="8" w:space="0"/>
          <w:bottom w:val="single" w:color="B3CC82" w:themeColor="accent3" w:themeTint="BF" w:sz="8" w:space="0"/>
          <w:right w:val="single" w:color="B3CC82" w:themeColor="accent3" w:themeTint="BF" w:sz="8" w:space="0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3CC82" w:themeColor="accent3" w:themeTint="BF" w:sz="6" w:space="0"/>
          <w:left w:val="single" w:color="B3CC82" w:themeColor="accent3" w:themeTint="BF" w:sz="8" w:space="0"/>
          <w:bottom w:val="single" w:color="B3CC82" w:themeColor="accent3" w:themeTint="BF" w:sz="8" w:space="0"/>
          <w:right w:val="single" w:color="B3CC82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9F8AB9" w:themeColor="accent4" w:themeTint="BF" w:sz="8" w:space="0"/>
        <w:left w:val="single" w:color="9F8AB9" w:themeColor="accent4" w:themeTint="BF" w:sz="8" w:space="0"/>
        <w:bottom w:val="single" w:color="9F8AB9" w:themeColor="accent4" w:themeTint="BF" w:sz="8" w:space="0"/>
        <w:right w:val="single" w:color="9F8AB9" w:themeColor="accent4" w:themeTint="BF" w:sz="8" w:space="0"/>
        <w:insideH w:val="single" w:color="9F8AB9" w:themeColor="accent4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9F8AB9" w:themeColor="accent4" w:themeTint="BF" w:sz="8" w:space="0"/>
          <w:left w:val="single" w:color="9F8AB9" w:themeColor="accent4" w:themeTint="BF" w:sz="8" w:space="0"/>
          <w:bottom w:val="single" w:color="9F8AB9" w:themeColor="accent4" w:themeTint="BF" w:sz="8" w:space="0"/>
          <w:right w:val="single" w:color="9F8AB9" w:themeColor="accent4" w:themeTint="BF" w:sz="8" w:space="0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F8AB9" w:themeColor="accent4" w:themeTint="BF" w:sz="6" w:space="0"/>
          <w:left w:val="single" w:color="9F8AB9" w:themeColor="accent4" w:themeTint="BF" w:sz="8" w:space="0"/>
          <w:bottom w:val="single" w:color="9F8AB9" w:themeColor="accent4" w:themeTint="BF" w:sz="8" w:space="0"/>
          <w:right w:val="single" w:color="9F8AB9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78C0D4" w:themeColor="accent5" w:themeTint="BF" w:sz="8" w:space="0"/>
        <w:left w:val="single" w:color="78C0D4" w:themeColor="accent5" w:themeTint="BF" w:sz="8" w:space="0"/>
        <w:bottom w:val="single" w:color="78C0D4" w:themeColor="accent5" w:themeTint="BF" w:sz="8" w:space="0"/>
        <w:right w:val="single" w:color="78C0D4" w:themeColor="accent5" w:themeTint="BF" w:sz="8" w:space="0"/>
        <w:insideH w:val="single" w:color="78C0D4" w:themeColor="accent5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78C0D4" w:themeColor="accent5" w:themeTint="BF" w:sz="8" w:space="0"/>
          <w:left w:val="single" w:color="78C0D4" w:themeColor="accent5" w:themeTint="BF" w:sz="8" w:space="0"/>
          <w:bottom w:val="single" w:color="78C0D4" w:themeColor="accent5" w:themeTint="BF" w:sz="8" w:space="0"/>
          <w:right w:val="single" w:color="78C0D4" w:themeColor="accent5" w:themeTint="BF" w:sz="8" w:space="0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8C0D4" w:themeColor="accent5" w:themeTint="BF" w:sz="6" w:space="0"/>
          <w:left w:val="single" w:color="78C0D4" w:themeColor="accent5" w:themeTint="BF" w:sz="8" w:space="0"/>
          <w:bottom w:val="single" w:color="78C0D4" w:themeColor="accent5" w:themeTint="BF" w:sz="8" w:space="0"/>
          <w:right w:val="single" w:color="78C0D4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F9B074" w:themeColor="accent6" w:themeTint="BF" w:sz="8" w:space="0"/>
        <w:left w:val="single" w:color="F9B074" w:themeColor="accent6" w:themeTint="BF" w:sz="8" w:space="0"/>
        <w:bottom w:val="single" w:color="F9B074" w:themeColor="accent6" w:themeTint="BF" w:sz="8" w:space="0"/>
        <w:right w:val="single" w:color="F9B074" w:themeColor="accent6" w:themeTint="BF" w:sz="8" w:space="0"/>
        <w:insideH w:val="single" w:color="F9B074" w:themeColor="accent6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F9B074" w:themeColor="accent6" w:themeTint="BF" w:sz="8" w:space="0"/>
          <w:left w:val="single" w:color="F9B074" w:themeColor="accent6" w:themeTint="BF" w:sz="8" w:space="0"/>
          <w:bottom w:val="single" w:color="F9B074" w:themeColor="accent6" w:themeTint="BF" w:sz="8" w:space="0"/>
          <w:right w:val="single" w:color="F9B074" w:themeColor="accent6" w:themeTint="BF" w:sz="8" w:space="0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9B074" w:themeColor="accent6" w:themeTint="BF" w:sz="6" w:space="0"/>
          <w:left w:val="single" w:color="F9B074" w:themeColor="accent6" w:themeTint="BF" w:sz="8" w:space="0"/>
          <w:bottom w:val="single" w:color="F9B074" w:themeColor="accent6" w:themeTint="BF" w:sz="8" w:space="0"/>
          <w:right w:val="single" w:color="F9B074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auto" w:sz="18" w:space="0"/>
        <w:bottom w:val="single" w:color="auto" w:sz="1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auto" w:sz="18" w:space="0"/>
        <w:bottom w:val="single" w:color="auto" w:sz="1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auto" w:sz="18" w:space="0"/>
        <w:bottom w:val="single" w:color="auto" w:sz="1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auto" w:sz="18" w:space="0"/>
        <w:bottom w:val="single" w:color="auto" w:sz="1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auto" w:sz="18" w:space="0"/>
        <w:bottom w:val="single" w:color="auto" w:sz="1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auto" w:sz="18" w:space="0"/>
        <w:bottom w:val="single" w:color="auto" w:sz="1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auto" w:sz="18" w:space="0"/>
        <w:bottom w:val="single" w:color="auto" w:sz="1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000000" w:themeColor="text1" w:sz="8" w:space="0"/>
        <w:bottom w:val="single" w:color="000000" w:themeColor="tex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4F81BD" w:themeColor="accent1" w:sz="8" w:space="0"/>
        <w:bottom w:val="single" w:color="4F81BD" w:themeColor="accen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4F81BD" w:themeColor="accent1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4F81BD" w:themeColor="accent1" w:sz="8" w:space="0"/>
          <w:bottom w:val="single" w:color="4F81BD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4F81BD" w:themeColor="accent1" w:sz="8" w:space="0"/>
          <w:bottom w:val="single" w:color="4F81BD" w:themeColor="accent1" w:sz="8" w:space="0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C0504D" w:themeColor="accent2" w:sz="8" w:space="0"/>
        <w:bottom w:val="single" w:color="C0504D" w:themeColor="accent2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C0504D" w:themeColor="accent2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C0504D" w:themeColor="accent2" w:sz="8" w:space="0"/>
          <w:bottom w:val="single" w:color="C0504D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C0504D" w:themeColor="accent2" w:sz="8" w:space="0"/>
          <w:bottom w:val="single" w:color="C0504D" w:themeColor="accent2" w:sz="8" w:space="0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9BBB59" w:themeColor="accent3" w:sz="8" w:space="0"/>
        <w:bottom w:val="single" w:color="9BBB59" w:themeColor="accent3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9BBB59" w:themeColor="accent3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9BBB59" w:themeColor="accent3" w:sz="8" w:space="0"/>
          <w:bottom w:val="single" w:color="9BBB59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9BBB59" w:themeColor="accent3" w:sz="8" w:space="0"/>
          <w:bottom w:val="single" w:color="9BBB59" w:themeColor="accent3" w:sz="8" w:space="0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8064A2" w:themeColor="accent4" w:sz="8" w:space="0"/>
        <w:bottom w:val="single" w:color="8064A2" w:themeColor="accent4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8064A2" w:themeColor="accent4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8064A2" w:themeColor="accent4" w:sz="8" w:space="0"/>
          <w:bottom w:val="single" w:color="8064A2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8064A2" w:themeColor="accent4" w:sz="8" w:space="0"/>
          <w:bottom w:val="single" w:color="8064A2" w:themeColor="accent4" w:sz="8" w:space="0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4BACC6" w:themeColor="accent5" w:sz="8" w:space="0"/>
        <w:bottom w:val="single" w:color="4BACC6" w:themeColor="accent5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4BACC6" w:themeColor="accent5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4BACC6" w:themeColor="accent5" w:sz="8" w:space="0"/>
          <w:bottom w:val="single" w:color="4BACC6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4BACC6" w:themeColor="accent5" w:sz="8" w:space="0"/>
          <w:bottom w:val="single" w:color="4BACC6" w:themeColor="accent5" w:sz="8" w:space="0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F79646" w:themeColor="accent6" w:sz="8" w:space="0"/>
        <w:bottom w:val="single" w:color="F79646" w:themeColor="accent6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F79646" w:themeColor="accent6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F79646" w:themeColor="accent6" w:sz="8" w:space="0"/>
          <w:bottom w:val="single" w:color="F79646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F79646" w:themeColor="accent6" w:sz="8" w:space="0"/>
          <w:bottom w:val="single" w:color="F79646" w:themeColor="accent6" w:sz="8" w:space="0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000000" w:themeColor="text1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4F81BD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4F81BD" w:themeColor="accent1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4F81BD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4F81BD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C0504D" w:themeColor="accent2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C0504D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C0504D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9BBB59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9BBB59" w:themeColor="accent3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9BBB59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9BBB59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8064A2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8064A2" w:themeColor="accent4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8064A2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8064A2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4BACC6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4BACC6" w:themeColor="accent5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4BACC6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4BACC6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F79646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F79646" w:themeColor="accent6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F79646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F79646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7BA0CD" w:themeColor="accent1" w:themeTint="BF" w:sz="8" w:space="0"/>
        <w:left w:val="single" w:color="7BA0CD" w:themeColor="accent1" w:themeTint="BF" w:sz="8" w:space="0"/>
        <w:bottom w:val="single" w:color="7BA0CD" w:themeColor="accent1" w:themeTint="BF" w:sz="8" w:space="0"/>
        <w:right w:val="single" w:color="7BA0CD" w:themeColor="accent1" w:themeTint="BF" w:sz="8" w:space="0"/>
        <w:insideH w:val="single" w:color="7BA0CD" w:themeColor="accent1" w:themeTint="BF" w:sz="8" w:space="0"/>
        <w:insideV w:val="single" w:color="7BA0CD" w:themeColor="accent1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7BA0CD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CF7B79" w:themeColor="accent2" w:themeTint="BF" w:sz="8" w:space="0"/>
        <w:left w:val="single" w:color="CF7B79" w:themeColor="accent2" w:themeTint="BF" w:sz="8" w:space="0"/>
        <w:bottom w:val="single" w:color="CF7B79" w:themeColor="accent2" w:themeTint="BF" w:sz="8" w:space="0"/>
        <w:right w:val="single" w:color="CF7B79" w:themeColor="accent2" w:themeTint="BF" w:sz="8" w:space="0"/>
        <w:insideH w:val="single" w:color="CF7B79" w:themeColor="accent2" w:themeTint="BF" w:sz="8" w:space="0"/>
        <w:insideV w:val="single" w:color="CF7B79" w:themeColor="accent2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CF7B79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B3CC82" w:themeColor="accent3" w:themeTint="BF" w:sz="8" w:space="0"/>
        <w:left w:val="single" w:color="B3CC82" w:themeColor="accent3" w:themeTint="BF" w:sz="8" w:space="0"/>
        <w:bottom w:val="single" w:color="B3CC82" w:themeColor="accent3" w:themeTint="BF" w:sz="8" w:space="0"/>
        <w:right w:val="single" w:color="B3CC82" w:themeColor="accent3" w:themeTint="BF" w:sz="8" w:space="0"/>
        <w:insideH w:val="single" w:color="B3CC82" w:themeColor="accent3" w:themeTint="BF" w:sz="8" w:space="0"/>
        <w:insideV w:val="single" w:color="B3CC82" w:themeColor="accent3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3CC82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9F8AB9" w:themeColor="accent4" w:themeTint="BF" w:sz="8" w:space="0"/>
        <w:left w:val="single" w:color="9F8AB9" w:themeColor="accent4" w:themeTint="BF" w:sz="8" w:space="0"/>
        <w:bottom w:val="single" w:color="9F8AB9" w:themeColor="accent4" w:themeTint="BF" w:sz="8" w:space="0"/>
        <w:right w:val="single" w:color="9F8AB9" w:themeColor="accent4" w:themeTint="BF" w:sz="8" w:space="0"/>
        <w:insideH w:val="single" w:color="9F8AB9" w:themeColor="accent4" w:themeTint="BF" w:sz="8" w:space="0"/>
        <w:insideV w:val="single" w:color="9F8AB9" w:themeColor="accent4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9F8AB9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78C0D4" w:themeColor="accent5" w:themeTint="BF" w:sz="8" w:space="0"/>
        <w:left w:val="single" w:color="78C0D4" w:themeColor="accent5" w:themeTint="BF" w:sz="8" w:space="0"/>
        <w:bottom w:val="single" w:color="78C0D4" w:themeColor="accent5" w:themeTint="BF" w:sz="8" w:space="0"/>
        <w:right w:val="single" w:color="78C0D4" w:themeColor="accent5" w:themeTint="BF" w:sz="8" w:space="0"/>
        <w:insideH w:val="single" w:color="78C0D4" w:themeColor="accent5" w:themeTint="BF" w:sz="8" w:space="0"/>
        <w:insideV w:val="single" w:color="78C0D4" w:themeColor="accent5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78C0D4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F9B074" w:themeColor="accent6" w:themeTint="BF" w:sz="8" w:space="0"/>
        <w:left w:val="single" w:color="F9B074" w:themeColor="accent6" w:themeTint="BF" w:sz="8" w:space="0"/>
        <w:bottom w:val="single" w:color="F9B074" w:themeColor="accent6" w:themeTint="BF" w:sz="8" w:space="0"/>
        <w:right w:val="single" w:color="F9B074" w:themeColor="accent6" w:themeTint="BF" w:sz="8" w:space="0"/>
        <w:insideH w:val="single" w:color="F9B074" w:themeColor="accent6" w:themeTint="BF" w:sz="8" w:space="0"/>
        <w:insideV w:val="single" w:color="F9B074" w:themeColor="accent6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F9B074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  <w:insideH w:val="single" w:color="4F81BD" w:themeColor="accent1" w:sz="8" w:space="0"/>
        <w:insideV w:val="single" w:color="4F81BD" w:themeColor="accent1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color="4F81BD" w:themeColor="accent1" w:sz="6" w:space="0"/>
          <w:insideV w:val="single" w:color="4F81BD" w:themeColor="accent1" w:sz="6" w:space="0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  <w:insideH w:val="single" w:color="C0504D" w:themeColor="accent2" w:sz="8" w:space="0"/>
        <w:insideV w:val="single" w:color="C0504D" w:themeColor="accent2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color="C0504D" w:themeColor="accent2" w:sz="6" w:space="0"/>
          <w:insideV w:val="single" w:color="C0504D" w:themeColor="accent2" w:sz="6" w:space="0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  <w:insideH w:val="single" w:color="9BBB59" w:themeColor="accent3" w:sz="8" w:space="0"/>
        <w:insideV w:val="single" w:color="9BBB59" w:themeColor="accent3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color="9BBB59" w:themeColor="accent3" w:sz="6" w:space="0"/>
          <w:insideV w:val="single" w:color="9BBB59" w:themeColor="accent3" w:sz="6" w:space="0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  <w:insideH w:val="single" w:color="8064A2" w:themeColor="accent4" w:sz="8" w:space="0"/>
        <w:insideV w:val="single" w:color="8064A2" w:themeColor="accent4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color="8064A2" w:themeColor="accent4" w:sz="6" w:space="0"/>
          <w:insideV w:val="single" w:color="8064A2" w:themeColor="accent4" w:sz="6" w:space="0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  <w:insideH w:val="single" w:color="4BACC6" w:themeColor="accent5" w:sz="8" w:space="0"/>
        <w:insideV w:val="single" w:color="4BACC6" w:themeColor="accent5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color="4BACC6" w:themeColor="accent5" w:sz="6" w:space="0"/>
          <w:insideV w:val="single" w:color="4BACC6" w:themeColor="accent5" w:sz="6" w:space="0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  <w:insideH w:val="single" w:color="F79646" w:themeColor="accent6" w:sz="8" w:space="0"/>
        <w:insideV w:val="single" w:color="F79646" w:themeColor="accent6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color="F79646" w:themeColor="accent6" w:sz="6" w:space="0"/>
          <w:insideV w:val="single" w:color="F79646" w:themeColor="accent6" w:sz="6" w:space="0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C0504D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C0504D" w:themeColor="accent2" w:sz="24" w:space="0"/>
        <w:left w:val="single" w:color="4F81BD" w:themeColor="accent1" w:sz="4" w:space="0"/>
        <w:bottom w:val="single" w:color="4F81BD" w:themeColor="accent1" w:sz="4" w:space="0"/>
        <w:right w:val="single" w:color="4F81BD" w:themeColor="accent1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C4C74" w:themeColor="accent1" w:themeShade="99" w:sz="4" w:space="0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C0504D" w:themeColor="accent2" w:sz="24" w:space="0"/>
        <w:left w:val="single" w:color="C0504D" w:themeColor="accent2" w:sz="4" w:space="0"/>
        <w:bottom w:val="single" w:color="C0504D" w:themeColor="accent2" w:sz="4" w:space="0"/>
        <w:right w:val="single" w:color="C0504D" w:themeColor="accent2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772C2A" w:themeColor="accent2" w:themeShade="99" w:sz="4" w:space="0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8064A2" w:themeColor="accent4" w:sz="24" w:space="0"/>
        <w:left w:val="single" w:color="9BBB59" w:themeColor="accent3" w:sz="4" w:space="0"/>
        <w:bottom w:val="single" w:color="9BBB59" w:themeColor="accent3" w:sz="4" w:space="0"/>
        <w:right w:val="single" w:color="9BBB59" w:themeColor="accent3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8064A2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5E7530" w:themeColor="accent3" w:themeShade="99" w:sz="4" w:space="0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9BBB59" w:themeColor="accent3" w:sz="24" w:space="0"/>
        <w:left w:val="single" w:color="8064A2" w:themeColor="accent4" w:sz="4" w:space="0"/>
        <w:bottom w:val="single" w:color="8064A2" w:themeColor="accent4" w:sz="4" w:space="0"/>
        <w:right w:val="single" w:color="8064A2" w:themeColor="accent4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9BBB59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C3B62" w:themeColor="accent4" w:themeShade="99" w:sz="4" w:space="0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F79646" w:themeColor="accent6" w:sz="24" w:space="0"/>
        <w:left w:val="single" w:color="4BACC6" w:themeColor="accent5" w:sz="4" w:space="0"/>
        <w:bottom w:val="single" w:color="4BACC6" w:themeColor="accent5" w:sz="4" w:space="0"/>
        <w:right w:val="single" w:color="4BACC6" w:themeColor="accent5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F79646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76A7C" w:themeColor="accent5" w:themeShade="99" w:sz="4" w:space="0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4BACC6" w:themeColor="accent5" w:sz="24" w:space="0"/>
        <w:left w:val="single" w:color="F79646" w:themeColor="accent6" w:sz="4" w:space="0"/>
        <w:bottom w:val="single" w:color="F79646" w:themeColor="accent6" w:sz="4" w:space="0"/>
        <w:right w:val="single" w:color="F79646" w:themeColor="accent6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4BACC6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B65608" w:themeColor="accent6" w:themeShade="99" w:sz="4" w:space="0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character" w:styleId="Hyperlink">
    <w:uiPriority w:val="99"/>
    <w:name w:val="Hyperlink"/>
    <w:basedOn w:val="DefaultParagraphFont"/>
    <w:unhideWhenUsed/>
    <w:rsid w:val="0FBECC8F"/>
    <w:rPr>
      <w:color w:val="0000FF"/>
      <w:u w:val="single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tyles" Target="styles.xml" Id="rId3" /><Relationship Type="http://schemas.microsoft.com/office/2007/relationships/stylesWithEffects" Target="stylesWithEffects.xml" Id="rId4" /><Relationship Type="http://schemas.openxmlformats.org/officeDocument/2006/relationships/settings" Target="settings.xml" Id="rId5" /><Relationship Type="http://schemas.openxmlformats.org/officeDocument/2006/relationships/webSettings" Target="webSettings.xml" Id="rId6" /><Relationship Type="http://schemas.openxmlformats.org/officeDocument/2006/relationships/fontTable" Target="fontTable.xml" Id="rId7" /><Relationship Type="http://schemas.openxmlformats.org/officeDocument/2006/relationships/theme" Target="theme/theme1.xml" Id="rId8" /><Relationship Type="http://schemas.openxmlformats.org/officeDocument/2006/relationships/customXml" Target="../customXml/item1.xml" Id="rId1" /><Relationship Type="http://schemas.openxmlformats.org/officeDocument/2006/relationships/numbering" Target="numbering.xml" Id="rId2" /><Relationship Type="http://schemas.openxmlformats.org/officeDocument/2006/relationships/image" Target="/media/image2.jpg" Id="rId1253489394" /><Relationship Type="http://schemas.openxmlformats.org/officeDocument/2006/relationships/image" Target="/media/image3.jpg" Id="rId746638411" /><Relationship Type="http://schemas.openxmlformats.org/officeDocument/2006/relationships/image" Target="/media/image4.jpg" Id="rId758022285" /><Relationship Type="http://schemas.openxmlformats.org/officeDocument/2006/relationships/image" Target="/media/image5.jpg" Id="rId31624636" /><Relationship Type="http://schemas.openxmlformats.org/officeDocument/2006/relationships/hyperlink" Target="https://www.ageuk.org.uk/information-advice/work-learning/looking-for-work/later-life-in-the-united-kingdom/" TargetMode="External" Id="R0ee6e2c15e9443dd" /><Relationship Type="http://schemas.openxmlformats.org/officeDocument/2006/relationships/hyperlink" Target="https://www.bgs.org.uk/resources/introduction-to-frailty" TargetMode="External" Id="R351265639f0a4171" /><Relationship Type="http://schemas.openxmlformats.org/officeDocument/2006/relationships/hyperlink" Target="https://www.gov.uk/government/publications/care-act-statutory-guidance/care-and-support-statutory-guidance" TargetMode="External" Id="R313e5aafb3374202" /><Relationship Type="http://schemas.openxmlformats.org/officeDocument/2006/relationships/hyperlink" Target="https://www.legislation.gov.uk/ukpga/2010/15/contents" TargetMode="External" Id="R2803ad7db6d84f62" /><Relationship Type="http://schemas.openxmlformats.org/officeDocument/2006/relationships/hyperlink" Target="https://www.gov.uk/guidance/equality-act-2010-guidance" TargetMode="External" Id="R51838d129f2a4b1e" /><Relationship Type="http://schemas.openxmlformats.org/officeDocument/2006/relationships/hyperlink" Target="https://books.google.com/books?id=AJ4iGwAACAAJ" TargetMode="External" Id="Rc3f6b2c4f4df4aaa" /><Relationship Type="http://schemas.openxmlformats.org/officeDocument/2006/relationships/hyperlink" Target="https://www.nice.org.uk/guidance/ng249" TargetMode="External" Id="R40d965287d9743e6" /><Relationship Type="http://schemas.openxmlformats.org/officeDocument/2006/relationships/hyperlink" Target="https://www.england.nhs.uk/publication/nhs-long-term-workforce-plan/" TargetMode="External" Id="R223d4fc0c3394a73" /><Relationship Type="http://schemas.openxmlformats.org/officeDocument/2006/relationships/hyperlink" Target="https://www.ons.gov.uk/peoplepopulationandcommunity/birthsdeathsandmarriages/ageing/articles/changesintheolderresidentcarehomepopulationbetween2011and2021englandandwales/2024-05-15" TargetMode="External" Id="Rd73d5b44837f483b" /><Relationship Type="http://schemas.openxmlformats.org/officeDocument/2006/relationships/hyperlink" Target="https://www.ons.gov.uk/peoplepopulationandcommunity/birthsdeathsandmarriages/ageing/articles/livinglongercaringinlaterworkinglife/2024" TargetMode="External" Id="R60d0bc4943df4881" /><Relationship Type="http://schemas.openxmlformats.org/officeDocument/2006/relationships/hyperlink" Target="https://disability-studies.leeds.ac.uk/wp-content/uploads/sites/40/library/Oliver-politics-of-disablement.pdf" TargetMode="External" Id="R52eb9f1f3c6c4501" /><Relationship Type="http://schemas.openxmlformats.org/officeDocument/2006/relationships/hyperlink" Target="https://www.mdpi.com/1660-4601/18/22/11796" TargetMode="External" Id="R1baed24e26cb4347" /><Relationship Type="http://schemas.openxmlformats.org/officeDocument/2006/relationships/hyperlink" Target="https://www.who.int/publications/i/item/9789240017900" TargetMode="External" Id="R68cd2743a7a04bc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word/webextensions/_rels/taskpanes.xml.rels>&#65279;<?xml version="1.0" encoding="utf-8"?><Relationships xmlns="http://schemas.openxmlformats.org/package/2006/relationships"><Relationship Type="http://schemas.microsoft.com/office/2011/relationships/webextension" Target="/word/webextensions/webextension.xml" Id="R135847fa4123445d" 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135847fa4123445d"/>
  </wetp:taskpane>
</wetp:taskpanes>
</file>

<file path=word/webextensions/webextension.xml><?xml version="1.0" encoding="utf-8"?>
<we:webextension xmlns:we="http://schemas.microsoft.com/office/webextensions/webextension/2010/11" id="eadf286b-a8c6-4260-a988-cff21a367d11">
  <we:reference id="wa104381335" version="1.0.0.1" store="en-US" storeType="omex"/>
  <we:alternateReferences>
    <we:reference id="wa104381335" version="1.0.0.1" store="omex" storeType="omex"/>
  </we:alternateReferences>
  <we:properties/>
  <we:bindings/>
  <we:snapshot xmlns:r="http://schemas.openxmlformats.org/officeDocument/2006/relationships"/>
</we:webextension>
</file>

<file path=customXml/_rels/item1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Manager/>
  <ap:Company/>
  <ap:SharedDoc>false</ap:SharedDoc>
  <ap:HyperlinkBase/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Sintia Ponta Garca Do Rosario (2316842)</dc:creator>
  <keywords/>
  <dc:description>generated by python-docx</dc:description>
  <lastModifiedBy>Sintia Ponta Garca Do Rosario (2316842)</lastModifiedBy>
  <revision>6</revision>
  <dcterms:created xsi:type="dcterms:W3CDTF">2026-07-15T19:04:21.2483132Z</dcterms:created>
  <dcterms:modified xsi:type="dcterms:W3CDTF">2026-07-16T13:03:13.8560400Z</dcterms:modified>
  <category/>
</coreProperties>
</file>