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5BB93" w14:textId="77777777" w:rsidR="00183FE6" w:rsidRPr="0082730C" w:rsidRDefault="00183FE6" w:rsidP="00482119">
      <w:pPr>
        <w:spacing w:line="360" w:lineRule="auto"/>
        <w:jc w:val="center"/>
        <w:rPr>
          <w:rFonts w:ascii="Times New Roman" w:hAnsi="Times New Roman" w:cs="Times New Roman"/>
          <w:b/>
          <w:bCs/>
          <w:sz w:val="24"/>
          <w:szCs w:val="24"/>
        </w:rPr>
      </w:pPr>
    </w:p>
    <w:p w14:paraId="302E7900" w14:textId="77777777" w:rsidR="00B76EB3" w:rsidRPr="0082730C" w:rsidRDefault="00B76EB3" w:rsidP="00B76EB3">
      <w:pPr>
        <w:keepNext/>
        <w:keepLines/>
        <w:spacing w:before="240" w:after="0"/>
        <w:jc w:val="center"/>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730C">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CATALIN-ALEXANDRU BANCIU</w:t>
      </w:r>
    </w:p>
    <w:p w14:paraId="01E4B01F" w14:textId="77777777" w:rsidR="00B76EB3" w:rsidRPr="0082730C" w:rsidRDefault="00B76EB3" w:rsidP="00B76EB3">
      <w:pPr>
        <w:keepNext/>
        <w:keepLines/>
        <w:spacing w:before="240" w:after="0"/>
        <w:jc w:val="center"/>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730C">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2124371</w:t>
      </w:r>
    </w:p>
    <w:p w14:paraId="3D4554CD" w14:textId="57A9FCFA" w:rsidR="00B76EB3" w:rsidRPr="0082730C" w:rsidRDefault="00B76EB3" w:rsidP="00B76EB3">
      <w:pPr>
        <w:keepNext/>
        <w:keepLines/>
        <w:spacing w:before="240" w:after="0"/>
        <w:jc w:val="center"/>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730C">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proofErr w:type="spellStart"/>
      <w:r w:rsidR="00A01F1A" w:rsidRPr="0082730C">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Abdhi</w:t>
      </w:r>
      <w:proofErr w:type="spellEnd"/>
      <w:r w:rsidR="00A01F1A" w:rsidRPr="0082730C">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Rahman</w:t>
      </w:r>
    </w:p>
    <w:p w14:paraId="27D31784" w14:textId="3F1920EB" w:rsidR="00B76EB3" w:rsidRPr="0082730C" w:rsidRDefault="00B76EB3" w:rsidP="00B76EB3">
      <w:pPr>
        <w:keepNext/>
        <w:keepLines/>
        <w:spacing w:before="240" w:after="0"/>
        <w:jc w:val="center"/>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730C">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w:t>
      </w:r>
      <w:r w:rsidR="00A01F1A" w:rsidRPr="0082730C">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82730C">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_BIRM </w:t>
      </w:r>
    </w:p>
    <w:p w14:paraId="6839E1AA" w14:textId="64C96EDE" w:rsidR="00B76EB3" w:rsidRPr="0082730C" w:rsidRDefault="00B76EB3" w:rsidP="00B76EB3">
      <w:pPr>
        <w:keepNext/>
        <w:keepLines/>
        <w:spacing w:before="240" w:after="0"/>
        <w:jc w:val="center"/>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730C">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A01F1A" w:rsidRPr="0082730C">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anaging People</w:t>
      </w:r>
    </w:p>
    <w:p w14:paraId="0F93383D" w14:textId="1C875B12" w:rsidR="00B76EB3" w:rsidRPr="0082730C" w:rsidRDefault="00A01F1A" w:rsidP="00B76EB3">
      <w:pPr>
        <w:keepNext/>
        <w:keepLines/>
        <w:spacing w:before="240" w:after="0"/>
        <w:jc w:val="center"/>
        <w:rPr>
          <w:rFonts w:ascii="Arial" w:eastAsia="Arial" w:hAnsi="Arial" w:cs="Arial"/>
          <w:b/>
          <w:color w:val="2F5496"/>
          <w:sz w:val="40"/>
          <w:szCs w:val="40"/>
        </w:rPr>
      </w:pPr>
      <w:r w:rsidRPr="0082730C">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Assessment </w:t>
      </w:r>
      <w:r w:rsidR="00B76EB3" w:rsidRPr="0082730C">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Component </w:t>
      </w:r>
      <w:r w:rsidRPr="0082730C">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3A2F72C8" w14:textId="77777777" w:rsidR="00183FE6" w:rsidRPr="0082730C" w:rsidRDefault="00183FE6" w:rsidP="00A01F1A">
      <w:pPr>
        <w:spacing w:line="360" w:lineRule="auto"/>
        <w:rPr>
          <w:rFonts w:ascii="Times New Roman" w:hAnsi="Times New Roman" w:cs="Times New Roman"/>
          <w:b/>
          <w:bCs/>
          <w:sz w:val="40"/>
          <w:szCs w:val="40"/>
        </w:rPr>
      </w:pPr>
    </w:p>
    <w:p w14:paraId="2A0D21D8" w14:textId="49533441" w:rsidR="00183FE6" w:rsidRPr="0082730C" w:rsidRDefault="00183FE6" w:rsidP="00482119">
      <w:pPr>
        <w:spacing w:line="360" w:lineRule="auto"/>
        <w:jc w:val="center"/>
        <w:rPr>
          <w:rFonts w:ascii="Arial" w:hAnsi="Arial" w:cs="Arial"/>
          <w:b/>
          <w:bCs/>
          <w:sz w:val="24"/>
          <w:szCs w:val="24"/>
        </w:rPr>
      </w:pPr>
      <w:r w:rsidRPr="0082730C">
        <w:rPr>
          <w:rFonts w:ascii="Arial" w:hAnsi="Arial" w:cs="Arial"/>
          <w:b/>
          <w:bCs/>
          <w:sz w:val="24"/>
          <w:szCs w:val="24"/>
        </w:rPr>
        <w:t>Implementing Flexible Working Strategies and Maintaining Employee Engagement in the Post-COVID-19 Era</w:t>
      </w:r>
    </w:p>
    <w:p w14:paraId="1808740A" w14:textId="17584F9E" w:rsidR="00183FE6" w:rsidRPr="0082730C" w:rsidRDefault="00183FE6" w:rsidP="00482119">
      <w:pPr>
        <w:spacing w:line="360" w:lineRule="auto"/>
        <w:jc w:val="center"/>
        <w:rPr>
          <w:rFonts w:ascii="Arial" w:hAnsi="Arial" w:cs="Arial"/>
          <w:b/>
          <w:bCs/>
          <w:sz w:val="24"/>
          <w:szCs w:val="24"/>
        </w:rPr>
      </w:pPr>
    </w:p>
    <w:p w14:paraId="31F32BC7" w14:textId="58E340CA" w:rsidR="00183FE6" w:rsidRPr="00C86363" w:rsidRDefault="00183FE6" w:rsidP="00482119">
      <w:pPr>
        <w:spacing w:line="360" w:lineRule="auto"/>
        <w:jc w:val="center"/>
        <w:rPr>
          <w:rFonts w:ascii="Times New Roman" w:hAnsi="Times New Roman" w:cs="Times New Roman"/>
          <w:b/>
          <w:bCs/>
          <w:sz w:val="24"/>
          <w:szCs w:val="24"/>
        </w:rPr>
      </w:pPr>
    </w:p>
    <w:p w14:paraId="21397ADF" w14:textId="352B8FA9" w:rsidR="00183FE6" w:rsidRPr="00C86363" w:rsidRDefault="00183FE6" w:rsidP="00482119">
      <w:pPr>
        <w:spacing w:line="360" w:lineRule="auto"/>
        <w:jc w:val="center"/>
        <w:rPr>
          <w:rFonts w:ascii="Times New Roman" w:hAnsi="Times New Roman" w:cs="Times New Roman"/>
          <w:b/>
          <w:bCs/>
          <w:sz w:val="24"/>
          <w:szCs w:val="24"/>
        </w:rPr>
      </w:pPr>
    </w:p>
    <w:p w14:paraId="63330748" w14:textId="37AB3A89" w:rsidR="00183FE6" w:rsidRPr="00C86363" w:rsidRDefault="00183FE6" w:rsidP="00482119">
      <w:pPr>
        <w:spacing w:line="360" w:lineRule="auto"/>
        <w:jc w:val="center"/>
        <w:rPr>
          <w:rFonts w:ascii="Times New Roman" w:hAnsi="Times New Roman" w:cs="Times New Roman"/>
          <w:b/>
          <w:bCs/>
          <w:sz w:val="24"/>
          <w:szCs w:val="24"/>
        </w:rPr>
      </w:pPr>
    </w:p>
    <w:p w14:paraId="7341E6FC" w14:textId="72227D51" w:rsidR="00183FE6" w:rsidRPr="00C86363" w:rsidRDefault="00183FE6" w:rsidP="00482119">
      <w:pPr>
        <w:spacing w:line="360" w:lineRule="auto"/>
        <w:jc w:val="center"/>
        <w:rPr>
          <w:rFonts w:ascii="Times New Roman" w:hAnsi="Times New Roman" w:cs="Times New Roman"/>
          <w:sz w:val="24"/>
          <w:szCs w:val="24"/>
        </w:rPr>
      </w:pPr>
      <w:r w:rsidRPr="00C86363">
        <w:rPr>
          <w:rFonts w:ascii="Times New Roman" w:hAnsi="Times New Roman" w:cs="Times New Roman"/>
          <w:sz w:val="24"/>
          <w:szCs w:val="24"/>
        </w:rPr>
        <w:t xml:space="preserve"> </w:t>
      </w:r>
    </w:p>
    <w:p w14:paraId="12AA035B" w14:textId="1F4F85D0" w:rsidR="00183FE6" w:rsidRPr="00C86363" w:rsidRDefault="00183FE6" w:rsidP="00482119">
      <w:pPr>
        <w:spacing w:line="360" w:lineRule="auto"/>
        <w:jc w:val="center"/>
        <w:rPr>
          <w:rFonts w:ascii="Times New Roman" w:hAnsi="Times New Roman" w:cs="Times New Roman"/>
          <w:sz w:val="24"/>
          <w:szCs w:val="24"/>
        </w:rPr>
      </w:pPr>
    </w:p>
    <w:p w14:paraId="38D03C64" w14:textId="77777777" w:rsidR="00183FE6" w:rsidRPr="00C86363" w:rsidRDefault="00183FE6" w:rsidP="00482119">
      <w:pPr>
        <w:spacing w:line="360" w:lineRule="auto"/>
        <w:rPr>
          <w:rFonts w:ascii="Times New Roman" w:hAnsi="Times New Roman" w:cs="Times New Roman"/>
          <w:sz w:val="24"/>
          <w:szCs w:val="24"/>
        </w:rPr>
      </w:pPr>
    </w:p>
    <w:p w14:paraId="6BF9294B" w14:textId="77777777" w:rsidR="00482119" w:rsidRPr="00C86363" w:rsidRDefault="00482119" w:rsidP="00482119">
      <w:pPr>
        <w:rPr>
          <w:rFonts w:ascii="Times New Roman" w:hAnsi="Times New Roman" w:cs="Times New Roman"/>
          <w:sz w:val="24"/>
          <w:szCs w:val="24"/>
        </w:rPr>
      </w:pPr>
    </w:p>
    <w:p w14:paraId="5C818BDE" w14:textId="621F03E3" w:rsidR="00482119" w:rsidRPr="00C86363" w:rsidRDefault="00482119" w:rsidP="00482119">
      <w:pPr>
        <w:tabs>
          <w:tab w:val="left" w:pos="6530"/>
        </w:tabs>
        <w:rPr>
          <w:rFonts w:ascii="Times New Roman" w:hAnsi="Times New Roman" w:cs="Times New Roman"/>
          <w:sz w:val="24"/>
          <w:szCs w:val="24"/>
        </w:rPr>
      </w:pPr>
      <w:r w:rsidRPr="00C86363">
        <w:rPr>
          <w:rFonts w:ascii="Times New Roman" w:hAnsi="Times New Roman" w:cs="Times New Roman"/>
          <w:sz w:val="24"/>
          <w:szCs w:val="24"/>
        </w:rPr>
        <w:tab/>
      </w:r>
    </w:p>
    <w:p w14:paraId="0664B705" w14:textId="745B0014" w:rsidR="00482119" w:rsidRPr="00C86363" w:rsidRDefault="00482119" w:rsidP="00482119">
      <w:pPr>
        <w:tabs>
          <w:tab w:val="left" w:pos="6530"/>
        </w:tabs>
        <w:rPr>
          <w:rFonts w:ascii="Times New Roman" w:hAnsi="Times New Roman" w:cs="Times New Roman"/>
          <w:sz w:val="24"/>
          <w:szCs w:val="24"/>
        </w:rPr>
        <w:sectPr w:rsidR="00482119" w:rsidRPr="00C86363" w:rsidSect="00482119">
          <w:headerReference w:type="default" r:id="rId8"/>
          <w:pgSz w:w="12240" w:h="15840"/>
          <w:pgMar w:top="1440" w:right="1440" w:bottom="1440" w:left="1440" w:header="720" w:footer="720" w:gutter="0"/>
          <w:cols w:space="720"/>
          <w:titlePg/>
          <w:docGrid w:linePitch="360"/>
        </w:sectPr>
      </w:pPr>
      <w:r w:rsidRPr="00C86363">
        <w:rPr>
          <w:rFonts w:ascii="Times New Roman" w:hAnsi="Times New Roman" w:cs="Times New Roman"/>
          <w:sz w:val="24"/>
          <w:szCs w:val="24"/>
        </w:rPr>
        <w:tab/>
      </w:r>
    </w:p>
    <w:p w14:paraId="09181CEB" w14:textId="5DC7B154" w:rsidR="00482119" w:rsidRPr="00A01F1A" w:rsidRDefault="00482119" w:rsidP="00482119">
      <w:pPr>
        <w:pStyle w:val="Titlu1"/>
        <w:spacing w:line="360" w:lineRule="auto"/>
        <w:jc w:val="left"/>
        <w:rPr>
          <w:rFonts w:ascii="Arial" w:hAnsi="Arial" w:cs="Arial"/>
          <w:sz w:val="24"/>
          <w:szCs w:val="24"/>
        </w:rPr>
      </w:pPr>
    </w:p>
    <w:sdt>
      <w:sdtPr>
        <w:rPr>
          <w:rFonts w:ascii="Arial" w:eastAsiaTheme="minorHAnsi" w:hAnsi="Arial" w:cs="Arial"/>
          <w:b/>
          <w:bCs/>
          <w:color w:val="auto"/>
          <w:sz w:val="24"/>
          <w:szCs w:val="24"/>
        </w:rPr>
        <w:id w:val="-640187986"/>
        <w:docPartObj>
          <w:docPartGallery w:val="Table of Contents"/>
          <w:docPartUnique/>
        </w:docPartObj>
      </w:sdtPr>
      <w:sdtEndPr>
        <w:rPr>
          <w:noProof/>
        </w:rPr>
      </w:sdtEndPr>
      <w:sdtContent>
        <w:p w14:paraId="7D1A2A7A" w14:textId="7E8530D8" w:rsidR="00482119" w:rsidRPr="00A01F1A" w:rsidRDefault="00482119" w:rsidP="00482119">
          <w:pPr>
            <w:pStyle w:val="Titlucuprins"/>
            <w:spacing w:line="360" w:lineRule="auto"/>
            <w:jc w:val="center"/>
            <w:rPr>
              <w:rFonts w:ascii="Arial" w:hAnsi="Arial" w:cs="Arial"/>
              <w:b/>
              <w:bCs/>
              <w:color w:val="auto"/>
              <w:sz w:val="24"/>
              <w:szCs w:val="24"/>
            </w:rPr>
          </w:pPr>
          <w:r w:rsidRPr="00A01F1A">
            <w:rPr>
              <w:rFonts w:ascii="Arial" w:hAnsi="Arial" w:cs="Arial"/>
              <w:b/>
              <w:bCs/>
              <w:color w:val="auto"/>
              <w:sz w:val="24"/>
              <w:szCs w:val="24"/>
            </w:rPr>
            <w:t>Table of Content</w:t>
          </w:r>
        </w:p>
        <w:p w14:paraId="5D6866DB" w14:textId="2708AD59" w:rsidR="00482119" w:rsidRPr="00A01F1A" w:rsidRDefault="00482119" w:rsidP="00482119">
          <w:pPr>
            <w:pStyle w:val="Cuprins1"/>
            <w:tabs>
              <w:tab w:val="right" w:leader="dot" w:pos="9350"/>
            </w:tabs>
            <w:spacing w:line="360" w:lineRule="auto"/>
            <w:rPr>
              <w:rFonts w:ascii="Arial" w:hAnsi="Arial" w:cs="Arial"/>
              <w:noProof/>
              <w:sz w:val="24"/>
              <w:szCs w:val="24"/>
            </w:rPr>
          </w:pPr>
          <w:r w:rsidRPr="00A01F1A">
            <w:rPr>
              <w:rFonts w:ascii="Arial" w:hAnsi="Arial" w:cs="Arial"/>
              <w:sz w:val="24"/>
              <w:szCs w:val="24"/>
            </w:rPr>
            <w:fldChar w:fldCharType="begin"/>
          </w:r>
          <w:r w:rsidRPr="00A01F1A">
            <w:rPr>
              <w:rFonts w:ascii="Arial" w:hAnsi="Arial" w:cs="Arial"/>
              <w:sz w:val="24"/>
              <w:szCs w:val="24"/>
            </w:rPr>
            <w:instrText xml:space="preserve"> TOC \o "1-3" \h \z \u </w:instrText>
          </w:r>
          <w:r w:rsidRPr="00A01F1A">
            <w:rPr>
              <w:rFonts w:ascii="Arial" w:hAnsi="Arial" w:cs="Arial"/>
              <w:sz w:val="24"/>
              <w:szCs w:val="24"/>
            </w:rPr>
            <w:fldChar w:fldCharType="separate"/>
          </w:r>
          <w:hyperlink w:anchor="_Toc130332327" w:history="1">
            <w:r w:rsidRPr="00A01F1A">
              <w:rPr>
                <w:rStyle w:val="Hyperlink"/>
                <w:rFonts w:ascii="Arial" w:hAnsi="Arial" w:cs="Arial"/>
                <w:noProof/>
                <w:color w:val="auto"/>
                <w:sz w:val="24"/>
                <w:szCs w:val="24"/>
              </w:rPr>
              <w:t>Introduction</w:t>
            </w:r>
            <w:r w:rsidRPr="00A01F1A">
              <w:rPr>
                <w:rFonts w:ascii="Arial" w:hAnsi="Arial" w:cs="Arial"/>
                <w:noProof/>
                <w:webHidden/>
                <w:sz w:val="24"/>
                <w:szCs w:val="24"/>
              </w:rPr>
              <w:tab/>
            </w:r>
            <w:r w:rsidRPr="00A01F1A">
              <w:rPr>
                <w:rFonts w:ascii="Arial" w:hAnsi="Arial" w:cs="Arial"/>
                <w:noProof/>
                <w:webHidden/>
                <w:sz w:val="24"/>
                <w:szCs w:val="24"/>
              </w:rPr>
              <w:fldChar w:fldCharType="begin"/>
            </w:r>
            <w:r w:rsidRPr="00A01F1A">
              <w:rPr>
                <w:rFonts w:ascii="Arial" w:hAnsi="Arial" w:cs="Arial"/>
                <w:noProof/>
                <w:webHidden/>
                <w:sz w:val="24"/>
                <w:szCs w:val="24"/>
              </w:rPr>
              <w:instrText xml:space="preserve"> PAGEREF _Toc130332327 \h </w:instrText>
            </w:r>
            <w:r w:rsidRPr="00A01F1A">
              <w:rPr>
                <w:rFonts w:ascii="Arial" w:hAnsi="Arial" w:cs="Arial"/>
                <w:noProof/>
                <w:webHidden/>
                <w:sz w:val="24"/>
                <w:szCs w:val="24"/>
              </w:rPr>
            </w:r>
            <w:r w:rsidRPr="00A01F1A">
              <w:rPr>
                <w:rFonts w:ascii="Arial" w:hAnsi="Arial" w:cs="Arial"/>
                <w:noProof/>
                <w:webHidden/>
                <w:sz w:val="24"/>
                <w:szCs w:val="24"/>
              </w:rPr>
              <w:fldChar w:fldCharType="separate"/>
            </w:r>
            <w:r w:rsidRPr="00A01F1A">
              <w:rPr>
                <w:rFonts w:ascii="Arial" w:hAnsi="Arial" w:cs="Arial"/>
                <w:noProof/>
                <w:webHidden/>
                <w:sz w:val="24"/>
                <w:szCs w:val="24"/>
              </w:rPr>
              <w:t>2</w:t>
            </w:r>
            <w:r w:rsidRPr="00A01F1A">
              <w:rPr>
                <w:rFonts w:ascii="Arial" w:hAnsi="Arial" w:cs="Arial"/>
                <w:noProof/>
                <w:webHidden/>
                <w:sz w:val="24"/>
                <w:szCs w:val="24"/>
              </w:rPr>
              <w:fldChar w:fldCharType="end"/>
            </w:r>
          </w:hyperlink>
        </w:p>
        <w:p w14:paraId="093EB80D" w14:textId="746B4F3E" w:rsidR="00482119" w:rsidRPr="00A01F1A" w:rsidRDefault="00000000" w:rsidP="00482119">
          <w:pPr>
            <w:pStyle w:val="Cuprins1"/>
            <w:tabs>
              <w:tab w:val="right" w:leader="dot" w:pos="9350"/>
            </w:tabs>
            <w:spacing w:line="360" w:lineRule="auto"/>
            <w:rPr>
              <w:rFonts w:ascii="Arial" w:hAnsi="Arial" w:cs="Arial"/>
              <w:noProof/>
              <w:sz w:val="24"/>
              <w:szCs w:val="24"/>
            </w:rPr>
          </w:pPr>
          <w:hyperlink w:anchor="_Toc130332328" w:history="1">
            <w:r w:rsidR="00482119" w:rsidRPr="00A01F1A">
              <w:rPr>
                <w:rStyle w:val="Hyperlink"/>
                <w:rFonts w:ascii="Arial" w:hAnsi="Arial" w:cs="Arial"/>
                <w:noProof/>
                <w:color w:val="auto"/>
                <w:sz w:val="24"/>
                <w:szCs w:val="24"/>
              </w:rPr>
              <w:t>Benefits of Implementing Flexible Working Strategies</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_Toc130332328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2</w:t>
            </w:r>
            <w:r w:rsidR="00482119" w:rsidRPr="00A01F1A">
              <w:rPr>
                <w:rFonts w:ascii="Arial" w:hAnsi="Arial" w:cs="Arial"/>
                <w:noProof/>
                <w:webHidden/>
                <w:sz w:val="24"/>
                <w:szCs w:val="24"/>
              </w:rPr>
              <w:fldChar w:fldCharType="end"/>
            </w:r>
          </w:hyperlink>
        </w:p>
        <w:p w14:paraId="4627920E" w14:textId="5427D670" w:rsidR="00482119" w:rsidRPr="00A01F1A" w:rsidRDefault="00000000" w:rsidP="00482119">
          <w:pPr>
            <w:pStyle w:val="Cuprins2"/>
            <w:tabs>
              <w:tab w:val="right" w:leader="dot" w:pos="9350"/>
            </w:tabs>
            <w:spacing w:line="360" w:lineRule="auto"/>
            <w:rPr>
              <w:rFonts w:ascii="Arial" w:hAnsi="Arial" w:cs="Arial"/>
              <w:noProof/>
              <w:sz w:val="24"/>
              <w:szCs w:val="24"/>
            </w:rPr>
          </w:pPr>
          <w:hyperlink w:anchor="_Toc130332329" w:history="1">
            <w:r w:rsidR="00482119" w:rsidRPr="00A01F1A">
              <w:rPr>
                <w:rStyle w:val="Hyperlink"/>
                <w:rFonts w:ascii="Arial" w:hAnsi="Arial" w:cs="Arial"/>
                <w:noProof/>
                <w:color w:val="auto"/>
                <w:sz w:val="24"/>
                <w:szCs w:val="24"/>
              </w:rPr>
              <w:t>Work-Life Balance</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_Toc130332329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2</w:t>
            </w:r>
            <w:r w:rsidR="00482119" w:rsidRPr="00A01F1A">
              <w:rPr>
                <w:rFonts w:ascii="Arial" w:hAnsi="Arial" w:cs="Arial"/>
                <w:noProof/>
                <w:webHidden/>
                <w:sz w:val="24"/>
                <w:szCs w:val="24"/>
              </w:rPr>
              <w:fldChar w:fldCharType="end"/>
            </w:r>
          </w:hyperlink>
        </w:p>
        <w:p w14:paraId="771AF9ED" w14:textId="00E85036" w:rsidR="00482119" w:rsidRPr="00A01F1A" w:rsidRDefault="00000000" w:rsidP="00482119">
          <w:pPr>
            <w:pStyle w:val="Cuprins2"/>
            <w:tabs>
              <w:tab w:val="right" w:leader="dot" w:pos="9350"/>
            </w:tabs>
            <w:spacing w:line="360" w:lineRule="auto"/>
            <w:rPr>
              <w:rFonts w:ascii="Arial" w:hAnsi="Arial" w:cs="Arial"/>
              <w:noProof/>
              <w:sz w:val="24"/>
              <w:szCs w:val="24"/>
            </w:rPr>
          </w:pPr>
          <w:hyperlink w:anchor="_Toc130332330" w:history="1">
            <w:r w:rsidR="00482119" w:rsidRPr="00A01F1A">
              <w:rPr>
                <w:rStyle w:val="Hyperlink"/>
                <w:rFonts w:ascii="Arial" w:hAnsi="Arial" w:cs="Arial"/>
                <w:noProof/>
                <w:color w:val="auto"/>
                <w:sz w:val="24"/>
                <w:szCs w:val="24"/>
              </w:rPr>
              <w:t>Increased Productivity</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_Toc130332330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3</w:t>
            </w:r>
            <w:r w:rsidR="00482119" w:rsidRPr="00A01F1A">
              <w:rPr>
                <w:rFonts w:ascii="Arial" w:hAnsi="Arial" w:cs="Arial"/>
                <w:noProof/>
                <w:webHidden/>
                <w:sz w:val="24"/>
                <w:szCs w:val="24"/>
              </w:rPr>
              <w:fldChar w:fldCharType="end"/>
            </w:r>
          </w:hyperlink>
        </w:p>
        <w:p w14:paraId="60F2E6F1" w14:textId="709320C3" w:rsidR="00482119" w:rsidRPr="00A01F1A" w:rsidRDefault="00000000" w:rsidP="00482119">
          <w:pPr>
            <w:pStyle w:val="Cuprins2"/>
            <w:tabs>
              <w:tab w:val="right" w:leader="dot" w:pos="9350"/>
            </w:tabs>
            <w:spacing w:line="360" w:lineRule="auto"/>
            <w:rPr>
              <w:rFonts w:ascii="Arial" w:hAnsi="Arial" w:cs="Arial"/>
              <w:noProof/>
              <w:sz w:val="24"/>
              <w:szCs w:val="24"/>
            </w:rPr>
          </w:pPr>
          <w:hyperlink w:anchor="_Toc130332331" w:history="1">
            <w:r w:rsidR="00482119" w:rsidRPr="00A01F1A">
              <w:rPr>
                <w:rStyle w:val="Hyperlink"/>
                <w:rFonts w:ascii="Arial" w:hAnsi="Arial" w:cs="Arial"/>
                <w:noProof/>
                <w:color w:val="auto"/>
                <w:sz w:val="24"/>
                <w:szCs w:val="24"/>
              </w:rPr>
              <w:t>Talent Attraction and Retention</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_Toc130332331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3</w:t>
            </w:r>
            <w:r w:rsidR="00482119" w:rsidRPr="00A01F1A">
              <w:rPr>
                <w:rFonts w:ascii="Arial" w:hAnsi="Arial" w:cs="Arial"/>
                <w:noProof/>
                <w:webHidden/>
                <w:sz w:val="24"/>
                <w:szCs w:val="24"/>
              </w:rPr>
              <w:fldChar w:fldCharType="end"/>
            </w:r>
          </w:hyperlink>
        </w:p>
        <w:p w14:paraId="6192907A" w14:textId="1CA0F38B" w:rsidR="00482119" w:rsidRPr="00A01F1A" w:rsidRDefault="00000000" w:rsidP="00482119">
          <w:pPr>
            <w:pStyle w:val="Cuprins1"/>
            <w:tabs>
              <w:tab w:val="right" w:leader="dot" w:pos="9350"/>
            </w:tabs>
            <w:spacing w:line="360" w:lineRule="auto"/>
            <w:rPr>
              <w:rFonts w:ascii="Arial" w:hAnsi="Arial" w:cs="Arial"/>
              <w:noProof/>
              <w:sz w:val="24"/>
              <w:szCs w:val="24"/>
            </w:rPr>
          </w:pPr>
          <w:hyperlink w:anchor="_Toc130332332" w:history="1">
            <w:r w:rsidR="00482119" w:rsidRPr="00A01F1A">
              <w:rPr>
                <w:rStyle w:val="Hyperlink"/>
                <w:rFonts w:ascii="Arial" w:hAnsi="Arial" w:cs="Arial"/>
                <w:noProof/>
                <w:color w:val="auto"/>
                <w:sz w:val="24"/>
                <w:szCs w:val="24"/>
              </w:rPr>
              <w:t>Considerations for Implementing Flexible Working</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_Toc130332332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4</w:t>
            </w:r>
            <w:r w:rsidR="00482119" w:rsidRPr="00A01F1A">
              <w:rPr>
                <w:rFonts w:ascii="Arial" w:hAnsi="Arial" w:cs="Arial"/>
                <w:noProof/>
                <w:webHidden/>
                <w:sz w:val="24"/>
                <w:szCs w:val="24"/>
              </w:rPr>
              <w:fldChar w:fldCharType="end"/>
            </w:r>
          </w:hyperlink>
        </w:p>
        <w:p w14:paraId="4EBD8BDC" w14:textId="0D777DE1" w:rsidR="00482119" w:rsidRPr="00A01F1A" w:rsidRDefault="00000000" w:rsidP="00482119">
          <w:pPr>
            <w:pStyle w:val="Cuprins2"/>
            <w:tabs>
              <w:tab w:val="right" w:leader="dot" w:pos="9350"/>
            </w:tabs>
            <w:spacing w:line="360" w:lineRule="auto"/>
            <w:rPr>
              <w:rFonts w:ascii="Arial" w:hAnsi="Arial" w:cs="Arial"/>
              <w:noProof/>
              <w:sz w:val="24"/>
              <w:szCs w:val="24"/>
            </w:rPr>
          </w:pPr>
          <w:hyperlink w:anchor="_Toc130332333" w:history="1">
            <w:r w:rsidR="00482119" w:rsidRPr="00A01F1A">
              <w:rPr>
                <w:rStyle w:val="Hyperlink"/>
                <w:rFonts w:ascii="Arial" w:hAnsi="Arial" w:cs="Arial"/>
                <w:noProof/>
                <w:color w:val="auto"/>
                <w:sz w:val="24"/>
                <w:szCs w:val="24"/>
              </w:rPr>
              <w:t>Organisational Culture</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_Toc130332333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4</w:t>
            </w:r>
            <w:r w:rsidR="00482119" w:rsidRPr="00A01F1A">
              <w:rPr>
                <w:rFonts w:ascii="Arial" w:hAnsi="Arial" w:cs="Arial"/>
                <w:noProof/>
                <w:webHidden/>
                <w:sz w:val="24"/>
                <w:szCs w:val="24"/>
              </w:rPr>
              <w:fldChar w:fldCharType="end"/>
            </w:r>
          </w:hyperlink>
        </w:p>
        <w:p w14:paraId="58AB5435" w14:textId="6CF9679F" w:rsidR="00482119" w:rsidRPr="00A01F1A" w:rsidRDefault="00000000" w:rsidP="00482119">
          <w:pPr>
            <w:pStyle w:val="Cuprins2"/>
            <w:tabs>
              <w:tab w:val="right" w:leader="dot" w:pos="9350"/>
            </w:tabs>
            <w:spacing w:line="360" w:lineRule="auto"/>
            <w:rPr>
              <w:rFonts w:ascii="Arial" w:hAnsi="Arial" w:cs="Arial"/>
              <w:noProof/>
              <w:sz w:val="24"/>
              <w:szCs w:val="24"/>
            </w:rPr>
          </w:pPr>
          <w:hyperlink w:anchor="_Toc130332334" w:history="1">
            <w:r w:rsidR="00482119" w:rsidRPr="00A01F1A">
              <w:rPr>
                <w:rStyle w:val="Hyperlink"/>
                <w:rFonts w:ascii="Arial" w:hAnsi="Arial" w:cs="Arial"/>
                <w:noProof/>
                <w:color w:val="auto"/>
                <w:sz w:val="24"/>
                <w:szCs w:val="24"/>
              </w:rPr>
              <w:t>Technological Infrastructure</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_Toc130332334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4</w:t>
            </w:r>
            <w:r w:rsidR="00482119" w:rsidRPr="00A01F1A">
              <w:rPr>
                <w:rFonts w:ascii="Arial" w:hAnsi="Arial" w:cs="Arial"/>
                <w:noProof/>
                <w:webHidden/>
                <w:sz w:val="24"/>
                <w:szCs w:val="24"/>
              </w:rPr>
              <w:fldChar w:fldCharType="end"/>
            </w:r>
          </w:hyperlink>
        </w:p>
        <w:p w14:paraId="3FCA5490" w14:textId="78BE7BAE" w:rsidR="00482119" w:rsidRPr="00A01F1A" w:rsidRDefault="00000000" w:rsidP="00482119">
          <w:pPr>
            <w:pStyle w:val="Cuprins2"/>
            <w:tabs>
              <w:tab w:val="right" w:leader="dot" w:pos="9350"/>
            </w:tabs>
            <w:spacing w:line="360" w:lineRule="auto"/>
            <w:rPr>
              <w:rFonts w:ascii="Arial" w:hAnsi="Arial" w:cs="Arial"/>
              <w:noProof/>
              <w:sz w:val="24"/>
              <w:szCs w:val="24"/>
            </w:rPr>
          </w:pPr>
          <w:hyperlink w:anchor="_Toc130332335" w:history="1">
            <w:r w:rsidR="00482119" w:rsidRPr="00A01F1A">
              <w:rPr>
                <w:rStyle w:val="Hyperlink"/>
                <w:rFonts w:ascii="Arial" w:hAnsi="Arial" w:cs="Arial"/>
                <w:noProof/>
                <w:color w:val="auto"/>
                <w:sz w:val="24"/>
                <w:szCs w:val="24"/>
              </w:rPr>
              <w:t>Legal and Regulatory Compliance</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_Toc130332335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4</w:t>
            </w:r>
            <w:r w:rsidR="00482119" w:rsidRPr="00A01F1A">
              <w:rPr>
                <w:rFonts w:ascii="Arial" w:hAnsi="Arial" w:cs="Arial"/>
                <w:noProof/>
                <w:webHidden/>
                <w:sz w:val="24"/>
                <w:szCs w:val="24"/>
              </w:rPr>
              <w:fldChar w:fldCharType="end"/>
            </w:r>
          </w:hyperlink>
        </w:p>
        <w:p w14:paraId="501AF3F3" w14:textId="7561F226" w:rsidR="00482119" w:rsidRPr="00A01F1A" w:rsidRDefault="00000000" w:rsidP="00482119">
          <w:pPr>
            <w:pStyle w:val="Cuprins1"/>
            <w:tabs>
              <w:tab w:val="right" w:leader="dot" w:pos="9350"/>
            </w:tabs>
            <w:spacing w:line="360" w:lineRule="auto"/>
            <w:rPr>
              <w:rFonts w:ascii="Arial" w:hAnsi="Arial" w:cs="Arial"/>
              <w:noProof/>
              <w:sz w:val="24"/>
              <w:szCs w:val="24"/>
            </w:rPr>
          </w:pPr>
          <w:hyperlink w:anchor="_Toc130332336" w:history="1">
            <w:r w:rsidR="00482119" w:rsidRPr="00A01F1A">
              <w:rPr>
                <w:rStyle w:val="Hyperlink"/>
                <w:rFonts w:ascii="Arial" w:hAnsi="Arial" w:cs="Arial"/>
                <w:noProof/>
                <w:color w:val="auto"/>
                <w:sz w:val="24"/>
                <w:szCs w:val="24"/>
              </w:rPr>
              <w:t>Strategies to Promote Employee Engagement</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_Toc130332336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4</w:t>
            </w:r>
            <w:r w:rsidR="00482119" w:rsidRPr="00A01F1A">
              <w:rPr>
                <w:rFonts w:ascii="Arial" w:hAnsi="Arial" w:cs="Arial"/>
                <w:noProof/>
                <w:webHidden/>
                <w:sz w:val="24"/>
                <w:szCs w:val="24"/>
              </w:rPr>
              <w:fldChar w:fldCharType="end"/>
            </w:r>
          </w:hyperlink>
        </w:p>
        <w:p w14:paraId="350D90BD" w14:textId="3F72E370" w:rsidR="00482119" w:rsidRPr="00A01F1A" w:rsidRDefault="00000000" w:rsidP="00482119">
          <w:pPr>
            <w:pStyle w:val="Cuprins2"/>
            <w:tabs>
              <w:tab w:val="right" w:leader="dot" w:pos="9350"/>
            </w:tabs>
            <w:spacing w:line="360" w:lineRule="auto"/>
            <w:rPr>
              <w:rFonts w:ascii="Arial" w:hAnsi="Arial" w:cs="Arial"/>
              <w:noProof/>
              <w:sz w:val="24"/>
              <w:szCs w:val="24"/>
            </w:rPr>
          </w:pPr>
          <w:hyperlink w:anchor="_Toc130332337" w:history="1">
            <w:r w:rsidR="00482119" w:rsidRPr="00A01F1A">
              <w:rPr>
                <w:rStyle w:val="Hyperlink"/>
                <w:rFonts w:ascii="Arial" w:hAnsi="Arial" w:cs="Arial"/>
                <w:noProof/>
                <w:color w:val="auto"/>
                <w:sz w:val="24"/>
                <w:szCs w:val="24"/>
              </w:rPr>
              <w:t>Regular Communication and Feedback</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_Toc130332337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4</w:t>
            </w:r>
            <w:r w:rsidR="00482119" w:rsidRPr="00A01F1A">
              <w:rPr>
                <w:rFonts w:ascii="Arial" w:hAnsi="Arial" w:cs="Arial"/>
                <w:noProof/>
                <w:webHidden/>
                <w:sz w:val="24"/>
                <w:szCs w:val="24"/>
              </w:rPr>
              <w:fldChar w:fldCharType="end"/>
            </w:r>
          </w:hyperlink>
        </w:p>
        <w:p w14:paraId="647665DE" w14:textId="5788E692" w:rsidR="00482119" w:rsidRPr="00A01F1A" w:rsidRDefault="00000000" w:rsidP="00482119">
          <w:pPr>
            <w:pStyle w:val="Cuprins2"/>
            <w:tabs>
              <w:tab w:val="right" w:leader="dot" w:pos="9350"/>
            </w:tabs>
            <w:spacing w:line="360" w:lineRule="auto"/>
            <w:rPr>
              <w:rFonts w:ascii="Arial" w:hAnsi="Arial" w:cs="Arial"/>
              <w:noProof/>
              <w:sz w:val="24"/>
              <w:szCs w:val="24"/>
            </w:rPr>
          </w:pPr>
          <w:hyperlink w:anchor="_Toc130332338" w:history="1">
            <w:r w:rsidR="00482119" w:rsidRPr="00A01F1A">
              <w:rPr>
                <w:rStyle w:val="Hyperlink"/>
                <w:rFonts w:ascii="Arial" w:hAnsi="Arial" w:cs="Arial"/>
                <w:noProof/>
                <w:color w:val="auto"/>
                <w:sz w:val="24"/>
                <w:szCs w:val="24"/>
              </w:rPr>
              <w:t>Encouraging Collaboration</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_Toc130332338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6</w:t>
            </w:r>
            <w:r w:rsidR="00482119" w:rsidRPr="00A01F1A">
              <w:rPr>
                <w:rFonts w:ascii="Arial" w:hAnsi="Arial" w:cs="Arial"/>
                <w:noProof/>
                <w:webHidden/>
                <w:sz w:val="24"/>
                <w:szCs w:val="24"/>
              </w:rPr>
              <w:fldChar w:fldCharType="end"/>
            </w:r>
          </w:hyperlink>
        </w:p>
        <w:p w14:paraId="2D2EF33B" w14:textId="082AE974" w:rsidR="00482119" w:rsidRPr="00A01F1A" w:rsidRDefault="00000000" w:rsidP="00482119">
          <w:pPr>
            <w:pStyle w:val="Cuprins2"/>
            <w:tabs>
              <w:tab w:val="right" w:leader="dot" w:pos="9350"/>
            </w:tabs>
            <w:spacing w:line="360" w:lineRule="auto"/>
            <w:rPr>
              <w:rFonts w:ascii="Arial" w:hAnsi="Arial" w:cs="Arial"/>
              <w:noProof/>
              <w:sz w:val="24"/>
              <w:szCs w:val="24"/>
            </w:rPr>
          </w:pPr>
          <w:hyperlink w:anchor="_Toc130332339" w:history="1">
            <w:r w:rsidR="00482119" w:rsidRPr="00A01F1A">
              <w:rPr>
                <w:rStyle w:val="Hyperlink"/>
                <w:rFonts w:ascii="Arial" w:hAnsi="Arial" w:cs="Arial"/>
                <w:noProof/>
                <w:color w:val="auto"/>
                <w:sz w:val="24"/>
                <w:szCs w:val="24"/>
              </w:rPr>
              <w:t>Recognition and Rewards</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_Toc130332339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6</w:t>
            </w:r>
            <w:r w:rsidR="00482119" w:rsidRPr="00A01F1A">
              <w:rPr>
                <w:rFonts w:ascii="Arial" w:hAnsi="Arial" w:cs="Arial"/>
                <w:noProof/>
                <w:webHidden/>
                <w:sz w:val="24"/>
                <w:szCs w:val="24"/>
              </w:rPr>
              <w:fldChar w:fldCharType="end"/>
            </w:r>
          </w:hyperlink>
        </w:p>
        <w:p w14:paraId="7D35E264" w14:textId="59B83EA6" w:rsidR="00482119" w:rsidRPr="00A01F1A" w:rsidRDefault="00000000" w:rsidP="00482119">
          <w:pPr>
            <w:pStyle w:val="Cuprins1"/>
            <w:tabs>
              <w:tab w:val="right" w:leader="dot" w:pos="9350"/>
            </w:tabs>
            <w:spacing w:line="360" w:lineRule="auto"/>
            <w:rPr>
              <w:rFonts w:ascii="Arial" w:hAnsi="Arial" w:cs="Arial"/>
              <w:noProof/>
              <w:sz w:val="24"/>
              <w:szCs w:val="24"/>
            </w:rPr>
          </w:pPr>
          <w:hyperlink w:anchor="_Toc130332340" w:history="1">
            <w:r w:rsidR="00482119" w:rsidRPr="00A01F1A">
              <w:rPr>
                <w:rStyle w:val="Hyperlink"/>
                <w:rFonts w:ascii="Arial" w:hAnsi="Arial" w:cs="Arial"/>
                <w:noProof/>
                <w:color w:val="auto"/>
                <w:sz w:val="24"/>
                <w:szCs w:val="24"/>
              </w:rPr>
              <w:t>Evaluating Employee Value Proposition for Pay Structure Implementation</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_Toc130332340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6</w:t>
            </w:r>
            <w:r w:rsidR="00482119" w:rsidRPr="00A01F1A">
              <w:rPr>
                <w:rFonts w:ascii="Arial" w:hAnsi="Arial" w:cs="Arial"/>
                <w:noProof/>
                <w:webHidden/>
                <w:sz w:val="24"/>
                <w:szCs w:val="24"/>
              </w:rPr>
              <w:fldChar w:fldCharType="end"/>
            </w:r>
          </w:hyperlink>
        </w:p>
        <w:p w14:paraId="173B0CDE" w14:textId="4C5E4B44" w:rsidR="00482119" w:rsidRPr="00A01F1A" w:rsidRDefault="00000000" w:rsidP="00482119">
          <w:pPr>
            <w:pStyle w:val="Cuprins2"/>
            <w:tabs>
              <w:tab w:val="right" w:leader="dot" w:pos="9350"/>
            </w:tabs>
            <w:spacing w:line="360" w:lineRule="auto"/>
            <w:rPr>
              <w:rFonts w:ascii="Arial" w:hAnsi="Arial" w:cs="Arial"/>
              <w:noProof/>
              <w:sz w:val="24"/>
              <w:szCs w:val="24"/>
            </w:rPr>
          </w:pPr>
          <w:hyperlink w:anchor="_Toc130332341" w:history="1">
            <w:r w:rsidR="00482119" w:rsidRPr="00A01F1A">
              <w:rPr>
                <w:rStyle w:val="Hyperlink"/>
                <w:rFonts w:ascii="Arial" w:hAnsi="Arial" w:cs="Arial"/>
                <w:noProof/>
                <w:color w:val="auto"/>
                <w:sz w:val="24"/>
                <w:szCs w:val="24"/>
              </w:rPr>
              <w:t>Identifying Key Components</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_Toc130332341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6</w:t>
            </w:r>
            <w:r w:rsidR="00482119" w:rsidRPr="00A01F1A">
              <w:rPr>
                <w:rFonts w:ascii="Arial" w:hAnsi="Arial" w:cs="Arial"/>
                <w:noProof/>
                <w:webHidden/>
                <w:sz w:val="24"/>
                <w:szCs w:val="24"/>
              </w:rPr>
              <w:fldChar w:fldCharType="end"/>
            </w:r>
          </w:hyperlink>
        </w:p>
        <w:p w14:paraId="4F6961E9" w14:textId="6755A04D" w:rsidR="00482119" w:rsidRPr="00A01F1A" w:rsidRDefault="00000000" w:rsidP="00482119">
          <w:pPr>
            <w:pStyle w:val="Cuprins2"/>
            <w:tabs>
              <w:tab w:val="right" w:leader="dot" w:pos="9350"/>
            </w:tabs>
            <w:spacing w:line="360" w:lineRule="auto"/>
            <w:rPr>
              <w:rFonts w:ascii="Arial" w:hAnsi="Arial" w:cs="Arial"/>
              <w:noProof/>
              <w:sz w:val="24"/>
              <w:szCs w:val="24"/>
            </w:rPr>
          </w:pPr>
          <w:hyperlink w:anchor="_Toc130332342" w:history="1">
            <w:r w:rsidR="00482119" w:rsidRPr="00A01F1A">
              <w:rPr>
                <w:rStyle w:val="Hyperlink"/>
                <w:rFonts w:ascii="Arial" w:hAnsi="Arial" w:cs="Arial"/>
                <w:noProof/>
                <w:color w:val="auto"/>
                <w:sz w:val="24"/>
                <w:szCs w:val="24"/>
              </w:rPr>
              <w:t>Market Benchmarking</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_Toc130332342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6</w:t>
            </w:r>
            <w:r w:rsidR="00482119" w:rsidRPr="00A01F1A">
              <w:rPr>
                <w:rFonts w:ascii="Arial" w:hAnsi="Arial" w:cs="Arial"/>
                <w:noProof/>
                <w:webHidden/>
                <w:sz w:val="24"/>
                <w:szCs w:val="24"/>
              </w:rPr>
              <w:fldChar w:fldCharType="end"/>
            </w:r>
          </w:hyperlink>
        </w:p>
        <w:p w14:paraId="18DE0981" w14:textId="50A09459" w:rsidR="00482119" w:rsidRPr="00A01F1A" w:rsidRDefault="00000000" w:rsidP="00482119">
          <w:pPr>
            <w:pStyle w:val="Cuprins2"/>
            <w:tabs>
              <w:tab w:val="right" w:leader="dot" w:pos="9350"/>
            </w:tabs>
            <w:spacing w:line="360" w:lineRule="auto"/>
            <w:rPr>
              <w:rFonts w:ascii="Arial" w:hAnsi="Arial" w:cs="Arial"/>
              <w:noProof/>
              <w:sz w:val="24"/>
              <w:szCs w:val="24"/>
            </w:rPr>
          </w:pPr>
          <w:hyperlink w:anchor="_Toc130332343" w:history="1">
            <w:r w:rsidR="00482119" w:rsidRPr="00A01F1A">
              <w:rPr>
                <w:rStyle w:val="Hyperlink"/>
                <w:rFonts w:ascii="Arial" w:hAnsi="Arial" w:cs="Arial"/>
                <w:noProof/>
                <w:color w:val="auto"/>
                <w:sz w:val="24"/>
                <w:szCs w:val="24"/>
              </w:rPr>
              <w:t>Aligning Pay Structure with Organisational Goals</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_Toc130332343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7</w:t>
            </w:r>
            <w:r w:rsidR="00482119" w:rsidRPr="00A01F1A">
              <w:rPr>
                <w:rFonts w:ascii="Arial" w:hAnsi="Arial" w:cs="Arial"/>
                <w:noProof/>
                <w:webHidden/>
                <w:sz w:val="24"/>
                <w:szCs w:val="24"/>
              </w:rPr>
              <w:fldChar w:fldCharType="end"/>
            </w:r>
          </w:hyperlink>
        </w:p>
        <w:p w14:paraId="191F55E2" w14:textId="1D9C12D5" w:rsidR="00482119" w:rsidRPr="00A01F1A" w:rsidRDefault="00000000" w:rsidP="00482119">
          <w:pPr>
            <w:pStyle w:val="Cuprins2"/>
            <w:tabs>
              <w:tab w:val="right" w:leader="dot" w:pos="9350"/>
            </w:tabs>
            <w:spacing w:line="360" w:lineRule="auto"/>
            <w:rPr>
              <w:rFonts w:ascii="Arial" w:hAnsi="Arial" w:cs="Arial"/>
              <w:noProof/>
              <w:sz w:val="24"/>
              <w:szCs w:val="24"/>
            </w:rPr>
          </w:pPr>
          <w:hyperlink w:anchor="_Toc130332344" w:history="1">
            <w:r w:rsidR="00482119" w:rsidRPr="00A01F1A">
              <w:rPr>
                <w:rStyle w:val="Hyperlink"/>
                <w:rFonts w:ascii="Arial" w:hAnsi="Arial" w:cs="Arial"/>
                <w:noProof/>
                <w:color w:val="auto"/>
                <w:sz w:val="24"/>
                <w:szCs w:val="24"/>
              </w:rPr>
              <w:t>Monitoring and Evaluation</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_Toc130332344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7</w:t>
            </w:r>
            <w:r w:rsidR="00482119" w:rsidRPr="00A01F1A">
              <w:rPr>
                <w:rFonts w:ascii="Arial" w:hAnsi="Arial" w:cs="Arial"/>
                <w:noProof/>
                <w:webHidden/>
                <w:sz w:val="24"/>
                <w:szCs w:val="24"/>
              </w:rPr>
              <w:fldChar w:fldCharType="end"/>
            </w:r>
          </w:hyperlink>
        </w:p>
        <w:p w14:paraId="622E8588" w14:textId="024ED85A" w:rsidR="00482119" w:rsidRPr="00A01F1A" w:rsidRDefault="00000000" w:rsidP="00482119">
          <w:pPr>
            <w:pStyle w:val="Cuprins1"/>
            <w:tabs>
              <w:tab w:val="right" w:leader="dot" w:pos="9350"/>
            </w:tabs>
            <w:spacing w:line="360" w:lineRule="auto"/>
            <w:rPr>
              <w:rFonts w:ascii="Arial" w:hAnsi="Arial" w:cs="Arial"/>
              <w:noProof/>
              <w:sz w:val="24"/>
              <w:szCs w:val="24"/>
            </w:rPr>
          </w:pPr>
          <w:hyperlink w:anchor="_Toc130332345" w:history="1">
            <w:r w:rsidR="00482119" w:rsidRPr="00A01F1A">
              <w:rPr>
                <w:rStyle w:val="Hyperlink"/>
                <w:rFonts w:ascii="Arial" w:hAnsi="Arial" w:cs="Arial"/>
                <w:noProof/>
                <w:color w:val="auto"/>
                <w:sz w:val="24"/>
                <w:szCs w:val="24"/>
              </w:rPr>
              <w:t>Conclusion</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_Toc130332345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7</w:t>
            </w:r>
            <w:r w:rsidR="00482119" w:rsidRPr="00A01F1A">
              <w:rPr>
                <w:rFonts w:ascii="Arial" w:hAnsi="Arial" w:cs="Arial"/>
                <w:noProof/>
                <w:webHidden/>
                <w:sz w:val="24"/>
                <w:szCs w:val="24"/>
              </w:rPr>
              <w:fldChar w:fldCharType="end"/>
            </w:r>
          </w:hyperlink>
        </w:p>
        <w:p w14:paraId="2DC5A8B8" w14:textId="05D6DD7D" w:rsidR="00482119" w:rsidRPr="00A01F1A" w:rsidRDefault="00000000" w:rsidP="00482119">
          <w:pPr>
            <w:pStyle w:val="Cuprins1"/>
            <w:tabs>
              <w:tab w:val="right" w:leader="dot" w:pos="9350"/>
            </w:tabs>
            <w:spacing w:line="360" w:lineRule="auto"/>
            <w:rPr>
              <w:rFonts w:ascii="Arial" w:hAnsi="Arial" w:cs="Arial"/>
              <w:noProof/>
              <w:sz w:val="24"/>
              <w:szCs w:val="24"/>
            </w:rPr>
          </w:pPr>
          <w:hyperlink w:anchor="_Toc130332346" w:history="1">
            <w:r w:rsidR="00482119" w:rsidRPr="00A01F1A">
              <w:rPr>
                <w:rStyle w:val="Hyperlink"/>
                <w:rFonts w:ascii="Arial" w:hAnsi="Arial" w:cs="Arial"/>
                <w:noProof/>
                <w:color w:val="auto"/>
                <w:sz w:val="24"/>
                <w:szCs w:val="24"/>
              </w:rPr>
              <w:t>References</w:t>
            </w:r>
            <w:r w:rsidR="00482119" w:rsidRPr="00A01F1A">
              <w:rPr>
                <w:rFonts w:ascii="Arial" w:hAnsi="Arial" w:cs="Arial"/>
                <w:noProof/>
                <w:webHidden/>
                <w:sz w:val="24"/>
                <w:szCs w:val="24"/>
              </w:rPr>
              <w:tab/>
            </w:r>
            <w:r w:rsidR="00482119" w:rsidRPr="00A01F1A">
              <w:rPr>
                <w:rFonts w:ascii="Arial" w:hAnsi="Arial" w:cs="Arial"/>
                <w:noProof/>
                <w:webHidden/>
                <w:sz w:val="24"/>
                <w:szCs w:val="24"/>
              </w:rPr>
              <w:fldChar w:fldCharType="begin"/>
            </w:r>
            <w:r w:rsidR="00482119" w:rsidRPr="00A01F1A">
              <w:rPr>
                <w:rFonts w:ascii="Arial" w:hAnsi="Arial" w:cs="Arial"/>
                <w:noProof/>
                <w:webHidden/>
                <w:sz w:val="24"/>
                <w:szCs w:val="24"/>
              </w:rPr>
              <w:instrText xml:space="preserve"> PAGEREF _Toc130332346 \h </w:instrText>
            </w:r>
            <w:r w:rsidR="00482119" w:rsidRPr="00A01F1A">
              <w:rPr>
                <w:rFonts w:ascii="Arial" w:hAnsi="Arial" w:cs="Arial"/>
                <w:noProof/>
                <w:webHidden/>
                <w:sz w:val="24"/>
                <w:szCs w:val="24"/>
              </w:rPr>
            </w:r>
            <w:r w:rsidR="00482119" w:rsidRPr="00A01F1A">
              <w:rPr>
                <w:rFonts w:ascii="Arial" w:hAnsi="Arial" w:cs="Arial"/>
                <w:noProof/>
                <w:webHidden/>
                <w:sz w:val="24"/>
                <w:szCs w:val="24"/>
              </w:rPr>
              <w:fldChar w:fldCharType="separate"/>
            </w:r>
            <w:r w:rsidR="00482119" w:rsidRPr="00A01F1A">
              <w:rPr>
                <w:rFonts w:ascii="Arial" w:hAnsi="Arial" w:cs="Arial"/>
                <w:noProof/>
                <w:webHidden/>
                <w:sz w:val="24"/>
                <w:szCs w:val="24"/>
              </w:rPr>
              <w:t>8</w:t>
            </w:r>
            <w:r w:rsidR="00482119" w:rsidRPr="00A01F1A">
              <w:rPr>
                <w:rFonts w:ascii="Arial" w:hAnsi="Arial" w:cs="Arial"/>
                <w:noProof/>
                <w:webHidden/>
                <w:sz w:val="24"/>
                <w:szCs w:val="24"/>
              </w:rPr>
              <w:fldChar w:fldCharType="end"/>
            </w:r>
          </w:hyperlink>
        </w:p>
        <w:p w14:paraId="6FDC729E" w14:textId="607F3C5E" w:rsidR="00482119" w:rsidRPr="00A01F1A" w:rsidRDefault="00482119" w:rsidP="00482119">
          <w:pPr>
            <w:spacing w:line="360" w:lineRule="auto"/>
            <w:rPr>
              <w:rFonts w:ascii="Arial" w:hAnsi="Arial" w:cs="Arial"/>
              <w:sz w:val="24"/>
              <w:szCs w:val="24"/>
            </w:rPr>
          </w:pPr>
          <w:r w:rsidRPr="00A01F1A">
            <w:rPr>
              <w:rFonts w:ascii="Arial" w:hAnsi="Arial" w:cs="Arial"/>
              <w:b/>
              <w:bCs/>
              <w:noProof/>
              <w:sz w:val="24"/>
              <w:szCs w:val="24"/>
            </w:rPr>
            <w:fldChar w:fldCharType="end"/>
          </w:r>
        </w:p>
      </w:sdtContent>
    </w:sdt>
    <w:p w14:paraId="2FB82459" w14:textId="25F3D894" w:rsidR="00482119" w:rsidRPr="00A01F1A" w:rsidRDefault="00482119" w:rsidP="00482119">
      <w:pPr>
        <w:pStyle w:val="Titlu1"/>
        <w:spacing w:line="360" w:lineRule="auto"/>
        <w:jc w:val="left"/>
        <w:rPr>
          <w:rFonts w:ascii="Arial" w:hAnsi="Arial" w:cs="Arial"/>
          <w:sz w:val="24"/>
          <w:szCs w:val="24"/>
        </w:rPr>
      </w:pPr>
    </w:p>
    <w:p w14:paraId="16C863A9" w14:textId="20A3FF39" w:rsidR="00482119" w:rsidRPr="00A01F1A" w:rsidRDefault="00482119" w:rsidP="00482119">
      <w:pPr>
        <w:spacing w:line="360" w:lineRule="auto"/>
        <w:rPr>
          <w:rFonts w:ascii="Arial" w:hAnsi="Arial" w:cs="Arial"/>
          <w:sz w:val="24"/>
          <w:szCs w:val="24"/>
        </w:rPr>
      </w:pPr>
    </w:p>
    <w:p w14:paraId="4E82E35B" w14:textId="4C0A6F66" w:rsidR="00482119" w:rsidRPr="00A01F1A" w:rsidRDefault="00482119" w:rsidP="00482119">
      <w:pPr>
        <w:spacing w:line="360" w:lineRule="auto"/>
        <w:rPr>
          <w:rFonts w:ascii="Arial" w:hAnsi="Arial" w:cs="Arial"/>
          <w:sz w:val="24"/>
          <w:szCs w:val="24"/>
        </w:rPr>
      </w:pPr>
    </w:p>
    <w:p w14:paraId="476074C5" w14:textId="4D70BE08" w:rsidR="00482119" w:rsidRPr="00A01F1A" w:rsidRDefault="00482119" w:rsidP="00482119">
      <w:pPr>
        <w:spacing w:line="360" w:lineRule="auto"/>
        <w:rPr>
          <w:rFonts w:ascii="Arial" w:hAnsi="Arial" w:cs="Arial"/>
          <w:sz w:val="24"/>
          <w:szCs w:val="24"/>
        </w:rPr>
      </w:pPr>
    </w:p>
    <w:p w14:paraId="7937131E" w14:textId="32D34237" w:rsidR="00482119" w:rsidRPr="00A01F1A" w:rsidRDefault="00482119" w:rsidP="00482119">
      <w:pPr>
        <w:spacing w:line="360" w:lineRule="auto"/>
        <w:rPr>
          <w:rFonts w:ascii="Arial" w:hAnsi="Arial" w:cs="Arial"/>
          <w:sz w:val="24"/>
          <w:szCs w:val="24"/>
        </w:rPr>
      </w:pPr>
    </w:p>
    <w:p w14:paraId="6DA0145D" w14:textId="00724B9A" w:rsidR="00482119" w:rsidRPr="00A01F1A" w:rsidRDefault="00482119" w:rsidP="00482119">
      <w:pPr>
        <w:spacing w:line="360" w:lineRule="auto"/>
        <w:rPr>
          <w:rFonts w:ascii="Arial" w:hAnsi="Arial" w:cs="Arial"/>
          <w:sz w:val="24"/>
          <w:szCs w:val="24"/>
        </w:rPr>
      </w:pPr>
    </w:p>
    <w:p w14:paraId="3BCAF3B1" w14:textId="77777777" w:rsidR="00482119" w:rsidRPr="00A01F1A" w:rsidRDefault="00482119" w:rsidP="00482119">
      <w:pPr>
        <w:spacing w:line="360" w:lineRule="auto"/>
        <w:rPr>
          <w:rFonts w:ascii="Arial" w:hAnsi="Arial" w:cs="Arial"/>
          <w:sz w:val="24"/>
          <w:szCs w:val="24"/>
        </w:rPr>
      </w:pPr>
    </w:p>
    <w:p w14:paraId="54D8196F" w14:textId="13A9F4BD" w:rsidR="00183FE6" w:rsidRPr="00A01F1A" w:rsidRDefault="00183FE6" w:rsidP="00482119">
      <w:pPr>
        <w:pStyle w:val="Titlu1"/>
        <w:spacing w:line="360" w:lineRule="auto"/>
        <w:rPr>
          <w:rFonts w:ascii="Arial" w:hAnsi="Arial" w:cs="Arial"/>
          <w:sz w:val="24"/>
          <w:szCs w:val="24"/>
        </w:rPr>
      </w:pPr>
      <w:bookmarkStart w:id="0" w:name="_Toc130332327"/>
      <w:r w:rsidRPr="00A01F1A">
        <w:rPr>
          <w:rFonts w:ascii="Arial" w:hAnsi="Arial" w:cs="Arial"/>
          <w:sz w:val="24"/>
          <w:szCs w:val="24"/>
        </w:rPr>
        <w:t>Introduction</w:t>
      </w:r>
      <w:bookmarkEnd w:id="0"/>
    </w:p>
    <w:p w14:paraId="0154997C" w14:textId="4A75E954" w:rsidR="00183FE6"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The COVID-19 outbreak has produced huge changes to the way that we live and work, which has led to the requirement of reevaluating established methods of labour. As a result of these changes, we have been forced to reevaluate established methods of labour. Because of the sudden and unexpected surge in the popularity of working from home, there has been an increase in the number of people looking for employment opportunities that offer some degree of flexibility. This report will provide an analysis and evaluation of the benefits of implementing flexible working strategies, as well as considerations for their successful implementation, strategies to promote employee engagement, and the evaluation of employee value propositions for pay structures in a post-pandemic environment. The purpose of this report is to provide a critical analysis and evaluation of the benefits of implementing flexible working strategies.</w:t>
      </w:r>
    </w:p>
    <w:p w14:paraId="2590DB94" w14:textId="77777777" w:rsidR="00183FE6" w:rsidRPr="00A01F1A" w:rsidRDefault="00183FE6" w:rsidP="00482119">
      <w:pPr>
        <w:pStyle w:val="Titlu1"/>
        <w:spacing w:line="360" w:lineRule="auto"/>
        <w:rPr>
          <w:rFonts w:ascii="Arial" w:hAnsi="Arial" w:cs="Arial"/>
          <w:sz w:val="24"/>
          <w:szCs w:val="24"/>
        </w:rPr>
      </w:pPr>
      <w:bookmarkStart w:id="1" w:name="_Toc130332328"/>
      <w:r w:rsidRPr="00A01F1A">
        <w:rPr>
          <w:rFonts w:ascii="Arial" w:hAnsi="Arial" w:cs="Arial"/>
          <w:sz w:val="24"/>
          <w:szCs w:val="24"/>
        </w:rPr>
        <w:t>Benefits of Implementing Flexible Working Strategies</w:t>
      </w:r>
      <w:bookmarkEnd w:id="1"/>
    </w:p>
    <w:p w14:paraId="414472B7" w14:textId="74270EDA" w:rsidR="00183FE6" w:rsidRPr="00A01F1A" w:rsidRDefault="00183FE6" w:rsidP="00482119">
      <w:pPr>
        <w:pStyle w:val="Titlu2"/>
        <w:spacing w:line="360" w:lineRule="auto"/>
        <w:rPr>
          <w:rFonts w:ascii="Arial" w:hAnsi="Arial" w:cs="Arial"/>
          <w:sz w:val="24"/>
          <w:szCs w:val="24"/>
        </w:rPr>
      </w:pPr>
      <w:bookmarkStart w:id="2" w:name="_Toc130332329"/>
      <w:r w:rsidRPr="00A01F1A">
        <w:rPr>
          <w:rFonts w:ascii="Arial" w:hAnsi="Arial" w:cs="Arial"/>
          <w:sz w:val="24"/>
          <w:szCs w:val="24"/>
        </w:rPr>
        <w:t>Work-Life Balance</w:t>
      </w:r>
      <w:bookmarkEnd w:id="2"/>
    </w:p>
    <w:p w14:paraId="2ADF2590" w14:textId="7C3D0F91" w:rsidR="00482119"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 xml:space="preserve">Workers who </w:t>
      </w:r>
      <w:proofErr w:type="gramStart"/>
      <w:r w:rsidRPr="00A01F1A">
        <w:rPr>
          <w:rFonts w:ascii="Arial" w:eastAsia="Times New Roman" w:hAnsi="Arial" w:cs="Arial"/>
          <w:sz w:val="24"/>
          <w:szCs w:val="24"/>
        </w:rPr>
        <w:t>are able to</w:t>
      </w:r>
      <w:proofErr w:type="gramEnd"/>
      <w:r w:rsidRPr="00A01F1A">
        <w:rPr>
          <w:rFonts w:ascii="Arial" w:eastAsia="Times New Roman" w:hAnsi="Arial" w:cs="Arial"/>
          <w:sz w:val="24"/>
          <w:szCs w:val="24"/>
        </w:rPr>
        <w:t xml:space="preserve"> better manage both their personal and professional responsibilities as a result of the availability of flexible working arrangements may report an improvement in their work-life balance as a result of this (</w:t>
      </w:r>
      <w:proofErr w:type="spellStart"/>
      <w:r w:rsidRPr="00A01F1A">
        <w:rPr>
          <w:rFonts w:ascii="Arial" w:eastAsia="Times New Roman" w:hAnsi="Arial" w:cs="Arial"/>
          <w:sz w:val="24"/>
          <w:szCs w:val="24"/>
        </w:rPr>
        <w:t>Kelliher</w:t>
      </w:r>
      <w:proofErr w:type="spellEnd"/>
      <w:r w:rsidRPr="00A01F1A">
        <w:rPr>
          <w:rFonts w:ascii="Arial" w:eastAsia="Times New Roman" w:hAnsi="Arial" w:cs="Arial"/>
          <w:sz w:val="24"/>
          <w:szCs w:val="24"/>
        </w:rPr>
        <w:t xml:space="preserve"> and Anderson, 2010). This can lead to increased job satisfaction, a reduction in stress, and overall improvement in mental health. It is believed that a person has a "work-life balance" when they </w:t>
      </w:r>
      <w:proofErr w:type="gramStart"/>
      <w:r w:rsidRPr="00A01F1A">
        <w:rPr>
          <w:rFonts w:ascii="Arial" w:eastAsia="Times New Roman" w:hAnsi="Arial" w:cs="Arial"/>
          <w:sz w:val="24"/>
          <w:szCs w:val="24"/>
        </w:rPr>
        <w:t>are able to</w:t>
      </w:r>
      <w:proofErr w:type="gramEnd"/>
      <w:r w:rsidRPr="00A01F1A">
        <w:rPr>
          <w:rFonts w:ascii="Arial" w:eastAsia="Times New Roman" w:hAnsi="Arial" w:cs="Arial"/>
          <w:sz w:val="24"/>
          <w:szCs w:val="24"/>
        </w:rPr>
        <w:t xml:space="preserve"> successfully manage their responsibilities and commitments in both their personal and professional lives. The term "work-life balance" refers to the condition in which a person's professional and personal lives are in accordance with one </w:t>
      </w:r>
      <w:r w:rsidRPr="00A01F1A">
        <w:rPr>
          <w:rFonts w:ascii="Arial" w:eastAsia="Times New Roman" w:hAnsi="Arial" w:cs="Arial"/>
          <w:sz w:val="24"/>
          <w:szCs w:val="24"/>
        </w:rPr>
        <w:lastRenderedPageBreak/>
        <w:t>another (</w:t>
      </w:r>
      <w:proofErr w:type="spellStart"/>
      <w:r w:rsidRPr="00A01F1A">
        <w:rPr>
          <w:rFonts w:ascii="Arial" w:eastAsia="Times New Roman" w:hAnsi="Arial" w:cs="Arial"/>
          <w:sz w:val="24"/>
          <w:szCs w:val="24"/>
        </w:rPr>
        <w:t>Greenhaus</w:t>
      </w:r>
      <w:proofErr w:type="spellEnd"/>
      <w:r w:rsidRPr="00A01F1A">
        <w:rPr>
          <w:rFonts w:ascii="Arial" w:eastAsia="Times New Roman" w:hAnsi="Arial" w:cs="Arial"/>
          <w:sz w:val="24"/>
          <w:szCs w:val="24"/>
        </w:rPr>
        <w:t xml:space="preserve"> et al., 2003). Workers should make it a top priority to achieve a healthy balance between their personal and professional life since doing so can lead to increased job satisfaction, lower stress, improved mental and physical health, and overall improved well-being (</w:t>
      </w:r>
      <w:proofErr w:type="spellStart"/>
      <w:r w:rsidRPr="00A01F1A">
        <w:rPr>
          <w:rFonts w:ascii="Arial" w:eastAsia="Times New Roman" w:hAnsi="Arial" w:cs="Arial"/>
          <w:sz w:val="24"/>
          <w:szCs w:val="24"/>
        </w:rPr>
        <w:t>Kossek</w:t>
      </w:r>
      <w:proofErr w:type="spellEnd"/>
      <w:r w:rsidRPr="00A01F1A">
        <w:rPr>
          <w:rFonts w:ascii="Arial" w:eastAsia="Times New Roman" w:hAnsi="Arial" w:cs="Arial"/>
          <w:sz w:val="24"/>
          <w:szCs w:val="24"/>
        </w:rPr>
        <w:t xml:space="preserve"> and Ozeki, 1998). </w:t>
      </w:r>
    </w:p>
    <w:p w14:paraId="0F13A9EF" w14:textId="4A722879" w:rsidR="002562CF"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 xml:space="preserve">In today's fast-paced and </w:t>
      </w:r>
      <w:proofErr w:type="gramStart"/>
      <w:r w:rsidRPr="00A01F1A">
        <w:rPr>
          <w:rFonts w:ascii="Arial" w:eastAsia="Times New Roman" w:hAnsi="Arial" w:cs="Arial"/>
          <w:sz w:val="24"/>
          <w:szCs w:val="24"/>
        </w:rPr>
        <w:t>technologically-driven</w:t>
      </w:r>
      <w:proofErr w:type="gramEnd"/>
      <w:r w:rsidRPr="00A01F1A">
        <w:rPr>
          <w:rFonts w:ascii="Arial" w:eastAsia="Times New Roman" w:hAnsi="Arial" w:cs="Arial"/>
          <w:sz w:val="24"/>
          <w:szCs w:val="24"/>
        </w:rPr>
        <w:t xml:space="preserve"> society, it can be challenging to maintain a good equilibrium between one's personal and professional lives. As a result of factors such as extended working hours, the responsibilities of their jobs, and the assumption that they will be constantly available, it is becoming increasingly difficult for employees to disengage from their work and concentrate on their personal life. This trend is largely attributable to the expectation that employees will be constantly available (Guest, 2002). On the other side, an employee's ability to concentrate on the things that are their responsibility at work can be hindered by personal commitments and obligations to their family, both of which can contribute to feelings of stress.</w:t>
      </w:r>
    </w:p>
    <w:p w14:paraId="006AF67E" w14:textId="3D8418C3" w:rsidR="002562CF"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Companies can assist their employees in achieving a better work-life balance by instituting policies and practise such as flexible working arrangements, options to work remotely, and encouraging a culture that values employees' well-being. In addition, companies can encourage a culture that values the well-being of their employees. This can be accomplished by ensuring that their workers have access to help (</w:t>
      </w:r>
      <w:proofErr w:type="spellStart"/>
      <w:r w:rsidRPr="00A01F1A">
        <w:rPr>
          <w:rFonts w:ascii="Arial" w:eastAsia="Times New Roman" w:hAnsi="Arial" w:cs="Arial"/>
          <w:sz w:val="24"/>
          <w:szCs w:val="24"/>
        </w:rPr>
        <w:t>Kelliher</w:t>
      </w:r>
      <w:proofErr w:type="spellEnd"/>
      <w:r w:rsidRPr="00A01F1A">
        <w:rPr>
          <w:rFonts w:ascii="Arial" w:eastAsia="Times New Roman" w:hAnsi="Arial" w:cs="Arial"/>
          <w:sz w:val="24"/>
          <w:szCs w:val="24"/>
        </w:rPr>
        <w:t xml:space="preserve"> and Anderson, 2010). It is possible for companies to assist their workers in overcoming the challenges of balancing their personal and professional lives by creating a supportive working environment. This, in turn, will result in a workforce that is more invested in their work and more productive (Hill et al., 2006).</w:t>
      </w:r>
    </w:p>
    <w:p w14:paraId="487D5622" w14:textId="23D095B6" w:rsidR="00183FE6" w:rsidRPr="00A01F1A" w:rsidRDefault="00183FE6" w:rsidP="00482119">
      <w:pPr>
        <w:pStyle w:val="Titlu2"/>
        <w:spacing w:line="360" w:lineRule="auto"/>
        <w:rPr>
          <w:rFonts w:ascii="Arial" w:hAnsi="Arial" w:cs="Arial"/>
          <w:sz w:val="24"/>
          <w:szCs w:val="24"/>
        </w:rPr>
      </w:pPr>
      <w:bookmarkStart w:id="3" w:name="_Toc130332330"/>
      <w:r w:rsidRPr="00A01F1A">
        <w:rPr>
          <w:rFonts w:ascii="Arial" w:hAnsi="Arial" w:cs="Arial"/>
          <w:sz w:val="24"/>
          <w:szCs w:val="24"/>
        </w:rPr>
        <w:t>Increased Productivity</w:t>
      </w:r>
      <w:bookmarkEnd w:id="3"/>
    </w:p>
    <w:p w14:paraId="0B5E21CF" w14:textId="06095599" w:rsidR="00183FE6" w:rsidRPr="00A01F1A" w:rsidRDefault="00482119" w:rsidP="00482119">
      <w:pPr>
        <w:spacing w:line="360" w:lineRule="auto"/>
        <w:rPr>
          <w:rFonts w:ascii="Arial" w:hAnsi="Arial" w:cs="Arial"/>
          <w:sz w:val="24"/>
          <w:szCs w:val="24"/>
        </w:rPr>
      </w:pPr>
      <w:proofErr w:type="gramStart"/>
      <w:r w:rsidRPr="00A01F1A">
        <w:rPr>
          <w:rFonts w:ascii="Arial" w:eastAsia="Times New Roman" w:hAnsi="Arial" w:cs="Arial"/>
          <w:sz w:val="24"/>
          <w:szCs w:val="24"/>
        </w:rPr>
        <w:t>A number of</w:t>
      </w:r>
      <w:proofErr w:type="gramEnd"/>
      <w:r w:rsidRPr="00A01F1A">
        <w:rPr>
          <w:rFonts w:ascii="Arial" w:eastAsia="Times New Roman" w:hAnsi="Arial" w:cs="Arial"/>
          <w:sz w:val="24"/>
          <w:szCs w:val="24"/>
        </w:rPr>
        <w:t xml:space="preserve"> studies have come to the conclusion that providing workers with more leeway in terms of when and where they put in their work hours might result in an increase in overall workplace productivity (De Menezes and </w:t>
      </w:r>
      <w:proofErr w:type="spellStart"/>
      <w:r w:rsidRPr="00A01F1A">
        <w:rPr>
          <w:rFonts w:ascii="Arial" w:eastAsia="Times New Roman" w:hAnsi="Arial" w:cs="Arial"/>
          <w:sz w:val="24"/>
          <w:szCs w:val="24"/>
        </w:rPr>
        <w:t>Kelliher</w:t>
      </w:r>
      <w:proofErr w:type="spellEnd"/>
      <w:r w:rsidRPr="00A01F1A">
        <w:rPr>
          <w:rFonts w:ascii="Arial" w:eastAsia="Times New Roman" w:hAnsi="Arial" w:cs="Arial"/>
          <w:sz w:val="24"/>
          <w:szCs w:val="24"/>
        </w:rPr>
        <w:t>, 2011). This has the potential to lead to an improvement in the overall output as well as an improvement in the quality of the job.</w:t>
      </w:r>
    </w:p>
    <w:p w14:paraId="3543B24E" w14:textId="659C17D1" w:rsidR="00183FE6" w:rsidRPr="00A01F1A" w:rsidRDefault="00183FE6" w:rsidP="00482119">
      <w:pPr>
        <w:pStyle w:val="Titlu2"/>
        <w:spacing w:line="360" w:lineRule="auto"/>
        <w:rPr>
          <w:rFonts w:ascii="Arial" w:hAnsi="Arial" w:cs="Arial"/>
          <w:sz w:val="24"/>
          <w:szCs w:val="24"/>
        </w:rPr>
      </w:pPr>
      <w:bookmarkStart w:id="4" w:name="_Toc130332331"/>
      <w:r w:rsidRPr="00A01F1A">
        <w:rPr>
          <w:rFonts w:ascii="Arial" w:hAnsi="Arial" w:cs="Arial"/>
          <w:sz w:val="24"/>
          <w:szCs w:val="24"/>
        </w:rPr>
        <w:t>Talent Attraction and Retention</w:t>
      </w:r>
      <w:bookmarkEnd w:id="4"/>
    </w:p>
    <w:p w14:paraId="011C2558" w14:textId="53351B2B" w:rsidR="00183FE6"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lastRenderedPageBreak/>
        <w:t>It is possible that a company's capacity to give its employees flexible working alternatives may make it more appealing to potential employees. This is particularly true for individuals who are wanting to enhance their work-life balance (Martin and MacDonnell, 2012). Also, businesses that provide such agreements have a greater chance of retaining the staff they already have, which results in reduced costs connected with recruitment and training.</w:t>
      </w:r>
    </w:p>
    <w:p w14:paraId="2FD14DA1" w14:textId="77777777" w:rsidR="00183FE6" w:rsidRPr="00A01F1A" w:rsidRDefault="00183FE6" w:rsidP="00482119">
      <w:pPr>
        <w:pStyle w:val="Titlu1"/>
        <w:spacing w:line="360" w:lineRule="auto"/>
        <w:rPr>
          <w:rFonts w:ascii="Arial" w:hAnsi="Arial" w:cs="Arial"/>
          <w:sz w:val="24"/>
          <w:szCs w:val="24"/>
        </w:rPr>
      </w:pPr>
      <w:bookmarkStart w:id="5" w:name="_Toc130332332"/>
      <w:r w:rsidRPr="00A01F1A">
        <w:rPr>
          <w:rFonts w:ascii="Arial" w:hAnsi="Arial" w:cs="Arial"/>
          <w:sz w:val="24"/>
          <w:szCs w:val="24"/>
        </w:rPr>
        <w:t>Considerations for Implementing Flexible Working</w:t>
      </w:r>
      <w:bookmarkEnd w:id="5"/>
    </w:p>
    <w:p w14:paraId="0B9BD6DC" w14:textId="15FFFDFA" w:rsidR="00183FE6" w:rsidRPr="00A01F1A" w:rsidRDefault="00183FE6" w:rsidP="00482119">
      <w:pPr>
        <w:pStyle w:val="Titlu2"/>
        <w:spacing w:line="360" w:lineRule="auto"/>
        <w:rPr>
          <w:rFonts w:ascii="Arial" w:hAnsi="Arial" w:cs="Arial"/>
          <w:sz w:val="24"/>
          <w:szCs w:val="24"/>
        </w:rPr>
      </w:pPr>
      <w:bookmarkStart w:id="6" w:name="_Toc130332333"/>
      <w:r w:rsidRPr="00A01F1A">
        <w:rPr>
          <w:rFonts w:ascii="Arial" w:hAnsi="Arial" w:cs="Arial"/>
          <w:sz w:val="24"/>
          <w:szCs w:val="24"/>
        </w:rPr>
        <w:t>Organisational Culture</w:t>
      </w:r>
      <w:bookmarkEnd w:id="6"/>
    </w:p>
    <w:p w14:paraId="748E6BD4" w14:textId="4987BA6E" w:rsidR="00183FE6" w:rsidRPr="00A01F1A" w:rsidRDefault="00482119" w:rsidP="00482119">
      <w:pPr>
        <w:spacing w:line="360" w:lineRule="auto"/>
        <w:rPr>
          <w:rFonts w:ascii="Arial" w:hAnsi="Arial" w:cs="Arial"/>
          <w:sz w:val="24"/>
          <w:szCs w:val="24"/>
        </w:rPr>
      </w:pPr>
      <w:proofErr w:type="gramStart"/>
      <w:r w:rsidRPr="00A01F1A">
        <w:rPr>
          <w:rFonts w:ascii="Arial" w:eastAsia="Times New Roman" w:hAnsi="Arial" w:cs="Arial"/>
          <w:sz w:val="24"/>
          <w:szCs w:val="24"/>
        </w:rPr>
        <w:t>In order for</w:t>
      </w:r>
      <w:proofErr w:type="gramEnd"/>
      <w:r w:rsidRPr="00A01F1A">
        <w:rPr>
          <w:rFonts w:ascii="Arial" w:eastAsia="Times New Roman" w:hAnsi="Arial" w:cs="Arial"/>
          <w:sz w:val="24"/>
          <w:szCs w:val="24"/>
        </w:rPr>
        <w:t xml:space="preserve"> a company to successfully implement flexible working arrangements, the company must first build a culture that prioritises trust, open communication, and performance management that is centred on results (Allen et al., 2013). It is essential for supervisors to demonstrate their support for employees' requests for flexible working arrangements and to encourage employees to take responsibility for their own work.</w:t>
      </w:r>
    </w:p>
    <w:p w14:paraId="16CBAB87" w14:textId="18BF2FD9" w:rsidR="00183FE6" w:rsidRPr="00A01F1A" w:rsidRDefault="00183FE6" w:rsidP="00482119">
      <w:pPr>
        <w:pStyle w:val="Titlu2"/>
        <w:spacing w:line="360" w:lineRule="auto"/>
        <w:rPr>
          <w:rFonts w:ascii="Arial" w:hAnsi="Arial" w:cs="Arial"/>
          <w:sz w:val="24"/>
          <w:szCs w:val="24"/>
        </w:rPr>
      </w:pPr>
      <w:bookmarkStart w:id="7" w:name="_Toc130332334"/>
      <w:r w:rsidRPr="00A01F1A">
        <w:rPr>
          <w:rFonts w:ascii="Arial" w:hAnsi="Arial" w:cs="Arial"/>
          <w:sz w:val="24"/>
          <w:szCs w:val="24"/>
        </w:rPr>
        <w:t>Technological Infrastructure</w:t>
      </w:r>
      <w:bookmarkEnd w:id="7"/>
    </w:p>
    <w:p w14:paraId="5D6718C1" w14:textId="38FE582E" w:rsidR="00183FE6"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For the organisation to be successful, it must make the necessary investments in appropriate technology to facilitate management tools and collaboration software (</w:t>
      </w:r>
      <w:proofErr w:type="spellStart"/>
      <w:r w:rsidRPr="00A01F1A">
        <w:rPr>
          <w:rFonts w:ascii="Arial" w:eastAsia="Times New Roman" w:hAnsi="Arial" w:cs="Arial"/>
          <w:sz w:val="24"/>
          <w:szCs w:val="24"/>
        </w:rPr>
        <w:t>Sardeshmukh</w:t>
      </w:r>
      <w:proofErr w:type="spellEnd"/>
      <w:r w:rsidRPr="00A01F1A">
        <w:rPr>
          <w:rFonts w:ascii="Arial" w:eastAsia="Times New Roman" w:hAnsi="Arial" w:cs="Arial"/>
          <w:sz w:val="24"/>
          <w:szCs w:val="24"/>
        </w:rPr>
        <w:t xml:space="preserve"> et al., 2012). Because of this, employees will be able to work effectively from any location, and they will also be able to </w:t>
      </w:r>
      <w:proofErr w:type="gramStart"/>
      <w:r w:rsidRPr="00A01F1A">
        <w:rPr>
          <w:rFonts w:ascii="Arial" w:eastAsia="Times New Roman" w:hAnsi="Arial" w:cs="Arial"/>
          <w:sz w:val="24"/>
          <w:szCs w:val="24"/>
        </w:rPr>
        <w:t>maintain smooth communication with their teammates and bosses at all times</w:t>
      </w:r>
      <w:proofErr w:type="gramEnd"/>
      <w:r w:rsidRPr="00A01F1A">
        <w:rPr>
          <w:rFonts w:ascii="Arial" w:eastAsia="Times New Roman" w:hAnsi="Arial" w:cs="Arial"/>
          <w:sz w:val="24"/>
          <w:szCs w:val="24"/>
        </w:rPr>
        <w:t>.</w:t>
      </w:r>
    </w:p>
    <w:p w14:paraId="572D8418" w14:textId="50EA9AF4" w:rsidR="00183FE6" w:rsidRPr="00A01F1A" w:rsidRDefault="00183FE6" w:rsidP="00482119">
      <w:pPr>
        <w:pStyle w:val="Titlu2"/>
        <w:spacing w:line="360" w:lineRule="auto"/>
        <w:rPr>
          <w:rFonts w:ascii="Arial" w:hAnsi="Arial" w:cs="Arial"/>
          <w:sz w:val="24"/>
          <w:szCs w:val="24"/>
        </w:rPr>
      </w:pPr>
      <w:bookmarkStart w:id="8" w:name="_Toc130332335"/>
      <w:r w:rsidRPr="00A01F1A">
        <w:rPr>
          <w:rFonts w:ascii="Arial" w:hAnsi="Arial" w:cs="Arial"/>
          <w:sz w:val="24"/>
          <w:szCs w:val="24"/>
        </w:rPr>
        <w:t>Legal and Regulatory Compliance</w:t>
      </w:r>
      <w:bookmarkEnd w:id="8"/>
    </w:p>
    <w:p w14:paraId="083180B6" w14:textId="1D7B38FD" w:rsidR="00183FE6"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Companies have an obligation to comply with all employment laws and regulations that are in effect, including working hour directives and health and safety regulations, when they are putting in place flexible working arrangements for their employees (</w:t>
      </w:r>
      <w:proofErr w:type="spellStart"/>
      <w:r w:rsidRPr="00A01F1A">
        <w:rPr>
          <w:rFonts w:ascii="Arial" w:eastAsia="Times New Roman" w:hAnsi="Arial" w:cs="Arial"/>
          <w:sz w:val="24"/>
          <w:szCs w:val="24"/>
        </w:rPr>
        <w:t>Kossek</w:t>
      </w:r>
      <w:proofErr w:type="spellEnd"/>
      <w:r w:rsidRPr="00A01F1A">
        <w:rPr>
          <w:rFonts w:ascii="Arial" w:eastAsia="Times New Roman" w:hAnsi="Arial" w:cs="Arial"/>
          <w:sz w:val="24"/>
          <w:szCs w:val="24"/>
        </w:rPr>
        <w:t xml:space="preserve"> et al., 2014). As a result of this, it's probable that the policies and procedures that are currently being followed will require some sort of adjustment </w:t>
      </w:r>
      <w:proofErr w:type="gramStart"/>
      <w:r w:rsidRPr="00A01F1A">
        <w:rPr>
          <w:rFonts w:ascii="Arial" w:eastAsia="Times New Roman" w:hAnsi="Arial" w:cs="Arial"/>
          <w:sz w:val="24"/>
          <w:szCs w:val="24"/>
        </w:rPr>
        <w:t>in the near future</w:t>
      </w:r>
      <w:proofErr w:type="gramEnd"/>
      <w:r w:rsidRPr="00A01F1A">
        <w:rPr>
          <w:rFonts w:ascii="Arial" w:eastAsia="Times New Roman" w:hAnsi="Arial" w:cs="Arial"/>
          <w:sz w:val="24"/>
          <w:szCs w:val="24"/>
        </w:rPr>
        <w:t>.</w:t>
      </w:r>
    </w:p>
    <w:p w14:paraId="6E23807C" w14:textId="77777777" w:rsidR="00183FE6" w:rsidRPr="00A01F1A" w:rsidRDefault="00183FE6" w:rsidP="00482119">
      <w:pPr>
        <w:pStyle w:val="Titlu1"/>
        <w:spacing w:line="360" w:lineRule="auto"/>
        <w:rPr>
          <w:rFonts w:ascii="Arial" w:hAnsi="Arial" w:cs="Arial"/>
          <w:sz w:val="24"/>
          <w:szCs w:val="24"/>
        </w:rPr>
      </w:pPr>
      <w:bookmarkStart w:id="9" w:name="_Toc130332336"/>
      <w:r w:rsidRPr="00A01F1A">
        <w:rPr>
          <w:rFonts w:ascii="Arial" w:hAnsi="Arial" w:cs="Arial"/>
          <w:sz w:val="24"/>
          <w:szCs w:val="24"/>
        </w:rPr>
        <w:t>Strategies to Promote Employee Engagement</w:t>
      </w:r>
      <w:bookmarkEnd w:id="9"/>
    </w:p>
    <w:p w14:paraId="630501FE" w14:textId="5104FF73" w:rsidR="00183FE6" w:rsidRPr="00A01F1A" w:rsidRDefault="00183FE6" w:rsidP="00482119">
      <w:pPr>
        <w:pStyle w:val="Titlu2"/>
        <w:spacing w:line="360" w:lineRule="auto"/>
        <w:rPr>
          <w:rFonts w:ascii="Arial" w:hAnsi="Arial" w:cs="Arial"/>
          <w:sz w:val="24"/>
          <w:szCs w:val="24"/>
        </w:rPr>
      </w:pPr>
      <w:bookmarkStart w:id="10" w:name="_Toc130332337"/>
      <w:r w:rsidRPr="00A01F1A">
        <w:rPr>
          <w:rFonts w:ascii="Arial" w:hAnsi="Arial" w:cs="Arial"/>
          <w:sz w:val="24"/>
          <w:szCs w:val="24"/>
        </w:rPr>
        <w:t>Regular Communication and Feedback</w:t>
      </w:r>
      <w:bookmarkEnd w:id="10"/>
    </w:p>
    <w:p w14:paraId="1D57CFF0" w14:textId="254824D1" w:rsidR="002562CF"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lastRenderedPageBreak/>
        <w:t>It is necessary to maintain open lines of communication in order to foster employee participation in the workplace, even when there is some degree of leeway for employees to make their own decisions (Mann and Holdsworth, 2003). It is the obligation of managers to check in with employees on a frequent basis, provide feedback on their performance, and discuss any challenges or difficulties that employees may find when working flexibly. Checking in with employees also includes offering comments on their performance. Regular communication and feedback are essential components of the effective management of an organization's human resources and, more broadly, of the organization's ability to achieve its goals (London, 2003). The construction of open lines of communication between employees and their supervisors facilitates the timely sharing of information, ideas, and concerns, which contributes to the development of a working environment that is both transparent and collaborative (De Ridder, 2004).</w:t>
      </w:r>
    </w:p>
    <w:p w14:paraId="4CD0FC02" w14:textId="32663930" w:rsidR="002562CF"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 xml:space="preserve">It is of the utmost importance to provide employees with feedback, both positive and constructive, in order to aid them in better comprehending how their performance connects to the anticipations and objectives of the </w:t>
      </w:r>
      <w:proofErr w:type="spellStart"/>
      <w:r w:rsidRPr="00A01F1A">
        <w:rPr>
          <w:rFonts w:ascii="Arial" w:eastAsia="Times New Roman" w:hAnsi="Arial" w:cs="Arial"/>
          <w:sz w:val="24"/>
          <w:szCs w:val="24"/>
        </w:rPr>
        <w:t>organisation</w:t>
      </w:r>
      <w:proofErr w:type="spellEnd"/>
      <w:r w:rsidRPr="00A01F1A">
        <w:rPr>
          <w:rFonts w:ascii="Arial" w:eastAsia="Times New Roman" w:hAnsi="Arial" w:cs="Arial"/>
          <w:sz w:val="24"/>
          <w:szCs w:val="24"/>
        </w:rPr>
        <w:t xml:space="preserve"> (</w:t>
      </w:r>
      <w:proofErr w:type="spellStart"/>
      <w:r w:rsidRPr="00A01F1A">
        <w:rPr>
          <w:rFonts w:ascii="Arial" w:eastAsia="Times New Roman" w:hAnsi="Arial" w:cs="Arial"/>
          <w:sz w:val="24"/>
          <w:szCs w:val="24"/>
        </w:rPr>
        <w:t>Ilgen</w:t>
      </w:r>
      <w:proofErr w:type="spellEnd"/>
      <w:r w:rsidRPr="00A01F1A">
        <w:rPr>
          <w:rFonts w:ascii="Arial" w:eastAsia="Times New Roman" w:hAnsi="Arial" w:cs="Arial"/>
          <w:sz w:val="24"/>
          <w:szCs w:val="24"/>
        </w:rPr>
        <w:t xml:space="preserve"> et al., </w:t>
      </w:r>
      <w:r w:rsidR="008A41B1" w:rsidRPr="00A01F1A">
        <w:rPr>
          <w:rFonts w:ascii="Arial" w:eastAsia="Times New Roman" w:hAnsi="Arial" w:cs="Arial"/>
          <w:sz w:val="24"/>
          <w:szCs w:val="24"/>
        </w:rPr>
        <w:t>2020</w:t>
      </w:r>
      <w:r w:rsidRPr="00A01F1A">
        <w:rPr>
          <w:rFonts w:ascii="Arial" w:eastAsia="Times New Roman" w:hAnsi="Arial" w:cs="Arial"/>
          <w:sz w:val="24"/>
          <w:szCs w:val="24"/>
        </w:rPr>
        <w:t xml:space="preserve">). </w:t>
      </w:r>
      <w:proofErr w:type="gramStart"/>
      <w:r w:rsidRPr="00A01F1A">
        <w:rPr>
          <w:rFonts w:ascii="Arial" w:eastAsia="Times New Roman" w:hAnsi="Arial" w:cs="Arial"/>
          <w:sz w:val="24"/>
          <w:szCs w:val="24"/>
        </w:rPr>
        <w:t>By the use of</w:t>
      </w:r>
      <w:proofErr w:type="gramEnd"/>
      <w:r w:rsidRPr="00A01F1A">
        <w:rPr>
          <w:rFonts w:ascii="Arial" w:eastAsia="Times New Roman" w:hAnsi="Arial" w:cs="Arial"/>
          <w:sz w:val="24"/>
          <w:szCs w:val="24"/>
        </w:rPr>
        <w:t xml:space="preserve"> regular feedback, employees are able to uncover areas in which they may improve, learn from their mistakes, and build on their strengths, which ultimately leads to continuous personal and professional improvement (Kluger and </w:t>
      </w:r>
      <w:proofErr w:type="spellStart"/>
      <w:r w:rsidRPr="00A01F1A">
        <w:rPr>
          <w:rFonts w:ascii="Arial" w:eastAsia="Times New Roman" w:hAnsi="Arial" w:cs="Arial"/>
          <w:sz w:val="24"/>
          <w:szCs w:val="24"/>
        </w:rPr>
        <w:t>DeNisi</w:t>
      </w:r>
      <w:proofErr w:type="spellEnd"/>
      <w:r w:rsidRPr="00A01F1A">
        <w:rPr>
          <w:rFonts w:ascii="Arial" w:eastAsia="Times New Roman" w:hAnsi="Arial" w:cs="Arial"/>
          <w:sz w:val="24"/>
          <w:szCs w:val="24"/>
        </w:rPr>
        <w:t xml:space="preserve">, </w:t>
      </w:r>
      <w:r w:rsidR="008A41B1" w:rsidRPr="00A01F1A">
        <w:rPr>
          <w:rFonts w:ascii="Arial" w:eastAsia="Times New Roman" w:hAnsi="Arial" w:cs="Arial"/>
          <w:sz w:val="24"/>
          <w:szCs w:val="24"/>
        </w:rPr>
        <w:t>2020</w:t>
      </w:r>
      <w:r w:rsidRPr="00A01F1A">
        <w:rPr>
          <w:rFonts w:ascii="Arial" w:eastAsia="Times New Roman" w:hAnsi="Arial" w:cs="Arial"/>
          <w:sz w:val="24"/>
          <w:szCs w:val="24"/>
        </w:rPr>
        <w:t>).</w:t>
      </w:r>
    </w:p>
    <w:p w14:paraId="0860C00E" w14:textId="2E6C7450" w:rsidR="002562CF"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When efficient communication and feedback mechanisms are in place, employees have a greater chance of feeling engaged in their work, fulfilled in their jobs, and motivated because they are heard, appreciated, and supported in their responsibilities (Saks, 2006). Also, open communication channels make it possible for organisations to address issues or concerns in a proactive manner, thereby avoiding the possibility of misunderstandings or disagreements that could impede productivity and team cohesion. This is because open communication channels make it possible for organisations to address issues or concerns in a proactive manner (Robbins et al., 2011).</w:t>
      </w:r>
    </w:p>
    <w:p w14:paraId="522A4B4F" w14:textId="13E98DDE" w:rsidR="00183FE6"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 xml:space="preserve">One-on-one meetings, performance reviews, team debriefings, and open-door policies are just some of the practices that businesses may implement to make it easier for employees to communicate and provide feedback on a more consistent basis. Other </w:t>
      </w:r>
      <w:r w:rsidRPr="00A01F1A">
        <w:rPr>
          <w:rFonts w:ascii="Arial" w:eastAsia="Times New Roman" w:hAnsi="Arial" w:cs="Arial"/>
          <w:sz w:val="24"/>
          <w:szCs w:val="24"/>
        </w:rPr>
        <w:lastRenderedPageBreak/>
        <w:t xml:space="preserve">practices include regular team debriefings and performance evaluations (Murphy and Cleveland, </w:t>
      </w:r>
      <w:r w:rsidR="008A41B1" w:rsidRPr="00A01F1A">
        <w:rPr>
          <w:rFonts w:ascii="Arial" w:eastAsia="Times New Roman" w:hAnsi="Arial" w:cs="Arial"/>
          <w:sz w:val="24"/>
          <w:szCs w:val="24"/>
        </w:rPr>
        <w:t>2020</w:t>
      </w:r>
      <w:r w:rsidRPr="00A01F1A">
        <w:rPr>
          <w:rFonts w:ascii="Arial" w:eastAsia="Times New Roman" w:hAnsi="Arial" w:cs="Arial"/>
          <w:sz w:val="24"/>
          <w:szCs w:val="24"/>
        </w:rPr>
        <w:t xml:space="preserve">). It is essential to make certain that employees have access to </w:t>
      </w:r>
      <w:proofErr w:type="gramStart"/>
      <w:r w:rsidRPr="00A01F1A">
        <w:rPr>
          <w:rFonts w:ascii="Arial" w:eastAsia="Times New Roman" w:hAnsi="Arial" w:cs="Arial"/>
          <w:sz w:val="24"/>
          <w:szCs w:val="24"/>
        </w:rPr>
        <w:t>a number of</w:t>
      </w:r>
      <w:proofErr w:type="gramEnd"/>
      <w:r w:rsidRPr="00A01F1A">
        <w:rPr>
          <w:rFonts w:ascii="Arial" w:eastAsia="Times New Roman" w:hAnsi="Arial" w:cs="Arial"/>
          <w:sz w:val="24"/>
          <w:szCs w:val="24"/>
        </w:rPr>
        <w:t xml:space="preserve"> different avenues through which they can express their viewpoints, obtain comments on those viewpoints, and maintain positive working relationships with their superiors and coworkers. One method to accomplish this objective is by putting in place a mix of channels of communication that are formal and informal.</w:t>
      </w:r>
    </w:p>
    <w:p w14:paraId="3B97EDF7" w14:textId="47C8B000" w:rsidR="00183FE6" w:rsidRPr="00A01F1A" w:rsidRDefault="00183FE6" w:rsidP="00482119">
      <w:pPr>
        <w:pStyle w:val="Titlu2"/>
        <w:spacing w:line="360" w:lineRule="auto"/>
        <w:rPr>
          <w:rFonts w:ascii="Arial" w:hAnsi="Arial" w:cs="Arial"/>
          <w:sz w:val="24"/>
          <w:szCs w:val="24"/>
        </w:rPr>
      </w:pPr>
      <w:bookmarkStart w:id="11" w:name="_Toc130332338"/>
      <w:r w:rsidRPr="00A01F1A">
        <w:rPr>
          <w:rFonts w:ascii="Arial" w:hAnsi="Arial" w:cs="Arial"/>
          <w:sz w:val="24"/>
          <w:szCs w:val="24"/>
        </w:rPr>
        <w:t>Encouraging Collaboration</w:t>
      </w:r>
      <w:bookmarkEnd w:id="11"/>
    </w:p>
    <w:p w14:paraId="4E90F585" w14:textId="5982387D" w:rsidR="00183FE6"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Keeping the spirit of teamwork and collaboration alive among employees can be an effective way to keep people interested in the work that they do (Gajendran and Harrison, 2007). This is something that can be done by utilising collaborative project management systems, cross-functional team projects, and virtual activities for creating teams as a means of accomplishing this goal.</w:t>
      </w:r>
    </w:p>
    <w:p w14:paraId="2A27D286" w14:textId="66AEBE56" w:rsidR="00183FE6" w:rsidRPr="00A01F1A" w:rsidRDefault="00183FE6" w:rsidP="00482119">
      <w:pPr>
        <w:pStyle w:val="Titlu2"/>
        <w:spacing w:line="360" w:lineRule="auto"/>
        <w:rPr>
          <w:rFonts w:ascii="Arial" w:hAnsi="Arial" w:cs="Arial"/>
          <w:sz w:val="24"/>
          <w:szCs w:val="24"/>
        </w:rPr>
      </w:pPr>
      <w:bookmarkStart w:id="12" w:name="_Toc130332339"/>
      <w:r w:rsidRPr="00A01F1A">
        <w:rPr>
          <w:rFonts w:ascii="Arial" w:hAnsi="Arial" w:cs="Arial"/>
          <w:sz w:val="24"/>
          <w:szCs w:val="24"/>
        </w:rPr>
        <w:t>Recognition and Rewards</w:t>
      </w:r>
      <w:bookmarkEnd w:id="12"/>
    </w:p>
    <w:p w14:paraId="54C42509" w14:textId="2A41C50C" w:rsidR="00183FE6"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Acknowledgement and Favorable Treatment Regardless of the working arrangements that employees are subject to, it is essential for the continuous motivation and engagement of employees that their contributions be recognised and that they are rewarded in some way. This is the case even if employees work in shifts (Saks, 2006). Employers should develop performance management systems that acknowledge the achievements of remote and flexible workers and provide equitable opportunities for career advancement. These systems should also take into account the fact that remote and flexible workers may work in a variety of settings. These systems need to take into consideration the fact that remote and flexible workers may do their jobs in a wide range of environments.</w:t>
      </w:r>
    </w:p>
    <w:p w14:paraId="03CDB99E" w14:textId="77777777" w:rsidR="00183FE6" w:rsidRPr="00A01F1A" w:rsidRDefault="00183FE6" w:rsidP="00482119">
      <w:pPr>
        <w:pStyle w:val="Titlu1"/>
        <w:spacing w:line="360" w:lineRule="auto"/>
        <w:rPr>
          <w:rFonts w:ascii="Arial" w:hAnsi="Arial" w:cs="Arial"/>
          <w:sz w:val="24"/>
          <w:szCs w:val="24"/>
        </w:rPr>
      </w:pPr>
      <w:bookmarkStart w:id="13" w:name="_Toc130332340"/>
      <w:r w:rsidRPr="00A01F1A">
        <w:rPr>
          <w:rFonts w:ascii="Arial" w:hAnsi="Arial" w:cs="Arial"/>
          <w:sz w:val="24"/>
          <w:szCs w:val="24"/>
        </w:rPr>
        <w:t>Evaluating Employee Value Proposition for Pay Structure Implementation</w:t>
      </w:r>
      <w:bookmarkEnd w:id="13"/>
    </w:p>
    <w:p w14:paraId="065692BB" w14:textId="655FA77A" w:rsidR="00183FE6" w:rsidRPr="00A01F1A" w:rsidRDefault="00183FE6" w:rsidP="00482119">
      <w:pPr>
        <w:pStyle w:val="Titlu2"/>
        <w:spacing w:line="360" w:lineRule="auto"/>
        <w:rPr>
          <w:rFonts w:ascii="Arial" w:hAnsi="Arial" w:cs="Arial"/>
          <w:sz w:val="24"/>
          <w:szCs w:val="24"/>
        </w:rPr>
      </w:pPr>
      <w:bookmarkStart w:id="14" w:name="_Toc130332341"/>
      <w:r w:rsidRPr="00A01F1A">
        <w:rPr>
          <w:rFonts w:ascii="Arial" w:hAnsi="Arial" w:cs="Arial"/>
          <w:sz w:val="24"/>
          <w:szCs w:val="24"/>
        </w:rPr>
        <w:t>Identifying Key Components</w:t>
      </w:r>
      <w:bookmarkEnd w:id="14"/>
    </w:p>
    <w:p w14:paraId="4247C97B" w14:textId="106D4E13" w:rsidR="00183FE6"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 xml:space="preserve">In order for organisations to successfully implement an efficient pay structure, they must first identify the key components of their employee value proposition (EVP), which may include non-financial benefits such as flexible working arrangements in addition to </w:t>
      </w:r>
      <w:r w:rsidRPr="00A01F1A">
        <w:rPr>
          <w:rFonts w:ascii="Arial" w:eastAsia="Times New Roman" w:hAnsi="Arial" w:cs="Arial"/>
          <w:sz w:val="24"/>
          <w:szCs w:val="24"/>
        </w:rPr>
        <w:lastRenderedPageBreak/>
        <w:t>financial benefits such as financial rewards and opportunities for professional growth. This is necessary for organisations to be able to successfully implement an efficient pay structure (</w:t>
      </w:r>
      <w:proofErr w:type="spellStart"/>
      <w:r w:rsidRPr="00A01F1A">
        <w:rPr>
          <w:rFonts w:ascii="Arial" w:eastAsia="Times New Roman" w:hAnsi="Arial" w:cs="Arial"/>
          <w:sz w:val="24"/>
          <w:szCs w:val="24"/>
        </w:rPr>
        <w:t>Minchington</w:t>
      </w:r>
      <w:proofErr w:type="spellEnd"/>
      <w:r w:rsidRPr="00A01F1A">
        <w:rPr>
          <w:rFonts w:ascii="Arial" w:eastAsia="Times New Roman" w:hAnsi="Arial" w:cs="Arial"/>
          <w:sz w:val="24"/>
          <w:szCs w:val="24"/>
        </w:rPr>
        <w:t>, 2005).</w:t>
      </w:r>
    </w:p>
    <w:p w14:paraId="57093A57" w14:textId="21A8D0C2" w:rsidR="00183FE6" w:rsidRPr="00A01F1A" w:rsidRDefault="00183FE6" w:rsidP="00482119">
      <w:pPr>
        <w:pStyle w:val="Titlu2"/>
        <w:spacing w:line="360" w:lineRule="auto"/>
        <w:rPr>
          <w:rFonts w:ascii="Arial" w:hAnsi="Arial" w:cs="Arial"/>
          <w:sz w:val="24"/>
          <w:szCs w:val="24"/>
        </w:rPr>
      </w:pPr>
      <w:bookmarkStart w:id="15" w:name="_Toc130332342"/>
      <w:r w:rsidRPr="00A01F1A">
        <w:rPr>
          <w:rFonts w:ascii="Arial" w:hAnsi="Arial" w:cs="Arial"/>
          <w:sz w:val="24"/>
          <w:szCs w:val="24"/>
        </w:rPr>
        <w:t>Market Benchmarking</w:t>
      </w:r>
      <w:bookmarkEnd w:id="15"/>
    </w:p>
    <w:p w14:paraId="18100076" w14:textId="76C7C985" w:rsidR="00183FE6"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To ensure that their employee value proposition (EVP) remains competitive and appealing to both their current workforce as well as any potential future workforce, organisations should benchmark their pay structure against industry norms and the offerings of their competitors. This will ensure that their EVP continues to be competitive and attracts both their current workforce as well as any potential future workforce (Kaplan and Norton, 2004).</w:t>
      </w:r>
    </w:p>
    <w:p w14:paraId="38EE7513" w14:textId="6CE6366B" w:rsidR="00183FE6" w:rsidRPr="00A01F1A" w:rsidRDefault="00183FE6" w:rsidP="00482119">
      <w:pPr>
        <w:pStyle w:val="Titlu2"/>
        <w:spacing w:line="360" w:lineRule="auto"/>
        <w:rPr>
          <w:rFonts w:ascii="Arial" w:hAnsi="Arial" w:cs="Arial"/>
          <w:sz w:val="24"/>
          <w:szCs w:val="24"/>
        </w:rPr>
      </w:pPr>
      <w:bookmarkStart w:id="16" w:name="_Toc130332343"/>
      <w:r w:rsidRPr="00A01F1A">
        <w:rPr>
          <w:rFonts w:ascii="Arial" w:hAnsi="Arial" w:cs="Arial"/>
          <w:sz w:val="24"/>
          <w:szCs w:val="24"/>
        </w:rPr>
        <w:t>Aligning Pay Structure with Organisational Goals</w:t>
      </w:r>
      <w:bookmarkEnd w:id="16"/>
    </w:p>
    <w:p w14:paraId="6E686B8C" w14:textId="5735BD69" w:rsidR="00183FE6"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The compensation system ought to be fashioned in such a way as to encourage organisational behaviours that are in accordance with the goals and principles of the company (Armstrong and Brown, 2006). This may involve connecting performance-related remuneration to specific targets or prioritising certain components of the EVP based on the organization's strategic focus. Another option is to prioritise certain aspects of the EVP based on their potential impact on the organisation.</w:t>
      </w:r>
    </w:p>
    <w:p w14:paraId="36F2CEE6" w14:textId="78F6EDF3" w:rsidR="00183FE6" w:rsidRPr="00A01F1A" w:rsidRDefault="00183FE6" w:rsidP="00482119">
      <w:pPr>
        <w:pStyle w:val="Titlu2"/>
        <w:spacing w:line="360" w:lineRule="auto"/>
        <w:rPr>
          <w:rFonts w:ascii="Arial" w:hAnsi="Arial" w:cs="Arial"/>
          <w:sz w:val="24"/>
          <w:szCs w:val="24"/>
        </w:rPr>
      </w:pPr>
      <w:bookmarkStart w:id="17" w:name="_Toc130332344"/>
      <w:r w:rsidRPr="00A01F1A">
        <w:rPr>
          <w:rFonts w:ascii="Arial" w:hAnsi="Arial" w:cs="Arial"/>
          <w:sz w:val="24"/>
          <w:szCs w:val="24"/>
        </w:rPr>
        <w:t>Monitoring and Evaluation</w:t>
      </w:r>
      <w:bookmarkEnd w:id="17"/>
    </w:p>
    <w:p w14:paraId="1BF81CE8" w14:textId="217EFA72" w:rsidR="00183FE6"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It is recommended that the EVP and pay structure be evaluated and monitored on a regular basis in order to ensure that they continue to be effective and remain aligned with the goals of the organisation (Purcell and Hutchinson, 2007). This may involve examining employee feedback, retention rates, and the efficacy of recruitment efforts, as well as assessing the impact of flexible working arrangements on the overall satisfaction and performance of employees.</w:t>
      </w:r>
    </w:p>
    <w:p w14:paraId="1879B179" w14:textId="77777777" w:rsidR="00183FE6" w:rsidRPr="00A01F1A" w:rsidRDefault="00183FE6" w:rsidP="00482119">
      <w:pPr>
        <w:pStyle w:val="Titlu1"/>
        <w:spacing w:line="360" w:lineRule="auto"/>
        <w:rPr>
          <w:rFonts w:ascii="Arial" w:hAnsi="Arial" w:cs="Arial"/>
          <w:sz w:val="24"/>
          <w:szCs w:val="24"/>
        </w:rPr>
      </w:pPr>
      <w:bookmarkStart w:id="18" w:name="_Toc130332345"/>
      <w:r w:rsidRPr="00A01F1A">
        <w:rPr>
          <w:rFonts w:ascii="Arial" w:hAnsi="Arial" w:cs="Arial"/>
          <w:sz w:val="24"/>
          <w:szCs w:val="24"/>
        </w:rPr>
        <w:t>Conclusion</w:t>
      </w:r>
      <w:bookmarkEnd w:id="18"/>
    </w:p>
    <w:p w14:paraId="0F9A237C" w14:textId="4ED7FF27" w:rsidR="00183FE6" w:rsidRPr="00A01F1A" w:rsidRDefault="00482119" w:rsidP="00482119">
      <w:pPr>
        <w:spacing w:line="360" w:lineRule="auto"/>
        <w:rPr>
          <w:rFonts w:ascii="Arial" w:hAnsi="Arial" w:cs="Arial"/>
          <w:sz w:val="24"/>
          <w:szCs w:val="24"/>
        </w:rPr>
      </w:pPr>
      <w:r w:rsidRPr="00A01F1A">
        <w:rPr>
          <w:rFonts w:ascii="Arial" w:eastAsia="Times New Roman" w:hAnsi="Arial" w:cs="Arial"/>
          <w:sz w:val="24"/>
          <w:szCs w:val="24"/>
        </w:rPr>
        <w:t xml:space="preserve">The implementation of techniques for flexible working can bring considerable benefits to organisations, including improvements in work-life balance, higher levels of productivity, </w:t>
      </w:r>
      <w:r w:rsidRPr="00A01F1A">
        <w:rPr>
          <w:rFonts w:ascii="Arial" w:eastAsia="Times New Roman" w:hAnsi="Arial" w:cs="Arial"/>
          <w:sz w:val="24"/>
          <w:szCs w:val="24"/>
        </w:rPr>
        <w:lastRenderedPageBreak/>
        <w:t>and expanded capabilities for attracting and retaining talented employees. Yet, the success of these arrangements is contingent on an organisational culture that is receptive to them, a solid technological infrastructure, and compliance with the relevant laws. Organizations should place a strong emphasis on regular communication, collaboration, and appreciation in order to retain employee engagement in an environment that allows for a flexible work schedule. In addition, the review of the employee value proposition (EVP) and the development of a competitive compensation structure are vital for ensuring that the organisation continues to be an attractive employer in the era that follows COVID-19.</w:t>
      </w:r>
    </w:p>
    <w:p w14:paraId="2F0E3B4F" w14:textId="609E8C48" w:rsidR="00183FE6" w:rsidRPr="00A01F1A" w:rsidRDefault="00183FE6" w:rsidP="00482119">
      <w:pPr>
        <w:spacing w:line="360" w:lineRule="auto"/>
        <w:rPr>
          <w:rFonts w:ascii="Arial" w:hAnsi="Arial" w:cs="Arial"/>
          <w:sz w:val="24"/>
          <w:szCs w:val="24"/>
        </w:rPr>
      </w:pPr>
    </w:p>
    <w:p w14:paraId="7EC713EA" w14:textId="77777777" w:rsidR="00183FE6" w:rsidRPr="00A01F1A" w:rsidRDefault="00183FE6" w:rsidP="00482119">
      <w:pPr>
        <w:spacing w:line="360" w:lineRule="auto"/>
        <w:rPr>
          <w:rFonts w:ascii="Arial" w:hAnsi="Arial" w:cs="Arial"/>
          <w:sz w:val="24"/>
          <w:szCs w:val="24"/>
        </w:rPr>
        <w:sectPr w:rsidR="00183FE6" w:rsidRPr="00A01F1A" w:rsidSect="00482119">
          <w:pgSz w:w="12240" w:h="15840"/>
          <w:pgMar w:top="1440" w:right="1440" w:bottom="1440" w:left="1440" w:header="720" w:footer="720" w:gutter="0"/>
          <w:pgNumType w:start="1"/>
          <w:cols w:space="720"/>
          <w:docGrid w:linePitch="360"/>
        </w:sectPr>
      </w:pPr>
    </w:p>
    <w:p w14:paraId="6B217D0C" w14:textId="3D7842D5" w:rsidR="00183FE6" w:rsidRPr="00A01F1A" w:rsidRDefault="00183FE6" w:rsidP="00482119">
      <w:pPr>
        <w:pStyle w:val="Titlu1"/>
        <w:spacing w:line="360" w:lineRule="auto"/>
        <w:rPr>
          <w:rFonts w:ascii="Arial" w:hAnsi="Arial" w:cs="Arial"/>
          <w:sz w:val="24"/>
          <w:szCs w:val="24"/>
        </w:rPr>
      </w:pPr>
      <w:bookmarkStart w:id="19" w:name="_Toc130332346"/>
      <w:r w:rsidRPr="00A01F1A">
        <w:rPr>
          <w:rFonts w:ascii="Arial" w:hAnsi="Arial" w:cs="Arial"/>
          <w:sz w:val="24"/>
          <w:szCs w:val="24"/>
        </w:rPr>
        <w:lastRenderedPageBreak/>
        <w:t>References</w:t>
      </w:r>
      <w:bookmarkEnd w:id="19"/>
    </w:p>
    <w:p w14:paraId="653247DA" w14:textId="7501BDCD" w:rsidR="00183FE6" w:rsidRPr="00A01F1A" w:rsidRDefault="00183FE6" w:rsidP="00482119">
      <w:pPr>
        <w:spacing w:line="360" w:lineRule="auto"/>
        <w:ind w:left="720" w:hanging="720"/>
        <w:rPr>
          <w:rFonts w:ascii="Arial" w:hAnsi="Arial" w:cs="Arial"/>
          <w:sz w:val="24"/>
          <w:szCs w:val="24"/>
        </w:rPr>
      </w:pPr>
      <w:r w:rsidRPr="00A01F1A">
        <w:rPr>
          <w:rFonts w:ascii="Arial" w:hAnsi="Arial" w:cs="Arial"/>
          <w:sz w:val="24"/>
          <w:szCs w:val="24"/>
        </w:rPr>
        <w:t>Allen, T</w:t>
      </w:r>
      <w:r w:rsidRPr="00A01F1A">
        <w:rPr>
          <w:rFonts w:ascii="Arial" w:eastAsia="Times New Roman" w:hAnsi="Arial" w:cs="Arial"/>
          <w:sz w:val="24"/>
          <w:szCs w:val="24"/>
        </w:rPr>
        <w:t xml:space="preserve"> </w:t>
      </w:r>
      <w:r w:rsidRPr="00A01F1A">
        <w:rPr>
          <w:rFonts w:ascii="Arial" w:hAnsi="Arial" w:cs="Arial"/>
          <w:sz w:val="24"/>
          <w:szCs w:val="24"/>
        </w:rPr>
        <w:t xml:space="preserve">aspers, K., and </w:t>
      </w:r>
      <w:proofErr w:type="spellStart"/>
      <w:r w:rsidRPr="00A01F1A">
        <w:rPr>
          <w:rFonts w:ascii="Arial" w:hAnsi="Arial" w:cs="Arial"/>
          <w:sz w:val="24"/>
          <w:szCs w:val="24"/>
        </w:rPr>
        <w:t>Labrecque</w:t>
      </w:r>
      <w:proofErr w:type="spellEnd"/>
      <w:r w:rsidRPr="00A01F1A">
        <w:rPr>
          <w:rFonts w:ascii="Arial" w:hAnsi="Arial" w:cs="Arial"/>
          <w:sz w:val="24"/>
          <w:szCs w:val="24"/>
        </w:rPr>
        <w:t>, L. (2013). Work-family conflict and flexible work arrangements: Deconstructing flexibility. Personnel Psychology, 66(2), 345-376.</w:t>
      </w:r>
    </w:p>
    <w:p w14:paraId="54FB513B" w14:textId="77777777" w:rsidR="00183FE6" w:rsidRPr="00A01F1A" w:rsidRDefault="00183FE6" w:rsidP="00482119">
      <w:pPr>
        <w:spacing w:line="360" w:lineRule="auto"/>
        <w:ind w:left="720" w:hanging="720"/>
        <w:rPr>
          <w:rFonts w:ascii="Arial" w:hAnsi="Arial" w:cs="Arial"/>
          <w:sz w:val="24"/>
          <w:szCs w:val="24"/>
        </w:rPr>
      </w:pPr>
      <w:r w:rsidRPr="00A01F1A">
        <w:rPr>
          <w:rFonts w:ascii="Arial" w:hAnsi="Arial" w:cs="Arial"/>
          <w:sz w:val="24"/>
          <w:szCs w:val="24"/>
        </w:rPr>
        <w:t xml:space="preserve">Armstrong, M., and </w:t>
      </w:r>
      <w:proofErr w:type="spellStart"/>
      <w:r w:rsidRPr="00A01F1A">
        <w:rPr>
          <w:rFonts w:ascii="Arial" w:hAnsi="Arial" w:cs="Arial"/>
          <w:sz w:val="24"/>
          <w:szCs w:val="24"/>
        </w:rPr>
        <w:t>Murlis</w:t>
      </w:r>
      <w:proofErr w:type="spellEnd"/>
      <w:r w:rsidRPr="00A01F1A">
        <w:rPr>
          <w:rFonts w:ascii="Arial" w:hAnsi="Arial" w:cs="Arial"/>
          <w:sz w:val="24"/>
          <w:szCs w:val="24"/>
        </w:rPr>
        <w:t>, H. (2007). Reward management: A handbook of remuneration strategy and practice. London: Kogan Page.</w:t>
      </w:r>
    </w:p>
    <w:p w14:paraId="486838DF" w14:textId="40622D66" w:rsidR="00183FE6" w:rsidRPr="00A01F1A" w:rsidRDefault="00183FE6" w:rsidP="00482119">
      <w:pPr>
        <w:spacing w:line="360" w:lineRule="auto"/>
        <w:ind w:left="720" w:hanging="720"/>
        <w:rPr>
          <w:rFonts w:ascii="Arial" w:hAnsi="Arial" w:cs="Arial"/>
          <w:sz w:val="24"/>
          <w:szCs w:val="24"/>
        </w:rPr>
      </w:pPr>
      <w:r w:rsidRPr="00A01F1A">
        <w:rPr>
          <w:rFonts w:ascii="Arial" w:hAnsi="Arial" w:cs="Arial"/>
          <w:sz w:val="24"/>
          <w:szCs w:val="24"/>
        </w:rPr>
        <w:t xml:space="preserve">De Menezes, L.M., and </w:t>
      </w:r>
      <w:proofErr w:type="spellStart"/>
      <w:r w:rsidRPr="00A01F1A">
        <w:rPr>
          <w:rFonts w:ascii="Arial" w:hAnsi="Arial" w:cs="Arial"/>
          <w:sz w:val="24"/>
          <w:szCs w:val="24"/>
        </w:rPr>
        <w:t>Kelliher</w:t>
      </w:r>
      <w:proofErr w:type="spellEnd"/>
      <w:r w:rsidRPr="00A01F1A">
        <w:rPr>
          <w:rFonts w:ascii="Arial" w:hAnsi="Arial" w:cs="Arial"/>
          <w:sz w:val="24"/>
          <w:szCs w:val="24"/>
        </w:rPr>
        <w:t>, C. (2011). Flexible working and performance: A systematic review of the evidence for a business case. International Journal of Management Reviews, 13(4), 452-474.</w:t>
      </w:r>
    </w:p>
    <w:p w14:paraId="11746F75" w14:textId="3AE4A755" w:rsidR="00C86363" w:rsidRPr="00A01F1A" w:rsidRDefault="00C86363" w:rsidP="00482119">
      <w:pPr>
        <w:spacing w:line="360" w:lineRule="auto"/>
        <w:ind w:left="720" w:hanging="720"/>
        <w:rPr>
          <w:rFonts w:ascii="Arial" w:hAnsi="Arial" w:cs="Arial"/>
          <w:sz w:val="24"/>
          <w:szCs w:val="24"/>
        </w:rPr>
      </w:pPr>
      <w:r w:rsidRPr="00A01F1A">
        <w:rPr>
          <w:rFonts w:ascii="Arial" w:hAnsi="Arial" w:cs="Arial"/>
          <w:sz w:val="24"/>
          <w:szCs w:val="24"/>
        </w:rPr>
        <w:t>De Ridder, J.A. (2004). Organisational communication and supportive employees. Human Resource Management Journal, 14(3), 20-30.</w:t>
      </w:r>
    </w:p>
    <w:p w14:paraId="615AA730" w14:textId="6054C76A" w:rsidR="00183FE6" w:rsidRPr="00A01F1A" w:rsidRDefault="00183FE6" w:rsidP="00482119">
      <w:pPr>
        <w:spacing w:line="360" w:lineRule="auto"/>
        <w:ind w:left="720" w:hanging="720"/>
        <w:rPr>
          <w:rFonts w:ascii="Arial" w:hAnsi="Arial" w:cs="Arial"/>
          <w:sz w:val="24"/>
          <w:szCs w:val="24"/>
        </w:rPr>
      </w:pPr>
      <w:r w:rsidRPr="00A01F1A">
        <w:rPr>
          <w:rFonts w:ascii="Arial" w:hAnsi="Arial" w:cs="Arial"/>
          <w:sz w:val="24"/>
          <w:szCs w:val="24"/>
        </w:rPr>
        <w:t>Gajendran, R.S., and Harrison, D.A. (2007). The good, the bad, and the unknown about telecommuting: Meta-analysis of psychological mediators and individual consequences. Journal of Applied Psychology, 92(6), 1524-1541.</w:t>
      </w:r>
    </w:p>
    <w:p w14:paraId="2F731D4D" w14:textId="5EBB6231" w:rsidR="002562CF" w:rsidRPr="00A01F1A" w:rsidRDefault="002562CF" w:rsidP="00482119">
      <w:pPr>
        <w:spacing w:line="360" w:lineRule="auto"/>
        <w:ind w:left="720" w:hanging="720"/>
        <w:rPr>
          <w:rFonts w:ascii="Arial" w:hAnsi="Arial" w:cs="Arial"/>
          <w:sz w:val="24"/>
          <w:szCs w:val="24"/>
        </w:rPr>
      </w:pPr>
      <w:proofErr w:type="spellStart"/>
      <w:r w:rsidRPr="00A01F1A">
        <w:rPr>
          <w:rFonts w:ascii="Arial" w:hAnsi="Arial" w:cs="Arial"/>
          <w:sz w:val="24"/>
          <w:szCs w:val="24"/>
        </w:rPr>
        <w:t>Greenhaus</w:t>
      </w:r>
      <w:proofErr w:type="spellEnd"/>
      <w:r w:rsidRPr="00A01F1A">
        <w:rPr>
          <w:rFonts w:ascii="Arial" w:hAnsi="Arial" w:cs="Arial"/>
          <w:sz w:val="24"/>
          <w:szCs w:val="24"/>
        </w:rPr>
        <w:t>, J.H., Collins, K.M., and Shaw, J.D. (2003). The relation between work–family balance and quality of life. Journal of Vocational Behavior, 63(3), 510-531.</w:t>
      </w:r>
    </w:p>
    <w:p w14:paraId="55B2D0A9" w14:textId="67C89372" w:rsidR="002562CF" w:rsidRPr="00A01F1A" w:rsidRDefault="002562CF" w:rsidP="00482119">
      <w:pPr>
        <w:spacing w:line="360" w:lineRule="auto"/>
        <w:ind w:left="720" w:hanging="720"/>
        <w:rPr>
          <w:rFonts w:ascii="Arial" w:hAnsi="Arial" w:cs="Arial"/>
          <w:sz w:val="24"/>
          <w:szCs w:val="24"/>
        </w:rPr>
      </w:pPr>
      <w:r w:rsidRPr="00A01F1A">
        <w:rPr>
          <w:rFonts w:ascii="Arial" w:hAnsi="Arial" w:cs="Arial"/>
          <w:sz w:val="24"/>
          <w:szCs w:val="24"/>
        </w:rPr>
        <w:t>Guest, D.E. (2002). Perspectives on the study of work-life balance. Social Science Information, 41(2), 255-279.</w:t>
      </w:r>
    </w:p>
    <w:p w14:paraId="14CD702E" w14:textId="09C19DEA" w:rsidR="002562CF" w:rsidRPr="00A01F1A" w:rsidRDefault="002562CF" w:rsidP="00482119">
      <w:pPr>
        <w:spacing w:line="360" w:lineRule="auto"/>
        <w:ind w:left="720" w:hanging="720"/>
        <w:rPr>
          <w:rFonts w:ascii="Arial" w:hAnsi="Arial" w:cs="Arial"/>
          <w:sz w:val="24"/>
          <w:szCs w:val="24"/>
        </w:rPr>
      </w:pPr>
      <w:r w:rsidRPr="00A01F1A">
        <w:rPr>
          <w:rFonts w:ascii="Arial" w:hAnsi="Arial" w:cs="Arial"/>
          <w:sz w:val="24"/>
          <w:szCs w:val="24"/>
        </w:rPr>
        <w:t xml:space="preserve">Hill, E.J., Hawkins, A.J., Ferris, M., and Weitzman, M. (2006). Finding an extra </w:t>
      </w:r>
      <w:proofErr w:type="gramStart"/>
      <w:r w:rsidRPr="00A01F1A">
        <w:rPr>
          <w:rFonts w:ascii="Arial" w:hAnsi="Arial" w:cs="Arial"/>
          <w:sz w:val="24"/>
          <w:szCs w:val="24"/>
        </w:rPr>
        <w:t>day</w:t>
      </w:r>
      <w:proofErr w:type="gramEnd"/>
      <w:r w:rsidRPr="00A01F1A">
        <w:rPr>
          <w:rFonts w:ascii="Arial" w:hAnsi="Arial" w:cs="Arial"/>
          <w:sz w:val="24"/>
          <w:szCs w:val="24"/>
        </w:rPr>
        <w:t xml:space="preserve"> a week: The positive influence of perceived job flexibility on work and family life balance. Family Relations, 55(1), 49-58.</w:t>
      </w:r>
    </w:p>
    <w:p w14:paraId="63D3C9A9" w14:textId="59128EBB" w:rsidR="00C86363" w:rsidRPr="00A01F1A" w:rsidRDefault="00C86363" w:rsidP="00482119">
      <w:pPr>
        <w:spacing w:line="360" w:lineRule="auto"/>
        <w:ind w:left="720" w:hanging="720"/>
        <w:rPr>
          <w:rFonts w:ascii="Arial" w:hAnsi="Arial" w:cs="Arial"/>
          <w:sz w:val="24"/>
          <w:szCs w:val="24"/>
        </w:rPr>
      </w:pPr>
      <w:proofErr w:type="spellStart"/>
      <w:r w:rsidRPr="00A01F1A">
        <w:rPr>
          <w:rFonts w:ascii="Arial" w:hAnsi="Arial" w:cs="Arial"/>
          <w:sz w:val="24"/>
          <w:szCs w:val="24"/>
        </w:rPr>
        <w:t>Ilgen</w:t>
      </w:r>
      <w:proofErr w:type="spellEnd"/>
      <w:r w:rsidRPr="00A01F1A">
        <w:rPr>
          <w:rFonts w:ascii="Arial" w:hAnsi="Arial" w:cs="Arial"/>
          <w:sz w:val="24"/>
          <w:szCs w:val="24"/>
        </w:rPr>
        <w:t>, D.R., Fisher, C.D., and Taylor, M.S. (</w:t>
      </w:r>
      <w:r w:rsidR="008A41B1" w:rsidRPr="00A01F1A">
        <w:rPr>
          <w:rFonts w:ascii="Arial" w:hAnsi="Arial" w:cs="Arial"/>
          <w:sz w:val="24"/>
          <w:szCs w:val="24"/>
        </w:rPr>
        <w:t>2020</w:t>
      </w:r>
      <w:r w:rsidRPr="00A01F1A">
        <w:rPr>
          <w:rFonts w:ascii="Arial" w:hAnsi="Arial" w:cs="Arial"/>
          <w:sz w:val="24"/>
          <w:szCs w:val="24"/>
        </w:rPr>
        <w:t>). Consequences of individual feedback on behaviour in organisations. Journal of Applied Psychology, 64(4), 349-371.</w:t>
      </w:r>
    </w:p>
    <w:p w14:paraId="6DCCD705" w14:textId="77777777" w:rsidR="00183FE6" w:rsidRPr="00A01F1A" w:rsidRDefault="00183FE6" w:rsidP="00482119">
      <w:pPr>
        <w:spacing w:line="360" w:lineRule="auto"/>
        <w:ind w:left="720" w:hanging="720"/>
        <w:rPr>
          <w:rFonts w:ascii="Arial" w:hAnsi="Arial" w:cs="Arial"/>
          <w:sz w:val="24"/>
          <w:szCs w:val="24"/>
        </w:rPr>
      </w:pPr>
      <w:r w:rsidRPr="00A01F1A">
        <w:rPr>
          <w:rFonts w:ascii="Arial" w:hAnsi="Arial" w:cs="Arial"/>
          <w:sz w:val="24"/>
          <w:szCs w:val="24"/>
        </w:rPr>
        <w:t>Kaplan, R.S., and Norton, D.P. (2004). Strategy maps: Converting intangible assets into tangible outcomes. Boston: Harvard Business School Press.</w:t>
      </w:r>
    </w:p>
    <w:p w14:paraId="6661BAF3" w14:textId="5292C3BB" w:rsidR="00183FE6" w:rsidRPr="00A01F1A" w:rsidRDefault="00183FE6" w:rsidP="00482119">
      <w:pPr>
        <w:spacing w:line="360" w:lineRule="auto"/>
        <w:ind w:left="720" w:hanging="720"/>
        <w:rPr>
          <w:rFonts w:ascii="Arial" w:hAnsi="Arial" w:cs="Arial"/>
          <w:sz w:val="24"/>
          <w:szCs w:val="24"/>
        </w:rPr>
      </w:pPr>
      <w:proofErr w:type="spellStart"/>
      <w:r w:rsidRPr="00A01F1A">
        <w:rPr>
          <w:rFonts w:ascii="Arial" w:hAnsi="Arial" w:cs="Arial"/>
          <w:sz w:val="24"/>
          <w:szCs w:val="24"/>
        </w:rPr>
        <w:t>Kelliher</w:t>
      </w:r>
      <w:proofErr w:type="spellEnd"/>
      <w:r w:rsidRPr="00A01F1A">
        <w:rPr>
          <w:rFonts w:ascii="Arial" w:hAnsi="Arial" w:cs="Arial"/>
          <w:sz w:val="24"/>
          <w:szCs w:val="24"/>
        </w:rPr>
        <w:t>, C., and Anderson, D. (2010). Doing more with less? Flexible working practices and the intensification of work. Human Relations, 63(1), 83-106.</w:t>
      </w:r>
    </w:p>
    <w:p w14:paraId="636BC575" w14:textId="4FD38D93" w:rsidR="00C86363" w:rsidRPr="00A01F1A" w:rsidRDefault="00C86363" w:rsidP="00482119">
      <w:pPr>
        <w:spacing w:line="360" w:lineRule="auto"/>
        <w:ind w:left="720" w:hanging="720"/>
        <w:rPr>
          <w:rFonts w:ascii="Arial" w:hAnsi="Arial" w:cs="Arial"/>
          <w:sz w:val="24"/>
          <w:szCs w:val="24"/>
        </w:rPr>
      </w:pPr>
      <w:r w:rsidRPr="00A01F1A">
        <w:rPr>
          <w:rFonts w:ascii="Arial" w:hAnsi="Arial" w:cs="Arial"/>
          <w:sz w:val="24"/>
          <w:szCs w:val="24"/>
        </w:rPr>
        <w:lastRenderedPageBreak/>
        <w:t xml:space="preserve">Kluger, A.N., and </w:t>
      </w:r>
      <w:proofErr w:type="spellStart"/>
      <w:r w:rsidRPr="00A01F1A">
        <w:rPr>
          <w:rFonts w:ascii="Arial" w:hAnsi="Arial" w:cs="Arial"/>
          <w:sz w:val="24"/>
          <w:szCs w:val="24"/>
        </w:rPr>
        <w:t>DeNisi</w:t>
      </w:r>
      <w:proofErr w:type="spellEnd"/>
      <w:r w:rsidRPr="00A01F1A">
        <w:rPr>
          <w:rFonts w:ascii="Arial" w:hAnsi="Arial" w:cs="Arial"/>
          <w:sz w:val="24"/>
          <w:szCs w:val="24"/>
        </w:rPr>
        <w:t>, A. (</w:t>
      </w:r>
      <w:r w:rsidR="008A41B1" w:rsidRPr="00A01F1A">
        <w:rPr>
          <w:rFonts w:ascii="Arial" w:hAnsi="Arial" w:cs="Arial"/>
          <w:sz w:val="24"/>
          <w:szCs w:val="24"/>
        </w:rPr>
        <w:t>2020</w:t>
      </w:r>
      <w:r w:rsidRPr="00A01F1A">
        <w:rPr>
          <w:rFonts w:ascii="Arial" w:hAnsi="Arial" w:cs="Arial"/>
          <w:sz w:val="24"/>
          <w:szCs w:val="24"/>
        </w:rPr>
        <w:t>). The effects of feedback interventions on performance: A historical review, a meta-analysis, and a preliminary feedback intervention theory. Psychological Bulletin, 119(2), 254-284.</w:t>
      </w:r>
    </w:p>
    <w:p w14:paraId="489A2DC4" w14:textId="46981DC1" w:rsidR="00183FE6" w:rsidRPr="00A01F1A" w:rsidRDefault="00183FE6" w:rsidP="00482119">
      <w:pPr>
        <w:spacing w:line="360" w:lineRule="auto"/>
        <w:ind w:left="720" w:hanging="720"/>
        <w:rPr>
          <w:rFonts w:ascii="Arial" w:hAnsi="Arial" w:cs="Arial"/>
          <w:sz w:val="24"/>
          <w:szCs w:val="24"/>
        </w:rPr>
      </w:pPr>
      <w:proofErr w:type="spellStart"/>
      <w:r w:rsidRPr="00A01F1A">
        <w:rPr>
          <w:rFonts w:ascii="Arial" w:hAnsi="Arial" w:cs="Arial"/>
          <w:sz w:val="24"/>
          <w:szCs w:val="24"/>
        </w:rPr>
        <w:t>Kossek</w:t>
      </w:r>
      <w:proofErr w:type="spellEnd"/>
      <w:r w:rsidRPr="00A01F1A">
        <w:rPr>
          <w:rFonts w:ascii="Arial" w:eastAsia="Times New Roman" w:hAnsi="Arial" w:cs="Arial"/>
          <w:sz w:val="24"/>
          <w:szCs w:val="24"/>
        </w:rPr>
        <w:t xml:space="preserve"> </w:t>
      </w:r>
      <w:proofErr w:type="spellStart"/>
      <w:r w:rsidRPr="00A01F1A">
        <w:rPr>
          <w:rFonts w:ascii="Arial" w:hAnsi="Arial" w:cs="Arial"/>
          <w:sz w:val="24"/>
          <w:szCs w:val="24"/>
        </w:rPr>
        <w:t>Baltes</w:t>
      </w:r>
      <w:proofErr w:type="spellEnd"/>
      <w:r w:rsidRPr="00A01F1A">
        <w:rPr>
          <w:rFonts w:ascii="Arial" w:hAnsi="Arial" w:cs="Arial"/>
          <w:sz w:val="24"/>
          <w:szCs w:val="24"/>
        </w:rPr>
        <w:t>, B.B., and Matthews, R.A. (2014). How work-family research can finally have an impact in organizations. Industrial and Organizational Psychology, 7(3), 352-369.</w:t>
      </w:r>
    </w:p>
    <w:p w14:paraId="54BA5180" w14:textId="0AD573EB" w:rsidR="00C86363" w:rsidRPr="00A01F1A" w:rsidRDefault="00C86363" w:rsidP="00482119">
      <w:pPr>
        <w:spacing w:line="360" w:lineRule="auto"/>
        <w:ind w:left="720" w:hanging="720"/>
        <w:rPr>
          <w:rFonts w:ascii="Arial" w:hAnsi="Arial" w:cs="Arial"/>
          <w:sz w:val="24"/>
          <w:szCs w:val="24"/>
        </w:rPr>
      </w:pPr>
      <w:r w:rsidRPr="00A01F1A">
        <w:rPr>
          <w:rFonts w:ascii="Arial" w:hAnsi="Arial" w:cs="Arial"/>
          <w:sz w:val="24"/>
          <w:szCs w:val="24"/>
        </w:rPr>
        <w:t>London, M. (2003). Job feedback: Giving, seeking, and using feedback for performance improvement. Mahwah, NJ: Lawrence Erlbaum Associates.</w:t>
      </w:r>
    </w:p>
    <w:p w14:paraId="5DDA9590" w14:textId="0AD573EB" w:rsidR="00183FE6" w:rsidRPr="00A01F1A" w:rsidRDefault="00183FE6" w:rsidP="00482119">
      <w:pPr>
        <w:spacing w:line="360" w:lineRule="auto"/>
        <w:ind w:left="720" w:hanging="720"/>
        <w:rPr>
          <w:rFonts w:ascii="Arial" w:hAnsi="Arial" w:cs="Arial"/>
          <w:sz w:val="24"/>
          <w:szCs w:val="24"/>
        </w:rPr>
      </w:pPr>
      <w:r w:rsidRPr="00A01F1A">
        <w:rPr>
          <w:rFonts w:ascii="Arial" w:hAnsi="Arial" w:cs="Arial"/>
          <w:sz w:val="24"/>
          <w:szCs w:val="24"/>
        </w:rPr>
        <w:t>Mann, S., and Holdsworth, L. (2003). The psychological impact of teleworking: stress, emotions and health. New Technology, Work and Employment, 18(3), 196-211.</w:t>
      </w:r>
    </w:p>
    <w:p w14:paraId="25A89B97" w14:textId="77777777" w:rsidR="00183FE6" w:rsidRPr="00A01F1A" w:rsidRDefault="00183FE6" w:rsidP="00482119">
      <w:pPr>
        <w:spacing w:line="360" w:lineRule="auto"/>
        <w:ind w:left="720" w:hanging="720"/>
        <w:rPr>
          <w:rFonts w:ascii="Arial" w:hAnsi="Arial" w:cs="Arial"/>
          <w:sz w:val="24"/>
          <w:szCs w:val="24"/>
        </w:rPr>
      </w:pPr>
      <w:r w:rsidRPr="00A01F1A">
        <w:rPr>
          <w:rFonts w:ascii="Arial" w:hAnsi="Arial" w:cs="Arial"/>
          <w:sz w:val="24"/>
          <w:szCs w:val="24"/>
        </w:rPr>
        <w:t>Martin, B.H., and MacDonnell, R. (2012). Is telework effective for organizations? A meta-analysis of empirical research on perceptions of telework and organizational outcomes. Management Research Review, 35(7), 602-616.</w:t>
      </w:r>
    </w:p>
    <w:p w14:paraId="5065C75F" w14:textId="2DD24E83" w:rsidR="00183FE6" w:rsidRPr="00A01F1A" w:rsidRDefault="00183FE6" w:rsidP="00482119">
      <w:pPr>
        <w:spacing w:line="360" w:lineRule="auto"/>
        <w:ind w:left="720" w:hanging="720"/>
        <w:rPr>
          <w:rFonts w:ascii="Arial" w:hAnsi="Arial" w:cs="Arial"/>
          <w:sz w:val="24"/>
          <w:szCs w:val="24"/>
        </w:rPr>
      </w:pPr>
      <w:proofErr w:type="spellStart"/>
      <w:r w:rsidRPr="00A01F1A">
        <w:rPr>
          <w:rFonts w:ascii="Arial" w:hAnsi="Arial" w:cs="Arial"/>
          <w:sz w:val="24"/>
          <w:szCs w:val="24"/>
        </w:rPr>
        <w:t>Minchington</w:t>
      </w:r>
      <w:proofErr w:type="spellEnd"/>
      <w:r w:rsidRPr="00A01F1A">
        <w:rPr>
          <w:rFonts w:ascii="Arial" w:hAnsi="Arial" w:cs="Arial"/>
          <w:sz w:val="24"/>
          <w:szCs w:val="24"/>
        </w:rPr>
        <w:t xml:space="preserve">, B. (2005). Your employer brand: Attract, engage, retain. </w:t>
      </w:r>
      <w:proofErr w:type="spellStart"/>
      <w:r w:rsidRPr="00A01F1A">
        <w:rPr>
          <w:rFonts w:ascii="Arial" w:hAnsi="Arial" w:cs="Arial"/>
          <w:sz w:val="24"/>
          <w:szCs w:val="24"/>
        </w:rPr>
        <w:t>Torrensville</w:t>
      </w:r>
      <w:proofErr w:type="spellEnd"/>
      <w:r w:rsidRPr="00A01F1A">
        <w:rPr>
          <w:rFonts w:ascii="Arial" w:hAnsi="Arial" w:cs="Arial"/>
          <w:sz w:val="24"/>
          <w:szCs w:val="24"/>
        </w:rPr>
        <w:t>: Collective Learning Australia.</w:t>
      </w:r>
    </w:p>
    <w:p w14:paraId="781ACE6E" w14:textId="7D08A493" w:rsidR="00C86363" w:rsidRPr="00A01F1A" w:rsidRDefault="00C86363" w:rsidP="00482119">
      <w:pPr>
        <w:spacing w:line="360" w:lineRule="auto"/>
        <w:ind w:left="720" w:hanging="720"/>
        <w:rPr>
          <w:rFonts w:ascii="Arial" w:hAnsi="Arial" w:cs="Arial"/>
          <w:sz w:val="24"/>
          <w:szCs w:val="24"/>
        </w:rPr>
      </w:pPr>
      <w:r w:rsidRPr="00A01F1A">
        <w:rPr>
          <w:rFonts w:ascii="Arial" w:hAnsi="Arial" w:cs="Arial"/>
          <w:sz w:val="24"/>
          <w:szCs w:val="24"/>
        </w:rPr>
        <w:t>Murphy, K.R., and Cleveland, J.N. (</w:t>
      </w:r>
      <w:r w:rsidR="008A41B1" w:rsidRPr="00A01F1A">
        <w:rPr>
          <w:rFonts w:ascii="Arial" w:hAnsi="Arial" w:cs="Arial"/>
          <w:sz w:val="24"/>
          <w:szCs w:val="24"/>
        </w:rPr>
        <w:t>2020</w:t>
      </w:r>
      <w:r w:rsidRPr="00A01F1A">
        <w:rPr>
          <w:rFonts w:ascii="Arial" w:hAnsi="Arial" w:cs="Arial"/>
          <w:sz w:val="24"/>
          <w:szCs w:val="24"/>
        </w:rPr>
        <w:t>). Understanding performance appraisal: Social, organisational, and goal-based perspectives. Thousand Oaks, CA: Sage Publications.</w:t>
      </w:r>
    </w:p>
    <w:p w14:paraId="6B9E6758" w14:textId="211A694B" w:rsidR="00183FE6" w:rsidRPr="00A01F1A" w:rsidRDefault="00183FE6" w:rsidP="00482119">
      <w:pPr>
        <w:spacing w:line="360" w:lineRule="auto"/>
        <w:ind w:left="720" w:hanging="720"/>
        <w:rPr>
          <w:rFonts w:ascii="Arial" w:hAnsi="Arial" w:cs="Arial"/>
          <w:sz w:val="24"/>
          <w:szCs w:val="24"/>
        </w:rPr>
      </w:pPr>
      <w:r w:rsidRPr="00A01F1A">
        <w:rPr>
          <w:rFonts w:ascii="Arial" w:hAnsi="Arial" w:cs="Arial"/>
          <w:sz w:val="24"/>
          <w:szCs w:val="24"/>
        </w:rPr>
        <w:t>Pfeffer, J., and Sutton, R.I. (2006). Evidence-based management. Harvard Business Review, 84(1), 62-74.</w:t>
      </w:r>
    </w:p>
    <w:p w14:paraId="0D46174C" w14:textId="54F88929" w:rsidR="00C86363" w:rsidRPr="00A01F1A" w:rsidRDefault="00C86363" w:rsidP="00482119">
      <w:pPr>
        <w:spacing w:line="360" w:lineRule="auto"/>
        <w:ind w:left="720" w:hanging="720"/>
        <w:rPr>
          <w:rFonts w:ascii="Arial" w:hAnsi="Arial" w:cs="Arial"/>
          <w:sz w:val="24"/>
          <w:szCs w:val="24"/>
        </w:rPr>
      </w:pPr>
      <w:r w:rsidRPr="00A01F1A">
        <w:rPr>
          <w:rFonts w:ascii="Arial" w:hAnsi="Arial" w:cs="Arial"/>
          <w:sz w:val="24"/>
          <w:szCs w:val="24"/>
        </w:rPr>
        <w:t xml:space="preserve">Robbins, S.P., Judge, T.A., Millett, B., and Boyle, M. (2011). Organisational behaviour. </w:t>
      </w:r>
      <w:proofErr w:type="spellStart"/>
      <w:r w:rsidRPr="00A01F1A">
        <w:rPr>
          <w:rFonts w:ascii="Arial" w:hAnsi="Arial" w:cs="Arial"/>
          <w:sz w:val="24"/>
          <w:szCs w:val="24"/>
        </w:rPr>
        <w:t>Frenchs</w:t>
      </w:r>
      <w:proofErr w:type="spellEnd"/>
      <w:r w:rsidRPr="00A01F1A">
        <w:rPr>
          <w:rFonts w:ascii="Arial" w:hAnsi="Arial" w:cs="Arial"/>
          <w:sz w:val="24"/>
          <w:szCs w:val="24"/>
        </w:rPr>
        <w:t xml:space="preserve"> Forest, NSW: Pearson Australia.</w:t>
      </w:r>
    </w:p>
    <w:p w14:paraId="36EF8106" w14:textId="77777777" w:rsidR="00183FE6" w:rsidRPr="00A01F1A" w:rsidRDefault="00183FE6" w:rsidP="00482119">
      <w:pPr>
        <w:spacing w:line="360" w:lineRule="auto"/>
        <w:ind w:left="720" w:hanging="720"/>
        <w:rPr>
          <w:rFonts w:ascii="Arial" w:hAnsi="Arial" w:cs="Arial"/>
          <w:sz w:val="24"/>
          <w:szCs w:val="24"/>
        </w:rPr>
      </w:pPr>
      <w:r w:rsidRPr="00A01F1A">
        <w:rPr>
          <w:rFonts w:ascii="Arial" w:hAnsi="Arial" w:cs="Arial"/>
          <w:sz w:val="24"/>
          <w:szCs w:val="24"/>
        </w:rPr>
        <w:t>Saks, A.M. (2006). Antecedents and consequences of employee engagement. Journal of Managerial Psychology, 21(7), 600-619.</w:t>
      </w:r>
    </w:p>
    <w:p w14:paraId="1D3585F1" w14:textId="77777777" w:rsidR="00183FE6" w:rsidRPr="00A01F1A" w:rsidRDefault="00183FE6" w:rsidP="00482119">
      <w:pPr>
        <w:spacing w:line="360" w:lineRule="auto"/>
        <w:ind w:left="720" w:hanging="720"/>
        <w:rPr>
          <w:rFonts w:ascii="Arial" w:hAnsi="Arial" w:cs="Arial"/>
          <w:sz w:val="24"/>
          <w:szCs w:val="24"/>
        </w:rPr>
      </w:pPr>
      <w:proofErr w:type="spellStart"/>
      <w:r w:rsidRPr="00A01F1A">
        <w:rPr>
          <w:rFonts w:ascii="Arial" w:hAnsi="Arial" w:cs="Arial"/>
          <w:sz w:val="24"/>
          <w:szCs w:val="24"/>
        </w:rPr>
        <w:lastRenderedPageBreak/>
        <w:t>Sardeshmukh</w:t>
      </w:r>
      <w:proofErr w:type="spellEnd"/>
      <w:r w:rsidRPr="00A01F1A">
        <w:rPr>
          <w:rFonts w:ascii="Arial" w:hAnsi="Arial" w:cs="Arial"/>
          <w:sz w:val="24"/>
          <w:szCs w:val="24"/>
        </w:rPr>
        <w:t>, S.R., Sharma, D., and Golden, T.D. (2012). Impact of telework on exhaustion and job engagement: A job demands and job resources model. New Technology, Work and Employment, 27(3), 193-207.</w:t>
      </w:r>
    </w:p>
    <w:p w14:paraId="154722A0" w14:textId="77777777" w:rsidR="00F078B8" w:rsidRPr="00C86363" w:rsidRDefault="00F078B8" w:rsidP="00482119">
      <w:pPr>
        <w:spacing w:line="360" w:lineRule="auto"/>
        <w:rPr>
          <w:rFonts w:ascii="Times New Roman" w:hAnsi="Times New Roman" w:cs="Times New Roman"/>
          <w:sz w:val="24"/>
          <w:szCs w:val="24"/>
        </w:rPr>
      </w:pPr>
    </w:p>
    <w:sectPr w:rsidR="00F078B8" w:rsidRPr="00C8636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959B5" w14:textId="77777777" w:rsidR="00584801" w:rsidRDefault="00584801" w:rsidP="00482119">
      <w:pPr>
        <w:spacing w:after="0" w:line="240" w:lineRule="auto"/>
      </w:pPr>
      <w:r>
        <w:separator/>
      </w:r>
    </w:p>
  </w:endnote>
  <w:endnote w:type="continuationSeparator" w:id="0">
    <w:p w14:paraId="60FF6941" w14:textId="77777777" w:rsidR="00584801" w:rsidRDefault="00584801" w:rsidP="00482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9D2DE" w14:textId="77777777" w:rsidR="00584801" w:rsidRDefault="00584801" w:rsidP="00482119">
      <w:pPr>
        <w:spacing w:after="0" w:line="240" w:lineRule="auto"/>
      </w:pPr>
      <w:r>
        <w:separator/>
      </w:r>
    </w:p>
  </w:footnote>
  <w:footnote w:type="continuationSeparator" w:id="0">
    <w:p w14:paraId="61EBA0AA" w14:textId="77777777" w:rsidR="00584801" w:rsidRDefault="00584801" w:rsidP="004821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AD6B6" w14:textId="1C210122" w:rsidR="00482119" w:rsidRDefault="00482119">
    <w:pPr>
      <w:pStyle w:val="Antet"/>
      <w:jc w:val="right"/>
    </w:pPr>
    <w:r w:rsidRPr="00183FE6">
      <w:t>Implementing Flexible Working Strategies and Maintaining Employee Engagement</w:t>
    </w:r>
    <w:r w:rsidRPr="00482119">
      <w:t xml:space="preserve"> </w:t>
    </w:r>
    <w:sdt>
      <w:sdtPr>
        <w:id w:val="70213263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40F6F01A" w14:textId="77777777" w:rsidR="00482119" w:rsidRDefault="00482119">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903FE2"/>
    <w:multiLevelType w:val="multilevel"/>
    <w:tmpl w:val="F3F4624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1C7441"/>
    <w:multiLevelType w:val="multilevel"/>
    <w:tmpl w:val="517A3FA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6F6F25"/>
    <w:multiLevelType w:val="multilevel"/>
    <w:tmpl w:val="660A0A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020E4D"/>
    <w:multiLevelType w:val="multilevel"/>
    <w:tmpl w:val="8B5A8C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81E268F"/>
    <w:multiLevelType w:val="multilevel"/>
    <w:tmpl w:val="DE6A0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E94CF9"/>
    <w:multiLevelType w:val="multilevel"/>
    <w:tmpl w:val="63320B9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31717781">
    <w:abstractNumId w:val="4"/>
  </w:num>
  <w:num w:numId="2" w16cid:durableId="1507555182">
    <w:abstractNumId w:val="2"/>
  </w:num>
  <w:num w:numId="3" w16cid:durableId="423310624">
    <w:abstractNumId w:val="3"/>
  </w:num>
  <w:num w:numId="4" w16cid:durableId="162867393">
    <w:abstractNumId w:val="1"/>
  </w:num>
  <w:num w:numId="5" w16cid:durableId="598634996">
    <w:abstractNumId w:val="0"/>
  </w:num>
  <w:num w:numId="6" w16cid:durableId="9955753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183FE6"/>
    <w:rsid w:val="00183FE6"/>
    <w:rsid w:val="002562CF"/>
    <w:rsid w:val="00482119"/>
    <w:rsid w:val="00584801"/>
    <w:rsid w:val="0082730C"/>
    <w:rsid w:val="008A41B1"/>
    <w:rsid w:val="00A01F1A"/>
    <w:rsid w:val="00B265A7"/>
    <w:rsid w:val="00B76EB3"/>
    <w:rsid w:val="00B96812"/>
    <w:rsid w:val="00C86363"/>
    <w:rsid w:val="00F078B8"/>
    <w:rsid w:val="00F105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D8253"/>
  <w15:chartTrackingRefBased/>
  <w15:docId w15:val="{D02D5E18-9E4F-47F1-AB35-D59C7B7EE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83FE6"/>
    <w:pPr>
      <w:jc w:val="center"/>
      <w:outlineLvl w:val="0"/>
    </w:pPr>
    <w:rPr>
      <w:b/>
      <w:bCs/>
    </w:rPr>
  </w:style>
  <w:style w:type="paragraph" w:styleId="Titlu2">
    <w:name w:val="heading 2"/>
    <w:basedOn w:val="Normal"/>
    <w:next w:val="Normal"/>
    <w:link w:val="Titlu2Caracter"/>
    <w:uiPriority w:val="9"/>
    <w:unhideWhenUsed/>
    <w:qFormat/>
    <w:rsid w:val="00183FE6"/>
    <w:pPr>
      <w:outlineLvl w:val="1"/>
    </w:pPr>
    <w:rPr>
      <w:b/>
      <w:b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183FE6"/>
    <w:rPr>
      <w:rFonts w:ascii="Times New Roman" w:hAnsi="Times New Roman" w:cs="Times New Roman"/>
      <w:sz w:val="24"/>
      <w:szCs w:val="24"/>
    </w:rPr>
  </w:style>
  <w:style w:type="character" w:customStyle="1" w:styleId="Titlu1Caracter">
    <w:name w:val="Titlu 1 Caracter"/>
    <w:basedOn w:val="Fontdeparagrafimplicit"/>
    <w:link w:val="Titlu1"/>
    <w:uiPriority w:val="9"/>
    <w:rsid w:val="00183FE6"/>
    <w:rPr>
      <w:b/>
      <w:bCs/>
    </w:rPr>
  </w:style>
  <w:style w:type="character" w:customStyle="1" w:styleId="Titlu2Caracter">
    <w:name w:val="Titlu 2 Caracter"/>
    <w:basedOn w:val="Fontdeparagrafimplicit"/>
    <w:link w:val="Titlu2"/>
    <w:uiPriority w:val="9"/>
    <w:rsid w:val="00183FE6"/>
    <w:rPr>
      <w:b/>
      <w:bCs/>
    </w:rPr>
  </w:style>
  <w:style w:type="paragraph" w:styleId="Antet">
    <w:name w:val="header"/>
    <w:basedOn w:val="Normal"/>
    <w:link w:val="AntetCaracter"/>
    <w:uiPriority w:val="99"/>
    <w:unhideWhenUsed/>
    <w:rsid w:val="0048211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482119"/>
  </w:style>
  <w:style w:type="paragraph" w:styleId="Subsol">
    <w:name w:val="footer"/>
    <w:basedOn w:val="Normal"/>
    <w:link w:val="SubsolCaracter"/>
    <w:uiPriority w:val="99"/>
    <w:unhideWhenUsed/>
    <w:rsid w:val="0048211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82119"/>
  </w:style>
  <w:style w:type="paragraph" w:styleId="Titlucuprins">
    <w:name w:val="TOC Heading"/>
    <w:basedOn w:val="Titlu1"/>
    <w:next w:val="Normal"/>
    <w:uiPriority w:val="39"/>
    <w:unhideWhenUsed/>
    <w:qFormat/>
    <w:rsid w:val="00482119"/>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Cuprins1">
    <w:name w:val="toc 1"/>
    <w:basedOn w:val="Normal"/>
    <w:next w:val="Normal"/>
    <w:autoRedefine/>
    <w:uiPriority w:val="39"/>
    <w:unhideWhenUsed/>
    <w:rsid w:val="00482119"/>
    <w:pPr>
      <w:spacing w:after="100"/>
    </w:pPr>
  </w:style>
  <w:style w:type="paragraph" w:styleId="Cuprins2">
    <w:name w:val="toc 2"/>
    <w:basedOn w:val="Normal"/>
    <w:next w:val="Normal"/>
    <w:autoRedefine/>
    <w:uiPriority w:val="39"/>
    <w:unhideWhenUsed/>
    <w:rsid w:val="00482119"/>
    <w:pPr>
      <w:spacing w:after="100"/>
      <w:ind w:left="220"/>
    </w:pPr>
  </w:style>
  <w:style w:type="character" w:styleId="Hyperlink">
    <w:name w:val="Hyperlink"/>
    <w:basedOn w:val="Fontdeparagrafimplicit"/>
    <w:uiPriority w:val="99"/>
    <w:unhideWhenUsed/>
    <w:rsid w:val="0048211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51550">
      <w:bodyDiv w:val="1"/>
      <w:marLeft w:val="0"/>
      <w:marRight w:val="0"/>
      <w:marTop w:val="0"/>
      <w:marBottom w:val="0"/>
      <w:divBdr>
        <w:top w:val="none" w:sz="0" w:space="0" w:color="auto"/>
        <w:left w:val="none" w:sz="0" w:space="0" w:color="auto"/>
        <w:bottom w:val="none" w:sz="0" w:space="0" w:color="auto"/>
        <w:right w:val="none" w:sz="0" w:space="0" w:color="auto"/>
      </w:divBdr>
    </w:div>
    <w:div w:id="337075072">
      <w:bodyDiv w:val="1"/>
      <w:marLeft w:val="0"/>
      <w:marRight w:val="0"/>
      <w:marTop w:val="0"/>
      <w:marBottom w:val="0"/>
      <w:divBdr>
        <w:top w:val="none" w:sz="0" w:space="0" w:color="auto"/>
        <w:left w:val="none" w:sz="0" w:space="0" w:color="auto"/>
        <w:bottom w:val="none" w:sz="0" w:space="0" w:color="auto"/>
        <w:right w:val="none" w:sz="0" w:space="0" w:color="auto"/>
      </w:divBdr>
    </w:div>
    <w:div w:id="558787606">
      <w:bodyDiv w:val="1"/>
      <w:marLeft w:val="0"/>
      <w:marRight w:val="0"/>
      <w:marTop w:val="0"/>
      <w:marBottom w:val="0"/>
      <w:divBdr>
        <w:top w:val="none" w:sz="0" w:space="0" w:color="auto"/>
        <w:left w:val="none" w:sz="0" w:space="0" w:color="auto"/>
        <w:bottom w:val="none" w:sz="0" w:space="0" w:color="auto"/>
        <w:right w:val="none" w:sz="0" w:space="0" w:color="auto"/>
      </w:divBdr>
    </w:div>
    <w:div w:id="627469383">
      <w:bodyDiv w:val="1"/>
      <w:marLeft w:val="0"/>
      <w:marRight w:val="0"/>
      <w:marTop w:val="0"/>
      <w:marBottom w:val="0"/>
      <w:divBdr>
        <w:top w:val="none" w:sz="0" w:space="0" w:color="auto"/>
        <w:left w:val="none" w:sz="0" w:space="0" w:color="auto"/>
        <w:bottom w:val="none" w:sz="0" w:space="0" w:color="auto"/>
        <w:right w:val="none" w:sz="0" w:space="0" w:color="auto"/>
      </w:divBdr>
    </w:div>
    <w:div w:id="769396739">
      <w:bodyDiv w:val="1"/>
      <w:marLeft w:val="0"/>
      <w:marRight w:val="0"/>
      <w:marTop w:val="0"/>
      <w:marBottom w:val="0"/>
      <w:divBdr>
        <w:top w:val="none" w:sz="0" w:space="0" w:color="auto"/>
        <w:left w:val="none" w:sz="0" w:space="0" w:color="auto"/>
        <w:bottom w:val="none" w:sz="0" w:space="0" w:color="auto"/>
        <w:right w:val="none" w:sz="0" w:space="0" w:color="auto"/>
      </w:divBdr>
      <w:divsChild>
        <w:div w:id="1243293463">
          <w:marLeft w:val="0"/>
          <w:marRight w:val="0"/>
          <w:marTop w:val="0"/>
          <w:marBottom w:val="0"/>
          <w:divBdr>
            <w:top w:val="single" w:sz="2" w:space="0" w:color="auto"/>
            <w:left w:val="single" w:sz="2" w:space="0" w:color="auto"/>
            <w:bottom w:val="single" w:sz="6" w:space="0" w:color="auto"/>
            <w:right w:val="single" w:sz="2" w:space="0" w:color="auto"/>
          </w:divBdr>
          <w:divsChild>
            <w:div w:id="192575612">
              <w:marLeft w:val="0"/>
              <w:marRight w:val="0"/>
              <w:marTop w:val="100"/>
              <w:marBottom w:val="100"/>
              <w:divBdr>
                <w:top w:val="single" w:sz="2" w:space="0" w:color="D9D9E3"/>
                <w:left w:val="single" w:sz="2" w:space="0" w:color="D9D9E3"/>
                <w:bottom w:val="single" w:sz="2" w:space="0" w:color="D9D9E3"/>
                <w:right w:val="single" w:sz="2" w:space="0" w:color="D9D9E3"/>
              </w:divBdr>
              <w:divsChild>
                <w:div w:id="1904290262">
                  <w:marLeft w:val="0"/>
                  <w:marRight w:val="0"/>
                  <w:marTop w:val="0"/>
                  <w:marBottom w:val="0"/>
                  <w:divBdr>
                    <w:top w:val="single" w:sz="2" w:space="0" w:color="D9D9E3"/>
                    <w:left w:val="single" w:sz="2" w:space="0" w:color="D9D9E3"/>
                    <w:bottom w:val="single" w:sz="2" w:space="0" w:color="D9D9E3"/>
                    <w:right w:val="single" w:sz="2" w:space="0" w:color="D9D9E3"/>
                  </w:divBdr>
                  <w:divsChild>
                    <w:div w:id="61954921">
                      <w:marLeft w:val="0"/>
                      <w:marRight w:val="0"/>
                      <w:marTop w:val="0"/>
                      <w:marBottom w:val="0"/>
                      <w:divBdr>
                        <w:top w:val="single" w:sz="2" w:space="0" w:color="D9D9E3"/>
                        <w:left w:val="single" w:sz="2" w:space="0" w:color="D9D9E3"/>
                        <w:bottom w:val="single" w:sz="2" w:space="0" w:color="D9D9E3"/>
                        <w:right w:val="single" w:sz="2" w:space="0" w:color="D9D9E3"/>
                      </w:divBdr>
                      <w:divsChild>
                        <w:div w:id="1396388981">
                          <w:marLeft w:val="0"/>
                          <w:marRight w:val="0"/>
                          <w:marTop w:val="0"/>
                          <w:marBottom w:val="0"/>
                          <w:divBdr>
                            <w:top w:val="single" w:sz="2" w:space="0" w:color="D9D9E3"/>
                            <w:left w:val="single" w:sz="2" w:space="0" w:color="D9D9E3"/>
                            <w:bottom w:val="single" w:sz="2" w:space="0" w:color="D9D9E3"/>
                            <w:right w:val="single" w:sz="2" w:space="0" w:color="D9D9E3"/>
                          </w:divBdr>
                          <w:divsChild>
                            <w:div w:id="2039817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70687270">
      <w:bodyDiv w:val="1"/>
      <w:marLeft w:val="0"/>
      <w:marRight w:val="0"/>
      <w:marTop w:val="0"/>
      <w:marBottom w:val="0"/>
      <w:divBdr>
        <w:top w:val="none" w:sz="0" w:space="0" w:color="auto"/>
        <w:left w:val="none" w:sz="0" w:space="0" w:color="auto"/>
        <w:bottom w:val="none" w:sz="0" w:space="0" w:color="auto"/>
        <w:right w:val="none" w:sz="0" w:space="0" w:color="auto"/>
      </w:divBdr>
    </w:div>
    <w:div w:id="1292905798">
      <w:bodyDiv w:val="1"/>
      <w:marLeft w:val="0"/>
      <w:marRight w:val="0"/>
      <w:marTop w:val="0"/>
      <w:marBottom w:val="0"/>
      <w:divBdr>
        <w:top w:val="none" w:sz="0" w:space="0" w:color="auto"/>
        <w:left w:val="none" w:sz="0" w:space="0" w:color="auto"/>
        <w:bottom w:val="none" w:sz="0" w:space="0" w:color="auto"/>
        <w:right w:val="none" w:sz="0" w:space="0" w:color="auto"/>
      </w:divBdr>
    </w:div>
    <w:div w:id="1307736654">
      <w:bodyDiv w:val="1"/>
      <w:marLeft w:val="0"/>
      <w:marRight w:val="0"/>
      <w:marTop w:val="0"/>
      <w:marBottom w:val="0"/>
      <w:divBdr>
        <w:top w:val="none" w:sz="0" w:space="0" w:color="auto"/>
        <w:left w:val="none" w:sz="0" w:space="0" w:color="auto"/>
        <w:bottom w:val="none" w:sz="0" w:space="0" w:color="auto"/>
        <w:right w:val="none" w:sz="0" w:space="0" w:color="auto"/>
      </w:divBdr>
    </w:div>
    <w:div w:id="1473670803">
      <w:bodyDiv w:val="1"/>
      <w:marLeft w:val="0"/>
      <w:marRight w:val="0"/>
      <w:marTop w:val="0"/>
      <w:marBottom w:val="0"/>
      <w:divBdr>
        <w:top w:val="none" w:sz="0" w:space="0" w:color="auto"/>
        <w:left w:val="none" w:sz="0" w:space="0" w:color="auto"/>
        <w:bottom w:val="none" w:sz="0" w:space="0" w:color="auto"/>
        <w:right w:val="none" w:sz="0" w:space="0" w:color="auto"/>
      </w:divBdr>
    </w:div>
    <w:div w:id="1566337194">
      <w:bodyDiv w:val="1"/>
      <w:marLeft w:val="0"/>
      <w:marRight w:val="0"/>
      <w:marTop w:val="0"/>
      <w:marBottom w:val="0"/>
      <w:divBdr>
        <w:top w:val="none" w:sz="0" w:space="0" w:color="auto"/>
        <w:left w:val="none" w:sz="0" w:space="0" w:color="auto"/>
        <w:bottom w:val="none" w:sz="0" w:space="0" w:color="auto"/>
        <w:right w:val="none" w:sz="0" w:space="0" w:color="auto"/>
      </w:divBdr>
    </w:div>
    <w:div w:id="1662585655">
      <w:bodyDiv w:val="1"/>
      <w:marLeft w:val="0"/>
      <w:marRight w:val="0"/>
      <w:marTop w:val="0"/>
      <w:marBottom w:val="0"/>
      <w:divBdr>
        <w:top w:val="none" w:sz="0" w:space="0" w:color="auto"/>
        <w:left w:val="none" w:sz="0" w:space="0" w:color="auto"/>
        <w:bottom w:val="none" w:sz="0" w:space="0" w:color="auto"/>
        <w:right w:val="none" w:sz="0" w:space="0" w:color="auto"/>
      </w:divBdr>
    </w:div>
    <w:div w:id="1884950271">
      <w:bodyDiv w:val="1"/>
      <w:marLeft w:val="0"/>
      <w:marRight w:val="0"/>
      <w:marTop w:val="0"/>
      <w:marBottom w:val="0"/>
      <w:divBdr>
        <w:top w:val="none" w:sz="0" w:space="0" w:color="auto"/>
        <w:left w:val="none" w:sz="0" w:space="0" w:color="auto"/>
        <w:bottom w:val="none" w:sz="0" w:space="0" w:color="auto"/>
        <w:right w:val="none" w:sz="0" w:space="0" w:color="auto"/>
      </w:divBdr>
    </w:div>
    <w:div w:id="2016179186">
      <w:bodyDiv w:val="1"/>
      <w:marLeft w:val="0"/>
      <w:marRight w:val="0"/>
      <w:marTop w:val="0"/>
      <w:marBottom w:val="0"/>
      <w:divBdr>
        <w:top w:val="none" w:sz="0" w:space="0" w:color="auto"/>
        <w:left w:val="none" w:sz="0" w:space="0" w:color="auto"/>
        <w:bottom w:val="none" w:sz="0" w:space="0" w:color="auto"/>
        <w:right w:val="none" w:sz="0" w:space="0" w:color="auto"/>
      </w:divBdr>
    </w:div>
    <w:div w:id="2079933745">
      <w:bodyDiv w:val="1"/>
      <w:marLeft w:val="0"/>
      <w:marRight w:val="0"/>
      <w:marTop w:val="0"/>
      <w:marBottom w:val="0"/>
      <w:divBdr>
        <w:top w:val="none" w:sz="0" w:space="0" w:color="auto"/>
        <w:left w:val="none" w:sz="0" w:space="0" w:color="auto"/>
        <w:bottom w:val="none" w:sz="0" w:space="0" w:color="auto"/>
        <w:right w:val="none" w:sz="0" w:space="0" w:color="auto"/>
      </w:divBdr>
    </w:div>
    <w:div w:id="211760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C7ABEA-713F-4840-A4B5-81DAF5A3F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2785</Words>
  <Characters>15875</Characters>
  <Application>Microsoft Office Word</Application>
  <DocSecurity>0</DocSecurity>
  <Lines>132</Lines>
  <Paragraphs>37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Hammad-Ur-Rahman</dc:creator>
  <cp:keywords/>
  <dc:description/>
  <cp:lastModifiedBy>Ileana Gabriela Juganaru</cp:lastModifiedBy>
  <cp:revision>2</cp:revision>
  <dcterms:created xsi:type="dcterms:W3CDTF">2023-03-26T20:27:00Z</dcterms:created>
  <dcterms:modified xsi:type="dcterms:W3CDTF">2023-03-26T20:27:00Z</dcterms:modified>
</cp:coreProperties>
</file>