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E134637" w:rsidP="4E134637" w:rsidRDefault="4E134637" w14:paraId="28F87B26" w14:textId="0E3CB140">
      <w:pPr>
        <w:pStyle w:val="Normal"/>
        <w:rPr>
          <w:highlight w:val="yellow"/>
        </w:rPr>
      </w:pPr>
      <w:r w:rsidR="4E134637">
        <w:rPr/>
        <w:t xml:space="preserve">"Evidence-based policing" has significant policy ramifications. Carrying out research for a crime scene or an illegal activity is not enough as more aggressive actions are needed to drive what is the outcome of the research into practice through governmental and local policies. These recommendations can then be used to concentrate internal analyses of what benefits agencies, units, victims, and police the most. Fair comparisons across police units, including national rankings of police agencies based on their success in preventing crime, can be found when statistical adjustments for the risk variables influencing crime are made. Domestic violence is used as an example of how agency-based outcomes research may contribute to further reducing victim violence and how cumulative National Institute of Justice research might lead to evidence-based recommendations. However, in order </w:t>
      </w:r>
      <w:r w:rsidR="4E134637">
        <w:rPr/>
        <w:t>for</w:t>
      </w:r>
      <w:r w:rsidR="4E134637">
        <w:rPr/>
        <w:t xml:space="preserve"> police agencies to adopt it, new data systems that create "medical charts" for crime victims, annual reviews of crime reporting systems, and internal "evidence cops" who record the ongoing patterns and effects of police </w:t>
      </w:r>
      <w:bookmarkStart w:name="_Int_edtqDrDK" w:id="2071196368"/>
      <w:r w:rsidR="4E134637">
        <w:rPr/>
        <w:t>pract</w:t>
      </w:r>
      <w:r w:rsidR="4E134637">
        <w:rPr/>
        <w:t>ices</w:t>
      </w:r>
      <w:bookmarkEnd w:id="2071196368"/>
      <w:r w:rsidR="4E134637">
        <w:rPr/>
        <w:t xml:space="preserve"> </w:t>
      </w:r>
      <w:r w:rsidR="4E134637">
        <w:rPr/>
        <w:t>in lig</w:t>
      </w:r>
      <w:r w:rsidR="4E134637">
        <w:rPr/>
        <w:t>ht of</w:t>
      </w:r>
      <w:r w:rsidR="4E134637">
        <w:rPr/>
        <w:t xml:space="preserve"> published and in-house research are all necessary. Agency-ranking studies may put pressure on </w:t>
      </w:r>
      <w:bookmarkStart w:name="_Int_1VGq0w0i" w:id="1065027597"/>
      <w:r w:rsidR="4E134637">
        <w:rPr/>
        <w:t>organizations</w:t>
      </w:r>
      <w:bookmarkEnd w:id="1065027597"/>
      <w:r w:rsidR="4E134637">
        <w:rPr/>
        <w:t xml:space="preserve"> to adopt this paradigm on a national level. </w:t>
      </w:r>
      <w:r w:rsidRPr="4E134637" w:rsidR="4E134637">
        <w:rPr>
          <w:noProof/>
        </w:rPr>
        <w:t>(Sherman, W, 1998)</w:t>
      </w:r>
      <w:r w:rsidR="4E134637">
        <w:rPr/>
        <w:t>.</w:t>
      </w:r>
    </w:p>
    <w:p w:rsidR="00E332EC" w:rsidRDefault="00E332EC" w14:paraId="43A7F7BC" w14:textId="62FAB416">
      <w:pPr>
        <w:rPr>
          <w:noProof/>
        </w:rPr>
      </w:pPr>
      <w:r w:rsidRPr="4E134637" w:rsidR="4E134637">
        <w:rPr>
          <w:b w:val="1"/>
          <w:bCs w:val="1"/>
          <w:i w:val="1"/>
          <w:iCs w:val="1"/>
        </w:rPr>
        <w:t>“</w:t>
      </w:r>
      <w:r w:rsidRPr="4E134637" w:rsidR="4E134637">
        <w:rPr>
          <w:b w:val="1"/>
          <w:bCs w:val="1"/>
          <w:i w:val="1"/>
          <w:iCs w:val="1"/>
        </w:rPr>
        <w:t>Most people believe that a statistician's job is to measure and predict, but very few believe that it is the statistician's responsibility to strive to change the things that he [or she] measures</w:t>
      </w:r>
      <w:r w:rsidRPr="4E134637" w:rsidR="4E134637">
        <w:rPr>
          <w:b w:val="1"/>
          <w:bCs w:val="1"/>
          <w:i w:val="1"/>
          <w:iCs w:val="1"/>
        </w:rPr>
        <w:t>.”</w:t>
      </w:r>
      <w:r w:rsidRPr="4E134637" w:rsidR="4E134637">
        <w:rPr>
          <w:b w:val="1"/>
          <w:bCs w:val="1"/>
          <w:i w:val="1"/>
          <w:iCs w:val="1"/>
        </w:rPr>
        <w:t xml:space="preserve"> </w:t>
      </w:r>
      <w:r w:rsidRPr="4E134637" w:rsidR="4E134637">
        <w:rPr>
          <w:noProof/>
        </w:rPr>
        <w:t>(Sherman, W, 1998).</w:t>
      </w:r>
    </w:p>
    <w:p w:rsidR="00D876A6" w:rsidP="4E134637" w:rsidRDefault="0068586E" w14:paraId="548EE54C" w14:textId="75471C9F">
      <w:pPr>
        <w:pStyle w:val="Normal"/>
        <w:rPr>
          <w:noProof/>
        </w:rPr>
      </w:pPr>
    </w:p>
    <w:p w:rsidR="00D876A6" w:rsidRDefault="0068586E" w14:paraId="0E2B2A02" w14:textId="35116051">
      <w:pPr>
        <w:rPr>
          <w:noProof/>
        </w:rPr>
      </w:pPr>
      <w:r w:rsidRPr="4E134637" w:rsidR="4E134637">
        <w:rPr>
          <w:noProof/>
        </w:rPr>
        <w:t>Even though there has been substantial discussion over the structure and technique of EBP, particularly in regards to experimental study design, the majority of observers concur that policing is too important a subject to rely exclusively on intuitive and unsystematic approaches. They contend that in order to inform professional policy and practise, a stronger knowledge base is needed. Evidence continuously points in favour of this opinion. Another example of the "science-practitioner divide," according to Chaplin and Shaw in 2016, is policing, where new research findings are not being applied at the operational level. Police personnel and ordinary people both have similar beliefs about criminal justice. Numerous factors also have an impact on the police's capacity to accept and apply evidence based on the study. Sherman's concern that study evidence must uphold its objectivity and not be improperly used to support intuition, unreliable, and opinion forms the basis of this argument. Unfortunately, there are other ways in which Sherman's worries might be seen in the setting of the police. First, there may be a simple gap between the actual application of research evidence and that evidence (Telep and Lum, 2014). Lum and Koper in 2015 drew attention to the infrequent and irregular employment of hot-spot patrol, which is nevertheless a proven policy strategy. They contend that when police forces profess to adopt this approach, they frequently do so while deploying personnel utilising traditional locations, which lessens its effectiveness (Koper, C, 2008). The second instance is when improperly applied quasi-scientific techniques are used.</w:t>
      </w:r>
    </w:p>
    <w:p w:rsidR="00281462" w:rsidRDefault="0068586E" w14:paraId="7730C881" w14:textId="72B32FD2">
      <w:r w:rsidRPr="4E134637" w:rsidR="4E134637">
        <w:rPr>
          <w:noProof/>
        </w:rPr>
        <w:t xml:space="preserve">The Federal Bureau of Investigation (FBI), which created the organized/disorganized typology while profiling suspects in the 1970s after speaking with a small number of serial killers who had already been found guilty, provided evidence of this. Academic research revealed that the strategy—which affected murder investigations everywhere—lacked an empirical basis </w:t>
      </w:r>
      <w:r w:rsidRPr="4E134637" w:rsidR="4E134637">
        <w:rPr>
          <w:noProof/>
        </w:rPr>
        <w:t>(Canter et al.,2004).</w:t>
      </w:r>
      <w:r w:rsidRPr="4E134637" w:rsidR="4E134637">
        <w:rPr>
          <w:noProof/>
        </w:rPr>
        <w:t xml:space="preserve"> </w:t>
      </w:r>
      <w:r w:rsidR="4E134637">
        <w:rPr/>
        <w:t xml:space="preserve">When Sherman's team tried to conduct tests, they occasionally ran into problems: Trinidadian officials were reluctant to put on their body cameras during tests, thinking the request to be an interruption (Nast, 2021). Europe, Australasia, and parts of North (and South) America have all seen EBP detections. According to Sherman, EBP is a mechanism for </w:t>
      </w:r>
      <w:r w:rsidR="4E134637">
        <w:rPr/>
        <w:t>determining</w:t>
      </w:r>
      <w:r w:rsidR="4E134637">
        <w:rPr/>
        <w:t xml:space="preserve"> which strategies and techniques carry out police operations the most effectively</w:t>
      </w:r>
      <w:r w:rsidR="4E134637">
        <w:rPr/>
        <w:t xml:space="preserve">. Its roots can be seen in the phrase "evidence-based </w:t>
      </w:r>
      <w:r w:rsidR="4E134637">
        <w:rPr/>
        <w:t>policing</w:t>
      </w:r>
      <w:r w:rsidR="4E134637">
        <w:rPr/>
        <w:t xml:space="preserve">," which </w:t>
      </w:r>
      <w:r w:rsidR="4E134637">
        <w:rPr/>
        <w:t>Guyatt</w:t>
      </w:r>
      <w:r w:rsidR="4E134637">
        <w:rPr/>
        <w:t xml:space="preserve"> first used in 1992. This </w:t>
      </w:r>
      <w:bookmarkStart w:name="_Int_e51LL4rg" w:id="138560550"/>
      <w:r w:rsidR="4E134637">
        <w:rPr/>
        <w:t>made an effort</w:t>
      </w:r>
      <w:bookmarkEnd w:id="138560550"/>
      <w:r w:rsidR="4E134637">
        <w:rPr/>
        <w:t xml:space="preserve"> to replace instinctive and </w:t>
      </w:r>
      <w:r w:rsidR="4E134637">
        <w:rPr/>
        <w:t>lack of</w:t>
      </w:r>
      <w:r w:rsidR="4E134637">
        <w:rPr/>
        <w:t xml:space="preserve"> experience with scientific and clinically pertinent research while making clinical decisions</w:t>
      </w:r>
      <w:r w:rsidR="4E134637">
        <w:rPr/>
        <w:t xml:space="preserve"> </w:t>
      </w:r>
      <w:r w:rsidR="4E134637">
        <w:rPr/>
        <w:t>(Alcott, 2012)</w:t>
      </w:r>
      <w:r w:rsidR="4E134637">
        <w:rPr/>
        <w:t>.</w:t>
      </w:r>
    </w:p>
    <w:p w:rsidR="00184AE8" w:rsidRDefault="00A75908" w14:paraId="1D829BE4" w14:textId="6210DB77">
      <w:r w:rsidR="4E134637">
        <w:rPr/>
        <w:t xml:space="preserve">The concept of "what works" in policing, or the methods and strategies that enable police to carry out their duties most successfully, and successfully, it is the basis of evidence-based policing. Instead of theory-based conclusions, presumptions, tradition, or convention, an evidence-based approach routinely compares hypotheses with the findings of empirical research. </w:t>
      </w:r>
    </w:p>
    <w:p w:rsidR="00184AE8" w:rsidRDefault="00A75908" w14:paraId="6648EFA3" w14:textId="71B91F60">
      <w:r w:rsidR="4E134637">
        <w:rPr/>
        <w:t xml:space="preserve">The three elements of the "triple-T" technique of policing—targeting, testing, and tracking—were areas where research was increasingly being used in police </w:t>
      </w:r>
      <w:bookmarkStart w:name="_Int_oyYSaReb" w:id="1630617805"/>
      <w:r w:rsidR="4E134637">
        <w:rPr/>
        <w:t>practice</w:t>
      </w:r>
      <w:bookmarkEnd w:id="1630617805"/>
      <w:r w:rsidR="4E134637">
        <w:rPr/>
        <w:t xml:space="preserve"> around the beginning of the twenty-first century. Triple-T is a strategy for an ongoing strategy that is adjusted as </w:t>
      </w:r>
      <w:r w:rsidR="4E134637">
        <w:rPr/>
        <w:t>new information</w:t>
      </w:r>
      <w:r w:rsidR="4E134637">
        <w:rPr/>
        <w:t xml:space="preserve"> becomes available (O’Connor 2012). While in the latter half of the 20th century, studies on all elements of policing </w:t>
      </w:r>
      <w:r w:rsidR="4E134637">
        <w:rPr/>
        <w:t>considerably increased</w:t>
      </w:r>
      <w:r w:rsidR="4E134637">
        <w:rPr/>
        <w:t xml:space="preserve">. A systematic ranking and comparison of the degrees of harm associated with the </w:t>
      </w:r>
      <w:r w:rsidR="4E134637">
        <w:rPr/>
        <w:t>numerous</w:t>
      </w:r>
      <w:r w:rsidR="4E134637">
        <w:rPr/>
        <w:t xml:space="preserve"> locations, occasions, people, and circumstances that the police are legally allowed to address are </w:t>
      </w:r>
      <w:r w:rsidR="4E134637">
        <w:rPr/>
        <w:t>required</w:t>
      </w:r>
      <w:r w:rsidR="4E134637">
        <w:rPr/>
        <w:t xml:space="preserve"> for evidence-based targeting. Police can avoid wasting resources on both crime and money by conducting tests based on evidence. The use of body-worn video records of encounters between police and civilians and GPS records of police movements may be what drives the greatest development in </w:t>
      </w:r>
      <w:r w:rsidR="4E134637">
        <w:rPr/>
        <w:t>determining</w:t>
      </w:r>
      <w:r w:rsidR="4E134637">
        <w:rPr/>
        <w:t xml:space="preserve"> if police are carrying out what officials believe should be done in the future years </w:t>
      </w:r>
      <w:r w:rsidRPr="4E134637" w:rsidR="4E134637">
        <w:rPr>
          <w:noProof/>
        </w:rPr>
        <w:t>(Sherman, W, 2013)</w:t>
      </w:r>
      <w:r w:rsidR="4E134637">
        <w:rPr/>
        <w:t xml:space="preserve">. </w:t>
      </w:r>
      <w:r w:rsidR="4E134637">
        <w:rPr/>
        <w:t>Perhaps the</w:t>
      </w:r>
      <w:r w:rsidR="4E134637">
        <w:rPr/>
        <w:t xml:space="preserve"> best response to a significant test of EBP is to </w:t>
      </w:r>
      <w:r w:rsidR="4E134637">
        <w:rPr/>
        <w:t>interface</w:t>
      </w:r>
      <w:r w:rsidR="4E134637">
        <w:rPr/>
        <w:t xml:space="preserve"> the Ts: Accepting the evidence makes a powerful statement for the prosecution (</w:t>
      </w:r>
      <w:r w:rsidR="4E134637">
        <w:rPr/>
        <w:t>Giluk</w:t>
      </w:r>
      <w:r w:rsidR="4E134637">
        <w:rPr/>
        <w:t xml:space="preserve"> and </w:t>
      </w:r>
      <w:r w:rsidR="4E134637">
        <w:rPr/>
        <w:t>RynesWeller</w:t>
      </w:r>
      <w:r w:rsidR="4E134637">
        <w:rPr/>
        <w:t xml:space="preserve"> 2012).</w:t>
      </w:r>
    </w:p>
    <w:p w:rsidR="00184AE8" w:rsidRDefault="00184AE8" w14:paraId="5258ADF1" w14:textId="7CE24DDE">
      <w:r>
        <w:t>Some important points are:</w:t>
      </w:r>
    </w:p>
    <w:p w:rsidR="00184AE8" w:rsidP="00184AE8" w:rsidRDefault="00184AE8" w14:paraId="34E453D6" w14:textId="46435A0E">
      <w:pPr>
        <w:pStyle w:val="ListParagraph"/>
        <w:numPr>
          <w:ilvl w:val="0"/>
          <w:numId w:val="3"/>
        </w:numPr>
      </w:pPr>
      <w:r>
        <w:t>Since 1975, the amount of data available to police officers has increased significantly.</w:t>
      </w:r>
    </w:p>
    <w:p w:rsidR="00184AE8" w:rsidP="00184AE8" w:rsidRDefault="00184AE8" w14:paraId="3670F609" w14:textId="4D816A36">
      <w:pPr>
        <w:pStyle w:val="ListParagraph"/>
        <w:numPr>
          <w:ilvl w:val="0"/>
          <w:numId w:val="3"/>
        </w:numPr>
      </w:pPr>
      <w:r>
        <w:t>Although usage of that evidence has increased, it still trails behind knowledge.</w:t>
      </w:r>
    </w:p>
    <w:p w:rsidR="00184AE8" w:rsidP="00184AE8" w:rsidRDefault="00184AE8" w14:paraId="269B8113" w14:textId="168C0B48">
      <w:pPr>
        <w:pStyle w:val="ListParagraph"/>
        <w:numPr>
          <w:ilvl w:val="0"/>
          <w:numId w:val="3"/>
        </w:numPr>
        <w:rPr/>
      </w:pPr>
      <w:r w:rsidR="4E134637">
        <w:rPr/>
        <w:t xml:space="preserve">Despite being extremely expensive, </w:t>
      </w:r>
      <w:bookmarkStart w:name="_Int_mP26LtOA" w:id="254369575"/>
      <w:r w:rsidR="4E134637">
        <w:rPr/>
        <w:t>the majority of</w:t>
      </w:r>
      <w:bookmarkEnd w:id="254369575"/>
      <w:r w:rsidR="4E134637">
        <w:rPr/>
        <w:t xml:space="preserve"> police procedures </w:t>
      </w:r>
      <w:r w:rsidR="4E134637">
        <w:rPr/>
        <w:t>remain</w:t>
      </w:r>
      <w:r w:rsidR="4E134637">
        <w:rPr/>
        <w:t xml:space="preserve"> untested.</w:t>
      </w:r>
    </w:p>
    <w:p w:rsidR="00184AE8" w:rsidP="00184AE8" w:rsidRDefault="00184AE8" w14:paraId="36B38C85" w14:textId="39855F9B">
      <w:pPr>
        <w:pStyle w:val="ListParagraph"/>
        <w:numPr>
          <w:ilvl w:val="0"/>
          <w:numId w:val="3"/>
        </w:numPr>
      </w:pPr>
      <w:r>
        <w:lastRenderedPageBreak/>
        <w:t>Targeting and testing require extremely accurate crime and harm measurements.</w:t>
      </w:r>
    </w:p>
    <w:p w:rsidR="00184AE8" w:rsidP="00184AE8" w:rsidRDefault="00184AE8" w14:paraId="2122A342" w14:textId="0787FA64">
      <w:pPr>
        <w:pStyle w:val="ListParagraph"/>
        <w:numPr>
          <w:ilvl w:val="0"/>
          <w:numId w:val="3"/>
        </w:numPr>
      </w:pPr>
      <w:r>
        <w:t>Crime counts and rates by themselves are deceiving; a crime harm index provides much better information to inform police actions.</w:t>
      </w:r>
    </w:p>
    <w:p w:rsidR="00184AE8" w:rsidP="00184AE8" w:rsidRDefault="00184AE8" w14:paraId="48DDE5C1" w14:textId="6FB25728">
      <w:pPr>
        <w:pStyle w:val="ListParagraph"/>
        <w:numPr>
          <w:ilvl w:val="0"/>
          <w:numId w:val="3"/>
        </w:numPr>
      </w:pPr>
      <w:r>
        <w:t>In 2012, police used evidence about targeting far more frequently than they did testing-related evidence.</w:t>
      </w:r>
    </w:p>
    <w:p w:rsidR="00184AE8" w:rsidP="00184AE8" w:rsidRDefault="00184AE8" w14:paraId="03C40199" w14:textId="7184698C">
      <w:pPr>
        <w:pStyle w:val="ListParagraph"/>
        <w:numPr>
          <w:ilvl w:val="0"/>
          <w:numId w:val="3"/>
        </w:numPr>
      </w:pPr>
      <w:r>
        <w:t>There is still much space for adopting new technology to improve the quality of the evidence in the research on tracking police outputs, which is primarily descriptive and fragmentary.</w:t>
      </w:r>
    </w:p>
    <w:p w:rsidR="00184AE8" w:rsidP="00184AE8" w:rsidRDefault="00184AE8" w14:paraId="10D22E7E" w14:textId="0AB22D26">
      <w:pPr>
        <w:pStyle w:val="ListParagraph"/>
        <w:numPr>
          <w:ilvl w:val="0"/>
          <w:numId w:val="3"/>
        </w:numPr>
      </w:pPr>
      <w:r>
        <w:t>Increased use of evidence can improve the credibility of the police both internally and externally</w:t>
      </w:r>
      <w:r w:rsidR="00642A3E">
        <w:t xml:space="preserve"> </w:t>
      </w:r>
      <w:r w:rsidR="00642A3E">
        <w:rPr>
          <w:noProof/>
        </w:rPr>
        <w:t>(Sherman, W, 2013</w:t>
      </w:r>
      <w:r w:rsidR="00642A3E">
        <w:rPr>
          <w:noProof/>
        </w:rPr>
        <w:t>)</w:t>
      </w:r>
      <w:r>
        <w:t>.</w:t>
      </w:r>
    </w:p>
    <w:p w:rsidR="000929CC" w:rsidP="000929CC" w:rsidRDefault="000929CC" w14:paraId="750C2BA4" w14:textId="1F497FFA">
      <w:pPr>
        <w:pStyle w:val="Heading1"/>
      </w:pPr>
      <w:r>
        <w:t>CASE STUDY</w:t>
      </w:r>
    </w:p>
    <w:p w:rsidR="000929CC" w:rsidP="000929CC" w:rsidRDefault="000929CC" w14:paraId="5B2B9D8E" w14:textId="61BF5B02">
      <w:pPr>
        <w:pStyle w:val="Heading2"/>
      </w:pPr>
      <w:r w:rsidRPr="000929CC">
        <w:t>Kansas City Gun Experiment</w:t>
      </w:r>
      <w:r>
        <w:t>:</w:t>
      </w:r>
    </w:p>
    <w:p w:rsidR="00281462" w:rsidP="000929CC" w:rsidRDefault="00A75908" w14:paraId="6333CCB7" w14:textId="7518A495">
      <w:r w:rsidR="4E134637">
        <w:rPr/>
        <w:t xml:space="preserve">In 1991, in cooperation with the Kansas City Police Department in Missouri, an experiment was carried out to </w:t>
      </w:r>
      <w:r w:rsidR="4E134637">
        <w:rPr/>
        <w:t>determine</w:t>
      </w:r>
      <w:r w:rsidR="4E134637">
        <w:rPr/>
        <w:t xml:space="preserve"> the effectiveness of a </w:t>
      </w:r>
      <w:r w:rsidR="4E134637">
        <w:rPr/>
        <w:t>police</w:t>
      </w:r>
      <w:r w:rsidR="4E134637">
        <w:rPr/>
        <w:t xml:space="preserve"> program intended to reduce gun-related crimes, increase public trust in law enforcement, and reduce residents' fear of crime. The main goal of this policy experiment was to confiscate as many illicit guns as they could. The second goal of this study was based on the supposition that removing guns from the streets will reduce the number of crimes involving weapons. One of the main </w:t>
      </w:r>
      <w:r w:rsidR="4E134637">
        <w:rPr/>
        <w:t>objectives</w:t>
      </w:r>
      <w:r w:rsidR="4E134637">
        <w:rPr/>
        <w:t xml:space="preserve"> of this policy experiment was to reduce the number of gun-related crimes from when it began (this means finding hot spots areas of such activities), when it was 20 times higher than the national average, to normal by the project's conclusion (twenty-nine weeks later). This study's second outcome goal was to </w:t>
      </w:r>
      <w:r w:rsidR="4E134637">
        <w:rPr/>
        <w:t>determine</w:t>
      </w:r>
      <w:r w:rsidR="4E134637">
        <w:rPr/>
        <w:t xml:space="preserve"> whether stricter enforcement of the current laws prohibiting carrying concealed weapons will lower gun-related crimes through safety frisks, traffic stops, plain view, </w:t>
      </w:r>
      <w:r w:rsidR="4E134637">
        <w:rPr/>
        <w:t>etc</w:t>
      </w:r>
      <w:r w:rsidR="4E134637">
        <w:rPr/>
        <w:t xml:space="preserve"> (Cockcroft, 2015). </w:t>
      </w:r>
    </w:p>
    <w:p w:rsidR="000929CC" w:rsidP="000929CC" w:rsidRDefault="000929CC" w14:paraId="3E898163" w14:textId="03A5C625">
      <w:r w:rsidR="4E134637">
        <w:rPr/>
        <w:t>0A computer study of all local crimes conducted by the University of Maryland led to the discovery of the hot spot locations used in this experiment. The experiment duration was 29 weeks. To seize as many guns as they could, the police conducted heavy patrols in the targeted beat during this time. Thus, EBP can be an answer to these problems. The popularity of hotspot areas police calls for more research into how effective they are in lowering crime (Nast, 2021).</w:t>
      </w:r>
    </w:p>
    <w:p w:rsidR="000929CC" w:rsidP="000929CC" w:rsidRDefault="00ED0658" w14:paraId="65B54DED" w14:textId="5939F17E">
      <w:r w:rsidRPr="00ED0658">
        <w:t>The outcomes of this experimental inquiry showed that during the extended patrol period, gun crime in the target beat drastically decreased while slightly changing in the control beat (Sherman &amp; Rogan, 1995). Additionally, the target area showed a noticeable decrease in both drive-by shootings and homicides throughout the course of this additional patrolling period. On the other side, there were no discernible changes in the target beat's adjacent beats for killings and drive-by shootings and the control beat</w:t>
      </w:r>
      <w:r w:rsidRPr="000929CC" w:rsidR="000929CC">
        <w:t xml:space="preserve">. Furthermore, there were no appreciable changes in non-gun-related offences in either the target or the control areas. During the 29-week experiment, it was also demonstrated that there had been an improvement in the </w:t>
      </w:r>
      <w:r w:rsidR="000929CC">
        <w:t>public’s</w:t>
      </w:r>
      <w:r w:rsidRPr="000929CC" w:rsidR="000929CC">
        <w:t xml:space="preserve"> satisfaction with the police </w:t>
      </w:r>
      <w:r w:rsidRPr="00ED0658" w:rsidR="00D974E6">
        <w:t>(Sherman &amp; Rogan, 1995</w:t>
      </w:r>
      <w:r w:rsidRPr="000929CC" w:rsidR="000929CC">
        <w:t>).</w:t>
      </w:r>
    </w:p>
    <w:p w:rsidR="000929CC" w:rsidP="000929CC" w:rsidRDefault="000929CC" w14:paraId="433F5A96" w14:textId="18BBB6FB">
      <w:r w:rsidRPr="000929CC">
        <w:t xml:space="preserve">The study's findings indicate that the outcome goals were only partially achieved. The reduction of gun-related crimes was one of the outcome goals. The results indicate that this goal was </w:t>
      </w:r>
      <w:r w:rsidRPr="000929CC">
        <w:lastRenderedPageBreak/>
        <w:t xml:space="preserve">accomplished. </w:t>
      </w:r>
      <w:r w:rsidR="002B439C">
        <w:t>The</w:t>
      </w:r>
      <w:r w:rsidRPr="00555E90" w:rsidR="00555E90">
        <w:t xml:space="preserve"> number of gun crimes (per 1,000 people) decreased in the target beat from 37% to 18.9%, while the number of firearms seized (per 1,000 people) increased from 9.9% to 16.8%. Comparatively, the number of gun crimes (per 1,000 people) increased in the corresponding beat by 1% even though the percentage of weapons confiscated (per 1,000 people) dropped from 10.4% to 8.8%. The cost of the mediation, whether direct or indirect and any evidence of financial savings </w:t>
      </w:r>
      <w:r w:rsidRPr="0068586E" w:rsidR="00F908D2">
        <w:t>(Nast, 2021)</w:t>
      </w:r>
      <w:r w:rsidRPr="00D8749D" w:rsidR="00CF4EFF">
        <w:t>.</w:t>
      </w:r>
    </w:p>
    <w:p w:rsidR="000929CC" w:rsidP="000929CC" w:rsidRDefault="00DE7344" w14:paraId="79B07F1C" w14:textId="5B00FD67">
      <w:r w:rsidRPr="00DE7344">
        <w:rPr/>
        <w:t xml:space="preserve">The methods employed to take the guns were designed to meet the second result aim. </w:t>
      </w:r>
      <w:r w:rsidRPr="00555E90" w:rsidR="00555E90">
        <w:rPr/>
        <w:t xml:space="preserve">By upholding present rules that forbid carrying concealed illegal weapons, the police would be able to seize firearms and reduce the number of firearm-related crimes (by using certain police tactics). This outcome's goal was only partially achieved. The data shows that although the police did seize illegal firearms, not </w:t>
      </w:r>
      <w:bookmarkStart w:name="_Int_QRC9P08j" w:id="58997540"/>
      <w:r w:rsidRPr="00555E90" w:rsidR="00555E90">
        <w:rPr/>
        <w:t>all of</w:t>
      </w:r>
      <w:bookmarkEnd w:id="58997540"/>
      <w:r w:rsidRPr="00555E90" w:rsidR="00555E90">
        <w:rPr/>
        <w:t xml:space="preserve"> their efforts were successful in </w:t>
      </w:r>
      <w:bookmarkStart w:name="_Int_83f4nxfT" w:id="1137145684"/>
      <w:r w:rsidRPr="00555E90" w:rsidR="00555E90">
        <w:rPr/>
        <w:t>maximizing</w:t>
      </w:r>
      <w:bookmarkEnd w:id="1137145684"/>
      <w:r w:rsidRPr="00555E90" w:rsidR="00555E90">
        <w:rPr/>
        <w:t xml:space="preserve"> the number of weapons seized</w:t>
      </w:r>
      <w:r w:rsidR="006F0BE5">
        <w:rPr/>
        <w:t xml:space="preserve"> </w:t>
      </w:r>
      <w:r w:rsidRPr="006F0BE5" w:rsidR="006F0BE5">
        <w:rPr/>
        <w:t>(Canter et al.,2004)</w:t>
      </w:r>
      <w:r w:rsidRPr="00555E90" w:rsidR="00555E90">
        <w:rPr/>
        <w:t xml:space="preserve">. For example, door-to-door pistol patrols proved ineffectual. Additionally, it was thought that </w:t>
      </w:r>
      <w:bookmarkStart w:name="_Int_42QozdXQ" w:id="1803548404"/>
      <w:r w:rsidRPr="00555E90" w:rsidR="00555E90">
        <w:rPr/>
        <w:t>specialized</w:t>
      </w:r>
      <w:bookmarkEnd w:id="1803548404"/>
      <w:r w:rsidRPr="00555E90" w:rsidR="00555E90">
        <w:rPr/>
        <w:t xml:space="preserve"> police body language training might enable officers to more accurately </w:t>
      </w:r>
      <w:bookmarkStart w:name="_Int_9CWsWy5A" w:id="152340860"/>
      <w:r w:rsidRPr="00555E90" w:rsidR="00555E90">
        <w:rPr/>
        <w:t>recognize</w:t>
      </w:r>
      <w:bookmarkEnd w:id="152340860"/>
      <w:r w:rsidRPr="00555E90" w:rsidR="00555E90">
        <w:rPr/>
        <w:t xml:space="preserve"> people who may be carrying weapons</w:t>
      </w:r>
      <w:r w:rsidRPr="00DE7344">
        <w:rPr/>
        <w:t>.</w:t>
      </w:r>
      <w:r>
        <w:rPr/>
        <w:t xml:space="preserve"> </w:t>
      </w:r>
      <w:r w:rsidRPr="00555E90" w:rsidR="00555E90">
        <w:rPr/>
        <w:t xml:space="preserve">It was ineffectual since it had no </w:t>
      </w:r>
      <w:r w:rsidRPr="00555E90" w:rsidR="00555E90">
        <w:rPr/>
        <w:t>impact</w:t>
      </w:r>
      <w:r w:rsidRPr="00555E90" w:rsidR="00555E90">
        <w:rPr/>
        <w:t xml:space="preserve"> on the number of weapons seized. On the other hand, traffic stops, one of the methods for reaching the second </w:t>
      </w:r>
      <w:r w:rsidRPr="00555E90" w:rsidR="00555E90">
        <w:rPr/>
        <w:t>objective</w:t>
      </w:r>
      <w:r w:rsidRPr="00555E90" w:rsidR="00555E90">
        <w:rPr/>
        <w:t>, proved to be the most successful in detecting illegal firearms</w:t>
      </w:r>
      <w:sdt>
        <w:sdtPr>
          <w:id w:val="-1964646411"/>
          <w:citation/>
          <w:lock w:val="contentLocked"/>
          <w:placeholder>
            <w:docPart w:val="DefaultPlaceholder_1081868574"/>
          </w:placeholder>
        </w:sdtPr>
        <w:sdtContent>
          <w:r w:rsidR="00F05700">
            <w:fldChar w:fldCharType="begin"/>
          </w:r>
          <w:r w:rsidR="00F05700">
            <w:instrText xml:space="preserve"> CITATION Ian19 \l 1033 </w:instrText>
          </w:r>
          <w:r w:rsidR="00F05700">
            <w:fldChar w:fldCharType="separate"/>
          </w:r>
          <w:r w:rsidR="00F05700">
            <w:rPr>
              <w:noProof/>
            </w:rPr>
            <w:t xml:space="preserve"> (Palmer, 2019)</w:t>
          </w:r>
          <w:r w:rsidR="00F05700">
            <w:fldChar w:fldCharType="end"/>
          </w:r>
        </w:sdtContent>
      </w:sdt>
      <w:r w:rsidRPr="00DE7344">
        <w:rPr/>
        <w:t>.</w:t>
      </w:r>
    </w:p>
    <w:p w:rsidR="00DE7344" w:rsidP="000929CC" w:rsidRDefault="00555E90" w14:paraId="7D2D1341" w14:textId="19FD8297">
      <w:r w:rsidRPr="00555E90">
        <w:t xml:space="preserve">Overall, the study's findings show that even a little increase in the number of firearms recovered can have a big impact on the frequency of gun crimes. An important ancillary finding is that "police can increase the quantities of guns confiscated in high gun crime zones at relatively little cost" (Palmer, 2019). Because of the many intervening variables, this experiment was unable to completely rule out all possible explanations for the results and was unable to show that an increase in gun seizures causes a decrease in gun crime. This experiment was designed to test the </w:t>
      </w:r>
      <w:r w:rsidRPr="00555E90">
        <w:lastRenderedPageBreak/>
        <w:t>hypothesis that gun seizures and crime involving guns are inversely related. Despite the positive results, the conclusions are so questionable</w:t>
      </w:r>
      <w:r w:rsidRPr="00DE7344" w:rsidR="00DE7344">
        <w:t>.</w:t>
      </w:r>
    </w:p>
    <w:p w:rsidR="00DE7344" w:rsidP="000929CC" w:rsidRDefault="003820AC" w14:paraId="2FD81A6B" w14:textId="6411BB6A">
      <w:r w:rsidRPr="003820AC">
        <w:t xml:space="preserve">Police resources can be directed toward sustaining or improving the usage of effective police tactics and techniques or creating new ones by removing those that don't. Targeted policing is a cost-efficient policing strategy that has been experimentally shown to be effective, thus it is acceptable to support it and even embrace it as a national crime-fighting strategy that should be replicate </w:t>
      </w:r>
      <w:r w:rsidR="00905CE0">
        <w:rPr>
          <w:noProof/>
        </w:rPr>
        <w:t>(Avdija, 2008)</w:t>
      </w:r>
      <w:r w:rsidRPr="00D876A6" w:rsidR="00D876A6">
        <w:t>.</w:t>
      </w:r>
    </w:p>
    <w:p w:rsidR="00DE7344" w:rsidP="00DE7344" w:rsidRDefault="00DE7344" w14:paraId="37459630" w14:textId="3EAAF809">
      <w:pPr>
        <w:pStyle w:val="Heading1"/>
      </w:pPr>
      <w:r>
        <w:t>CONCLUSION</w:t>
      </w:r>
    </w:p>
    <w:p w:rsidR="00D876A6" w:rsidP="00AA586C" w:rsidRDefault="003820AC" w14:paraId="67F8FFFF" w14:textId="357EA515">
      <w:r w:rsidR="4E134637">
        <w:rPr/>
        <w:t xml:space="preserve">This crime prevention strategy is based on the routine activities theory based on Cohen and Felson, 1979), which contends that escalating police visibility and patrol frequency in high-crime regions will break up the crime triangle and reduce crime rates. The effectiveness of police in lowering crime by removing guns from the streets was evaluated in two studies. The underlying assumption of these evidence-based police tactics (to combat crimes involving firearms) was that by collecting illegal firearms through zealous police patrol, the police would increase the danger of doing so, discouraging those offenders who may potentially do so </w:t>
      </w:r>
      <w:r w:rsidRPr="4E134637" w:rsidR="4E134637">
        <w:rPr>
          <w:noProof/>
        </w:rPr>
        <w:t>(Avdija, 2008)</w:t>
      </w:r>
      <w:r w:rsidR="4E134637">
        <w:rPr/>
        <w:t xml:space="preserve">. Therefore, there would be no crime or no crimes involving the use or abuse of firearms if the criminals had no access to firearms (as explained by incapacitation and rational choice theories as mentioned in Clarke and Cornish, 1986). This proactive approach to crime prevention aimed to reduce people's fear of crime and increase their satisfaction with the police, which would entice them to come forward and report crimes. </w:t>
      </w:r>
    </w:p>
    <w:p w:rsidR="00D24F7A" w:rsidRDefault="00D24F7A" w14:paraId="625912C9" w14:textId="77777777">
      <w:pPr>
        <w:spacing w:after="160" w:line="259" w:lineRule="auto"/>
        <w:jc w:val="left"/>
        <w:rPr>
          <w:rFonts w:eastAsiaTheme="majorEastAsia" w:cstheme="majorBidi"/>
          <w:b/>
          <w:noProof/>
          <w:szCs w:val="32"/>
        </w:rPr>
      </w:pPr>
      <w:r>
        <w:rPr>
          <w:noProof/>
        </w:rPr>
        <w:br w:type="page"/>
      </w:r>
    </w:p>
    <w:p w:rsidR="00D876A6" w:rsidP="00D876A6" w:rsidRDefault="00D876A6" w14:paraId="52A483C3" w14:textId="0E54B2B9">
      <w:pPr>
        <w:pStyle w:val="Heading1"/>
        <w:rPr>
          <w:noProof/>
        </w:rPr>
      </w:pPr>
      <w:r>
        <w:rPr>
          <w:noProof/>
        </w:rPr>
        <w:lastRenderedPageBreak/>
        <w:t>REFERENCE</w:t>
      </w:r>
    </w:p>
    <w:p w:rsidR="00BD42A0" w:rsidP="00BD42A0" w:rsidRDefault="00BD42A0" w14:paraId="77B110AE" w14:textId="1F90D44A">
      <w:pPr>
        <w:pStyle w:val="Bibliography"/>
        <w:numPr>
          <w:ilvl w:val="0"/>
          <w:numId w:val="4"/>
        </w:numPr>
        <w:rPr>
          <w:noProof/>
        </w:rPr>
      </w:pPr>
      <w:r w:rsidRPr="4E134637" w:rsidR="4E134637">
        <w:rPr>
          <w:noProof/>
        </w:rPr>
        <w:t>Alcott, C, (2012) Reforming the force: an examination of the impact of the operational sub-culture on reform and modernisation within the police service. British Journal of CommunityJustice 10(1). Available at: https://www.gale.com/intl/c/academic-onefile (accessed 22 October 2022).</w:t>
      </w:r>
    </w:p>
    <w:p w:rsidR="006F0BE5" w:rsidP="006F0BE5" w:rsidRDefault="00D876A6" w14:paraId="48B98DB5" w14:textId="77777777">
      <w:pPr>
        <w:pStyle w:val="Bibliography"/>
        <w:numPr>
          <w:ilvl w:val="0"/>
          <w:numId w:val="4"/>
        </w:numPr>
        <w:rPr>
          <w:noProof/>
        </w:rPr>
      </w:pPr>
      <w:r>
        <w:rPr>
          <w:noProof/>
        </w:rPr>
        <w:t xml:space="preserve">Avdija, A., </w:t>
      </w:r>
      <w:r w:rsidR="00AA586C">
        <w:rPr>
          <w:noProof/>
        </w:rPr>
        <w:t>(</w:t>
      </w:r>
      <w:r>
        <w:rPr>
          <w:noProof/>
        </w:rPr>
        <w:t>2008</w:t>
      </w:r>
      <w:r w:rsidR="00AA586C">
        <w:rPr>
          <w:noProof/>
        </w:rPr>
        <w:t>)</w:t>
      </w:r>
      <w:r>
        <w:rPr>
          <w:noProof/>
        </w:rPr>
        <w:t xml:space="preserve">. Evidence-Based Policing: A Comparative Analysis of Eight Experimental Studies focused in the area of Targeted Policing. </w:t>
      </w:r>
      <w:r>
        <w:rPr>
          <w:i/>
          <w:iCs/>
          <w:noProof/>
        </w:rPr>
        <w:t xml:space="preserve">Research Gate, </w:t>
      </w:r>
      <w:r>
        <w:rPr>
          <w:noProof/>
        </w:rPr>
        <w:t>3(2), p. 128.</w:t>
      </w:r>
    </w:p>
    <w:p w:rsidRPr="006F0BE5" w:rsidR="006F0BE5" w:rsidP="006F0BE5" w:rsidRDefault="006F0BE5" w14:paraId="76778167" w14:textId="3814F0F3">
      <w:pPr>
        <w:pStyle w:val="Bibliography"/>
        <w:numPr>
          <w:ilvl w:val="0"/>
          <w:numId w:val="4"/>
        </w:numPr>
        <w:rPr>
          <w:noProof/>
        </w:rPr>
      </w:pPr>
      <w:r w:rsidRPr="006F0BE5">
        <w:t xml:space="preserve">Canter DV, Alison LJ, Alison E and Wentink N (2004) The </w:t>
      </w:r>
      <w:r w:rsidR="001038BC">
        <w:t>organised</w:t>
      </w:r>
      <w:r w:rsidRPr="006F0BE5">
        <w:t>/disorganized typology of serial murder: myth or model?Psychology, Public Policy, and Law 10(3): 293–320.</w:t>
      </w:r>
    </w:p>
    <w:p w:rsidRPr="006F0BE5" w:rsidR="006F0BE5" w:rsidP="006F0BE5" w:rsidRDefault="006F0BE5" w14:paraId="5E636A26" w14:textId="03D18E99">
      <w:pPr>
        <w:pStyle w:val="Bibliography"/>
        <w:numPr>
          <w:ilvl w:val="0"/>
          <w:numId w:val="4"/>
        </w:numPr>
        <w:rPr>
          <w:noProof/>
        </w:rPr>
      </w:pPr>
      <w:r w:rsidR="4E134637">
        <w:rPr/>
        <w:t>Cockcroft, T, (2015) Golden ages, red herrings and post-</w:t>
      </w:r>
      <w:r w:rsidR="4E134637">
        <w:rPr/>
        <w:t>Keynesianpolicing</w:t>
      </w:r>
      <w:r w:rsidR="4E134637">
        <w:rPr/>
        <w:t xml:space="preserve">. </w:t>
      </w:r>
      <w:r w:rsidR="4E134637">
        <w:rPr/>
        <w:t>Norkisk</w:t>
      </w:r>
      <w:r w:rsidR="4E134637">
        <w:rPr/>
        <w:t xml:space="preserve"> </w:t>
      </w:r>
      <w:r w:rsidR="4E134637">
        <w:rPr/>
        <w:t>politiforskning</w:t>
      </w:r>
      <w:r w:rsidR="4E134637">
        <w:rPr/>
        <w:t xml:space="preserve"> 2: 183–196</w:t>
      </w:r>
    </w:p>
    <w:p w:rsidRPr="00905CE0" w:rsidR="00905CE0" w:rsidP="00BD42A0" w:rsidRDefault="00905CE0" w14:paraId="40B2044B" w14:textId="085B8B04">
      <w:pPr>
        <w:pStyle w:val="ListParagraph"/>
        <w:numPr>
          <w:ilvl w:val="0"/>
          <w:numId w:val="4"/>
        </w:numPr>
      </w:pPr>
      <w:r w:rsidRPr="00BD42A0">
        <w:rPr>
          <w:color w:val="000000" w:themeColor="text1"/>
        </w:rPr>
        <w:t xml:space="preserve">Giluk, Tamara L., and Sara Rynes-Weller. (2012). </w:t>
      </w:r>
      <w:r w:rsidRPr="00BD42A0">
        <w:rPr>
          <w:i/>
          <w:iCs/>
          <w:color w:val="000000" w:themeColor="text1"/>
        </w:rPr>
        <w:t xml:space="preserve">Research Findings Practitioners Resist: Lessons for Management Academics from Evidence-Based Medicine. </w:t>
      </w:r>
      <w:r w:rsidRPr="00BD42A0">
        <w:rPr>
          <w:color w:val="000000" w:themeColor="text1"/>
        </w:rPr>
        <w:t>In The Oxford Handbook of Evidence-Based Management, edited by Denise M. Rousseau. New York: Oxford University Press</w:t>
      </w:r>
    </w:p>
    <w:p w:rsidR="00AA586C" w:rsidP="00BD42A0" w:rsidRDefault="00AA586C" w14:paraId="13259028" w14:textId="029EEF63">
      <w:pPr>
        <w:pStyle w:val="ListParagraph"/>
        <w:numPr>
          <w:ilvl w:val="0"/>
          <w:numId w:val="4"/>
        </w:numPr>
        <w:rPr/>
      </w:pPr>
      <w:r w:rsidR="4E134637">
        <w:rPr/>
        <w:t>Koper C, (2008) The varieties and effectiveness of hot spots policing, Journal of Police Science &amp; Management XX(X) reassessment of prior research</w:t>
      </w:r>
    </w:p>
    <w:p w:rsidR="00B206D2" w:rsidP="4E134637" w:rsidRDefault="00B206D2" w14:paraId="083D1814" w14:textId="67FD33E7">
      <w:pPr>
        <w:pStyle w:val="ListParagraph"/>
        <w:numPr>
          <w:ilvl w:val="0"/>
          <w:numId w:val="4"/>
        </w:numPr>
        <w:jc w:val="left"/>
        <w:rPr>
          <w:color w:val="000000" w:themeColor="text1"/>
        </w:rPr>
      </w:pPr>
      <w:r w:rsidRPr="4E134637" w:rsidR="4E134637">
        <w:rPr>
          <w:color w:val="000000" w:themeColor="text1" w:themeTint="FF" w:themeShade="FF"/>
        </w:rPr>
        <w:t>Nast,C</w:t>
      </w:r>
      <w:r w:rsidRPr="4E134637" w:rsidR="4E134637">
        <w:rPr>
          <w:color w:val="000000" w:themeColor="text1" w:themeTint="FF" w:themeShade="FF"/>
        </w:rPr>
        <w:t>.</w:t>
      </w:r>
      <w:r w:rsidRPr="4E134637" w:rsidR="4E134637">
        <w:rPr>
          <w:color w:val="000000" w:themeColor="text1" w:themeTint="FF" w:themeShade="FF"/>
        </w:rPr>
        <w:t>,(</w:t>
      </w:r>
      <w:r w:rsidRPr="4E134637" w:rsidR="4E134637">
        <w:rPr>
          <w:color w:val="000000" w:themeColor="text1" w:themeTint="FF" w:themeShade="FF"/>
        </w:rPr>
        <w:t xml:space="preserve">2021). </w:t>
      </w:r>
      <w:r w:rsidRPr="4E134637" w:rsidR="4E134637">
        <w:rPr>
          <w:i w:val="1"/>
          <w:iCs w:val="1"/>
          <w:color w:val="000000" w:themeColor="text1" w:themeTint="FF" w:themeShade="FF"/>
        </w:rPr>
        <w:t>WIREDUK.</w:t>
      </w:r>
      <w:r w:rsidRPr="4E134637" w:rsidR="4E134637">
        <w:rPr>
          <w:color w:val="000000" w:themeColor="text1" w:themeTint="FF" w:themeShade="FF"/>
        </w:rPr>
        <w:t>[</w:t>
      </w:r>
      <w:r w:rsidRPr="4E134637" w:rsidR="4E134637">
        <w:rPr>
          <w:color w:val="000000" w:themeColor="text1" w:themeTint="FF" w:themeShade="FF"/>
        </w:rPr>
        <w:t xml:space="preserve">Online] Available at: </w:t>
      </w:r>
      <w:bookmarkStart w:name="_Int_Js7mTjZT" w:id="377473291"/>
      <w:r w:rsidRPr="4E134637" w:rsidR="4E134637">
        <w:rPr>
          <w:color w:val="000000" w:themeColor="text1" w:themeTint="FF" w:themeShade="FF"/>
          <w:u w:val="single"/>
        </w:rPr>
        <w:t>https://www.wired.co.uk/article/evidence-based-policing [</w:t>
      </w:r>
      <w:bookmarkEnd w:id="377473291"/>
      <w:r w:rsidRPr="4E134637" w:rsidR="4E134637">
        <w:rPr>
          <w:color w:val="000000" w:themeColor="text1" w:themeTint="FF" w:themeShade="FF"/>
        </w:rPr>
        <w:t>Accessed 20 July 2022].</w:t>
      </w:r>
    </w:p>
    <w:p w:rsidRPr="00B206D2" w:rsidR="00B206D2" w:rsidP="00B206D2" w:rsidRDefault="00B206D2" w14:paraId="78657C7B" w14:textId="67E9ABC9">
      <w:pPr>
        <w:pStyle w:val="ListParagraph"/>
        <w:numPr>
          <w:ilvl w:val="0"/>
          <w:numId w:val="4"/>
        </w:numPr>
        <w:rPr>
          <w:color w:val="000000" w:themeColor="text1"/>
        </w:rPr>
      </w:pPr>
      <w:r w:rsidRPr="00B206D2">
        <w:rPr>
          <w:color w:val="000000" w:themeColor="text1"/>
        </w:rPr>
        <w:lastRenderedPageBreak/>
        <w:t xml:space="preserve">O’Connor, Denis. (2012). </w:t>
      </w:r>
      <w:r w:rsidRPr="00B206D2">
        <w:rPr>
          <w:i/>
          <w:iCs/>
          <w:color w:val="000000" w:themeColor="text1"/>
        </w:rPr>
        <w:t>Lecture to the Cambridge Police Executive Programme, Institute of Criminology, University of Cambridge.</w:t>
      </w:r>
      <w:r w:rsidRPr="00B206D2">
        <w:rPr>
          <w:color w:val="000000" w:themeColor="text1"/>
        </w:rPr>
        <w:t xml:space="preserve"> Available at: </w:t>
      </w:r>
      <w:r w:rsidRPr="23C1B9E8">
        <w:t>https://www.crim.cam.ac.uk/</w:t>
      </w:r>
      <w:r w:rsidRPr="00B206D2">
        <w:rPr>
          <w:color w:val="000000" w:themeColor="text1"/>
        </w:rPr>
        <w:t xml:space="preserve"> [Accessed: 20th July 2022] </w:t>
      </w:r>
    </w:p>
    <w:p w:rsidR="00AA586C" w:rsidP="00BD42A0" w:rsidRDefault="00AA586C" w14:paraId="0C80C476" w14:textId="6F22E5D1">
      <w:pPr>
        <w:pStyle w:val="Bibliography"/>
        <w:numPr>
          <w:ilvl w:val="0"/>
          <w:numId w:val="4"/>
        </w:numPr>
        <w:rPr>
          <w:noProof/>
        </w:rPr>
      </w:pPr>
      <w:r>
        <w:rPr>
          <w:noProof/>
        </w:rPr>
        <w:t xml:space="preserve">Palmer, I., (2019). Assessing the appetite for evidence based policing: A UK based study. </w:t>
      </w:r>
      <w:r>
        <w:rPr>
          <w:i/>
          <w:iCs/>
          <w:noProof/>
        </w:rPr>
        <w:t xml:space="preserve">SAGE, </w:t>
      </w:r>
      <w:r>
        <w:rPr>
          <w:noProof/>
        </w:rPr>
        <w:t>p. 10.</w:t>
      </w:r>
    </w:p>
    <w:p w:rsidR="00D876A6" w:rsidP="00BD42A0" w:rsidRDefault="00D876A6" w14:paraId="68592E05" w14:textId="18ED9209">
      <w:pPr>
        <w:pStyle w:val="Bibliography"/>
        <w:numPr>
          <w:ilvl w:val="0"/>
          <w:numId w:val="4"/>
        </w:numPr>
        <w:rPr>
          <w:noProof/>
        </w:rPr>
      </w:pPr>
      <w:r>
        <w:rPr>
          <w:noProof/>
        </w:rPr>
        <w:t xml:space="preserve">Sherman, L. W., </w:t>
      </w:r>
      <w:r w:rsidR="00AA586C">
        <w:rPr>
          <w:noProof/>
        </w:rPr>
        <w:t>(</w:t>
      </w:r>
      <w:r>
        <w:rPr>
          <w:noProof/>
        </w:rPr>
        <w:t>1998</w:t>
      </w:r>
      <w:r w:rsidR="00AA586C">
        <w:rPr>
          <w:noProof/>
        </w:rPr>
        <w:t>)</w:t>
      </w:r>
      <w:r>
        <w:rPr>
          <w:noProof/>
        </w:rPr>
        <w:t xml:space="preserve">. Evidence-Based Policing. </w:t>
      </w:r>
      <w:r>
        <w:rPr>
          <w:i/>
          <w:iCs/>
          <w:noProof/>
        </w:rPr>
        <w:t xml:space="preserve">Police Foundation, </w:t>
      </w:r>
      <w:r>
        <w:rPr>
          <w:noProof/>
        </w:rPr>
        <w:t>I(1), p. 16.</w:t>
      </w:r>
    </w:p>
    <w:p w:rsidR="00D876A6" w:rsidP="00BD42A0" w:rsidRDefault="00D876A6" w14:paraId="6CFFF4DC" w14:textId="6C31F9FA">
      <w:pPr>
        <w:pStyle w:val="Bibliography"/>
        <w:numPr>
          <w:ilvl w:val="0"/>
          <w:numId w:val="4"/>
        </w:numPr>
        <w:rPr>
          <w:noProof/>
        </w:rPr>
      </w:pPr>
      <w:r>
        <w:rPr>
          <w:noProof/>
        </w:rPr>
        <w:t xml:space="preserve">Sherman, L. W., </w:t>
      </w:r>
      <w:r w:rsidR="00AA586C">
        <w:rPr>
          <w:noProof/>
        </w:rPr>
        <w:t>(</w:t>
      </w:r>
      <w:r>
        <w:rPr>
          <w:noProof/>
        </w:rPr>
        <w:t>2013</w:t>
      </w:r>
      <w:r w:rsidR="00AA586C">
        <w:rPr>
          <w:noProof/>
        </w:rPr>
        <w:t>)</w:t>
      </w:r>
      <w:r>
        <w:rPr>
          <w:noProof/>
        </w:rPr>
        <w:t xml:space="preserve">. The Rise of Evidence-Based Policing: Targeting, Testing, and Tracking. </w:t>
      </w:r>
      <w:r>
        <w:rPr>
          <w:i/>
          <w:iCs/>
          <w:noProof/>
        </w:rPr>
        <w:t xml:space="preserve">Journal.uchicago, </w:t>
      </w:r>
      <w:r>
        <w:rPr>
          <w:noProof/>
        </w:rPr>
        <w:t>Volume 42, p. 75.</w:t>
      </w:r>
    </w:p>
    <w:p w:rsidR="00513A7A" w:rsidP="00513A7A" w:rsidRDefault="00AA586C" w14:paraId="0D186A15" w14:textId="77777777">
      <w:pPr>
        <w:pStyle w:val="ListParagraph"/>
        <w:numPr>
          <w:ilvl w:val="0"/>
          <w:numId w:val="4"/>
        </w:numPr>
      </w:pPr>
      <w:r w:rsidRPr="00AA586C">
        <w:t>Sherman, L. W., Shaw, J. W., &amp; Rogan, D. P. (1995). The Kansas City gun experiment. Washington, DC: National Institute of Justice.</w:t>
      </w:r>
    </w:p>
    <w:p w:rsidR="006F0BE5" w:rsidP="00513A7A" w:rsidRDefault="006F0BE5" w14:paraId="3B339138" w14:textId="04B0CF09">
      <w:pPr>
        <w:pStyle w:val="ListParagraph"/>
        <w:numPr>
          <w:ilvl w:val="0"/>
          <w:numId w:val="4"/>
        </w:numPr>
        <w:rPr/>
      </w:pPr>
      <w:r w:rsidR="4E134637">
        <w:rPr/>
        <w:t>Telep C and Lum C (2014) The receptivity of office</w:t>
      </w:r>
      <w:r w:rsidR="4E134637">
        <w:rPr/>
        <w:t xml:space="preserve"> empirical research</w:t>
      </w:r>
      <w:r w:rsidR="4E134637">
        <w:rPr/>
        <w:t xml:space="preserve"> and evidence-based policing: an examination of survey data from three agencies. Police Quarterly.17(4):359–385.</w:t>
      </w:r>
    </w:p>
    <w:p w:rsidRPr="006F0BE5" w:rsidR="00DE7344" w:rsidP="4E134637" w:rsidRDefault="00DE7344" w14:paraId="26B82CC3" w14:textId="10984F0B">
      <w:pPr>
        <w:pStyle w:val="Normal"/>
        <w:shd w:val="clear" w:color="auto" w:fill="FFFFFF" w:themeFill="background1"/>
        <w:spacing w:line="0" w:lineRule="auto"/>
        <w:ind w:left="0"/>
        <w:jc w:val="left"/>
        <w:rPr>
          <w:rFonts w:ascii="ff4" w:hAnsi="ff4"/>
          <w:color w:val="000000"/>
          <w:sz w:val="54"/>
          <w:szCs w:val="54"/>
        </w:rPr>
      </w:pPr>
    </w:p>
    <w:sectPr w:rsidRPr="006F0BE5" w:rsidR="00DE734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f4">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oyYSaReb" int2:invalidationBookmarkName="" int2:hashCode="LFGZ1PAqfx/5CD" int2:id="5x63EXMq"/>
    <int2:bookmark int2:bookmarkName="_Int_1VGq0w0i" int2:invalidationBookmarkName="" int2:hashCode="kByidkXaRxGvMx" int2:id="0OifFUuH"/>
    <int2:bookmark int2:bookmarkName="_Int_edtqDrDK" int2:invalidationBookmarkName="" int2:hashCode="3jvhhz4l2CPHOJ" int2:id="099nzr7U"/>
    <int2:bookmark int2:bookmarkName="_Int_uoSzZ4Rs" int2:invalidationBookmarkName="" int2:hashCode="R2aNOVCbRd8aES" int2:id="pVbAzOZc"/>
    <int2:bookmark int2:bookmarkName="_Int_9CWsWy5A" int2:invalidationBookmarkName="" int2:hashCode="xQy+KnIliT8rxm" int2:id="ctO4DAta"/>
    <int2:bookmark int2:bookmarkName="_Int_42QozdXQ" int2:invalidationBookmarkName="" int2:hashCode="LOKXXXnn8FfYIs" int2:id="dtbvZbWq"/>
    <int2:bookmark int2:bookmarkName="_Int_83f4nxfT" int2:invalidationBookmarkName="" int2:hashCode="BOfsvBQ4F9uylB" int2:id="iFTyLElh"/>
    <int2:bookmark int2:bookmarkName="_Int_QRC9P08j" int2:invalidationBookmarkName="" int2:hashCode="FhxCN58vOqq4SL" int2:id="OV2pOHCU">
      <int2:state int2:type="AugLoop_Text_Critique" int2:value="Rejected"/>
    </int2:bookmark>
    <int2:bookmark int2:bookmarkName="_Int_mP26LtOA" int2:invalidationBookmarkName="" int2:hashCode="ZD4DPyxyvbq3AT" int2:id="iQm3VWwz">
      <int2:state int2:type="AugLoop_Text_Critique" int2:value="Rejected"/>
    </int2:bookmark>
    <int2:bookmark int2:bookmarkName="_Int_e51LL4rg" int2:invalidationBookmarkName="" int2:hashCode="KISd8nj3IsoEOX" int2:id="aVTLlAM4">
      <int2:state int2:type="AugLoop_Text_Critique" int2:value="Rejected"/>
    </int2:bookmark>
    <int2:bookmark int2:bookmarkName="_Int_0MbZU5Kl" int2:invalidationBookmarkName="" int2:hashCode="rdE8zhk+dRBUGd" int2:id="XAbuu4hF">
      <int2:state int2:type="AugLoop_Text_Critique" int2:value="Rejected"/>
    </int2:bookmark>
    <int2:bookmark int2:bookmarkName="_Int_Js7mTjZT" int2:invalidationBookmarkName="" int2:hashCode="YslMXr88UOpQnq" int2:id="iLXmCcIC"/>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60B73"/>
    <w:multiLevelType w:val="hybridMultilevel"/>
    <w:tmpl w:val="FFFFFFFF"/>
    <w:lvl w:ilvl="0" w:tplc="B600D1D8">
      <w:start w:val="1"/>
      <w:numFmt w:val="bullet"/>
      <w:lvlText w:val=""/>
      <w:lvlJc w:val="left"/>
      <w:pPr>
        <w:ind w:left="720" w:hanging="360"/>
      </w:pPr>
      <w:rPr>
        <w:rFonts w:hint="default" w:ascii="Symbol" w:hAnsi="Symbol"/>
      </w:rPr>
    </w:lvl>
    <w:lvl w:ilvl="1" w:tplc="EB32A094">
      <w:start w:val="1"/>
      <w:numFmt w:val="bullet"/>
      <w:lvlText w:val="o"/>
      <w:lvlJc w:val="left"/>
      <w:pPr>
        <w:ind w:left="1440" w:hanging="360"/>
      </w:pPr>
      <w:rPr>
        <w:rFonts w:hint="default" w:ascii="Courier New" w:hAnsi="Courier New"/>
      </w:rPr>
    </w:lvl>
    <w:lvl w:ilvl="2" w:tplc="D86C3626">
      <w:start w:val="1"/>
      <w:numFmt w:val="bullet"/>
      <w:lvlText w:val=""/>
      <w:lvlJc w:val="left"/>
      <w:pPr>
        <w:ind w:left="2160" w:hanging="360"/>
      </w:pPr>
      <w:rPr>
        <w:rFonts w:hint="default" w:ascii="Wingdings" w:hAnsi="Wingdings"/>
      </w:rPr>
    </w:lvl>
    <w:lvl w:ilvl="3" w:tplc="CC4C18A4">
      <w:start w:val="1"/>
      <w:numFmt w:val="bullet"/>
      <w:lvlText w:val=""/>
      <w:lvlJc w:val="left"/>
      <w:pPr>
        <w:ind w:left="2880" w:hanging="360"/>
      </w:pPr>
      <w:rPr>
        <w:rFonts w:hint="default" w:ascii="Symbol" w:hAnsi="Symbol"/>
      </w:rPr>
    </w:lvl>
    <w:lvl w:ilvl="4" w:tplc="B50ADAC0">
      <w:start w:val="1"/>
      <w:numFmt w:val="bullet"/>
      <w:lvlText w:val="o"/>
      <w:lvlJc w:val="left"/>
      <w:pPr>
        <w:ind w:left="3600" w:hanging="360"/>
      </w:pPr>
      <w:rPr>
        <w:rFonts w:hint="default" w:ascii="Courier New" w:hAnsi="Courier New"/>
      </w:rPr>
    </w:lvl>
    <w:lvl w:ilvl="5" w:tplc="7468263E">
      <w:start w:val="1"/>
      <w:numFmt w:val="bullet"/>
      <w:lvlText w:val=""/>
      <w:lvlJc w:val="left"/>
      <w:pPr>
        <w:ind w:left="4320" w:hanging="360"/>
      </w:pPr>
      <w:rPr>
        <w:rFonts w:hint="default" w:ascii="Wingdings" w:hAnsi="Wingdings"/>
      </w:rPr>
    </w:lvl>
    <w:lvl w:ilvl="6" w:tplc="95B4A028">
      <w:start w:val="1"/>
      <w:numFmt w:val="bullet"/>
      <w:lvlText w:val=""/>
      <w:lvlJc w:val="left"/>
      <w:pPr>
        <w:ind w:left="5040" w:hanging="360"/>
      </w:pPr>
      <w:rPr>
        <w:rFonts w:hint="default" w:ascii="Symbol" w:hAnsi="Symbol"/>
      </w:rPr>
    </w:lvl>
    <w:lvl w:ilvl="7" w:tplc="95185E2C">
      <w:start w:val="1"/>
      <w:numFmt w:val="bullet"/>
      <w:lvlText w:val="o"/>
      <w:lvlJc w:val="left"/>
      <w:pPr>
        <w:ind w:left="5760" w:hanging="360"/>
      </w:pPr>
      <w:rPr>
        <w:rFonts w:hint="default" w:ascii="Courier New" w:hAnsi="Courier New"/>
      </w:rPr>
    </w:lvl>
    <w:lvl w:ilvl="8" w:tplc="32D8E63E">
      <w:start w:val="1"/>
      <w:numFmt w:val="bullet"/>
      <w:lvlText w:val=""/>
      <w:lvlJc w:val="left"/>
      <w:pPr>
        <w:ind w:left="6480" w:hanging="360"/>
      </w:pPr>
      <w:rPr>
        <w:rFonts w:hint="default" w:ascii="Wingdings" w:hAnsi="Wingdings"/>
      </w:rPr>
    </w:lvl>
  </w:abstractNum>
  <w:abstractNum w:abstractNumId="1" w15:restartNumberingAfterBreak="0">
    <w:nsid w:val="3AED65B1"/>
    <w:multiLevelType w:val="hybridMultilevel"/>
    <w:tmpl w:val="380C7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ED088D"/>
    <w:multiLevelType w:val="hybridMultilevel"/>
    <w:tmpl w:val="5BC07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8A57E8"/>
    <w:multiLevelType w:val="hybridMultilevel"/>
    <w:tmpl w:val="EEF6E980"/>
    <w:lvl w:ilvl="0" w:tplc="3AC054DC">
      <w:start w:val="1"/>
      <w:numFmt w:val="decimal"/>
      <w:lvlText w:val="%1."/>
      <w:lvlJc w:val="left"/>
      <w:pPr>
        <w:ind w:left="720" w:hanging="360"/>
      </w:pPr>
      <w:rPr>
        <w:rFonts w:hint="default" w:ascii="Times New Roman" w:hAnsi="Times New Roman" w:cs="Times New Roman"/>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9905015">
    <w:abstractNumId w:val="0"/>
  </w:num>
  <w:num w:numId="2" w16cid:durableId="235745751">
    <w:abstractNumId w:val="2"/>
  </w:num>
  <w:num w:numId="3" w16cid:durableId="723523288">
    <w:abstractNumId w:val="1"/>
  </w:num>
  <w:num w:numId="4" w16cid:durableId="11600006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332EC"/>
    <w:rsid w:val="000929CC"/>
    <w:rsid w:val="001038BC"/>
    <w:rsid w:val="00184AE8"/>
    <w:rsid w:val="00281462"/>
    <w:rsid w:val="002958B5"/>
    <w:rsid w:val="002B439C"/>
    <w:rsid w:val="003820AC"/>
    <w:rsid w:val="0040538B"/>
    <w:rsid w:val="00513A7A"/>
    <w:rsid w:val="00555E90"/>
    <w:rsid w:val="005B6373"/>
    <w:rsid w:val="00642A3E"/>
    <w:rsid w:val="0068586E"/>
    <w:rsid w:val="006A17EA"/>
    <w:rsid w:val="006F0BE5"/>
    <w:rsid w:val="00905CE0"/>
    <w:rsid w:val="00A75908"/>
    <w:rsid w:val="00AA586C"/>
    <w:rsid w:val="00B206D2"/>
    <w:rsid w:val="00B31379"/>
    <w:rsid w:val="00B93C67"/>
    <w:rsid w:val="00BD42A0"/>
    <w:rsid w:val="00C6463F"/>
    <w:rsid w:val="00CF4EFF"/>
    <w:rsid w:val="00D24F7A"/>
    <w:rsid w:val="00D876A6"/>
    <w:rsid w:val="00D974E6"/>
    <w:rsid w:val="00DD0E65"/>
    <w:rsid w:val="00DE7344"/>
    <w:rsid w:val="00E332EC"/>
    <w:rsid w:val="00E6086E"/>
    <w:rsid w:val="00EA3A61"/>
    <w:rsid w:val="00ED0658"/>
    <w:rsid w:val="00ED2FD8"/>
    <w:rsid w:val="00ED5FD5"/>
    <w:rsid w:val="00F05700"/>
    <w:rsid w:val="00F1389B"/>
    <w:rsid w:val="00F908D2"/>
    <w:rsid w:val="00FF577C"/>
    <w:rsid w:val="4E134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48939"/>
  <w15:docId w15:val="{198538F8-90BC-485B-A882-06CE47C30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2FD8"/>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DE7344"/>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E7344"/>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281462"/>
    <w:pPr>
      <w:spacing w:after="160"/>
      <w:ind w:left="720"/>
      <w:contextualSpacing/>
    </w:pPr>
    <w:rPr>
      <w:rFonts w:eastAsiaTheme="minorHAnsi" w:cstheme="minorBidi"/>
      <w:szCs w:val="22"/>
    </w:rPr>
  </w:style>
  <w:style w:type="paragraph" w:styleId="Bibliography">
    <w:name w:val="Bibliography"/>
    <w:basedOn w:val="Normal"/>
    <w:next w:val="Normal"/>
    <w:uiPriority w:val="37"/>
    <w:unhideWhenUsed/>
    <w:rsid w:val="00D876A6"/>
  </w:style>
  <w:style w:type="character" w:styleId="ff8" w:customStyle="1">
    <w:name w:val="ff8"/>
    <w:basedOn w:val="DefaultParagraphFont"/>
    <w:rsid w:val="00F05700"/>
  </w:style>
  <w:style w:type="character" w:styleId="ls12e" w:customStyle="1">
    <w:name w:val="ls12e"/>
    <w:basedOn w:val="DefaultParagraphFont"/>
    <w:rsid w:val="00F05700"/>
  </w:style>
  <w:style w:type="character" w:styleId="Hyperlink">
    <w:name w:val="Hyperlink"/>
    <w:basedOn w:val="DefaultParagraphFont"/>
    <w:uiPriority w:val="99"/>
    <w:unhideWhenUsed/>
    <w:rsid w:val="00BD42A0"/>
    <w:rPr>
      <w:color w:val="0563C1" w:themeColor="hyperlink"/>
      <w:u w:val="single"/>
    </w:rPr>
  </w:style>
  <w:style w:type="character" w:styleId="UnresolvedMention">
    <w:name w:val="Unresolved Mention"/>
    <w:basedOn w:val="DefaultParagraphFont"/>
    <w:uiPriority w:val="99"/>
    <w:semiHidden/>
    <w:unhideWhenUsed/>
    <w:rsid w:val="00BD4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395">
      <w:bodyDiv w:val="1"/>
      <w:marLeft w:val="0"/>
      <w:marRight w:val="0"/>
      <w:marTop w:val="0"/>
      <w:marBottom w:val="0"/>
      <w:divBdr>
        <w:top w:val="none" w:sz="0" w:space="0" w:color="auto"/>
        <w:left w:val="none" w:sz="0" w:space="0" w:color="auto"/>
        <w:bottom w:val="none" w:sz="0" w:space="0" w:color="auto"/>
        <w:right w:val="none" w:sz="0" w:space="0" w:color="auto"/>
      </w:divBdr>
    </w:div>
    <w:div w:id="53046130">
      <w:bodyDiv w:val="1"/>
      <w:marLeft w:val="0"/>
      <w:marRight w:val="0"/>
      <w:marTop w:val="0"/>
      <w:marBottom w:val="0"/>
      <w:divBdr>
        <w:top w:val="none" w:sz="0" w:space="0" w:color="auto"/>
        <w:left w:val="none" w:sz="0" w:space="0" w:color="auto"/>
        <w:bottom w:val="none" w:sz="0" w:space="0" w:color="auto"/>
        <w:right w:val="none" w:sz="0" w:space="0" w:color="auto"/>
      </w:divBdr>
    </w:div>
    <w:div w:id="94055763">
      <w:bodyDiv w:val="1"/>
      <w:marLeft w:val="0"/>
      <w:marRight w:val="0"/>
      <w:marTop w:val="0"/>
      <w:marBottom w:val="0"/>
      <w:divBdr>
        <w:top w:val="none" w:sz="0" w:space="0" w:color="auto"/>
        <w:left w:val="none" w:sz="0" w:space="0" w:color="auto"/>
        <w:bottom w:val="none" w:sz="0" w:space="0" w:color="auto"/>
        <w:right w:val="none" w:sz="0" w:space="0" w:color="auto"/>
      </w:divBdr>
    </w:div>
    <w:div w:id="231282086">
      <w:bodyDiv w:val="1"/>
      <w:marLeft w:val="0"/>
      <w:marRight w:val="0"/>
      <w:marTop w:val="0"/>
      <w:marBottom w:val="0"/>
      <w:divBdr>
        <w:top w:val="none" w:sz="0" w:space="0" w:color="auto"/>
        <w:left w:val="none" w:sz="0" w:space="0" w:color="auto"/>
        <w:bottom w:val="none" w:sz="0" w:space="0" w:color="auto"/>
        <w:right w:val="none" w:sz="0" w:space="0" w:color="auto"/>
      </w:divBdr>
    </w:div>
    <w:div w:id="411657675">
      <w:bodyDiv w:val="1"/>
      <w:marLeft w:val="0"/>
      <w:marRight w:val="0"/>
      <w:marTop w:val="0"/>
      <w:marBottom w:val="0"/>
      <w:divBdr>
        <w:top w:val="none" w:sz="0" w:space="0" w:color="auto"/>
        <w:left w:val="none" w:sz="0" w:space="0" w:color="auto"/>
        <w:bottom w:val="none" w:sz="0" w:space="0" w:color="auto"/>
        <w:right w:val="none" w:sz="0" w:space="0" w:color="auto"/>
      </w:divBdr>
    </w:div>
    <w:div w:id="507595309">
      <w:bodyDiv w:val="1"/>
      <w:marLeft w:val="0"/>
      <w:marRight w:val="0"/>
      <w:marTop w:val="0"/>
      <w:marBottom w:val="0"/>
      <w:divBdr>
        <w:top w:val="none" w:sz="0" w:space="0" w:color="auto"/>
        <w:left w:val="none" w:sz="0" w:space="0" w:color="auto"/>
        <w:bottom w:val="none" w:sz="0" w:space="0" w:color="auto"/>
        <w:right w:val="none" w:sz="0" w:space="0" w:color="auto"/>
      </w:divBdr>
    </w:div>
    <w:div w:id="567033072">
      <w:bodyDiv w:val="1"/>
      <w:marLeft w:val="0"/>
      <w:marRight w:val="0"/>
      <w:marTop w:val="0"/>
      <w:marBottom w:val="0"/>
      <w:divBdr>
        <w:top w:val="none" w:sz="0" w:space="0" w:color="auto"/>
        <w:left w:val="none" w:sz="0" w:space="0" w:color="auto"/>
        <w:bottom w:val="none" w:sz="0" w:space="0" w:color="auto"/>
        <w:right w:val="none" w:sz="0" w:space="0" w:color="auto"/>
      </w:divBdr>
    </w:div>
    <w:div w:id="741951995">
      <w:bodyDiv w:val="1"/>
      <w:marLeft w:val="0"/>
      <w:marRight w:val="0"/>
      <w:marTop w:val="0"/>
      <w:marBottom w:val="0"/>
      <w:divBdr>
        <w:top w:val="none" w:sz="0" w:space="0" w:color="auto"/>
        <w:left w:val="none" w:sz="0" w:space="0" w:color="auto"/>
        <w:bottom w:val="none" w:sz="0" w:space="0" w:color="auto"/>
        <w:right w:val="none" w:sz="0" w:space="0" w:color="auto"/>
      </w:divBdr>
    </w:div>
    <w:div w:id="771778030">
      <w:bodyDiv w:val="1"/>
      <w:marLeft w:val="0"/>
      <w:marRight w:val="0"/>
      <w:marTop w:val="0"/>
      <w:marBottom w:val="0"/>
      <w:divBdr>
        <w:top w:val="none" w:sz="0" w:space="0" w:color="auto"/>
        <w:left w:val="none" w:sz="0" w:space="0" w:color="auto"/>
        <w:bottom w:val="none" w:sz="0" w:space="0" w:color="auto"/>
        <w:right w:val="none" w:sz="0" w:space="0" w:color="auto"/>
      </w:divBdr>
    </w:div>
    <w:div w:id="1332947711">
      <w:bodyDiv w:val="1"/>
      <w:marLeft w:val="0"/>
      <w:marRight w:val="0"/>
      <w:marTop w:val="0"/>
      <w:marBottom w:val="0"/>
      <w:divBdr>
        <w:top w:val="none" w:sz="0" w:space="0" w:color="auto"/>
        <w:left w:val="none" w:sz="0" w:space="0" w:color="auto"/>
        <w:bottom w:val="none" w:sz="0" w:space="0" w:color="auto"/>
        <w:right w:val="none" w:sz="0" w:space="0" w:color="auto"/>
      </w:divBdr>
    </w:div>
    <w:div w:id="1447965463">
      <w:bodyDiv w:val="1"/>
      <w:marLeft w:val="0"/>
      <w:marRight w:val="0"/>
      <w:marTop w:val="0"/>
      <w:marBottom w:val="0"/>
      <w:divBdr>
        <w:top w:val="none" w:sz="0" w:space="0" w:color="auto"/>
        <w:left w:val="none" w:sz="0" w:space="0" w:color="auto"/>
        <w:bottom w:val="none" w:sz="0" w:space="0" w:color="auto"/>
        <w:right w:val="none" w:sz="0" w:space="0" w:color="auto"/>
      </w:divBdr>
    </w:div>
    <w:div w:id="1594781029">
      <w:bodyDiv w:val="1"/>
      <w:marLeft w:val="0"/>
      <w:marRight w:val="0"/>
      <w:marTop w:val="0"/>
      <w:marBottom w:val="0"/>
      <w:divBdr>
        <w:top w:val="none" w:sz="0" w:space="0" w:color="auto"/>
        <w:left w:val="none" w:sz="0" w:space="0" w:color="auto"/>
        <w:bottom w:val="none" w:sz="0" w:space="0" w:color="auto"/>
        <w:right w:val="none" w:sz="0" w:space="0" w:color="auto"/>
      </w:divBdr>
    </w:div>
    <w:div w:id="1914657295">
      <w:bodyDiv w:val="1"/>
      <w:marLeft w:val="0"/>
      <w:marRight w:val="0"/>
      <w:marTop w:val="0"/>
      <w:marBottom w:val="0"/>
      <w:divBdr>
        <w:top w:val="none" w:sz="0" w:space="0" w:color="auto"/>
        <w:left w:val="none" w:sz="0" w:space="0" w:color="auto"/>
        <w:bottom w:val="none" w:sz="0" w:space="0" w:color="auto"/>
        <w:right w:val="none" w:sz="0" w:space="0" w:color="auto"/>
      </w:divBdr>
    </w:div>
    <w:div w:id="1917475270">
      <w:bodyDiv w:val="1"/>
      <w:marLeft w:val="0"/>
      <w:marRight w:val="0"/>
      <w:marTop w:val="0"/>
      <w:marBottom w:val="0"/>
      <w:divBdr>
        <w:top w:val="none" w:sz="0" w:space="0" w:color="auto"/>
        <w:left w:val="none" w:sz="0" w:space="0" w:color="auto"/>
        <w:bottom w:val="none" w:sz="0" w:space="0" w:color="auto"/>
        <w:right w:val="none" w:sz="0" w:space="0" w:color="auto"/>
      </w:divBdr>
    </w:div>
    <w:div w:id="1958102224">
      <w:bodyDiv w:val="1"/>
      <w:marLeft w:val="0"/>
      <w:marRight w:val="0"/>
      <w:marTop w:val="0"/>
      <w:marBottom w:val="0"/>
      <w:divBdr>
        <w:top w:val="none" w:sz="0" w:space="0" w:color="auto"/>
        <w:left w:val="none" w:sz="0" w:space="0" w:color="auto"/>
        <w:bottom w:val="none" w:sz="0" w:space="0" w:color="auto"/>
        <w:right w:val="none" w:sz="0" w:space="0" w:color="auto"/>
      </w:divBdr>
    </w:div>
    <w:div w:id="2056925512">
      <w:bodyDiv w:val="1"/>
      <w:marLeft w:val="0"/>
      <w:marRight w:val="0"/>
      <w:marTop w:val="0"/>
      <w:marBottom w:val="0"/>
      <w:divBdr>
        <w:top w:val="none" w:sz="0" w:space="0" w:color="auto"/>
        <w:left w:val="none" w:sz="0" w:space="0" w:color="auto"/>
        <w:bottom w:val="none" w:sz="0" w:space="0" w:color="auto"/>
        <w:right w:val="none" w:sz="0" w:space="0" w:color="auto"/>
      </w:divBdr>
    </w:div>
    <w:div w:id="2075810866">
      <w:bodyDiv w:val="1"/>
      <w:marLeft w:val="0"/>
      <w:marRight w:val="0"/>
      <w:marTop w:val="0"/>
      <w:marBottom w:val="0"/>
      <w:divBdr>
        <w:top w:val="none" w:sz="0" w:space="0" w:color="auto"/>
        <w:left w:val="none" w:sz="0" w:space="0" w:color="auto"/>
        <w:bottom w:val="none" w:sz="0" w:space="0" w:color="auto"/>
        <w:right w:val="none" w:sz="0" w:space="0" w:color="auto"/>
      </w:divBdr>
    </w:div>
    <w:div w:id="2131051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9117d08b4d3346fe" /><Relationship Type="http://schemas.microsoft.com/office/2020/10/relationships/intelligence" Target="intelligence2.xml" Id="R33429c51aec44a0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d691542-a395-42db-8a45-c923144ddbf6}"/>
      </w:docPartPr>
      <w:docPartBody>
        <w:p w14:paraId="427E68B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Law98</b:Tag>
    <b:SourceType>JournalArticle</b:SourceType>
    <b:Guid>{4CCB4A4E-7A79-49A1-9E8A-721D8994ECB0}</b:Guid>
    <b:Title>Evidence-Based Policing</b:Title>
    <b:Year>1998</b:Year>
    <b:Pages>16</b:Pages>
    <b:Author>
      <b:Author>
        <b:NameList>
          <b:Person>
            <b:Last>Sherman</b:Last>
            <b:First>Lawrence</b:First>
            <b:Middle>W.</b:Middle>
          </b:Person>
        </b:NameList>
      </b:Author>
    </b:Author>
    <b:JournalName>Police Foundation</b:JournalName>
    <b:Volume>I</b:Volume>
    <b:Issue>1</b:Issue>
    <b:RefOrder>2</b:RefOrder>
  </b:Source>
  <b:Source>
    <b:Tag>Lyn21</b:Tag>
    <b:SourceType>InternetSite</b:SourceType>
    <b:Guid>{72998CCF-3976-45CD-B564-9F801D2D9C91}</b:Guid>
    <b:Author>
      <b:Author>
        <b:NameList>
          <b:Person>
            <b:Last>Hughes</b:Last>
            <b:First>Lynn</b:First>
          </b:Person>
        </b:NameList>
      </b:Author>
    </b:Author>
    <b:Title>Three men jailed at Luton Crown Court during domestic abuse crackdown</b:Title>
    <b:Year>2021</b:Year>
    <b:YearAccessed>2022</b:YearAccessed>
    <b:MonthAccessed>July</b:MonthAccessed>
    <b:DayAccessed>20</b:DayAccessed>
    <b:URL>https://www.lutontoday.co.uk/news/people/three-men-jailed-at-luton-crown-court-during-domestic-abuse-crackdown-3487790</b:URL>
    <b:RefOrder>3</b:RefOrder>
  </b:Source>
  <b:Source>
    <b:Tag>Law131</b:Tag>
    <b:SourceType>JournalArticle</b:SourceType>
    <b:Guid>{B06B9702-D3D8-4FB7-A356-C0F716707CE5}</b:Guid>
    <b:Author>
      <b:Author>
        <b:NameList>
          <b:Person>
            <b:Last>Sherman</b:Last>
            <b:First>Lawrence</b:First>
            <b:Middle>W.</b:Middle>
          </b:Person>
        </b:NameList>
      </b:Author>
    </b:Author>
    <b:Title>The Rise of Evidence-Based Policing: Targeting, Testing, and Tracking</b:Title>
    <b:JournalName>Journal.uchicago</b:JournalName>
    <b:Year>2013</b:Year>
    <b:Pages>75</b:Pages>
    <b:Volume>42</b:Volume>
    <b:RefOrder>4</b:RefOrder>
  </b:Source>
  <b:Source>
    <b:Tag>Avd08</b:Tag>
    <b:SourceType>JournalArticle</b:SourceType>
    <b:Guid>{36455AB9-6E20-4C27-9551-F75405123C75}</b:Guid>
    <b:Author>
      <b:Author>
        <b:NameList>
          <b:Person>
            <b:Last>Avdija</b:Last>
            <b:First>Avdi</b:First>
          </b:Person>
        </b:NameList>
      </b:Author>
    </b:Author>
    <b:Title>Evidence-Based Policing: A Comparative Analysis of Eight Experimental Studies focused in the area of Targeted Policing</b:Title>
    <b:JournalName>Research Gate</b:JournalName>
    <b:Year>2008</b:Year>
    <b:Pages>128</b:Pages>
    <b:Volume>3</b:Volume>
    <b:Issue>2</b:Issue>
    <b:RefOrder>5</b:RefOrder>
  </b:Source>
  <b:Source>
    <b:Tag>Col222</b:Tag>
    <b:SourceType>InternetSite</b:SourceType>
    <b:Guid>{74EEC78C-4A62-45E8-958C-8DA82B8B0FFB}</b:Guid>
    <b:Title>About the crime reduction toolkit and EMMIE framework</b:Title>
    <b:Year>2022</b:Year>
    <b:Author>
      <b:Author>
        <b:NameList>
          <b:Person>
            <b:Last>Policing</b:Last>
            <b:First>College</b:First>
            <b:Middle>of</b:Middle>
          </b:Person>
        </b:NameList>
      </b:Author>
    </b:Author>
    <b:YearAccessed>2022</b:YearAccessed>
    <b:MonthAccessed>July</b:MonthAccessed>
    <b:DayAccessed>20</b:DayAccessed>
    <b:URL>https://www.college.police.uk/research/crime-reduction-toolkit/about-toolkit-emmie#:~:text=Evidence%20is%20presented%20using%20the,evidence%2Dbase%20easily%20and%20quickly.</b:URL>
    <b:RefOrder>6</b:RefOrder>
  </b:Source>
  <b:Source>
    <b:Tag>Ian19</b:Tag>
    <b:SourceType>JournalArticle</b:SourceType>
    <b:Guid>{936D4BE3-C3FA-45C3-88AC-D3C507B216DA}</b:Guid>
    <b:Author>
      <b:Author>
        <b:NameList>
          <b:Person>
            <b:Last>Palmer</b:Last>
            <b:First>Ian</b:First>
          </b:Person>
        </b:NameList>
      </b:Author>
    </b:Author>
    <b:Title>Assessing the appetite for evidence based policing: A UK based study</b:Title>
    <b:JournalName>SAGE</b:JournalName>
    <b:Year>2019</b:Year>
    <b:Pages>10</b:Pages>
    <b:RefOrder>1</b:RefOrder>
  </b:Source>
</b:Sources>
</file>

<file path=customXml/itemProps1.xml><?xml version="1.0" encoding="utf-8"?>
<ds:datastoreItem xmlns:ds="http://schemas.openxmlformats.org/officeDocument/2006/customXml" ds:itemID="{668BC379-7E10-47A5-90F8-37AC23F3126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3</revision>
  <dcterms:created xsi:type="dcterms:W3CDTF">2022-10-23T17:30:00.0000000Z</dcterms:created>
  <dcterms:modified xsi:type="dcterms:W3CDTF">2022-11-28T20:20:57.8674131Z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183b1636-2bd6-4506-99e4-9f3bf62c8b03</vt:lpwstr>
  </property>
</Properties>
</file>