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FC167" w14:textId="77777777" w:rsidR="006F7B4B" w:rsidRDefault="006F7B4B" w:rsidP="00D03B9F">
      <w:pPr>
        <w:spacing w:line="480" w:lineRule="auto"/>
        <w:jc w:val="both"/>
        <w:rPr>
          <w:rFonts w:ascii="Times New Roman" w:hAnsi="Times New Roman" w:cs="Times New Roman"/>
          <w:sz w:val="24"/>
          <w:szCs w:val="24"/>
        </w:rPr>
      </w:pPr>
    </w:p>
    <w:p w14:paraId="08394EEE" w14:textId="5992345D"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Section A – Portfolio</w:t>
      </w:r>
    </w:p>
    <w:p w14:paraId="1995C386"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Element 1</w:t>
      </w:r>
    </w:p>
    <w:p w14:paraId="217AB4F6"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The main goal of the initial interview with a client is to identify the problem of the client together with gathering adequate facts in order to explore a wide range of appropriate ways that will solve the problem. Also, the interview will aid in developing a trust relationship and having an open question between the client and the lawyer. The following are steps I will take in preparation for the interview with Judith Clark. The first step will be to carry out a conflict check and prescreen. It will be imperative for the client to investigate if the client is a good fit in terms of the area of the practice, size of the firm and workload.</w:t>
      </w:r>
      <w:r w:rsidRPr="00A96B16">
        <w:rPr>
          <w:rStyle w:val="FootnoteReference"/>
          <w:rFonts w:ascii="Times New Roman" w:hAnsi="Times New Roman" w:cs="Times New Roman"/>
          <w:sz w:val="24"/>
          <w:szCs w:val="24"/>
        </w:rPr>
        <w:footnoteReference w:id="1"/>
      </w:r>
      <w:r w:rsidRPr="00A96B16">
        <w:rPr>
          <w:rFonts w:ascii="Times New Roman" w:hAnsi="Times New Roman" w:cs="Times New Roman"/>
          <w:sz w:val="24"/>
          <w:szCs w:val="24"/>
        </w:rPr>
        <w:t xml:space="preserve"> Prior to the interview, it is imperative to conduct a prescreening process. During this process, I will as information that is a basis to aid in deciding whether the client is a good fit for the firm. In addition, I will conduct a conflict check prior to proceeding. This process is crucial as it will play a role in identifying if there are conflicts or any other reason that may make me from working with Judith Clarke. </w:t>
      </w:r>
    </w:p>
    <w:p w14:paraId="7B7D0D91"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The subsequent step will be reviewing the file of the client.</w:t>
      </w:r>
      <w:r w:rsidRPr="00A96B16">
        <w:rPr>
          <w:rStyle w:val="FootnoteReference"/>
          <w:rFonts w:ascii="Times New Roman" w:hAnsi="Times New Roman" w:cs="Times New Roman"/>
          <w:sz w:val="24"/>
          <w:szCs w:val="24"/>
        </w:rPr>
        <w:footnoteReference w:id="2"/>
      </w:r>
      <w:r w:rsidRPr="00A96B16">
        <w:rPr>
          <w:rFonts w:ascii="Times New Roman" w:hAnsi="Times New Roman" w:cs="Times New Roman"/>
          <w:sz w:val="24"/>
          <w:szCs w:val="24"/>
        </w:rPr>
        <w:t xml:space="preserve"> The first interview will be mainly for asking inquisitive questions as opposed to getting information on the details of the client. Prior to the interview, I will request for the relevant documents or information so that I am able to review them. </w:t>
      </w:r>
    </w:p>
    <w:p w14:paraId="077E6978"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 xml:space="preserve">After reviewing the file of the client and preparation of the client’s question. I will also anticipate the questions that the client is likely to ask me. The main goal of the process is ensuring that the client is able to demystify issues that are not clear, understand the expectations </w:t>
      </w:r>
      <w:r w:rsidRPr="00A96B16">
        <w:rPr>
          <w:rFonts w:ascii="Times New Roman" w:hAnsi="Times New Roman" w:cs="Times New Roman"/>
          <w:sz w:val="24"/>
          <w:szCs w:val="24"/>
        </w:rPr>
        <w:lastRenderedPageBreak/>
        <w:t>and goals of the client and get more information about the case.</w:t>
      </w:r>
      <w:r w:rsidRPr="00A96B16">
        <w:rPr>
          <w:rStyle w:val="FootnoteReference"/>
          <w:rFonts w:ascii="Times New Roman" w:hAnsi="Times New Roman" w:cs="Times New Roman"/>
          <w:sz w:val="24"/>
          <w:szCs w:val="24"/>
        </w:rPr>
        <w:footnoteReference w:id="3"/>
      </w:r>
      <w:r w:rsidRPr="00A96B16">
        <w:rPr>
          <w:rFonts w:ascii="Times New Roman" w:hAnsi="Times New Roman" w:cs="Times New Roman"/>
          <w:sz w:val="24"/>
          <w:szCs w:val="24"/>
        </w:rPr>
        <w:t xml:space="preserve"> I will use a funnel approach when drafting the questions for the interview. This will involve beginning with questions that are open-ended in order to widen the scope of information that I will get. My prediction on the case of the client will result into certain legal theories or causes of action prior to the interview. Therefore my questions will be majorly open-ended in order for it to generate general and comprehensive concerning the prima facie aspects of the legal theories and causes of action. After asking the questions that are open-ended, I will ask more specific questions that will enable me to get clarity of certain facts that are linked to the legal theories or causes of action. </w:t>
      </w:r>
    </w:p>
    <w:p w14:paraId="17A0C264"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These questions are important because Judith Clarke may not have knowledge of what is relevant to the case hence I will ask sufficient questions for the purposes of identifying the areas of discussion that are relevant. The narrow questions will follow the general questions. There will be a balance between the narrow and general questions.</w:t>
      </w:r>
      <w:r w:rsidRPr="00A96B16">
        <w:rPr>
          <w:rStyle w:val="FootnoteReference"/>
          <w:rFonts w:ascii="Times New Roman" w:hAnsi="Times New Roman" w:cs="Times New Roman"/>
          <w:sz w:val="24"/>
          <w:szCs w:val="24"/>
        </w:rPr>
        <w:footnoteReference w:id="4"/>
      </w:r>
      <w:r w:rsidRPr="00A96B16">
        <w:rPr>
          <w:rFonts w:ascii="Times New Roman" w:hAnsi="Times New Roman" w:cs="Times New Roman"/>
          <w:sz w:val="24"/>
          <w:szCs w:val="24"/>
        </w:rPr>
        <w:t xml:space="preserve"> The danger in asking narrow questions is that I may not capture critical facts. However, if I only ask questions that are general, I may not be able to identify details that are important.</w:t>
      </w:r>
    </w:p>
    <w:p w14:paraId="0D4E26BC"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The next step as I prepare for the interview will be to prepare the location of the interview. The location is supposed to be free from distraction, comfortable and clean. This will aid in creating communication that is open and a trust relationship which will aid in building Judith Clarke’s confidence in me.</w:t>
      </w:r>
    </w:p>
    <w:p w14:paraId="0A30BAD0"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Element 2</w:t>
      </w:r>
    </w:p>
    <w:p w14:paraId="0A7B801A"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Every law firm is required to give information about the services that they offer when they begin their interaction with their clients and as the case progresses. The information provided should entail the costs and the remedies available in the event where things do not go as planned. In instances where the firm begins working with Judith, I am supposed to give the following information through the use of a client care letter.</w:t>
      </w:r>
    </w:p>
    <w:p w14:paraId="3EEE244F"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In the letter, I am supposed to give an estimate of when the matter is likely to be completed.</w:t>
      </w:r>
      <w:r w:rsidRPr="00A96B16">
        <w:rPr>
          <w:rStyle w:val="FootnoteReference"/>
          <w:rFonts w:ascii="Times New Roman" w:hAnsi="Times New Roman" w:cs="Times New Roman"/>
          <w:sz w:val="24"/>
          <w:szCs w:val="24"/>
        </w:rPr>
        <w:footnoteReference w:id="5"/>
      </w:r>
      <w:r w:rsidRPr="00A96B16">
        <w:rPr>
          <w:rFonts w:ascii="Times New Roman" w:hAnsi="Times New Roman" w:cs="Times New Roman"/>
          <w:sz w:val="24"/>
          <w:szCs w:val="24"/>
        </w:rPr>
        <w:t xml:space="preserve"> This plays a big role in managing the expectations of the client. The time indicated should be realistic as I am obliged by the SRA code to complete the tasks assigned to me on time. In addition, the client letter should have detailed information on the facts of the case and the possible available course of action. This also involves the actions that the client is required to do and in case they need further information, the course letter can include the areas that Judith will access this information. Also, the client letter is supposed to contain the details of a contact in the firm and ways in which is able to get in touch with the firm in case she needs more information concerning the subject matter. It is imperative to indicate the purpose of the letter and breaking it down into very simple language that that Judith can comprehend.</w:t>
      </w:r>
    </w:p>
    <w:p w14:paraId="50F3D3BF"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Element 3</w:t>
      </w:r>
    </w:p>
    <w:p w14:paraId="350F398D" w14:textId="77777777" w:rsidR="00D03B9F" w:rsidRPr="00A96B16" w:rsidRDefault="00D03B9F" w:rsidP="00D03B9F">
      <w:pPr>
        <w:spacing w:line="480" w:lineRule="auto"/>
        <w:jc w:val="both"/>
        <w:rPr>
          <w:rFonts w:ascii="Times New Roman" w:hAnsi="Times New Roman" w:cs="Times New Roman"/>
          <w:color w:val="333333"/>
          <w:sz w:val="24"/>
          <w:szCs w:val="24"/>
          <w:shd w:val="clear" w:color="auto" w:fill="FFFFFF"/>
        </w:rPr>
      </w:pPr>
      <w:r w:rsidRPr="00A96B16">
        <w:rPr>
          <w:rFonts w:ascii="Times New Roman" w:hAnsi="Times New Roman" w:cs="Times New Roman"/>
          <w:color w:val="333333"/>
          <w:sz w:val="24"/>
          <w:szCs w:val="24"/>
          <w:shd w:val="clear" w:color="auto" w:fill="FFFFFF"/>
        </w:rPr>
        <w:t>The following are advantages of face-to-face communications: it will enable me to study my client’s bodily language.</w:t>
      </w:r>
      <w:r w:rsidRPr="00A96B16">
        <w:rPr>
          <w:rStyle w:val="FootnoteReference"/>
          <w:rFonts w:ascii="Times New Roman" w:hAnsi="Times New Roman" w:cs="Times New Roman"/>
          <w:color w:val="333333"/>
          <w:sz w:val="24"/>
          <w:szCs w:val="24"/>
          <w:shd w:val="clear" w:color="auto" w:fill="FFFFFF"/>
        </w:rPr>
        <w:footnoteReference w:id="6"/>
      </w:r>
      <w:r w:rsidRPr="00A96B16">
        <w:rPr>
          <w:rFonts w:ascii="Times New Roman" w:hAnsi="Times New Roman" w:cs="Times New Roman"/>
          <w:color w:val="333333"/>
          <w:sz w:val="24"/>
          <w:szCs w:val="24"/>
          <w:shd w:val="clear" w:color="auto" w:fill="FFFFFF"/>
        </w:rPr>
        <w:t xml:space="preserve"> This mode of communication enhances the efficiency of giving information. It will enable me to not get the relevant information but also observe the facial expression, body language and gestures of my client. This will enhance our communication without missing any aspect of the message. Another advantage is that aids in the creation of trust in comprehending what is being communicated by both parties. It will help in demonstrating a commitment to the case and to remove any mistrust that exists between us which may greatly affect the case.  The disadvantage of face-to-face communication is that it may be time-consuming as it will necessitate the movement from one place to another.</w:t>
      </w:r>
    </w:p>
    <w:p w14:paraId="241FB708" w14:textId="77777777" w:rsidR="00D03B9F" w:rsidRPr="00A96B16" w:rsidRDefault="00D03B9F" w:rsidP="00D03B9F">
      <w:pPr>
        <w:spacing w:line="480" w:lineRule="auto"/>
        <w:jc w:val="both"/>
        <w:rPr>
          <w:rFonts w:ascii="Times New Roman" w:hAnsi="Times New Roman" w:cs="Times New Roman"/>
          <w:color w:val="333333"/>
          <w:sz w:val="24"/>
          <w:szCs w:val="24"/>
          <w:shd w:val="clear" w:color="auto" w:fill="FFFFFF"/>
        </w:rPr>
      </w:pPr>
      <w:r w:rsidRPr="00A96B16">
        <w:rPr>
          <w:rFonts w:ascii="Times New Roman" w:hAnsi="Times New Roman" w:cs="Times New Roman"/>
          <w:color w:val="333333"/>
          <w:sz w:val="24"/>
          <w:szCs w:val="24"/>
          <w:shd w:val="clear" w:color="auto" w:fill="FFFFFF"/>
        </w:rPr>
        <w:t xml:space="preserve">On holding the meeting the interview with Judith Clarke via phone call, one of the advantages is that it was held in reducing the level of anxiety. While speaking on the phone, an individual may speak with more confidence and be more honest. There are instances where a face-to-face interview is likely to cause anxiety which may undermine my goal of getting a lot of information. Also, a phone call interview will allow my client to take part in an environment they may be more familiar with hence making them more comfortable. One of the disadvantages of phone calls is that I am may </w:t>
      </w:r>
      <w:proofErr w:type="gramStart"/>
      <w:r w:rsidRPr="00A96B16">
        <w:rPr>
          <w:rFonts w:ascii="Times New Roman" w:hAnsi="Times New Roman" w:cs="Times New Roman"/>
          <w:color w:val="333333"/>
          <w:sz w:val="24"/>
          <w:szCs w:val="24"/>
          <w:shd w:val="clear" w:color="auto" w:fill="FFFFFF"/>
        </w:rPr>
        <w:t>not get</w:t>
      </w:r>
      <w:proofErr w:type="gramEnd"/>
      <w:r w:rsidRPr="00A96B16">
        <w:rPr>
          <w:rFonts w:ascii="Times New Roman" w:hAnsi="Times New Roman" w:cs="Times New Roman"/>
          <w:color w:val="333333"/>
          <w:sz w:val="24"/>
          <w:szCs w:val="24"/>
          <w:shd w:val="clear" w:color="auto" w:fill="FFFFFF"/>
        </w:rPr>
        <w:t xml:space="preserve"> comprehensive information from Judith. The duration in which people can have a conversation via telephone is limited hence if I need a lot of information concerning this case, a phone call would not be ideal. Also, it is difficult to create trust or build a rapport in a phone interview. There is less personal touch hence one is not able to see the non-verbal cues of the other person in order to interpret whether they are being honest or dishonest.</w:t>
      </w:r>
    </w:p>
    <w:p w14:paraId="6FBD7B74" w14:textId="6659FBAA" w:rsidR="00D03B9F" w:rsidRPr="00A96B16" w:rsidRDefault="00D03B9F" w:rsidP="00D03B9F">
      <w:pPr>
        <w:spacing w:line="480" w:lineRule="auto"/>
        <w:jc w:val="both"/>
        <w:rPr>
          <w:rFonts w:ascii="Times New Roman" w:hAnsi="Times New Roman" w:cs="Times New Roman"/>
          <w:color w:val="333333"/>
          <w:sz w:val="24"/>
          <w:szCs w:val="24"/>
          <w:shd w:val="clear" w:color="auto" w:fill="FFFFFF"/>
        </w:rPr>
      </w:pPr>
      <w:r w:rsidRPr="00A96B16">
        <w:rPr>
          <w:rFonts w:ascii="Times New Roman" w:hAnsi="Times New Roman" w:cs="Times New Roman"/>
          <w:color w:val="333333"/>
          <w:sz w:val="24"/>
          <w:szCs w:val="24"/>
          <w:shd w:val="clear" w:color="auto" w:fill="FFFFFF"/>
        </w:rPr>
        <w:t xml:space="preserve">Using email as a mode of communication between Judith </w:t>
      </w:r>
      <w:r w:rsidR="006E3F2E" w:rsidRPr="00A96B16">
        <w:rPr>
          <w:rFonts w:ascii="Times New Roman" w:hAnsi="Times New Roman" w:cs="Times New Roman"/>
          <w:color w:val="333333"/>
          <w:sz w:val="24"/>
          <w:szCs w:val="24"/>
          <w:shd w:val="clear" w:color="auto" w:fill="FFFFFF"/>
        </w:rPr>
        <w:t>Clarke</w:t>
      </w:r>
      <w:r w:rsidRPr="00A96B16">
        <w:rPr>
          <w:rFonts w:ascii="Times New Roman" w:hAnsi="Times New Roman" w:cs="Times New Roman"/>
          <w:color w:val="333333"/>
          <w:sz w:val="24"/>
          <w:szCs w:val="24"/>
          <w:shd w:val="clear" w:color="auto" w:fill="FFFFFF"/>
        </w:rPr>
        <w:t xml:space="preserve"> and I may have the following advantages: the speed of communicating is instant as compared to phone calls as their lines may be busy or sending a letter.</w:t>
      </w:r>
      <w:r w:rsidRPr="00A96B16">
        <w:rPr>
          <w:rStyle w:val="FootnoteReference"/>
          <w:rFonts w:ascii="Times New Roman" w:hAnsi="Times New Roman" w:cs="Times New Roman"/>
          <w:color w:val="333333"/>
          <w:sz w:val="24"/>
          <w:szCs w:val="24"/>
          <w:shd w:val="clear" w:color="auto" w:fill="FFFFFF"/>
        </w:rPr>
        <w:footnoteReference w:id="7"/>
      </w:r>
      <w:r w:rsidRPr="00A96B16">
        <w:rPr>
          <w:rFonts w:ascii="Times New Roman" w:hAnsi="Times New Roman" w:cs="Times New Roman"/>
          <w:color w:val="333333"/>
          <w:sz w:val="24"/>
          <w:szCs w:val="24"/>
          <w:shd w:val="clear" w:color="auto" w:fill="FFFFFF"/>
        </w:rPr>
        <w:t xml:space="preserve"> Also, it is a convenient means of communication as both the incoming and outgoing email may be saved without engaging in paperwork which may be unnecessary. Also, it is very easy to retrieve emails and I can easily refer to the information given by my client as opposed to calling them to seek clarity on the issue. Also, through email, we will be able to send files and attach images that may be relevant to the case. However, a disadvantage is that there is a high probability of loss of emails. This is because one’s emails together with vital information can be lost when a hard drive crashes. In addition, if the emails are stored on a server, there is a probability of losing the emails if the site goes down.</w:t>
      </w:r>
    </w:p>
    <w:p w14:paraId="53361144" w14:textId="77777777" w:rsidR="00D03B9F" w:rsidRPr="00A96B16" w:rsidRDefault="00D03B9F" w:rsidP="00D03B9F">
      <w:pPr>
        <w:spacing w:line="480" w:lineRule="auto"/>
        <w:jc w:val="both"/>
        <w:rPr>
          <w:rFonts w:ascii="Times New Roman" w:hAnsi="Times New Roman" w:cs="Times New Roman"/>
          <w:color w:val="333333"/>
          <w:sz w:val="24"/>
          <w:szCs w:val="24"/>
          <w:shd w:val="clear" w:color="auto" w:fill="FFFFFF"/>
        </w:rPr>
      </w:pPr>
      <w:r w:rsidRPr="00A96B16">
        <w:rPr>
          <w:rFonts w:ascii="Times New Roman" w:hAnsi="Times New Roman" w:cs="Times New Roman"/>
          <w:color w:val="333333"/>
          <w:sz w:val="24"/>
          <w:szCs w:val="24"/>
          <w:shd w:val="clear" w:color="auto" w:fill="FFFFFF"/>
        </w:rPr>
        <w:t>One of the advantages of communicating to my client via a letter is that the letter can be easily preserved and retrieved.</w:t>
      </w:r>
      <w:r w:rsidRPr="00A96B16">
        <w:rPr>
          <w:rStyle w:val="FootnoteReference"/>
          <w:rFonts w:ascii="Times New Roman" w:hAnsi="Times New Roman" w:cs="Times New Roman"/>
          <w:color w:val="333333"/>
          <w:sz w:val="24"/>
          <w:szCs w:val="24"/>
          <w:shd w:val="clear" w:color="auto" w:fill="FFFFFF"/>
        </w:rPr>
        <w:footnoteReference w:id="8"/>
      </w:r>
      <w:r w:rsidRPr="00A96B16">
        <w:rPr>
          <w:rFonts w:ascii="Times New Roman" w:hAnsi="Times New Roman" w:cs="Times New Roman"/>
          <w:color w:val="333333"/>
          <w:sz w:val="24"/>
          <w:szCs w:val="24"/>
          <w:shd w:val="clear" w:color="auto" w:fill="FFFFFF"/>
        </w:rPr>
        <w:t xml:space="preserve"> It is also an effective way of communicating an issue that is complicated in a manner that is easily comprehensible. Also, there is an assurance of a permanent record of the information. In addition, this form of communication cannot be easily distorted or altered. The disadvantage of communicating via a letter is that it may be time-consuming as the reader and writer have to use time to read, interpret, understand and communicate feedback. Also, there is a low probability of keeping secrets through this method.</w:t>
      </w:r>
    </w:p>
    <w:p w14:paraId="5C414EEB" w14:textId="77777777" w:rsidR="00D03B9F" w:rsidRPr="00A96B16" w:rsidRDefault="00D03B9F" w:rsidP="00D03B9F">
      <w:pPr>
        <w:spacing w:line="480" w:lineRule="auto"/>
        <w:jc w:val="both"/>
        <w:rPr>
          <w:rFonts w:ascii="Times New Roman" w:hAnsi="Times New Roman" w:cs="Times New Roman"/>
          <w:color w:val="333333"/>
          <w:sz w:val="24"/>
          <w:szCs w:val="24"/>
          <w:shd w:val="clear" w:color="auto" w:fill="FFFFFF"/>
        </w:rPr>
      </w:pPr>
      <w:r w:rsidRPr="00A96B16">
        <w:rPr>
          <w:rFonts w:ascii="Times New Roman" w:hAnsi="Times New Roman" w:cs="Times New Roman"/>
          <w:color w:val="333333"/>
          <w:sz w:val="24"/>
          <w:szCs w:val="24"/>
          <w:shd w:val="clear" w:color="auto" w:fill="FFFFFF"/>
        </w:rPr>
        <w:t>Using video conferencing as a mode of conducting an interview with my client, some of the benefits of using this mode is that it saves on both resources and time.</w:t>
      </w:r>
      <w:r w:rsidRPr="00A96B16">
        <w:rPr>
          <w:rStyle w:val="FootnoteReference"/>
          <w:rFonts w:ascii="Times New Roman" w:hAnsi="Times New Roman" w:cs="Times New Roman"/>
          <w:color w:val="333333"/>
          <w:sz w:val="24"/>
          <w:szCs w:val="24"/>
          <w:shd w:val="clear" w:color="auto" w:fill="FFFFFF"/>
        </w:rPr>
        <w:footnoteReference w:id="9"/>
      </w:r>
      <w:r w:rsidRPr="00A96B16">
        <w:rPr>
          <w:rFonts w:ascii="Times New Roman" w:hAnsi="Times New Roman" w:cs="Times New Roman"/>
          <w:color w:val="333333"/>
          <w:sz w:val="24"/>
          <w:szCs w:val="24"/>
          <w:shd w:val="clear" w:color="auto" w:fill="FFFFFF"/>
        </w:rPr>
        <w:t xml:space="preserve"> It enables effective and efficient communication between us and does not require any of us to travel to the venue of the meeting which may be deemed to be time-consuming, and resources will be used during the travel. One of the disadvantages of using this form of communication is that it may not have a personal touch. Also, my client, Judith may experience glitches which will lead to a wastage of time and my client’s resources. </w:t>
      </w:r>
    </w:p>
    <w:p w14:paraId="7890D5E5"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b/>
          <w:bCs/>
          <w:color w:val="333333"/>
          <w:sz w:val="24"/>
          <w:szCs w:val="24"/>
          <w:bdr w:val="none" w:sz="0" w:space="0" w:color="auto" w:frame="1"/>
        </w:rPr>
      </w:pPr>
      <w:r w:rsidRPr="00A96B16">
        <w:rPr>
          <w:rFonts w:ascii="Times New Roman" w:eastAsia="Times New Roman" w:hAnsi="Times New Roman" w:cs="Times New Roman"/>
          <w:color w:val="333333"/>
          <w:sz w:val="24"/>
          <w:szCs w:val="24"/>
        </w:rPr>
        <w:t xml:space="preserve">SECTION </w:t>
      </w:r>
      <w:r w:rsidRPr="00A96B16">
        <w:rPr>
          <w:rFonts w:ascii="Times New Roman" w:eastAsia="Times New Roman" w:hAnsi="Times New Roman" w:cs="Times New Roman"/>
          <w:b/>
          <w:bCs/>
          <w:color w:val="333333"/>
          <w:sz w:val="24"/>
          <w:szCs w:val="24"/>
          <w:bdr w:val="none" w:sz="0" w:space="0" w:color="auto" w:frame="1"/>
        </w:rPr>
        <w:t>B)</w:t>
      </w:r>
    </w:p>
    <w:p w14:paraId="72A1FF7F"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Globally lawyers are professionals who put the interest of their clients before their own and work to ensure there is respect for the Rule of Law. They have to continuously update themselves on any developments of law in order to effectively serve their clients. They maintain respect for the judiciary and have an aspiration that is legitimate in order to have living standards that is reasonable. However, a lot of tension exists in maintaining these principles. The aim of the principles is to establish a framework that is acceptable that is deemed to be the basis of the codes of conduct that are considered appropriate to legal counsels globally</w:t>
      </w:r>
    </w:p>
    <w:p w14:paraId="4BD39503"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A professional code of ethics entails established guidelines for teams that aim to make people to make good decisions within their workplace. It enables one to establish the expectations on what is accepted socially and their methodology on how to deal with problems. In order to be a professional, it is imperative for the individual to maintain ethical behavior and to have conduct that is professional. When one has good professional conduct, he or she should ensure that the investigation is objective and confidential. Objectivity refers to a person being responsible for an unbiased investigation based on pieces of evidence. Any decision that is taken should not be without any proof. One the aspect of confidentiality, it refers to facts being during an investigation is supposed to be confidential for purposes of securing evidence.</w:t>
      </w:r>
    </w:p>
    <w:p w14:paraId="0F0877D3"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 xml:space="preserve">In instances where lawyers do not promote or respect the principles of equity, fairness and justice, this is likely to cause disrepute and undermine the confidence of the public in law which hinders access to justice. Legal professionals are responsible for upholding the rule of law and engaging in the protection of people’s rights against any violations. </w:t>
      </w:r>
    </w:p>
    <w:p w14:paraId="52E98410"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The reputation of the profession collectively plays a critical role in the level of confidence of the public in it. The legal profession’s reputation is associated with the view of the public on matters pertaining to the administration of justice. In the event where the level of public confidence in the legal profession, this will greatly contribute to low trust in the justice system.</w:t>
      </w:r>
    </w:p>
    <w:p w14:paraId="637C2C4F"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 xml:space="preserve">Existence of a professional code of ethics and a clear definition of the lawyer’s duties, the legal counsels can be held accountable when they act in a manner that is below the expected standards. In achieving accountability, it is imperative to ensure when there is the development of rules of ethics, and they are communicated to the legal professions together with the members of the public. In order for the ethics or codes to be enforceable, the legal professions are supposed to institute disciplinary procedures that are effective. </w:t>
      </w:r>
    </w:p>
    <w:p w14:paraId="2DBCAC04"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The Solicitors Regulatory Authority (SRA) Code of Conduct entails professionalism standards and the expectations of individuals such as lawyers registered in Europe include foreign lawyers and solicitors who are authorized to offer legal services.</w:t>
      </w:r>
      <w:r w:rsidRPr="00A96B16">
        <w:rPr>
          <w:rStyle w:val="FootnoteReference"/>
          <w:rFonts w:ascii="Times New Roman" w:eastAsia="Times New Roman" w:hAnsi="Times New Roman" w:cs="Times New Roman"/>
          <w:color w:val="333333"/>
          <w:sz w:val="24"/>
          <w:szCs w:val="24"/>
          <w:bdr w:val="none" w:sz="0" w:space="0" w:color="auto" w:frame="1"/>
        </w:rPr>
        <w:footnoteReference w:id="10"/>
      </w:r>
      <w:r w:rsidRPr="00A96B16">
        <w:rPr>
          <w:rFonts w:ascii="Times New Roman" w:eastAsia="Times New Roman" w:hAnsi="Times New Roman" w:cs="Times New Roman"/>
          <w:color w:val="333333"/>
          <w:sz w:val="24"/>
          <w:szCs w:val="24"/>
          <w:bdr w:val="none" w:sz="0" w:space="0" w:color="auto" w:frame="1"/>
        </w:rPr>
        <w:t xml:space="preserve"> They are applicable in the behavior and conduct of legal professionals’ practice and it entails a framework for competent and ethical practice that applies regardless of the legal counsel’s role or the business or the ecosystem in which they work. Legal counsels are supposed to exercise sound judgment when applying these principles in their diverse situations and when making a decision on their course of action. This is consideration of the type of clients, responsibilities and roles and field of practice. Lawyers are obliged to comply with the SRA code and any other regulatory requirements that are applicable to them. They should be held accountable for the actions or decisions that they make. If lawyers fail to meet the SRA Code standards or commit a grave breach of a regulatory requirement, this will lead to regulatory action against them. A breach or failure can be deemed to be serious in the following instances: in isolation or it is a pattern or persistent behavior.</w:t>
      </w:r>
    </w:p>
    <w:p w14:paraId="3A1FDCB6"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Some of the codes include maintenance of trust and acting in a fair manner.</w:t>
      </w:r>
      <w:r w:rsidRPr="00A96B16">
        <w:rPr>
          <w:rStyle w:val="FootnoteReference"/>
          <w:rFonts w:ascii="Times New Roman" w:eastAsia="Times New Roman" w:hAnsi="Times New Roman" w:cs="Times New Roman"/>
          <w:color w:val="333333"/>
          <w:sz w:val="24"/>
          <w:szCs w:val="24"/>
          <w:bdr w:val="none" w:sz="0" w:space="0" w:color="auto" w:frame="1"/>
        </w:rPr>
        <w:footnoteReference w:id="11"/>
      </w:r>
      <w:r w:rsidRPr="00A96B16">
        <w:rPr>
          <w:rFonts w:ascii="Times New Roman" w:eastAsia="Times New Roman" w:hAnsi="Times New Roman" w:cs="Times New Roman"/>
          <w:color w:val="333333"/>
          <w:sz w:val="24"/>
          <w:szCs w:val="24"/>
          <w:bdr w:val="none" w:sz="0" w:space="0" w:color="auto" w:frame="1"/>
        </w:rPr>
        <w:t xml:space="preserve"> Lawyers are prohibited from acting in a discriminate manner by allowing their individual perceptions to have an impact on their professional relationships and the manner in which they provide services. Legal counsels are not allowed to abuse their positions by taking advantage of their clients or any other person unfairly. They are obliged to perform the tasks given to them within the period of time that has been agreed or in the event where there is no time limitation they should work within a time period that is reasonable. In addition, legal professionals are prohibited from misleading or attempting to mislead their court, the clientele or any other party through their individual actions, omissions or authorizing complicit omissions or actions of other individuals.</w:t>
      </w:r>
    </w:p>
    <w:p w14:paraId="736301FD"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Another code is on matters pertaining to disclosure and confidentiality.</w:t>
      </w:r>
      <w:r w:rsidRPr="00A96B16">
        <w:rPr>
          <w:rStyle w:val="FootnoteReference"/>
          <w:rFonts w:ascii="Times New Roman" w:eastAsia="Times New Roman" w:hAnsi="Times New Roman" w:cs="Times New Roman"/>
          <w:color w:val="333333"/>
          <w:sz w:val="24"/>
          <w:szCs w:val="24"/>
          <w:bdr w:val="none" w:sz="0" w:space="0" w:color="auto" w:frame="1"/>
        </w:rPr>
        <w:footnoteReference w:id="12"/>
      </w:r>
      <w:r w:rsidRPr="00A96B16">
        <w:rPr>
          <w:rFonts w:ascii="Times New Roman" w:eastAsia="Times New Roman" w:hAnsi="Times New Roman" w:cs="Times New Roman"/>
          <w:color w:val="333333"/>
          <w:sz w:val="24"/>
          <w:szCs w:val="24"/>
          <w:bdr w:val="none" w:sz="0" w:space="0" w:color="auto" w:frame="1"/>
        </w:rPr>
        <w:t xml:space="preserve"> Lawyers are obliged to uphold confidentiality on former or current affairs unless he or she is permitted by the law, granted consent by the client or is required by law. Also, when acting on behalf of a client, it is mandatory for the lawyer to inform the client of all the information which they are supposed to have knowledge in apart from instances where disclosing the information is not allowed by legal restrictions that have been imposed due to national security interests or crime prevention or the client grants consent that is informed and there is written evidence on the consent on the information that the lawyer should not disclose certain information to them.</w:t>
      </w:r>
    </w:p>
    <w:p w14:paraId="385038E0"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The SRA Code has conflict-of-interest principles.</w:t>
      </w:r>
      <w:r w:rsidRPr="00A96B16">
        <w:rPr>
          <w:rStyle w:val="FootnoteReference"/>
          <w:rFonts w:ascii="Times New Roman" w:eastAsia="Times New Roman" w:hAnsi="Times New Roman" w:cs="Times New Roman"/>
          <w:color w:val="333333"/>
          <w:sz w:val="24"/>
          <w:szCs w:val="24"/>
          <w:bdr w:val="none" w:sz="0" w:space="0" w:color="auto" w:frame="1"/>
        </w:rPr>
        <w:footnoteReference w:id="13"/>
      </w:r>
      <w:r w:rsidRPr="00A96B16">
        <w:rPr>
          <w:rFonts w:ascii="Times New Roman" w:eastAsia="Times New Roman" w:hAnsi="Times New Roman" w:cs="Times New Roman"/>
          <w:color w:val="333333"/>
          <w:sz w:val="24"/>
          <w:szCs w:val="24"/>
          <w:bdr w:val="none" w:sz="0" w:space="0" w:color="auto" w:frame="1"/>
        </w:rPr>
        <w:t xml:space="preserve"> The lawyers are not supposed to act for a client in an issue where the client would be having an adverse interest to his or her former or current client or their employer or business in which the employer or business holds the confidential to that particular issue. This does not apply where measures have been undertaken that will ensure there is no risk of disclosure on information that is confidential, or the former or current client has given consent that has been given in writing.</w:t>
      </w:r>
    </w:p>
    <w:p w14:paraId="78A2CDDA"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On the SRA Code on the Fees, the principle of fairness is supposed to regulate the legal counsel’s fee that he or she charges their client.</w:t>
      </w:r>
      <w:r w:rsidRPr="00A96B16">
        <w:rPr>
          <w:rStyle w:val="FootnoteReference"/>
          <w:rFonts w:ascii="Times New Roman" w:eastAsia="Times New Roman" w:hAnsi="Times New Roman" w:cs="Times New Roman"/>
          <w:color w:val="333333"/>
          <w:sz w:val="24"/>
          <w:szCs w:val="24"/>
          <w:bdr w:val="none" w:sz="0" w:space="0" w:color="auto" w:frame="1"/>
        </w:rPr>
        <w:footnoteReference w:id="14"/>
      </w:r>
      <w:r w:rsidRPr="00A96B16">
        <w:rPr>
          <w:rFonts w:ascii="Times New Roman" w:eastAsia="Times New Roman" w:hAnsi="Times New Roman" w:cs="Times New Roman"/>
          <w:color w:val="333333"/>
          <w:sz w:val="24"/>
          <w:szCs w:val="24"/>
          <w:bdr w:val="none" w:sz="0" w:space="0" w:color="auto" w:frame="1"/>
        </w:rPr>
        <w:t xml:space="preserve"> The lawyer is obliged to give the client information on the arrangement of fees. The client will pay for the fees and the lawyer’s fees will be inclusive of the disbursements. In instances where the legal counsel gets a financial benefit on behalf of his or her client, they are supposed to ensure that the payment is made to the client. The legal counsel can also offset his or her legal fees. In this instance, the lawyer is supposed to send to the client the invoice and the client should comprehend that the money was used for purposes of payment of the fees.</w:t>
      </w:r>
    </w:p>
    <w:p w14:paraId="18C0144A"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Lawyers are supposed to have great communication skills.</w:t>
      </w:r>
      <w:r w:rsidRPr="00A96B16">
        <w:rPr>
          <w:rStyle w:val="FootnoteReference"/>
          <w:rFonts w:ascii="Times New Roman" w:eastAsia="Times New Roman" w:hAnsi="Times New Roman" w:cs="Times New Roman"/>
          <w:color w:val="333333"/>
          <w:sz w:val="24"/>
          <w:szCs w:val="24"/>
          <w:bdr w:val="none" w:sz="0" w:space="0" w:color="auto" w:frame="1"/>
        </w:rPr>
        <w:footnoteReference w:id="15"/>
      </w:r>
      <w:r w:rsidRPr="00A96B16">
        <w:rPr>
          <w:rFonts w:ascii="Times New Roman" w:eastAsia="Times New Roman" w:hAnsi="Times New Roman" w:cs="Times New Roman"/>
          <w:color w:val="333333"/>
          <w:sz w:val="24"/>
          <w:szCs w:val="24"/>
          <w:bdr w:val="none" w:sz="0" w:space="0" w:color="auto" w:frame="1"/>
        </w:rPr>
        <w:t xml:space="preserve"> They continuously communicate with their clients, they engage with the other parties who are involved in the case and they equally are in communication with the courts. In addition, lawyers use different modes of communication. Highly skilled lawyers have the knowledge and skills in communicating their ideas and thoughts through legal writing that is formal, phone conversations, confidential conversations, emails that are informal and deliberations in legal setups.</w:t>
      </w:r>
    </w:p>
    <w:p w14:paraId="1BD72A89"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Another important quality of a lawyer is having the willingness and ability to listen. It is an essential skill as communicating effectively is viewed as a two-way street.</w:t>
      </w:r>
      <w:r w:rsidRPr="00A96B16">
        <w:rPr>
          <w:rStyle w:val="FootnoteReference"/>
          <w:rFonts w:ascii="Times New Roman" w:eastAsia="Times New Roman" w:hAnsi="Times New Roman" w:cs="Times New Roman"/>
          <w:color w:val="333333"/>
          <w:sz w:val="24"/>
          <w:szCs w:val="24"/>
          <w:bdr w:val="none" w:sz="0" w:space="0" w:color="auto" w:frame="1"/>
        </w:rPr>
        <w:footnoteReference w:id="16"/>
      </w:r>
      <w:r w:rsidRPr="00A96B16">
        <w:rPr>
          <w:rFonts w:ascii="Times New Roman" w:eastAsia="Times New Roman" w:hAnsi="Times New Roman" w:cs="Times New Roman"/>
          <w:color w:val="333333"/>
          <w:sz w:val="24"/>
          <w:szCs w:val="24"/>
          <w:bdr w:val="none" w:sz="0" w:space="0" w:color="auto" w:frame="1"/>
        </w:rPr>
        <w:t xml:space="preserve"> Lawyers have to listen to witnesses, the court, their clients and the opposing counsel. This skill plays a key role in either losing or winning a case. Skilled lawyers are supposed to capture all the information, carry out an analysis of the information and develop an action plan.</w:t>
      </w:r>
    </w:p>
    <w:p w14:paraId="28878078"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Excellent lawyers should have comprehensive legal knowledge.</w:t>
      </w:r>
      <w:r w:rsidRPr="00A96B16">
        <w:rPr>
          <w:rStyle w:val="FootnoteReference"/>
          <w:rFonts w:ascii="Times New Roman" w:eastAsia="Times New Roman" w:hAnsi="Times New Roman" w:cs="Times New Roman"/>
          <w:color w:val="333333"/>
          <w:sz w:val="24"/>
          <w:szCs w:val="24"/>
          <w:bdr w:val="none" w:sz="0" w:space="0" w:color="auto" w:frame="1"/>
        </w:rPr>
        <w:footnoteReference w:id="17"/>
      </w:r>
      <w:r w:rsidRPr="00A96B16">
        <w:rPr>
          <w:rFonts w:ascii="Times New Roman" w:eastAsia="Times New Roman" w:hAnsi="Times New Roman" w:cs="Times New Roman"/>
          <w:color w:val="333333"/>
          <w:sz w:val="24"/>
          <w:szCs w:val="24"/>
          <w:bdr w:val="none" w:sz="0" w:space="0" w:color="auto" w:frame="1"/>
        </w:rPr>
        <w:t xml:space="preserve"> They are expected to have the law in their area of practice. This knowledge is gained through education and experience. Also, lawyers are expected to make good and sound judgments for their clients and themselves. For example, there are instances where a lawyer can make a decision on whether a legal claim should be pursued or not. Also, a lawyer can be involved in the settling of negotiations or a client can approach them to seek for an opinion on a certain legal issue. Despite the client having full responsibility for the choice that he or she makes, it is the work of the lawyer to ensure that his or her client has full knowledge and comprehends every information that is relevant in order for them to make a sound and informed decision.</w:t>
      </w:r>
    </w:p>
    <w:p w14:paraId="715845FF" w14:textId="77777777" w:rsidR="00D03B9F" w:rsidRPr="00A96B16" w:rsidRDefault="00D03B9F" w:rsidP="00D03B9F">
      <w:pPr>
        <w:shd w:val="clear" w:color="auto" w:fill="FFFFFF"/>
        <w:spacing w:after="0" w:line="480" w:lineRule="auto"/>
        <w:jc w:val="both"/>
        <w:textAlignment w:val="baseline"/>
        <w:outlineLvl w:val="1"/>
        <w:rPr>
          <w:rFonts w:ascii="Times New Roman" w:eastAsia="Times New Roman" w:hAnsi="Times New Roman" w:cs="Times New Roman"/>
          <w:color w:val="333333"/>
          <w:sz w:val="24"/>
          <w:szCs w:val="24"/>
          <w:bdr w:val="none" w:sz="0" w:space="0" w:color="auto" w:frame="1"/>
        </w:rPr>
      </w:pPr>
      <w:r w:rsidRPr="00A96B16">
        <w:rPr>
          <w:rFonts w:ascii="Times New Roman" w:eastAsia="Times New Roman" w:hAnsi="Times New Roman" w:cs="Times New Roman"/>
          <w:color w:val="333333"/>
          <w:sz w:val="24"/>
          <w:szCs w:val="24"/>
          <w:bdr w:val="none" w:sz="0" w:space="0" w:color="auto" w:frame="1"/>
        </w:rPr>
        <w:t>A lawyer is required to have good analytical skills.</w:t>
      </w:r>
      <w:r w:rsidRPr="00A96B16">
        <w:rPr>
          <w:rStyle w:val="FootnoteReference"/>
          <w:rFonts w:ascii="Times New Roman" w:eastAsia="Times New Roman" w:hAnsi="Times New Roman" w:cs="Times New Roman"/>
          <w:color w:val="333333"/>
          <w:sz w:val="24"/>
          <w:szCs w:val="24"/>
          <w:bdr w:val="none" w:sz="0" w:space="0" w:color="auto" w:frame="1"/>
        </w:rPr>
        <w:footnoteReference w:id="18"/>
      </w:r>
      <w:r w:rsidRPr="00A96B16">
        <w:rPr>
          <w:rFonts w:ascii="Times New Roman" w:eastAsia="Times New Roman" w:hAnsi="Times New Roman" w:cs="Times New Roman"/>
          <w:color w:val="333333"/>
          <w:sz w:val="24"/>
          <w:szCs w:val="24"/>
          <w:bdr w:val="none" w:sz="0" w:space="0" w:color="auto" w:frame="1"/>
        </w:rPr>
        <w:t xml:space="preserve"> The legal field requires a high level of absorption of information and breaking down the information into something logical and be easily understood. There are instances where there can be more than one conclusion that is reasonable or a precedent that can be used to resolve a certain situation. It is imperative for the lawyer to exercise their evaluative skills in order to choose the one that is most suitable.</w:t>
      </w:r>
    </w:p>
    <w:p w14:paraId="2F2DFF6F" w14:textId="77777777" w:rsidR="00D03B9F" w:rsidRDefault="00D03B9F" w:rsidP="00D03B9F">
      <w:pPr>
        <w:spacing w:line="480" w:lineRule="auto"/>
        <w:jc w:val="both"/>
        <w:rPr>
          <w:rFonts w:ascii="Times New Roman" w:hAnsi="Times New Roman" w:cs="Times New Roman"/>
          <w:sz w:val="24"/>
          <w:szCs w:val="24"/>
        </w:rPr>
      </w:pPr>
    </w:p>
    <w:p w14:paraId="12AD1E0B" w14:textId="77777777" w:rsidR="00D03B9F" w:rsidRPr="00A96B16" w:rsidRDefault="00D03B9F" w:rsidP="00D03B9F">
      <w:pPr>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Bibliography</w:t>
      </w:r>
    </w:p>
    <w:p w14:paraId="166641DF"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 xml:space="preserve">David Caldwell. “7 Pros and Cons of Face to Face Communication in the Workplace.” </w:t>
      </w:r>
      <w:hyperlink r:id="rId8" w:history="1">
        <w:r w:rsidRPr="00A96B16">
          <w:rPr>
            <w:rStyle w:val="Hyperlink"/>
            <w:rFonts w:ascii="Times New Roman" w:hAnsi="Times New Roman" w:cs="Times New Roman"/>
            <w:sz w:val="24"/>
            <w:szCs w:val="24"/>
          </w:rPr>
          <w:t>https://smallbizclub.com/leadership/communication/7-pros-cons-face-face-communication-workplace/</w:t>
        </w:r>
      </w:hyperlink>
      <w:r w:rsidRPr="00A96B16">
        <w:rPr>
          <w:rFonts w:ascii="Times New Roman" w:hAnsi="Times New Roman" w:cs="Times New Roman"/>
          <w:sz w:val="24"/>
          <w:szCs w:val="24"/>
        </w:rPr>
        <w:t xml:space="preserve"> Accessed on 31</w:t>
      </w:r>
      <w:r w:rsidRPr="00A96B16">
        <w:rPr>
          <w:rFonts w:ascii="Times New Roman" w:hAnsi="Times New Roman" w:cs="Times New Roman"/>
          <w:sz w:val="24"/>
          <w:szCs w:val="24"/>
          <w:vertAlign w:val="superscript"/>
        </w:rPr>
        <w:t>st</w:t>
      </w:r>
      <w:r w:rsidRPr="00A96B16">
        <w:rPr>
          <w:rFonts w:ascii="Times New Roman" w:hAnsi="Times New Roman" w:cs="Times New Roman"/>
          <w:sz w:val="24"/>
          <w:szCs w:val="24"/>
        </w:rPr>
        <w:t xml:space="preserve"> July 2021</w:t>
      </w:r>
    </w:p>
    <w:p w14:paraId="6BF9D27D" w14:textId="77777777" w:rsidR="00D03B9F" w:rsidRPr="00A96B16" w:rsidRDefault="00D03B9F" w:rsidP="00D03B9F">
      <w:pPr>
        <w:pStyle w:val="FootnoteText"/>
        <w:spacing w:line="480" w:lineRule="auto"/>
        <w:jc w:val="both"/>
        <w:rPr>
          <w:rFonts w:ascii="Times New Roman" w:hAnsi="Times New Roman" w:cs="Times New Roman"/>
          <w:b/>
          <w:bCs/>
          <w:sz w:val="24"/>
          <w:szCs w:val="24"/>
        </w:rPr>
      </w:pPr>
      <w:r w:rsidRPr="00A96B16">
        <w:rPr>
          <w:rFonts w:ascii="Times New Roman" w:hAnsi="Times New Roman" w:cs="Times New Roman"/>
          <w:sz w:val="24"/>
          <w:szCs w:val="24"/>
        </w:rPr>
        <w:t xml:space="preserve">Gautam Seth. “What Is Video Conferencing? – Definition, Advantages &amp; Disadvantages.” (2020) </w:t>
      </w:r>
      <w:hyperlink r:id="rId9" w:history="1">
        <w:r w:rsidRPr="00A96B16">
          <w:rPr>
            <w:rStyle w:val="Hyperlink"/>
            <w:rFonts w:ascii="Times New Roman" w:hAnsi="Times New Roman" w:cs="Times New Roman"/>
            <w:sz w:val="24"/>
            <w:szCs w:val="24"/>
          </w:rPr>
          <w:t>https://www.dreamcast.ae/blog/what-is-video-conferencing-definition-advantages-disadvantages/</w:t>
        </w:r>
      </w:hyperlink>
      <w:r w:rsidRPr="00A96B16">
        <w:rPr>
          <w:rFonts w:ascii="Times New Roman" w:hAnsi="Times New Roman" w:cs="Times New Roman"/>
          <w:sz w:val="24"/>
          <w:szCs w:val="24"/>
        </w:rPr>
        <w:t xml:space="preserve"> Accessed on 31</w:t>
      </w:r>
      <w:r w:rsidRPr="00A96B16">
        <w:rPr>
          <w:rFonts w:ascii="Times New Roman" w:hAnsi="Times New Roman" w:cs="Times New Roman"/>
          <w:sz w:val="24"/>
          <w:szCs w:val="24"/>
          <w:vertAlign w:val="superscript"/>
        </w:rPr>
        <w:t>st</w:t>
      </w:r>
      <w:r w:rsidRPr="00A96B16">
        <w:rPr>
          <w:rFonts w:ascii="Times New Roman" w:hAnsi="Times New Roman" w:cs="Times New Roman"/>
          <w:sz w:val="24"/>
          <w:szCs w:val="24"/>
        </w:rPr>
        <w:t xml:space="preserve"> July 2021</w:t>
      </w:r>
    </w:p>
    <w:p w14:paraId="6A0CF460"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 xml:space="preserve">George N. Root III, “Advantages &amp; Disadvantages of the Use of Email as a Business Communications Tool.” (2019). </w:t>
      </w:r>
      <w:hyperlink r:id="rId10" w:history="1">
        <w:r w:rsidRPr="00A96B16">
          <w:rPr>
            <w:rStyle w:val="Hyperlink"/>
            <w:rFonts w:ascii="Times New Roman" w:hAnsi="Times New Roman" w:cs="Times New Roman"/>
            <w:sz w:val="24"/>
            <w:szCs w:val="24"/>
          </w:rPr>
          <w:t>https://smallbusiness.chron.com/advantages-disadvantages-use-email-business-communications-tool-21193.html</w:t>
        </w:r>
      </w:hyperlink>
      <w:r w:rsidRPr="00A96B16">
        <w:rPr>
          <w:rFonts w:ascii="Times New Roman" w:hAnsi="Times New Roman" w:cs="Times New Roman"/>
          <w:sz w:val="24"/>
          <w:szCs w:val="24"/>
        </w:rPr>
        <w:t xml:space="preserve"> Accessed on 31st July 2021.</w:t>
      </w:r>
    </w:p>
    <w:p w14:paraId="0E080788"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 xml:space="preserve">Sofia </w:t>
      </w:r>
      <w:proofErr w:type="spellStart"/>
      <w:r w:rsidRPr="00A96B16">
        <w:rPr>
          <w:rFonts w:ascii="Times New Roman" w:hAnsi="Times New Roman" w:cs="Times New Roman"/>
          <w:sz w:val="24"/>
          <w:szCs w:val="24"/>
        </w:rPr>
        <w:t>Gymer</w:t>
      </w:r>
      <w:proofErr w:type="spellEnd"/>
      <w:r w:rsidRPr="00A96B16">
        <w:rPr>
          <w:rFonts w:ascii="Times New Roman" w:hAnsi="Times New Roman" w:cs="Times New Roman"/>
          <w:sz w:val="24"/>
          <w:szCs w:val="24"/>
        </w:rPr>
        <w:t xml:space="preserve">, “7 qualities every good lawyer should have” (2019) </w:t>
      </w:r>
      <w:hyperlink r:id="rId11" w:history="1">
        <w:r w:rsidRPr="00A96B16">
          <w:rPr>
            <w:rStyle w:val="Hyperlink"/>
            <w:rFonts w:ascii="Times New Roman" w:hAnsi="Times New Roman" w:cs="Times New Roman"/>
            <w:sz w:val="24"/>
            <w:szCs w:val="24"/>
          </w:rPr>
          <w:t>https://www.allaboutlaw.co.uk/school-leaver-law-careers/becoming-a-lawyer/7-qualities-every-good-lawyer-should-have</w:t>
        </w:r>
      </w:hyperlink>
      <w:r w:rsidRPr="00A96B16">
        <w:rPr>
          <w:rFonts w:ascii="Times New Roman" w:hAnsi="Times New Roman" w:cs="Times New Roman"/>
          <w:sz w:val="24"/>
          <w:szCs w:val="24"/>
        </w:rPr>
        <w:t xml:space="preserve">  Accessed on 31</w:t>
      </w:r>
      <w:r w:rsidRPr="00A96B16">
        <w:rPr>
          <w:rFonts w:ascii="Times New Roman" w:hAnsi="Times New Roman" w:cs="Times New Roman"/>
          <w:sz w:val="24"/>
          <w:szCs w:val="24"/>
          <w:vertAlign w:val="superscript"/>
        </w:rPr>
        <w:t>st</w:t>
      </w:r>
      <w:r w:rsidRPr="00A96B16">
        <w:rPr>
          <w:rFonts w:ascii="Times New Roman" w:hAnsi="Times New Roman" w:cs="Times New Roman"/>
          <w:sz w:val="24"/>
          <w:szCs w:val="24"/>
        </w:rPr>
        <w:t xml:space="preserve"> July 2021</w:t>
      </w:r>
    </w:p>
    <w:p w14:paraId="65159B29"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Sharon Miki</w:t>
      </w:r>
      <w:proofErr w:type="gramStart"/>
      <w:r w:rsidRPr="00A96B16">
        <w:rPr>
          <w:rFonts w:ascii="Times New Roman" w:hAnsi="Times New Roman" w:cs="Times New Roman"/>
          <w:sz w:val="24"/>
          <w:szCs w:val="24"/>
        </w:rPr>
        <w:t>, ”The</w:t>
      </w:r>
      <w:proofErr w:type="gramEnd"/>
      <w:r w:rsidRPr="00A96B16">
        <w:rPr>
          <w:rFonts w:ascii="Times New Roman" w:hAnsi="Times New Roman" w:cs="Times New Roman"/>
          <w:sz w:val="24"/>
          <w:szCs w:val="24"/>
        </w:rPr>
        <w:t xml:space="preserve"> Initial Consultation: Lawyer-Client Interview Questions.” </w:t>
      </w:r>
      <w:hyperlink r:id="rId12" w:history="1">
        <w:r w:rsidRPr="00A96B16">
          <w:rPr>
            <w:rStyle w:val="Hyperlink"/>
            <w:rFonts w:ascii="Times New Roman" w:hAnsi="Times New Roman" w:cs="Times New Roman"/>
            <w:sz w:val="24"/>
            <w:szCs w:val="24"/>
          </w:rPr>
          <w:t>https://www.clio.com/blog/lawyer-client-interview-questions/</w:t>
        </w:r>
      </w:hyperlink>
      <w:r w:rsidRPr="00A96B16">
        <w:rPr>
          <w:rFonts w:ascii="Times New Roman" w:hAnsi="Times New Roman" w:cs="Times New Roman"/>
          <w:sz w:val="24"/>
          <w:szCs w:val="24"/>
        </w:rPr>
        <w:t xml:space="preserve"> Accessed on 31</w:t>
      </w:r>
      <w:r w:rsidRPr="00A96B16">
        <w:rPr>
          <w:rFonts w:ascii="Times New Roman" w:hAnsi="Times New Roman" w:cs="Times New Roman"/>
          <w:sz w:val="24"/>
          <w:szCs w:val="24"/>
          <w:vertAlign w:val="superscript"/>
        </w:rPr>
        <w:t>st</w:t>
      </w:r>
      <w:r w:rsidRPr="00A96B16">
        <w:rPr>
          <w:rFonts w:ascii="Times New Roman" w:hAnsi="Times New Roman" w:cs="Times New Roman"/>
          <w:sz w:val="24"/>
          <w:szCs w:val="24"/>
        </w:rPr>
        <w:t xml:space="preserve"> July 2021.</w:t>
      </w:r>
    </w:p>
    <w:p w14:paraId="08EE5AED"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 xml:space="preserve">Solicitor Regulation </w:t>
      </w:r>
      <w:proofErr w:type="gramStart"/>
      <w:r w:rsidRPr="00A96B16">
        <w:rPr>
          <w:rFonts w:ascii="Times New Roman" w:hAnsi="Times New Roman" w:cs="Times New Roman"/>
          <w:sz w:val="24"/>
          <w:szCs w:val="24"/>
        </w:rPr>
        <w:t>Authority,  “</w:t>
      </w:r>
      <w:proofErr w:type="gramEnd"/>
      <w:r w:rsidRPr="00A96B16">
        <w:rPr>
          <w:rFonts w:ascii="Times New Roman" w:hAnsi="Times New Roman" w:cs="Times New Roman"/>
          <w:sz w:val="24"/>
          <w:szCs w:val="24"/>
        </w:rPr>
        <w:t xml:space="preserve">Client Care Letters.” (2019) </w:t>
      </w:r>
      <w:hyperlink r:id="rId13" w:history="1">
        <w:r w:rsidRPr="00A96B16">
          <w:rPr>
            <w:rStyle w:val="Hyperlink"/>
            <w:rFonts w:ascii="Times New Roman" w:hAnsi="Times New Roman" w:cs="Times New Roman"/>
            <w:sz w:val="24"/>
            <w:szCs w:val="24"/>
          </w:rPr>
          <w:t>https://www.sra.org.uk/solicitors/guidance/client-care-letters/</w:t>
        </w:r>
      </w:hyperlink>
      <w:r w:rsidRPr="00A96B16">
        <w:rPr>
          <w:rFonts w:ascii="Times New Roman" w:hAnsi="Times New Roman" w:cs="Times New Roman"/>
          <w:sz w:val="24"/>
          <w:szCs w:val="24"/>
        </w:rPr>
        <w:t xml:space="preserve"> Accessed on 31</w:t>
      </w:r>
      <w:r w:rsidRPr="00A96B16">
        <w:rPr>
          <w:rFonts w:ascii="Times New Roman" w:hAnsi="Times New Roman" w:cs="Times New Roman"/>
          <w:sz w:val="24"/>
          <w:szCs w:val="24"/>
          <w:vertAlign w:val="superscript"/>
        </w:rPr>
        <w:t>st</w:t>
      </w:r>
      <w:r w:rsidRPr="00A96B16">
        <w:rPr>
          <w:rFonts w:ascii="Times New Roman" w:hAnsi="Times New Roman" w:cs="Times New Roman"/>
          <w:sz w:val="24"/>
          <w:szCs w:val="24"/>
        </w:rPr>
        <w:t xml:space="preserve"> July 2021</w:t>
      </w:r>
    </w:p>
    <w:p w14:paraId="3B22E035" w14:textId="77777777" w:rsidR="00D03B9F" w:rsidRPr="00A96B16" w:rsidRDefault="00D03B9F" w:rsidP="00D03B9F">
      <w:pPr>
        <w:pStyle w:val="FootnoteText"/>
        <w:spacing w:line="480" w:lineRule="auto"/>
        <w:jc w:val="both"/>
        <w:rPr>
          <w:rFonts w:ascii="Times New Roman" w:hAnsi="Times New Roman" w:cs="Times New Roman"/>
          <w:sz w:val="24"/>
          <w:szCs w:val="24"/>
        </w:rPr>
      </w:pPr>
      <w:r w:rsidRPr="00A96B16">
        <w:rPr>
          <w:rFonts w:ascii="Times New Roman" w:hAnsi="Times New Roman" w:cs="Times New Roman"/>
          <w:sz w:val="24"/>
          <w:szCs w:val="24"/>
        </w:rPr>
        <w:t>Solicitor Regulation Authority, “SRA Code of Conduct for Solicitors, RELs and RFLs.”</w:t>
      </w:r>
    </w:p>
    <w:p w14:paraId="44002E3D" w14:textId="77777777" w:rsidR="00D03B9F" w:rsidRPr="00A96B16" w:rsidRDefault="00362099" w:rsidP="00D03B9F">
      <w:pPr>
        <w:pStyle w:val="FootnoteText"/>
        <w:spacing w:line="480" w:lineRule="auto"/>
        <w:jc w:val="both"/>
        <w:rPr>
          <w:rFonts w:ascii="Times New Roman" w:hAnsi="Times New Roman" w:cs="Times New Roman"/>
          <w:sz w:val="24"/>
          <w:szCs w:val="24"/>
        </w:rPr>
      </w:pPr>
      <w:hyperlink r:id="rId14" w:history="1">
        <w:r w:rsidR="00D03B9F" w:rsidRPr="00A96B16">
          <w:rPr>
            <w:rStyle w:val="Hyperlink"/>
            <w:rFonts w:ascii="Times New Roman" w:hAnsi="Times New Roman" w:cs="Times New Roman"/>
            <w:sz w:val="24"/>
            <w:szCs w:val="24"/>
          </w:rPr>
          <w:t>https://www.sra.org.uk/solicitors/standards-regulations/code-conduct-solicitors/</w:t>
        </w:r>
      </w:hyperlink>
      <w:r w:rsidR="00D03B9F" w:rsidRPr="00A96B16">
        <w:rPr>
          <w:rFonts w:ascii="Times New Roman" w:hAnsi="Times New Roman" w:cs="Times New Roman"/>
          <w:sz w:val="24"/>
          <w:szCs w:val="24"/>
        </w:rPr>
        <w:t xml:space="preserve"> Accessed on 31</w:t>
      </w:r>
      <w:r w:rsidR="00D03B9F" w:rsidRPr="00A96B16">
        <w:rPr>
          <w:rFonts w:ascii="Times New Roman" w:hAnsi="Times New Roman" w:cs="Times New Roman"/>
          <w:sz w:val="24"/>
          <w:szCs w:val="24"/>
          <w:vertAlign w:val="superscript"/>
        </w:rPr>
        <w:t>st</w:t>
      </w:r>
      <w:r w:rsidR="00D03B9F" w:rsidRPr="00A96B16">
        <w:rPr>
          <w:rFonts w:ascii="Times New Roman" w:hAnsi="Times New Roman" w:cs="Times New Roman"/>
          <w:sz w:val="24"/>
          <w:szCs w:val="24"/>
        </w:rPr>
        <w:t xml:space="preserve"> July 2021</w:t>
      </w:r>
    </w:p>
    <w:p w14:paraId="55FAC3F5" w14:textId="77777777" w:rsidR="00D03B9F" w:rsidRPr="00A96B16" w:rsidRDefault="00D03B9F" w:rsidP="00D03B9F">
      <w:pPr>
        <w:pStyle w:val="FootnoteText"/>
        <w:spacing w:line="480" w:lineRule="auto"/>
        <w:jc w:val="both"/>
        <w:rPr>
          <w:rFonts w:ascii="Times New Roman" w:hAnsi="Times New Roman" w:cs="Times New Roman"/>
          <w:sz w:val="24"/>
          <w:szCs w:val="24"/>
        </w:rPr>
      </w:pPr>
    </w:p>
    <w:p w14:paraId="103C7A21" w14:textId="77777777" w:rsidR="00D03B9F" w:rsidRPr="00A96B16" w:rsidRDefault="00D03B9F" w:rsidP="00D03B9F">
      <w:pPr>
        <w:spacing w:line="480" w:lineRule="auto"/>
        <w:jc w:val="both"/>
        <w:rPr>
          <w:rFonts w:ascii="Times New Roman" w:hAnsi="Times New Roman" w:cs="Times New Roman"/>
          <w:sz w:val="24"/>
          <w:szCs w:val="24"/>
        </w:rPr>
      </w:pPr>
    </w:p>
    <w:p w14:paraId="01FDED4C" w14:textId="77777777" w:rsidR="00161328" w:rsidRDefault="00161328"/>
    <w:sectPr w:rsidR="0016132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3B794" w14:textId="77777777" w:rsidR="00362099" w:rsidRDefault="00362099" w:rsidP="00D03B9F">
      <w:pPr>
        <w:spacing w:after="0" w:line="240" w:lineRule="auto"/>
      </w:pPr>
      <w:r>
        <w:separator/>
      </w:r>
    </w:p>
  </w:endnote>
  <w:endnote w:type="continuationSeparator" w:id="0">
    <w:p w14:paraId="3756111A" w14:textId="77777777" w:rsidR="00362099" w:rsidRDefault="00362099" w:rsidP="00D03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FE36B" w14:textId="140E5E2B" w:rsidR="006F7B4B" w:rsidRDefault="006F7B4B">
    <w:pPr>
      <w:pStyle w:val="Footer"/>
    </w:pPr>
    <w:r>
      <w:t>Nagina Bibi</w:t>
    </w:r>
  </w:p>
  <w:p w14:paraId="5B183959" w14:textId="77777777" w:rsidR="0008536C" w:rsidRDefault="0008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6844" w14:textId="77777777" w:rsidR="00362099" w:rsidRDefault="00362099" w:rsidP="00D03B9F">
      <w:pPr>
        <w:spacing w:after="0" w:line="240" w:lineRule="auto"/>
      </w:pPr>
      <w:r>
        <w:separator/>
      </w:r>
    </w:p>
  </w:footnote>
  <w:footnote w:type="continuationSeparator" w:id="0">
    <w:p w14:paraId="37263FF2" w14:textId="77777777" w:rsidR="00362099" w:rsidRDefault="00362099" w:rsidP="00D03B9F">
      <w:pPr>
        <w:spacing w:after="0" w:line="240" w:lineRule="auto"/>
      </w:pPr>
      <w:r>
        <w:continuationSeparator/>
      </w:r>
    </w:p>
  </w:footnote>
  <w:footnote w:id="1">
    <w:p w14:paraId="7B25FB95" w14:textId="77777777" w:rsidR="00D03B9F" w:rsidRPr="00ED43DA" w:rsidRDefault="00D03B9F" w:rsidP="00D03B9F">
      <w:pPr>
        <w:pStyle w:val="FootnoteText"/>
        <w:rPr>
          <w:b/>
          <w:bCs/>
        </w:rPr>
      </w:pPr>
      <w:r>
        <w:rPr>
          <w:rStyle w:val="FootnoteReference"/>
        </w:rPr>
        <w:footnoteRef/>
      </w:r>
      <w:r>
        <w:t xml:space="preserve"> Sharon Miki</w:t>
      </w:r>
      <w:proofErr w:type="gramStart"/>
      <w:r w:rsidRPr="00ED43DA">
        <w:t>,</w:t>
      </w:r>
      <w:r>
        <w:t xml:space="preserve"> </w:t>
      </w:r>
      <w:r w:rsidRPr="00ED43DA">
        <w:t>”The</w:t>
      </w:r>
      <w:proofErr w:type="gramEnd"/>
      <w:r w:rsidRPr="00ED43DA">
        <w:t xml:space="preserve"> Initial Consultation: Lawyer-Client Interview Questions</w:t>
      </w:r>
      <w:r>
        <w:t>.</w:t>
      </w:r>
      <w:r w:rsidRPr="00ED43DA">
        <w:t>”</w:t>
      </w:r>
      <w:r>
        <w:t xml:space="preserve"> </w:t>
      </w:r>
      <w:hyperlink r:id="rId1" w:history="1">
        <w:r w:rsidRPr="00B25801">
          <w:rPr>
            <w:rStyle w:val="Hyperlink"/>
          </w:rPr>
          <w:t>https://www.clio.com/blog/lawyer-client-interview-questions/</w:t>
        </w:r>
      </w:hyperlink>
      <w:r>
        <w:t xml:space="preserve"> Accessed on 31</w:t>
      </w:r>
      <w:r w:rsidRPr="00ED43DA">
        <w:rPr>
          <w:vertAlign w:val="superscript"/>
        </w:rPr>
        <w:t>st</w:t>
      </w:r>
      <w:r>
        <w:t xml:space="preserve"> July 2021.</w:t>
      </w:r>
    </w:p>
  </w:footnote>
  <w:footnote w:id="2">
    <w:p w14:paraId="7B317AC9" w14:textId="77777777" w:rsidR="00D03B9F" w:rsidRPr="00ED43DA" w:rsidRDefault="00D03B9F" w:rsidP="00D03B9F">
      <w:pPr>
        <w:pStyle w:val="FootnoteText"/>
      </w:pPr>
      <w:r>
        <w:rPr>
          <w:rStyle w:val="FootnoteReference"/>
        </w:rPr>
        <w:footnoteRef/>
      </w:r>
      <w:r>
        <w:t xml:space="preserve"> Ibid 1.</w:t>
      </w:r>
    </w:p>
  </w:footnote>
  <w:footnote w:id="3">
    <w:p w14:paraId="3440745F" w14:textId="77777777" w:rsidR="00D03B9F" w:rsidRPr="00ED43DA" w:rsidRDefault="00D03B9F" w:rsidP="00D03B9F">
      <w:pPr>
        <w:pStyle w:val="FootnoteText"/>
      </w:pPr>
      <w:r>
        <w:rPr>
          <w:rStyle w:val="FootnoteReference"/>
        </w:rPr>
        <w:footnoteRef/>
      </w:r>
      <w:r>
        <w:t xml:space="preserve"> Ibid 1</w:t>
      </w:r>
    </w:p>
  </w:footnote>
  <w:footnote w:id="4">
    <w:p w14:paraId="27BD2406" w14:textId="77777777" w:rsidR="00D03B9F" w:rsidRPr="00ED43DA" w:rsidRDefault="00D03B9F" w:rsidP="00D03B9F">
      <w:pPr>
        <w:pStyle w:val="FootnoteText"/>
      </w:pPr>
      <w:r>
        <w:rPr>
          <w:rStyle w:val="FootnoteReference"/>
        </w:rPr>
        <w:footnoteRef/>
      </w:r>
      <w:r>
        <w:t xml:space="preserve"> </w:t>
      </w:r>
      <w:proofErr w:type="spellStart"/>
      <w:r>
        <w:t>Ibdi</w:t>
      </w:r>
      <w:proofErr w:type="spellEnd"/>
      <w:r>
        <w:t xml:space="preserve"> 1</w:t>
      </w:r>
    </w:p>
  </w:footnote>
  <w:footnote w:id="5">
    <w:p w14:paraId="1E1BC6E9" w14:textId="77777777" w:rsidR="00D03B9F" w:rsidRPr="00ED43DA" w:rsidRDefault="00D03B9F" w:rsidP="00D03B9F">
      <w:pPr>
        <w:pStyle w:val="FootnoteText"/>
      </w:pPr>
      <w:r>
        <w:rPr>
          <w:rStyle w:val="FootnoteReference"/>
        </w:rPr>
        <w:footnoteRef/>
      </w:r>
      <w:r>
        <w:t xml:space="preserve"> Solicitor Regulation </w:t>
      </w:r>
      <w:proofErr w:type="gramStart"/>
      <w:r>
        <w:t>Authority,  “</w:t>
      </w:r>
      <w:proofErr w:type="gramEnd"/>
      <w:r>
        <w:t xml:space="preserve">Client Care Letters.” (2019) </w:t>
      </w:r>
      <w:hyperlink r:id="rId2" w:history="1">
        <w:r w:rsidRPr="00B25801">
          <w:rPr>
            <w:rStyle w:val="Hyperlink"/>
          </w:rPr>
          <w:t>https://www.sra.org.uk/solicitors/guidance/client-care-letters/</w:t>
        </w:r>
      </w:hyperlink>
      <w:r>
        <w:t xml:space="preserve"> Accessed on 31</w:t>
      </w:r>
      <w:r w:rsidRPr="00ED43DA">
        <w:rPr>
          <w:vertAlign w:val="superscript"/>
        </w:rPr>
        <w:t>st</w:t>
      </w:r>
      <w:r>
        <w:t xml:space="preserve"> July 2021</w:t>
      </w:r>
    </w:p>
  </w:footnote>
  <w:footnote w:id="6">
    <w:p w14:paraId="2AAA8C1F" w14:textId="77777777" w:rsidR="00D03B9F" w:rsidRPr="00ED43DA" w:rsidRDefault="00D03B9F" w:rsidP="00D03B9F">
      <w:pPr>
        <w:pStyle w:val="FootnoteText"/>
      </w:pPr>
      <w:r>
        <w:rPr>
          <w:rStyle w:val="FootnoteReference"/>
        </w:rPr>
        <w:footnoteRef/>
      </w:r>
      <w:r>
        <w:t xml:space="preserve"> David Caldwell. “</w:t>
      </w:r>
      <w:r w:rsidRPr="00ED43DA">
        <w:t>7 Pros and Cons of Face to Face Communication in the Workplace</w:t>
      </w:r>
      <w:r>
        <w:t xml:space="preserve">.” </w:t>
      </w:r>
      <w:hyperlink r:id="rId3" w:history="1">
        <w:r w:rsidRPr="00B25801">
          <w:rPr>
            <w:rStyle w:val="Hyperlink"/>
          </w:rPr>
          <w:t>https://smallbizclub.com/leadership/communication/7-pros-cons-face-face-communication-workplace/</w:t>
        </w:r>
      </w:hyperlink>
      <w:r>
        <w:t xml:space="preserve"> Accessed on 31</w:t>
      </w:r>
      <w:r w:rsidRPr="00ED43DA">
        <w:rPr>
          <w:vertAlign w:val="superscript"/>
        </w:rPr>
        <w:t>st</w:t>
      </w:r>
      <w:r>
        <w:t xml:space="preserve"> July 2021</w:t>
      </w:r>
    </w:p>
  </w:footnote>
  <w:footnote w:id="7">
    <w:p w14:paraId="6BCE52EE" w14:textId="77777777" w:rsidR="00D03B9F" w:rsidRPr="00ED43DA" w:rsidRDefault="00D03B9F" w:rsidP="00D03B9F">
      <w:pPr>
        <w:pStyle w:val="FootnoteText"/>
      </w:pPr>
      <w:r>
        <w:rPr>
          <w:rStyle w:val="FootnoteReference"/>
        </w:rPr>
        <w:footnoteRef/>
      </w:r>
      <w:r>
        <w:t xml:space="preserve"> </w:t>
      </w:r>
      <w:r w:rsidRPr="00ED43DA">
        <w:t>George N. Root III</w:t>
      </w:r>
      <w:r>
        <w:t>, “</w:t>
      </w:r>
      <w:r w:rsidRPr="00ED43DA">
        <w:t>Advantages &amp; Disadvantages of the Use of Email as a Business Communications Tool</w:t>
      </w:r>
      <w:r>
        <w:t xml:space="preserve">.” (2019). </w:t>
      </w:r>
      <w:hyperlink r:id="rId4" w:history="1">
        <w:r w:rsidRPr="00B25801">
          <w:rPr>
            <w:rStyle w:val="Hyperlink"/>
          </w:rPr>
          <w:t>https://smallbusiness.chron.com/advantages-disadvantages-use-email-business-communications-tool-21193.html</w:t>
        </w:r>
      </w:hyperlink>
      <w:r>
        <w:t xml:space="preserve"> Accessed on 31st July 2021.</w:t>
      </w:r>
    </w:p>
  </w:footnote>
  <w:footnote w:id="8">
    <w:p w14:paraId="65507436" w14:textId="77777777" w:rsidR="00D03B9F" w:rsidRPr="00ED43DA" w:rsidRDefault="00D03B9F" w:rsidP="00D03B9F">
      <w:pPr>
        <w:pStyle w:val="FootnoteText"/>
      </w:pPr>
      <w:r>
        <w:rPr>
          <w:rStyle w:val="FootnoteReference"/>
        </w:rPr>
        <w:footnoteRef/>
      </w:r>
      <w:r>
        <w:t xml:space="preserve"> </w:t>
      </w:r>
      <w:hyperlink r:id="rId5" w:history="1">
        <w:r w:rsidRPr="00B25801">
          <w:rPr>
            <w:rStyle w:val="Hyperlink"/>
          </w:rPr>
          <w:t>https://thebusinesscommunication.com/advantages-and-disadvantages-of-written-communication/</w:t>
        </w:r>
      </w:hyperlink>
      <w:r>
        <w:t xml:space="preserve"> Accessed on 31</w:t>
      </w:r>
      <w:r w:rsidRPr="00ED43DA">
        <w:rPr>
          <w:vertAlign w:val="superscript"/>
        </w:rPr>
        <w:t>st</w:t>
      </w:r>
      <w:r>
        <w:t xml:space="preserve"> July 2021</w:t>
      </w:r>
    </w:p>
  </w:footnote>
  <w:footnote w:id="9">
    <w:p w14:paraId="5A873047" w14:textId="77777777" w:rsidR="00D03B9F" w:rsidRPr="00ED43DA" w:rsidRDefault="00D03B9F" w:rsidP="00D03B9F">
      <w:pPr>
        <w:pStyle w:val="FootnoteText"/>
        <w:rPr>
          <w:b/>
          <w:bCs/>
        </w:rPr>
      </w:pPr>
      <w:r>
        <w:rPr>
          <w:rStyle w:val="FootnoteReference"/>
        </w:rPr>
        <w:footnoteRef/>
      </w:r>
      <w:r>
        <w:t xml:space="preserve"> Gautam Seth.</w:t>
      </w:r>
      <w:r w:rsidRPr="00ED43DA">
        <w:t xml:space="preserve"> “What Is Video Conferencing? – Definition, Advantages &amp; Disadvantages.”</w:t>
      </w:r>
      <w:r>
        <w:t xml:space="preserve"> (2020) </w:t>
      </w:r>
      <w:hyperlink r:id="rId6" w:history="1">
        <w:r w:rsidRPr="00B25801">
          <w:rPr>
            <w:rStyle w:val="Hyperlink"/>
          </w:rPr>
          <w:t>https://www.dreamcast.ae/blog/what-is-video-conferencing-definition-advantages-disadvantages/</w:t>
        </w:r>
      </w:hyperlink>
      <w:r>
        <w:t xml:space="preserve"> Accessed on 31</w:t>
      </w:r>
      <w:r w:rsidRPr="00ED43DA">
        <w:rPr>
          <w:vertAlign w:val="superscript"/>
        </w:rPr>
        <w:t>st</w:t>
      </w:r>
      <w:r>
        <w:t xml:space="preserve"> July 2021</w:t>
      </w:r>
    </w:p>
  </w:footnote>
  <w:footnote w:id="10">
    <w:p w14:paraId="0F540CE1" w14:textId="77777777" w:rsidR="00D03B9F" w:rsidRPr="00A96B16" w:rsidRDefault="00D03B9F" w:rsidP="00D03B9F">
      <w:pPr>
        <w:pStyle w:val="FootnoteText"/>
      </w:pPr>
      <w:r>
        <w:rPr>
          <w:rStyle w:val="FootnoteReference"/>
        </w:rPr>
        <w:footnoteRef/>
      </w:r>
      <w:r>
        <w:t xml:space="preserve"> Solicitor Regulation Authority, “</w:t>
      </w:r>
      <w:r w:rsidRPr="00A96B16">
        <w:t>SRA Code of Conduct for Solicitors, RELs and RFLs</w:t>
      </w:r>
      <w:r>
        <w:t>.”</w:t>
      </w:r>
    </w:p>
    <w:p w14:paraId="267EDB99" w14:textId="77777777" w:rsidR="00D03B9F" w:rsidRPr="00A96B16" w:rsidRDefault="00362099" w:rsidP="00D03B9F">
      <w:pPr>
        <w:pStyle w:val="FootnoteText"/>
      </w:pPr>
      <w:hyperlink r:id="rId7" w:history="1">
        <w:r w:rsidR="00D03B9F" w:rsidRPr="00B25801">
          <w:rPr>
            <w:rStyle w:val="Hyperlink"/>
          </w:rPr>
          <w:t>https://www.sra.org.uk/solicitors/standards-regulations/code-conduct-solicitors/</w:t>
        </w:r>
      </w:hyperlink>
      <w:r w:rsidR="00D03B9F">
        <w:t xml:space="preserve"> Accessed on 31</w:t>
      </w:r>
      <w:r w:rsidR="00D03B9F" w:rsidRPr="00A96B16">
        <w:rPr>
          <w:vertAlign w:val="superscript"/>
        </w:rPr>
        <w:t>st</w:t>
      </w:r>
      <w:r w:rsidR="00D03B9F">
        <w:t xml:space="preserve"> July 2021</w:t>
      </w:r>
    </w:p>
  </w:footnote>
  <w:footnote w:id="11">
    <w:p w14:paraId="6BBB3779" w14:textId="77777777" w:rsidR="00D03B9F" w:rsidRPr="00A96B16" w:rsidRDefault="00D03B9F" w:rsidP="00D03B9F">
      <w:pPr>
        <w:pStyle w:val="FootnoteText"/>
      </w:pPr>
      <w:r>
        <w:rPr>
          <w:rStyle w:val="FootnoteReference"/>
        </w:rPr>
        <w:footnoteRef/>
      </w:r>
      <w:r>
        <w:t xml:space="preserve"> Ibid 10</w:t>
      </w:r>
    </w:p>
  </w:footnote>
  <w:footnote w:id="12">
    <w:p w14:paraId="084C1452" w14:textId="77777777" w:rsidR="00D03B9F" w:rsidRPr="00A96B16" w:rsidRDefault="00D03B9F" w:rsidP="00D03B9F">
      <w:pPr>
        <w:pStyle w:val="FootnoteText"/>
      </w:pPr>
      <w:r>
        <w:rPr>
          <w:rStyle w:val="FootnoteReference"/>
        </w:rPr>
        <w:footnoteRef/>
      </w:r>
      <w:r>
        <w:t xml:space="preserve"> Ibid 10</w:t>
      </w:r>
    </w:p>
  </w:footnote>
  <w:footnote w:id="13">
    <w:p w14:paraId="69B44EE6" w14:textId="77777777" w:rsidR="00D03B9F" w:rsidRPr="00A96B16" w:rsidRDefault="00D03B9F" w:rsidP="00D03B9F">
      <w:pPr>
        <w:pStyle w:val="FootnoteText"/>
      </w:pPr>
      <w:r>
        <w:rPr>
          <w:rStyle w:val="FootnoteReference"/>
        </w:rPr>
        <w:footnoteRef/>
      </w:r>
      <w:r>
        <w:t xml:space="preserve"> Ibid 10</w:t>
      </w:r>
    </w:p>
  </w:footnote>
  <w:footnote w:id="14">
    <w:p w14:paraId="4543C7D6" w14:textId="77777777" w:rsidR="00D03B9F" w:rsidRPr="00A96B16" w:rsidRDefault="00D03B9F" w:rsidP="00D03B9F">
      <w:pPr>
        <w:pStyle w:val="FootnoteText"/>
      </w:pPr>
      <w:r>
        <w:rPr>
          <w:rStyle w:val="FootnoteReference"/>
        </w:rPr>
        <w:footnoteRef/>
      </w:r>
      <w:r>
        <w:t xml:space="preserve"> Ibid 10</w:t>
      </w:r>
    </w:p>
  </w:footnote>
  <w:footnote w:id="15">
    <w:p w14:paraId="5456475D" w14:textId="77777777" w:rsidR="00D03B9F" w:rsidRPr="00A96B16" w:rsidRDefault="00D03B9F" w:rsidP="00D03B9F">
      <w:pPr>
        <w:pStyle w:val="FootnoteText"/>
        <w:rPr>
          <w:b/>
          <w:bCs/>
        </w:rPr>
      </w:pPr>
      <w:r>
        <w:rPr>
          <w:rStyle w:val="FootnoteReference"/>
        </w:rPr>
        <w:footnoteRef/>
      </w:r>
      <w:r>
        <w:t xml:space="preserve"> Sofia </w:t>
      </w:r>
      <w:proofErr w:type="spellStart"/>
      <w:r>
        <w:t>Gymer</w:t>
      </w:r>
      <w:proofErr w:type="spellEnd"/>
      <w:r>
        <w:t>, “</w:t>
      </w:r>
      <w:r w:rsidRPr="00A96B16">
        <w:t>7 qualities every good lawyer should have</w:t>
      </w:r>
      <w:r>
        <w:t xml:space="preserve">” (2019) </w:t>
      </w:r>
      <w:hyperlink r:id="rId8" w:history="1">
        <w:r w:rsidRPr="00B25801">
          <w:rPr>
            <w:rStyle w:val="Hyperlink"/>
          </w:rPr>
          <w:t>https://www.allaboutlaw.co.uk/school-leaver-law-careers/becoming-a-lawyer/7-qualities-every-good-lawyer-should-have</w:t>
        </w:r>
      </w:hyperlink>
      <w:r>
        <w:t xml:space="preserve">  Accessed on 31</w:t>
      </w:r>
      <w:r w:rsidRPr="00A96B16">
        <w:rPr>
          <w:vertAlign w:val="superscript"/>
        </w:rPr>
        <w:t>st</w:t>
      </w:r>
      <w:r>
        <w:t xml:space="preserve"> July 2021</w:t>
      </w:r>
    </w:p>
  </w:footnote>
  <w:footnote w:id="16">
    <w:p w14:paraId="0CFCA6D6" w14:textId="77777777" w:rsidR="00D03B9F" w:rsidRPr="00A96B16" w:rsidRDefault="00D03B9F" w:rsidP="00D03B9F">
      <w:pPr>
        <w:pStyle w:val="FootnoteText"/>
      </w:pPr>
      <w:r>
        <w:rPr>
          <w:rStyle w:val="FootnoteReference"/>
        </w:rPr>
        <w:footnoteRef/>
      </w:r>
      <w:r>
        <w:t xml:space="preserve"> Ibid 10</w:t>
      </w:r>
    </w:p>
  </w:footnote>
  <w:footnote w:id="17">
    <w:p w14:paraId="5399105F" w14:textId="77777777" w:rsidR="00D03B9F" w:rsidRPr="00A96B16" w:rsidRDefault="00D03B9F" w:rsidP="00D03B9F">
      <w:pPr>
        <w:pStyle w:val="FootnoteText"/>
      </w:pPr>
      <w:r>
        <w:rPr>
          <w:rStyle w:val="FootnoteReference"/>
        </w:rPr>
        <w:footnoteRef/>
      </w:r>
      <w:r>
        <w:t xml:space="preserve"> Ibid 10</w:t>
      </w:r>
    </w:p>
  </w:footnote>
  <w:footnote w:id="18">
    <w:p w14:paraId="3215E1EE" w14:textId="77777777" w:rsidR="00D03B9F" w:rsidRPr="00A96B16" w:rsidRDefault="00D03B9F" w:rsidP="00D03B9F">
      <w:pPr>
        <w:pStyle w:val="FootnoteText"/>
      </w:pPr>
      <w:r>
        <w:rPr>
          <w:rStyle w:val="FootnoteReference"/>
        </w:rPr>
        <w:footnoteRef/>
      </w:r>
      <w:r>
        <w:t xml:space="preserve"> Ibid 10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90CA5"/>
    <w:multiLevelType w:val="multilevel"/>
    <w:tmpl w:val="9916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0D6B51"/>
    <w:multiLevelType w:val="multilevel"/>
    <w:tmpl w:val="B9CC4C2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A34B4A"/>
    <w:multiLevelType w:val="multilevel"/>
    <w:tmpl w:val="3928153E"/>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F262EF"/>
    <w:multiLevelType w:val="multilevel"/>
    <w:tmpl w:val="6E8C6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F25B15"/>
    <w:multiLevelType w:val="multilevel"/>
    <w:tmpl w:val="E0DC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BB5DC1"/>
    <w:multiLevelType w:val="multilevel"/>
    <w:tmpl w:val="23944D5C"/>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7365D19"/>
    <w:multiLevelType w:val="multilevel"/>
    <w:tmpl w:val="84787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427635"/>
    <w:multiLevelType w:val="multilevel"/>
    <w:tmpl w:val="657CA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8B5DD1"/>
    <w:multiLevelType w:val="multilevel"/>
    <w:tmpl w:val="AFAAB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813F66"/>
    <w:multiLevelType w:val="multilevel"/>
    <w:tmpl w:val="F9802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2"/>
  </w:num>
  <w:num w:numId="4">
    <w:abstractNumId w:val="1"/>
  </w:num>
  <w:num w:numId="5">
    <w:abstractNumId w:val="0"/>
  </w:num>
  <w:num w:numId="6">
    <w:abstractNumId w:val="6"/>
  </w:num>
  <w:num w:numId="7">
    <w:abstractNumId w:val="7"/>
  </w:num>
  <w:num w:numId="8">
    <w:abstractNumId w:val="4"/>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0Nbe0MDM3twQiEyUdpeDU4uLM/DyQAsNaAKKHvoosAAAA"/>
  </w:docVars>
  <w:rsids>
    <w:rsidRoot w:val="00D03B9F"/>
    <w:rsid w:val="0008536C"/>
    <w:rsid w:val="00161328"/>
    <w:rsid w:val="002A7304"/>
    <w:rsid w:val="00362099"/>
    <w:rsid w:val="006E3F2E"/>
    <w:rsid w:val="006F7B4B"/>
    <w:rsid w:val="00B15547"/>
    <w:rsid w:val="00D03B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EE3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B9F"/>
  </w:style>
  <w:style w:type="paragraph" w:styleId="Heading1">
    <w:name w:val="heading 1"/>
    <w:basedOn w:val="Normal"/>
    <w:next w:val="Normal"/>
    <w:link w:val="Heading1Char"/>
    <w:uiPriority w:val="9"/>
    <w:qFormat/>
    <w:rsid w:val="00D03B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03B9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03B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03B9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B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3B9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03B9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03B9F"/>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D03B9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03B9F"/>
    <w:rPr>
      <w:color w:val="0000FF"/>
      <w:u w:val="single"/>
    </w:rPr>
  </w:style>
  <w:style w:type="character" w:styleId="Strong">
    <w:name w:val="Strong"/>
    <w:basedOn w:val="DefaultParagraphFont"/>
    <w:uiPriority w:val="22"/>
    <w:qFormat/>
    <w:rsid w:val="00D03B9F"/>
    <w:rPr>
      <w:b/>
      <w:bCs/>
    </w:rPr>
  </w:style>
  <w:style w:type="character" w:styleId="Emphasis">
    <w:name w:val="Emphasis"/>
    <w:basedOn w:val="DefaultParagraphFont"/>
    <w:uiPriority w:val="20"/>
    <w:qFormat/>
    <w:rsid w:val="00D03B9F"/>
    <w:rPr>
      <w:i/>
      <w:iCs/>
    </w:rPr>
  </w:style>
  <w:style w:type="paragraph" w:styleId="FootnoteText">
    <w:name w:val="footnote text"/>
    <w:basedOn w:val="Normal"/>
    <w:link w:val="FootnoteTextChar"/>
    <w:uiPriority w:val="99"/>
    <w:semiHidden/>
    <w:unhideWhenUsed/>
    <w:rsid w:val="00D03B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3B9F"/>
    <w:rPr>
      <w:sz w:val="20"/>
      <w:szCs w:val="20"/>
    </w:rPr>
  </w:style>
  <w:style w:type="character" w:styleId="FootnoteReference">
    <w:name w:val="footnote reference"/>
    <w:basedOn w:val="DefaultParagraphFont"/>
    <w:uiPriority w:val="99"/>
    <w:semiHidden/>
    <w:unhideWhenUsed/>
    <w:rsid w:val="00D03B9F"/>
    <w:rPr>
      <w:vertAlign w:val="superscript"/>
    </w:rPr>
  </w:style>
  <w:style w:type="character" w:customStyle="1" w:styleId="UnresolvedMention1">
    <w:name w:val="Unresolved Mention1"/>
    <w:basedOn w:val="DefaultParagraphFont"/>
    <w:uiPriority w:val="99"/>
    <w:semiHidden/>
    <w:unhideWhenUsed/>
    <w:rsid w:val="00D03B9F"/>
    <w:rPr>
      <w:color w:val="605E5C"/>
      <w:shd w:val="clear" w:color="auto" w:fill="E1DFDD"/>
    </w:rPr>
  </w:style>
  <w:style w:type="paragraph" w:styleId="Header">
    <w:name w:val="header"/>
    <w:basedOn w:val="Normal"/>
    <w:link w:val="HeaderChar"/>
    <w:uiPriority w:val="99"/>
    <w:unhideWhenUsed/>
    <w:rsid w:val="000853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36C"/>
  </w:style>
  <w:style w:type="paragraph" w:styleId="Footer">
    <w:name w:val="footer"/>
    <w:basedOn w:val="Normal"/>
    <w:link w:val="FooterChar"/>
    <w:uiPriority w:val="99"/>
    <w:unhideWhenUsed/>
    <w:rsid w:val="000853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izclub.com/leadership/communication/7-pros-cons-face-face-communication-workplace/" TargetMode="External"/><Relationship Id="rId13" Type="http://schemas.openxmlformats.org/officeDocument/2006/relationships/hyperlink" Target="https://www.sra.org.uk/solicitors/guidance/client-care-lett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io.com/blog/lawyer-client-interview-questi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laboutlaw.co.uk/school-leaver-law-careers/becoming-a-lawyer/7-qualities-every-good-lawyer-should-hav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mallbusiness.chron.com/advantages-disadvantages-use-email-business-communications-tool-21193.html" TargetMode="External"/><Relationship Id="rId4" Type="http://schemas.openxmlformats.org/officeDocument/2006/relationships/settings" Target="settings.xml"/><Relationship Id="rId9" Type="http://schemas.openxmlformats.org/officeDocument/2006/relationships/hyperlink" Target="https://www.dreamcast.ae/blog/what-is-video-conferencing-definition-advantages-disadvantages/" TargetMode="External"/><Relationship Id="rId14" Type="http://schemas.openxmlformats.org/officeDocument/2006/relationships/hyperlink" Target="https://www.sra.org.uk/solicitors/standards-regulations/code-conduct-solicitor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llaboutlaw.co.uk/school-leaver-law-careers/becoming-a-lawyer/7-qualities-every-good-lawyer-should-have" TargetMode="External"/><Relationship Id="rId3" Type="http://schemas.openxmlformats.org/officeDocument/2006/relationships/hyperlink" Target="https://smallbizclub.com/leadership/communication/7-pros-cons-face-face-communication-workplace/" TargetMode="External"/><Relationship Id="rId7" Type="http://schemas.openxmlformats.org/officeDocument/2006/relationships/hyperlink" Target="https://www.sra.org.uk/solicitors/standards-regulations/code-conduct-solicitors/" TargetMode="External"/><Relationship Id="rId2" Type="http://schemas.openxmlformats.org/officeDocument/2006/relationships/hyperlink" Target="https://www.sra.org.uk/solicitors/guidance/client-care-letters/" TargetMode="External"/><Relationship Id="rId1" Type="http://schemas.openxmlformats.org/officeDocument/2006/relationships/hyperlink" Target="https://www.clio.com/blog/lawyer-client-interview-questions/" TargetMode="External"/><Relationship Id="rId6" Type="http://schemas.openxmlformats.org/officeDocument/2006/relationships/hyperlink" Target="https://www.dreamcast.ae/blog/what-is-video-conferencing-definition-advantages-disadvantages/" TargetMode="External"/><Relationship Id="rId5" Type="http://schemas.openxmlformats.org/officeDocument/2006/relationships/hyperlink" Target="https://thebusinesscommunication.com/advantages-and-disadvantages-of-written-communication/" TargetMode="External"/><Relationship Id="rId4" Type="http://schemas.openxmlformats.org/officeDocument/2006/relationships/hyperlink" Target="https://smallbusiness.chron.com/advantages-disadvantages-use-email-business-communications-tool-2119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C9DB9-FC76-4A01-8904-664524712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2986</Words>
  <Characters>17021</Characters>
  <Application>Microsoft Office Word</Application>
  <DocSecurity>0</DocSecurity>
  <Lines>141</Lines>
  <Paragraphs>39</Paragraphs>
  <ScaleCrop>false</ScaleCrop>
  <Company/>
  <LinksUpToDate>false</LinksUpToDate>
  <CharactersWithSpaces>19968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2021-07-31T10:23:00Z</dcterms:created>
  <dcterms:modified xsi:type="dcterms:W3CDTF">2021-07-31T10:25:00Z</dcterms:modified>
</cp:coreProperties>
</file>