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440" w:rsidP="003B4440" w:rsidRDefault="003B4440" w14:paraId="17003D05" w14:textId="77777777">
      <w:pPr>
        <w:pStyle w:val="Title"/>
      </w:pPr>
    </w:p>
    <w:p w:rsidR="003B4440" w:rsidP="003B4440" w:rsidRDefault="003B4440" w14:paraId="2CDE3F93" w14:textId="77777777">
      <w:pPr>
        <w:pStyle w:val="Title"/>
      </w:pPr>
    </w:p>
    <w:p w:rsidR="003B4440" w:rsidP="003B4440" w:rsidRDefault="003B4440" w14:paraId="735B5981" w14:textId="77777777">
      <w:pPr>
        <w:pStyle w:val="Title"/>
      </w:pPr>
    </w:p>
    <w:p w:rsidR="003B4440" w:rsidP="003B4440" w:rsidRDefault="003B4440" w14:paraId="2B41F24A" w14:textId="77777777">
      <w:pPr>
        <w:pStyle w:val="Title"/>
      </w:pPr>
    </w:p>
    <w:p w:rsidR="003B4440" w:rsidP="003B4440" w:rsidRDefault="003B4440" w14:paraId="319BC308" w14:textId="77777777">
      <w:pPr>
        <w:pStyle w:val="Title"/>
      </w:pPr>
    </w:p>
    <w:p w:rsidR="003B4440" w:rsidP="003B4440" w:rsidRDefault="003B4440" w14:paraId="72749D65" w14:textId="77777777">
      <w:pPr>
        <w:pStyle w:val="Title"/>
      </w:pPr>
    </w:p>
    <w:p w:rsidR="00E30704" w:rsidP="6A4F7AAE" w:rsidRDefault="00E30704" w14:paraId="42C09B31" w14:textId="1BC36CE7">
      <w:pPr>
        <w:pStyle w:val="Title"/>
        <w:rPr>
          <w:rFonts w:ascii="Arial" w:hAnsi="Arial" w:eastAsia="Arial" w:cs="Arial"/>
          <w:b w:val="0"/>
          <w:bCs w:val="0"/>
          <w:i w:val="0"/>
          <w:iCs w:val="0"/>
        </w:rPr>
      </w:pPr>
      <w:r w:rsidRPr="6A4F7AAE" w:rsidR="6A4F7AAE">
        <w:rPr>
          <w:rFonts w:ascii="Arial" w:hAnsi="Arial" w:eastAsia="Arial" w:cs="Arial"/>
          <w:b w:val="0"/>
          <w:bCs w:val="0"/>
          <w:i w:val="0"/>
          <w:iCs w:val="0"/>
        </w:rPr>
        <w:t>Law portfolio</w:t>
      </w:r>
      <w:bookmarkStart w:name="_GoBack" w:id="0"/>
      <w:bookmarkEnd w:id="0"/>
    </w:p>
    <w:p w:rsidR="6A4F7AAE" w:rsidP="6A4F7AAE" w:rsidRDefault="6A4F7AAE" w14:paraId="0E3CB5C6" w14:textId="3E38219D">
      <w:pPr>
        <w:pStyle w:val="Normal"/>
      </w:pPr>
    </w:p>
    <w:p w:rsidR="6A4F7AAE" w:rsidP="6A4F7AAE" w:rsidRDefault="6A4F7AAE" w14:paraId="3444D298" w14:textId="41BB54A1">
      <w:pPr>
        <w:pStyle w:val="Normal"/>
      </w:pPr>
    </w:p>
    <w:p w:rsidR="6A4F7AAE" w:rsidP="6A4F7AAE" w:rsidRDefault="6A4F7AAE" w14:paraId="6A9B4211" w14:textId="51FB81A1">
      <w:pPr>
        <w:pStyle w:val="Normal"/>
      </w:pPr>
    </w:p>
    <w:sdt>
      <w:sdtPr>
        <w:rPr>
          <w:b/>
          <w:bCs/>
        </w:rPr>
        <w:id w:val="1280372907"/>
        <w:docPartObj>
          <w:docPartGallery w:val="Table of Contents"/>
          <w:docPartUnique/>
        </w:docPartObj>
      </w:sdtPr>
      <w:sdtEndPr>
        <w:rPr>
          <w:noProof/>
        </w:rPr>
      </w:sdtEndPr>
      <w:sdtContent>
        <w:p w:rsidRPr="00E30704" w:rsidR="00E30704" w:rsidP="6A4F7AAE" w:rsidRDefault="00E30704" w14:paraId="720E861B" w14:textId="5292B212" w14:noSpellErr="1">
          <w:pPr>
            <w:jc w:val="center"/>
            <w:rPr>
              <w:rFonts w:ascii="Arial" w:hAnsi="Arial" w:eastAsia="Arial" w:cs="Arial"/>
              <w:b w:val="1"/>
              <w:bCs w:val="1"/>
              <w:sz w:val="24"/>
              <w:szCs w:val="24"/>
            </w:rPr>
          </w:pPr>
          <w:r w:rsidRPr="6A4F7AAE" w:rsidR="6A4F7AAE">
            <w:rPr>
              <w:rFonts w:ascii="Arial" w:hAnsi="Arial" w:eastAsia="Arial" w:cs="Arial"/>
              <w:b w:val="1"/>
              <w:bCs w:val="1"/>
              <w:sz w:val="24"/>
              <w:szCs w:val="24"/>
            </w:rPr>
            <w:t>Table of Contents</w:t>
          </w:r>
        </w:p>
        <w:p w:rsidR="00B10F7C" w:rsidP="6A4F7AAE" w:rsidRDefault="00E30704" w14:paraId="259AAC78" w14:textId="75AD3E58" w14:noSpellErr="1">
          <w:pPr>
            <w:pStyle w:val="TOC1"/>
            <w:tabs>
              <w:tab w:val="right" w:leader="dot" w:pos="9019"/>
            </w:tabs>
            <w:rPr>
              <w:rFonts w:ascii="Arial" w:hAnsi="Arial" w:eastAsia="Arial" w:cs="Arial"/>
              <w:noProof/>
              <w:sz w:val="24"/>
              <w:szCs w:val="24"/>
              <w:lang w:val="en-IN"/>
            </w:rPr>
          </w:pPr>
          <w:r>
            <w:fldChar w:fldCharType="begin"/>
          </w:r>
          <w:r>
            <w:instrText xml:space="preserve"> TOC \o "1-3" \h \z \u </w:instrText>
          </w:r>
          <w:r>
            <w:fldChar w:fldCharType="separate"/>
          </w:r>
          <w:r w:rsidR="6A4F7AAE">
            <w:t>￼</w:t>
          </w:r>
        </w:p>
        <w:p w:rsidR="00B10F7C" w:rsidP="6A4F7AAE" w:rsidRDefault="006343A5" w14:paraId="39D73363" w14:textId="43BF62A4" w14:noSpellErr="1">
          <w:pPr>
            <w:pStyle w:val="TOC1"/>
            <w:tabs>
              <w:tab w:val="right" w:leader="dot" w:pos="9019"/>
            </w:tabs>
            <w:rPr>
              <w:rFonts w:ascii="Arial" w:hAnsi="Arial" w:eastAsia="Arial" w:cs="Arial"/>
              <w:noProof/>
              <w:sz w:val="24"/>
              <w:szCs w:val="24"/>
              <w:lang w:val="en-IN"/>
            </w:rPr>
          </w:pPr>
          <w:r w:rsidR="6A4F7AAE">
            <w:t>￼</w:t>
          </w:r>
        </w:p>
        <w:p w:rsidR="00B10F7C" w:rsidP="6A4F7AAE" w:rsidRDefault="006343A5" w14:paraId="0FDB34DC" w14:textId="6B7E294C" w14:noSpellErr="1">
          <w:pPr>
            <w:pStyle w:val="TOC1"/>
            <w:tabs>
              <w:tab w:val="right" w:leader="dot" w:pos="9019"/>
            </w:tabs>
            <w:rPr>
              <w:rFonts w:ascii="Arial" w:hAnsi="Arial" w:eastAsia="Arial" w:cs="Arial"/>
              <w:noProof/>
              <w:sz w:val="24"/>
              <w:szCs w:val="24"/>
              <w:lang w:val="en-IN"/>
            </w:rPr>
          </w:pPr>
          <w:r w:rsidR="6A4F7AAE">
            <w:t>￼</w:t>
          </w:r>
        </w:p>
        <w:p w:rsidR="00B10F7C" w:rsidP="6A4F7AAE" w:rsidRDefault="006343A5" w14:paraId="678791DE" w14:textId="39E64EEA" w14:noSpellErr="1">
          <w:pPr>
            <w:pStyle w:val="TOC1"/>
            <w:tabs>
              <w:tab w:val="right" w:leader="dot" w:pos="9019"/>
            </w:tabs>
            <w:rPr>
              <w:rFonts w:ascii="Arial" w:hAnsi="Arial" w:eastAsia="Arial" w:cs="Arial"/>
              <w:noProof/>
              <w:sz w:val="24"/>
              <w:szCs w:val="24"/>
              <w:lang w:val="en-IN"/>
            </w:rPr>
          </w:pPr>
          <w:r w:rsidR="6A4F7AAE">
            <w:t>￼</w:t>
          </w:r>
        </w:p>
        <w:p w:rsidR="00B10F7C" w:rsidP="6A4F7AAE" w:rsidRDefault="006343A5" w14:paraId="56F3E975" w14:textId="52E87225" w14:noSpellErr="1">
          <w:pPr>
            <w:pStyle w:val="TOC1"/>
            <w:tabs>
              <w:tab w:val="right" w:leader="dot" w:pos="9019"/>
            </w:tabs>
            <w:rPr>
              <w:rFonts w:ascii="Arial" w:hAnsi="Arial" w:eastAsia="Arial" w:cs="Arial"/>
              <w:noProof/>
              <w:sz w:val="24"/>
              <w:szCs w:val="24"/>
              <w:lang w:val="en-IN"/>
            </w:rPr>
          </w:pPr>
          <w:r w:rsidR="6A4F7AAE">
            <w:t>￼</w:t>
          </w:r>
        </w:p>
        <w:p w:rsidR="00E30704" w:rsidP="6A4F7AAE" w:rsidRDefault="00E30704" w14:paraId="323BBBCF" w14:textId="6650185A" w14:noSpellErr="1">
          <w:pPr>
            <w:rPr>
              <w:rFonts w:ascii="Arial" w:hAnsi="Arial" w:eastAsia="Arial" w:cs="Arial"/>
              <w:sz w:val="24"/>
              <w:szCs w:val="24"/>
            </w:rPr>
          </w:pPr>
          <w:r w:rsidRPr="6A4F7AAE">
            <w:rPr>
              <w:b w:val="1"/>
              <w:bCs w:val="1"/>
              <w:noProof/>
            </w:rPr>
            <w:fldChar w:fldCharType="end"/>
          </w:r>
        </w:p>
      </w:sdtContent>
    </w:sdt>
    <w:p w:rsidR="00CA5628" w:rsidP="6A4F7AAE" w:rsidRDefault="00CA5628" w14:paraId="07BD7E48" w14:textId="4ADE0708" w14:noSpellErr="1">
      <w:pPr>
        <w:rPr>
          <w:rFonts w:ascii="Arial" w:hAnsi="Arial" w:eastAsia="Arial" w:cs="Arial"/>
          <w:sz w:val="24"/>
          <w:szCs w:val="24"/>
        </w:rPr>
      </w:pPr>
      <w:r w:rsidRPr="6A4F7AAE" w:rsidR="6A4F7AAE">
        <w:rPr>
          <w:rFonts w:ascii="Arial" w:hAnsi="Arial" w:eastAsia="Arial" w:cs="Arial"/>
          <w:sz w:val="24"/>
          <w:szCs w:val="24"/>
        </w:rPr>
        <w:t> </w:t>
      </w:r>
    </w:p>
    <w:p w:rsidR="00E30704" w:rsidP="6A4F7AAE" w:rsidRDefault="00E30704" w14:paraId="0E001BF7" w14:textId="77777777" w14:noSpellErr="1">
      <w:pPr>
        <w:rPr>
          <w:rFonts w:ascii="Arial" w:hAnsi="Arial" w:eastAsia="Arial" w:cs="Arial"/>
          <w:b w:val="1"/>
          <w:bCs w:val="1"/>
          <w:sz w:val="24"/>
          <w:szCs w:val="24"/>
        </w:rPr>
      </w:pPr>
      <w:r w:rsidRPr="6A4F7AAE">
        <w:rPr>
          <w:rFonts w:ascii="Arial" w:hAnsi="Arial" w:eastAsia="Arial" w:cs="Arial"/>
          <w:sz w:val="24"/>
          <w:szCs w:val="24"/>
        </w:rPr>
        <w:br w:type="page"/>
      </w:r>
    </w:p>
    <w:p w:rsidR="00CA5628" w:rsidP="6A4F7AAE" w:rsidRDefault="00CA5628" w14:paraId="0BA24848" w14:textId="779E4669" w14:noSpellErr="1">
      <w:pPr>
        <w:pStyle w:val="Heading1"/>
        <w:rPr>
          <w:rFonts w:ascii="Arial" w:hAnsi="Arial" w:eastAsia="Arial" w:cs="Arial"/>
          <w:sz w:val="24"/>
          <w:szCs w:val="24"/>
        </w:rPr>
      </w:pPr>
      <w:bookmarkStart w:name="_Toc124341232" w:id="1"/>
      <w:r w:rsidRPr="6A4F7AAE" w:rsidR="6A4F7AAE">
        <w:rPr>
          <w:rFonts w:ascii="Arial" w:hAnsi="Arial" w:eastAsia="Arial" w:cs="Arial"/>
          <w:sz w:val="24"/>
          <w:szCs w:val="24"/>
        </w:rPr>
        <w:t>Introduction</w:t>
      </w:r>
      <w:bookmarkEnd w:id="1"/>
      <w:r w:rsidRPr="6A4F7AAE" w:rsidR="6A4F7AAE">
        <w:rPr>
          <w:rFonts w:ascii="Arial" w:hAnsi="Arial" w:eastAsia="Arial" w:cs="Arial"/>
          <w:sz w:val="24"/>
          <w:szCs w:val="24"/>
        </w:rPr>
        <w:t xml:space="preserve"> </w:t>
      </w:r>
    </w:p>
    <w:p w:rsidR="00786D61" w:rsidP="6A4F7AAE" w:rsidRDefault="006A0853" w14:paraId="315732D7" w14:textId="1B405345" w14:noSpellErr="1">
      <w:pPr>
        <w:rPr>
          <w:rFonts w:ascii="Arial" w:hAnsi="Arial" w:eastAsia="Arial" w:cs="Arial"/>
          <w:sz w:val="24"/>
          <w:szCs w:val="24"/>
        </w:rPr>
      </w:pPr>
      <w:r w:rsidRPr="6A4F7AAE" w:rsidR="6A4F7AAE">
        <w:rPr>
          <w:rFonts w:ascii="Arial" w:hAnsi="Arial" w:eastAsia="Arial" w:cs="Arial"/>
          <w:sz w:val="24"/>
          <w:szCs w:val="24"/>
        </w:rPr>
        <w:t xml:space="preserve">This </w:t>
      </w:r>
      <w:r w:rsidRPr="6A4F7AAE" w:rsidR="6A4F7AAE">
        <w:rPr>
          <w:rFonts w:ascii="Arial" w:hAnsi="Arial" w:eastAsia="Arial" w:cs="Arial"/>
          <w:sz w:val="24"/>
          <w:szCs w:val="24"/>
        </w:rPr>
        <w:t xml:space="preserve">study </w:t>
      </w:r>
      <w:r w:rsidRPr="6A4F7AAE" w:rsidR="6A4F7AAE">
        <w:rPr>
          <w:rFonts w:ascii="Arial" w:hAnsi="Arial" w:eastAsia="Arial" w:cs="Arial"/>
          <w:sz w:val="24"/>
          <w:szCs w:val="24"/>
        </w:rPr>
        <w:t xml:space="preserve">will explore two legal cases involving different sets of facts and their associated defences. The first case examines Ronan and Hadley, exploring how Hadley could be criminally liable in relation to what had </w:t>
      </w:r>
      <w:r w:rsidRPr="6A4F7AAE" w:rsidR="6A4F7AAE">
        <w:rPr>
          <w:rFonts w:ascii="Arial" w:hAnsi="Arial" w:eastAsia="Arial" w:cs="Arial"/>
          <w:sz w:val="24"/>
          <w:szCs w:val="24"/>
        </w:rPr>
        <w:t>transpired</w:t>
      </w:r>
      <w:r w:rsidRPr="6A4F7AAE" w:rsidR="6A4F7AAE">
        <w:rPr>
          <w:rFonts w:ascii="Arial" w:hAnsi="Arial" w:eastAsia="Arial" w:cs="Arial"/>
          <w:sz w:val="24"/>
          <w:szCs w:val="24"/>
        </w:rPr>
        <w:t xml:space="preserve">. The second case looks at Freya, </w:t>
      </w:r>
      <w:r w:rsidRPr="6A4F7AAE" w:rsidR="6A4F7AAE">
        <w:rPr>
          <w:rFonts w:ascii="Arial" w:hAnsi="Arial" w:eastAsia="Arial" w:cs="Arial"/>
          <w:sz w:val="24"/>
          <w:szCs w:val="24"/>
        </w:rPr>
        <w:t>Nicky</w:t>
      </w:r>
      <w:r w:rsidRPr="6A4F7AAE" w:rsidR="6A4F7AAE">
        <w:rPr>
          <w:rFonts w:ascii="Arial" w:hAnsi="Arial" w:eastAsia="Arial" w:cs="Arial"/>
          <w:sz w:val="24"/>
          <w:szCs w:val="24"/>
        </w:rPr>
        <w:t xml:space="preserve"> and Mike and whether the defences of intoxication and automatism may be relied upon. The facts of both cases will be used to </w:t>
      </w:r>
      <w:r w:rsidRPr="6A4F7AAE" w:rsidR="6A4F7AAE">
        <w:rPr>
          <w:rFonts w:ascii="Arial" w:hAnsi="Arial" w:eastAsia="Arial" w:cs="Arial"/>
          <w:sz w:val="24"/>
          <w:szCs w:val="24"/>
        </w:rPr>
        <w:t>provide</w:t>
      </w:r>
      <w:r w:rsidRPr="6A4F7AAE" w:rsidR="6A4F7AAE">
        <w:rPr>
          <w:rFonts w:ascii="Arial" w:hAnsi="Arial" w:eastAsia="Arial" w:cs="Arial"/>
          <w:sz w:val="24"/>
          <w:szCs w:val="24"/>
        </w:rPr>
        <w:t xml:space="preserve"> legal analysis and </w:t>
      </w:r>
      <w:r w:rsidRPr="6A4F7AAE" w:rsidR="6A4F7AAE">
        <w:rPr>
          <w:rFonts w:ascii="Arial" w:hAnsi="Arial" w:eastAsia="Arial" w:cs="Arial"/>
          <w:sz w:val="24"/>
          <w:szCs w:val="24"/>
        </w:rPr>
        <w:t>establish</w:t>
      </w:r>
      <w:r w:rsidRPr="6A4F7AAE" w:rsidR="6A4F7AAE">
        <w:rPr>
          <w:rFonts w:ascii="Arial" w:hAnsi="Arial" w:eastAsia="Arial" w:cs="Arial"/>
          <w:sz w:val="24"/>
          <w:szCs w:val="24"/>
        </w:rPr>
        <w:t xml:space="preserve"> argument for the respective defences or lack thereof. Through careful examination, arguments will be put forward as to why or why not defences can be used by each party in the cases. </w:t>
      </w:r>
    </w:p>
    <w:p w:rsidR="00402692" w:rsidP="6A4F7AAE" w:rsidRDefault="00402692" w14:paraId="4338816B" w14:textId="77777777" w14:noSpellErr="1">
      <w:pPr>
        <w:rPr>
          <w:rFonts w:ascii="Arial" w:hAnsi="Arial" w:eastAsia="Arial" w:cs="Arial"/>
          <w:b w:val="1"/>
          <w:bCs w:val="1"/>
          <w:sz w:val="24"/>
          <w:szCs w:val="24"/>
        </w:rPr>
      </w:pPr>
      <w:r w:rsidRPr="6A4F7AAE">
        <w:rPr>
          <w:rFonts w:ascii="Arial" w:hAnsi="Arial" w:eastAsia="Arial" w:cs="Arial"/>
          <w:b w:val="1"/>
          <w:bCs w:val="1"/>
          <w:sz w:val="24"/>
          <w:szCs w:val="24"/>
        </w:rPr>
        <w:br w:type="page"/>
      </w:r>
    </w:p>
    <w:p w:rsidRPr="00F53D73" w:rsidR="00786D61" w:rsidP="00CE58D2" w:rsidRDefault="00785D14" w14:paraId="15B02D83" w14:textId="718CD79C">
      <w:pPr>
        <w:pStyle w:val="Heading1"/>
      </w:pPr>
      <w:bookmarkStart w:name="_Toc124341233" w:id="2"/>
      <w:r w:rsidRPr="00F53D73">
        <w:lastRenderedPageBreak/>
        <w:t>Advise Hadley which offences he could be criminally liable for (you do not need to consider defences here).</w:t>
      </w:r>
      <w:bookmarkEnd w:id="2"/>
    </w:p>
    <w:p w:rsidR="00425800" w:rsidP="00425800" w:rsidRDefault="00425800" w14:paraId="14B597B0" w14:textId="77777777">
      <w:r>
        <w:t>Hadley would be criminally liable for burglary and arson. Burglary is defined in English Law as 'unlawful entry into any structure with intent to commit an offence.' In this case, Hadley unlawfully entered into Ronan's house, intending to steal something, which satisfies the elements of the offence.</w:t>
      </w:r>
    </w:p>
    <w:p w:rsidR="00425800" w:rsidP="00425800" w:rsidRDefault="00425800" w14:paraId="1588EBB8" w14:textId="77777777">
      <w:r>
        <w:t>Hadley would also be liable for arson, which is defined as the 'intentional and malicious destruction of property by fire.' Hadley set fire to the contents of Ronan's bin, which qualifies him for the charge.</w:t>
      </w:r>
    </w:p>
    <w:p w:rsidR="00425800" w:rsidP="00425800" w:rsidRDefault="006F4038" w14:paraId="40C7AED6" w14:textId="76D5183A">
      <w:r w:rsidRPr="006F4038">
        <w:t>Categorically</w:t>
      </w:r>
      <w:r>
        <w:t xml:space="preserve">, the offences </w:t>
      </w:r>
      <w:r w:rsidR="00425800">
        <w:t>Hadley may be criminally liable for:</w:t>
      </w:r>
    </w:p>
    <w:p w:rsidR="00425800" w:rsidP="00425800" w:rsidRDefault="00425800" w14:paraId="478B1C09" w14:textId="69C7E046">
      <w:r>
        <w:t>1. Burglary (Criminal Damage Act 1971): Hadley could be liable for burglary if he entered the property of another without permission and with the intention to commit a theft offence. His entry into the house would count as burglarious as his purpose was to steal. He committed an act of damage by jumping over the back fence and breaking the bench, using the bamboo to hook the keys and setting fire to the aftershave in the bin. Hadley may be liable for burglary as the elements for this offence are that he unlawfully entered the property of another with the intention to commit a theft offence</w:t>
      </w:r>
      <w:r w:rsidR="00192806">
        <w:t xml:space="preserve"> (</w:t>
      </w:r>
      <w:r w:rsidRPr="00192806" w:rsidR="00192806">
        <w:t>Dickens</w:t>
      </w:r>
      <w:r w:rsidR="00192806">
        <w:t xml:space="preserve"> </w:t>
      </w:r>
      <w:r w:rsidRPr="00192806" w:rsidR="00192806">
        <w:t>and Sugarman, 2017</w:t>
      </w:r>
      <w:r w:rsidR="00192806">
        <w:t>)</w:t>
      </w:r>
      <w:r>
        <w:t>. Hadley jumped over the back fence and broke the bench in his attempt to gain entry, used the bamboo to hook the keys from the inside of the house and set fire to aftershave in the bin in an effort to commit a theft.</w:t>
      </w:r>
    </w:p>
    <w:p w:rsidR="00425800" w:rsidP="00425800" w:rsidRDefault="00425800" w14:paraId="3EBF6C5F" w14:textId="0ADA1353">
      <w:r>
        <w:t>2. Theft (</w:t>
      </w:r>
      <w:r w:rsidR="0076314C">
        <w:t xml:space="preserve">Theft </w:t>
      </w:r>
      <w:r>
        <w:t>Act 1968): As mentioned above, Hadley could be liable for theft as stealing another’s property without consent, with the intention of permanently depriving the owner of the property</w:t>
      </w:r>
      <w:r w:rsidR="0076314C">
        <w:t xml:space="preserve"> (</w:t>
      </w:r>
      <w:r w:rsidRPr="0076314C" w:rsidR="0076314C">
        <w:t>Levi, 2016</w:t>
      </w:r>
      <w:r w:rsidR="0076314C">
        <w:t>)</w:t>
      </w:r>
      <w:r>
        <w:t>. Hadley could be liable for theft as he unlawfully took the '</w:t>
      </w:r>
      <w:proofErr w:type="spellStart"/>
      <w:r>
        <w:t>Kolex</w:t>
      </w:r>
      <w:proofErr w:type="spellEnd"/>
      <w:r>
        <w:t>' watch of another and planned to permanently deprive the owner of it. He was not successful in stealing the '</w:t>
      </w:r>
      <w:proofErr w:type="spellStart"/>
      <w:r>
        <w:t>bucci</w:t>
      </w:r>
      <w:proofErr w:type="spellEnd"/>
      <w:r>
        <w:t>' trainers but still his intention was to commit a theft.</w:t>
      </w:r>
    </w:p>
    <w:p w:rsidR="00425800" w:rsidP="00425800" w:rsidRDefault="00425800" w14:paraId="50AD4FF4" w14:textId="454EA3FB">
      <w:r>
        <w:t>3. Arson (Criminal Damage Act 1971): Hadley could be liable for arson as he intentionally caused damage to the property of another by fire or smoke. Hadley may be liable for arson as the elements for this offence are that a person intentionally caused damage to the property of another by use of fire or smoke. Hadley set fire to the aftershave in the bin in the dressing room caused damage to the property.</w:t>
      </w:r>
    </w:p>
    <w:p w:rsidR="00425800" w:rsidP="00425800" w:rsidRDefault="00425800" w14:paraId="23E11C82" w14:textId="20CBCCA5">
      <w:r>
        <w:lastRenderedPageBreak/>
        <w:t>4. Criminal Damage (Criminal Damage Act 1971): Hadley committed criminal damage as he damaged property belonging to another without the consent of the owner, with the intention to cause damage. His act of using the bamboo to enter the house, breaking the bench and setting fire to the aftershave could all be viewed as criminal damage. Hadley could be liable for criminal damage as he damaged property of another without the consent of the owner, with the intention to cause damage. By jumping over the back fence, breaking the bench and setting fire to the aftershave he caused damage to the property</w:t>
      </w:r>
      <w:r w:rsidR="00D75AA5">
        <w:t xml:space="preserve"> (</w:t>
      </w:r>
      <w:r w:rsidRPr="00D75AA5" w:rsidR="00D75AA5">
        <w:t>Ciobanu, 2016</w:t>
      </w:r>
      <w:r w:rsidR="00D75AA5">
        <w:t>)</w:t>
      </w:r>
      <w:r>
        <w:t>.</w:t>
      </w:r>
    </w:p>
    <w:p w:rsidR="00785D14" w:rsidP="00425800" w:rsidRDefault="00425800" w14:paraId="44B457C3" w14:textId="54B427DB">
      <w:r>
        <w:t>Hadley could be criminally liable for burglary, theft, arson and criminal damage as all of these offences have been committed while trespassing on the property of another. Though he did not get the '</w:t>
      </w:r>
      <w:proofErr w:type="spellStart"/>
      <w:r>
        <w:t>bucci</w:t>
      </w:r>
      <w:proofErr w:type="spellEnd"/>
      <w:r>
        <w:t xml:space="preserve">' trainers, he was still liable for theft as the intention to steal still existed. </w:t>
      </w:r>
      <w:r w:rsidRPr="0058083F" w:rsidR="0058083F">
        <w:t>The consequences of Hadley's actions may include a criminal conviction and possible period of imprisonment. Hadley could face serious charges such as burglary, theft, arson and criminal damage. A conviction would be likely to have an impact on Hadley's future job prospects and he may also be required to pay compensation to Ronan for any damage caused by his actions. In addition, Hadley may be subject to a restraining order or other such measures imposed by the court. Furthermore, he could be ordered to attend or participate in programmes or courses aimed at reforming his behaviour. There will also be public stigmatization which may affect his reputation.</w:t>
      </w:r>
    </w:p>
    <w:p w:rsidR="00785D14" w:rsidP="00CE58D2" w:rsidRDefault="00785D14" w14:paraId="1FBB6E11" w14:textId="286EE808">
      <w:pPr>
        <w:pStyle w:val="Heading1"/>
      </w:pPr>
      <w:bookmarkStart w:name="_Toc124341234" w:id="3"/>
      <w:bookmarkStart w:name="OLE_LINK1" w:id="4"/>
      <w:r w:rsidRPr="00F53D73">
        <w:t xml:space="preserve">In the event of Freya being charged under </w:t>
      </w:r>
      <w:r w:rsidR="00D85AEB">
        <w:t xml:space="preserve">Section </w:t>
      </w:r>
      <w:r w:rsidRPr="00F53D73">
        <w:t>47 Offences Against the Person Act 1861, advise her of whether she would be able to rely on the defences of intoxication and automatism.</w:t>
      </w:r>
      <w:bookmarkEnd w:id="3"/>
    </w:p>
    <w:bookmarkEnd w:id="4"/>
    <w:p w:rsidRPr="00D85AEB" w:rsidR="00D85AEB" w:rsidP="00D85AEB" w:rsidRDefault="00D85AEB" w14:paraId="017061BC" w14:textId="59F0F35E">
      <w:r w:rsidRPr="00D85AEB">
        <w:t>In the case of Freya being charged under Section 47 Offences Against the Person Act 1861, it is possible that she may be able to rely on either the defence of intoxication or the defence of automatism.</w:t>
      </w:r>
      <w:r w:rsidR="0058115D">
        <w:t xml:space="preserve"> </w:t>
      </w:r>
      <w:r w:rsidRPr="00D85AEB">
        <w:t xml:space="preserve">The defence of intoxication is one which stems from common law and would need to be shown that the defendant was so intoxicated that they did not know what they were doing, as a result of drinking alcohol, so as to prevent them forming the necessary </w:t>
      </w:r>
      <w:proofErr w:type="spellStart"/>
      <w:r w:rsidRPr="00D85AEB">
        <w:t>mens</w:t>
      </w:r>
      <w:proofErr w:type="spellEnd"/>
      <w:r w:rsidRPr="00D85AEB">
        <w:t xml:space="preserve"> rea for the offence</w:t>
      </w:r>
      <w:r w:rsidR="004576F7">
        <w:t xml:space="preserve"> (</w:t>
      </w:r>
      <w:r w:rsidRPr="004576F7" w:rsidR="004576F7">
        <w:t>Gaffney-Rhys, 2017</w:t>
      </w:r>
      <w:r w:rsidR="004576F7">
        <w:t>)</w:t>
      </w:r>
      <w:r w:rsidRPr="00D85AEB">
        <w:t xml:space="preserve">. To rely upon this defence, the intoxication must be so severe that the defendant's conduct lacks the requisite intent for the offence. The intoxication must also be voluntary which is that the defendant must have ingested the alcohol of their own accord. </w:t>
      </w:r>
    </w:p>
    <w:p w:rsidRPr="00D85AEB" w:rsidR="00D85AEB" w:rsidP="00D85AEB" w:rsidRDefault="00D85AEB" w14:paraId="5F57A603" w14:textId="5B4E92F8">
      <w:r w:rsidRPr="00D85AEB">
        <w:lastRenderedPageBreak/>
        <w:t xml:space="preserve">When considering Freya’s charge, it appears that the intoxication was voluntary, as she had consumed a substantial amount of alcohol at two separate points before the incident. However, it is arguable whether such intoxication was enough for Freya to not be aware of her own conduct and form the necessary </w:t>
      </w:r>
      <w:proofErr w:type="spellStart"/>
      <w:r w:rsidRPr="00D85AEB">
        <w:t>mens</w:t>
      </w:r>
      <w:proofErr w:type="spellEnd"/>
      <w:r w:rsidRPr="00D85AEB">
        <w:t xml:space="preserve"> rea for the offence. Furthermore, even if it could be argued that her intoxication was sufficient to prevent her forming </w:t>
      </w:r>
      <w:proofErr w:type="spellStart"/>
      <w:r w:rsidRPr="00D85AEB">
        <w:t>mens</w:t>
      </w:r>
      <w:proofErr w:type="spellEnd"/>
      <w:r w:rsidRPr="00D85AEB">
        <w:t xml:space="preserve"> rea, it can be argued that she still had the ‘basic intent’ necessary to commit the offence. If a defendant has basic intent, the defence of intoxication cannot be successfully argued, which may make Freya’s defence difficult to prove</w:t>
      </w:r>
      <w:r w:rsidR="0058115D">
        <w:t xml:space="preserve"> (</w:t>
      </w:r>
      <w:proofErr w:type="spellStart"/>
      <w:r w:rsidR="0058115D">
        <w:t>McCombe</w:t>
      </w:r>
      <w:proofErr w:type="spellEnd"/>
      <w:r w:rsidR="0058115D">
        <w:t>, 2017)</w:t>
      </w:r>
      <w:r w:rsidRPr="00D85AEB">
        <w:t>. In contrast, automatism is a defence which occurs when the accused's conduct is wholly outside of their control, even though on a reasonable assessment of the whole circumstances, it may still have been a voluntary act. The defence is applicable when the accused was not aware of their actions at the time, and it was instead the product of some internal, not external, factor. It has been described by the courts as “conduct which is not willed</w:t>
      </w:r>
      <w:r w:rsidR="00F95656">
        <w:t xml:space="preserve"> </w:t>
      </w:r>
      <w:r w:rsidRPr="00D85AEB">
        <w:t>or carried out with any form of consciousness”.</w:t>
      </w:r>
    </w:p>
    <w:p w:rsidRPr="00D85AEB" w:rsidR="00D85AEB" w:rsidP="00D85AEB" w:rsidRDefault="00D85AEB" w14:paraId="564C0CFA" w14:textId="12084484">
      <w:r w:rsidRPr="00D85AEB">
        <w:t>In the given case, it is arguable that Freya’s conduct of punching Mike in the face fits within this definition. She had been diagnosed with epilepsy at a young age and was no longer taking medication for it, meaning that it is possible she was experiencing a seizure at the time of the alleged offence. This could suggest that Freya’s conduct was outside of her control and that she was not conscious of her own actions, making the defence of automatism available to her</w:t>
      </w:r>
      <w:r w:rsidR="00427462">
        <w:t xml:space="preserve"> (</w:t>
      </w:r>
      <w:proofErr w:type="spellStart"/>
      <w:r w:rsidRPr="00427462" w:rsidR="00427462">
        <w:t>Kimu</w:t>
      </w:r>
      <w:proofErr w:type="spellEnd"/>
      <w:r w:rsidRPr="00427462" w:rsidR="00427462">
        <w:t>, 2020</w:t>
      </w:r>
      <w:r w:rsidR="00427462">
        <w:t>)</w:t>
      </w:r>
      <w:r w:rsidRPr="00D85AEB">
        <w:t xml:space="preserve">. </w:t>
      </w:r>
      <w:r w:rsidR="00427462">
        <w:t xml:space="preserve"> </w:t>
      </w:r>
      <w:r w:rsidRPr="00D85AEB">
        <w:t xml:space="preserve">However, there is a requirement under the defence that the behaviour in question must be involuntary. Therefore, if it can be argued that Freya’s behaviour was voluntary and that she knew what was happening when she punched Mike in the face, then that could weaken the defence of automatism. As with intoxication, even if it is shown that there was no </w:t>
      </w:r>
      <w:proofErr w:type="spellStart"/>
      <w:r w:rsidRPr="00D85AEB">
        <w:t>mens</w:t>
      </w:r>
      <w:proofErr w:type="spellEnd"/>
      <w:r w:rsidRPr="00D85AEB">
        <w:t xml:space="preserve"> rea, if it can still be established that Freya had basic intent, then the defence cannot be successfully argued.</w:t>
      </w:r>
    </w:p>
    <w:p w:rsidRPr="00D85AEB" w:rsidR="00D85AEB" w:rsidP="00D85AEB" w:rsidRDefault="00D85AEB" w14:paraId="372E0355" w14:textId="0938963F">
      <w:r w:rsidR="6A4F7AAE">
        <w:rPr/>
        <w:t xml:space="preserve">It may also be possible that both defences could be combined </w:t>
      </w:r>
      <w:r w:rsidR="6A4F7AAE">
        <w:rPr/>
        <w:t>in order to</w:t>
      </w:r>
      <w:r w:rsidR="6A4F7AAE">
        <w:rPr/>
        <w:t xml:space="preserve"> exonerate Freya of the charge. In R v T (1989), the Court of Appeal held that evidence of intoxication could be </w:t>
      </w:r>
      <w:r w:rsidR="6A4F7AAE">
        <w:rPr/>
        <w:t>taken into account</w:t>
      </w:r>
      <w:r w:rsidR="6A4F7AAE">
        <w:rPr/>
        <w:t xml:space="preserve"> when considering the defence of automatism, and vice versa, as both defences can arise when a defendant's mental or conscious state is compromised (Chisholm, 2021). The court in R v Hardie (1985) </w:t>
      </w:r>
      <w:r w:rsidR="6A4F7AAE">
        <w:rPr/>
        <w:t>identified</w:t>
      </w:r>
      <w:r w:rsidR="6A4F7AAE">
        <w:rPr/>
        <w:t xml:space="preserve"> two types of automatism which can be used as defences. Namely, ‘disease of the mind’ and ‘non-insane automatism</w:t>
      </w:r>
      <w:r w:rsidR="6A4F7AAE">
        <w:rPr/>
        <w:t>’.</w:t>
      </w:r>
      <w:r w:rsidR="6A4F7AAE">
        <w:rPr/>
        <w:t xml:space="preserve"> The courts in R v T </w:t>
      </w:r>
      <w:r w:rsidR="6A4F7AAE">
        <w:rPr/>
        <w:t>indicated</w:t>
      </w:r>
      <w:r w:rsidR="6A4F7AAE">
        <w:rPr/>
        <w:t xml:space="preserve"> that where the defendant’s automatism is caused by intoxication then this would be ‘non-insane automatism</w:t>
      </w:r>
      <w:r w:rsidR="6A4F7AAE">
        <w:rPr/>
        <w:t>’.</w:t>
      </w:r>
      <w:r w:rsidR="6A4F7AAE">
        <w:rPr/>
        <w:t xml:space="preserve"> In these cases, the defendant must </w:t>
      </w:r>
      <w:r w:rsidR="6A4F7AAE">
        <w:rPr/>
        <w:t>demonstrate</w:t>
      </w:r>
      <w:r w:rsidR="6A4F7AAE">
        <w:rPr/>
        <w:t xml:space="preserve"> that their intoxication was </w:t>
      </w:r>
      <w:r w:rsidR="6A4F7AAE">
        <w:rPr/>
        <w:t>involuntary,</w:t>
      </w:r>
      <w:r w:rsidR="6A4F7AAE">
        <w:rPr/>
        <w:t xml:space="preserve"> and it must be shown that the intoxication caused the necessary condition of automatism. Therefore, if Freya can </w:t>
      </w:r>
      <w:r w:rsidR="6A4F7AAE">
        <w:rPr/>
        <w:t>demonstrate</w:t>
      </w:r>
      <w:r w:rsidR="6A4F7AAE">
        <w:rPr/>
        <w:t xml:space="preserve"> that her intoxication was involuntary, and this caused her to be in a state of automatism at the time of the incident, then it is arguable that she can successfully rely upon both defences when responding to the charge of Section 47 Offences Against the Person Act 1861.</w:t>
      </w:r>
    </w:p>
    <w:p w:rsidR="00196562" w:rsidRDefault="00196562" w14:paraId="03CD31D2" w14:textId="77777777">
      <w:pPr>
        <w:rPr>
          <w:b/>
        </w:rPr>
      </w:pPr>
      <w:r>
        <w:br w:type="page"/>
      </w:r>
    </w:p>
    <w:p w:rsidR="00CA5628" w:rsidP="0099284D" w:rsidRDefault="00CA5628" w14:paraId="6BBBA781" w14:textId="35406E1D">
      <w:pPr>
        <w:pStyle w:val="Heading1"/>
      </w:pPr>
      <w:bookmarkStart w:name="_Toc124341235" w:id="5"/>
      <w:r>
        <w:lastRenderedPageBreak/>
        <w:t>Conclusion</w:t>
      </w:r>
      <w:bookmarkEnd w:id="5"/>
      <w:r>
        <w:t xml:space="preserve"> </w:t>
      </w:r>
    </w:p>
    <w:p w:rsidR="00D60EDA" w:rsidRDefault="00B46E3F" w14:paraId="5546437E" w14:textId="6FD53684">
      <w:pPr>
        <w:rPr>
          <w:b/>
        </w:rPr>
      </w:pPr>
      <w:r>
        <w:t xml:space="preserve">In conclusion through this study, it can be understood that </w:t>
      </w:r>
      <w:r w:rsidR="002E5061">
        <w:t>H</w:t>
      </w:r>
      <w:r w:rsidRPr="00B46E3F">
        <w:t>adley is liable for both burglary and arson due to his intention to commit an offence and maliciously setting fire to Ronan's bin, respectively. Freya could potentially rely on the defence of intoxication, yet her voluntary ingestion of alcohol and possible basic intent may complicate any defence.</w:t>
      </w:r>
      <w:r w:rsidR="00D60EDA">
        <w:br w:type="page"/>
      </w:r>
    </w:p>
    <w:p w:rsidR="00CA5628" w:rsidP="0099284D" w:rsidRDefault="00CA5628" w14:paraId="1915E64B" w14:textId="12252A7F">
      <w:pPr>
        <w:pStyle w:val="Heading1"/>
      </w:pPr>
      <w:bookmarkStart w:name="_Toc124341236" w:id="6"/>
      <w:r w:rsidR="6A4F7AAE">
        <w:rPr/>
        <w:t>Reference List</w:t>
      </w:r>
      <w:bookmarkEnd w:id="6"/>
    </w:p>
    <w:p w:rsidR="6A4F7AAE" w:rsidP="6A4F7AAE" w:rsidRDefault="6A4F7AAE" w14:paraId="01B68AFB" w14:textId="0087607B">
      <w:pPr>
        <w:pStyle w:val="Normal"/>
      </w:pPr>
    </w:p>
    <w:p w:rsidR="6A4F7AAE" w:rsidP="6A4F7AAE" w:rsidRDefault="6A4F7AAE" w14:paraId="5BCFA2BD" w14:textId="26CE762B">
      <w:pPr>
        <w:pStyle w:val="Normal"/>
        <w:rPr>
          <w:rFonts w:ascii="Arial" w:hAnsi="Arial" w:eastAsia="Arial" w:cs="Arial"/>
          <w:noProof w:val="0"/>
          <w:sz w:val="24"/>
          <w:szCs w:val="24"/>
          <w:lang w:val="en-GB"/>
        </w:rPr>
      </w:pPr>
      <w:r w:rsidRPr="6A4F7AAE" w:rsidR="6A4F7AAE">
        <w:rPr>
          <w:rFonts w:ascii="Arial" w:hAnsi="Arial" w:eastAsia="Arial" w:cs="Arial"/>
          <w:b w:val="0"/>
          <w:bCs w:val="0"/>
          <w:i w:val="0"/>
          <w:iCs w:val="0"/>
          <w:caps w:val="0"/>
          <w:smallCaps w:val="0"/>
          <w:noProof w:val="0"/>
          <w:color w:val="3A3A3A"/>
          <w:sz w:val="24"/>
          <w:szCs w:val="24"/>
          <w:lang w:val="en-GB"/>
        </w:rPr>
        <w:t xml:space="preserve">Arlow, R. (2018) ‘R v The Reverend Daniel Woodhouse and Samuel Walton: Burnley Magistrates’ Court: DJ Clarke, 28 October 2017 Criminal damage – defence of lawful excuse’, </w:t>
      </w:r>
      <w:r w:rsidRPr="6A4F7AAE" w:rsidR="6A4F7AAE">
        <w:rPr>
          <w:rFonts w:ascii="Arial" w:hAnsi="Arial" w:eastAsia="Arial" w:cs="Arial"/>
          <w:b w:val="0"/>
          <w:bCs w:val="0"/>
          <w:i w:val="1"/>
          <w:iCs w:val="1"/>
          <w:caps w:val="0"/>
          <w:smallCaps w:val="0"/>
          <w:noProof w:val="0"/>
          <w:color w:val="3A3A3A"/>
          <w:sz w:val="24"/>
          <w:szCs w:val="24"/>
          <w:lang w:val="en-GB"/>
        </w:rPr>
        <w:t>Ecclesiastical law journal</w:t>
      </w:r>
      <w:r w:rsidRPr="6A4F7AAE" w:rsidR="6A4F7AAE">
        <w:rPr>
          <w:rFonts w:ascii="Arial" w:hAnsi="Arial" w:eastAsia="Arial" w:cs="Arial"/>
          <w:b w:val="0"/>
          <w:bCs w:val="0"/>
          <w:i w:val="0"/>
          <w:iCs w:val="0"/>
          <w:caps w:val="0"/>
          <w:smallCaps w:val="0"/>
          <w:noProof w:val="0"/>
          <w:color w:val="3A3A3A"/>
          <w:sz w:val="24"/>
          <w:szCs w:val="24"/>
          <w:lang w:val="en-GB"/>
        </w:rPr>
        <w:t>, 20(2), pp. 246–247. Available at: https://doi.org/10.1017/S0956618X18000303.</w:t>
      </w:r>
    </w:p>
    <w:p w:rsidR="003C4277" w:rsidP="003C4277" w:rsidRDefault="003C4277" w14:paraId="195B90EB" w14:textId="7BA51D03">
      <w:r w:rsidR="6A4F7AAE">
        <w:rPr/>
        <w:t>Chisholm, N., (2021)</w:t>
      </w:r>
      <w:r w:rsidRPr="6A4F7AAE" w:rsidR="6A4F7AAE">
        <w:rPr>
          <w:rFonts w:ascii="Arial" w:hAnsi="Arial" w:eastAsia="Arial" w:cs="Arial"/>
          <w:b w:val="0"/>
          <w:bCs w:val="0"/>
          <w:i w:val="1"/>
          <w:iCs w:val="1"/>
        </w:rPr>
        <w:t xml:space="preserve"> English Law of Non-Fatal Offences Against the Person: Outline and Case Summaries</w:t>
      </w:r>
      <w:r w:rsidR="6A4F7AAE">
        <w:rPr/>
        <w:t xml:space="preserve">. Available at </w:t>
      </w:r>
      <w:hyperlink r:id="R7c61d69e3dfb4b6a">
        <w:r w:rsidRPr="6A4F7AAE" w:rsidR="6A4F7AAE">
          <w:rPr>
            <w:rStyle w:val="Hyperlink"/>
          </w:rPr>
          <w:t>https://papers.ssrn.com/sol3/papers.cfm?abstract_id=3771131</w:t>
        </w:r>
      </w:hyperlink>
      <w:r w:rsidR="6A4F7AAE">
        <w:rPr/>
        <w:t xml:space="preserve"> Accessed in January 2023</w:t>
      </w:r>
    </w:p>
    <w:p w:rsidR="6A4F7AAE" w:rsidP="6A4F7AAE" w:rsidRDefault="6A4F7AAE" w14:paraId="697D58EA" w14:textId="57DC7815">
      <w:pPr>
        <w:pStyle w:val="Normal"/>
        <w:rPr>
          <w:rFonts w:ascii="Arial" w:hAnsi="Arial" w:eastAsia="Arial" w:cs="Arial"/>
          <w:noProof w:val="0"/>
          <w:sz w:val="24"/>
          <w:szCs w:val="24"/>
          <w:lang w:val="en-GB"/>
        </w:rPr>
      </w:pPr>
      <w:r w:rsidRPr="6A4F7AAE" w:rsidR="6A4F7AAE">
        <w:rPr>
          <w:rFonts w:ascii="Arial" w:hAnsi="Arial" w:eastAsia="Arial" w:cs="Arial"/>
          <w:b w:val="0"/>
          <w:bCs w:val="0"/>
          <w:i w:val="1"/>
          <w:iCs w:val="1"/>
          <w:caps w:val="0"/>
          <w:smallCaps w:val="0"/>
          <w:noProof w:val="0"/>
          <w:color w:val="3A3A3A"/>
          <w:sz w:val="24"/>
          <w:szCs w:val="24"/>
          <w:lang w:val="en-GB"/>
        </w:rPr>
        <w:t>Criminal Law: Text, Cases, &amp; Materials</w:t>
      </w:r>
      <w:r w:rsidRPr="6A4F7AAE" w:rsidR="6A4F7AAE">
        <w:rPr>
          <w:rFonts w:ascii="Arial" w:hAnsi="Arial" w:eastAsia="Arial" w:cs="Arial"/>
          <w:b w:val="0"/>
          <w:bCs w:val="0"/>
          <w:i w:val="0"/>
          <w:iCs w:val="0"/>
          <w:caps w:val="0"/>
          <w:smallCaps w:val="0"/>
          <w:noProof w:val="0"/>
          <w:color w:val="3A3A3A"/>
          <w:sz w:val="24"/>
          <w:szCs w:val="24"/>
          <w:lang w:val="en-GB"/>
        </w:rPr>
        <w:t xml:space="preserve"> (2022). Oxford University Press</w:t>
      </w:r>
    </w:p>
    <w:p w:rsidR="003C4277" w:rsidP="6A4F7AAE" w:rsidRDefault="003C4277" w14:paraId="68D347E2" w14:textId="033A6E06">
      <w:pPr>
        <w:pStyle w:val="Normal"/>
        <w:rPr>
          <w:rFonts w:ascii="Arial" w:hAnsi="Arial" w:eastAsia="Arial" w:cs="Arial"/>
          <w:noProof w:val="0"/>
          <w:sz w:val="24"/>
          <w:szCs w:val="24"/>
          <w:lang w:val="en-GB"/>
        </w:rPr>
      </w:pPr>
      <w:r w:rsidR="6A4F7AAE">
        <w:rPr/>
        <w:t xml:space="preserve">Ciobanu, L., (2016) An Important Issue under Criminal Law. On Criminal Damage. </w:t>
      </w:r>
      <w:r w:rsidRPr="6A4F7AAE" w:rsidR="6A4F7AAE">
        <w:rPr>
          <w:rFonts w:ascii="Arial" w:hAnsi="Arial" w:eastAsia="Arial" w:cs="Arial"/>
          <w:b w:val="0"/>
          <w:bCs w:val="0"/>
          <w:i w:val="1"/>
          <w:iCs w:val="1"/>
        </w:rPr>
        <w:t>Pandectele</w:t>
      </w:r>
      <w:r w:rsidRPr="6A4F7AAE" w:rsidR="6A4F7AAE">
        <w:rPr>
          <w:rFonts w:ascii="Arial" w:hAnsi="Arial" w:eastAsia="Arial" w:cs="Arial"/>
          <w:b w:val="0"/>
          <w:bCs w:val="0"/>
          <w:i w:val="1"/>
          <w:iCs w:val="1"/>
        </w:rPr>
        <w:t xml:space="preserve"> Romane</w:t>
      </w:r>
      <w:r w:rsidR="6A4F7AAE">
        <w:rPr/>
        <w:t xml:space="preserve">, p.117.  </w:t>
      </w:r>
      <w:r w:rsidRPr="6A4F7AAE" w:rsidR="6A4F7AAE">
        <w:rPr>
          <w:rFonts w:ascii="Arial" w:hAnsi="Arial" w:eastAsia="Arial" w:cs="Arial"/>
          <w:sz w:val="24"/>
          <w:szCs w:val="24"/>
        </w:rPr>
        <w:t xml:space="preserve"> (Accessed on Moodle under </w:t>
      </w:r>
      <w:r w:rsidRPr="6A4F7AAE" w:rsidR="6A4F7AAE">
        <w:rPr>
          <w:rFonts w:ascii="Arial" w:hAnsi="Arial" w:eastAsia="Arial" w:cs="Arial"/>
          <w:b w:val="0"/>
          <w:bCs w:val="0"/>
          <w:i w:val="0"/>
          <w:iCs w:val="0"/>
          <w:caps w:val="0"/>
          <w:smallCaps w:val="0"/>
          <w:noProof w:val="0"/>
          <w:color w:val="3A3A3A"/>
          <w:sz w:val="24"/>
          <w:szCs w:val="24"/>
          <w:lang w:val="en-GB"/>
        </w:rPr>
        <w:t xml:space="preserve">Ciobanu, L. (2016) ‘O PROBLEMA IMPORTANTA DE DREPT PENAL [1] DESPRE DELICTUL DE DISTRUGERE’, </w:t>
      </w:r>
      <w:r w:rsidRPr="6A4F7AAE" w:rsidR="6A4F7AAE">
        <w:rPr>
          <w:rFonts w:ascii="Arial" w:hAnsi="Arial" w:eastAsia="Arial" w:cs="Arial"/>
          <w:b w:val="0"/>
          <w:bCs w:val="0"/>
          <w:i w:val="1"/>
          <w:iCs w:val="1"/>
          <w:caps w:val="0"/>
          <w:smallCaps w:val="0"/>
          <w:noProof w:val="0"/>
          <w:color w:val="3A3A3A"/>
          <w:sz w:val="24"/>
          <w:szCs w:val="24"/>
          <w:lang w:val="en-GB"/>
        </w:rPr>
        <w:t>Pandectele</w:t>
      </w:r>
      <w:r w:rsidRPr="6A4F7AAE" w:rsidR="6A4F7AAE">
        <w:rPr>
          <w:rFonts w:ascii="Arial" w:hAnsi="Arial" w:eastAsia="Arial" w:cs="Arial"/>
          <w:b w:val="0"/>
          <w:bCs w:val="0"/>
          <w:i w:val="1"/>
          <w:iCs w:val="1"/>
          <w:caps w:val="0"/>
          <w:smallCaps w:val="0"/>
          <w:noProof w:val="0"/>
          <w:color w:val="3A3A3A"/>
          <w:sz w:val="24"/>
          <w:szCs w:val="24"/>
          <w:lang w:val="en-GB"/>
        </w:rPr>
        <w:t xml:space="preserve"> </w:t>
      </w:r>
      <w:r w:rsidRPr="6A4F7AAE" w:rsidR="6A4F7AAE">
        <w:rPr>
          <w:rFonts w:ascii="Arial" w:hAnsi="Arial" w:eastAsia="Arial" w:cs="Arial"/>
          <w:b w:val="0"/>
          <w:bCs w:val="0"/>
          <w:i w:val="1"/>
          <w:iCs w:val="1"/>
          <w:caps w:val="0"/>
          <w:smallCaps w:val="0"/>
          <w:noProof w:val="0"/>
          <w:color w:val="3A3A3A"/>
          <w:sz w:val="24"/>
          <w:szCs w:val="24"/>
          <w:lang w:val="en-GB"/>
        </w:rPr>
        <w:t>române</w:t>
      </w:r>
      <w:r w:rsidRPr="6A4F7AAE" w:rsidR="6A4F7AAE">
        <w:rPr>
          <w:rFonts w:ascii="Arial" w:hAnsi="Arial" w:eastAsia="Arial" w:cs="Arial"/>
          <w:b w:val="0"/>
          <w:bCs w:val="0"/>
          <w:i w:val="0"/>
          <w:iCs w:val="0"/>
          <w:caps w:val="0"/>
          <w:smallCaps w:val="0"/>
          <w:noProof w:val="0"/>
          <w:color w:val="3A3A3A"/>
          <w:sz w:val="24"/>
          <w:szCs w:val="24"/>
          <w:lang w:val="en-GB"/>
        </w:rPr>
        <w:t>, (10), p. 117)</w:t>
      </w:r>
    </w:p>
    <w:p w:rsidR="6A4F7AAE" w:rsidRDefault="6A4F7AAE" w14:paraId="29001044" w14:textId="1741CF9F">
      <w:r w:rsidR="6A4F7AAE">
        <w:rPr/>
        <w:t xml:space="preserve">Dickens, G.L. and Sugarman, P., 2017. Fire Setting (arson) and Criminal Damage. </w:t>
      </w:r>
      <w:r w:rsidRPr="6A4F7AAE" w:rsidR="6A4F7AAE">
        <w:rPr>
          <w:rFonts w:ascii="Arial" w:hAnsi="Arial" w:eastAsia="Arial" w:cs="Arial"/>
          <w:b w:val="0"/>
          <w:bCs w:val="0"/>
          <w:i w:val="1"/>
          <w:iCs w:val="1"/>
        </w:rPr>
        <w:t xml:space="preserve">In Forensic Psychiatry </w:t>
      </w:r>
      <w:r w:rsidR="6A4F7AAE">
        <w:rPr/>
        <w:t>(pp. 341-346). CRC Press.</w:t>
      </w:r>
    </w:p>
    <w:p w:rsidR="6A4F7AAE" w:rsidP="6A4F7AAE" w:rsidRDefault="6A4F7AAE" w14:paraId="31A480AE" w14:textId="4A6B7536">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6A4F7AAE" w:rsidR="6A4F7AAE">
        <w:rPr>
          <w:rFonts w:ascii="Arial" w:hAnsi="Arial" w:eastAsia="Arial" w:cs="Arial"/>
          <w:b w:val="0"/>
          <w:bCs w:val="0"/>
          <w:i w:val="0"/>
          <w:iCs w:val="0"/>
          <w:caps w:val="0"/>
          <w:smallCaps w:val="0"/>
          <w:noProof w:val="0"/>
          <w:color w:val="3A3A3A"/>
          <w:sz w:val="24"/>
          <w:szCs w:val="24"/>
          <w:lang w:val="en-GB"/>
        </w:rPr>
        <w:t xml:space="preserve">Dyson, M. (2022) </w:t>
      </w:r>
      <w:r w:rsidRPr="6A4F7AAE" w:rsidR="6A4F7AAE">
        <w:rPr>
          <w:rFonts w:ascii="Arial" w:hAnsi="Arial" w:eastAsia="Arial" w:cs="Arial"/>
          <w:b w:val="0"/>
          <w:bCs w:val="0"/>
          <w:i w:val="1"/>
          <w:iCs w:val="1"/>
          <w:caps w:val="0"/>
          <w:smallCaps w:val="0"/>
          <w:noProof w:val="0"/>
          <w:color w:val="3A3A3A"/>
          <w:sz w:val="24"/>
          <w:szCs w:val="24"/>
          <w:lang w:val="en-GB"/>
        </w:rPr>
        <w:t>Blackstone’s statutes on criminal law</w:t>
      </w:r>
      <w:r w:rsidRPr="6A4F7AAE" w:rsidR="6A4F7AAE">
        <w:rPr>
          <w:rFonts w:ascii="Arial" w:hAnsi="Arial" w:eastAsia="Arial" w:cs="Arial"/>
          <w:b w:val="0"/>
          <w:bCs w:val="0"/>
          <w:i w:val="0"/>
          <w:iCs w:val="0"/>
          <w:caps w:val="0"/>
          <w:smallCaps w:val="0"/>
          <w:noProof w:val="0"/>
          <w:color w:val="3A3A3A"/>
          <w:sz w:val="24"/>
          <w:szCs w:val="24"/>
          <w:lang w:val="en-GB"/>
        </w:rPr>
        <w:t>. 32nd edition. Edited by M. Dyson. Oxford: Oxford University Press</w:t>
      </w:r>
    </w:p>
    <w:p w:rsidR="6A4F7AAE" w:rsidRDefault="6A4F7AAE" w14:paraId="02C4502B" w14:textId="49881051">
      <w:r w:rsidR="6A4F7AAE">
        <w:rPr/>
        <w:t xml:space="preserve">Gaffney-Rhys, R., (2017). From the Offences Against the Person Act 1861 to the Serious Crime Act 2015-the development of the law relating to female genital mutilation in England and Wales. </w:t>
      </w:r>
      <w:r w:rsidRPr="6A4F7AAE" w:rsidR="6A4F7AAE">
        <w:rPr>
          <w:rFonts w:ascii="Arial" w:hAnsi="Arial" w:eastAsia="Arial" w:cs="Arial"/>
          <w:b w:val="0"/>
          <w:bCs w:val="0"/>
          <w:i w:val="1"/>
          <w:iCs w:val="1"/>
        </w:rPr>
        <w:t>Journal of Social Welfare and Family Law</w:t>
      </w:r>
      <w:r w:rsidR="6A4F7AAE">
        <w:rPr/>
        <w:t>, 39(4), pp.417-434.</w:t>
      </w:r>
    </w:p>
    <w:p w:rsidRPr="00575C6A" w:rsidR="003C4277" w:rsidP="003C4277" w:rsidRDefault="003C4277" w14:paraId="53006D1E" w14:textId="33FAF8A5">
      <w:r w:rsidR="6A4F7AAE">
        <w:rPr/>
        <w:t>Kimu</w:t>
      </w:r>
      <w:r w:rsidR="6A4F7AAE">
        <w:rPr/>
        <w:t>, K.Z., (2020)</w:t>
      </w:r>
      <w:r w:rsidRPr="6A4F7AAE" w:rsidR="6A4F7AAE">
        <w:rPr>
          <w:rFonts w:ascii="Arial" w:hAnsi="Arial" w:eastAsia="Arial" w:cs="Arial"/>
          <w:b w:val="0"/>
          <w:bCs w:val="0"/>
          <w:i w:val="1"/>
          <w:iCs w:val="1"/>
        </w:rPr>
        <w:t xml:space="preserve"> International Journal of Law</w:t>
      </w:r>
      <w:r w:rsidR="6A4F7AAE">
        <w:rPr/>
        <w:t>,</w:t>
      </w:r>
      <w:r w:rsidRPr="6A4F7AAE" w:rsidR="6A4F7AAE">
        <w:rPr>
          <w:rFonts w:ascii="Arial" w:hAnsi="Arial" w:eastAsia="Arial" w:cs="Arial"/>
          <w:b w:val="0"/>
          <w:bCs w:val="0"/>
          <w:i w:val="1"/>
          <w:iCs w:val="1"/>
        </w:rPr>
        <w:t xml:space="preserve"> Humanities &amp; Social Science</w:t>
      </w:r>
      <w:r w:rsidR="6A4F7AAE">
        <w:rPr/>
        <w:t>.</w:t>
      </w:r>
    </w:p>
    <w:p w:rsidR="6A4F7AAE" w:rsidRDefault="6A4F7AAE" w14:paraId="3A2E1AE1" w14:textId="26F735CE">
      <w:r w:rsidR="6A4F7AAE">
        <w:rPr/>
        <w:t>Levi, M., 2016. Trends and costs of fraud.</w:t>
      </w:r>
      <w:r w:rsidRPr="6A4F7AAE" w:rsidR="6A4F7AAE">
        <w:rPr>
          <w:rFonts w:ascii="Arial" w:hAnsi="Arial" w:eastAsia="Arial" w:cs="Arial"/>
          <w:b w:val="0"/>
          <w:bCs w:val="0"/>
          <w:i w:val="1"/>
          <w:iCs w:val="1"/>
        </w:rPr>
        <w:t xml:space="preserve"> In Fraud</w:t>
      </w:r>
      <w:r w:rsidR="6A4F7AAE">
        <w:rPr/>
        <w:t xml:space="preserve"> (pp. 37-48). Routledge.</w:t>
      </w:r>
    </w:p>
    <w:p w:rsidR="003C4277" w:rsidP="003C4277" w:rsidRDefault="003C4277" w14:paraId="5620459E" w14:textId="12E3BF0A">
      <w:r w:rsidR="6A4F7AAE">
        <w:rPr/>
        <w:t>McCombe</w:t>
      </w:r>
      <w:r w:rsidR="6A4F7AAE">
        <w:rPr/>
        <w:t xml:space="preserve">, C.A., 2017. </w:t>
      </w:r>
      <w:r w:rsidRPr="6A4F7AAE" w:rsidR="6A4F7AAE">
        <w:rPr>
          <w:rFonts w:ascii="Arial" w:hAnsi="Arial" w:eastAsia="Arial" w:cs="Arial"/>
          <w:b w:val="0"/>
          <w:bCs w:val="0"/>
          <w:i w:val="0"/>
          <w:iCs w:val="0"/>
        </w:rPr>
        <w:t>Non-Fatal Offences against the Person: Complexities, Difficulties and Reform</w:t>
      </w:r>
      <w:r w:rsidRPr="6A4F7AAE" w:rsidR="6A4F7AAE">
        <w:rPr>
          <w:rFonts w:ascii="Arial" w:hAnsi="Arial" w:eastAsia="Arial" w:cs="Arial"/>
          <w:b w:val="0"/>
          <w:bCs w:val="0"/>
          <w:i w:val="0"/>
          <w:iCs w:val="0"/>
        </w:rPr>
        <w:t xml:space="preserve">. </w:t>
      </w:r>
      <w:r w:rsidRPr="6A4F7AAE" w:rsidR="6A4F7AAE">
        <w:rPr>
          <w:rFonts w:ascii="Arial" w:hAnsi="Arial" w:eastAsia="Arial" w:cs="Arial"/>
          <w:b w:val="0"/>
          <w:bCs w:val="0"/>
          <w:i w:val="1"/>
          <w:iCs w:val="1"/>
        </w:rPr>
        <w:t>Queen</w:t>
      </w:r>
      <w:r w:rsidRPr="6A4F7AAE" w:rsidR="6A4F7AAE">
        <w:rPr>
          <w:rFonts w:ascii="Arial" w:hAnsi="Arial" w:eastAsia="Arial" w:cs="Arial"/>
          <w:b w:val="0"/>
          <w:bCs w:val="0"/>
          <w:i w:val="1"/>
          <w:iCs w:val="1"/>
        </w:rPr>
        <w:t xml:space="preserve"> M</w:t>
      </w:r>
      <w:r w:rsidRPr="6A4F7AAE" w:rsidR="6A4F7AAE">
        <w:rPr>
          <w:i w:val="1"/>
          <w:iCs w:val="1"/>
        </w:rPr>
        <w:t>ary London Journal</w:t>
      </w:r>
      <w:r w:rsidR="6A4F7AAE">
        <w:rPr/>
        <w:t>, 8, p.71.</w:t>
      </w:r>
    </w:p>
    <w:p w:rsidR="6A4F7AAE" w:rsidP="6A4F7AAE" w:rsidRDefault="6A4F7AAE" w14:paraId="153CDD6D" w14:textId="1EC4CF23">
      <w:pPr>
        <w:pStyle w:val="Normal"/>
        <w:rPr>
          <w:rFonts w:ascii="Arial" w:hAnsi="Arial" w:eastAsia="Arial" w:cs="Arial"/>
          <w:noProof w:val="0"/>
          <w:sz w:val="24"/>
          <w:szCs w:val="24"/>
          <w:lang w:val="en-GB"/>
        </w:rPr>
      </w:pPr>
      <w:r w:rsidRPr="6A4F7AAE" w:rsidR="6A4F7AAE">
        <w:rPr>
          <w:rFonts w:ascii="Arial" w:hAnsi="Arial" w:eastAsia="Arial" w:cs="Arial"/>
          <w:b w:val="0"/>
          <w:bCs w:val="0"/>
          <w:i w:val="0"/>
          <w:iCs w:val="0"/>
          <w:caps w:val="0"/>
          <w:smallCaps w:val="0"/>
          <w:noProof w:val="0"/>
          <w:color w:val="3A3A3A"/>
          <w:sz w:val="24"/>
          <w:szCs w:val="24"/>
          <w:lang w:val="en-GB"/>
        </w:rPr>
        <w:t>Eugenicos</w:t>
      </w:r>
      <w:r w:rsidRPr="6A4F7AAE" w:rsidR="6A4F7AAE">
        <w:rPr>
          <w:rFonts w:ascii="Arial" w:hAnsi="Arial" w:eastAsia="Arial" w:cs="Arial"/>
          <w:b w:val="0"/>
          <w:bCs w:val="0"/>
          <w:i w:val="0"/>
          <w:iCs w:val="0"/>
          <w:caps w:val="0"/>
          <w:smallCaps w:val="0"/>
          <w:noProof w:val="0"/>
          <w:color w:val="3A3A3A"/>
          <w:sz w:val="24"/>
          <w:szCs w:val="24"/>
          <w:lang w:val="en-GB"/>
        </w:rPr>
        <w:t xml:space="preserve">, A.-M. (2017) ‘Should We Reform the Offences Against the Person Act 1861?’, </w:t>
      </w:r>
      <w:r w:rsidRPr="6A4F7AAE" w:rsidR="6A4F7AAE">
        <w:rPr>
          <w:rFonts w:ascii="Arial" w:hAnsi="Arial" w:eastAsia="Arial" w:cs="Arial"/>
          <w:b w:val="0"/>
          <w:bCs w:val="0"/>
          <w:i w:val="1"/>
          <w:iCs w:val="1"/>
          <w:caps w:val="0"/>
          <w:smallCaps w:val="0"/>
          <w:noProof w:val="0"/>
          <w:color w:val="3A3A3A"/>
          <w:sz w:val="24"/>
          <w:szCs w:val="24"/>
          <w:lang w:val="en-GB"/>
        </w:rPr>
        <w:t>Journal of criminal law (Hertford)</w:t>
      </w:r>
      <w:r w:rsidRPr="6A4F7AAE" w:rsidR="6A4F7AAE">
        <w:rPr>
          <w:rFonts w:ascii="Arial" w:hAnsi="Arial" w:eastAsia="Arial" w:cs="Arial"/>
          <w:b w:val="0"/>
          <w:bCs w:val="0"/>
          <w:i w:val="0"/>
          <w:iCs w:val="0"/>
          <w:caps w:val="0"/>
          <w:smallCaps w:val="0"/>
          <w:noProof w:val="0"/>
          <w:color w:val="3A3A3A"/>
          <w:sz w:val="24"/>
          <w:szCs w:val="24"/>
          <w:lang w:val="en-GB"/>
        </w:rPr>
        <w:t>, 81(1), pp. 26–32. Available at</w:t>
      </w:r>
      <w:r w:rsidRPr="6A4F7AAE" w:rsidR="6A4F7AAE">
        <w:rPr>
          <w:rFonts w:ascii="Source Sans Pro" w:hAnsi="Source Sans Pro" w:eastAsia="Source Sans Pro" w:cs="Source Sans Pro"/>
          <w:b w:val="0"/>
          <w:bCs w:val="0"/>
          <w:i w:val="0"/>
          <w:iCs w:val="0"/>
          <w:caps w:val="0"/>
          <w:smallCaps w:val="0"/>
          <w:noProof w:val="0"/>
          <w:color w:val="3A3A3A"/>
          <w:sz w:val="24"/>
          <w:szCs w:val="24"/>
          <w:lang w:val="en-GB"/>
        </w:rPr>
        <w:t xml:space="preserve">: </w:t>
      </w:r>
      <w:hyperlink r:id="Rb9c94c6df4964d84">
        <w:r w:rsidRPr="6A4F7AAE" w:rsidR="6A4F7AAE">
          <w:rPr>
            <w:rStyle w:val="Hyperlink"/>
            <w:rFonts w:ascii="Source Sans Pro" w:hAnsi="Source Sans Pro" w:eastAsia="Source Sans Pro" w:cs="Source Sans Pro"/>
            <w:b w:val="0"/>
            <w:bCs w:val="0"/>
            <w:i w:val="0"/>
            <w:iCs w:val="0"/>
            <w:caps w:val="0"/>
            <w:smallCaps w:val="0"/>
            <w:noProof w:val="0"/>
            <w:sz w:val="24"/>
            <w:szCs w:val="24"/>
            <w:lang w:val="en-GB"/>
          </w:rPr>
          <w:t>https://doi.org/10.1177/0022018316685478</w:t>
        </w:r>
      </w:hyperlink>
      <w:r w:rsidRPr="6A4F7AAE" w:rsidR="6A4F7AAE">
        <w:rPr>
          <w:rFonts w:ascii="Source Sans Pro" w:hAnsi="Source Sans Pro" w:eastAsia="Source Sans Pro" w:cs="Source Sans Pro"/>
          <w:b w:val="0"/>
          <w:bCs w:val="0"/>
          <w:i w:val="0"/>
          <w:iCs w:val="0"/>
          <w:caps w:val="0"/>
          <w:smallCaps w:val="0"/>
          <w:noProof w:val="0"/>
          <w:color w:val="3A3A3A"/>
          <w:sz w:val="24"/>
          <w:szCs w:val="24"/>
          <w:lang w:val="en-GB"/>
        </w:rPr>
        <w:t>.</w:t>
      </w:r>
    </w:p>
    <w:p w:rsidR="6A4F7AAE" w:rsidP="6A4F7AAE" w:rsidRDefault="6A4F7AAE" w14:paraId="42D860B5" w14:textId="5D1CD3DF">
      <w:pPr>
        <w:pStyle w:val="Normal"/>
        <w:rPr>
          <w:rFonts w:ascii="Arial" w:hAnsi="Arial" w:eastAsia="Arial" w:cs="Arial"/>
          <w:noProof w:val="0"/>
          <w:sz w:val="24"/>
          <w:szCs w:val="24"/>
          <w:lang w:val="en-GB"/>
        </w:rPr>
      </w:pPr>
      <w:r w:rsidRPr="6A4F7AAE" w:rsidR="6A4F7AAE">
        <w:rPr>
          <w:rFonts w:ascii="Arial" w:hAnsi="Arial" w:eastAsia="Arial" w:cs="Arial"/>
          <w:b w:val="0"/>
          <w:bCs w:val="0"/>
          <w:i w:val="0"/>
          <w:iCs w:val="0"/>
          <w:caps w:val="0"/>
          <w:smallCaps w:val="0"/>
          <w:noProof w:val="0"/>
          <w:color w:val="3A3A3A"/>
          <w:sz w:val="24"/>
          <w:szCs w:val="24"/>
          <w:lang w:val="en-GB"/>
        </w:rPr>
        <w:t xml:space="preserve">Card, R., English, J. and English, J. (Jack) (2017) </w:t>
      </w:r>
      <w:r w:rsidRPr="6A4F7AAE" w:rsidR="6A4F7AAE">
        <w:rPr>
          <w:rFonts w:ascii="Arial" w:hAnsi="Arial" w:eastAsia="Arial" w:cs="Arial"/>
          <w:b w:val="0"/>
          <w:bCs w:val="0"/>
          <w:i w:val="1"/>
          <w:iCs w:val="1"/>
          <w:caps w:val="0"/>
          <w:smallCaps w:val="0"/>
          <w:noProof w:val="0"/>
          <w:color w:val="3A3A3A"/>
          <w:sz w:val="24"/>
          <w:szCs w:val="24"/>
          <w:lang w:val="en-GB"/>
        </w:rPr>
        <w:t>Police law</w:t>
      </w:r>
      <w:r w:rsidRPr="6A4F7AAE" w:rsidR="6A4F7AAE">
        <w:rPr>
          <w:rFonts w:ascii="Arial" w:hAnsi="Arial" w:eastAsia="Arial" w:cs="Arial"/>
          <w:b w:val="0"/>
          <w:bCs w:val="0"/>
          <w:i w:val="0"/>
          <w:iCs w:val="0"/>
          <w:caps w:val="0"/>
          <w:smallCaps w:val="0"/>
          <w:noProof w:val="0"/>
          <w:color w:val="3A3A3A"/>
          <w:sz w:val="24"/>
          <w:szCs w:val="24"/>
          <w:lang w:val="en-GB"/>
        </w:rPr>
        <w:t>. Fifteenth edition. Oxford: Oxford University Press.</w:t>
      </w:r>
    </w:p>
    <w:p w:rsidR="6A4F7AAE" w:rsidP="6A4F7AAE" w:rsidRDefault="6A4F7AAE" w14:paraId="599B569C" w14:textId="64CBD9E5">
      <w:pPr>
        <w:pStyle w:val="Normal"/>
        <w:rPr>
          <w:rFonts w:ascii="Arial" w:hAnsi="Arial" w:eastAsia="Arial" w:cs="Arial"/>
          <w:b w:val="0"/>
          <w:bCs w:val="0"/>
          <w:i w:val="0"/>
          <w:iCs w:val="0"/>
          <w:caps w:val="0"/>
          <w:smallCaps w:val="0"/>
          <w:noProof w:val="0"/>
          <w:color w:val="3A3A3A"/>
          <w:sz w:val="24"/>
          <w:szCs w:val="24"/>
          <w:lang w:val="en-GB"/>
        </w:rPr>
      </w:pPr>
    </w:p>
    <w:p w:rsidR="6A4F7AAE" w:rsidP="6A4F7AAE" w:rsidRDefault="6A4F7AAE" w14:paraId="25BFC157" w14:textId="2E1F0B1C">
      <w:pPr>
        <w:pStyle w:val="Normal"/>
        <w:rPr>
          <w:rFonts w:ascii="Source Sans Pro" w:hAnsi="Source Sans Pro" w:eastAsia="Source Sans Pro" w:cs="Source Sans Pro"/>
          <w:b w:val="0"/>
          <w:bCs w:val="0"/>
          <w:i w:val="0"/>
          <w:iCs w:val="0"/>
          <w:caps w:val="0"/>
          <w:smallCaps w:val="0"/>
          <w:noProof w:val="0"/>
          <w:color w:val="3A3A3A"/>
          <w:sz w:val="24"/>
          <w:szCs w:val="24"/>
          <w:lang w:val="en-GB"/>
        </w:rPr>
      </w:pPr>
    </w:p>
    <w:sectPr w:rsidR="003C4277">
      <w:footerReference w:type="default" r:id="rId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43A5" w:rsidRDefault="006343A5" w14:paraId="43A52FFD" w14:textId="77777777">
      <w:pPr>
        <w:spacing w:after="0" w:line="240" w:lineRule="auto"/>
      </w:pPr>
      <w:r>
        <w:separator/>
      </w:r>
    </w:p>
  </w:endnote>
  <w:endnote w:type="continuationSeparator" w:id="0">
    <w:p w:rsidR="006343A5" w:rsidRDefault="006343A5" w14:paraId="254DA8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5559364"/>
      <w:docPartObj>
        <w:docPartGallery w:val="Page Numbers (Bottom of Page)"/>
        <w:docPartUnique/>
      </w:docPartObj>
    </w:sdtPr>
    <w:sdtEndPr>
      <w:rPr>
        <w:noProof/>
      </w:rPr>
    </w:sdtEndPr>
    <w:sdtContent>
      <w:p w:rsidR="00ED2910" w:rsidRDefault="00ED2910" w14:paraId="16E60460" w14:textId="3831627D">
        <w:pPr>
          <w:pStyle w:val="Footer"/>
          <w:jc w:val="right"/>
        </w:pPr>
        <w:r>
          <w:fldChar w:fldCharType="begin"/>
        </w:r>
        <w:r>
          <w:instrText xml:space="preserve"> PAGE   \* MERGEFORMAT </w:instrText>
        </w:r>
        <w:r>
          <w:fldChar w:fldCharType="separate"/>
        </w:r>
        <w:r w:rsidR="00BE78F8">
          <w:rPr>
            <w:noProof/>
          </w:rPr>
          <w:t>9</w:t>
        </w:r>
        <w:r>
          <w:rPr>
            <w:noProof/>
          </w:rPr>
          <w:fldChar w:fldCharType="end"/>
        </w:r>
      </w:p>
    </w:sdtContent>
  </w:sdt>
  <w:p w:rsidR="00ED2910" w:rsidRDefault="00ED2910" w14:paraId="40BA0C5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43A5" w:rsidRDefault="006343A5" w14:paraId="4F3549D9" w14:textId="77777777">
      <w:pPr>
        <w:spacing w:after="0" w:line="240" w:lineRule="auto"/>
      </w:pPr>
      <w:r>
        <w:separator/>
      </w:r>
    </w:p>
  </w:footnote>
  <w:footnote w:type="continuationSeparator" w:id="0">
    <w:p w:rsidR="006343A5" w:rsidRDefault="006343A5" w14:paraId="356DCDD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LYwNDM3szQ3MjI3MzBQ0lEKTi0uzszPAykwqQUAGXgftiwAAAA="/>
    <w:docVar w:name="dgnword-docGUID" w:val="{DD4B6C33-7776-4486-9855-C7C40E6EDE63}"/>
    <w:docVar w:name="dgnword-eventsink" w:val="1931716700400"/>
  </w:docVars>
  <w:rsids>
    <w:rsidRoot w:val="000E7439"/>
    <w:rsid w:val="000B2D02"/>
    <w:rsid w:val="000E7439"/>
    <w:rsid w:val="00112683"/>
    <w:rsid w:val="00192806"/>
    <w:rsid w:val="00196562"/>
    <w:rsid w:val="001A6AF3"/>
    <w:rsid w:val="001E6A3C"/>
    <w:rsid w:val="002E5061"/>
    <w:rsid w:val="00316C67"/>
    <w:rsid w:val="00353932"/>
    <w:rsid w:val="003B4440"/>
    <w:rsid w:val="003C4277"/>
    <w:rsid w:val="003F3DD9"/>
    <w:rsid w:val="00402692"/>
    <w:rsid w:val="00410D04"/>
    <w:rsid w:val="00425800"/>
    <w:rsid w:val="00427462"/>
    <w:rsid w:val="00443BF7"/>
    <w:rsid w:val="004576F7"/>
    <w:rsid w:val="004E61D8"/>
    <w:rsid w:val="005022C1"/>
    <w:rsid w:val="00540C76"/>
    <w:rsid w:val="00575C6A"/>
    <w:rsid w:val="0058083F"/>
    <w:rsid w:val="0058115D"/>
    <w:rsid w:val="00583C9E"/>
    <w:rsid w:val="005B08DD"/>
    <w:rsid w:val="005B3359"/>
    <w:rsid w:val="006343A5"/>
    <w:rsid w:val="006459AB"/>
    <w:rsid w:val="006A0853"/>
    <w:rsid w:val="006F4038"/>
    <w:rsid w:val="00705818"/>
    <w:rsid w:val="0076314C"/>
    <w:rsid w:val="00785D14"/>
    <w:rsid w:val="00786D61"/>
    <w:rsid w:val="00796D76"/>
    <w:rsid w:val="007E7A13"/>
    <w:rsid w:val="00873FB8"/>
    <w:rsid w:val="00935254"/>
    <w:rsid w:val="0099284D"/>
    <w:rsid w:val="009F6D7B"/>
    <w:rsid w:val="00AC1DCD"/>
    <w:rsid w:val="00AF1CBC"/>
    <w:rsid w:val="00B10F7C"/>
    <w:rsid w:val="00B46E3F"/>
    <w:rsid w:val="00BB5A88"/>
    <w:rsid w:val="00BC02A8"/>
    <w:rsid w:val="00BC64FE"/>
    <w:rsid w:val="00BE78F8"/>
    <w:rsid w:val="00C240B9"/>
    <w:rsid w:val="00CA080E"/>
    <w:rsid w:val="00CA5628"/>
    <w:rsid w:val="00CC1076"/>
    <w:rsid w:val="00CE58D2"/>
    <w:rsid w:val="00D60EDA"/>
    <w:rsid w:val="00D75AA5"/>
    <w:rsid w:val="00D85AEB"/>
    <w:rsid w:val="00E30704"/>
    <w:rsid w:val="00E470E5"/>
    <w:rsid w:val="00ED2910"/>
    <w:rsid w:val="00F4321A"/>
    <w:rsid w:val="00F451F7"/>
    <w:rsid w:val="00F53D73"/>
    <w:rsid w:val="00F95656"/>
    <w:rsid w:val="6A4F7A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pBdr>
        <w:bottom w:val="single" w:color="4F81BD" w:sz="8" w:space="4"/>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styleId="HeaderChar" w:customStyle="1">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styleId="FooterChar" w:customStyle="1">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papers.ssrn.com/sol3/papers.cfm?abstract_id=3771131" TargetMode="External" Id="R7c61d69e3dfb4b6a" /><Relationship Type="http://schemas.openxmlformats.org/officeDocument/2006/relationships/hyperlink" Target="https://doi.org/10.1177/0022018316685478" TargetMode="External" Id="Rb9c94c6df4964d84" /><Relationship Type="http://schemas.openxmlformats.org/officeDocument/2006/relationships/glossaryDocument" Target="glossary/document.xml" Id="Rb964588b48a042c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fa0cc79-15b9-485d-b084-7f165d9bc9d9}"/>
      </w:docPartPr>
      <w:docPartBody>
        <w:p w14:paraId="780D344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48059-D801-4204-9F02-7339CEAF1B0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Stefania Matei-Avirvarii</lastModifiedBy>
  <dcterms:created xsi:type="dcterms:W3CDTF">2023-01-11T09:24:00.0000000Z</dcterms:created>
  <dcterms:modified xsi:type="dcterms:W3CDTF">2023-01-13T21:10:57.1375394Z</dcterms:modified>
</coreProperties>
</file>