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668234" w14:textId="77777777" w:rsidR="0082600D" w:rsidRPr="00E66E14" w:rsidRDefault="00D21689" w:rsidP="00E66E14">
      <w:pPr>
        <w:spacing w:line="276" w:lineRule="auto"/>
        <w:rPr>
          <w:rFonts w:ascii="Arial" w:hAnsi="Arial" w:cs="Arial"/>
          <w:sz w:val="22"/>
          <w:szCs w:val="22"/>
        </w:rPr>
      </w:pPr>
      <w:r w:rsidRPr="00E66E14">
        <w:rPr>
          <w:rFonts w:ascii="Arial" w:hAnsi="Arial" w:cs="Arial"/>
          <w:sz w:val="22"/>
          <w:szCs w:val="22"/>
        </w:rPr>
        <w:t>SOURCE TRACKING TABLE:</w:t>
      </w:r>
    </w:p>
    <w:p w14:paraId="3369F61D" w14:textId="6E361BD1" w:rsidR="0082600D" w:rsidRPr="00E66E14" w:rsidRDefault="000F711A" w:rsidP="00E66E14">
      <w:pPr>
        <w:spacing w:line="276" w:lineRule="auto"/>
        <w:rPr>
          <w:rFonts w:ascii="Arial" w:hAnsi="Arial" w:cs="Arial"/>
          <w:sz w:val="22"/>
          <w:szCs w:val="22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1. Seifert et al. (2020)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A double burden of exclusion?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Older adults who lacked internet access felt completely invisible and forgotten by the healthcare system and the state during the rapid shift to telehealth in lockdowns.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Psychosocial impact, social isolation, anxiety, double burden, lack of visibility.</w:t>
      </w:r>
    </w:p>
    <w:p w14:paraId="3E5C23C3" w14:textId="333AB4C8" w:rsidR="0082600D" w:rsidRPr="00E66E14" w:rsidRDefault="000F711A" w:rsidP="00E66E14">
      <w:pPr>
        <w:spacing w:line="276" w:lineRule="auto"/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2. </w:t>
      </w:r>
      <w:proofErr w:type="spellStart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Honeyman</w:t>
      </w:r>
      <w:proofErr w:type="spellEnd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et al. (2020)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Digital technology and health inequalities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The accelerated implementation of digital-first policies inherently generates and deepens health inequalities if robust non-digital pathways are removed simultaneously.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Health inequalities, UK policy, NHS infrastructure, rapid digitisation, systemic barriers.</w:t>
      </w:r>
    </w:p>
    <w:p w14:paraId="06A0D69E" w14:textId="5D3E1F11" w:rsidR="003D5931" w:rsidRPr="00E66E14" w:rsidRDefault="000F711A" w:rsidP="00E66E14">
      <w:pPr>
        <w:spacing w:line="276" w:lineRule="auto"/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</w:r>
      <w:r w:rsidR="0082600D"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3. </w:t>
      </w:r>
      <w:proofErr w:type="spellStart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Vaportzis</w:t>
      </w:r>
      <w:proofErr w:type="spellEnd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et al. (2017)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Older adults perceptions of technology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Physical barriers (failing eyesight, loss of tactile sensitivity) and cognitive overload (too many steps to complete a task) severely deter older adults from adopting digital health tools.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Design exclusion, eHealth literacy, physical barriers, cognitive load, user interface frustration.</w:t>
      </w:r>
    </w:p>
    <w:p w14:paraId="613CE1AD" w14:textId="1178AAD3" w:rsidR="003D5931" w:rsidRPr="00E66E14" w:rsidRDefault="000F711A" w:rsidP="00E66E14">
      <w:pPr>
        <w:spacing w:line="276" w:lineRule="auto"/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</w:r>
      <w:r w:rsidR="003D5931"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4. Age UK (2023)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Offline and left behind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The ongoing financial burden of purchasing modern devices and paying monthly broadband subscriptions ("data poverty") prevents millions of pensioners from accessing digital NHS services.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Material access, financial barriers, data poverty, fixed incomes, national statistics.</w:t>
      </w:r>
    </w:p>
    <w:p w14:paraId="686A507B" w14:textId="7CF9AD42" w:rsidR="003D5931" w:rsidRPr="00E66E14" w:rsidRDefault="000F711A" w:rsidP="00E66E14">
      <w:pPr>
        <w:spacing w:line="276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</w:r>
      <w:r w:rsidR="003D5931"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5. </w:t>
      </w:r>
      <w:proofErr w:type="spellStart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McAvey</w:t>
      </w:r>
      <w:proofErr w:type="spellEnd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et al. (2021)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The implications of digital health for the patient-provider relationship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Elderly patients heavily value the non-verbal reassurance, empathy, and trust built during face-to-face care, which is lost in transactional, screen-based e-consultations.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Loss of autonomy, doctor-patient trust, telehealth transaction, therapeutic relationship.</w:t>
      </w:r>
    </w:p>
    <w:p w14:paraId="4A49E85D" w14:textId="51CE9367" w:rsidR="001041C1" w:rsidRPr="00E66E14" w:rsidRDefault="000F711A" w:rsidP="00E66E14">
      <w:pPr>
        <w:spacing w:line="276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6. Borg et al. (2019)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Digital inclusion and health communication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Modern digital health communication assumes a baseline of connectivity and technical literacy that is statistically absent in older, rural, and lower-income demographics.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Health communication, baseline connectivity, geographical divide, health literacy.</w:t>
      </w:r>
    </w:p>
    <w:p w14:paraId="6DD704A4" w14:textId="6675D739" w:rsidR="001041C1" w:rsidRPr="00E66E14" w:rsidRDefault="000F711A" w:rsidP="00E66E14">
      <w:pPr>
        <w:spacing w:line="276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7. Crawford &amp; </w:t>
      </w:r>
      <w:proofErr w:type="spellStart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Serhal</w:t>
      </w:r>
      <w:proofErr w:type="spellEnd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(2020)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Digital health equity and COVID-19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Innovation without inclusive design directly threatens patient safety, as older adults with low eHealth literacy are more likely to misinterpret digital medical advice.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Health equity, patient safety, inclusive design, misinterpretation of data.</w:t>
      </w:r>
    </w:p>
    <w:p w14:paraId="1900FD3C" w14:textId="26A015EC" w:rsidR="001041C1" w:rsidRPr="00E66E14" w:rsidRDefault="000F711A" w:rsidP="00E66E14">
      <w:pPr>
        <w:spacing w:line="276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8. </w:t>
      </w:r>
      <w:proofErr w:type="spellStart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Heponiemi</w:t>
      </w:r>
      <w:proofErr w:type="spellEnd"/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et al. (2019)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Digital divide in perceived benefits of online health care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Older adults perceive significantly fewer benefits to eHealth than younger cohorts, experiencing higher "technophobia" and anxiety when forced to use it.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Perceived benefits, tech anxiety, technophobia, Technology Acceptance Model (TAM).</w:t>
      </w:r>
    </w:p>
    <w:p w14:paraId="47C1A162" w14:textId="4C24460C" w:rsidR="000F711A" w:rsidRPr="00E66E14" w:rsidRDefault="000F711A" w:rsidP="00E66E14">
      <w:pPr>
        <w:spacing w:line="276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9. Citizens Advice (2020)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Locked out: How the digital divide affects older people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The reliance on digital platforms strips autonomy, frequently forcing older adults to share highly sensitive health data and passwords with relatives or carers just to book an appointment.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Keywords &amp; Codes:</w:t>
      </w:r>
      <w:r w:rsidR="00C03C5E"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Autonomy, privacy, proxy access, dependency, grey literature.</w:t>
      </w:r>
    </w:p>
    <w:p w14:paraId="7F61FC93" w14:textId="378D6DFF" w:rsidR="00D21689" w:rsidRPr="00E66E14" w:rsidRDefault="000F711A" w:rsidP="00E66E14">
      <w:pPr>
        <w:spacing w:line="276" w:lineRule="auto"/>
        <w:rPr>
          <w:rFonts w:ascii="Arial" w:hAnsi="Arial" w:cs="Arial"/>
          <w:sz w:val="22"/>
          <w:szCs w:val="22"/>
        </w:rPr>
      </w:pP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10. Fang et al. (2019) - </w:t>
      </w:r>
      <w:r w:rsidRPr="00E66E14">
        <w:rPr>
          <w:rFonts w:ascii="Arial" w:eastAsia="Times New Roman" w:hAnsi="Arial" w:cs="Arial"/>
          <w:b/>
          <w:bCs/>
          <w:i/>
          <w:iCs/>
          <w:kern w:val="0"/>
          <w:sz w:val="22"/>
          <w:szCs w:val="22"/>
          <w14:ligatures w14:val="none"/>
        </w:rPr>
        <w:t>Exploring privilege in the digital divide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  <w:t>• ​</w:t>
      </w: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Main Findings: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The study coined the phenomenon of "digital resignation," demonstrating that marginalized older adults often simply give up trying to manage their health proactively due to overwhelming technological frustration.</w:t>
      </w:r>
    </w:p>
    <w:p w14:paraId="3C6E51E7" w14:textId="1F098AF3" w:rsidR="00D21689" w:rsidRPr="00E66E14" w:rsidRDefault="00C03C5E" w:rsidP="00E66E14">
      <w:pPr>
        <w:spacing w:line="276" w:lineRule="auto"/>
        <w:rPr>
          <w:rFonts w:ascii="Arial" w:hAnsi="Arial" w:cs="Arial"/>
          <w:sz w:val="22"/>
          <w:szCs w:val="22"/>
        </w:rPr>
      </w:pPr>
      <w:r w:rsidRPr="00E66E14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 xml:space="preserve">Keywords &amp; Codes: </w:t>
      </w:r>
      <w:r w:rsidRPr="00E66E14">
        <w:rPr>
          <w:rFonts w:ascii="Arial" w:eastAsia="Times New Roman" w:hAnsi="Arial" w:cs="Arial"/>
          <w:i/>
          <w:iCs/>
          <w:kern w:val="0"/>
          <w:sz w:val="22"/>
          <w:szCs w:val="22"/>
          <w14:ligatures w14:val="none"/>
        </w:rPr>
        <w:t>Digital resignation, intersecting privilege, giving up, marginalisation.</w:t>
      </w:r>
      <w:r w:rsidRPr="00E66E14">
        <w:rPr>
          <w:rFonts w:ascii="Arial" w:eastAsia="Times New Roman" w:hAnsi="Arial" w:cs="Arial"/>
          <w:kern w:val="0"/>
          <w:sz w:val="22"/>
          <w:szCs w:val="22"/>
          <w14:ligatures w14:val="none"/>
        </w:rPr>
        <w:br/>
      </w:r>
    </w:p>
    <w:sectPr w:rsidR="00D21689" w:rsidRPr="00E66E1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28301F"/>
    <w:multiLevelType w:val="hybridMultilevel"/>
    <w:tmpl w:val="58B241B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0101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689"/>
    <w:rsid w:val="000F711A"/>
    <w:rsid w:val="001041C1"/>
    <w:rsid w:val="00153108"/>
    <w:rsid w:val="003D5931"/>
    <w:rsid w:val="00476D92"/>
    <w:rsid w:val="0082600D"/>
    <w:rsid w:val="00A92751"/>
    <w:rsid w:val="00B848DA"/>
    <w:rsid w:val="00C03C5E"/>
    <w:rsid w:val="00D21689"/>
    <w:rsid w:val="00D4048D"/>
    <w:rsid w:val="00E66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0C47CD"/>
  <w15:chartTrackingRefBased/>
  <w15:docId w15:val="{37BBDC87-D5AE-834F-AC39-ABF4FF39E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16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16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16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16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16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16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16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16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16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16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6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16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16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16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16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16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16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16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16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16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6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16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16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16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16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16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16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16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16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560</Words>
  <Characters>3193</Characters>
  <Application>Microsoft Office Word</Application>
  <DocSecurity>0</DocSecurity>
  <Lines>26</Lines>
  <Paragraphs>7</Paragraphs>
  <ScaleCrop>false</ScaleCrop>
  <Company/>
  <LinksUpToDate>false</LinksUpToDate>
  <CharactersWithSpaces>3746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Ashfaq (2315557)</dc:creator>
  <cp:keywords/>
  <dc:description/>
  <cp:lastModifiedBy>Mohammed Ashfaq (2315557)</cp:lastModifiedBy>
  <cp:revision>2</cp:revision>
  <dcterms:created xsi:type="dcterms:W3CDTF">2026-08-02T05:20:00Z</dcterms:created>
  <dcterms:modified xsi:type="dcterms:W3CDTF">2026-08-02T05:20:00Z</dcterms:modified>
</cp:coreProperties>
</file>