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CE87F25" wp14:paraId="516B5FE5" wp14:textId="6897BF88">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BMHP5015 – Component 1 Portfolio</w:t>
      </w:r>
    </w:p>
    <w:p xmlns:wp14="http://schemas.microsoft.com/office/word/2010/wordml" w:rsidP="6CE87F25" wp14:paraId="10FBB260" wp14:textId="0CAA799D">
      <w:pPr>
        <w:pStyle w:val="Heading2"/>
        <w:spacing w:before="299" w:beforeAutospacing="off" w:after="299" w:afterAutospacing="off"/>
      </w:pPr>
      <w:r w:rsidRPr="6CE87F25" w:rsidR="25853D07">
        <w:rPr>
          <w:rFonts w:ascii="Times New Roman" w:hAnsi="Times New Roman" w:eastAsia="Times New Roman" w:cs="Times New Roman"/>
          <w:b w:val="1"/>
          <w:bCs w:val="1"/>
          <w:noProof w:val="0"/>
          <w:sz w:val="36"/>
          <w:szCs w:val="36"/>
          <w:lang w:val="en-US"/>
        </w:rPr>
        <w:t>BSc Health and Social Care</w:t>
      </w:r>
    </w:p>
    <w:p xmlns:wp14="http://schemas.microsoft.com/office/word/2010/wordml" w:rsidP="6CE87F25" wp14:paraId="630E1B3F" wp14:textId="7D840C72">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 xml:space="preserve">Changemakers: Building your Personal Brand for Sustainable </w:t>
      </w:r>
      <w:r w:rsidRPr="6CE87F25" w:rsidR="5834292C">
        <w:rPr>
          <w:rFonts w:ascii="Times New Roman" w:hAnsi="Times New Roman" w:eastAsia="Times New Roman" w:cs="Times New Roman"/>
          <w:b w:val="1"/>
          <w:bCs w:val="1"/>
          <w:noProof w:val="0"/>
          <w:sz w:val="28"/>
          <w:szCs w:val="28"/>
          <w:lang w:val="en-US"/>
        </w:rPr>
        <w:t xml:space="preserve"> </w:t>
      </w:r>
      <w:r w:rsidRPr="6CE87F25" w:rsidR="25853D07">
        <w:rPr>
          <w:rFonts w:ascii="Times New Roman" w:hAnsi="Times New Roman" w:eastAsia="Times New Roman" w:cs="Times New Roman"/>
          <w:b w:val="1"/>
          <w:bCs w:val="1"/>
          <w:noProof w:val="0"/>
          <w:sz w:val="28"/>
          <w:szCs w:val="28"/>
          <w:lang w:val="en-US"/>
        </w:rPr>
        <w:t>Employmen</w:t>
      </w:r>
      <w:r w:rsidRPr="6CE87F25" w:rsidR="3A07EE27">
        <w:rPr>
          <w:rFonts w:ascii="Times New Roman" w:hAnsi="Times New Roman" w:eastAsia="Times New Roman" w:cs="Times New Roman"/>
          <w:b w:val="1"/>
          <w:bCs w:val="1"/>
          <w:noProof w:val="0"/>
          <w:sz w:val="28"/>
          <w:szCs w:val="28"/>
          <w:lang w:val="en-US"/>
        </w:rPr>
        <w:t>t</w:t>
      </w:r>
    </w:p>
    <w:p xmlns:wp14="http://schemas.microsoft.com/office/word/2010/wordml" w:rsidP="6CE87F25" wp14:paraId="73E00A90" wp14:textId="103BF2E7">
      <w:pPr>
        <w:pStyle w:val="Heading3"/>
        <w:spacing w:before="281" w:beforeAutospacing="off" w:after="281" w:afterAutospacing="off"/>
      </w:pPr>
      <w:r w:rsidRPr="6CE87F25" w:rsidR="3A07EE27">
        <w:rPr>
          <w:rFonts w:ascii="Times New Roman" w:hAnsi="Times New Roman" w:eastAsia="Times New Roman" w:cs="Times New Roman"/>
          <w:b w:val="1"/>
          <w:bCs w:val="1"/>
          <w:noProof w:val="0"/>
          <w:sz w:val="28"/>
          <w:szCs w:val="28"/>
          <w:lang w:val="en-US"/>
        </w:rPr>
        <w:t>Name Ioan Surdu</w:t>
      </w:r>
    </w:p>
    <w:p xmlns:wp14="http://schemas.microsoft.com/office/word/2010/wordml" w:rsidP="6CE87F25" wp14:paraId="56C18537" wp14:textId="452FBC34">
      <w:pPr>
        <w:pStyle w:val="Heading3"/>
        <w:spacing w:before="281" w:beforeAutospacing="off" w:after="281" w:afterAutospacing="off"/>
      </w:pPr>
      <w:r w:rsidRPr="6CE87F25" w:rsidR="3A07EE27">
        <w:rPr>
          <w:rFonts w:ascii="Times New Roman" w:hAnsi="Times New Roman" w:eastAsia="Times New Roman" w:cs="Times New Roman"/>
          <w:b w:val="1"/>
          <w:bCs w:val="1"/>
          <w:noProof w:val="0"/>
          <w:sz w:val="28"/>
          <w:szCs w:val="28"/>
          <w:lang w:val="en-US"/>
        </w:rPr>
        <w:t>Student Number 2333638</w:t>
      </w:r>
    </w:p>
    <w:p xmlns:wp14="http://schemas.microsoft.com/office/word/2010/wordml" w:rsidP="6CE87F25" wp14:paraId="60C048F3" wp14:textId="1554A88F">
      <w:pPr>
        <w:pStyle w:val="Normal"/>
        <w:rPr>
          <w:noProof w:val="0"/>
          <w:lang w:val="en-US"/>
        </w:rPr>
      </w:pPr>
    </w:p>
    <w:p xmlns:wp14="http://schemas.microsoft.com/office/word/2010/wordml" wp14:paraId="310033B9" wp14:textId="3E9E0C05"/>
    <w:p xmlns:wp14="http://schemas.microsoft.com/office/word/2010/wordml" w:rsidP="6CE87F25" wp14:paraId="0DACC110" wp14:textId="7D0297A1">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1 – PERSONAL BRAND</w:t>
      </w:r>
    </w:p>
    <w:p xmlns:wp14="http://schemas.microsoft.com/office/word/2010/wordml" w:rsidP="6CE87F25" wp14:paraId="735F94D8" wp14:textId="4DBC6D7C">
      <w:pPr>
        <w:pStyle w:val="Heading2"/>
        <w:spacing w:before="299" w:beforeAutospacing="off" w:after="299" w:afterAutospacing="off"/>
      </w:pPr>
      <w:r w:rsidRPr="6CE87F25" w:rsidR="25853D07">
        <w:rPr>
          <w:rFonts w:ascii="Times New Roman" w:hAnsi="Times New Roman" w:eastAsia="Times New Roman" w:cs="Times New Roman"/>
          <w:b w:val="1"/>
          <w:bCs w:val="1"/>
          <w:noProof w:val="0"/>
          <w:sz w:val="36"/>
          <w:szCs w:val="36"/>
          <w:lang w:val="en-US"/>
        </w:rPr>
        <w:t>Building a Professional Identity within Health and Social Care</w:t>
      </w:r>
    </w:p>
    <w:p xmlns:wp14="http://schemas.microsoft.com/office/word/2010/wordml" w:rsidP="6CE87F25" wp14:paraId="066D4767" wp14:textId="79A24CE6">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A personal brand is the way an individual presents themselves professionally through their behaviour, communication, values, appearance, and attitudes. Within health and social care, developing a strong personal brand is important because professionals are expected to demonstrate compassion, professionalism, reliability, and respect when supporting vulnerable individuals. A positive professional identity can improve employability and help individuals progress within healthcare environments.</w:t>
      </w:r>
    </w:p>
    <w:p xmlns:wp14="http://schemas.microsoft.com/office/word/2010/wordml" w:rsidP="6CE87F25" wp14:paraId="5B4B277E" wp14:textId="6079FEA5">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My current personal brand reflects qualities such as resilience, determination, empathy, and responsibility. I believe these qualities are important because healthcare environments are often physically and emotionally demanding. Professionals regularly work with vulnerable individuals who may require reassurance, emotional support, and effective communication. Therefore, healthcare workers must remain calm, professional, and patient-centred even during stressful situations.</w:t>
      </w:r>
    </w:p>
    <w:p xmlns:wp14="http://schemas.microsoft.com/office/word/2010/wordml" w:rsidP="6CE87F25" wp14:paraId="219E72E1" wp14:textId="611B5F0E">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of my long-term career goals is to progress into a management role within health and social care. To achieve this, I recognise that I need to continue developing my leadership, communication, and organisational skills. Communication is one of the most important employability skills because healthcare professionals must communicate effectively with patients, relatives, colleagues, and multidisciplinary teams. Poor communication can negatively affect patient safety, teamwork, and patient outcomes. According to Cottrell (2021), employability skills such as teamwork, communication, problem-solving, and self-management are essential for professional success.</w:t>
      </w:r>
    </w:p>
    <w:p xmlns:wp14="http://schemas.microsoft.com/office/word/2010/wordml" w:rsidP="6CE87F25" wp14:paraId="11C3CDE1" wp14:textId="7F0DC789">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I also recognise the importance of confidence and leadership within healthcare settings. At present, I work effectively independently and within teams; however, leadership roles require stronger decision-making abilities, confidence, and conflict management skills. Healthcare managers must support staff, solve problems professionally, and maintain safe standards of care. Developing these skills through education, training, and professional experience would strengthen my personal brand significantly.</w:t>
      </w:r>
    </w:p>
    <w:p xmlns:wp14="http://schemas.microsoft.com/office/word/2010/wordml" w:rsidP="6CE87F25" wp14:paraId="641A7924" wp14:textId="3FE98E08">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Continuous professional development is another important aspect of building a professional identity. Healthcare services constantly evolve due to new technologies, policies, and patient needs. Therefore, professionals must demonstrate adaptability and willingness to learn. Attending training opportunities, gaining healthcare experience, and developing professional networks would improve my employability and future career opportunities.</w:t>
      </w:r>
    </w:p>
    <w:p xmlns:wp14="http://schemas.microsoft.com/office/word/2010/wordml" w:rsidP="6CE87F25" wp14:paraId="36A0C089" wp14:textId="1BC0E321">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Overall, I believe my personal brand is developing positively, but there are still areas requiring improvement. Continuing to develop my confidence, leadership abilities, and professional experience will help me progress towards my long-term career goals within health and social care.</w:t>
      </w:r>
    </w:p>
    <w:p xmlns:wp14="http://schemas.microsoft.com/office/word/2010/wordml" wp14:paraId="77491473" wp14:textId="4FFE203B"/>
    <w:p xmlns:wp14="http://schemas.microsoft.com/office/word/2010/wordml" w:rsidP="6CE87F25" wp14:paraId="089D556C" wp14:textId="11DF48D7">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2 – NETWORK MAP AND RATIONALE</w:t>
      </w:r>
    </w:p>
    <w:p xmlns:wp14="http://schemas.microsoft.com/office/word/2010/wordml" w:rsidP="6CE87F25" wp14:paraId="700B0485" wp14:textId="3FC49188">
      <w:pPr>
        <w:pStyle w:val="Heading2"/>
        <w:spacing w:before="299" w:beforeAutospacing="off" w:after="299" w:afterAutospacing="off"/>
      </w:pPr>
      <w:r w:rsidRPr="70B6DA71" w:rsidR="75048B61">
        <w:rPr>
          <w:rFonts w:ascii="Times New Roman" w:hAnsi="Times New Roman" w:eastAsia="Times New Roman" w:cs="Times New Roman"/>
          <w:b w:val="1"/>
          <w:bCs w:val="1"/>
          <w:noProof w:val="0"/>
          <w:sz w:val="36"/>
          <w:szCs w:val="36"/>
          <w:lang w:val="en-US"/>
        </w:rPr>
        <w:t>Network Map</w:t>
      </w:r>
    </w:p>
    <w:p w:rsidR="764C086D" w:rsidP="70B6DA71" w:rsidRDefault="764C086D" w14:paraId="5760D70E" w14:textId="77AF900F">
      <w:pPr>
        <w:pStyle w:val="Normal"/>
        <w:rPr>
          <w:noProof w:val="0"/>
          <w:lang w:val="en-US"/>
        </w:rPr>
      </w:pPr>
      <w:r w:rsidR="764C086D">
        <w:drawing>
          <wp:inline wp14:editId="01983123" wp14:anchorId="65310CEB">
            <wp:extent cx="5943600" cy="3962400"/>
            <wp:effectExtent l="0" t="0" r="0" b="0"/>
            <wp:docPr id="8747282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74728234" name="Picture 874728234"/>
                    <pic:cNvPicPr/>
                  </pic:nvPicPr>
                  <pic:blipFill>
                    <a:blip xmlns:r="http://schemas.openxmlformats.org/officeDocument/2006/relationships" r:embed="rId2084816392">
                      <a:extLst>
                        <a:ext uri="{28A0092B-C50C-407E-A947-70E740481C1C}">
                          <a14:useLocalDpi xmlns:a14="http://schemas.microsoft.com/office/drawing/2010/main"/>
                        </a:ext>
                      </a:extLst>
                    </a:blip>
                    <a:stretch>
                      <a:fillRect/>
                    </a:stretch>
                  </pic:blipFill>
                  <pic:spPr>
                    <a:xfrm>
                      <a:off x="0" y="0"/>
                      <a:ext cx="5943600" cy="3962400"/>
                    </a:xfrm>
                    <a:prstGeom prst="rect">
                      <a:avLst/>
                    </a:prstGeom>
                  </pic:spPr>
                </pic:pic>
              </a:graphicData>
            </a:graphic>
          </wp:inline>
        </w:drawing>
      </w:r>
    </w:p>
    <w:p xmlns:wp14="http://schemas.microsoft.com/office/word/2010/wordml" w:rsidP="6CE87F25" wp14:paraId="22411443" wp14:textId="06B37787">
      <w:pPr>
        <w:pStyle w:val="Heading2"/>
        <w:spacing w:before="299" w:beforeAutospacing="off" w:after="299" w:afterAutospacing="off"/>
      </w:pPr>
      <w:r w:rsidRPr="70B6DA71" w:rsidR="75048B61">
        <w:rPr>
          <w:rFonts w:ascii="Times New Roman" w:hAnsi="Times New Roman" w:eastAsia="Times New Roman" w:cs="Times New Roman"/>
          <w:b w:val="1"/>
          <w:bCs w:val="1"/>
          <w:noProof w:val="0"/>
          <w:sz w:val="36"/>
          <w:szCs w:val="36"/>
          <w:lang w:val="en-US"/>
        </w:rPr>
        <w:t>Rationale</w:t>
      </w:r>
    </w:p>
    <w:p xmlns:wp14="http://schemas.microsoft.com/office/word/2010/wordml" w:rsidP="70B6DA71" wp14:paraId="6A81F076" wp14:textId="2F962465">
      <w:pPr>
        <w:pStyle w:val="Normal"/>
        <w:rPr>
          <w:noProof w:val="0"/>
          <w:lang w:val="en-US"/>
        </w:rPr>
      </w:pPr>
    </w:p>
    <w:p xmlns:wp14="http://schemas.microsoft.com/office/word/2010/wordml" w:rsidP="70B6DA71" wp14:paraId="0B96A072" wp14:textId="1762D2D2">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My current network could best be described as a hybrid network because it combines both personal and professional relationships. I believe having different types of relationships is important because they each provide different forms of support that can help me achieve my long-term career goal of becoming a health and social care manager.</w:t>
      </w:r>
    </w:p>
    <w:p xmlns:wp14="http://schemas.microsoft.com/office/word/2010/wordml" w:rsidP="70B6DA71" wp14:paraId="25E7E3B4" wp14:textId="4BD4C410">
      <w:pPr>
        <w:shd w:val="clear" w:color="auto" w:fill="FFFFFF" w:themeFill="background1"/>
        <w:spacing w:before="0" w:beforeAutospacing="off" w:after="0" w:afterAutospacing="off"/>
      </w:pPr>
    </w:p>
    <w:p xmlns:wp14="http://schemas.microsoft.com/office/word/2010/wordml" w:rsidP="70B6DA71" wp14:paraId="0AC7C90E" wp14:textId="625C7DAB">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My network is divided into four main areas: career, support, social and community. My career network includes university lecturers, module tutors, health and social care managers, healthcare professionals, LinkedIn contacts and experienced colleagues. These people provide advice, knowledge and guidance that help me develop professionally and improve my employability (Tymon and Mackay, 2016). My support network includes my parents, close family members and trusted friends. They encourage me during difficult periods and help me maintain a positive attitude towards my studies and future career. My social network consists of friends, classmates and work colleagues who help me improve my communication skills, teamwork and confidence. Finally, my community network includes local volunteering organisations, online healthcare groups and the university community. These connections allow me to learn from others, share ideas and become more involved in the health and social care sector.</w:t>
      </w:r>
    </w:p>
    <w:p xmlns:wp14="http://schemas.microsoft.com/office/word/2010/wordml" w:rsidP="70B6DA71" wp14:paraId="0D1795A0" wp14:textId="72B60550">
      <w:pPr>
        <w:shd w:val="clear" w:color="auto" w:fill="FFFFFF" w:themeFill="background1"/>
        <w:spacing w:before="0" w:beforeAutospacing="off" w:after="0" w:afterAutospacing="off"/>
      </w:pPr>
    </w:p>
    <w:p xmlns:wp14="http://schemas.microsoft.com/office/word/2010/wordml" w:rsidP="70B6DA71" wp14:paraId="13C5A6CD" wp14:textId="13FA22A5">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One of the main strengths of my network is that I have people who support both my personal life and my professional development. My family and friends provide emotional support when I experience stress, while lecturers and healthcare professionals provide guidance that helps me improve my knowledge and academic performance. Having different types of support has increased my confidence and motivated me to continue working towards my career goals.</w:t>
      </w:r>
    </w:p>
    <w:p xmlns:wp14="http://schemas.microsoft.com/office/word/2010/wordml" w:rsidP="70B6DA71" wp14:paraId="2D1711E1" wp14:textId="753CA647">
      <w:pPr>
        <w:shd w:val="clear" w:color="auto" w:fill="FFFFFF" w:themeFill="background1"/>
        <w:spacing w:before="0" w:beforeAutospacing="off" w:after="0" w:afterAutospacing="off"/>
      </w:pPr>
    </w:p>
    <w:p xmlns:wp14="http://schemas.microsoft.com/office/word/2010/wordml" w:rsidP="70B6DA71" wp14:paraId="502F351B" wp14:textId="176E61BD">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However, I recognise that there are still areas where my network could be improved. Putnam (2000) explains that social capital includes bonding, bridging and linking relationships. Although I have strong bonding relationships with family and friends, I have fewer bridging and linking relationships with experienced managers and senior professionals within health and social care. This means I currently have fewer opportunities to learn from people who have management experience or who may be able to support my future career progression (Putnam, 2000).</w:t>
      </w:r>
    </w:p>
    <w:p xmlns:wp14="http://schemas.microsoft.com/office/word/2010/wordml" w:rsidP="70B6DA71" wp14:paraId="418421DE" wp14:textId="146E4F32">
      <w:pPr>
        <w:shd w:val="clear" w:color="auto" w:fill="FFFFFF" w:themeFill="background1"/>
        <w:spacing w:before="0" w:beforeAutospacing="off" w:after="0" w:afterAutospacing="off"/>
      </w:pPr>
    </w:p>
    <w:p xmlns:wp14="http://schemas.microsoft.com/office/word/2010/wordml" w:rsidP="70B6DA71" wp14:paraId="2A3568B7" wp14:textId="0A7B1689">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To improve my network, I plan to attend healthcare conferences, participate in volunteering opportunities and develop stronger professional relationships through LinkedIn and other networking events. According to Tymon and Mackay (2016), professional networking can improve employability by creating opportunities to gain knowledge, advice and career support. Building stronger professional relationships will help me develop my leadership skills, increase my understanding of health and social care management and prepare me for future management responsibilities.</w:t>
      </w:r>
    </w:p>
    <w:p xmlns:wp14="http://schemas.microsoft.com/office/word/2010/wordml" w:rsidP="70B6DA71" wp14:paraId="4643FB9A" wp14:textId="2F02EA9E">
      <w:pPr>
        <w:shd w:val="clear" w:color="auto" w:fill="FFFFFF" w:themeFill="background1"/>
        <w:spacing w:before="0" w:beforeAutospacing="off" w:after="0" w:afterAutospacing="off"/>
      </w:pPr>
    </w:p>
    <w:p xmlns:wp14="http://schemas.microsoft.com/office/word/2010/wordml" w:rsidP="70B6DA71" wp14:paraId="5FA87A91" wp14:textId="684806CD">
      <w:pPr>
        <w:shd w:val="clear" w:color="auto" w:fill="FFFFFF" w:themeFill="background1"/>
        <w:spacing w:before="0" w:beforeAutospacing="off" w:after="0" w:afterAutospacing="off"/>
      </w:pPr>
      <w:r w:rsidRPr="70B6DA71" w:rsidR="5F461581">
        <w:rPr>
          <w:rFonts w:ascii="Segoe UI" w:hAnsi="Segoe UI" w:eastAsia="Segoe UI" w:cs="Segoe UI"/>
          <w:b w:val="0"/>
          <w:bCs w:val="0"/>
          <w:i w:val="0"/>
          <w:iCs w:val="0"/>
          <w:caps w:val="0"/>
          <w:smallCaps w:val="0"/>
          <w:noProof w:val="0"/>
          <w:color w:val="242424"/>
          <w:sz w:val="22"/>
          <w:szCs w:val="22"/>
          <w:lang w:val="en-US"/>
        </w:rPr>
        <w:t>Overall, I believe my current network provides a strong foundation for both my personal wellbeing and my academic development. However, continuing to expand my professional network will be important if I want to achieve my long-term goal of becoming a health and social care manager. By developing stronger relationships with experienced professionals, I will improve both my employability and my confidence as I prepare for my future career.</w:t>
      </w:r>
    </w:p>
    <w:p xmlns:wp14="http://schemas.microsoft.com/office/word/2010/wordml" wp14:paraId="515DC4F4" wp14:textId="6AA3DE3B"/>
    <w:p xmlns:wp14="http://schemas.microsoft.com/office/word/2010/wordml" w:rsidP="6CE87F25" wp14:paraId="60F33F91" wp14:textId="16EEFF91">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3 – BLOG</w:t>
      </w:r>
    </w:p>
    <w:p xmlns:wp14="http://schemas.microsoft.com/office/word/2010/wordml" w:rsidP="6CE87F25" wp14:paraId="59B01E32" wp14:textId="5ADA6134">
      <w:pPr>
        <w:pStyle w:val="Heading2"/>
        <w:spacing w:before="299" w:beforeAutospacing="off" w:after="299" w:afterAutospacing="off"/>
      </w:pPr>
      <w:r w:rsidRPr="6CE87F25" w:rsidR="25853D07">
        <w:rPr>
          <w:rFonts w:ascii="Times New Roman" w:hAnsi="Times New Roman" w:eastAsia="Times New Roman" w:cs="Times New Roman"/>
          <w:b w:val="1"/>
          <w:bCs w:val="1"/>
          <w:noProof w:val="0"/>
          <w:sz w:val="36"/>
          <w:szCs w:val="36"/>
          <w:lang w:val="en-US"/>
        </w:rPr>
        <w:t>Digital Exclusion in Healthcare: Are Vulnerable Patients Being Left Behind?</w:t>
      </w:r>
    </w:p>
    <w:p xmlns:wp14="http://schemas.microsoft.com/office/word/2010/wordml" w:rsidP="6CE87F25" wp14:paraId="0613B644" wp14:textId="3A65EA2F">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Digital technology has become increasingly important within health and social care services. Online GP appointments, healthcare applications, electronic prescriptions, and virtual consultations are now widely used across the NHS. These developments have improved efficiency and reduced pressure on healthcare services. However, despite these advantages, digital exclusion remains a significant issue affecting many vulnerable individuals.</w:t>
      </w:r>
    </w:p>
    <w:p xmlns:wp14="http://schemas.microsoft.com/office/word/2010/wordml" w:rsidP="6CE87F25" wp14:paraId="0AFBD3FD" wp14:textId="5D5EACA3">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Digital exclusion occurs when individuals cannot access or confidently use digital technology and online services. This may happen because people lack internet access, electronic devices, or the digital skills required to use modern healthcare systems effectively. According to NHS England (2023), digital healthcare is continuing to expand across the UK healthcare system. Although digital transformation improves efficiency for many individuals, not all patients benefit equally.</w:t>
      </w:r>
    </w:p>
    <w:p xmlns:wp14="http://schemas.microsoft.com/office/word/2010/wordml" w:rsidP="6CE87F25" wp14:paraId="5F141A9F" wp14:textId="6603FBC3">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Older adults are one of the groups most affected by digital exclusion. Many elderly individuals struggle to use smartphones, online appointment systems, or video consultation platforms. As a result, some patients experience difficulties accessing healthcare appointments, prescriptions, or medical advice. In some cases, vulnerable individuals may avoid seeking support entirely because they feel uncomfortable using technology.</w:t>
      </w:r>
    </w:p>
    <w:p xmlns:wp14="http://schemas.microsoft.com/office/word/2010/wordml" w:rsidP="6CE87F25" wp14:paraId="51736D48" wp14:textId="672681D2">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Low-income households may also experience digital exclusion because internet access and electronic devices can be expensive. This can increase health inequalities because disadvantaged groups may struggle to access healthcare systems that are becoming increasingly digital. The Office for National Statistics (2023) reported that millions of adults within the UK still lack basic digital skills, demonstrating that digital inequality remains a significant social issue.</w:t>
      </w:r>
    </w:p>
    <w:p xmlns:wp14="http://schemas.microsoft.com/office/word/2010/wordml" w:rsidP="6CE87F25" wp14:paraId="26713AC8" wp14:textId="1E7FB4BA">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Although digital healthcare improves efficiency and accessibility for many patients, it may unintentionally increase health inequalities for vulnerable groups lacking digital access or confidence. This demonstrates that healthcare organisations must balance technological advancement with inclusivity to ensure healthcare services remain accessible to all individuals.</w:t>
      </w:r>
    </w:p>
    <w:p xmlns:wp14="http://schemas.microsoft.com/office/word/2010/wordml" w:rsidP="6CE87F25" wp14:paraId="702DC51F" wp14:textId="7DD0B946">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Healthcare organisations should continue offering face-to-face and telephone alternatives for patients unable to access digital systems. In addition, digital support programmes and community education may help vulnerable individuals improve confidence using technology.</w:t>
      </w:r>
    </w:p>
    <w:p xmlns:wp14="http://schemas.microsoft.com/office/word/2010/wordml" w:rsidP="6CE87F25" wp14:paraId="5893DD76" wp14:textId="5C5441E5">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Overall, digital healthcare has the potential to improve healthcare delivery significantly. However, healthcare organisations must ensure vulnerable individuals are not excluded from essential services due to lack of digital access or confidence. Greater investment in digital inclusion is necessary to create a healthcare system that remains fair, accessible, and person-centred.</w:t>
      </w:r>
    </w:p>
    <w:p xmlns:wp14="http://schemas.microsoft.com/office/word/2010/wordml" wp14:paraId="21C466DB" wp14:textId="2104D6C1"/>
    <w:p xmlns:wp14="http://schemas.microsoft.com/office/word/2010/wordml" w:rsidP="6CE87F25" wp14:paraId="6CF8F203" wp14:textId="30ED42DC">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4 – EQUALITY AND DIVERSITY QUIZ</w:t>
      </w:r>
    </w:p>
    <w:p xmlns:wp14="http://schemas.microsoft.com/office/word/2010/wordml" w:rsidP="6CE87F25" wp14:paraId="10D2A46F" wp14:textId="0C9F24B9">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1. What is the primary goal of the NHS Equality, Diversity, and Inclusion Improvement Plan?</w:t>
      </w:r>
    </w:p>
    <w:p xmlns:wp14="http://schemas.microsoft.com/office/word/2010/wordml" w:rsidP="6CE87F25" wp14:paraId="6B0A5574" wp14:textId="3DBE14D9">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The primary goal of the NHS Equality, Diversity, and Inclusion Improvement Plan is to create a fair and inclusive workplace where all staff are treated equally regardless of race, gender, disability, religion, or other protected characteristics.</w:t>
      </w:r>
    </w:p>
    <w:p xmlns:wp14="http://schemas.microsoft.com/office/word/2010/wordml" w:rsidP="6CE87F25" wp14:paraId="3C02DC47" wp14:textId="29ED9F30">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2. How does the NHS EDI Improvement Plan propose to tackle the gender pay gap?</w:t>
      </w:r>
    </w:p>
    <w:p xmlns:wp14="http://schemas.microsoft.com/office/word/2010/wordml" w:rsidP="6CE87F25" wp14:paraId="41BC2701" wp14:textId="37C2B510">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The NHS plans to reduce the gender pay gap by improving pay transparency, increasing flexible working opportunities, and supporting women to progress into leadership positions.</w:t>
      </w:r>
    </w:p>
    <w:p xmlns:wp14="http://schemas.microsoft.com/office/word/2010/wordml" w:rsidP="6CE87F25" wp14:paraId="29735C56" wp14:textId="1760F1A7">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3. What is meant by the term intersectionality?</w:t>
      </w:r>
    </w:p>
    <w:p xmlns:wp14="http://schemas.microsoft.com/office/word/2010/wordml" w:rsidP="6CE87F25" wp14:paraId="30C229DD" wp14:textId="18703ED1">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Intersectionality refers to how different aspects of a person’s identity, such as race, gender, sexuality, disability, or religion, can combine and affect their experiences of inequality or discrimination.</w:t>
      </w:r>
    </w:p>
    <w:p xmlns:wp14="http://schemas.microsoft.com/office/word/2010/wordml" w:rsidP="6CE87F25" wp14:paraId="116DA5CD" wp14:textId="2D77C04C">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4. Why is psychological safety important within healthcare workplaces?</w:t>
      </w:r>
    </w:p>
    <w:p xmlns:wp14="http://schemas.microsoft.com/office/word/2010/wordml" w:rsidP="6CE87F25" wp14:paraId="709F7231" wp14:textId="192F02FC">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Psychological safety is important because staff should feel safe speaking openly, reporting concerns, and challenging discrimination without fear of punishment or bullying.</w:t>
      </w:r>
    </w:p>
    <w:p xmlns:wp14="http://schemas.microsoft.com/office/word/2010/wordml" w:rsidP="6CE87F25" wp14:paraId="09301EC5" wp14:textId="206E2B95">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5. How does the NHS plan to improve the experiences of internationally recruited staff?</w:t>
      </w:r>
    </w:p>
    <w:p xmlns:wp14="http://schemas.microsoft.com/office/word/2010/wordml" w:rsidP="6CE87F25" wp14:paraId="5902D245" wp14:textId="221E3E05">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The NHS aims to improve experiences for internationally recruited staff through better induction programmes, wellbeing support, and fair opportunities for career progression.</w:t>
      </w:r>
    </w:p>
    <w:p xmlns:wp14="http://schemas.microsoft.com/office/word/2010/wordml" w:rsidP="6CE87F25" wp14:paraId="50F85F37" wp14:textId="4FCC646B">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6. What role does leadership play in advancing EDI objectives?</w:t>
      </w:r>
    </w:p>
    <w:p xmlns:wp14="http://schemas.microsoft.com/office/word/2010/wordml" w:rsidP="6CE87F25" wp14:paraId="3C5BAD1D" wp14:textId="3DFD3D7D">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Leadership plays a significant role because managers and senior staff are responsible for promoting inclusion, challenging discrimination, and creating positive workplace cultures.</w:t>
      </w:r>
    </w:p>
    <w:p xmlns:wp14="http://schemas.microsoft.com/office/word/2010/wordml" w:rsidP="6CE87F25" wp14:paraId="25FE70E6" wp14:textId="46AAD50E">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7. Identify one way the NHS aims to reduce health inequalities within the workforce.</w:t>
      </w:r>
    </w:p>
    <w:p xmlns:wp14="http://schemas.microsoft.com/office/word/2010/wordml" w:rsidP="6CE87F25" wp14:paraId="4807E6C7" wp14:textId="2BF07742">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strategy involves improving wellbeing support and career opportunities for disadvantaged staff groups.</w:t>
      </w:r>
    </w:p>
    <w:p xmlns:wp14="http://schemas.microsoft.com/office/word/2010/wordml" w:rsidP="6CE87F25" wp14:paraId="476469FD" wp14:textId="469ED05C">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8. Why is collecting data on protected characteristics important?</w:t>
      </w:r>
    </w:p>
    <w:p xmlns:wp14="http://schemas.microsoft.com/office/word/2010/wordml" w:rsidP="6CE87F25" wp14:paraId="3F45D2ED" wp14:textId="0B05AD2B">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Collecting and analysing data helps organisations identify inequalities, monitor progress, and improve workplace policies.</w:t>
      </w:r>
    </w:p>
    <w:p xmlns:wp14="http://schemas.microsoft.com/office/word/2010/wordml" w:rsidP="6CE87F25" wp14:paraId="565C5963" wp14:textId="0E9F6ACB">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9. How can flexible working contribute to inclusion?</w:t>
      </w:r>
    </w:p>
    <w:p xmlns:wp14="http://schemas.microsoft.com/office/word/2010/wordml" w:rsidP="6CE87F25" wp14:paraId="23954CC8" wp14:textId="0F4FDE11">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Flexible working policies support equality because they help staff balance work with childcare responsibilities, disabilities, health conditions, or personal circumstances.</w:t>
      </w:r>
    </w:p>
    <w:p xmlns:wp14="http://schemas.microsoft.com/office/word/2010/wordml" w:rsidP="6CE87F25" wp14:paraId="1CA0112F" wp14:textId="562507A6">
      <w:pPr>
        <w:pStyle w:val="Heading3"/>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10. What strategy is used to combat bullying and harassment?</w:t>
      </w:r>
    </w:p>
    <w:p xmlns:wp14="http://schemas.microsoft.com/office/word/2010/wordml" w:rsidP="6CE87F25" wp14:paraId="4EC6542F" wp14:textId="70A0D525">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strategy involves encouraging staff to report concerns safely while ensuring complaints are investigated fairly and professionally.</w:t>
      </w:r>
    </w:p>
    <w:p xmlns:wp14="http://schemas.microsoft.com/office/word/2010/wordml" wp14:paraId="3A6A4C0A" wp14:textId="206F0AAD"/>
    <w:p xmlns:wp14="http://schemas.microsoft.com/office/word/2010/wordml" w:rsidP="6CE87F25" wp14:paraId="09A01BC4" wp14:textId="7967A134">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5 – A LETTER TO YOURSELF</w:t>
      </w:r>
    </w:p>
    <w:p xmlns:wp14="http://schemas.microsoft.com/office/word/2010/wordml" w:rsidP="6CE87F25" wp14:paraId="4E864379" wp14:textId="6057A4AF">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Dear Younger Me,</w:t>
      </w:r>
    </w:p>
    <w:p xmlns:wp14="http://schemas.microsoft.com/office/word/2010/wordml" w:rsidP="6CE87F25" wp14:paraId="77D6CD3C" wp14:textId="383F5490">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Looking back now, I realise there were periods in your life where stress, uncertainty, and pressure affected your wellbeing more than you admitted at the time. You often believed you needed to manage everything independently and saw asking for support as a weakness. However, experience and maturity have taught me the importance of emotional intelligence, resilience, and self-awareness.</w:t>
      </w:r>
    </w:p>
    <w:p xmlns:wp14="http://schemas.microsoft.com/office/word/2010/wordml" w:rsidP="6CE87F25" wp14:paraId="392C99F7" wp14:textId="3CBDB7B0">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of the most important lessons I have learned is that emotional intelligence is not about ignoring emotions or pretending everything is fine. Instead, it involves understanding emotions, managing reactions calmly, and communicating effectively during stressful situations. During difficult periods, frustration and pressure often affected your confidence and decision-making. Developing emotional intelligence earlier may have helped reduce stress and improve communication with other people.</w:t>
      </w:r>
    </w:p>
    <w:p xmlns:wp14="http://schemas.microsoft.com/office/word/2010/wordml" w:rsidP="6CE87F25" wp14:paraId="439A6F01" wp14:textId="2BF65557">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I have also learned that resilience develops through difficult experiences. At the time, setbacks and failures felt overwhelming, but they helped build determination, maturity, and independence. Resilience does not mean avoiding challenges; it means continuing to move forward despite them. Some experiences temporarily reduced your confidence, but they also strengthened your ability to cope with future pressure.</w:t>
      </w:r>
    </w:p>
    <w:p xmlns:wp14="http://schemas.microsoft.com/office/word/2010/wordml" w:rsidP="6CE87F25" wp14:paraId="6E30F67A" wp14:textId="3ABF9B3A">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Another important lesson is understanding the value of support. Trying to manage everything independently increased emotional pressure unnecessarily. Speaking openly with trusted individuals or asking for guidance may have reduced stress and improved wellbeing significantly.</w:t>
      </w:r>
    </w:p>
    <w:p xmlns:wp14="http://schemas.microsoft.com/office/word/2010/wordml" w:rsidP="6CE87F25" wp14:paraId="103B7CB9" wp14:textId="6A83BF33">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Today, I understand the importance of balance, emotional wellbeing, and continuous self-development. Success and ambition are important, but protecting mental wellbeing is equally necessary. Although life will continue presenting challenges, you are stronger and more capable than you once believed.</w:t>
      </w:r>
    </w:p>
    <w:p xmlns:wp14="http://schemas.microsoft.com/office/word/2010/wordml" w:rsidP="6CE87F25" wp14:paraId="42E3181F" wp14:textId="2A801299">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Yours sincerely, Me</w:t>
      </w:r>
    </w:p>
    <w:p xmlns:wp14="http://schemas.microsoft.com/office/word/2010/wordml" wp14:paraId="62427783" wp14:textId="2E01631B"/>
    <w:p xmlns:wp14="http://schemas.microsoft.com/office/word/2010/wordml" w:rsidP="6CE87F25" wp14:paraId="27BCCA57" wp14:textId="67E27645">
      <w:pPr>
        <w:pStyle w:val="Heading1"/>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6 – SMART GOAL</w:t>
      </w:r>
    </w:p>
    <w:p xmlns:wp14="http://schemas.microsoft.com/office/word/2010/wordml" w:rsidP="6CE87F25" wp14:paraId="03AF7DF9" wp14:textId="74C365B2">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of my long-term career goals is to progress into a management role within health and social care after completing my degree. To support this goal, I created a SMART goal focusing on academic achievement, employability skills, and professional experience.</w:t>
      </w:r>
    </w:p>
    <w:p xmlns:wp14="http://schemas.microsoft.com/office/word/2010/wordml" w:rsidP="6CE87F25" wp14:paraId="5BEEA90D" wp14:textId="4B1DA9C2">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My SMART goal is to successfully complete my Level 5 and Level 6 studies while gaining at least six months of healthcare-related experience by July 2028. This goal is specific because it clearly identifies both educational and professional objectives. It is measurable because I can monitor assignment grades, attendance, and practical experience hours throughout the process.</w:t>
      </w:r>
    </w:p>
    <w:p xmlns:wp14="http://schemas.microsoft.com/office/word/2010/wordml" w:rsidP="6CE87F25" wp14:paraId="4D36D771" wp14:textId="452E08D3">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The goal is achievable because I already study health and social care and continue developing knowledge independently through research and practical experiences. However, balancing education, employment, and personal responsibilities may create challenges. To overcome this, I plan to improve time management by creating weekly study schedules and setting realistic academic targets.</w:t>
      </w:r>
    </w:p>
    <w:p xmlns:wp14="http://schemas.microsoft.com/office/word/2010/wordml" w:rsidP="6CE87F25" wp14:paraId="31C8ECBA" wp14:textId="4310BC84">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This goal is relevant because management roles within health and social care require both qualifications and practical understanding of healthcare environments. Gaining practical experience will improve my communication, leadership, and decision-making abilities. According to Doran (1981), SMART goals improve motivation and achievement because they provide structure and realistic objectives.</w:t>
      </w:r>
    </w:p>
    <w:p xmlns:wp14="http://schemas.microsoft.com/office/word/2010/wordml" w:rsidP="6CE87F25" wp14:paraId="4C21ABBB" wp14:textId="7D2E72B6">
      <w:pPr>
        <w:spacing w:before="240" w:beforeAutospacing="off" w:after="240" w:afterAutospacing="off"/>
      </w:pPr>
      <w:r w:rsidRPr="6CE87F25" w:rsidR="25853D07">
        <w:rPr>
          <w:rFonts w:ascii="Times New Roman" w:hAnsi="Times New Roman" w:eastAsia="Times New Roman" w:cs="Times New Roman"/>
          <w:noProof w:val="0"/>
          <w:sz w:val="24"/>
          <w:szCs w:val="24"/>
          <w:lang w:val="en-US"/>
        </w:rPr>
        <w:t>Finally, the goal is time-bound because I aim to complete these objectives by July 2028. Setting deadlines will help maintain motivation and allow me to monitor progress more effectively throughout my educational and professional development.</w:t>
      </w:r>
    </w:p>
    <w:p xmlns:wp14="http://schemas.microsoft.com/office/word/2010/wordml" w:rsidP="6CE87F25" wp14:paraId="35076F63" wp14:textId="4A7D3EA4">
      <w:pPr>
        <w:pStyle w:val="Heading2"/>
        <w:spacing w:before="299" w:beforeAutospacing="off" w:after="299" w:afterAutospacing="off"/>
      </w:pPr>
      <w:r w:rsidRPr="6CE87F25" w:rsidR="25853D07">
        <w:rPr>
          <w:rFonts w:ascii="Times New Roman" w:hAnsi="Times New Roman" w:eastAsia="Times New Roman" w:cs="Times New Roman"/>
          <w:b w:val="1"/>
          <w:bCs w:val="1"/>
          <w:noProof w:val="0"/>
          <w:sz w:val="36"/>
          <w:szCs w:val="36"/>
          <w:lang w:val="en-US"/>
        </w:rPr>
        <w:t>Gantt Chart Timeline</w:t>
      </w:r>
    </w:p>
    <w:tbl>
      <w:tblPr>
        <w:tblStyle w:val="TableNormal"/>
        <w:bidiVisual w:val="0"/>
        <w:tblW w:w="0" w:type="auto"/>
        <w:tblLook w:val="06A0" w:firstRow="1" w:lastRow="0" w:firstColumn="1" w:lastColumn="0" w:noHBand="1" w:noVBand="1"/>
      </w:tblPr>
      <w:tblGrid>
        <w:gridCol w:w="2970"/>
        <w:gridCol w:w="1845"/>
        <w:gridCol w:w="1815"/>
      </w:tblGrid>
      <w:tr w:rsidR="6CE87F25" w:rsidTr="70B6DA71" w14:paraId="42702A35">
        <w:trPr>
          <w:trHeight w:val="300"/>
        </w:trPr>
        <w:tc>
          <w:tcPr>
            <w:tcW w:w="2970" w:type="dxa"/>
            <w:tcMar/>
            <w:vAlign w:val="center"/>
          </w:tcPr>
          <w:p w:rsidR="6CE87F25" w:rsidP="6CE87F25" w:rsidRDefault="6CE87F25" w14:paraId="594B63F0" w14:textId="559024EE">
            <w:pPr>
              <w:spacing w:before="0" w:beforeAutospacing="off" w:after="0" w:afterAutospacing="off"/>
              <w:jc w:val="center"/>
            </w:pPr>
            <w:r w:rsidRPr="6CE87F25" w:rsidR="6CE87F25">
              <w:rPr>
                <w:b w:val="1"/>
                <w:bCs w:val="1"/>
              </w:rPr>
              <w:t>Task</w:t>
            </w:r>
          </w:p>
        </w:tc>
        <w:tc>
          <w:tcPr>
            <w:tcW w:w="1845" w:type="dxa"/>
            <w:tcMar/>
            <w:vAlign w:val="center"/>
          </w:tcPr>
          <w:p w:rsidR="6CE87F25" w:rsidP="6CE87F25" w:rsidRDefault="6CE87F25" w14:paraId="030A13B5" w14:textId="3F856D9A">
            <w:pPr>
              <w:spacing w:before="0" w:beforeAutospacing="off" w:after="0" w:afterAutospacing="off"/>
              <w:jc w:val="center"/>
            </w:pPr>
            <w:r w:rsidRPr="6CE87F25" w:rsidR="6CE87F25">
              <w:rPr>
                <w:b w:val="1"/>
                <w:bCs w:val="1"/>
              </w:rPr>
              <w:t>Start Date</w:t>
            </w:r>
          </w:p>
        </w:tc>
        <w:tc>
          <w:tcPr>
            <w:tcW w:w="1815" w:type="dxa"/>
            <w:tcMar/>
            <w:vAlign w:val="center"/>
          </w:tcPr>
          <w:p w:rsidR="6CE87F25" w:rsidP="6CE87F25" w:rsidRDefault="6CE87F25" w14:paraId="5A9673AE" w14:textId="6D87F2F0">
            <w:pPr>
              <w:spacing w:before="0" w:beforeAutospacing="off" w:after="0" w:afterAutospacing="off"/>
              <w:jc w:val="center"/>
            </w:pPr>
            <w:r w:rsidRPr="6CE87F25" w:rsidR="6CE87F25">
              <w:rPr>
                <w:b w:val="1"/>
                <w:bCs w:val="1"/>
              </w:rPr>
              <w:t>End Date</w:t>
            </w:r>
          </w:p>
        </w:tc>
      </w:tr>
      <w:tr w:rsidR="6CE87F25" w:rsidTr="70B6DA71" w14:paraId="2B97CE67">
        <w:trPr>
          <w:trHeight w:val="300"/>
        </w:trPr>
        <w:tc>
          <w:tcPr>
            <w:tcW w:w="2970" w:type="dxa"/>
            <w:tcMar/>
            <w:vAlign w:val="center"/>
          </w:tcPr>
          <w:p w:rsidR="6CE87F25" w:rsidP="6CE87F25" w:rsidRDefault="6CE87F25" w14:paraId="50AE1EE5" w14:textId="0D6DDDD9">
            <w:pPr>
              <w:spacing w:before="0" w:beforeAutospacing="off" w:after="0" w:afterAutospacing="off"/>
            </w:pPr>
            <w:r w:rsidR="6CE87F25">
              <w:rPr/>
              <w:t>Complete Level 5</w:t>
            </w:r>
          </w:p>
        </w:tc>
        <w:tc>
          <w:tcPr>
            <w:tcW w:w="1845" w:type="dxa"/>
            <w:tcMar/>
            <w:vAlign w:val="center"/>
          </w:tcPr>
          <w:p w:rsidR="6CE87F25" w:rsidP="6CE87F25" w:rsidRDefault="6CE87F25" w14:paraId="19D41D04" w14:textId="42CF1BE0">
            <w:pPr>
              <w:spacing w:before="0" w:beforeAutospacing="off" w:after="0" w:afterAutospacing="off"/>
            </w:pPr>
            <w:r w:rsidR="6CE87F25">
              <w:rPr/>
              <w:t>September 2025</w:t>
            </w:r>
          </w:p>
        </w:tc>
        <w:tc>
          <w:tcPr>
            <w:tcW w:w="1815" w:type="dxa"/>
            <w:tcMar/>
            <w:vAlign w:val="center"/>
          </w:tcPr>
          <w:p w:rsidR="6CE87F25" w:rsidP="6CE87F25" w:rsidRDefault="6CE87F25" w14:paraId="6117A6B0" w14:textId="33641B51">
            <w:pPr>
              <w:spacing w:before="0" w:beforeAutospacing="off" w:after="0" w:afterAutospacing="off"/>
            </w:pPr>
            <w:r w:rsidR="27785B26">
              <w:rPr/>
              <w:t>Ju</w:t>
            </w:r>
            <w:r w:rsidR="73CF7234">
              <w:rPr/>
              <w:t>ly</w:t>
            </w:r>
            <w:r w:rsidR="27785B26">
              <w:rPr/>
              <w:t xml:space="preserve"> 2026</w:t>
            </w:r>
          </w:p>
        </w:tc>
      </w:tr>
      <w:tr w:rsidR="6CE87F25" w:rsidTr="70B6DA71" w14:paraId="0105A510">
        <w:trPr>
          <w:trHeight w:val="300"/>
        </w:trPr>
        <w:tc>
          <w:tcPr>
            <w:tcW w:w="2970" w:type="dxa"/>
            <w:tcMar/>
            <w:vAlign w:val="center"/>
          </w:tcPr>
          <w:p w:rsidR="6CE87F25" w:rsidP="6CE87F25" w:rsidRDefault="6CE87F25" w14:paraId="6E0A0A0A" w14:textId="20766BD5">
            <w:pPr>
              <w:spacing w:before="0" w:beforeAutospacing="off" w:after="0" w:afterAutospacing="off"/>
            </w:pPr>
            <w:r w:rsidR="6CE87F25">
              <w:rPr/>
              <w:t>Complete Level 6</w:t>
            </w:r>
          </w:p>
        </w:tc>
        <w:tc>
          <w:tcPr>
            <w:tcW w:w="1845" w:type="dxa"/>
            <w:tcMar/>
            <w:vAlign w:val="center"/>
          </w:tcPr>
          <w:p w:rsidR="6CE87F25" w:rsidP="6CE87F25" w:rsidRDefault="6CE87F25" w14:paraId="66B6E355" w14:textId="11DC0402">
            <w:pPr>
              <w:spacing w:before="0" w:beforeAutospacing="off" w:after="0" w:afterAutospacing="off"/>
            </w:pPr>
            <w:r w:rsidR="6CE87F25">
              <w:rPr/>
              <w:t>September 2026</w:t>
            </w:r>
          </w:p>
        </w:tc>
        <w:tc>
          <w:tcPr>
            <w:tcW w:w="1815" w:type="dxa"/>
            <w:tcMar/>
            <w:vAlign w:val="center"/>
          </w:tcPr>
          <w:p w:rsidR="6CE87F25" w:rsidP="6CE87F25" w:rsidRDefault="6CE87F25" w14:paraId="27EF80F4" w14:textId="76C54EA8">
            <w:pPr>
              <w:spacing w:before="0" w:beforeAutospacing="off" w:after="0" w:afterAutospacing="off"/>
            </w:pPr>
            <w:r w:rsidR="27785B26">
              <w:rPr/>
              <w:t>Ju</w:t>
            </w:r>
            <w:r w:rsidR="1D87E55F">
              <w:rPr/>
              <w:t>ly</w:t>
            </w:r>
            <w:r w:rsidR="27785B26">
              <w:rPr/>
              <w:t xml:space="preserve"> 2027</w:t>
            </w:r>
          </w:p>
        </w:tc>
      </w:tr>
      <w:tr w:rsidR="6CE87F25" w:rsidTr="70B6DA71" w14:paraId="7E05D3AA">
        <w:trPr>
          <w:trHeight w:val="300"/>
        </w:trPr>
        <w:tc>
          <w:tcPr>
            <w:tcW w:w="2970" w:type="dxa"/>
            <w:tcMar/>
            <w:vAlign w:val="center"/>
          </w:tcPr>
          <w:p w:rsidR="6CE87F25" w:rsidP="6CE87F25" w:rsidRDefault="6CE87F25" w14:paraId="5E736DD6" w14:textId="7D9D644E">
            <w:pPr>
              <w:spacing w:before="0" w:beforeAutospacing="off" w:after="0" w:afterAutospacing="off"/>
            </w:pPr>
            <w:r w:rsidR="6CE87F25">
              <w:rPr/>
              <w:t>Gain Healthcare Experience</w:t>
            </w:r>
          </w:p>
        </w:tc>
        <w:tc>
          <w:tcPr>
            <w:tcW w:w="1845" w:type="dxa"/>
            <w:tcMar/>
            <w:vAlign w:val="center"/>
          </w:tcPr>
          <w:p w:rsidR="6CE87F25" w:rsidP="6CE87F25" w:rsidRDefault="6CE87F25" w14:paraId="1B7E5BC2" w14:textId="61D33233">
            <w:pPr>
              <w:spacing w:before="0" w:beforeAutospacing="off" w:after="0" w:afterAutospacing="off"/>
            </w:pPr>
            <w:r w:rsidR="6CE87F25">
              <w:rPr/>
              <w:t>January 2026</w:t>
            </w:r>
          </w:p>
        </w:tc>
        <w:tc>
          <w:tcPr>
            <w:tcW w:w="1815" w:type="dxa"/>
            <w:tcMar/>
            <w:vAlign w:val="center"/>
          </w:tcPr>
          <w:p w:rsidR="6CE87F25" w:rsidP="6CE87F25" w:rsidRDefault="6CE87F25" w14:paraId="3B221316" w14:textId="2739A464">
            <w:pPr>
              <w:spacing w:before="0" w:beforeAutospacing="off" w:after="0" w:afterAutospacing="off"/>
            </w:pPr>
            <w:r w:rsidR="6CE87F25">
              <w:rPr/>
              <w:t>December 2027</w:t>
            </w:r>
          </w:p>
        </w:tc>
      </w:tr>
      <w:tr w:rsidR="6CE87F25" w:rsidTr="70B6DA71" w14:paraId="03DDA90B">
        <w:trPr>
          <w:trHeight w:val="300"/>
        </w:trPr>
        <w:tc>
          <w:tcPr>
            <w:tcW w:w="2970" w:type="dxa"/>
            <w:tcMar/>
            <w:vAlign w:val="center"/>
          </w:tcPr>
          <w:p w:rsidR="6CE87F25" w:rsidP="6CE87F25" w:rsidRDefault="6CE87F25" w14:paraId="4770CF2D" w14:textId="3F38E59D">
            <w:pPr>
              <w:spacing w:before="0" w:beforeAutospacing="off" w:after="0" w:afterAutospacing="off"/>
            </w:pPr>
            <w:r w:rsidR="6CE87F25">
              <w:rPr/>
              <w:t>Improve CV and LinkedIn</w:t>
            </w:r>
          </w:p>
        </w:tc>
        <w:tc>
          <w:tcPr>
            <w:tcW w:w="1845" w:type="dxa"/>
            <w:tcMar/>
            <w:vAlign w:val="center"/>
          </w:tcPr>
          <w:p w:rsidR="6CE87F25" w:rsidP="6CE87F25" w:rsidRDefault="6CE87F25" w14:paraId="5B7D77A9" w14:textId="71264007">
            <w:pPr>
              <w:spacing w:before="0" w:beforeAutospacing="off" w:after="0" w:afterAutospacing="off"/>
            </w:pPr>
            <w:r w:rsidR="6CE87F25">
              <w:rPr/>
              <w:t>June 2026</w:t>
            </w:r>
          </w:p>
        </w:tc>
        <w:tc>
          <w:tcPr>
            <w:tcW w:w="1815" w:type="dxa"/>
            <w:tcMar/>
            <w:vAlign w:val="center"/>
          </w:tcPr>
          <w:p w:rsidR="6CE87F25" w:rsidP="6CE87F25" w:rsidRDefault="6CE87F25" w14:paraId="6FA84C74" w14:textId="3E08E4BC">
            <w:pPr>
              <w:spacing w:before="0" w:beforeAutospacing="off" w:after="0" w:afterAutospacing="off"/>
            </w:pPr>
            <w:r w:rsidR="6CE87F25">
              <w:rPr/>
              <w:t>August 2026</w:t>
            </w:r>
          </w:p>
        </w:tc>
      </w:tr>
      <w:tr w:rsidR="6CE87F25" w:rsidTr="70B6DA71" w14:paraId="6D850F41">
        <w:trPr>
          <w:trHeight w:val="300"/>
        </w:trPr>
        <w:tc>
          <w:tcPr>
            <w:tcW w:w="2970" w:type="dxa"/>
            <w:tcMar/>
            <w:vAlign w:val="center"/>
          </w:tcPr>
          <w:p w:rsidR="6CE87F25" w:rsidP="6CE87F25" w:rsidRDefault="6CE87F25" w14:paraId="685417C2" w14:textId="3437A6C9">
            <w:pPr>
              <w:spacing w:before="0" w:beforeAutospacing="off" w:after="0" w:afterAutospacing="off"/>
            </w:pPr>
            <w:r w:rsidR="6CE87F25">
              <w:rPr/>
              <w:t>Apply for Healthcare Roles</w:t>
            </w:r>
          </w:p>
        </w:tc>
        <w:tc>
          <w:tcPr>
            <w:tcW w:w="1845" w:type="dxa"/>
            <w:tcMar/>
            <w:vAlign w:val="center"/>
          </w:tcPr>
          <w:p w:rsidR="6CE87F25" w:rsidP="6CE87F25" w:rsidRDefault="6CE87F25" w14:paraId="7FAFF441" w14:textId="02AFD01A">
            <w:pPr>
              <w:spacing w:before="0" w:beforeAutospacing="off" w:after="0" w:afterAutospacing="off"/>
            </w:pPr>
            <w:r w:rsidR="6CE87F25">
              <w:rPr/>
              <w:t>January 2027</w:t>
            </w:r>
          </w:p>
        </w:tc>
        <w:tc>
          <w:tcPr>
            <w:tcW w:w="1815" w:type="dxa"/>
            <w:tcMar/>
            <w:vAlign w:val="center"/>
          </w:tcPr>
          <w:p w:rsidR="6CE87F25" w:rsidP="6CE87F25" w:rsidRDefault="6CE87F25" w14:paraId="02D83FFE" w14:textId="1BA9A7B6">
            <w:pPr>
              <w:spacing w:before="0" w:beforeAutospacing="off" w:after="0" w:afterAutospacing="off"/>
            </w:pPr>
            <w:r w:rsidR="6CE87F25">
              <w:rPr/>
              <w:t>July 2027</w:t>
            </w:r>
          </w:p>
        </w:tc>
      </w:tr>
      <w:tr w:rsidR="6CE87F25" w:rsidTr="70B6DA71" w14:paraId="6C9ABF06">
        <w:trPr>
          <w:trHeight w:val="300"/>
        </w:trPr>
        <w:tc>
          <w:tcPr>
            <w:tcW w:w="2970" w:type="dxa"/>
            <w:tcMar/>
            <w:vAlign w:val="center"/>
          </w:tcPr>
          <w:p w:rsidR="6CE87F25" w:rsidP="6CE87F25" w:rsidRDefault="6CE87F25" w14:paraId="39B23B37" w14:textId="2293C1C2">
            <w:pPr>
              <w:spacing w:before="0" w:beforeAutospacing="off" w:after="0" w:afterAutospacing="off"/>
            </w:pPr>
            <w:r w:rsidR="6CE87F25">
              <w:rPr/>
              <w:t>Attend Additional Training</w:t>
            </w:r>
          </w:p>
        </w:tc>
        <w:tc>
          <w:tcPr>
            <w:tcW w:w="1845" w:type="dxa"/>
            <w:tcMar/>
            <w:vAlign w:val="center"/>
          </w:tcPr>
          <w:p w:rsidR="6CE87F25" w:rsidP="6CE87F25" w:rsidRDefault="6CE87F25" w14:paraId="72C2FE18" w14:textId="2E738185">
            <w:pPr>
              <w:spacing w:before="0" w:beforeAutospacing="off" w:after="0" w:afterAutospacing="off"/>
            </w:pPr>
            <w:r w:rsidR="6CE87F25">
              <w:rPr/>
              <w:t>Ongoing</w:t>
            </w:r>
          </w:p>
        </w:tc>
        <w:tc>
          <w:tcPr>
            <w:tcW w:w="1815" w:type="dxa"/>
            <w:tcMar/>
            <w:vAlign w:val="center"/>
          </w:tcPr>
          <w:p w:rsidR="6CE87F25" w:rsidP="6CE87F25" w:rsidRDefault="6CE87F25" w14:paraId="1A4306B3" w14:textId="66DBFC14">
            <w:pPr>
              <w:spacing w:before="0" w:beforeAutospacing="off" w:after="0" w:afterAutospacing="off"/>
            </w:pPr>
            <w:r w:rsidR="6CE87F25">
              <w:rPr/>
              <w:t>Ongoing</w:t>
            </w:r>
          </w:p>
        </w:tc>
      </w:tr>
    </w:tbl>
    <w:p xmlns:wp14="http://schemas.microsoft.com/office/word/2010/wordml" wp14:paraId="786ABB61" wp14:textId="067BF0DB"/>
    <w:p w:rsidR="70B6DA71" w:rsidRDefault="70B6DA71" w14:paraId="57699A66" w14:textId="4FCF9008"/>
    <w:p w:rsidR="478BD67E" w:rsidRDefault="478BD67E" w14:paraId="136C26DF" w14:textId="049A6084">
      <w:r w:rsidR="478BD67E">
        <w:drawing>
          <wp:inline wp14:editId="7445CB1E" wp14:anchorId="71DF683E">
            <wp:extent cx="5943600" cy="4457700"/>
            <wp:effectExtent l="0" t="0" r="0" b="0"/>
            <wp:docPr id="18565312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56531289" name="Picture 1856531289"/>
                    <pic:cNvPicPr/>
                  </pic:nvPicPr>
                  <pic:blipFill>
                    <a:blip xmlns:r="http://schemas.openxmlformats.org/officeDocument/2006/relationships" r:embed="rId513395732">
                      <a:extLst>
                        <a:ext uri="{28A0092B-C50C-407E-A947-70E740481C1C}">
                          <a14:useLocalDpi xmlns:a14="http://schemas.microsoft.com/office/drawing/2010/main"/>
                        </a:ext>
                      </a:extLst>
                    </a:blip>
                    <a:stretch>
                      <a:fillRect/>
                    </a:stretch>
                  </pic:blipFill>
                  <pic:spPr>
                    <a:xfrm>
                      <a:off x="0" y="0"/>
                      <a:ext cx="5943600" cy="4457700"/>
                    </a:xfrm>
                    <a:prstGeom prst="rect">
                      <a:avLst/>
                    </a:prstGeom>
                  </pic:spPr>
                </pic:pic>
              </a:graphicData>
            </a:graphic>
          </wp:inline>
        </w:drawing>
      </w:r>
    </w:p>
    <w:p xmlns:wp14="http://schemas.microsoft.com/office/word/2010/wordml" w:rsidP="6CE87F25" wp14:paraId="148FF592" wp14:textId="6B810AE1">
      <w:pPr>
        <w:pStyle w:val="Heading1"/>
        <w:bidi w:val="0"/>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TASK 7 – CHANGE MANAGEMENT PLAN</w:t>
      </w:r>
    </w:p>
    <w:p xmlns:wp14="http://schemas.microsoft.com/office/word/2010/wordml" w:rsidP="6CE87F25" wp14:paraId="2D9ECBB8" wp14:textId="72250CDE">
      <w:pPr>
        <w:pStyle w:val="Heading2"/>
        <w:bidi w:val="0"/>
        <w:spacing w:before="299" w:beforeAutospacing="off" w:after="299" w:afterAutospacing="off"/>
      </w:pPr>
      <w:r w:rsidRPr="6CE87F25" w:rsidR="25853D07">
        <w:rPr>
          <w:rFonts w:ascii="Times New Roman" w:hAnsi="Times New Roman" w:eastAsia="Times New Roman" w:cs="Times New Roman"/>
          <w:b w:val="1"/>
          <w:bCs w:val="1"/>
          <w:noProof w:val="0"/>
          <w:sz w:val="36"/>
          <w:szCs w:val="36"/>
          <w:lang w:val="en-US"/>
        </w:rPr>
        <w:t>Introducing a Digital Scheduling System within a Care Home</w:t>
      </w:r>
    </w:p>
    <w:p xmlns:wp14="http://schemas.microsoft.com/office/word/2010/wordml" w:rsidP="6CE87F25" wp14:paraId="1AA6907B" wp14:textId="58233B7F">
      <w:pPr>
        <w:pStyle w:val="Heading3"/>
        <w:bidi w:val="0"/>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Introduction</w:t>
      </w:r>
    </w:p>
    <w:p xmlns:wp14="http://schemas.microsoft.com/office/word/2010/wordml" w:rsidP="6CE87F25" wp14:paraId="1039F54D" wp14:textId="3202F31A">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As a manager within a care home environment, I would like to introduce a digital scheduling system for medication administration and personal care tasks. Recently, the care home has experienced complaints regarding delays in medication rounds and support with daily activities. Implementing a digital scheduling system could improve organisation, efficiency, and patient satisfaction.</w:t>
      </w:r>
    </w:p>
    <w:p xmlns:wp14="http://schemas.microsoft.com/office/word/2010/wordml" w:rsidP="6CE87F25" wp14:paraId="13CB6354" wp14:textId="5959E899">
      <w:pPr>
        <w:pStyle w:val="Heading3"/>
        <w:bidi w:val="0"/>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Planning the Change</w:t>
      </w:r>
    </w:p>
    <w:p xmlns:wp14="http://schemas.microsoft.com/office/word/2010/wordml" w:rsidP="6CE87F25" wp14:paraId="3B7F6011" wp14:textId="581E3244">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The main aim of the change is to improve communication and reduce delays in patient care. Currently, staff rely heavily on manual routines, which may increase confusion and the risk of missed or delayed care tasks. Introducing a digital scheduling system would allow carers and nurses to organise care activities more effectively.</w:t>
      </w:r>
    </w:p>
    <w:p xmlns:wp14="http://schemas.microsoft.com/office/word/2010/wordml" w:rsidP="6CE87F25" wp14:paraId="59A75312" wp14:textId="5057F304">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Lewin’s Change Theory could support implementation because it provides a structured and gradual approach to organisational change. The unfreezing stage would involve preparing staff for the change and explaining why improvements are necessary. The moving stage would involve staff training and gradual introduction of the new system. Finally, the refreezing stage would ensure the system becomes part of everyday practice.</w:t>
      </w:r>
    </w:p>
    <w:p xmlns:wp14="http://schemas.microsoft.com/office/word/2010/wordml" w:rsidP="6CE87F25" wp14:paraId="4C3A12F0" wp14:textId="1A043DBC">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Lewin’s model is particularly suitable within care home environments because it provides a gradual and structured approach to organisational change, which may reduce anxiety amongst staff already working under pressure. However, one limitation of the model is that healthcare environments constantly evolve, meaning organisational change is rarely permanent. Despite this limitation, the model remains useful because it encourages communication, staff involvement, and structured implementation.</w:t>
      </w:r>
    </w:p>
    <w:p xmlns:wp14="http://schemas.microsoft.com/office/word/2010/wordml" w:rsidP="6CE87F25" wp14:paraId="4AC3DB3A" wp14:textId="5DE0F512">
      <w:pPr>
        <w:pStyle w:val="Heading3"/>
        <w:bidi w:val="0"/>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Skills Required</w:t>
      </w:r>
    </w:p>
    <w:p xmlns:wp14="http://schemas.microsoft.com/office/word/2010/wordml" w:rsidP="6CE87F25" wp14:paraId="4424E55F" wp14:textId="65530786">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Several management skills would be necessary to implement this change successfully. Communication skills are important because staff need clear explanations regarding the purpose and benefits of the system. Leadership skills are also essential because managers must motivate staff and manage concerns professionally.</w:t>
      </w:r>
    </w:p>
    <w:p xmlns:wp14="http://schemas.microsoft.com/office/word/2010/wordml" w:rsidP="6CE87F25" wp14:paraId="716CD17D" wp14:textId="726C6560">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Conflict resolution and problem-solving skills may be required if staff resist using digital systems. Time management and organisational skills are also necessary to ensure staff training and implementation occur effectively without negatively affecting patient care.</w:t>
      </w:r>
    </w:p>
    <w:p xmlns:wp14="http://schemas.microsoft.com/office/word/2010/wordml" w:rsidP="6CE87F25" wp14:paraId="7F004A90" wp14:textId="6E5D4FCA">
      <w:pPr>
        <w:pStyle w:val="Heading3"/>
        <w:bidi w:val="0"/>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Barriers and Solutions</w:t>
      </w:r>
    </w:p>
    <w:p xmlns:wp14="http://schemas.microsoft.com/office/word/2010/wordml" w:rsidP="6CE87F25" wp14:paraId="24CA985C" wp14:textId="7585440F">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One major barrier could be staff resistance because some employees may feel uncomfortable using digital technology. This could be reduced through staff training, support sessions, and involving employees within decision-making processes.</w:t>
      </w:r>
    </w:p>
    <w:p xmlns:wp14="http://schemas.microsoft.com/office/word/2010/wordml" w:rsidP="6CE87F25" wp14:paraId="30C2A8F7" wp14:textId="1379DD9C">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Financial limitations may also create difficulties because digital systems can be expensive. However, phased implementation could reduce financial pressure and allow management to monitor effectiveness before full implementation.</w:t>
      </w:r>
    </w:p>
    <w:p xmlns:wp14="http://schemas.microsoft.com/office/word/2010/wordml" w:rsidP="6CE87F25" wp14:paraId="0A51196F" wp14:textId="6D9741FD">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Another barrier could involve workload pressures because staff are already busy. Flexible training sessions and additional support during implementation could help reduce stress and improve staff confidence.</w:t>
      </w:r>
    </w:p>
    <w:p xmlns:wp14="http://schemas.microsoft.com/office/word/2010/wordml" w:rsidP="6CE87F25" wp14:paraId="7006C5D6" wp14:textId="6CB61C6A">
      <w:pPr>
        <w:pStyle w:val="Heading3"/>
        <w:bidi w:val="0"/>
        <w:spacing w:before="281" w:beforeAutospacing="off" w:after="281" w:afterAutospacing="off"/>
      </w:pPr>
      <w:r w:rsidRPr="6CE87F25" w:rsidR="25853D07">
        <w:rPr>
          <w:rFonts w:ascii="Times New Roman" w:hAnsi="Times New Roman" w:eastAsia="Times New Roman" w:cs="Times New Roman"/>
          <w:b w:val="1"/>
          <w:bCs w:val="1"/>
          <w:noProof w:val="0"/>
          <w:sz w:val="28"/>
          <w:szCs w:val="28"/>
          <w:lang w:val="en-US"/>
        </w:rPr>
        <w:t>Conclusion</w:t>
      </w:r>
    </w:p>
    <w:p xmlns:wp14="http://schemas.microsoft.com/office/word/2010/wordml" w:rsidP="6CE87F25" wp14:paraId="5BFC940B" wp14:textId="43180A27">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Overall, introducing a digital scheduling system could improve organisation, reduce patient complaints, and support safer care delivery within the care home environment. Although barriers such as resistance and financial limitations may occur, effective leadership, communication, and staff involvement could help ensure successful implementation.</w:t>
      </w:r>
    </w:p>
    <w:p xmlns:wp14="http://schemas.microsoft.com/office/word/2010/wordml" wp14:paraId="61AB70F9" wp14:textId="1E86F702"/>
    <w:p xmlns:wp14="http://schemas.microsoft.com/office/word/2010/wordml" wp14:paraId="0FE955C1" wp14:textId="64ABFC8C"/>
    <w:p xmlns:wp14="http://schemas.microsoft.com/office/word/2010/wordml" w:rsidP="6CE87F25" wp14:paraId="2D8C725B" wp14:textId="53A31A78">
      <w:pPr>
        <w:pStyle w:val="Heading1"/>
        <w:bidi w:val="0"/>
        <w:spacing w:before="322" w:beforeAutospacing="off" w:after="322" w:afterAutospacing="off"/>
      </w:pPr>
      <w:r w:rsidRPr="6CE87F25" w:rsidR="25853D07">
        <w:rPr>
          <w:rFonts w:ascii="Times New Roman" w:hAnsi="Times New Roman" w:eastAsia="Times New Roman" w:cs="Times New Roman"/>
          <w:b w:val="1"/>
          <w:bCs w:val="1"/>
          <w:noProof w:val="0"/>
          <w:sz w:val="48"/>
          <w:szCs w:val="48"/>
          <w:lang w:val="en-US"/>
        </w:rPr>
        <w:t>REFERENCE LIST</w:t>
      </w:r>
    </w:p>
    <w:p xmlns:wp14="http://schemas.microsoft.com/office/word/2010/wordml" w:rsidP="6CE87F25" wp14:paraId="6F8EA6CB" wp14:textId="61EE8CDF">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Cottrell, S. (2021) </w:t>
      </w:r>
      <w:r w:rsidRPr="6CE87F25" w:rsidR="25853D07">
        <w:rPr>
          <w:rFonts w:ascii="Times New Roman" w:hAnsi="Times New Roman" w:eastAsia="Times New Roman" w:cs="Times New Roman"/>
          <w:i w:val="1"/>
          <w:iCs w:val="1"/>
          <w:noProof w:val="0"/>
          <w:sz w:val="24"/>
          <w:szCs w:val="24"/>
          <w:lang w:val="en-US"/>
        </w:rPr>
        <w:t>Skills for Success: Personal Development and Employability</w:t>
      </w:r>
      <w:r w:rsidRPr="6CE87F25" w:rsidR="25853D07">
        <w:rPr>
          <w:rFonts w:ascii="Times New Roman" w:hAnsi="Times New Roman" w:eastAsia="Times New Roman" w:cs="Times New Roman"/>
          <w:noProof w:val="0"/>
          <w:sz w:val="24"/>
          <w:szCs w:val="24"/>
          <w:lang w:val="en-US"/>
        </w:rPr>
        <w:t>. 5th edn. London: Red Globe Press.</w:t>
      </w:r>
    </w:p>
    <w:p xmlns:wp14="http://schemas.microsoft.com/office/word/2010/wordml" w:rsidP="6CE87F25" wp14:paraId="725A917A" wp14:textId="11561F41">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Doran, G.T. (1981) ‘There’s a S.M.A.R.T. way to write management’s goals and objectives’, </w:t>
      </w:r>
      <w:r w:rsidRPr="6CE87F25" w:rsidR="25853D07">
        <w:rPr>
          <w:rFonts w:ascii="Times New Roman" w:hAnsi="Times New Roman" w:eastAsia="Times New Roman" w:cs="Times New Roman"/>
          <w:i w:val="1"/>
          <w:iCs w:val="1"/>
          <w:noProof w:val="0"/>
          <w:sz w:val="24"/>
          <w:szCs w:val="24"/>
          <w:lang w:val="en-US"/>
        </w:rPr>
        <w:t>Management Review</w:t>
      </w:r>
      <w:r w:rsidRPr="6CE87F25" w:rsidR="25853D07">
        <w:rPr>
          <w:rFonts w:ascii="Times New Roman" w:hAnsi="Times New Roman" w:eastAsia="Times New Roman" w:cs="Times New Roman"/>
          <w:noProof w:val="0"/>
          <w:sz w:val="24"/>
          <w:szCs w:val="24"/>
          <w:lang w:val="en-US"/>
        </w:rPr>
        <w:t>, 70(11), pp. 35–36.</w:t>
      </w:r>
    </w:p>
    <w:p xmlns:wp14="http://schemas.microsoft.com/office/word/2010/wordml" w:rsidP="6CE87F25" wp14:paraId="02DB95C9" wp14:textId="22B9028F">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Lewin, K. (1951) </w:t>
      </w:r>
      <w:r w:rsidRPr="6CE87F25" w:rsidR="25853D07">
        <w:rPr>
          <w:rFonts w:ascii="Times New Roman" w:hAnsi="Times New Roman" w:eastAsia="Times New Roman" w:cs="Times New Roman"/>
          <w:i w:val="1"/>
          <w:iCs w:val="1"/>
          <w:noProof w:val="0"/>
          <w:sz w:val="24"/>
          <w:szCs w:val="24"/>
          <w:lang w:val="en-US"/>
        </w:rPr>
        <w:t>Field Theory in Social Science</w:t>
      </w:r>
      <w:r w:rsidRPr="6CE87F25" w:rsidR="25853D07">
        <w:rPr>
          <w:rFonts w:ascii="Times New Roman" w:hAnsi="Times New Roman" w:eastAsia="Times New Roman" w:cs="Times New Roman"/>
          <w:noProof w:val="0"/>
          <w:sz w:val="24"/>
          <w:szCs w:val="24"/>
          <w:lang w:val="en-US"/>
        </w:rPr>
        <w:t>. New York: Harper and Row.</w:t>
      </w:r>
    </w:p>
    <w:p xmlns:wp14="http://schemas.microsoft.com/office/word/2010/wordml" w:rsidP="6CE87F25" wp14:paraId="70A9E2E5" wp14:textId="5BE32123">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NHS England (2023) </w:t>
      </w:r>
      <w:r w:rsidRPr="6CE87F25" w:rsidR="25853D07">
        <w:rPr>
          <w:rFonts w:ascii="Times New Roman" w:hAnsi="Times New Roman" w:eastAsia="Times New Roman" w:cs="Times New Roman"/>
          <w:i w:val="1"/>
          <w:iCs w:val="1"/>
          <w:noProof w:val="0"/>
          <w:sz w:val="24"/>
          <w:szCs w:val="24"/>
          <w:lang w:val="en-US"/>
        </w:rPr>
        <w:t>Digital Inclusion for Health and Social Care</w:t>
      </w:r>
      <w:r w:rsidRPr="6CE87F25" w:rsidR="25853D07">
        <w:rPr>
          <w:rFonts w:ascii="Times New Roman" w:hAnsi="Times New Roman" w:eastAsia="Times New Roman" w:cs="Times New Roman"/>
          <w:noProof w:val="0"/>
          <w:sz w:val="24"/>
          <w:szCs w:val="24"/>
          <w:lang w:val="en-US"/>
        </w:rPr>
        <w:t xml:space="preserve">. Available at: </w:t>
      </w:r>
      <w:hyperlink r:id="R052d6e4a7b2e4786">
        <w:r w:rsidRPr="6CE87F25" w:rsidR="25853D07">
          <w:rPr>
            <w:rStyle w:val="Hyperlink"/>
            <w:noProof w:val="0"/>
            <w:lang w:val="en-US"/>
          </w:rPr>
          <w:t>https://www.england.nhs.uk</w:t>
        </w:r>
      </w:hyperlink>
      <w:r w:rsidRPr="6CE87F25" w:rsidR="25853D07">
        <w:rPr>
          <w:rFonts w:ascii="Times New Roman" w:hAnsi="Times New Roman" w:eastAsia="Times New Roman" w:cs="Times New Roman"/>
          <w:noProof w:val="0"/>
          <w:sz w:val="24"/>
          <w:szCs w:val="24"/>
          <w:lang w:val="en-US"/>
        </w:rPr>
        <w:t xml:space="preserve"> (Accessed: 23 May 2026).</w:t>
      </w:r>
    </w:p>
    <w:p xmlns:wp14="http://schemas.microsoft.com/office/word/2010/wordml" w:rsidP="6CE87F25" wp14:paraId="1F964D5A" wp14:textId="2140F1D2">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Office for National Statistics (2023) </w:t>
      </w:r>
      <w:r w:rsidRPr="6CE87F25" w:rsidR="25853D07">
        <w:rPr>
          <w:rFonts w:ascii="Times New Roman" w:hAnsi="Times New Roman" w:eastAsia="Times New Roman" w:cs="Times New Roman"/>
          <w:i w:val="1"/>
          <w:iCs w:val="1"/>
          <w:noProof w:val="0"/>
          <w:sz w:val="24"/>
          <w:szCs w:val="24"/>
          <w:lang w:val="en-US"/>
        </w:rPr>
        <w:t>Exploring the UK’s Digital Divide</w:t>
      </w:r>
      <w:r w:rsidRPr="6CE87F25" w:rsidR="25853D07">
        <w:rPr>
          <w:rFonts w:ascii="Times New Roman" w:hAnsi="Times New Roman" w:eastAsia="Times New Roman" w:cs="Times New Roman"/>
          <w:noProof w:val="0"/>
          <w:sz w:val="24"/>
          <w:szCs w:val="24"/>
          <w:lang w:val="en-US"/>
        </w:rPr>
        <w:t xml:space="preserve">. Available at: </w:t>
      </w:r>
      <w:hyperlink r:id="Re4f1adc27eeb456b">
        <w:r w:rsidRPr="6CE87F25" w:rsidR="25853D07">
          <w:rPr>
            <w:rStyle w:val="Hyperlink"/>
            <w:noProof w:val="0"/>
            <w:lang w:val="en-US"/>
          </w:rPr>
          <w:t>https://www.ons.gov.uk</w:t>
        </w:r>
      </w:hyperlink>
      <w:r w:rsidRPr="6CE87F25" w:rsidR="25853D07">
        <w:rPr>
          <w:rFonts w:ascii="Times New Roman" w:hAnsi="Times New Roman" w:eastAsia="Times New Roman" w:cs="Times New Roman"/>
          <w:noProof w:val="0"/>
          <w:sz w:val="24"/>
          <w:szCs w:val="24"/>
          <w:lang w:val="en-US"/>
        </w:rPr>
        <w:t xml:space="preserve"> (Accessed: 23 May 2026).</w:t>
      </w:r>
    </w:p>
    <w:p xmlns:wp14="http://schemas.microsoft.com/office/word/2010/wordml" w:rsidP="6CE87F25" wp14:paraId="765547E4" wp14:textId="3B483BDF">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Peters, T. (1997) ‘The Brand Called You’, </w:t>
      </w:r>
      <w:r w:rsidRPr="6CE87F25" w:rsidR="25853D07">
        <w:rPr>
          <w:rFonts w:ascii="Times New Roman" w:hAnsi="Times New Roman" w:eastAsia="Times New Roman" w:cs="Times New Roman"/>
          <w:i w:val="1"/>
          <w:iCs w:val="1"/>
          <w:noProof w:val="0"/>
          <w:sz w:val="24"/>
          <w:szCs w:val="24"/>
          <w:lang w:val="en-US"/>
        </w:rPr>
        <w:t>Fast Company</w:t>
      </w:r>
      <w:r w:rsidRPr="6CE87F25" w:rsidR="25853D07">
        <w:rPr>
          <w:rFonts w:ascii="Times New Roman" w:hAnsi="Times New Roman" w:eastAsia="Times New Roman" w:cs="Times New Roman"/>
          <w:noProof w:val="0"/>
          <w:sz w:val="24"/>
          <w:szCs w:val="24"/>
          <w:lang w:val="en-US"/>
        </w:rPr>
        <w:t>, 10, pp. 83–90.</w:t>
      </w:r>
    </w:p>
    <w:p xmlns:wp14="http://schemas.microsoft.com/office/word/2010/wordml" w:rsidP="6CE87F25" wp14:paraId="3D0ED635" wp14:textId="2F6B6591">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Putnam, R.D. (2000) </w:t>
      </w:r>
      <w:r w:rsidRPr="6CE87F25" w:rsidR="25853D07">
        <w:rPr>
          <w:rFonts w:ascii="Times New Roman" w:hAnsi="Times New Roman" w:eastAsia="Times New Roman" w:cs="Times New Roman"/>
          <w:i w:val="1"/>
          <w:iCs w:val="1"/>
          <w:noProof w:val="0"/>
          <w:sz w:val="24"/>
          <w:szCs w:val="24"/>
          <w:lang w:val="en-US"/>
        </w:rPr>
        <w:t>Bowling Alone: The Collapse and Revival of American Community</w:t>
      </w:r>
      <w:r w:rsidRPr="6CE87F25" w:rsidR="25853D07">
        <w:rPr>
          <w:rFonts w:ascii="Times New Roman" w:hAnsi="Times New Roman" w:eastAsia="Times New Roman" w:cs="Times New Roman"/>
          <w:noProof w:val="0"/>
          <w:sz w:val="24"/>
          <w:szCs w:val="24"/>
          <w:lang w:val="en-US"/>
        </w:rPr>
        <w:t>. New York: Simon and Schuster.</w:t>
      </w:r>
    </w:p>
    <w:p xmlns:wp14="http://schemas.microsoft.com/office/word/2010/wordml" w:rsidP="6CE87F25" wp14:paraId="288077DD" wp14:textId="075F8407">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Tymon, A. and Mackay, M. (2016) </w:t>
      </w:r>
      <w:r w:rsidRPr="6CE87F25" w:rsidR="25853D07">
        <w:rPr>
          <w:rFonts w:ascii="Times New Roman" w:hAnsi="Times New Roman" w:eastAsia="Times New Roman" w:cs="Times New Roman"/>
          <w:i w:val="1"/>
          <w:iCs w:val="1"/>
          <w:noProof w:val="0"/>
          <w:sz w:val="24"/>
          <w:szCs w:val="24"/>
          <w:lang w:val="en-US"/>
        </w:rPr>
        <w:t>Employability and Career Development in Higher Education</w:t>
      </w:r>
      <w:r w:rsidRPr="6CE87F25" w:rsidR="25853D07">
        <w:rPr>
          <w:rFonts w:ascii="Times New Roman" w:hAnsi="Times New Roman" w:eastAsia="Times New Roman" w:cs="Times New Roman"/>
          <w:noProof w:val="0"/>
          <w:sz w:val="24"/>
          <w:szCs w:val="24"/>
          <w:lang w:val="en-US"/>
        </w:rPr>
        <w:t>. London: Sage.</w:t>
      </w:r>
    </w:p>
    <w:p xmlns:wp14="http://schemas.microsoft.com/office/word/2010/wordml" w:rsidP="6CE87F25" wp14:paraId="01D29B2A" wp14:textId="2025E444">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Burnes, B. (2020) </w:t>
      </w:r>
      <w:r w:rsidRPr="6CE87F25" w:rsidR="25853D07">
        <w:rPr>
          <w:rFonts w:ascii="Times New Roman" w:hAnsi="Times New Roman" w:eastAsia="Times New Roman" w:cs="Times New Roman"/>
          <w:i w:val="1"/>
          <w:iCs w:val="1"/>
          <w:noProof w:val="0"/>
          <w:sz w:val="24"/>
          <w:szCs w:val="24"/>
          <w:lang w:val="en-US"/>
        </w:rPr>
        <w:t>Managing Change</w:t>
      </w:r>
      <w:r w:rsidRPr="6CE87F25" w:rsidR="25853D07">
        <w:rPr>
          <w:rFonts w:ascii="Times New Roman" w:hAnsi="Times New Roman" w:eastAsia="Times New Roman" w:cs="Times New Roman"/>
          <w:noProof w:val="0"/>
          <w:sz w:val="24"/>
          <w:szCs w:val="24"/>
          <w:lang w:val="en-US"/>
        </w:rPr>
        <w:t>. 8th edn. Harlow: Pearson.</w:t>
      </w:r>
    </w:p>
    <w:p xmlns:wp14="http://schemas.microsoft.com/office/word/2010/wordml" w:rsidP="6CE87F25" wp14:paraId="2AA552D2" wp14:textId="57281524">
      <w:pPr>
        <w:bidi w:val="0"/>
        <w:spacing w:before="240" w:beforeAutospacing="off" w:after="240" w:afterAutospacing="off"/>
      </w:pPr>
      <w:r w:rsidRPr="6CE87F25" w:rsidR="25853D07">
        <w:rPr>
          <w:rFonts w:ascii="Times New Roman" w:hAnsi="Times New Roman" w:eastAsia="Times New Roman" w:cs="Times New Roman"/>
          <w:noProof w:val="0"/>
          <w:sz w:val="24"/>
          <w:szCs w:val="24"/>
          <w:lang w:val="en-US"/>
        </w:rPr>
        <w:t xml:space="preserve">Goleman, D. (1996) </w:t>
      </w:r>
      <w:r w:rsidRPr="6CE87F25" w:rsidR="25853D07">
        <w:rPr>
          <w:rFonts w:ascii="Times New Roman" w:hAnsi="Times New Roman" w:eastAsia="Times New Roman" w:cs="Times New Roman"/>
          <w:i w:val="1"/>
          <w:iCs w:val="1"/>
          <w:noProof w:val="0"/>
          <w:sz w:val="24"/>
          <w:szCs w:val="24"/>
          <w:lang w:val="en-US"/>
        </w:rPr>
        <w:t>Emotional Intelligence: Why it Can Matter More Than IQ</w:t>
      </w:r>
      <w:r w:rsidRPr="6CE87F25" w:rsidR="25853D07">
        <w:rPr>
          <w:rFonts w:ascii="Times New Roman" w:hAnsi="Times New Roman" w:eastAsia="Times New Roman" w:cs="Times New Roman"/>
          <w:noProof w:val="0"/>
          <w:sz w:val="24"/>
          <w:szCs w:val="24"/>
          <w:lang w:val="en-US"/>
        </w:rPr>
        <w:t>. London: Bloomsbury.</w:t>
      </w:r>
    </w:p>
    <w:p xmlns:wp14="http://schemas.microsoft.com/office/word/2010/wordml" w:rsidP="6CE87F25" wp14:paraId="2C078E63" wp14:textId="2C2DA3F4">
      <w:pPr>
        <w:rPr>
          <w:rFonts w:ascii="Times New Roman" w:hAnsi="Times New Roman" w:eastAsia="Times New Roman" w:cs="Times New Roman"/>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5e5d76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2f4e7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aa03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0cefa6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6e1da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92532"/>
    <w:rsid w:val="03253A53"/>
    <w:rsid w:val="08B1DB37"/>
    <w:rsid w:val="0BC92532"/>
    <w:rsid w:val="1D87E55F"/>
    <w:rsid w:val="25853D07"/>
    <w:rsid w:val="27785B26"/>
    <w:rsid w:val="2F378488"/>
    <w:rsid w:val="3A07EE27"/>
    <w:rsid w:val="46F5DA5A"/>
    <w:rsid w:val="478BD67E"/>
    <w:rsid w:val="4B908E52"/>
    <w:rsid w:val="5834292C"/>
    <w:rsid w:val="5B1871A4"/>
    <w:rsid w:val="5F461581"/>
    <w:rsid w:val="605AD53B"/>
    <w:rsid w:val="615269BB"/>
    <w:rsid w:val="67F6B528"/>
    <w:rsid w:val="69A67BB7"/>
    <w:rsid w:val="69A67BB7"/>
    <w:rsid w:val="6CE87F25"/>
    <w:rsid w:val="70B6DA71"/>
    <w:rsid w:val="73CF7234"/>
    <w:rsid w:val="75048B61"/>
    <w:rsid w:val="764C08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C5BE6"/>
  <w15:chartTrackingRefBased/>
  <w15:docId w15:val="{F1BE52FB-6EAB-4D35-BC43-160FA94E9B8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CE87F2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CE87F2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CE87F2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CE87F25"/>
    <w:pPr>
      <w:spacing/>
      <w:ind w:left="720"/>
      <w:contextualSpacing/>
    </w:pPr>
  </w:style>
  <w:style w:type="character" w:styleId="Hyperlink">
    <w:uiPriority w:val="99"/>
    <w:name w:val="Hyperlink"/>
    <w:basedOn w:val="DefaultParagraphFont"/>
    <w:unhideWhenUsed/>
    <w:rsid w:val="6CE87F2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england.nhs.uk/" TargetMode="External" Id="R052d6e4a7b2e4786" /><Relationship Type="http://schemas.openxmlformats.org/officeDocument/2006/relationships/hyperlink" Target="https://www.ons.gov.uk/" TargetMode="External" Id="Re4f1adc27eeb456b" /><Relationship Type="http://schemas.openxmlformats.org/officeDocument/2006/relationships/numbering" Target="numbering.xml" Id="R3d94fcc0a99045d4" /><Relationship Type="http://schemas.openxmlformats.org/officeDocument/2006/relationships/image" Target="/media/image.png" Id="rId2084816392" /><Relationship Type="http://schemas.openxmlformats.org/officeDocument/2006/relationships/image" Target="/media/image2.png" Id="rId5133957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2026-05-23T14:02:03.2152330Z</dcterms:created>
  <dcterms:modified xsi:type="dcterms:W3CDTF">2026-06-27T14:26:04.3825511Z</dcterms:modified>
  <dc:creator>Ioan Surdu (2333638)</dc:creator>
  <lastModifiedBy>Ioan Surdu (2333638)</lastModifiedBy>
</coreProperties>
</file>