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AB8C7"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101F6BC9"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2076A80E"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0319F71C"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16298E5E" w14:textId="77777777" w:rsidR="003308FD" w:rsidRDefault="00000000">
      <w:pPr>
        <w:pBdr>
          <w:top w:val="nil"/>
          <w:left w:val="nil"/>
          <w:bottom w:val="nil"/>
          <w:right w:val="nil"/>
          <w:between w:val="nil"/>
        </w:pBdr>
        <w:spacing w:after="0" w:line="480" w:lineRule="auto"/>
        <w:ind w:firstLine="720"/>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Learning in Digital Era</w:t>
      </w:r>
    </w:p>
    <w:p w14:paraId="53477189" w14:textId="77777777" w:rsidR="003308FD" w:rsidRDefault="003308FD">
      <w:pPr>
        <w:pBdr>
          <w:top w:val="nil"/>
          <w:left w:val="nil"/>
          <w:bottom w:val="nil"/>
          <w:right w:val="nil"/>
          <w:between w:val="nil"/>
        </w:pBdr>
        <w:spacing w:after="0" w:line="480" w:lineRule="auto"/>
        <w:ind w:firstLine="720"/>
        <w:jc w:val="center"/>
        <w:rPr>
          <w:rFonts w:ascii="Times New Roman" w:eastAsia="Times New Roman" w:hAnsi="Times New Roman" w:cs="Times New Roman"/>
          <w:color w:val="0E101A"/>
          <w:sz w:val="24"/>
          <w:szCs w:val="24"/>
        </w:rPr>
      </w:pPr>
    </w:p>
    <w:p w14:paraId="76DB66E3" w14:textId="77777777" w:rsidR="003308FD" w:rsidRDefault="003308FD">
      <w:pPr>
        <w:pBdr>
          <w:top w:val="nil"/>
          <w:left w:val="nil"/>
          <w:bottom w:val="nil"/>
          <w:right w:val="nil"/>
          <w:between w:val="nil"/>
        </w:pBdr>
        <w:spacing w:after="0" w:line="480" w:lineRule="auto"/>
        <w:ind w:firstLine="720"/>
        <w:jc w:val="center"/>
        <w:rPr>
          <w:rFonts w:ascii="Times New Roman" w:eastAsia="Times New Roman" w:hAnsi="Times New Roman" w:cs="Times New Roman"/>
          <w:color w:val="0E101A"/>
          <w:sz w:val="24"/>
          <w:szCs w:val="24"/>
        </w:rPr>
      </w:pPr>
    </w:p>
    <w:p w14:paraId="5A0715AA" w14:textId="77777777" w:rsidR="003308FD" w:rsidRDefault="00000000">
      <w:pPr>
        <w:pBdr>
          <w:top w:val="nil"/>
          <w:left w:val="nil"/>
          <w:bottom w:val="nil"/>
          <w:right w:val="nil"/>
          <w:between w:val="nil"/>
        </w:pBdr>
        <w:spacing w:after="0" w:line="480" w:lineRule="auto"/>
        <w:ind w:firstLine="720"/>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Muhammad Binali</w:t>
      </w:r>
    </w:p>
    <w:p w14:paraId="5CD6F6B2" w14:textId="77777777" w:rsidR="003308FD" w:rsidRDefault="00000000">
      <w:pPr>
        <w:pBdr>
          <w:top w:val="nil"/>
          <w:left w:val="nil"/>
          <w:bottom w:val="nil"/>
          <w:right w:val="nil"/>
          <w:between w:val="nil"/>
        </w:pBdr>
        <w:spacing w:after="0" w:line="480" w:lineRule="auto"/>
        <w:ind w:firstLine="720"/>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University of Wales Trinity St David</w:t>
      </w:r>
    </w:p>
    <w:p w14:paraId="3DC2DFA2" w14:textId="77777777" w:rsidR="003308FD" w:rsidRDefault="00000000">
      <w:pPr>
        <w:pBdr>
          <w:top w:val="nil"/>
          <w:left w:val="nil"/>
          <w:bottom w:val="nil"/>
          <w:right w:val="nil"/>
          <w:between w:val="nil"/>
        </w:pBdr>
        <w:spacing w:after="0" w:line="480" w:lineRule="auto"/>
        <w:ind w:firstLine="720"/>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Learning in the Digital Era</w:t>
      </w:r>
    </w:p>
    <w:p w14:paraId="780A22F0" w14:textId="77777777" w:rsidR="003308FD" w:rsidRDefault="00000000">
      <w:pPr>
        <w:pBdr>
          <w:top w:val="nil"/>
          <w:left w:val="nil"/>
          <w:bottom w:val="nil"/>
          <w:right w:val="nil"/>
          <w:between w:val="nil"/>
        </w:pBdr>
        <w:spacing w:after="0" w:line="480" w:lineRule="auto"/>
        <w:ind w:firstLine="720"/>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 March 5, 2023</w:t>
      </w:r>
    </w:p>
    <w:p w14:paraId="37EB5044"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59731CF0"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302A1408"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594F3F83"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50445ECE"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69F5D2FC"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16ABF8B2"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5E7094C3"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2007DD5A"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68C3775F"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2DC761C3"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p>
    <w:p w14:paraId="54FE3F0B" w14:textId="77777777" w:rsidR="003308FD" w:rsidRDefault="003308FD">
      <w:pPr>
        <w:pBdr>
          <w:top w:val="nil"/>
          <w:left w:val="nil"/>
          <w:bottom w:val="nil"/>
          <w:right w:val="nil"/>
          <w:between w:val="nil"/>
        </w:pBdr>
        <w:spacing w:after="0" w:line="480" w:lineRule="auto"/>
        <w:jc w:val="both"/>
        <w:rPr>
          <w:rFonts w:ascii="Times New Roman" w:eastAsia="Times New Roman" w:hAnsi="Times New Roman" w:cs="Times New Roman"/>
          <w:b/>
          <w:color w:val="0E101A"/>
          <w:sz w:val="24"/>
          <w:szCs w:val="24"/>
        </w:rPr>
      </w:pPr>
    </w:p>
    <w:p w14:paraId="38C57498"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lastRenderedPageBreak/>
        <w:t xml:space="preserve">Question 1 </w:t>
      </w:r>
    </w:p>
    <w:p w14:paraId="0A16BEC4"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“Preparing for Higher Education” Summary </w:t>
      </w:r>
    </w:p>
    <w:p w14:paraId="25A12CFD"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Getting ready for higher education might be overwhelming for many students. Nonetheless, it can be an exciting and rewarding adventure with proper planning and preparation. Researching and selecting the best college or institution for your needs and interests is crucial. Location, size, academic offerings, campus culture, and cost should be considered when choosing a school. To learn more about the university, visiting the campus, attending college fairs, and talking to present and former students is also a good idea.</w:t>
      </w:r>
    </w:p>
    <w:p w14:paraId="334799D6"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Students should prepare for college entrance exams like the SAT or ACT far in advance. This entails taking practice exams, taking test preparation classes, and establishing productive study habits to raise scores. High exam scores impact the likelihood that a student will be accepted into the college of their choice. Students should concentrate on improving their high school grades. This entails completing challenging coursework, maintaining solid grades, and engaging in extracurricular activities. Academic achievement can improve admissions chances, a student's scholarship eligibility, and other financial help.</w:t>
      </w:r>
    </w:p>
    <w:p w14:paraId="5CE57BDC"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Students should start reviewing and submitting scholarship applications and other financial aid forms. Grants, loans, and work-study programs fall under this category. The Free Application for Federal Student Aid (FAFSA) must be completed to evaluate eligibility for federal financial help, even though many colleges offer financial aid. Maintaining organization is crucial when applying to colleges (</w:t>
      </w:r>
      <w:r>
        <w:rPr>
          <w:rFonts w:ascii="Times New Roman" w:eastAsia="Times New Roman" w:hAnsi="Times New Roman" w:cs="Times New Roman"/>
          <w:color w:val="000000"/>
          <w:sz w:val="24"/>
          <w:szCs w:val="24"/>
          <w:highlight w:val="white"/>
        </w:rPr>
        <w:t>Garcia, 2020)</w:t>
      </w:r>
      <w:r>
        <w:rPr>
          <w:rFonts w:ascii="Times New Roman" w:eastAsia="Times New Roman" w:hAnsi="Times New Roman" w:cs="Times New Roman"/>
          <w:color w:val="0E101A"/>
          <w:sz w:val="24"/>
          <w:szCs w:val="24"/>
        </w:rPr>
        <w:t>. This entails keeping track of due dates, delivering applications and supporting materials on time, and checking in with schools to ensure everything is in order. </w:t>
      </w:r>
    </w:p>
    <w:p w14:paraId="6ACD8DF2"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Planning and commitment are necessary when preparing for higher education. Students can improve their chances of succeeding in higher education by doing their homework, choosing </w:t>
      </w:r>
      <w:r>
        <w:rPr>
          <w:rFonts w:ascii="Times New Roman" w:eastAsia="Times New Roman" w:hAnsi="Times New Roman" w:cs="Times New Roman"/>
          <w:color w:val="0E101A"/>
          <w:sz w:val="24"/>
          <w:szCs w:val="24"/>
        </w:rPr>
        <w:lastRenderedPageBreak/>
        <w:t>the correct institution, getting ready for admissions exams, concentrating on their academic performance, looking into financial assistance options, and remaining organized throughout the application process.</w:t>
      </w:r>
    </w:p>
    <w:p w14:paraId="6ACB73C0"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p>
    <w:p w14:paraId="1A2469E3"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Question 2 </w:t>
      </w:r>
    </w:p>
    <w:p w14:paraId="01FEFAEA"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t>Mind Map</w:t>
      </w:r>
    </w:p>
    <w:p w14:paraId="2DECA77E"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noProof/>
          <w:color w:val="000000"/>
          <w:sz w:val="24"/>
          <w:szCs w:val="24"/>
        </w:rPr>
        <w:drawing>
          <wp:inline distT="0" distB="0" distL="0" distR="0" wp14:anchorId="1E0B31F2" wp14:editId="2E87C584">
            <wp:extent cx="5943600" cy="4168775"/>
            <wp:effectExtent l="0" t="0" r="0" b="0"/>
            <wp:docPr id="4" name="image1.jpg" descr="Top 5 Ways to Use Mind Maps for E-Learning - eLearning Industry"/>
            <wp:cNvGraphicFramePr/>
            <a:graphic xmlns:a="http://schemas.openxmlformats.org/drawingml/2006/main">
              <a:graphicData uri="http://schemas.openxmlformats.org/drawingml/2006/picture">
                <pic:pic xmlns:pic="http://schemas.openxmlformats.org/drawingml/2006/picture">
                  <pic:nvPicPr>
                    <pic:cNvPr id="0" name="image1.jpg" descr="Top 5 Ways to Use Mind Maps for E-Learning - eLearning Industry"/>
                    <pic:cNvPicPr preferRelativeResize="0"/>
                  </pic:nvPicPr>
                  <pic:blipFill>
                    <a:blip r:embed="rId7"/>
                    <a:srcRect/>
                    <a:stretch>
                      <a:fillRect/>
                    </a:stretch>
                  </pic:blipFill>
                  <pic:spPr>
                    <a:xfrm>
                      <a:off x="0" y="0"/>
                      <a:ext cx="5943600" cy="4168775"/>
                    </a:xfrm>
                    <a:prstGeom prst="rect">
                      <a:avLst/>
                    </a:prstGeom>
                    <a:ln/>
                  </pic:spPr>
                </pic:pic>
              </a:graphicData>
            </a:graphic>
          </wp:inline>
        </w:drawing>
      </w:r>
    </w:p>
    <w:p w14:paraId="6AE2675D"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mind map shows how the key ideas and concepts of digital learning are connected and can help you prepare for an IT job. "Foundational Skills," which includes fundamental computer literacy, digital communication, and online safety, is the first theme. These abilities are a foundation for comprehending technology and its applications, making them crucial for anyone in the IT industry. </w:t>
      </w:r>
    </w:p>
    <w:p w14:paraId="0AA43C6C"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lastRenderedPageBreak/>
        <w:t>The second subject is "Digital Tools," which encompasses hardware and software IT tools, including networking, databases, and programming languages. These tools provide the ability to build and develop technological solutions, which are essential for IT workers.</w:t>
      </w:r>
    </w:p>
    <w:p w14:paraId="59AEA26C"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"Continuous Learning" is the third subject, and it refers to the ongoing process of keeping abreast of the most recent technological developments, tools, and practices. This subject is especially significant in IT because new technologies constantly emerge, and IT employees must continuously adapt and pick up new skills.</w:t>
      </w:r>
    </w:p>
    <w:p w14:paraId="1B99E300"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fourth subject is "Soft Skills," which involves problem-solving, teamwork, and communication. These abilities are necessary for any career but are crucial in IT because this field frequently requires teams and efficient communication with clients and coworkers.</w:t>
      </w:r>
    </w:p>
    <w:p w14:paraId="79A641B3"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The final theme is "Industry Knowledge," which comprises knowledge of the IT sector's trends, employment functions, and future career prospects (</w:t>
      </w:r>
      <w:r>
        <w:rPr>
          <w:rFonts w:ascii="Times New Roman" w:eastAsia="Times New Roman" w:hAnsi="Times New Roman" w:cs="Times New Roman"/>
          <w:color w:val="000000"/>
          <w:sz w:val="24"/>
          <w:szCs w:val="24"/>
          <w:highlight w:val="white"/>
        </w:rPr>
        <w:t>Grand-Clement, 2017)</w:t>
      </w:r>
      <w:r>
        <w:rPr>
          <w:rFonts w:ascii="Times New Roman" w:eastAsia="Times New Roman" w:hAnsi="Times New Roman" w:cs="Times New Roman"/>
          <w:color w:val="0E101A"/>
          <w:sz w:val="24"/>
          <w:szCs w:val="24"/>
        </w:rPr>
        <w:t>. Anyone wishing to work in IT should be knowledgeable about the industry since it offers a path for acquiring the abilities and expertise needed to thrive in the position. The relationship between all these concepts eases the comprehension of the given topic, in our case, IT. Themes illustrated in the mind map give the idea of what is being communicated from the visual.</w:t>
      </w:r>
    </w:p>
    <w:p w14:paraId="7A3373E6"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p>
    <w:p w14:paraId="22F232C5"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 xml:space="preserve">Question 3 </w:t>
      </w:r>
    </w:p>
    <w:p w14:paraId="40927EEA"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https://docs.google.com/presentation/d/17XwIowP7RwRAIpUcoC4e6z_WxF9b3IXm/edit?usp=sharing&amp;ouid=111564435459963441522&amp;rtpof=true&amp;sd=true</w:t>
      </w:r>
    </w:p>
    <w:p w14:paraId="4F1BBE8F"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p>
    <w:p w14:paraId="766A4ED6"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p>
    <w:p w14:paraId="675F4E3E"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t>Question 4</w:t>
      </w:r>
    </w:p>
    <w:p w14:paraId="4E498CF2"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b/>
          <w:color w:val="0E101A"/>
          <w:sz w:val="24"/>
          <w:szCs w:val="24"/>
        </w:rPr>
        <w:lastRenderedPageBreak/>
        <w:t>Reflection </w:t>
      </w:r>
    </w:p>
    <w:p w14:paraId="76B0F362"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What </w:t>
      </w:r>
    </w:p>
    <w:p w14:paraId="7D75DDC6"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 invested much time researching various colleges and programs, preparing for standardized tests, and completing application forms as I prepared for higher education. I also spoke with mentors and advisors to understand what it would be like to attend college. I was eager for the chances that higher education would present, but I was also concerned about my ability to do well in this unfamiliar setting.</w:t>
      </w:r>
    </w:p>
    <w:p w14:paraId="2DC9F9C7"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proofErr w:type="gramStart"/>
      <w:r>
        <w:rPr>
          <w:rFonts w:ascii="Times New Roman" w:eastAsia="Times New Roman" w:hAnsi="Times New Roman" w:cs="Times New Roman"/>
          <w:color w:val="0E101A"/>
          <w:sz w:val="24"/>
          <w:szCs w:val="24"/>
        </w:rPr>
        <w:t>So</w:t>
      </w:r>
      <w:proofErr w:type="gramEnd"/>
      <w:r>
        <w:rPr>
          <w:rFonts w:ascii="Times New Roman" w:eastAsia="Times New Roman" w:hAnsi="Times New Roman" w:cs="Times New Roman"/>
          <w:color w:val="0E101A"/>
          <w:sz w:val="24"/>
          <w:szCs w:val="24"/>
        </w:rPr>
        <w:t xml:space="preserve"> What</w:t>
      </w:r>
    </w:p>
    <w:p w14:paraId="38802315"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 discovered much about myself and my objectives while preparing for higher school. I became aware of my enthusiasm for particular topics and decided to seek a profession that would allow me to work in those areas. I also learned I liked learning in an organized setting and was prepared to work hard to achieve academic success. I occasionally battled self-doubt, though, and was concerned that I might be unable to handle college's social and academic demands.</w:t>
      </w:r>
    </w:p>
    <w:p w14:paraId="26CEA3AA"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Now What </w:t>
      </w:r>
    </w:p>
    <w:p w14:paraId="60696BBA"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I now see that there was more I might have done better to prepare myself for the difficulties of higher education. I regret not using tools like tutoring and study groups more frequently and seeking out more mentorship and advice. However, I am also proud of my effort in preparing for this new stage of my life. In the future, I want to make the most of my college experience by applying the lessons I acquired during my preparation process. I want to actively look for help and resources and stay committed to my objectives despite adversity. </w:t>
      </w:r>
    </w:p>
    <w:p w14:paraId="47569689" w14:textId="77777777" w:rsidR="003308FD" w:rsidRDefault="003308FD">
      <w:pPr>
        <w:pBdr>
          <w:top w:val="nil"/>
          <w:left w:val="nil"/>
          <w:bottom w:val="nil"/>
          <w:right w:val="nil"/>
          <w:between w:val="nil"/>
        </w:pBdr>
        <w:spacing w:after="0" w:line="480" w:lineRule="auto"/>
        <w:jc w:val="both"/>
        <w:rPr>
          <w:rFonts w:ascii="Times New Roman" w:eastAsia="Times New Roman" w:hAnsi="Times New Roman" w:cs="Times New Roman"/>
          <w:color w:val="0E101A"/>
          <w:sz w:val="24"/>
          <w:szCs w:val="24"/>
        </w:rPr>
      </w:pPr>
    </w:p>
    <w:p w14:paraId="5FD9E90C" w14:textId="77777777" w:rsidR="003308FD" w:rsidRDefault="003308FD">
      <w:pPr>
        <w:pBdr>
          <w:top w:val="nil"/>
          <w:left w:val="nil"/>
          <w:bottom w:val="nil"/>
          <w:right w:val="nil"/>
          <w:between w:val="nil"/>
        </w:pBdr>
        <w:spacing w:after="0" w:line="480" w:lineRule="auto"/>
        <w:ind w:firstLine="720"/>
        <w:jc w:val="both"/>
        <w:rPr>
          <w:rFonts w:ascii="Times New Roman" w:eastAsia="Times New Roman" w:hAnsi="Times New Roman" w:cs="Times New Roman"/>
          <w:color w:val="0E101A"/>
          <w:sz w:val="24"/>
          <w:szCs w:val="24"/>
        </w:rPr>
      </w:pPr>
    </w:p>
    <w:p w14:paraId="45CE650C" w14:textId="77777777" w:rsidR="003308FD" w:rsidRDefault="00000000">
      <w:pPr>
        <w:rPr>
          <w:rFonts w:ascii="Times New Roman" w:eastAsia="Times New Roman" w:hAnsi="Times New Roman" w:cs="Times New Roman"/>
          <w:color w:val="0E101A"/>
          <w:sz w:val="24"/>
          <w:szCs w:val="24"/>
        </w:rPr>
      </w:pPr>
      <w:r>
        <w:br w:type="page"/>
      </w:r>
    </w:p>
    <w:p w14:paraId="1A076896" w14:textId="77777777" w:rsidR="003308FD" w:rsidRDefault="00000000">
      <w:pPr>
        <w:pBdr>
          <w:top w:val="nil"/>
          <w:left w:val="nil"/>
          <w:bottom w:val="nil"/>
          <w:right w:val="nil"/>
          <w:between w:val="nil"/>
        </w:pBdr>
        <w:spacing w:after="0" w:line="480" w:lineRule="auto"/>
        <w:ind w:firstLine="720"/>
        <w:jc w:val="center"/>
        <w:rPr>
          <w:rFonts w:ascii="Times New Roman" w:eastAsia="Times New Roman" w:hAnsi="Times New Roman" w:cs="Times New Roman"/>
          <w:b/>
          <w:color w:val="0E101A"/>
          <w:sz w:val="24"/>
          <w:szCs w:val="24"/>
        </w:rPr>
      </w:pPr>
      <w:r>
        <w:rPr>
          <w:rFonts w:ascii="Times New Roman" w:eastAsia="Times New Roman" w:hAnsi="Times New Roman" w:cs="Times New Roman"/>
          <w:b/>
          <w:color w:val="0E101A"/>
          <w:sz w:val="24"/>
          <w:szCs w:val="24"/>
        </w:rPr>
        <w:lastRenderedPageBreak/>
        <w:t>Reference</w:t>
      </w:r>
    </w:p>
    <w:p w14:paraId="2943F333"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Grand-Clement, S. (2017). Digital Learning: Education and Skills in the Digital Age. </w:t>
      </w:r>
      <w:r>
        <w:rPr>
          <w:rFonts w:ascii="Times New Roman" w:eastAsia="Times New Roman" w:hAnsi="Times New Roman" w:cs="Times New Roman"/>
          <w:i/>
          <w:color w:val="000000"/>
          <w:sz w:val="24"/>
          <w:szCs w:val="24"/>
          <w:highlight w:val="white"/>
        </w:rPr>
        <w:t>RAND Europe</w:t>
      </w:r>
      <w:r>
        <w:rPr>
          <w:rFonts w:ascii="Times New Roman" w:eastAsia="Times New Roman" w:hAnsi="Times New Roman" w:cs="Times New Roman"/>
          <w:color w:val="000000"/>
          <w:sz w:val="24"/>
          <w:szCs w:val="24"/>
          <w:highlight w:val="white"/>
        </w:rPr>
        <w:t>.</w:t>
      </w:r>
    </w:p>
    <w:p w14:paraId="2ED5A18D" w14:textId="77777777" w:rsidR="003308FD" w:rsidRDefault="00000000">
      <w:pPr>
        <w:pBdr>
          <w:top w:val="nil"/>
          <w:left w:val="nil"/>
          <w:bottom w:val="nil"/>
          <w:right w:val="nil"/>
          <w:between w:val="nil"/>
        </w:pBdr>
        <w:spacing w:after="0" w:line="480" w:lineRule="auto"/>
        <w:ind w:firstLine="720"/>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Garcia, M. (2020). An overview of innovations in online learning. </w:t>
      </w:r>
      <w:r>
        <w:rPr>
          <w:rFonts w:ascii="Times New Roman" w:eastAsia="Times New Roman" w:hAnsi="Times New Roman" w:cs="Times New Roman"/>
          <w:i/>
          <w:color w:val="000000"/>
          <w:sz w:val="24"/>
          <w:szCs w:val="24"/>
          <w:highlight w:val="white"/>
        </w:rPr>
        <w:t>Anticipating and Preparing for Emerging Skills and Jobs: Key Issues, Concerns, and Prospects</w:t>
      </w:r>
      <w:r>
        <w:rPr>
          <w:rFonts w:ascii="Times New Roman" w:eastAsia="Times New Roman" w:hAnsi="Times New Roman" w:cs="Times New Roman"/>
          <w:color w:val="000000"/>
          <w:sz w:val="24"/>
          <w:szCs w:val="24"/>
          <w:highlight w:val="white"/>
        </w:rPr>
        <w:t>, 191-198.</w:t>
      </w:r>
    </w:p>
    <w:p w14:paraId="54A376A3" w14:textId="77777777" w:rsidR="003308FD" w:rsidRDefault="003308FD">
      <w:pPr>
        <w:spacing w:after="0" w:line="480" w:lineRule="auto"/>
        <w:ind w:firstLine="720"/>
        <w:jc w:val="both"/>
      </w:pPr>
    </w:p>
    <w:sectPr w:rsidR="003308FD">
      <w:headerReference w:type="default" r:id="rId8"/>
      <w:headerReference w:type="first" r:id="rId9"/>
      <w:pgSz w:w="12240" w:h="15840"/>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5A0E18" w14:textId="77777777" w:rsidR="00F862CD" w:rsidRDefault="00F862CD">
      <w:pPr>
        <w:spacing w:after="0" w:line="240" w:lineRule="auto"/>
      </w:pPr>
      <w:r>
        <w:separator/>
      </w:r>
    </w:p>
  </w:endnote>
  <w:endnote w:type="continuationSeparator" w:id="0">
    <w:p w14:paraId="66728869" w14:textId="77777777" w:rsidR="00F862CD" w:rsidRDefault="00F862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78B39" w14:textId="77777777" w:rsidR="00F862CD" w:rsidRDefault="00F862CD">
      <w:pPr>
        <w:spacing w:after="0" w:line="240" w:lineRule="auto"/>
      </w:pPr>
      <w:r>
        <w:separator/>
      </w:r>
    </w:p>
  </w:footnote>
  <w:footnote w:type="continuationSeparator" w:id="0">
    <w:p w14:paraId="535C81AA" w14:textId="77777777" w:rsidR="00F862CD" w:rsidRDefault="00F862C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47482" w14:textId="1B91E2B4" w:rsidR="003308FD"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2D51B7">
      <w:rPr>
        <w:noProof/>
        <w:color w:val="000000"/>
      </w:rPr>
      <w:t>2</w:t>
    </w:r>
    <w:r>
      <w:rPr>
        <w:color w:val="000000"/>
      </w:rPr>
      <w:fldChar w:fldCharType="end"/>
    </w:r>
  </w:p>
  <w:p w14:paraId="236664D6" w14:textId="77777777" w:rsidR="003308FD" w:rsidRDefault="003308FD">
    <w:pPr>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1679BF" w14:textId="77777777" w:rsidR="003308FD" w:rsidRDefault="00000000">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Running Head: LEARNING IN DIGITAL ERA                                                                      </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sidR="002D51B7">
      <w:rPr>
        <w:rFonts w:ascii="Times New Roman" w:eastAsia="Times New Roman" w:hAnsi="Times New Roman" w:cs="Times New Roman"/>
        <w:noProof/>
        <w:color w:val="000000"/>
        <w:sz w:val="24"/>
        <w:szCs w:val="24"/>
      </w:rPr>
      <w:t>1</w:t>
    </w:r>
    <w:r>
      <w:rPr>
        <w:rFonts w:ascii="Times New Roman" w:eastAsia="Times New Roman" w:hAnsi="Times New Roman" w:cs="Times New Roman"/>
        <w:color w:val="000000"/>
        <w:sz w:val="24"/>
        <w:szCs w:val="24"/>
      </w:rPr>
      <w:fldChar w:fldCharType="end"/>
    </w:r>
  </w:p>
  <w:p w14:paraId="30494A30" w14:textId="77777777" w:rsidR="003308FD" w:rsidRDefault="003308FD">
    <w:pPr>
      <w:pBdr>
        <w:top w:val="nil"/>
        <w:left w:val="nil"/>
        <w:bottom w:val="nil"/>
        <w:right w:val="nil"/>
        <w:between w:val="nil"/>
      </w:pBdr>
      <w:tabs>
        <w:tab w:val="center" w:pos="4680"/>
        <w:tab w:val="right" w:pos="9360"/>
      </w:tabs>
      <w:spacing w:after="0" w:line="240" w:lineRule="auto"/>
      <w:rPr>
        <w:rFonts w:ascii="Times New Roman" w:eastAsia="Times New Roman" w:hAnsi="Times New Roman" w:cs="Times New Roman"/>
        <w:color w:val="000000"/>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8FD"/>
    <w:rsid w:val="002D51B7"/>
    <w:rsid w:val="003308FD"/>
    <w:rsid w:val="00F862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ABF98F"/>
  <w15:docId w15:val="{040D243C-62C3-2649-9DEC-A9F2DCF07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NormalWeb">
    <w:name w:val="Normal (Web)"/>
    <w:basedOn w:val="Normal"/>
    <w:uiPriority w:val="99"/>
    <w:semiHidden/>
    <w:unhideWhenUsed/>
    <w:rsid w:val="00A5255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A5255D"/>
    <w:rPr>
      <w:b/>
      <w:bCs/>
    </w:rPr>
  </w:style>
  <w:style w:type="paragraph" w:styleId="Header">
    <w:name w:val="header"/>
    <w:basedOn w:val="Normal"/>
    <w:link w:val="HeaderChar"/>
    <w:uiPriority w:val="99"/>
    <w:unhideWhenUsed/>
    <w:rsid w:val="00A5255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5255D"/>
    <w:rPr>
      <w:lang w:val="en-GB"/>
    </w:rPr>
  </w:style>
  <w:style w:type="paragraph" w:styleId="Footer">
    <w:name w:val="footer"/>
    <w:basedOn w:val="Normal"/>
    <w:link w:val="FooterChar"/>
    <w:uiPriority w:val="99"/>
    <w:unhideWhenUsed/>
    <w:rsid w:val="00A5255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5255D"/>
    <w:rPr>
      <w:lang w:val="en-GB"/>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5v8yohhiLvfOzsM2dzMp7ufEMcg==">AMUW2mVPlBU2RMhz5XqvVobMuVGvp4LSPtXf1WS7s3Bq5bN+HNkNidD5kx0Mox/CzyHfrYKV1wWe1QI99kwI7MKU48ep4j9aHTilQ+hI00qQA5IRv/Ql4+4=</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896</Words>
  <Characters>5108</Characters>
  <Application>Microsoft Office Word</Application>
  <DocSecurity>0</DocSecurity>
  <Lines>42</Lines>
  <Paragraphs>11</Paragraphs>
  <ScaleCrop>false</ScaleCrop>
  <Company/>
  <LinksUpToDate>false</LinksUpToDate>
  <CharactersWithSpaces>5993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Aisha Ikram</cp:lastModifiedBy>
  <cp:revision>2</cp:revision>
  <dcterms:created xsi:type="dcterms:W3CDTF">2023-03-08T14:42:00Z</dcterms:created>
  <dcterms:modified xsi:type="dcterms:W3CDTF">2023-03-08T14:42:00Z</dcterms:modified>
</cp:coreProperties>
</file>