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pP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b w:val="1"/>
          <w:bCs w:val="1"/>
        </w:rPr>
        <w:drawing>
          <wp:inline distB="0" distT="0" distL="0" distR="0">
            <wp:extent cx="2324303" cy="138696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324303" cy="1386961"/>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pPr>
      <w:r w:rsidDel="00000000" w:rsidR="00000000" w:rsidRPr="00000000">
        <w:rPr>
          <w:b w:val="1"/>
          <w:bCs w:val="1"/>
          <w:rtl w:val="0"/>
        </w:rPr>
        <w:t xml:space="preserve">Master of Business Administration</w:t>
      </w:r>
      <w:r w:rsidDel="00000000" w:rsidR="00000000" w:rsidRPr="00000000">
        <w:rPr>
          <w:rtl w:val="0"/>
        </w:rPr>
      </w:r>
    </w:p>
    <w:p w:rsidR="00000000" w:rsidDel="00000000" w:rsidP="00000000" w:rsidRDefault="00000000" w:rsidRPr="00000000" w14:paraId="00000004">
      <w:pPr>
        <w:jc w:val="center"/>
        <w:rPr/>
      </w:pPr>
      <w:r w:rsidDel="00000000" w:rsidR="00000000" w:rsidRPr="00000000">
        <w:rPr>
          <w:b w:val="1"/>
          <w:bCs w:val="1"/>
          <w:rtl w:val="0"/>
        </w:rPr>
        <w:t xml:space="preserve">Module: Marketing Management (LCMB7024)</w:t>
      </w:r>
      <w:r w:rsidDel="00000000" w:rsidR="00000000" w:rsidRPr="00000000">
        <w:rPr>
          <w:rtl w:val="0"/>
        </w:rPr>
      </w:r>
    </w:p>
    <w:p w:rsidR="00000000" w:rsidDel="00000000" w:rsidP="00000000" w:rsidRDefault="00000000" w:rsidRPr="00000000" w14:paraId="00000005">
      <w:pPr>
        <w:jc w:val="center"/>
        <w:rPr/>
      </w:pPr>
      <w:r w:rsidDel="00000000" w:rsidR="00000000" w:rsidRPr="00000000">
        <w:rPr>
          <w:b w:val="1"/>
          <w:bCs w:val="1"/>
          <w:rtl w:val="0"/>
        </w:rPr>
        <w:t xml:space="preserve">Assignment Title: Sustainable Brand Extension Portfolio — Zico Renew: A Sustainable Packaging Extension Strategy for Coca-Cola's Zico Brand</w:t>
      </w:r>
      <w:r w:rsidDel="00000000" w:rsidR="00000000" w:rsidRPr="00000000">
        <w:rPr>
          <w:rtl w:val="0"/>
        </w:rPr>
      </w:r>
    </w:p>
    <w:p w:rsidR="00000000" w:rsidDel="00000000" w:rsidP="00000000" w:rsidRDefault="00000000" w:rsidRPr="00000000" w14:paraId="00000006">
      <w:pPr>
        <w:jc w:val="center"/>
        <w:rPr>
          <w:u w:val="single"/>
        </w:rPr>
      </w:pPr>
      <w:r w:rsidDel="00000000" w:rsidR="00000000" w:rsidRPr="00000000">
        <w:rPr>
          <w:b w:val="1"/>
          <w:bCs w:val="1"/>
          <w:rtl w:val="0"/>
        </w:rPr>
        <w:t xml:space="preserve">Lecturer:Tushara Balendran.</w:t>
      </w:r>
      <w:r w:rsidDel="00000000" w:rsidR="00000000" w:rsidRPr="00000000">
        <w:rPr>
          <w:rtl w:val="0"/>
        </w:rPr>
      </w:r>
    </w:p>
    <w:p w:rsidR="00000000" w:rsidDel="00000000" w:rsidP="00000000" w:rsidRDefault="00000000" w:rsidRPr="00000000" w14:paraId="00000007">
      <w:pPr>
        <w:jc w:val="center"/>
        <w:rPr>
          <w:b w:val="1"/>
          <w:bCs w:val="1"/>
        </w:rPr>
      </w:pPr>
      <w:r w:rsidDel="00000000" w:rsidR="00000000" w:rsidRPr="00000000">
        <w:rPr>
          <w:b w:val="1"/>
          <w:bCs w:val="1"/>
          <w:rtl w:val="0"/>
        </w:rPr>
        <w:t xml:space="preserve">Student Name:Nitin Nimabhai Surela.</w:t>
      </w:r>
    </w:p>
    <w:p w:rsidR="00000000" w:rsidDel="00000000" w:rsidP="00000000" w:rsidRDefault="00000000" w:rsidRPr="00000000" w14:paraId="00000008">
      <w:pPr>
        <w:jc w:val="center"/>
        <w:rPr>
          <w:b w:val="1"/>
          <w:bCs w:val="1"/>
          <w:color w:val="ffffff"/>
          <w:u w:val="single"/>
        </w:rPr>
      </w:pPr>
      <w:r w:rsidDel="00000000" w:rsidR="00000000" w:rsidRPr="00000000">
        <w:rPr>
          <w:b w:val="1"/>
          <w:bCs w:val="1"/>
          <w:rtl w:val="0"/>
        </w:rPr>
        <w:t xml:space="preserve">Student ID Number:</w:t>
      </w:r>
      <w:hyperlink r:id="rId7">
        <w:r w:rsidDel="00000000" w:rsidR="00000000" w:rsidRPr="00000000">
          <w:rPr>
            <w:b w:val="1"/>
            <w:bCs w:val="1"/>
            <w:color w:val="1155cc"/>
            <w:u w:val="single"/>
            <w:rtl w:val="0"/>
          </w:rPr>
          <w:t xml:space="preserve">2536654@student.uwtsd.ac.uk</w:t>
        </w:r>
      </w:hyperlink>
      <w:r w:rsidDel="00000000" w:rsidR="00000000" w:rsidRPr="00000000">
        <w:rPr>
          <w:rtl w:val="0"/>
        </w:rPr>
      </w:r>
    </w:p>
    <w:p w:rsidR="00000000" w:rsidDel="00000000" w:rsidP="00000000" w:rsidRDefault="00000000" w:rsidRPr="00000000" w14:paraId="00000009">
      <w:pPr>
        <w:jc w:val="center"/>
        <w:rPr>
          <w:b w:val="1"/>
          <w:bCs w:val="1"/>
          <w:u w:val="single"/>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pStyle w:val="Heading3"/>
        <w:jc w:val="both"/>
        <w:rPr/>
      </w:pPr>
      <w:r w:rsidDel="00000000" w:rsidR="00000000" w:rsidRPr="00000000">
        <w:rPr>
          <w:rtl w:val="0"/>
        </w:rPr>
      </w:r>
    </w:p>
    <w:p w:rsidR="00000000" w:rsidDel="00000000" w:rsidP="00000000" w:rsidRDefault="00000000" w:rsidRPr="00000000" w14:paraId="0000000C">
      <w:pPr>
        <w:pStyle w:val="Heading3"/>
        <w:jc w:val="both"/>
        <w:rPr/>
      </w:pPr>
      <w:r w:rsidDel="00000000" w:rsidR="00000000" w:rsidRPr="00000000">
        <w:rPr>
          <w:rtl w:val="0"/>
        </w:rPr>
      </w:r>
    </w:p>
    <w:p w:rsidR="00000000" w:rsidDel="00000000" w:rsidP="00000000" w:rsidRDefault="00000000" w:rsidRPr="00000000" w14:paraId="0000000D">
      <w:pPr>
        <w:pStyle w:val="Heading3"/>
        <w:jc w:val="both"/>
        <w:rPr/>
      </w:pPr>
      <w:r w:rsidDel="00000000" w:rsidR="00000000" w:rsidRPr="00000000">
        <w:rPr>
          <w:rtl w:val="0"/>
        </w:rPr>
      </w:r>
    </w:p>
    <w:p w:rsidR="00000000" w:rsidDel="00000000" w:rsidP="00000000" w:rsidRDefault="00000000" w:rsidRPr="00000000" w14:paraId="0000000E">
      <w:pPr>
        <w:pStyle w:val="Heading3"/>
        <w:jc w:val="both"/>
        <w:rPr/>
      </w:pPr>
      <w:r w:rsidDel="00000000" w:rsidR="00000000" w:rsidRPr="00000000">
        <w:rPr>
          <w:rtl w:val="0"/>
        </w:rPr>
      </w:r>
    </w:p>
    <w:p w:rsidR="00000000" w:rsidDel="00000000" w:rsidP="00000000" w:rsidRDefault="00000000" w:rsidRPr="00000000" w14:paraId="0000000F">
      <w:pPr>
        <w:pStyle w:val="Heading3"/>
        <w:jc w:val="both"/>
        <w:rPr/>
      </w:pPr>
      <w:r w:rsidDel="00000000" w:rsidR="00000000" w:rsidRPr="00000000">
        <w:rPr>
          <w:rtl w:val="0"/>
        </w:rPr>
      </w:r>
    </w:p>
    <w:p w:rsidR="00000000" w:rsidDel="00000000" w:rsidP="00000000" w:rsidRDefault="00000000" w:rsidRPr="00000000" w14:paraId="00000010">
      <w:pPr>
        <w:pStyle w:val="Heading3"/>
        <w:jc w:val="both"/>
        <w:rPr/>
      </w:pPr>
      <w:r w:rsidDel="00000000" w:rsidR="00000000" w:rsidRPr="00000000">
        <w:rPr>
          <w:rtl w:val="0"/>
        </w:rPr>
      </w:r>
    </w:p>
    <w:p w:rsidR="00000000" w:rsidDel="00000000" w:rsidP="00000000" w:rsidRDefault="00000000" w:rsidRPr="00000000" w14:paraId="00000011">
      <w:pPr>
        <w:pStyle w:val="Heading3"/>
        <w:jc w:val="both"/>
        <w:rPr/>
      </w:pPr>
      <w:r w:rsidDel="00000000" w:rsidR="00000000" w:rsidRPr="00000000">
        <w:rPr>
          <w:rtl w:val="0"/>
        </w:rPr>
      </w:r>
    </w:p>
    <w:p w:rsidR="00000000" w:rsidDel="00000000" w:rsidP="00000000" w:rsidRDefault="00000000" w:rsidRPr="00000000" w14:paraId="00000012">
      <w:pPr>
        <w:pStyle w:val="Heading3"/>
        <w:jc w:val="both"/>
        <w:rPr/>
      </w:pPr>
      <w:r w:rsidDel="00000000" w:rsidR="00000000" w:rsidRPr="00000000">
        <w:rPr>
          <w:rtl w:val="0"/>
        </w:rPr>
      </w:r>
    </w:p>
    <w:p w:rsidR="00000000" w:rsidDel="00000000" w:rsidP="00000000" w:rsidRDefault="00000000" w:rsidRPr="00000000" w14:paraId="00000013">
      <w:pPr>
        <w:pStyle w:val="Heading3"/>
        <w:jc w:val="both"/>
        <w:rPr/>
      </w:pPr>
      <w:r w:rsidDel="00000000" w:rsidR="00000000" w:rsidRPr="00000000">
        <w:rPr>
          <w:rtl w:val="0"/>
        </w:rPr>
      </w:r>
    </w:p>
    <w:p w:rsidR="00000000" w:rsidDel="00000000" w:rsidP="00000000" w:rsidRDefault="00000000" w:rsidRPr="00000000" w14:paraId="00000014">
      <w:pPr>
        <w:spacing w:line="259" w:lineRule="auto"/>
        <w:rPr>
          <w:rFonts w:ascii="Times New Roman" w:cs="Times New Roman" w:eastAsia="Times New Roman" w:hAnsi="Times New Roman"/>
          <w:b w:val="1"/>
          <w:bCs w:val="1"/>
          <w:sz w:val="27"/>
          <w:szCs w:val="27"/>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3"/>
        <w:jc w:val="both"/>
        <w:rPr/>
      </w:pP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Calibri" w:cs="Calibri" w:eastAsia="Calibri" w:hAnsi="Calibri"/>
          <w:b w:val="0"/>
          <w:bCs w:val="0"/>
          <w:i w:val="0"/>
          <w:iCs w:val="0"/>
          <w:smallCaps w:val="0"/>
          <w:strike w:val="0"/>
          <w:color w:val="000000"/>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32"/>
          <w:szCs w:val="32"/>
          <w:u w:val="none"/>
          <w:shd w:fill="auto" w:val="clear"/>
          <w:vertAlign w:val="baseline"/>
          <w:rtl w:val="0"/>
        </w:rPr>
        <w:t xml:space="preserve">Table of Contents</w:t>
      </w:r>
    </w:p>
    <w:sdt>
      <w:sdtPr>
        <w:id w:val="-427216273"/>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p4l14zx1xbi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ez8uadhiys6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1: Sustainable Brand Extension Poster Presentation</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sqflsefpoz7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Company &amp; Sustainability Need</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ox66i7ukls2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Appeal</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y7bpwje0evr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Sustainability Alignment</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l8yzz7hvkv5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2: Develop a Segmentation, Targeting, Differentiation, and Positioning (STDP)</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3y9t5ycx7g6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Segmentation, Targeting, Differentiation, and Positioning Analysis: Zico Renew</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jyhgig15o0e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Segmentation</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83c4bp4ow68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Behavioural Segmentation</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6sxo74qskp8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Ansoff Matrix</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2y8v7s7rcc2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Porter's Generic Strategy</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4p7m35coorq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PESTLE Analysis</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f9ul6pu3y5j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3: Marketing Mix Strategy for Zico Renew</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61wym4w8nys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Rationale for Adopting the Extended Marketing Mix (7Ps)</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q1c3jlmu9zh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4: Reflection</w:t>
              <w:tab/>
              <w:t xml:space="preserve">13</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u8gsvwlhznd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5ybme1rcxuc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16</w:t>
            </w:r>
          </w:hyperlink>
          <w:r w:rsidDel="00000000" w:rsidR="00000000" w:rsidRPr="00000000">
            <w:rPr>
              <w:rtl w:val="0"/>
            </w:rPr>
          </w:r>
        </w:p>
        <w:p w:rsidR="00000000" w:rsidDel="00000000" w:rsidP="00000000" w:rsidRDefault="00000000" w:rsidRPr="00000000" w14:paraId="0000002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pStyle w:val="Heading3"/>
        <w:jc w:val="both"/>
        <w:rPr/>
      </w:pPr>
      <w:r w:rsidDel="00000000" w:rsidR="00000000" w:rsidRPr="00000000">
        <w:rPr>
          <w:rtl w:val="0"/>
        </w:rPr>
      </w:r>
    </w:p>
    <w:p w:rsidR="00000000" w:rsidDel="00000000" w:rsidP="00000000" w:rsidRDefault="00000000" w:rsidRPr="00000000" w14:paraId="0000002A">
      <w:pPr>
        <w:spacing w:line="259" w:lineRule="auto"/>
        <w:rPr>
          <w:rFonts w:ascii="Times New Roman" w:cs="Times New Roman" w:eastAsia="Times New Roman" w:hAnsi="Times New Roman"/>
          <w:b w:val="1"/>
          <w:bCs w:val="1"/>
          <w:sz w:val="27"/>
          <w:szCs w:val="27"/>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p4l14zx1xbit" w:id="0"/>
      <w:bookmarkEnd w:id="0"/>
      <w:r w:rsidDel="00000000" w:rsidR="00000000" w:rsidRPr="00000000">
        <w:rPr>
          <w:rtl w:val="0"/>
        </w:rPr>
        <w:t xml:space="preserve">Introduction</w:t>
      </w:r>
    </w:p>
    <w:p w:rsidR="00000000" w:rsidDel="00000000" w:rsidP="00000000" w:rsidRDefault="00000000" w:rsidRPr="00000000" w14:paraId="0000002C">
      <w:pPr>
        <w:jc w:val="both"/>
        <w:rPr/>
      </w:pPr>
      <w:r w:rsidDel="00000000" w:rsidR="00000000" w:rsidRPr="00000000">
        <w:rPr>
          <w:rtl w:val="0"/>
        </w:rPr>
        <w:t xml:space="preserve">Introduction This report outlines a marketing consultancy analysis for a new sustainable brand extension of Coca-Cola's existing brand 'Zico coconut water'. As a marketing consultant, this portfolio presents and constructs a strategy for the brand extension "Biodegradable, coconut husk fibre packaging as alternative packaging formats to plastics. The report starts with a poster presentation summary of the proposed extension's sustainability rationale and market appeal, followed by a thorough Segmentation Targeting Differentiation and Positioning (STDP) analysis, an analysis of the Marketing Mix components necessary to support the extension, and an ending reflection on the process of Strategic development and the poster presentation experience.</w:t>
      </w:r>
    </w:p>
    <w:p w:rsidR="00000000" w:rsidDel="00000000" w:rsidP="00000000" w:rsidRDefault="00000000" w:rsidRPr="00000000" w14:paraId="0000002D">
      <w:pPr>
        <w:jc w:val="both"/>
        <w:rPr/>
      </w:pPr>
      <w:r w:rsidDel="00000000" w:rsidR="00000000" w:rsidRPr="00000000">
        <w:rPr>
          <w:rtl w:val="0"/>
        </w:rPr>
      </w:r>
    </w:p>
    <w:p w:rsidR="00000000" w:rsidDel="00000000" w:rsidP="00000000" w:rsidRDefault="00000000" w:rsidRPr="00000000" w14:paraId="0000002E">
      <w:pPr>
        <w:pStyle w:val="Heading1"/>
        <w:rPr/>
      </w:pPr>
      <w:bookmarkStart w:colFirst="0" w:colLast="0" w:name="_ez8uadhiys6m" w:id="1"/>
      <w:bookmarkEnd w:id="1"/>
      <w:r w:rsidDel="00000000" w:rsidR="00000000" w:rsidRPr="00000000">
        <w:rPr>
          <w:rtl w:val="0"/>
        </w:rPr>
        <w:t xml:space="preserve">Element 1: Sustainable Brand Extension Poster Presentation</w:t>
      </w:r>
    </w:p>
    <w:p w:rsidR="00000000" w:rsidDel="00000000" w:rsidP="00000000" w:rsidRDefault="00000000" w:rsidRPr="00000000" w14:paraId="0000002F">
      <w:pPr>
        <w:jc w:val="center"/>
        <w:rPr/>
      </w:pPr>
      <w:r w:rsidDel="00000000" w:rsidR="00000000" w:rsidRPr="00000000">
        <w:rPr/>
        <w:drawing>
          <wp:inline distB="0" distT="0" distL="0" distR="0">
            <wp:extent cx="4375150" cy="4930140"/>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375150" cy="493014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jc w:val="center"/>
        <w:rPr>
          <w:b w:val="1"/>
          <w:bCs w:val="1"/>
        </w:rPr>
      </w:pPr>
      <w:r w:rsidDel="00000000" w:rsidR="00000000" w:rsidRPr="00000000">
        <w:rPr>
          <w:b w:val="1"/>
          <w:bCs w:val="1"/>
          <w:rtl w:val="0"/>
        </w:rPr>
        <w:t xml:space="preserve">Figure 1: Poster Presentation</w:t>
      </w:r>
    </w:p>
    <w:p w:rsidR="00000000" w:rsidDel="00000000" w:rsidP="00000000" w:rsidRDefault="00000000" w:rsidRPr="00000000" w14:paraId="00000031">
      <w:pPr>
        <w:jc w:val="center"/>
        <w:rPr/>
      </w:pPr>
      <w:r w:rsidDel="00000000" w:rsidR="00000000" w:rsidRPr="00000000">
        <w:rPr>
          <w:rtl w:val="0"/>
        </w:rPr>
        <w:t xml:space="preserve">(Source: Self-developed). </w:t>
      </w:r>
    </w:p>
    <w:p w:rsidR="00000000" w:rsidDel="00000000" w:rsidP="00000000" w:rsidRDefault="00000000" w:rsidRPr="00000000" w14:paraId="00000032">
      <w:pPr>
        <w:pStyle w:val="Heading2"/>
        <w:rPr/>
      </w:pPr>
      <w:bookmarkStart w:colFirst="0" w:colLast="0" w:name="_sqflsefpoz71" w:id="2"/>
      <w:bookmarkEnd w:id="2"/>
      <w:r w:rsidDel="00000000" w:rsidR="00000000" w:rsidRPr="00000000">
        <w:rPr>
          <w:rtl w:val="0"/>
        </w:rPr>
        <w:t xml:space="preserve">Company &amp; Sustainability Need</w:t>
      </w:r>
    </w:p>
    <w:p w:rsidR="00000000" w:rsidDel="00000000" w:rsidP="00000000" w:rsidRDefault="00000000" w:rsidRPr="00000000" w14:paraId="00000033">
      <w:pPr>
        <w:jc w:val="both"/>
        <w:rPr/>
      </w:pPr>
      <w:r w:rsidDel="00000000" w:rsidR="00000000" w:rsidRPr="00000000">
        <w:rPr>
          <w:rtl w:val="0"/>
        </w:rPr>
        <w:t xml:space="preserve">Zico, acquired by Coca-Cola in 2013, is a leading coconut water brand within Coca-Cola's diversified portfolio. Coconut water packaging (Tetra Pak cartons and plastic bottles) remains difficult to recycle and contributes to Coca-Cola's plastic footprint — a challenge directly tied to Coca-Cola's own "World Without Waste" packaging commitments (The Coca-Cola Company, 2020).  To counter this, Zico Renew expands this brand by introducing new packaging that is 100% coconut-husk-fibre biodegradable – whereby the agricultural waste from processing coconut is used as packaging material for this product.</w:t>
      </w:r>
    </w:p>
    <w:p w:rsidR="00000000" w:rsidDel="00000000" w:rsidP="00000000" w:rsidRDefault="00000000" w:rsidRPr="00000000" w14:paraId="00000034">
      <w:pPr>
        <w:pStyle w:val="Heading2"/>
        <w:rPr/>
      </w:pPr>
      <w:bookmarkStart w:colFirst="0" w:colLast="0" w:name="_ox66i7ukls23" w:id="3"/>
      <w:bookmarkEnd w:id="3"/>
      <w:r w:rsidDel="00000000" w:rsidR="00000000" w:rsidRPr="00000000">
        <w:rPr>
          <w:rtl w:val="0"/>
        </w:rPr>
        <w:t xml:space="preserve">Market Appeal</w:t>
      </w:r>
    </w:p>
    <w:p w:rsidR="00000000" w:rsidDel="00000000" w:rsidP="00000000" w:rsidRDefault="00000000" w:rsidRPr="00000000" w14:paraId="00000035">
      <w:pPr>
        <w:jc w:val="both"/>
        <w:rPr/>
      </w:pPr>
      <w:r w:rsidDel="00000000" w:rsidR="00000000" w:rsidRPr="00000000">
        <w:rPr>
          <w:rtl w:val="0"/>
        </w:rPr>
        <w:t xml:space="preserve">High demand for solutions to address plastic waste and a high growth rate of functional beverages continue to be strong incentives for brands to consider these market trends. In so doing, Zico Renew's strategy provides a case for recycled fibre that is sustainable and genuinely circular – attractive to environmentally conscious consumers and offering a low-material cost business model to investors based on turning waste into value (Gojic and Nadiia Petar Bukhonka, 2023).</w:t>
      </w:r>
    </w:p>
    <w:p w:rsidR="00000000" w:rsidDel="00000000" w:rsidP="00000000" w:rsidRDefault="00000000" w:rsidRPr="00000000" w14:paraId="00000036">
      <w:pPr>
        <w:pStyle w:val="Heading2"/>
        <w:rPr/>
      </w:pPr>
      <w:bookmarkStart w:colFirst="0" w:colLast="0" w:name="_y7bpwje0evrb" w:id="4"/>
      <w:bookmarkEnd w:id="4"/>
      <w:r w:rsidDel="00000000" w:rsidR="00000000" w:rsidRPr="00000000">
        <w:rPr>
          <w:rtl w:val="0"/>
        </w:rPr>
        <w:t xml:space="preserve">Sustainability Alignment</w:t>
      </w:r>
    </w:p>
    <w:p w:rsidR="00000000" w:rsidDel="00000000" w:rsidP="00000000" w:rsidRDefault="00000000" w:rsidRPr="00000000" w14:paraId="00000037">
      <w:pPr>
        <w:jc w:val="both"/>
        <w:rPr/>
      </w:pPr>
      <w:r w:rsidDel="00000000" w:rsidR="00000000" w:rsidRPr="00000000">
        <w:rPr>
          <w:rtl w:val="0"/>
        </w:rPr>
        <w:t xml:space="preserve">The proposed extension appears to be directly tied to Coca-Cola's packaging and waste reduction goals as well, since 99% of its main-packaging PET was deemed "technically recyclable" in 2024 while only 18% contained recycled content (Rachal, 2025). Zico Renew will use coconut husk fibre, which is an existing agricultural by-product, and upcycled from borrowed plastic, rather than virgin fibre or recycled plastic, and will be a commitment to developing a delivery system that is less reliant on non-renewable resources, while simultaneously creating value with the existing and by-products of an agricultural resource to help support a Coca-Cola brand portfolio that has sustainability at its core.</w:t>
      </w:r>
    </w:p>
    <w:p w:rsidR="00000000" w:rsidDel="00000000" w:rsidP="00000000" w:rsidRDefault="00000000" w:rsidRPr="00000000" w14:paraId="00000038">
      <w:pPr>
        <w:jc w:val="both"/>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bookmarkStart w:colFirst="0" w:colLast="0" w:name="_l8yzz7hvkv5s" w:id="5"/>
      <w:bookmarkEnd w:id="5"/>
      <w:r w:rsidDel="00000000" w:rsidR="00000000" w:rsidRPr="00000000">
        <w:rPr>
          <w:rtl w:val="0"/>
        </w:rPr>
        <w:t xml:space="preserve">Element 2: Develop a Segmentation, Targeting, Differentiation, and Positioning (STDP)</w:t>
      </w:r>
    </w:p>
    <w:p w:rsidR="00000000" w:rsidDel="00000000" w:rsidP="00000000" w:rsidRDefault="00000000" w:rsidRPr="00000000" w14:paraId="0000003A">
      <w:pPr>
        <w:pStyle w:val="Heading2"/>
        <w:rPr/>
      </w:pPr>
      <w:bookmarkStart w:colFirst="0" w:colLast="0" w:name="_3y9t5ycx7g66" w:id="6"/>
      <w:bookmarkEnd w:id="6"/>
      <w:r w:rsidDel="00000000" w:rsidR="00000000" w:rsidRPr="00000000">
        <w:rPr>
          <w:rtl w:val="0"/>
        </w:rPr>
        <w:t xml:space="preserve">Segmentation, Targeting, Differentiation, and Positioning Analysis: Zico Renew</w:t>
      </w:r>
    </w:p>
    <w:p w:rsidR="00000000" w:rsidDel="00000000" w:rsidP="00000000" w:rsidRDefault="00000000" w:rsidRPr="00000000" w14:paraId="0000003B">
      <w:pPr>
        <w:jc w:val="both"/>
        <w:rPr/>
      </w:pPr>
      <w:r w:rsidDel="00000000" w:rsidR="00000000" w:rsidRPr="00000000">
        <w:rPr>
          <w:rtl w:val="0"/>
        </w:rPr>
        <w:t xml:space="preserve">The analysis which follows aims to identify the market segments relevant to the proposed biodegradable coconut husk packaging extension for Coca-Cola's brand ‘Zico’, as well as to define the target audience, differentiation strategy, and positioning for the brand extension to support a sustainable packaging option.</w:t>
      </w:r>
    </w:p>
    <w:p w:rsidR="00000000" w:rsidDel="00000000" w:rsidP="00000000" w:rsidRDefault="00000000" w:rsidRPr="00000000" w14:paraId="0000003C">
      <w:pPr>
        <w:jc w:val="center"/>
        <w:rPr/>
      </w:pPr>
      <w:r w:rsidDel="00000000" w:rsidR="00000000" w:rsidRPr="00000000">
        <w:rPr>
          <w:rFonts w:ascii="Times New Roman" w:cs="Times New Roman" w:eastAsia="Times New Roman" w:hAnsi="Times New Roman"/>
        </w:rPr>
        <w:drawing>
          <wp:inline distB="0" distT="0" distL="0" distR="0">
            <wp:extent cx="5731510" cy="3527083"/>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1510" cy="3527083"/>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jc w:val="center"/>
        <w:rPr>
          <w:b w:val="1"/>
          <w:bCs w:val="1"/>
        </w:rPr>
      </w:pPr>
      <w:r w:rsidDel="00000000" w:rsidR="00000000" w:rsidRPr="00000000">
        <w:rPr>
          <w:b w:val="1"/>
          <w:bCs w:val="1"/>
          <w:rtl w:val="0"/>
        </w:rPr>
        <w:t xml:space="preserve">Figure 2: The global coconut water market.</w:t>
      </w:r>
    </w:p>
    <w:p w:rsidR="00000000" w:rsidDel="00000000" w:rsidP="00000000" w:rsidRDefault="00000000" w:rsidRPr="00000000" w14:paraId="0000003E">
      <w:pPr>
        <w:jc w:val="center"/>
        <w:rPr/>
      </w:pPr>
      <w:r w:rsidDel="00000000" w:rsidR="00000000" w:rsidRPr="00000000">
        <w:rPr>
          <w:rtl w:val="0"/>
        </w:rPr>
        <w:t xml:space="preserve">(Source: Future Market Insights, 2026).</w:t>
      </w:r>
    </w:p>
    <w:p w:rsidR="00000000" w:rsidDel="00000000" w:rsidP="00000000" w:rsidRDefault="00000000" w:rsidRPr="00000000" w14:paraId="0000003F">
      <w:pPr>
        <w:pStyle w:val="Heading2"/>
        <w:rPr/>
      </w:pPr>
      <w:bookmarkStart w:colFirst="0" w:colLast="0" w:name="_jyhgig15o0e8" w:id="7"/>
      <w:bookmarkEnd w:id="7"/>
      <w:r w:rsidDel="00000000" w:rsidR="00000000" w:rsidRPr="00000000">
        <w:rPr>
          <w:rtl w:val="0"/>
        </w:rPr>
        <w:t xml:space="preserve">Market Segmentation</w:t>
      </w:r>
    </w:p>
    <w:p w:rsidR="00000000" w:rsidDel="00000000" w:rsidP="00000000" w:rsidRDefault="00000000" w:rsidRPr="00000000" w14:paraId="00000040">
      <w:pPr>
        <w:jc w:val="both"/>
        <w:rPr>
          <w:b w:val="1"/>
          <w:bCs w:val="1"/>
        </w:rPr>
      </w:pPr>
      <w:r w:rsidDel="00000000" w:rsidR="00000000" w:rsidRPr="00000000">
        <w:rPr>
          <w:b w:val="1"/>
          <w:bCs w:val="1"/>
          <w:rtl w:val="0"/>
        </w:rPr>
        <w:t xml:space="preserve">Geographic Segmentation</w:t>
      </w:r>
    </w:p>
    <w:p w:rsidR="00000000" w:rsidDel="00000000" w:rsidP="00000000" w:rsidRDefault="00000000" w:rsidRPr="00000000" w14:paraId="00000041">
      <w:pPr>
        <w:jc w:val="both"/>
        <w:rPr/>
      </w:pPr>
      <w:r w:rsidDel="00000000" w:rsidR="00000000" w:rsidRPr="00000000">
        <w:rPr>
          <w:rtl w:val="0"/>
        </w:rPr>
        <w:t xml:space="preserve">The global coconut water market is expected to grow at a compound annual growth rate (CAGR) of 10.35% and reach USD 14.0 billion by 2034, valued at around USD 5.5 billion in 2025 (IMARC Group, 2026). According to IMARC Group, (2026), North America was the largest geographic segment of this market and the major reason for this region's leading position was the increased acceptance for functional beverages among the consumers as well as the development of an advanced cold-chain retail network. Secondary geographic focus then goes to urban centres from western Europe where recycling facilities and awareness of the environment amongst consumers is fairly developed.</w:t>
      </w:r>
    </w:p>
    <w:p w:rsidR="00000000" w:rsidDel="00000000" w:rsidP="00000000" w:rsidRDefault="00000000" w:rsidRPr="00000000" w14:paraId="00000042">
      <w:pPr>
        <w:jc w:val="both"/>
        <w:rPr>
          <w:b w:val="1"/>
          <w:bCs w:val="1"/>
        </w:rPr>
      </w:pPr>
      <w:r w:rsidDel="00000000" w:rsidR="00000000" w:rsidRPr="00000000">
        <w:rPr>
          <w:b w:val="1"/>
          <w:bCs w:val="1"/>
          <w:rtl w:val="0"/>
        </w:rPr>
        <w:t xml:space="preserve">Demographic Segmentation</w:t>
      </w:r>
    </w:p>
    <w:p w:rsidR="00000000" w:rsidDel="00000000" w:rsidP="00000000" w:rsidRDefault="00000000" w:rsidRPr="00000000" w14:paraId="00000043">
      <w:pPr>
        <w:jc w:val="both"/>
        <w:rPr/>
      </w:pPr>
      <w:r w:rsidDel="00000000" w:rsidR="00000000" w:rsidRPr="00000000">
        <w:rPr>
          <w:rtl w:val="0"/>
        </w:rPr>
        <w:t xml:space="preserve">The Zico Renew segment is aimed at </w:t>
      </w:r>
      <w:r w:rsidDel="00000000" w:rsidR="00000000" w:rsidRPr="00000000">
        <w:rPr>
          <w:b w:val="1"/>
          <w:bCs w:val="1"/>
          <w:i w:val="1"/>
          <w:iCs w:val="1"/>
          <w:rtl w:val="0"/>
        </w:rPr>
        <w:t xml:space="preserve">adults aged between 18 and 40, Millennials and Generation Z,</w:t>
      </w:r>
      <w:r w:rsidDel="00000000" w:rsidR="00000000" w:rsidRPr="00000000">
        <w:rPr>
          <w:rtl w:val="0"/>
        </w:rPr>
        <w:t xml:space="preserve"> the most active with sustainability-related buying decisions. They usually have moderate to high levels of discretionary income, they are educated to the university level, and over-represented in urban job markets. Household composition – mainly single or dual-income professionals with no dependent children, a group more inclined to afford a higher price for ethically produced products.</w:t>
      </w:r>
    </w:p>
    <w:p w:rsidR="00000000" w:rsidDel="00000000" w:rsidP="00000000" w:rsidRDefault="00000000" w:rsidRPr="00000000" w14:paraId="00000044">
      <w:pPr>
        <w:jc w:val="both"/>
        <w:rPr>
          <w:b w:val="1"/>
          <w:bCs w:val="1"/>
        </w:rPr>
      </w:pPr>
      <w:r w:rsidDel="00000000" w:rsidR="00000000" w:rsidRPr="00000000">
        <w:rPr>
          <w:b w:val="1"/>
          <w:bCs w:val="1"/>
          <w:rtl w:val="0"/>
        </w:rPr>
        <w:t xml:space="preserve">Psychographic Segmentation</w:t>
      </w:r>
    </w:p>
    <w:p w:rsidR="00000000" w:rsidDel="00000000" w:rsidP="00000000" w:rsidRDefault="00000000" w:rsidRPr="00000000" w14:paraId="00000045">
      <w:pPr>
        <w:jc w:val="both"/>
        <w:rPr/>
      </w:pPr>
      <w:r w:rsidDel="00000000" w:rsidR="00000000" w:rsidRPr="00000000">
        <w:rPr>
          <w:rtl w:val="0"/>
        </w:rPr>
        <w:t xml:space="preserve">Target segmentation is defined psychographically, in the context of health-consciousness, concern for the environment, and a favourability disposition towards the brands that are regarded as being transparent and more ethically responsible. Often these customers have strong connections to their buying patterns and prefer products that share an identity and values of being circular or reducing waste, and are not silenced by performative sustainability statements.</w:t>
      </w:r>
    </w:p>
    <w:p w:rsidR="00000000" w:rsidDel="00000000" w:rsidP="00000000" w:rsidRDefault="00000000" w:rsidRPr="00000000" w14:paraId="00000046">
      <w:pPr>
        <w:pStyle w:val="Heading2"/>
        <w:rPr/>
      </w:pPr>
      <w:bookmarkStart w:colFirst="0" w:colLast="0" w:name="_83c4bp4ow68i" w:id="8"/>
      <w:bookmarkEnd w:id="8"/>
      <w:r w:rsidDel="00000000" w:rsidR="00000000" w:rsidRPr="00000000">
        <w:rPr>
          <w:rtl w:val="0"/>
        </w:rPr>
        <w:t xml:space="preserve">Behavioural Segmentation</w:t>
      </w:r>
    </w:p>
    <w:p w:rsidR="00000000" w:rsidDel="00000000" w:rsidP="00000000" w:rsidRDefault="00000000" w:rsidRPr="00000000" w14:paraId="00000047">
      <w:pPr>
        <w:jc w:val="both"/>
        <w:rPr/>
      </w:pPr>
      <w:r w:rsidDel="00000000" w:rsidR="00000000" w:rsidRPr="00000000">
        <w:rPr>
          <w:rtl w:val="0"/>
        </w:rPr>
        <w:t xml:space="preserve">Behaviourally, this segment is highly loyal, once trust is built, inquisitive about information surrounding product provenance, and open to moving on to another brand when a responsible alternative for sustainability is offered. More importantly, the tetra pack and carton packaging format now have roughly 52% of the global coconut water packaging market share, highlighting the prior comfort of consumer with carton-based packaging formats thereby reducing the platform adoption curve for another format (IMARC Group, 2026).</w:t>
      </w:r>
    </w:p>
    <w:p w:rsidR="00000000" w:rsidDel="00000000" w:rsidP="00000000" w:rsidRDefault="00000000" w:rsidRPr="00000000" w14:paraId="00000048">
      <w:pPr>
        <w:jc w:val="both"/>
        <w:rPr/>
      </w:pPr>
      <w:r w:rsidDel="00000000" w:rsidR="00000000" w:rsidRPr="00000000">
        <w:rPr>
          <w:rtl w:val="0"/>
        </w:rPr>
        <w:t xml:space="preserve">Targeting</w:t>
      </w:r>
    </w:p>
    <w:p w:rsidR="00000000" w:rsidDel="00000000" w:rsidP="00000000" w:rsidRDefault="00000000" w:rsidRPr="00000000" w14:paraId="00000049">
      <w:pPr>
        <w:jc w:val="both"/>
        <w:rPr/>
      </w:pPr>
      <w:r w:rsidDel="00000000" w:rsidR="00000000" w:rsidRPr="00000000">
        <w:rPr>
          <w:rtl w:val="0"/>
        </w:rPr>
        <w:t xml:space="preserve">A differentiated targeting strategy can be recommended for Zico Renew, targeting primarily north American and western European consumers known to be more environmentally conscious, and more specifically Millennials and Generation Z consumers, and secondarily food-service operators, gyms, and other institutions that already purchase coconut water directly, accounting for about 37.6% of sales (Future Market Insights, 2026). Through this dual targeting, Zico Renew can develop brand equity with consumers and increase the predictability of volume related revenue streams through contract-based business that are appealing to investors.</w:t>
      </w:r>
    </w:p>
    <w:p w:rsidR="00000000" w:rsidDel="00000000" w:rsidP="00000000" w:rsidRDefault="00000000" w:rsidRPr="00000000" w14:paraId="0000004A">
      <w:pPr>
        <w:jc w:val="both"/>
        <w:rPr>
          <w:b w:val="1"/>
          <w:bCs w:val="1"/>
        </w:rPr>
      </w:pPr>
      <w:r w:rsidDel="00000000" w:rsidR="00000000" w:rsidRPr="00000000">
        <w:rPr>
          <w:b w:val="1"/>
          <w:bCs w:val="1"/>
          <w:rtl w:val="0"/>
        </w:rPr>
        <w:t xml:space="preserve">Differentiation</w:t>
      </w:r>
    </w:p>
    <w:p w:rsidR="00000000" w:rsidDel="00000000" w:rsidP="00000000" w:rsidRDefault="00000000" w:rsidRPr="00000000" w14:paraId="0000004B">
      <w:pPr>
        <w:jc w:val="both"/>
        <w:rPr/>
      </w:pPr>
      <w:r w:rsidDel="00000000" w:rsidR="00000000" w:rsidRPr="00000000">
        <w:rPr>
          <w:rtl w:val="0"/>
        </w:rPr>
        <w:t xml:space="preserve">Zico Renew's differentiation is based on the packaging innovation, not product reformulation, which sets it apart from other packaged coconut waters on the market, including those from competitors such as Vita Coco and PepsiCo's O.N.E. Coconut Water, neither of which is commercially scaling husk-fibre packaging (Environmental Update Coca Cola, 2024). A difference between recyclability and actual recycled content – as evidenced by Coca-Cola's disclosures, only 18% of its PET packaging material came from recycled content in 2024, despite Coca-Cola's primary packaging material being classified as “recyclable”. Ploumis, (2025), highlights the documented weakness in the parent company's current sustainability performance, Zico Renew fills this gap by using an upcycled material derived from plant husks instead of post-consumer recycled plastics. Also, third party analyses have pointed to the fact that despite the commitments made by Coca-Cola on sustainability, the use of virgin plastics for products has risen over the last period, around 6% since 2019 (Rachal, 2025).</w:t>
      </w:r>
    </w:p>
    <w:p w:rsidR="00000000" w:rsidDel="00000000" w:rsidP="00000000" w:rsidRDefault="00000000" w:rsidRPr="00000000" w14:paraId="0000004C">
      <w:pPr>
        <w:jc w:val="both"/>
        <w:rPr>
          <w:b w:val="1"/>
          <w:bCs w:val="1"/>
        </w:rPr>
      </w:pPr>
      <w:r w:rsidDel="00000000" w:rsidR="00000000" w:rsidRPr="00000000">
        <w:rPr>
          <w:b w:val="1"/>
          <w:bCs w:val="1"/>
          <w:rtl w:val="0"/>
        </w:rPr>
        <w:t xml:space="preserve">Positioning</w:t>
      </w:r>
    </w:p>
    <w:p w:rsidR="00000000" w:rsidDel="00000000" w:rsidP="00000000" w:rsidRDefault="00000000" w:rsidRPr="00000000" w14:paraId="0000004D">
      <w:pPr>
        <w:jc w:val="both"/>
        <w:rPr/>
      </w:pPr>
      <w:r w:rsidDel="00000000" w:rsidR="00000000" w:rsidRPr="00000000">
        <w:rPr>
          <w:rtl w:val="0"/>
        </w:rPr>
        <w:t xml:space="preserve">Zico Renew should be able to win a place in the functional beverage category as a believable waste-to-value brand, where the inclusion of ‘value’ will be buttressed by the statement of the change from ‘authentic coconut hydration’ to ‘quasi-authentic coconut hydration with verifiable circular packaging.’ The positioning concept for Zico Renew can be conveyed like this: Consumers who value health and sustainability will discover that the brand's positioning of coconut water as the 'manufacturing to packaging' extension is unique, while the competitors are using plastics or unverified recycled content claims. This positioning is supported by the wider market; The category of coconut water is expected to grow by an average rate of 7-to-20% across regions and segments, which suggests a receptive and growing market for a brand extension that can effectively play a part in both category growth and sustainability differentiation (Mordor Intelligence, 2026).</w:t>
      </w:r>
    </w:p>
    <w:p w:rsidR="00000000" w:rsidDel="00000000" w:rsidP="00000000" w:rsidRDefault="00000000" w:rsidRPr="00000000" w14:paraId="0000004E">
      <w:pPr>
        <w:pStyle w:val="Heading2"/>
        <w:rPr/>
      </w:pPr>
      <w:bookmarkStart w:colFirst="0" w:colLast="0" w:name="_6sxo74qskp8x" w:id="9"/>
      <w:bookmarkEnd w:id="9"/>
      <w:r w:rsidDel="00000000" w:rsidR="00000000" w:rsidRPr="00000000">
        <w:rPr>
          <w:rtl w:val="0"/>
        </w:rPr>
        <w:t xml:space="preserve">Ansoff Matrix </w:t>
      </w:r>
    </w:p>
    <w:p w:rsidR="00000000" w:rsidDel="00000000" w:rsidP="00000000" w:rsidRDefault="00000000" w:rsidRPr="00000000" w14:paraId="0000004F">
      <w:pPr>
        <w:rPr/>
      </w:pPr>
      <w:r w:rsidDel="00000000" w:rsidR="00000000" w:rsidRPr="00000000">
        <w:rPr>
          <w:rtl w:val="0"/>
        </w:rPr>
        <w:t xml:space="preserve">Ansoff Matrix: Definition is a matrix illustrating four growth Strategies that are defined by whether an organisation's products are either new or existing and the markets are new or existing. Market Penetration, Market Development, Product Development, and Diversification.</w:t>
      </w:r>
    </w:p>
    <w:p w:rsidR="00000000" w:rsidDel="00000000" w:rsidP="00000000" w:rsidRDefault="00000000" w:rsidRPr="00000000" w14:paraId="00000050">
      <w:pPr>
        <w:rPr>
          <w:b w:val="1"/>
          <w:bCs w:val="1"/>
        </w:rPr>
      </w:pPr>
      <w:r w:rsidDel="00000000" w:rsidR="00000000" w:rsidRPr="00000000">
        <w:rPr>
          <w:rtl w:val="0"/>
        </w:rPr>
        <w:t xml:space="preserve"> </w:t>
      </w:r>
      <w:r w:rsidDel="00000000" w:rsidR="00000000" w:rsidRPr="00000000">
        <w:rPr>
          <w:b w:val="1"/>
          <w:bCs w:val="1"/>
          <w:rtl w:val="0"/>
        </w:rPr>
        <w:t xml:space="preserve">(Two Selected Strategies).</w:t>
      </w:r>
    </w:p>
    <w:p w:rsidR="00000000" w:rsidDel="00000000" w:rsidP="00000000" w:rsidRDefault="00000000" w:rsidRPr="00000000" w14:paraId="00000051">
      <w:pPr>
        <w:rPr/>
      </w:pPr>
      <w:r w:rsidDel="00000000" w:rsidR="00000000" w:rsidRPr="00000000">
        <w:rPr>
          <w:rtl w:val="0"/>
        </w:rPr>
        <w:t xml:space="preserve">1.Product Development — New packaged husk-fibre for Zico's current and new customers.</w:t>
      </w:r>
    </w:p>
    <w:p w:rsidR="00000000" w:rsidDel="00000000" w:rsidP="00000000" w:rsidRDefault="00000000" w:rsidRPr="00000000" w14:paraId="00000052">
      <w:pPr>
        <w:rPr/>
      </w:pPr>
      <w:r w:rsidDel="00000000" w:rsidR="00000000" w:rsidRPr="00000000">
        <w:rPr>
          <w:rtl w:val="0"/>
        </w:rPr>
        <w:t xml:space="preserve">2.Market Development — targeting new institutional buyers with the existing product.</w:t>
      </w:r>
    </w:p>
    <w:p w:rsidR="00000000" w:rsidDel="00000000" w:rsidP="00000000" w:rsidRDefault="00000000" w:rsidRPr="00000000" w14:paraId="00000053">
      <w:pPr>
        <w:rPr>
          <w:b w:val="1"/>
          <w:bCs w:val="1"/>
          <w:i w:val="1"/>
          <w:iCs w:val="1"/>
        </w:rPr>
      </w:pPr>
      <w:r w:rsidDel="00000000" w:rsidR="00000000" w:rsidRPr="00000000">
        <w:rPr>
          <w:b w:val="1"/>
          <w:bCs w:val="1"/>
          <w:i w:val="1"/>
          <w:iCs w:val="1"/>
          <w:rtl w:val="0"/>
        </w:rPr>
        <w:t xml:space="preserve">Advantages and Disadvantages of the Ansoff Matrix</w:t>
      </w:r>
    </w:p>
    <w:tbl>
      <w:tblPr>
        <w:tblStyle w:val="Table1"/>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4188"/>
        <w:gridCol w:w="4828"/>
        <w:tblGridChange w:id="0">
          <w:tblGrid>
            <w:gridCol w:w="4188"/>
            <w:gridCol w:w="4828"/>
          </w:tblGrid>
        </w:tblGridChange>
      </w:tblGrid>
      <w:tr>
        <w:trPr>
          <w:cantSplit w:val="0"/>
          <w:tblHeader w:val="0"/>
        </w:trPr>
        <w:tc>
          <w:tcPr/>
          <w:p w:rsidR="00000000" w:rsidDel="00000000" w:rsidP="00000000" w:rsidRDefault="00000000" w:rsidRPr="00000000" w14:paraId="00000054">
            <w:pPr>
              <w:rPr/>
            </w:pPr>
            <w:r w:rsidDel="00000000" w:rsidR="00000000" w:rsidRPr="00000000">
              <w:rPr>
                <w:rtl w:val="0"/>
              </w:rPr>
              <w:t xml:space="preserve">Advantages</w:t>
            </w:r>
          </w:p>
        </w:tc>
        <w:tc>
          <w:tcPr/>
          <w:p w:rsidR="00000000" w:rsidDel="00000000" w:rsidP="00000000" w:rsidRDefault="00000000" w:rsidRPr="00000000" w14:paraId="00000055">
            <w:pPr>
              <w:rPr/>
            </w:pPr>
            <w:r w:rsidDel="00000000" w:rsidR="00000000" w:rsidRPr="00000000">
              <w:rPr>
                <w:rtl w:val="0"/>
              </w:rPr>
              <w:t xml:space="preserve">Disadvantages</w:t>
            </w:r>
          </w:p>
        </w:tc>
      </w:tr>
      <w:tr>
        <w:trPr>
          <w:cantSplit w:val="0"/>
          <w:tblHeader w:val="0"/>
        </w:trPr>
        <w:tc>
          <w:tcPr/>
          <w:p w:rsidR="00000000" w:rsidDel="00000000" w:rsidP="00000000" w:rsidRDefault="00000000" w:rsidRPr="00000000" w14:paraId="00000056">
            <w:pPr>
              <w:rPr/>
            </w:pPr>
            <w:r w:rsidDel="00000000" w:rsidR="00000000" w:rsidRPr="00000000">
              <w:rPr>
                <w:rtl w:val="0"/>
              </w:rPr>
              <w:t xml:space="preserve">Simple, widely understood framework that helps managers visualise risk levels associated with different growth options</w:t>
            </w:r>
          </w:p>
        </w:tc>
        <w:tc>
          <w:tcPr/>
          <w:p w:rsidR="00000000" w:rsidDel="00000000" w:rsidP="00000000" w:rsidRDefault="00000000" w:rsidRPr="00000000" w14:paraId="00000057">
            <w:pPr>
              <w:rPr/>
            </w:pPr>
            <w:r w:rsidDel="00000000" w:rsidR="00000000" w:rsidRPr="00000000">
              <w:rPr>
                <w:rtl w:val="0"/>
              </w:rPr>
              <w:t xml:space="preserve">Oversimplifies strategy into only two variables (product/market), ignoring competitive intensity, resource capability, or internal culture</w:t>
            </w:r>
          </w:p>
        </w:tc>
      </w:tr>
      <w:tr>
        <w:trPr>
          <w:cantSplit w:val="0"/>
          <w:tblHeader w:val="0"/>
        </w:trPr>
        <w:tc>
          <w:tcPr/>
          <w:p w:rsidR="00000000" w:rsidDel="00000000" w:rsidP="00000000" w:rsidRDefault="00000000" w:rsidRPr="00000000" w14:paraId="00000058">
            <w:pPr>
              <w:rPr/>
            </w:pPr>
            <w:r w:rsidDel="00000000" w:rsidR="00000000" w:rsidRPr="00000000">
              <w:rPr>
                <w:rtl w:val="0"/>
              </w:rPr>
              <w:t xml:space="preserve">Useful for comparing relative risk — Market Penetration is lowest risk, Diversification is highest</w:t>
            </w:r>
          </w:p>
        </w:tc>
        <w:tc>
          <w:tcPr/>
          <w:p w:rsidR="00000000" w:rsidDel="00000000" w:rsidP="00000000" w:rsidRDefault="00000000" w:rsidRPr="00000000" w14:paraId="00000059">
            <w:pPr>
              <w:rPr/>
            </w:pPr>
            <w:r w:rsidDel="00000000" w:rsidR="00000000" w:rsidRPr="00000000">
              <w:rPr>
                <w:rtl w:val="0"/>
              </w:rPr>
              <w:t xml:space="preserve">Assumes strategies are discrete choices, when in practice (as with Zico Renew) a company often pursues two quadrants simultaneously</w:t>
            </w:r>
          </w:p>
        </w:tc>
      </w:tr>
      <w:tr>
        <w:trPr>
          <w:cantSplit w:val="0"/>
          <w:tblHeader w:val="0"/>
        </w:trPr>
        <w:tc>
          <w:tcPr/>
          <w:p w:rsidR="00000000" w:rsidDel="00000000" w:rsidP="00000000" w:rsidRDefault="00000000" w:rsidRPr="00000000" w14:paraId="0000005A">
            <w:pPr>
              <w:rPr/>
            </w:pPr>
            <w:r w:rsidDel="00000000" w:rsidR="00000000" w:rsidRPr="00000000">
              <w:rPr>
                <w:rtl w:val="0"/>
              </w:rPr>
              <w:t xml:space="preserve">Encourages structured strategic thinking and supports scenario planning</w:t>
            </w:r>
          </w:p>
        </w:tc>
        <w:tc>
          <w:tcPr/>
          <w:p w:rsidR="00000000" w:rsidDel="00000000" w:rsidP="00000000" w:rsidRDefault="00000000" w:rsidRPr="00000000" w14:paraId="0000005B">
            <w:pPr>
              <w:rPr/>
            </w:pPr>
            <w:r w:rsidDel="00000000" w:rsidR="00000000" w:rsidRPr="00000000">
              <w:rPr>
                <w:rtl w:val="0"/>
              </w:rPr>
              <w:t xml:space="preserve">Does not account for </w:t>
            </w:r>
            <w:r w:rsidDel="00000000" w:rsidR="00000000" w:rsidRPr="00000000">
              <w:rPr>
                <w:i w:val="1"/>
                <w:iCs w:val="1"/>
                <w:rtl w:val="0"/>
              </w:rPr>
              <w:t xml:space="preserve">how</w:t>
            </w:r>
            <w:r w:rsidDel="00000000" w:rsidR="00000000" w:rsidRPr="00000000">
              <w:rPr>
                <w:rtl w:val="0"/>
              </w:rPr>
              <w:t xml:space="preserve"> to execute the strategy (e.g., implementation, timing, or ethical/sustainability risk) — it identifies direction, not action</w:t>
            </w:r>
          </w:p>
        </w:tc>
      </w:tr>
      <w:tr>
        <w:trPr>
          <w:cantSplit w:val="0"/>
          <w:tblHeader w:val="0"/>
        </w:trPr>
        <w:tc>
          <w:tcPr/>
          <w:p w:rsidR="00000000" w:rsidDel="00000000" w:rsidP="00000000" w:rsidRDefault="00000000" w:rsidRPr="00000000" w14:paraId="0000005C">
            <w:pPr>
              <w:rPr/>
            </w:pPr>
            <w:r w:rsidDel="00000000" w:rsidR="00000000" w:rsidRPr="00000000">
              <w:rPr>
                <w:rtl w:val="0"/>
              </w:rPr>
              <w:t xml:space="preserve">Easily combined with other tools (e.g., PESTLE, SWOT) for a fuller strategic picture</w:t>
            </w:r>
          </w:p>
        </w:tc>
        <w:tc>
          <w:tcPr/>
          <w:p w:rsidR="00000000" w:rsidDel="00000000" w:rsidP="00000000" w:rsidRDefault="00000000" w:rsidRPr="00000000" w14:paraId="0000005D">
            <w:pPr>
              <w:rPr/>
            </w:pPr>
            <w:r w:rsidDel="00000000" w:rsidR="00000000" w:rsidRPr="00000000">
              <w:rPr>
                <w:rtl w:val="0"/>
              </w:rPr>
              <w:t xml:space="preserve">Provides no guidance on financial feasibility or return on investment for each quadrant</w:t>
            </w:r>
          </w:p>
        </w:tc>
      </w:tr>
    </w:tbl>
    <w:p w:rsidR="00000000" w:rsidDel="00000000" w:rsidP="00000000" w:rsidRDefault="00000000" w:rsidRPr="00000000" w14:paraId="0000005E">
      <w:pPr>
        <w:pStyle w:val="Heading2"/>
        <w:spacing w:line="360" w:lineRule="auto"/>
        <w:rPr/>
      </w:pPr>
      <w:bookmarkStart w:colFirst="0" w:colLast="0" w:name="_2y8v7s7rcc2c" w:id="10"/>
      <w:bookmarkEnd w:id="10"/>
      <w:r w:rsidDel="00000000" w:rsidR="00000000" w:rsidRPr="00000000">
        <w:rPr>
          <w:rtl w:val="0"/>
        </w:rPr>
        <w:t xml:space="preserve">Porter's Generic Strategy</w:t>
      </w:r>
    </w:p>
    <w:p w:rsidR="00000000" w:rsidDel="00000000" w:rsidP="00000000" w:rsidRDefault="00000000" w:rsidRPr="00000000" w14:paraId="0000005F">
      <w:pPr>
        <w:jc w:val="both"/>
        <w:rPr/>
      </w:pPr>
      <w:r w:rsidDel="00000000" w:rsidR="00000000" w:rsidRPr="00000000">
        <w:rPr>
          <w:rtl w:val="0"/>
        </w:rPr>
        <w:t xml:space="preserve">Porter's Generic Strategy framework suggests that a company has three general strategies to gain sustainable competitive advantage: Cost Leadership, Differentiation and Focus (Cost Leadership or Differentiation). If a business doesn't clearly define one of these risks as "stuck in the middle", there is no clear competitive edge.</w:t>
      </w:r>
    </w:p>
    <w:p w:rsidR="00000000" w:rsidDel="00000000" w:rsidP="00000000" w:rsidRDefault="00000000" w:rsidRPr="00000000" w14:paraId="00000060">
      <w:pPr>
        <w:jc w:val="both"/>
        <w:rPr>
          <w:b w:val="1"/>
          <w:bCs w:val="1"/>
        </w:rPr>
      </w:pPr>
      <w:r w:rsidDel="00000000" w:rsidR="00000000" w:rsidRPr="00000000">
        <w:rPr>
          <w:b w:val="1"/>
          <w:bCs w:val="1"/>
          <w:rtl w:val="0"/>
        </w:rPr>
        <w:t xml:space="preserve">Application to Zico Renew</w:t>
      </w:r>
    </w:p>
    <w:p w:rsidR="00000000" w:rsidDel="00000000" w:rsidP="00000000" w:rsidRDefault="00000000" w:rsidRPr="00000000" w14:paraId="00000061">
      <w:pPr>
        <w:jc w:val="both"/>
        <w:rPr/>
      </w:pPr>
      <w:r w:rsidDel="00000000" w:rsidR="00000000" w:rsidRPr="00000000">
        <w:rPr>
          <w:rtl w:val="0"/>
        </w:rPr>
        <w:t xml:space="preserve">Zico Renew should adopt the strategy of Differentiation not compete on cost. The competitive advantage of Zico Renew is not that it is the lowest price coconut water on the shelf, as other brands such as Vita Coco and PepsiCo's O.N.E. Coconut Water already do. Rather, Zico Renew distinguishes itself by delivering an actual verified and upcycled packaging innovation that directly tackles the credibility gap, which exists in Coca-Cola's sustainability performance (Ploumis, 2025). </w:t>
      </w:r>
    </w:p>
    <w:p w:rsidR="00000000" w:rsidDel="00000000" w:rsidP="00000000" w:rsidRDefault="00000000" w:rsidRPr="00000000" w14:paraId="00000062">
      <w:pPr>
        <w:pStyle w:val="Heading2"/>
        <w:spacing w:line="360" w:lineRule="auto"/>
        <w:jc w:val="both"/>
        <w:rPr/>
      </w:pPr>
      <w:bookmarkStart w:colFirst="0" w:colLast="0" w:name="_4p7m35coorq4" w:id="11"/>
      <w:bookmarkEnd w:id="11"/>
      <w:r w:rsidDel="00000000" w:rsidR="00000000" w:rsidRPr="00000000">
        <w:rPr>
          <w:rtl w:val="0"/>
        </w:rPr>
        <w:t xml:space="preserve">PESTLE Analysis </w:t>
      </w:r>
    </w:p>
    <w:p w:rsidR="00000000" w:rsidDel="00000000" w:rsidP="00000000" w:rsidRDefault="00000000" w:rsidRPr="00000000" w14:paraId="00000063">
      <w:pPr>
        <w:jc w:val="both"/>
        <w:rPr/>
      </w:pPr>
      <w:r w:rsidDel="00000000" w:rsidR="00000000" w:rsidRPr="00000000">
        <w:rPr>
          <w:rtl w:val="0"/>
        </w:rPr>
        <w:t xml:space="preserve">A strategic tool for the analysis of external macro environment factors that influence a business' decisions is PESTLE which shorthand stands for Political, Economic, Social, Technological, Legal and Environmental (Nordigården, et al.,2025). Assists managers in determining if each factor is an opportunity or a threat.</w:t>
      </w:r>
    </w:p>
    <w:p w:rsidR="00000000" w:rsidDel="00000000" w:rsidP="00000000" w:rsidRDefault="00000000" w:rsidRPr="00000000" w14:paraId="0000006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Political (Threat): Tightening EU/US packaging regulations raise compliance costs for Coca-Cola's packaging goals.</w:t>
      </w:r>
    </w:p>
    <w:p w:rsidR="00000000" w:rsidDel="00000000" w:rsidP="00000000" w:rsidRDefault="00000000" w:rsidRPr="00000000" w14:paraId="0000006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Legal (Threat): Laws now require verified recycled content, not just recyclability, revealing Coca-Cola's 18% recycled-content gap (Rachal, 2025).</w:t>
      </w:r>
    </w:p>
    <w:p w:rsidR="00000000" w:rsidDel="00000000" w:rsidP="00000000" w:rsidRDefault="00000000" w:rsidRPr="00000000" w14:paraId="00000066">
      <w:pPr>
        <w:pStyle w:val="Heading1"/>
        <w:rPr/>
      </w:pPr>
      <w:bookmarkStart w:colFirst="0" w:colLast="0" w:name="_f9ul6pu3y5ji" w:id="12"/>
      <w:bookmarkEnd w:id="12"/>
      <w:r w:rsidDel="00000000" w:rsidR="00000000" w:rsidRPr="00000000">
        <w:rPr>
          <w:rtl w:val="0"/>
        </w:rPr>
        <w:t xml:space="preserve">Element 3: Marketing Mix Strategy for Zico Renew</w:t>
      </w:r>
    </w:p>
    <w:p w:rsidR="00000000" w:rsidDel="00000000" w:rsidP="00000000" w:rsidRDefault="00000000" w:rsidRPr="00000000" w14:paraId="00000067">
      <w:pPr>
        <w:pStyle w:val="Heading2"/>
        <w:rPr/>
      </w:pPr>
      <w:bookmarkStart w:colFirst="0" w:colLast="0" w:name="_61wym4w8nysq" w:id="13"/>
      <w:bookmarkEnd w:id="13"/>
      <w:r w:rsidDel="00000000" w:rsidR="00000000" w:rsidRPr="00000000">
        <w:rPr>
          <w:rtl w:val="0"/>
        </w:rPr>
        <w:t xml:space="preserve">Rationale for Adopting the Extended Marketing Mix (7Ps)</w:t>
      </w:r>
    </w:p>
    <w:p w:rsidR="00000000" w:rsidDel="00000000" w:rsidP="00000000" w:rsidRDefault="00000000" w:rsidRPr="00000000" w14:paraId="00000068">
      <w:pPr>
        <w:jc w:val="both"/>
        <w:rPr/>
      </w:pPr>
      <w:r w:rsidDel="00000000" w:rsidR="00000000" w:rsidRPr="00000000">
        <w:rPr>
          <w:rtl w:val="0"/>
        </w:rPr>
        <w:t xml:space="preserve">The extended marketing mix of seven elements is better suited than the traditional 4Ps mix to this evaluation, as Zico Renew is not just a product idea, it is a sustainability story being told through retail and institutional channels. Nguyen-Viet (2023) suggests that resource capstone and sustainability markets require a different approach because of the inclusion of these three dimensions: resource capstone and sustainability market requires a different approach since they play a vital role directly affect consumers' perception of credibility of any brand's environmental claims in any scepticism. This compound extended structure is thus used for the rest of this analysis.</w:t>
      </w:r>
    </w:p>
    <w:p w:rsidR="00000000" w:rsidDel="00000000" w:rsidP="00000000" w:rsidRDefault="00000000" w:rsidRPr="00000000" w14:paraId="00000069">
      <w:pPr>
        <w:jc w:val="both"/>
        <w:rPr>
          <w:b w:val="1"/>
          <w:bCs w:val="1"/>
        </w:rPr>
      </w:pPr>
      <w:r w:rsidDel="00000000" w:rsidR="00000000" w:rsidRPr="00000000">
        <w:rPr>
          <w:b w:val="1"/>
          <w:bCs w:val="1"/>
          <w:rtl w:val="0"/>
        </w:rPr>
        <w:t xml:space="preserve">Product</w:t>
      </w:r>
    </w:p>
    <w:p w:rsidR="00000000" w:rsidDel="00000000" w:rsidP="00000000" w:rsidRDefault="00000000" w:rsidRPr="00000000" w14:paraId="0000006A">
      <w:pPr>
        <w:jc w:val="both"/>
        <w:rPr/>
      </w:pPr>
      <w:r w:rsidDel="00000000" w:rsidR="00000000" w:rsidRPr="00000000">
        <w:rPr>
          <w:rtl w:val="0"/>
        </w:rPr>
        <w:t xml:space="preserve">The innovation in the core product involves the use of a biodegradable coconut husk fibre cage material, which is designed to replace Tetra Pak or PET packaging, without changing the coconut water formulation. This decision is especially well supported by Coca-Cola's considerable investments in recycled plastic, particularly in 2022 when the company alone bought nearly one billion US dollars-worth of recycled plastic. But at the same time Coca-Cola's purchases have not meaningfully reduced business plastic footprint (Oceana, 2025). Furthermore, Mukonza and Swarts (2020), reports that Green Product Strategies have been reported to have higher brand image success if they build on a real material or process innovation instead of rather modest changes of low-value materials such as recycled plastic in an existing format.</w:t>
      </w:r>
    </w:p>
    <w:p w:rsidR="00000000" w:rsidDel="00000000" w:rsidP="00000000" w:rsidRDefault="00000000" w:rsidRPr="00000000" w14:paraId="0000006B">
      <w:pPr>
        <w:jc w:val="both"/>
        <w:rPr>
          <w:b w:val="1"/>
          <w:bCs w:val="1"/>
        </w:rPr>
      </w:pPr>
      <w:r w:rsidDel="00000000" w:rsidR="00000000" w:rsidRPr="00000000">
        <w:rPr>
          <w:b w:val="1"/>
          <w:bCs w:val="1"/>
          <w:rtl w:val="0"/>
        </w:rPr>
        <w:t xml:space="preserve">Price</w:t>
      </w:r>
    </w:p>
    <w:p w:rsidR="00000000" w:rsidDel="00000000" w:rsidP="00000000" w:rsidRDefault="00000000" w:rsidRPr="00000000" w14:paraId="0000006C">
      <w:pPr>
        <w:jc w:val="both"/>
        <w:rPr/>
      </w:pPr>
      <w:r w:rsidDel="00000000" w:rsidR="00000000" w:rsidRPr="00000000">
        <w:rPr>
          <w:rtl w:val="0"/>
        </w:rPr>
        <w:t xml:space="preserve">Consumer willingness-to-pay information informs pricing strategy of a meaningful – yet bounded – premium-tolerance. PwC's, (2024), Voice of the Consumer Survey revealed that consumers are ready to pay 9.7% more, on average, for sustainably produced products. Meanwhile, the data revealed from Simon Kucher's 2024 Global Sustainability Study showed that 54% of consumers are now prepared to pay a premium for sustainable goods, a significant jump from 35% back in 2022 (Simon Kucher, 2024). However, Nordigården, et al. (2025), research cautions that only 4 to 7% of consumers are willing to pay a premium significantly above 10%, suggesting that Zico Renew's pricing should be positioned at a moderate premium of approximately 8 to 10% above the standard Zico range, rather than pursuing an aggressive premium strategy that risks alienating price-sensitive segments identified in the STDP analysis.</w:t>
      </w:r>
    </w:p>
    <w:p w:rsidR="00000000" w:rsidDel="00000000" w:rsidP="00000000" w:rsidRDefault="00000000" w:rsidRPr="00000000" w14:paraId="0000006D">
      <w:pPr>
        <w:rPr>
          <w:b w:val="1"/>
          <w:bCs w:val="1"/>
        </w:rPr>
      </w:pPr>
      <w:r w:rsidDel="00000000" w:rsidR="00000000" w:rsidRPr="00000000">
        <w:rPr>
          <w:b w:val="1"/>
          <w:bCs w:val="1"/>
          <w:rtl w:val="0"/>
        </w:rPr>
        <w:t xml:space="preserve">Place</w:t>
      </w:r>
    </w:p>
    <w:p w:rsidR="00000000" w:rsidDel="00000000" w:rsidP="00000000" w:rsidRDefault="00000000" w:rsidRPr="00000000" w14:paraId="0000006E">
      <w:pPr>
        <w:jc w:val="both"/>
        <w:rPr/>
      </w:pPr>
      <w:r w:rsidDel="00000000" w:rsidR="00000000" w:rsidRPr="00000000">
        <w:rPr>
          <w:rtl w:val="0"/>
        </w:rPr>
        <w:t xml:space="preserve">Distribution strategy should focus on maximizing existing Coca-Cola's distribution network, including supermarket and convenient channel distribution; for online distribution, the fastest-growing distribution channel in the coconut water segment, the expected CAGR of 20.1% is projected from 2026 to 2033 (Grand View Research, 2026). If digital-first should be the future, this channel growth matters significantly, as there are a disproportionate number of younger customers, who are more concerned about sustainable products, among those who shop through e-commerce platforms. Digital-first partnerships make sense of the existing distribution network, and not a costly infrastructure investment.</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5731510" cy="3707765"/>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731510" cy="3707765"/>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Figure 3: Importance of packaging characteristics while purchasing decisions</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(Source: Nordigården, et al. 2025).</w:t>
      </w:r>
    </w:p>
    <w:p w:rsidR="00000000" w:rsidDel="00000000" w:rsidP="00000000" w:rsidRDefault="00000000" w:rsidRPr="00000000" w14:paraId="00000072">
      <w:pPr>
        <w:jc w:val="both"/>
        <w:rPr>
          <w:b w:val="1"/>
          <w:bCs w:val="1"/>
        </w:rPr>
      </w:pPr>
      <w:r w:rsidDel="00000000" w:rsidR="00000000" w:rsidRPr="00000000">
        <w:rPr>
          <w:b w:val="1"/>
          <w:bCs w:val="1"/>
          <w:rtl w:val="0"/>
        </w:rPr>
        <w:t xml:space="preserve">Promotion</w:t>
      </w:r>
    </w:p>
    <w:p w:rsidR="00000000" w:rsidDel="00000000" w:rsidP="00000000" w:rsidRDefault="00000000" w:rsidRPr="00000000" w14:paraId="00000073">
      <w:pPr>
        <w:jc w:val="both"/>
        <w:rPr/>
      </w:pPr>
      <w:r w:rsidDel="00000000" w:rsidR="00000000" w:rsidRPr="00000000">
        <w:rPr>
          <w:rtl w:val="0"/>
        </w:rPr>
        <w:t xml:space="preserve">When it comes to sustainable messaging, the most important point is that they are supported by clear and verifiable claims. Promotional strategy should focus on transparency instead of broad messaging of sustainability, something that Qayyum, Jamil, and Sehar (2023) confirmed, as the growth of greenwashing and green confusion has detrimental effects when the messaging towards sustainability cannot be backed up with specific claims. This is supported by Shorr's (2025),  Sustainable Packaging Consumer Report, which revealed that 43% of consumers would be willing to pay more specifically for sustainable packaging, and 90% of consumers indicated they were more likely to buy from a brand that used sustainable packaging materials (Shorr, 2025). </w:t>
      </w:r>
    </w:p>
    <w:p w:rsidR="00000000" w:rsidDel="00000000" w:rsidP="00000000" w:rsidRDefault="00000000" w:rsidRPr="00000000" w14:paraId="00000074">
      <w:pPr>
        <w:jc w:val="both"/>
        <w:rPr>
          <w:b w:val="1"/>
          <w:bCs w:val="1"/>
        </w:rPr>
      </w:pPr>
      <w:r w:rsidDel="00000000" w:rsidR="00000000" w:rsidRPr="00000000">
        <w:rPr>
          <w:b w:val="1"/>
          <w:bCs w:val="1"/>
          <w:rtl w:val="0"/>
        </w:rPr>
        <w:t xml:space="preserve">People</w:t>
      </w:r>
    </w:p>
    <w:p w:rsidR="00000000" w:rsidDel="00000000" w:rsidP="00000000" w:rsidRDefault="00000000" w:rsidRPr="00000000" w14:paraId="00000075">
      <w:pPr>
        <w:jc w:val="both"/>
        <w:rPr/>
      </w:pPr>
      <w:r w:rsidDel="00000000" w:rsidR="00000000" w:rsidRPr="00000000">
        <w:rPr>
          <w:rtl w:val="0"/>
        </w:rPr>
        <w:t xml:space="preserve">Staff, bottling partners and retail account teams need to be taught to articulate the correct use of the material and if this is not done, there is a risk that the promotion while gaining impact at point of sale may lead to inaccurate information, thus reducing confidence in the root of the campaign. This is especially the case in situations where the green confusion is not only caused by lack of consistency in messaging but also due to the fact that companies — like Coca-Cola, ‘Facing up to the problem of green confusion’ (Oceana, 2025) – have already been subjected to significant scrutiny by the public for their environmental claims.</w:t>
      </w:r>
    </w:p>
    <w:p w:rsidR="00000000" w:rsidDel="00000000" w:rsidP="00000000" w:rsidRDefault="00000000" w:rsidRPr="00000000" w14:paraId="00000076">
      <w:pPr>
        <w:jc w:val="both"/>
        <w:rPr>
          <w:b w:val="1"/>
          <w:bCs w:val="1"/>
        </w:rPr>
      </w:pPr>
      <w:r w:rsidDel="00000000" w:rsidR="00000000" w:rsidRPr="00000000">
        <w:rPr>
          <w:b w:val="1"/>
          <w:bCs w:val="1"/>
          <w:rtl w:val="0"/>
        </w:rPr>
        <w:t xml:space="preserve">Process</w:t>
      </w:r>
    </w:p>
    <w:p w:rsidR="00000000" w:rsidDel="00000000" w:rsidP="00000000" w:rsidRDefault="00000000" w:rsidRPr="00000000" w14:paraId="00000077">
      <w:pPr>
        <w:jc w:val="both"/>
        <w:rPr/>
      </w:pPr>
      <w:r w:rsidDel="00000000" w:rsidR="00000000" w:rsidRPr="00000000">
        <w:rPr>
          <w:rtl w:val="0"/>
        </w:rPr>
        <w:t xml:space="preserve">The process element relates with the integrity of the process and the supply chain for sourcing of husk fibre consistently from commercial scale. Ensuring consistency of material supply is another challenge to address in this sustainability journey, where the brand would need to resume using conventional packaging in cases of scarcity, which would reinforce a misleading perception regarding the brand's sustainability as discussed by Nguyen-Viet (2022) to reinforce transparency in sourcing.</w:t>
      </w:r>
    </w:p>
    <w:p w:rsidR="00000000" w:rsidDel="00000000" w:rsidP="00000000" w:rsidRDefault="00000000" w:rsidRPr="00000000" w14:paraId="00000078">
      <w:pPr>
        <w:jc w:val="both"/>
        <w:rPr>
          <w:b w:val="1"/>
          <w:bCs w:val="1"/>
        </w:rPr>
      </w:pPr>
      <w:r w:rsidDel="00000000" w:rsidR="00000000" w:rsidRPr="00000000">
        <w:rPr>
          <w:b w:val="1"/>
          <w:bCs w:val="1"/>
          <w:rtl w:val="0"/>
        </w:rPr>
        <w:t xml:space="preserve">Physical Evidence</w:t>
      </w:r>
    </w:p>
    <w:p w:rsidR="00000000" w:rsidDel="00000000" w:rsidP="00000000" w:rsidRDefault="00000000" w:rsidRPr="00000000" w14:paraId="00000079">
      <w:pPr>
        <w:jc w:val="both"/>
        <w:rPr/>
      </w:pPr>
      <w:r w:rsidDel="00000000" w:rsidR="00000000" w:rsidRPr="00000000">
        <w:rPr>
          <w:rtl w:val="0"/>
        </w:rPr>
        <w:t xml:space="preserve">Physical evidence including packaging, labels and retail display is key in establishing (or eroding) trust. With reference to Nordigården et al. (2025), packing packaging should have clear and verifiable certification marks, not green claims, to curb green confusion risk as identified by people surveillance Qayyum, Jamil and Sehar (2023); to strengthen the credibility of the broader branding extension strategy.</w:t>
      </w:r>
    </w:p>
    <w:p w:rsidR="00000000" w:rsidDel="00000000" w:rsidP="00000000" w:rsidRDefault="00000000" w:rsidRPr="00000000" w14:paraId="0000007A">
      <w:pPr>
        <w:pStyle w:val="Heading1"/>
        <w:rPr/>
      </w:pPr>
      <w:bookmarkStart w:colFirst="0" w:colLast="0" w:name="_q1c3jlmu9zhs" w:id="14"/>
      <w:bookmarkEnd w:id="14"/>
      <w:r w:rsidDel="00000000" w:rsidR="00000000" w:rsidRPr="00000000">
        <w:rPr>
          <w:rtl w:val="0"/>
        </w:rPr>
        <w:t xml:space="preserve">Element 4: Reflection</w:t>
      </w:r>
    </w:p>
    <w:p w:rsidR="00000000" w:rsidDel="00000000" w:rsidP="00000000" w:rsidRDefault="00000000" w:rsidRPr="00000000" w14:paraId="0000007B">
      <w:pPr>
        <w:rPr>
          <w:b w:val="1"/>
          <w:bCs w:val="1"/>
        </w:rPr>
      </w:pPr>
      <w:r w:rsidDel="00000000" w:rsidR="00000000" w:rsidRPr="00000000">
        <w:rPr>
          <w:b w:val="1"/>
          <w:bCs w:val="1"/>
          <w:rtl w:val="0"/>
        </w:rPr>
        <w:t xml:space="preserve">Reflecting on Developing the Sustainable Brand Extension Strategy</w:t>
      </w:r>
    </w:p>
    <w:p w:rsidR="00000000" w:rsidDel="00000000" w:rsidP="00000000" w:rsidRDefault="00000000" w:rsidRPr="00000000" w14:paraId="0000007C">
      <w:pPr>
        <w:jc w:val="both"/>
        <w:rPr/>
      </w:pPr>
      <w:r w:rsidDel="00000000" w:rsidR="00000000" w:rsidRPr="00000000">
        <w:rPr>
          <w:rtl w:val="0"/>
        </w:rPr>
        <w:t xml:space="preserve">One of my most challenging but most satisfying aspects of this module has been building a sustainable brand extension strategy for Zico Renew. In the beginning, I underestimated how hard it would be to keep our sense of sustainability credibility and be viable from a commercial point of view. When I actually did the research on the Coca-Cola package performance—but not based on what Coca-Cola is telling me—well, it does require you to think things more deeply than when you first started listening (Li, and Lin, 2024).  I found myself questioning claims I would previously have taken at face value, particularly once I discovered the gap between Coca-Cola's stated recyclability targets and its actual recycled-content figures (Hesse et al., 2022).  This experience honed my interrogation capability to see beyond a story a company tells me in regard to sustainability, which I believe will be directly applicable for me as a marketer in the future.</w:t>
      </w:r>
    </w:p>
    <w:p w:rsidR="00000000" w:rsidDel="00000000" w:rsidP="00000000" w:rsidRDefault="00000000" w:rsidRPr="00000000" w14:paraId="0000007D">
      <w:pPr>
        <w:jc w:val="both"/>
        <w:rPr>
          <w:b w:val="1"/>
          <w:bCs w:val="1"/>
        </w:rPr>
      </w:pPr>
      <w:r w:rsidDel="00000000" w:rsidR="00000000" w:rsidRPr="00000000">
        <w:rPr>
          <w:b w:val="1"/>
          <w:bCs w:val="1"/>
          <w:rtl w:val="0"/>
        </w:rPr>
        <w:t xml:space="preserve">Reflecting on the Poster Presentation Experience</w:t>
      </w:r>
    </w:p>
    <w:p w:rsidR="00000000" w:rsidDel="00000000" w:rsidP="00000000" w:rsidRDefault="00000000" w:rsidRPr="00000000" w14:paraId="0000007E">
      <w:pPr>
        <w:jc w:val="both"/>
        <w:rPr/>
      </w:pPr>
      <w:r w:rsidDel="00000000" w:rsidR="00000000" w:rsidRPr="00000000">
        <w:rPr>
          <w:rtl w:val="0"/>
        </w:rPr>
        <w:t xml:space="preserve">Preparing and delivering the poster presentation was, for me, the most personally challenging element of this assessment. The challenge to pull together a detailed strategic argument in a three to five minute talk created an interesting dilemma in prioritisation and I found myself initially having to make decisions on where to use my time and write against where it didn't make sense. By preparing the speech, I learned that it was important to have both the structure and the pacing with a persuasive speech just as much as the correct content (Sims, Swales and Aitken, 2025).  I also gained a better understanding of how much I had to tailor the same information around the commercial viability point of view and the emotional and ethical point of view when presenting to an investors audience and customer audience respectively.</w:t>
      </w:r>
    </w:p>
    <w:p w:rsidR="00000000" w:rsidDel="00000000" w:rsidP="00000000" w:rsidRDefault="00000000" w:rsidRPr="00000000" w14:paraId="0000007F">
      <w:pPr>
        <w:jc w:val="both"/>
        <w:rPr>
          <w:b w:val="1"/>
          <w:bCs w:val="1"/>
        </w:rPr>
      </w:pPr>
      <w:r w:rsidDel="00000000" w:rsidR="00000000" w:rsidRPr="00000000">
        <w:rPr>
          <w:b w:val="1"/>
          <w:bCs w:val="1"/>
          <w:rtl w:val="0"/>
        </w:rPr>
        <w:t xml:space="preserve">Skills, Knowledge, and Insights Gained</w:t>
      </w:r>
    </w:p>
    <w:p w:rsidR="00000000" w:rsidDel="00000000" w:rsidP="00000000" w:rsidRDefault="00000000" w:rsidRPr="00000000" w14:paraId="00000080">
      <w:pPr>
        <w:jc w:val="both"/>
        <w:rPr/>
      </w:pPr>
      <w:r w:rsidDel="00000000" w:rsidR="00000000" w:rsidRPr="00000000">
        <w:rPr>
          <w:rtl w:val="0"/>
        </w:rPr>
        <w:t xml:space="preserve">Across this process, I feel I have developed stronger critical evaluation skills, particularly in relation to distinguishing between corporate sustainability rhetoric and substantiated performance data. I also further enhanced my knowledge of segmentation and positioning theory by using it in a real market context instead of hypothetical, making the STDP feel much more tangible than in earlier work I had done (Borle et al., 2025).  Practically, I achieved to get more confident in synthesising the quantitative data from the market with the qualitative data from the brand strategy which I faced a bit of difficulty to make it happen convincingly.</w:t>
      </w:r>
    </w:p>
    <w:p w:rsidR="00000000" w:rsidDel="00000000" w:rsidP="00000000" w:rsidRDefault="00000000" w:rsidRPr="00000000" w14:paraId="00000081">
      <w:pPr>
        <w:jc w:val="both"/>
        <w:rPr>
          <w:b w:val="1"/>
          <w:bCs w:val="1"/>
        </w:rPr>
      </w:pPr>
      <w:r w:rsidDel="00000000" w:rsidR="00000000" w:rsidRPr="00000000">
        <w:rPr>
          <w:b w:val="1"/>
          <w:bCs w:val="1"/>
          <w:rtl w:val="0"/>
        </w:rPr>
        <w:t xml:space="preserve">Contribution to Personal and Professional Development</w:t>
      </w:r>
    </w:p>
    <w:p w:rsidR="00000000" w:rsidDel="00000000" w:rsidP="00000000" w:rsidRDefault="00000000" w:rsidRPr="00000000" w14:paraId="00000082">
      <w:pPr>
        <w:jc w:val="both"/>
        <w:rPr/>
      </w:pPr>
      <w:r w:rsidDel="00000000" w:rsidR="00000000" w:rsidRPr="00000000">
        <w:rPr>
          <w:rtl w:val="0"/>
        </w:rPr>
        <w:t xml:space="preserve">I think this project provides value as far as my professional growth and development goes, especially in terms of what consultancy just really means, because I had to back up every recommendation as if it were for a client and not just for an academic assignment. This has boosted my confidence in developing and creating commercially viable, evidence-based recommendations, which is considered necessary for postgraduate level employment in marketing and brand management.</w:t>
      </w:r>
    </w:p>
    <w:p w:rsidR="00000000" w:rsidDel="00000000" w:rsidP="00000000" w:rsidRDefault="00000000" w:rsidRPr="00000000" w14:paraId="00000083">
      <w:pPr>
        <w:jc w:val="both"/>
        <w:rPr>
          <w:b w:val="1"/>
          <w:bCs w:val="1"/>
        </w:rPr>
      </w:pPr>
      <w:r w:rsidDel="00000000" w:rsidR="00000000" w:rsidRPr="00000000">
        <w:rPr>
          <w:b w:val="1"/>
          <w:bCs w:val="1"/>
          <w:rtl w:val="0"/>
        </w:rPr>
        <w:t xml:space="preserve">Future Development</w:t>
      </w:r>
    </w:p>
    <w:p w:rsidR="00000000" w:rsidDel="00000000" w:rsidP="00000000" w:rsidRDefault="00000000" w:rsidRPr="00000000" w14:paraId="00000084">
      <w:pPr>
        <w:jc w:val="both"/>
        <w:rPr/>
      </w:pPr>
      <w:r w:rsidDel="00000000" w:rsidR="00000000" w:rsidRPr="00000000">
        <w:rPr>
          <w:rtl w:val="0"/>
        </w:rPr>
        <w:t xml:space="preserve">In the future, I acknowledge that my research method may need to be improved by focusing more time on consumer behaviour theory (He and Wei, 2023) and less time on packaging data. In future projects, I want to spend my research time more evenly from the beginning with more market data and less theory in practical application. I also want to work harder on giving presentations earlier and ideally with others, as I think it would have helped develop my pacing and delivery skills during the presentation.</w:t>
      </w:r>
    </w:p>
    <w:p w:rsidR="00000000" w:rsidDel="00000000" w:rsidP="00000000" w:rsidRDefault="00000000" w:rsidRPr="00000000" w14:paraId="00000085">
      <w:pPr>
        <w:pStyle w:val="Heading1"/>
        <w:rPr/>
      </w:pPr>
      <w:bookmarkStart w:colFirst="0" w:colLast="0" w:name="_u8gsvwlhzndz" w:id="15"/>
      <w:bookmarkEnd w:id="15"/>
      <w:r w:rsidDel="00000000" w:rsidR="00000000" w:rsidRPr="00000000">
        <w:rPr>
          <w:rtl w:val="0"/>
        </w:rPr>
        <w:t xml:space="preserve">Conclusion</w:t>
      </w:r>
    </w:p>
    <w:p w:rsidR="00000000" w:rsidDel="00000000" w:rsidP="00000000" w:rsidRDefault="00000000" w:rsidRPr="00000000" w14:paraId="00000086">
      <w:pPr>
        <w:jc w:val="both"/>
        <w:rPr>
          <w:rFonts w:ascii="Times New Roman" w:cs="Times New Roman" w:eastAsia="Times New Roman" w:hAnsi="Times New Roman"/>
        </w:rPr>
      </w:pPr>
      <w:r w:rsidDel="00000000" w:rsidR="00000000" w:rsidRPr="00000000">
        <w:rPr>
          <w:rtl w:val="0"/>
        </w:rPr>
        <w:t xml:space="preserve">In this portfolio, Zico Renew appears to be a viable brand extension of the Coca-Cola Zico brand, with clear market segmentation, a differentiated positioning strategy, and a marketing mix that is coherent and based on existing consumer and market information. Considered together with Coca-Cola's known disconnect between target recyclability and their current recycled content use, the analysis suggests a viable economic rationale for this extension because of consumer willingness to pay more for truly sustainable packaging. The reflective phase also revealed how important it is to adopt a strategic reasoning supported by evidence, and to be able to communicate in a way suitable to the audience to build a convincing brand proposition with sustainability as its core.</w:t>
      </w:r>
      <w:r w:rsidDel="00000000" w:rsidR="00000000" w:rsidRPr="00000000">
        <w:br w:type="page"/>
      </w:r>
      <w:r w:rsidDel="00000000" w:rsidR="00000000" w:rsidRPr="00000000">
        <w:rPr>
          <w:rtl w:val="0"/>
        </w:rPr>
      </w:r>
    </w:p>
    <w:p w:rsidR="00000000" w:rsidDel="00000000" w:rsidP="00000000" w:rsidRDefault="00000000" w:rsidRPr="00000000" w14:paraId="00000087">
      <w:pPr>
        <w:pStyle w:val="Heading1"/>
        <w:rPr>
          <w:sz w:val="24"/>
          <w:szCs w:val="24"/>
        </w:rPr>
      </w:pPr>
      <w:bookmarkStart w:colFirst="0" w:colLast="0" w:name="_5ybme1rcxucm" w:id="16"/>
      <w:bookmarkEnd w:id="16"/>
      <w:r w:rsidDel="00000000" w:rsidR="00000000" w:rsidRPr="00000000">
        <w:rPr>
          <w:rtl w:val="0"/>
        </w:rPr>
        <w:t xml:space="preserve">References </w:t>
      </w: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Arizton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Coconut Water Market Size, Share, Growth Forecast to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Arizton Advisory &amp; Intelligence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1">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https://www.arizton.com/market-reports/coconut-water-market-size-analysis-2025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14, 2026).</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Borle, A., Singh, A., Dahihandekar, C., Sathe, S. and Agrawal, M., 2025. An Insight into the Techniques of Learning Gain–A Literature Review. Journal of Datta Meghe Institute of Medical Sciences University, 20(3), pp.476-482. </w:t>
      </w:r>
      <w:hyperlink r:id="rId12">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https://journals.lww.com/dmms/_layouts/15/oaks.journals/downloadpdf.aspx?an=01394964-202507000-00003</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Environmental Update Coca Cola (2024). </w:t>
      </w:r>
      <w:hyperlink r:id="rId13">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https://www.coca-colacompany.com/content/dam/corporate/us/en/reports/2024-environmental-update/2024-environmental-update.pdf</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Future Market Insights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Coconut Water Market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Www.futuremarketinsights.com</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4">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https://www.futuremarketinsights.com/reports/coconut-water-market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14, 2026).</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Gojic, A. and Nadiia Petar Bukhonka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Recycled Textile Fibers and Materials – Current State and Development Perspectives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ResearchGate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unknown. Available at: </w:t>
      </w:r>
      <w:hyperlink r:id="rId15">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https://www.researchgate.net/publication/373949656_Recycled_Textile_Fibers_and_Materials_-_Current_State_and_Development_Perspectives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13, 2026).</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Grand View Research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Coconut Water Market Size &amp; Share Report, 2020-2027</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Www.grandviewresearch.com</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6">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https://www.grandviewresearch.com/industry-analysis/coconut-water-market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14, 2026).</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He, X. and Wei, H., 2023. Biodiversity conservation and ecological value of protected areas: A review of current situation and future prospects. Frontiers in Ecology and Evolution, 11, p.1261265. </w:t>
      </w:r>
      <w:hyperlink r:id="rId17">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https://www.frontiersin.org/journals/ecology-and-evolution/articles/10.3389/fevo.2023.1261265/pdf</w:t>
        </w:r>
      </w:hyperlink>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Hesse, A., Bündgen, K., Claren, S. and Frank, S., 2022. Practices of brand extensions and how consumers respond to FMCG giants’ greening attempts. Journal of brand management, 29(6), p.520. </w:t>
      </w:r>
      <w:hyperlink r:id="rId18">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https://pmc.ncbi.nlm.nih.gov/articles/PMC8831008/pdf/41262_2022_Article_274.pdf</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IMARC Group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Coconut Water Market Size, Share, Industry Analysis 2022-27</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Www.imarcgroup.com</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9">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https://www.imarcgroup.com/coconut-water-market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14, 2026).</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 Y.F. and Lin, F.S., 2024. Exploring design strategies for cultivating sustainability and enhancing brand image in personal care product brands. Sustainability, 16(6), p.2476. </w:t>
      </w:r>
      <w:hyperlink r:id="rId20">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https://www.mdpi.com/2071-1050/16/6/2476</w:t>
        </w:r>
      </w:hyperlink>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Mordor Intelligence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Coconut water Market | 2022 - 27 | Industry Share, Size, Growth - Mordor Intelligence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Www.mordorintelligence.com</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1">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https://www.mordorintelligence.com/industry-reports/coconut-water-market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14, 2026).</w:t>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singl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Mukonza, C. and Swarts, I. (2020) “The influence of green marketing strategies on business performance and corporate image in the retail sector,”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Business Strategy and the Environment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29(3), pp. 838–845.</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hyperlink r:id="rId22">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https://onlinelibrary.wiley.com/doi/abs/10.1002/bse.2401</w:t>
        </w:r>
      </w:hyperlink>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 </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Nguyen-Viet, B. (2022) “The impact of green marketing mix elements on green customer based brand equity in an emerging market,”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Asia-Pacific Journal of Business Administration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15(1), pp. 96–116. Available at: </w:t>
      </w:r>
      <w:hyperlink r:id="rId23">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https://doi.org/10.1108/apjba-08-2021-0398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Nordigården, D.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 in packaging 2025: Inside the minds of global consumers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McKinsey &amp; Company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4">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https://www.mckinsey.com/industries/packaging-and-paper/our-insights/sustainability-in-packaging-2025-inside-the-minds-of-global-consumers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14, 2026).</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Oceana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Coca-Cola’s World With Waste | Oceana</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Oceana</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5">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https://oceana.org/reports/coca-colas-world-with-waste/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14, 2026).</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Ploumis, P.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Coca-Cola: 99% Of its Packages Globally were Recyclable in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ScrapMonster</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6">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https://www.scrapmonster.com/news/plastic-recycling/coca-cola-packages-recyclable-pollution-plastic-bottle-environmental-update/97414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14, 2026).</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PWC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Consumers willing to pay 9.7% sustainability premium, even as cost-of-living and inflationary concerns weigh: PwC 2024 voice of the consumer survey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PwC</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7">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https://www.pwc.com/gx/en/news-room/press-releases/2024/pwc-2024-voice-of-consumer-survey.html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14, 2026).</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Qayyum, A., Jamil, R.A. and Sehar, A. (2022) “Impact of green marketing, greenwashing and green confusion on green brand equity,”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Spanish Journal of Marketing - ESIC</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27(3). Available at: </w:t>
      </w:r>
      <w:hyperlink r:id="rId28">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https://doi.org/10.1108/sjme-03-2022-0032</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A">
      <w:pPr>
        <w:jc w:val="both"/>
        <w:rPr/>
      </w:pPr>
      <w:r w:rsidDel="00000000" w:rsidR="00000000" w:rsidRPr="00000000">
        <w:rPr>
          <w:rtl w:val="0"/>
        </w:rPr>
        <w:t xml:space="preserve">Rachal, M. (2025) Coca-Cola reports jump in packaging deemed recyclable, Packaging Dive. Available at: </w:t>
      </w:r>
      <w:hyperlink r:id="rId29">
        <w:r w:rsidDel="00000000" w:rsidR="00000000" w:rsidRPr="00000000">
          <w:rPr>
            <w:color w:val="0563c1"/>
            <w:u w:val="single"/>
            <w:rtl w:val="0"/>
          </w:rPr>
          <w:t xml:space="preserve">https://www.packagingdive.com/news/coca-cola-2024-environmental-update-packaging/760832/</w:t>
        </w:r>
      </w:hyperlink>
      <w:r w:rsidDel="00000000" w:rsidR="00000000" w:rsidRPr="00000000">
        <w:rPr>
          <w:rtl w:val="0"/>
        </w:rPr>
        <w:t xml:space="preserve">  (Accessed: July 13, 2026).</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Shorr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2025 Sustainable Packaging Consumer Report | Shorr Packaging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Shorr Packaging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0">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https://www.shorr.com/resources/blog/sustainable-packaging-consumer-report/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14, 2026).</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Simon-Kucher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2024 Global Sustainability Study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1">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https://www.simon-kucher.com/en/who-we-are/newsroom/simon-kucher-unveils-2024-global-sustainability-study-majority-willing-pay-more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14 July 2026).</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Sims, D., Swales, C. and Aitken, D., 2025. Student poster conferences as a formative, authentic, inclusive and sustainable assessment practice. The clinical teacher, 22(2), p.e70050. </w:t>
      </w:r>
      <w:hyperlink r:id="rId32">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https://asmepublications.onlinelibrary.wiley.com/doi/pdf/10.1111/tct.70050</w:t>
        </w:r>
      </w:hyperlink>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Coca-Cola Company (2020)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Coca-Cola Company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Coca-Cola Company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3">
        <w:r w:rsidDel="00000000" w:rsidR="00000000" w:rsidRPr="00000000">
          <w:rPr>
            <w:rFonts w:ascii="Arial" w:cs="Arial" w:eastAsia="Arial" w:hAnsi="Arial"/>
            <w:b w:val="0"/>
            <w:bCs w:val="0"/>
            <w:i w:val="0"/>
            <w:iCs w:val="0"/>
            <w:smallCaps w:val="0"/>
            <w:strike w:val="0"/>
            <w:color w:val="0563c1"/>
            <w:sz w:val="24"/>
            <w:szCs w:val="24"/>
            <w:u w:val="single"/>
            <w:shd w:fill="auto" w:val="clear"/>
            <w:vertAlign w:val="baseline"/>
            <w:rtl w:val="0"/>
          </w:rPr>
          <w:t xml:space="preserve">https://investors.coca-colacompany.com/news-events/press-releases/detail/630/zicotm-beverages-joins-the-coca-cola-family</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(Accessed: July 13, 2026).</w:t>
      </w:r>
    </w:p>
    <w:sectPr>
      <w:footerReference r:id="rId3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 w:name="Calibri"/>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IN"/>
      </w:rPr>
    </w:rPrDefault>
    <w:pPrDefault>
      <w:pPr>
        <w:spacing w:after="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480" w:lineRule="auto"/>
    </w:pPr>
    <w:rPr>
      <w:b w:val="1"/>
      <w:bCs w:val="1"/>
      <w:sz w:val="28"/>
      <w:szCs w:val="28"/>
    </w:rPr>
  </w:style>
  <w:style w:type="paragraph" w:styleId="Heading2">
    <w:name w:val="heading 2"/>
    <w:basedOn w:val="Normal"/>
    <w:next w:val="Normal"/>
    <w:pPr>
      <w:keepNext w:val="1"/>
      <w:keepLines w:val="1"/>
      <w:spacing w:after="0" w:before="40" w:line="480" w:lineRule="auto"/>
    </w:pPr>
    <w:rPr>
      <w:b w:val="1"/>
      <w:bCs w:val="1"/>
      <w:sz w:val="26"/>
      <w:szCs w:val="26"/>
    </w:rPr>
  </w:style>
  <w:style w:type="paragraph" w:styleId="Heading3">
    <w:name w:val="heading 3"/>
    <w:basedOn w:val="Normal"/>
    <w:next w:val="Normal"/>
    <w:pPr>
      <w:spacing w:line="240" w:lineRule="auto"/>
    </w:pPr>
    <w:rPr>
      <w:rFonts w:ascii="Times New Roman" w:cs="Times New Roman" w:eastAsia="Times New Roman" w:hAnsi="Times New Roman"/>
      <w:b w:val="1"/>
      <w:bCs w:val="1"/>
      <w:sz w:val="27"/>
      <w:szCs w:val="27"/>
    </w:rPr>
  </w:style>
  <w:style w:type="paragraph" w:styleId="Heading4">
    <w:name w:val="heading 4"/>
    <w:basedOn w:val="Normal"/>
    <w:next w:val="Normal"/>
    <w:pPr>
      <w:spacing w:line="240" w:lineRule="auto"/>
    </w:pPr>
    <w:rPr>
      <w:rFonts w:ascii="Times New Roman" w:cs="Times New Roman" w:eastAsia="Times New Roman" w:hAnsi="Times New Roman"/>
      <w:b w:val="1"/>
      <w:bCs w:val="1"/>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www.mdpi.com/2071-1050/16/6/2476" TargetMode="External"/><Relationship Id="rId22" Type="http://schemas.openxmlformats.org/officeDocument/2006/relationships/hyperlink" Target="https://onlinelibrary.wiley.com/doi/abs/10.1002/bse.2401" TargetMode="External"/><Relationship Id="rId21" Type="http://schemas.openxmlformats.org/officeDocument/2006/relationships/hyperlink" Target="https://www.mordorintelligence.com/industry-reports/coconut-water-market" TargetMode="External"/><Relationship Id="rId24" Type="http://schemas.openxmlformats.org/officeDocument/2006/relationships/hyperlink" Target="https://www.mckinsey.com/industries/packaging-and-paper/our-insights/sustainability-in-packaging-2025-inside-the-minds-of-global-consumers" TargetMode="External"/><Relationship Id="rId23" Type="http://schemas.openxmlformats.org/officeDocument/2006/relationships/hyperlink" Target="https://doi.org/10.1108/apjba-08-2021-039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www.scrapmonster.com/news/plastic-recycling/coca-cola-packages-recyclable-pollution-plastic-bottle-environmental-update/97414" TargetMode="External"/><Relationship Id="rId25" Type="http://schemas.openxmlformats.org/officeDocument/2006/relationships/hyperlink" Target="https://oceana.org/reports/coca-colas-world-with-waste/" TargetMode="External"/><Relationship Id="rId28" Type="http://schemas.openxmlformats.org/officeDocument/2006/relationships/hyperlink" Target="https://doi.org/10.1108/sjme-03-2022-0032" TargetMode="External"/><Relationship Id="rId27" Type="http://schemas.openxmlformats.org/officeDocument/2006/relationships/hyperlink" Target="https://www.pwc.com/gx/en/news-room/press-releases/2024/pwc-2024-voice-of-consumer-survey.html"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packagingdive.com/news/coca-cola-2024-environmental-update-packaging/760832/" TargetMode="External"/><Relationship Id="rId7" Type="http://schemas.openxmlformats.org/officeDocument/2006/relationships/hyperlink" Target="mailto:2536654@student.uwtsd.ac.uk" TargetMode="External"/><Relationship Id="rId8" Type="http://schemas.openxmlformats.org/officeDocument/2006/relationships/image" Target="media/image3.png"/><Relationship Id="rId31" Type="http://schemas.openxmlformats.org/officeDocument/2006/relationships/hyperlink" Target="https://www.simon-kucher.com/en/who-we-are/newsroom/simon-kucher-unveils-2024-global-sustainability-study-majority-willing-pay-more" TargetMode="External"/><Relationship Id="rId30" Type="http://schemas.openxmlformats.org/officeDocument/2006/relationships/hyperlink" Target="https://www.shorr.com/resources/blog/sustainable-packaging-consumer-report/" TargetMode="External"/><Relationship Id="rId11" Type="http://schemas.openxmlformats.org/officeDocument/2006/relationships/hyperlink" Target="https://www.arizton.com/market-reports/coconut-water-market-size-analysis-2025" TargetMode="External"/><Relationship Id="rId33" Type="http://schemas.openxmlformats.org/officeDocument/2006/relationships/hyperlink" Target="https://investors.coca-colacompany.com/news-events/press-releases/detail/630/zicotm-beverages-joins-the-coca-cola-family" TargetMode="External"/><Relationship Id="rId10" Type="http://schemas.openxmlformats.org/officeDocument/2006/relationships/image" Target="media/image4.png"/><Relationship Id="rId32" Type="http://schemas.openxmlformats.org/officeDocument/2006/relationships/hyperlink" Target="https://asmepublications.onlinelibrary.wiley.com/doi/pdf/10.1111/tct.70050" TargetMode="External"/><Relationship Id="rId13" Type="http://schemas.openxmlformats.org/officeDocument/2006/relationships/hyperlink" Target="https://www.coca-colacompany.com/content/dam/corporate/us/en/reports/2024-environmental-update/2024-environmental-update.pdf" TargetMode="External"/><Relationship Id="rId12" Type="http://schemas.openxmlformats.org/officeDocument/2006/relationships/hyperlink" Target="https://journals.lww.com/dmms/_layouts/15/oaks.journals/downloadpdf.aspx?an=01394964-202507000-00003" TargetMode="External"/><Relationship Id="rId34" Type="http://schemas.openxmlformats.org/officeDocument/2006/relationships/footer" Target="footer1.xml"/><Relationship Id="rId15" Type="http://schemas.openxmlformats.org/officeDocument/2006/relationships/hyperlink" Target="https://www.researchgate.net/publication/373949656_Recycled_Textile_Fibers_and_Materials_-_Current_State_and_Development_Perspectives" TargetMode="External"/><Relationship Id="rId14" Type="http://schemas.openxmlformats.org/officeDocument/2006/relationships/hyperlink" Target="https://www.futuremarketinsights.com/reports/coconut-water-market" TargetMode="External"/><Relationship Id="rId17" Type="http://schemas.openxmlformats.org/officeDocument/2006/relationships/hyperlink" Target="https://www.frontiersin.org/journals/ecology-and-evolution/articles/10.3389/fevo.2023.1261265/pdf" TargetMode="External"/><Relationship Id="rId16" Type="http://schemas.openxmlformats.org/officeDocument/2006/relationships/hyperlink" Target="https://www.grandviewresearch.com/industry-analysis/coconut-water-market" TargetMode="External"/><Relationship Id="rId19" Type="http://schemas.openxmlformats.org/officeDocument/2006/relationships/hyperlink" Target="https://www.imarcgroup.com/coconut-water-market" TargetMode="External"/><Relationship Id="rId18" Type="http://schemas.openxmlformats.org/officeDocument/2006/relationships/hyperlink" Target="https://pmc.ncbi.nlm.nih.gov/articles/PMC8831008/pdf/41262_2022_Article_27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