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alibri" w:cs="Calibri" w:eastAsia="Calibri" w:hAnsi="Calibri"/>
          <w:sz w:val="22"/>
          <w:szCs w:val="22"/>
        </w:rPr>
      </w:pPr>
      <w:bookmarkStart w:colFirst="0" w:colLast="0" w:name="_heading=h.gjdgxs" w:id="0"/>
      <w:bookmarkEnd w:id="0"/>
      <w:r w:rsidDel="00000000" w:rsidR="00000000" w:rsidRPr="00000000">
        <w:rPr>
          <w:rtl w:val="0"/>
        </w:rPr>
      </w:r>
    </w:p>
    <w:p w:rsidR="00000000" w:rsidDel="00000000" w:rsidP="00000000" w:rsidRDefault="00000000" w:rsidRPr="00000000" w14:paraId="00000002">
      <w:pPr>
        <w:jc w:val="center"/>
        <w:rPr>
          <w:rFonts w:ascii="Calibri" w:cs="Calibri" w:eastAsia="Calibri" w:hAnsi="Calibri"/>
          <w:sz w:val="22"/>
          <w:szCs w:val="22"/>
        </w:rPr>
      </w:pPr>
      <w:r w:rsidDel="00000000" w:rsidR="00000000" w:rsidRPr="00000000">
        <w:rPr>
          <w:rFonts w:ascii="Calibri" w:cs="Calibri" w:eastAsia="Calibri" w:hAnsi="Calibri"/>
          <w:sz w:val="22"/>
          <w:szCs w:val="22"/>
        </w:rPr>
        <w:drawing>
          <wp:inline distB="0" distT="0" distL="0" distR="0">
            <wp:extent cx="1634959" cy="644316"/>
            <wp:effectExtent b="0" l="0" r="0" t="0"/>
            <wp:docPr id="45"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634959" cy="644316"/>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jc w:val="center"/>
        <w:rPr>
          <w:rFonts w:ascii="Calibri" w:cs="Calibri" w:eastAsia="Calibri" w:hAnsi="Calibri"/>
          <w:sz w:val="22"/>
          <w:szCs w:val="22"/>
        </w:rPr>
      </w:pPr>
      <w:r w:rsidDel="00000000" w:rsidR="00000000" w:rsidRPr="00000000">
        <w:rPr>
          <w:rtl w:val="0"/>
        </w:rPr>
      </w:r>
    </w:p>
    <w:tbl>
      <w:tblPr>
        <w:tblStyle w:val="Table1"/>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350"/>
        <w:tblGridChange w:id="0">
          <w:tblGrid>
            <w:gridCol w:w="9350"/>
          </w:tblGrid>
        </w:tblGridChange>
      </w:tblGrid>
      <w:tr>
        <w:trPr>
          <w:cantSplit w:val="0"/>
          <w:tblHeader w:val="0"/>
        </w:trPr>
        <w:tc>
          <w:tcPr>
            <w:shd w:fill="e7e6e6" w:val="clear"/>
          </w:tcPr>
          <w:p w:rsidR="00000000" w:rsidDel="00000000" w:rsidP="00000000" w:rsidRDefault="00000000" w:rsidRPr="00000000" w14:paraId="00000004">
            <w:pPr>
              <w:jc w:val="center"/>
              <w:rPr>
                <w:b w:val="1"/>
              </w:rPr>
            </w:pPr>
            <w:r w:rsidDel="00000000" w:rsidR="00000000" w:rsidRPr="00000000">
              <w:rPr>
                <w:rtl w:val="0"/>
              </w:rPr>
            </w:r>
          </w:p>
          <w:p w:rsidR="00000000" w:rsidDel="00000000" w:rsidP="00000000" w:rsidRDefault="00000000" w:rsidRPr="00000000" w14:paraId="00000005">
            <w:pPr>
              <w:jc w:val="center"/>
              <w:rPr>
                <w:b w:val="1"/>
              </w:rPr>
            </w:pPr>
            <w:r w:rsidDel="00000000" w:rsidR="00000000" w:rsidRPr="00000000">
              <w:rPr>
                <w:b w:val="1"/>
                <w:rtl w:val="0"/>
              </w:rPr>
              <w:t xml:space="preserve">UNDERGRADUATE DISSERTATION</w:t>
            </w:r>
          </w:p>
          <w:p w:rsidR="00000000" w:rsidDel="00000000" w:rsidP="00000000" w:rsidRDefault="00000000" w:rsidRPr="00000000" w14:paraId="00000006">
            <w:pPr>
              <w:jc w:val="center"/>
              <w:rPr>
                <w:b w:val="1"/>
              </w:rPr>
            </w:pPr>
            <w:r w:rsidDel="00000000" w:rsidR="00000000" w:rsidRPr="00000000">
              <w:rPr>
                <w:b w:val="1"/>
                <w:rtl w:val="0"/>
              </w:rPr>
              <w:t xml:space="preserve">RESEARCH PROPOSAL FORM</w:t>
            </w:r>
          </w:p>
          <w:p w:rsidR="00000000" w:rsidDel="00000000" w:rsidP="00000000" w:rsidRDefault="00000000" w:rsidRPr="00000000" w14:paraId="00000007">
            <w:pPr>
              <w:jc w:val="center"/>
              <w:rPr>
                <w:rFonts w:ascii="Calibri" w:cs="Calibri" w:eastAsia="Calibri" w:hAnsi="Calibri"/>
                <w:sz w:val="22"/>
                <w:szCs w:val="22"/>
              </w:rPr>
            </w:pPr>
            <w:r w:rsidDel="00000000" w:rsidR="00000000" w:rsidRPr="00000000">
              <w:rPr>
                <w:rtl w:val="0"/>
              </w:rPr>
            </w:r>
          </w:p>
        </w:tc>
      </w:tr>
    </w:tbl>
    <w:p w:rsidR="00000000" w:rsidDel="00000000" w:rsidP="00000000" w:rsidRDefault="00000000" w:rsidRPr="00000000" w14:paraId="00000008">
      <w:pPr>
        <w:ind w:right="-199"/>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 </w:t>
      </w:r>
      <w:r w:rsidDel="00000000" w:rsidR="00000000" w:rsidRPr="00000000">
        <w:rPr>
          <w:rtl w:val="0"/>
        </w:rPr>
      </w:r>
    </w:p>
    <w:p w:rsidR="00000000" w:rsidDel="00000000" w:rsidP="00000000" w:rsidRDefault="00000000" w:rsidRPr="00000000" w14:paraId="00000009">
      <w:pPr>
        <w:jc w:val="both"/>
        <w:rPr>
          <w:rFonts w:ascii="Calibri" w:cs="Calibri" w:eastAsia="Calibri" w:hAnsi="Calibri"/>
          <w:sz w:val="22"/>
          <w:szCs w:val="22"/>
        </w:rPr>
      </w:pPr>
      <w:r w:rsidDel="00000000" w:rsidR="00000000" w:rsidRPr="00000000">
        <w:rPr>
          <w:rtl w:val="0"/>
        </w:rPr>
      </w:r>
    </w:p>
    <w:tbl>
      <w:tblPr>
        <w:tblStyle w:val="Table2"/>
        <w:tblW w:w="9077.0" w:type="dxa"/>
        <w:jc w:val="left"/>
        <w:tblInd w:w="-1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242"/>
        <w:gridCol w:w="2835"/>
        <w:tblGridChange w:id="0">
          <w:tblGrid>
            <w:gridCol w:w="6242"/>
            <w:gridCol w:w="2835"/>
          </w:tblGrid>
        </w:tblGridChange>
      </w:tblGrid>
      <w:tr>
        <w:trPr>
          <w:cantSplit w:val="0"/>
          <w:tblHeader w:val="0"/>
        </w:trPr>
        <w:tc>
          <w:tcPr>
            <w:tcMar>
              <w:top w:w="0.0" w:type="dxa"/>
              <w:left w:w="108.0" w:type="dxa"/>
              <w:bottom w:w="0.0" w:type="dxa"/>
              <w:right w:w="108.0" w:type="dxa"/>
            </w:tcMar>
          </w:tcPr>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NAME: </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b w:val="1"/>
                <w:sz w:val="22"/>
                <w:szCs w:val="22"/>
                <w:rtl w:val="0"/>
              </w:rPr>
              <w:t xml:space="preserve">Chloe Clark</w:t>
            </w:r>
            <w:r w:rsidDel="00000000" w:rsidR="00000000" w:rsidRPr="00000000">
              <w:rPr>
                <w:rtl w:val="0"/>
              </w:rPr>
            </w:r>
          </w:p>
        </w:tc>
        <w:tc>
          <w:tcPr/>
          <w:p w:rsidR="00000000" w:rsidDel="00000000" w:rsidP="00000000" w:rsidRDefault="00000000" w:rsidRPr="00000000" w14:paraId="0000000C">
            <w:pPr>
              <w:jc w:val="both"/>
              <w:rPr>
                <w:sz w:val="22"/>
                <w:szCs w:val="22"/>
              </w:rPr>
            </w:pPr>
            <w:r w:rsidDel="00000000" w:rsidR="00000000" w:rsidRPr="00000000">
              <w:rPr>
                <w:rFonts w:ascii="Calibri" w:cs="Calibri" w:eastAsia="Calibri" w:hAnsi="Calibri"/>
                <w:b w:val="1"/>
                <w:sz w:val="22"/>
                <w:szCs w:val="22"/>
                <w:rtl w:val="0"/>
              </w:rPr>
              <w:t xml:space="preserve"> </w:t>
            </w:r>
            <w:r w:rsidDel="00000000" w:rsidR="00000000" w:rsidRPr="00000000">
              <w:rPr>
                <w:b w:val="1"/>
                <w:sz w:val="22"/>
                <w:szCs w:val="22"/>
                <w:rtl w:val="0"/>
              </w:rPr>
              <w:t xml:space="preserve">ID No.:  2207404</w:t>
            </w:r>
            <w:r w:rsidDel="00000000" w:rsidR="00000000" w:rsidRPr="00000000">
              <w:rPr>
                <w:rtl w:val="0"/>
              </w:rPr>
            </w:r>
          </w:p>
        </w:tc>
      </w:tr>
      <w:tr>
        <w:trPr>
          <w:cantSplit w:val="0"/>
          <w:tblHeader w:val="0"/>
        </w:trPr>
        <w:tc>
          <w:tcPr>
            <w:gridSpan w:val="2"/>
            <w:shd w:fill="ffffff" w:val="clear"/>
            <w:tcMar>
              <w:top w:w="0.0" w:type="dxa"/>
              <w:left w:w="108.0" w:type="dxa"/>
              <w:bottom w:w="0.0" w:type="dxa"/>
              <w:right w:w="108.0" w:type="dxa"/>
            </w:tcMar>
          </w:tcPr>
          <w:p w:rsidR="00000000" w:rsidDel="00000000" w:rsidP="00000000" w:rsidRDefault="00000000" w:rsidRPr="00000000" w14:paraId="0000000D">
            <w:pPr>
              <w:jc w:val="both"/>
              <w:rPr>
                <w:b w:val="1"/>
                <w:sz w:val="22"/>
                <w:szCs w:val="22"/>
              </w:rPr>
            </w:pPr>
            <w:r w:rsidDel="00000000" w:rsidR="00000000" w:rsidRPr="00000000">
              <w:rPr>
                <w:b w:val="1"/>
                <w:sz w:val="22"/>
                <w:szCs w:val="22"/>
                <w:rtl w:val="0"/>
              </w:rPr>
              <w:t xml:space="preserve">DRAFT RESEARCH TITLE QUESTION:</w:t>
            </w:r>
          </w:p>
          <w:p w:rsidR="00000000" w:rsidDel="00000000" w:rsidP="00000000" w:rsidRDefault="00000000" w:rsidRPr="00000000" w14:paraId="0000000E">
            <w:pPr>
              <w:jc w:val="both"/>
              <w:rPr>
                <w:b w:val="1"/>
                <w:sz w:val="22"/>
                <w:szCs w:val="22"/>
              </w:rPr>
            </w:pPr>
            <w:r w:rsidDel="00000000" w:rsidR="00000000" w:rsidRPr="00000000">
              <w:rPr>
                <w:rtl w:val="0"/>
              </w:rPr>
            </w:r>
          </w:p>
          <w:p w:rsidR="00000000" w:rsidDel="00000000" w:rsidP="00000000" w:rsidRDefault="00000000" w:rsidRPr="00000000" w14:paraId="0000000F">
            <w:pPr>
              <w:jc w:val="both"/>
              <w:rPr>
                <w:sz w:val="22"/>
                <w:szCs w:val="22"/>
              </w:rPr>
            </w:pPr>
            <w:r w:rsidDel="00000000" w:rsidR="00000000" w:rsidRPr="00000000">
              <w:rPr>
                <w:sz w:val="22"/>
                <w:szCs w:val="22"/>
                <w:rtl w:val="0"/>
              </w:rPr>
              <w:t xml:space="preserve">A critical analysis of the cost of adult reoffending in England and Wales.</w:t>
            </w:r>
          </w:p>
          <w:p w:rsidR="00000000" w:rsidDel="00000000" w:rsidP="00000000" w:rsidRDefault="00000000" w:rsidRPr="00000000" w14:paraId="00000010">
            <w:pPr>
              <w:jc w:val="both"/>
              <w:rPr>
                <w:sz w:val="22"/>
                <w:szCs w:val="22"/>
              </w:rPr>
            </w:pPr>
            <w:r w:rsidDel="00000000" w:rsidR="00000000" w:rsidRPr="00000000">
              <w:rPr>
                <w:rtl w:val="0"/>
              </w:rPr>
            </w:r>
          </w:p>
          <w:p w:rsidR="00000000" w:rsidDel="00000000" w:rsidP="00000000" w:rsidRDefault="00000000" w:rsidRPr="00000000" w14:paraId="00000011">
            <w:pPr>
              <w:tabs>
                <w:tab w:val="left" w:leader="none" w:pos="1860"/>
              </w:tabs>
              <w:jc w:val="both"/>
              <w:rPr>
                <w:sz w:val="22"/>
                <w:szCs w:val="22"/>
                <w:highlight w:val="yellow"/>
              </w:rPr>
            </w:pPr>
            <w:r w:rsidDel="00000000" w:rsidR="00000000" w:rsidRPr="00000000">
              <w:rPr>
                <w:rtl w:val="0"/>
              </w:rPr>
            </w:r>
          </w:p>
          <w:p w:rsidR="00000000" w:rsidDel="00000000" w:rsidP="00000000" w:rsidRDefault="00000000" w:rsidRPr="00000000" w14:paraId="00000012">
            <w:pPr>
              <w:tabs>
                <w:tab w:val="left" w:leader="none" w:pos="1860"/>
              </w:tabs>
              <w:jc w:val="both"/>
              <w:rPr>
                <w:sz w:val="22"/>
                <w:szCs w:val="22"/>
              </w:rPr>
            </w:pPr>
            <w:r w:rsidDel="00000000" w:rsidR="00000000" w:rsidRPr="00000000">
              <w:rPr>
                <w:rtl w:val="0"/>
              </w:rPr>
            </w:r>
          </w:p>
        </w:tc>
      </w:tr>
      <w:tr>
        <w:trPr>
          <w:cantSplit w:val="0"/>
          <w:tblHeader w:val="0"/>
        </w:trPr>
        <w:tc>
          <w:tcPr>
            <w:gridSpan w:val="2"/>
            <w:tcMar>
              <w:top w:w="0.0" w:type="dxa"/>
              <w:left w:w="108.0" w:type="dxa"/>
              <w:bottom w:w="0.0" w:type="dxa"/>
              <w:right w:w="108.0" w:type="dxa"/>
            </w:tcMar>
          </w:tcPr>
          <w:p w:rsidR="00000000" w:rsidDel="00000000" w:rsidP="00000000" w:rsidRDefault="00000000" w:rsidRPr="00000000" w14:paraId="00000014">
            <w:pPr>
              <w:jc w:val="both"/>
              <w:rPr>
                <w:b w:val="1"/>
                <w:sz w:val="22"/>
                <w:szCs w:val="22"/>
              </w:rPr>
            </w:pPr>
            <w:r w:rsidDel="00000000" w:rsidR="00000000" w:rsidRPr="00000000">
              <w:rPr>
                <w:b w:val="1"/>
                <w:sz w:val="22"/>
                <w:szCs w:val="22"/>
                <w:rtl w:val="0"/>
              </w:rPr>
              <w:t xml:space="preserve">SUMMARY OF RESEARCH AIM &amp; OBJECTIVES: </w:t>
            </w:r>
          </w:p>
          <w:p w:rsidR="00000000" w:rsidDel="00000000" w:rsidP="00000000" w:rsidRDefault="00000000" w:rsidRPr="00000000" w14:paraId="00000015">
            <w:pPr>
              <w:jc w:val="both"/>
              <w:rPr>
                <w:b w:val="1"/>
                <w:sz w:val="22"/>
                <w:szCs w:val="22"/>
              </w:rPr>
            </w:pPr>
            <w:r w:rsidDel="00000000" w:rsidR="00000000" w:rsidRPr="00000000">
              <w:rPr>
                <w:rtl w:val="0"/>
              </w:rPr>
            </w:r>
          </w:p>
          <w:p w:rsidR="00000000" w:rsidDel="00000000" w:rsidP="00000000" w:rsidRDefault="00000000" w:rsidRPr="00000000" w14:paraId="00000016">
            <w:pPr>
              <w:rPr>
                <w:sz w:val="22"/>
                <w:szCs w:val="22"/>
              </w:rPr>
            </w:pPr>
            <w:r w:rsidDel="00000000" w:rsidR="00000000" w:rsidRPr="00000000">
              <w:rPr>
                <w:sz w:val="22"/>
                <w:szCs w:val="22"/>
                <w:rtl w:val="0"/>
              </w:rPr>
              <w:t xml:space="preserve">Evaluate the cost of adult  reoffending in England and Wales.</w:t>
            </w:r>
          </w:p>
          <w:p w:rsidR="00000000" w:rsidDel="00000000" w:rsidP="00000000" w:rsidRDefault="00000000" w:rsidRPr="00000000" w14:paraId="00000017">
            <w:pPr>
              <w:rPr>
                <w:sz w:val="22"/>
                <w:szCs w:val="22"/>
              </w:rPr>
            </w:pPr>
            <w:r w:rsidDel="00000000" w:rsidR="00000000" w:rsidRPr="00000000">
              <w:rPr>
                <w:rtl w:val="0"/>
              </w:rPr>
            </w:r>
          </w:p>
          <w:p w:rsidR="00000000" w:rsidDel="00000000" w:rsidP="00000000" w:rsidRDefault="00000000" w:rsidRPr="00000000" w14:paraId="00000018">
            <w:pPr>
              <w:rPr>
                <w:sz w:val="22"/>
                <w:szCs w:val="22"/>
              </w:rPr>
            </w:pPr>
            <w:r w:rsidDel="00000000" w:rsidR="00000000" w:rsidRPr="00000000">
              <w:rPr>
                <w:sz w:val="22"/>
                <w:szCs w:val="22"/>
                <w:rtl w:val="0"/>
              </w:rPr>
              <w:t xml:space="preserve">To explore the prevalence of reoffending in the adult population in England and Wales.</w:t>
            </w:r>
          </w:p>
          <w:p w:rsidR="00000000" w:rsidDel="00000000" w:rsidP="00000000" w:rsidRDefault="00000000" w:rsidRPr="00000000" w14:paraId="00000019">
            <w:pPr>
              <w:rPr>
                <w:sz w:val="22"/>
                <w:szCs w:val="22"/>
              </w:rPr>
            </w:pPr>
            <w:r w:rsidDel="00000000" w:rsidR="00000000" w:rsidRPr="00000000">
              <w:rPr>
                <w:rtl w:val="0"/>
              </w:rPr>
            </w:r>
          </w:p>
          <w:p w:rsidR="00000000" w:rsidDel="00000000" w:rsidP="00000000" w:rsidRDefault="00000000" w:rsidRPr="00000000" w14:paraId="0000001A">
            <w:pPr>
              <w:rPr>
                <w:sz w:val="22"/>
                <w:szCs w:val="22"/>
              </w:rPr>
            </w:pPr>
            <w:r w:rsidDel="00000000" w:rsidR="00000000" w:rsidRPr="00000000">
              <w:rPr>
                <w:sz w:val="22"/>
                <w:szCs w:val="22"/>
                <w:rtl w:val="0"/>
              </w:rPr>
              <w:t xml:space="preserve">Ascertain the cost of reoffending in England and Wales. </w:t>
            </w:r>
          </w:p>
          <w:p w:rsidR="00000000" w:rsidDel="00000000" w:rsidP="00000000" w:rsidRDefault="00000000" w:rsidRPr="00000000" w14:paraId="0000001B">
            <w:pPr>
              <w:rPr>
                <w:sz w:val="22"/>
                <w:szCs w:val="22"/>
              </w:rPr>
            </w:pPr>
            <w:r w:rsidDel="00000000" w:rsidR="00000000" w:rsidRPr="00000000">
              <w:rPr>
                <w:rtl w:val="0"/>
              </w:rPr>
            </w:r>
          </w:p>
          <w:p w:rsidR="00000000" w:rsidDel="00000000" w:rsidP="00000000" w:rsidRDefault="00000000" w:rsidRPr="00000000" w14:paraId="0000001C">
            <w:pPr>
              <w:rPr>
                <w:sz w:val="22"/>
                <w:szCs w:val="22"/>
              </w:rPr>
            </w:pPr>
            <w:r w:rsidDel="00000000" w:rsidR="00000000" w:rsidRPr="00000000">
              <w:rPr>
                <w:sz w:val="22"/>
                <w:szCs w:val="22"/>
                <w:rtl w:val="0"/>
              </w:rPr>
              <w:t xml:space="preserve">Evaluating the public's perception and attitude toward how reoffending impacts their community.</w:t>
            </w:r>
          </w:p>
          <w:p w:rsidR="00000000" w:rsidDel="00000000" w:rsidP="00000000" w:rsidRDefault="00000000" w:rsidRPr="00000000" w14:paraId="0000001D">
            <w:pPr>
              <w:jc w:val="both"/>
              <w:rPr>
                <w:sz w:val="22"/>
                <w:szCs w:val="22"/>
              </w:rPr>
            </w:pPr>
            <w:r w:rsidDel="00000000" w:rsidR="00000000" w:rsidRPr="00000000">
              <w:rPr>
                <w:rtl w:val="0"/>
              </w:rPr>
            </w:r>
          </w:p>
          <w:p w:rsidR="00000000" w:rsidDel="00000000" w:rsidP="00000000" w:rsidRDefault="00000000" w:rsidRPr="00000000" w14:paraId="0000001E">
            <w:pPr>
              <w:jc w:val="both"/>
              <w:rPr>
                <w:sz w:val="22"/>
                <w:szCs w:val="22"/>
              </w:rPr>
            </w:pPr>
            <w:r w:rsidDel="00000000" w:rsidR="00000000" w:rsidRPr="00000000">
              <w:rPr>
                <w:rtl w:val="0"/>
              </w:rPr>
            </w:r>
          </w:p>
        </w:tc>
      </w:tr>
      <w:tr>
        <w:trPr>
          <w:cantSplit w:val="0"/>
          <w:tblHeader w:val="0"/>
        </w:trPr>
        <w:tc>
          <w:tcPr>
            <w:gridSpan w:val="2"/>
            <w:tcMar>
              <w:top w:w="0.0" w:type="dxa"/>
              <w:left w:w="108.0" w:type="dxa"/>
              <w:bottom w:w="0.0" w:type="dxa"/>
              <w:right w:w="108.0" w:type="dxa"/>
            </w:tcMar>
          </w:tcPr>
          <w:p w:rsidR="00000000" w:rsidDel="00000000" w:rsidP="00000000" w:rsidRDefault="00000000" w:rsidRPr="00000000" w14:paraId="00000020">
            <w:pPr>
              <w:rPr>
                <w:b w:val="1"/>
                <w:sz w:val="22"/>
                <w:szCs w:val="22"/>
              </w:rPr>
            </w:pPr>
            <w:r w:rsidDel="00000000" w:rsidR="00000000" w:rsidRPr="00000000">
              <w:rPr>
                <w:b w:val="1"/>
                <w:sz w:val="22"/>
                <w:szCs w:val="22"/>
                <w:rtl w:val="0"/>
              </w:rPr>
              <w:t xml:space="preserve">THEORETICAL CONTEXT:</w:t>
            </w:r>
          </w:p>
          <w:p w:rsidR="00000000" w:rsidDel="00000000" w:rsidP="00000000" w:rsidRDefault="00000000" w:rsidRPr="00000000" w14:paraId="00000021">
            <w:pPr>
              <w:rPr>
                <w:b w:val="1"/>
                <w:sz w:val="22"/>
                <w:szCs w:val="22"/>
              </w:rPr>
            </w:pPr>
            <w:r w:rsidDel="00000000" w:rsidR="00000000" w:rsidRPr="00000000">
              <w:rPr>
                <w:rtl w:val="0"/>
              </w:rPr>
            </w:r>
          </w:p>
          <w:p w:rsidR="00000000" w:rsidDel="00000000" w:rsidP="00000000" w:rsidRDefault="00000000" w:rsidRPr="00000000" w14:paraId="00000022">
            <w:pPr>
              <w:spacing w:line="360" w:lineRule="auto"/>
              <w:rPr>
                <w:sz w:val="22"/>
                <w:szCs w:val="22"/>
              </w:rPr>
            </w:pPr>
            <w:r w:rsidDel="00000000" w:rsidR="00000000" w:rsidRPr="00000000">
              <w:rPr>
                <w:sz w:val="22"/>
                <w:szCs w:val="22"/>
                <w:rtl w:val="0"/>
              </w:rPr>
              <w:t xml:space="preserve">Throughout England and Wales there are a current total of 43 police forces, Allen and Carthew (2024) stated that this figure stands as of March 31st 2023. These statistics include forces such as the British Transport Police and those on the  Central service Secondments.</w:t>
            </w:r>
          </w:p>
          <w:p w:rsidR="00000000" w:rsidDel="00000000" w:rsidP="00000000" w:rsidRDefault="00000000" w:rsidRPr="00000000" w14:paraId="00000023">
            <w:pPr>
              <w:spacing w:line="360" w:lineRule="auto"/>
              <w:rPr>
                <w:sz w:val="22"/>
                <w:szCs w:val="22"/>
              </w:rPr>
            </w:pPr>
            <w:r w:rsidDel="00000000" w:rsidR="00000000" w:rsidRPr="00000000">
              <w:rPr>
                <w:sz w:val="22"/>
                <w:szCs w:val="22"/>
                <w:rtl w:val="0"/>
              </w:rPr>
              <w:t xml:space="preserve">In the (Wales Reducing Reoffending Plan 2022-2025) they stated that they have the opportunity to things differently, the aim of this plan is to work closely with the HM Prison services and the HM Probation services so that by working as one it aims to create a more seamless work environment meaning that they can help to create a better outcome for those who within the criminal justice system.</w:t>
            </w:r>
          </w:p>
          <w:p w:rsidR="00000000" w:rsidDel="00000000" w:rsidP="00000000" w:rsidRDefault="00000000" w:rsidRPr="00000000" w14:paraId="00000024">
            <w:pPr>
              <w:spacing w:line="360" w:lineRule="auto"/>
              <w:rPr>
                <w:sz w:val="22"/>
                <w:szCs w:val="22"/>
              </w:rPr>
            </w:pPr>
            <w:r w:rsidDel="00000000" w:rsidR="00000000" w:rsidRPr="00000000">
              <w:rPr>
                <w:sz w:val="22"/>
                <w:szCs w:val="22"/>
                <w:rtl w:val="0"/>
              </w:rPr>
              <w:t xml:space="preserve">Clark (2024) stated that throughout 2021 and 2022 over 24.9 percent of offenders who were released from a prison in England and Wales did go on to reoffend. Since 2008/09 the rate for reoffending fluctuated from a high of 31.6% whereas in 2020/21 the rate dropped as low as 24%.</w:t>
            </w:r>
          </w:p>
          <w:p w:rsidR="00000000" w:rsidDel="00000000" w:rsidP="00000000" w:rsidRDefault="00000000" w:rsidRPr="00000000" w14:paraId="00000025">
            <w:pPr>
              <w:spacing w:line="360" w:lineRule="auto"/>
              <w:rPr>
                <w:sz w:val="22"/>
                <w:szCs w:val="22"/>
              </w:rPr>
            </w:pPr>
            <w:r w:rsidDel="00000000" w:rsidR="00000000" w:rsidRPr="00000000">
              <w:rPr>
                <w:sz w:val="22"/>
                <w:szCs w:val="22"/>
                <w:rtl w:val="0"/>
              </w:rPr>
              <w:t xml:space="preserve">As discussed on (Ministry of Justice, 2024)  on the proven reoffending statistics: July to September 2022, adult reoffending had a proven reoffending rate of 26.2%, this was an increase of 1.2% since the same quarter from 2021, causing an increase of 0.8% over the previous quarter. However it was discussed that in the quarters that were affected by the pandemic, the reoffending rate for adults had experienced a slight decline over time, however the pandemic did result in some unpredictability and distinct behaviours between October and December 2018 and October and December 2020.</w:t>
            </w:r>
          </w:p>
          <w:p w:rsidR="00000000" w:rsidDel="00000000" w:rsidP="00000000" w:rsidRDefault="00000000" w:rsidRPr="00000000" w14:paraId="00000026">
            <w:pPr>
              <w:spacing w:line="360" w:lineRule="auto"/>
              <w:rPr>
                <w:sz w:val="22"/>
                <w:szCs w:val="22"/>
              </w:rPr>
            </w:pPr>
            <w:r w:rsidDel="00000000" w:rsidR="00000000" w:rsidRPr="00000000">
              <w:rPr>
                <w:sz w:val="22"/>
                <w:szCs w:val="22"/>
                <w:rtl w:val="0"/>
              </w:rPr>
              <w:t xml:space="preserve">Williams et al, (2023) discussed a survey that was completed by 257 people who are on probation. This was a part of a health needs assessment, they compared these results with the general public from the National Survey for Wales from 2021/2022. As discussed those who were on probation were 4.2 times more likely to self report their not good general health than those of the general population. The conclusion stated that those who are on probation have a poorer self-reported health with a higher prevalence linked to unhealthy behaviours and higher reactive health services.</w:t>
            </w:r>
          </w:p>
          <w:p w:rsidR="00000000" w:rsidDel="00000000" w:rsidP="00000000" w:rsidRDefault="00000000" w:rsidRPr="00000000" w14:paraId="00000027">
            <w:pPr>
              <w:spacing w:line="360" w:lineRule="auto"/>
              <w:rPr>
                <w:sz w:val="22"/>
                <w:szCs w:val="22"/>
              </w:rPr>
            </w:pPr>
            <w:r w:rsidDel="00000000" w:rsidR="00000000" w:rsidRPr="00000000">
              <w:rPr>
                <w:rtl w:val="0"/>
              </w:rPr>
            </w:r>
          </w:p>
          <w:p w:rsidR="00000000" w:rsidDel="00000000" w:rsidP="00000000" w:rsidRDefault="00000000" w:rsidRPr="00000000" w14:paraId="00000028">
            <w:pPr>
              <w:spacing w:line="360" w:lineRule="auto"/>
              <w:rPr>
                <w:sz w:val="22"/>
                <w:szCs w:val="22"/>
              </w:rPr>
            </w:pPr>
            <w:r w:rsidDel="00000000" w:rsidR="00000000" w:rsidRPr="00000000">
              <w:rPr>
                <w:sz w:val="22"/>
                <w:szCs w:val="22"/>
                <w:rtl w:val="0"/>
              </w:rPr>
              <w:t xml:space="preserve">Kelly,(2024) discussed that the UK’s government has introduced an early release scheme which is aimed at reducing overcrowding while aiming to ensure that the public is kept safe in the process, this was due to come into effect in september 2024 but started ahead of schedule in august 2024. Although it should be added that this scheme is designed in a way that it excludes higher risk offenders such as those convicted of violent crimes and those crimes of s sexual nature, this is to ensure that only those who are eligible for early release are released. to help reduce the risks to members of the public monitoring measures are put in place, these include things such as electronic tagging and even curfews.</w:t>
            </w:r>
          </w:p>
          <w:p w:rsidR="00000000" w:rsidDel="00000000" w:rsidP="00000000" w:rsidRDefault="00000000" w:rsidRPr="00000000" w14:paraId="00000029">
            <w:pPr>
              <w:spacing w:line="360" w:lineRule="auto"/>
              <w:rPr>
                <w:sz w:val="22"/>
                <w:szCs w:val="22"/>
              </w:rPr>
            </w:pPr>
            <w:r w:rsidDel="00000000" w:rsidR="00000000" w:rsidRPr="00000000">
              <w:rPr>
                <w:sz w:val="22"/>
                <w:szCs w:val="22"/>
                <w:rtl w:val="0"/>
              </w:rPr>
              <w:t xml:space="preserve">The issue with the early release scheme as written in [catch22], (2024) is that the statistics presented indicated that over 50% of individuals that served less than twelve months upon release are susceptible to reoffending and the figure increases to 58% for those who have served less than six months of their sentences.</w:t>
            </w:r>
          </w:p>
          <w:p w:rsidR="00000000" w:rsidDel="00000000" w:rsidP="00000000" w:rsidRDefault="00000000" w:rsidRPr="00000000" w14:paraId="0000002A">
            <w:pPr>
              <w:spacing w:line="360" w:lineRule="auto"/>
              <w:rPr>
                <w:sz w:val="22"/>
                <w:szCs w:val="22"/>
              </w:rPr>
            </w:pPr>
            <w:r w:rsidDel="00000000" w:rsidR="00000000" w:rsidRPr="00000000">
              <w:rPr>
                <w:rtl w:val="0"/>
              </w:rPr>
            </w:r>
          </w:p>
          <w:p w:rsidR="00000000" w:rsidDel="00000000" w:rsidP="00000000" w:rsidRDefault="00000000" w:rsidRPr="00000000" w14:paraId="0000002B">
            <w:pPr>
              <w:spacing w:line="360" w:lineRule="auto"/>
              <w:rPr>
                <w:sz w:val="22"/>
                <w:szCs w:val="22"/>
              </w:rPr>
            </w:pPr>
            <w:r w:rsidDel="00000000" w:rsidR="00000000" w:rsidRPr="00000000">
              <w:rPr>
                <w:sz w:val="22"/>
                <w:szCs w:val="22"/>
                <w:rtl w:val="0"/>
              </w:rPr>
              <w:t xml:space="preserve">The concern with early release is that the hundreds of inmates were released early across England and Wales is that they could end up homeless or return to crime so  they don’t end up homeless. Syal (2024), discussed that the police are at the centre of what was described as a “storm” due to the poor planning after 1,700 prisoners were released early to help overcrowding in England and Wales.</w:t>
            </w:r>
          </w:p>
          <w:p w:rsidR="00000000" w:rsidDel="00000000" w:rsidP="00000000" w:rsidRDefault="00000000" w:rsidRPr="00000000" w14:paraId="0000002C">
            <w:pPr>
              <w:spacing w:line="360" w:lineRule="auto"/>
              <w:rPr>
                <w:sz w:val="22"/>
                <w:szCs w:val="22"/>
              </w:rPr>
            </w:pPr>
            <w:r w:rsidDel="00000000" w:rsidR="00000000" w:rsidRPr="00000000">
              <w:rPr>
                <w:rtl w:val="0"/>
              </w:rPr>
            </w:r>
          </w:p>
          <w:p w:rsidR="00000000" w:rsidDel="00000000" w:rsidP="00000000" w:rsidRDefault="00000000" w:rsidRPr="00000000" w14:paraId="0000002D">
            <w:pPr>
              <w:spacing w:line="360" w:lineRule="auto"/>
              <w:rPr>
                <w:sz w:val="22"/>
                <w:szCs w:val="22"/>
              </w:rPr>
            </w:pPr>
            <w:r w:rsidDel="00000000" w:rsidR="00000000" w:rsidRPr="00000000">
              <w:rPr>
                <w:sz w:val="22"/>
                <w:szCs w:val="22"/>
                <w:rtl w:val="0"/>
              </w:rPr>
              <w:t xml:space="preserve">The cost of reoffending was worked out to be approximately £18 billion per year but the figure itself is not broken down into a specific geographical area.</w:t>
            </w:r>
          </w:p>
          <w:p w:rsidR="00000000" w:rsidDel="00000000" w:rsidP="00000000" w:rsidRDefault="00000000" w:rsidRPr="00000000" w14:paraId="0000002E">
            <w:pPr>
              <w:spacing w:line="360" w:lineRule="auto"/>
              <w:rPr>
                <w:sz w:val="22"/>
                <w:szCs w:val="22"/>
              </w:rPr>
            </w:pPr>
            <w:r w:rsidDel="00000000" w:rsidR="00000000" w:rsidRPr="00000000">
              <w:rPr>
                <w:sz w:val="22"/>
                <w:szCs w:val="22"/>
                <w:rtl w:val="0"/>
              </w:rPr>
              <w:t xml:space="preserve">(Ministry of Justice, 2024) wrote that reoffending rates have a significant cost to society, it includes the direct financial loss to the victims of crime and the costs that the criminal justice system must meet. These costs come from running investigations, court hearings and even to hold people in prisons and to ensure that those who are released have appropriate supervision. Those who are released are more likely to reoffend if they are not resettled into the community properly, for example one of the issues with the early release scheme.</w:t>
            </w:r>
          </w:p>
          <w:p w:rsidR="00000000" w:rsidDel="00000000" w:rsidP="00000000" w:rsidRDefault="00000000" w:rsidRPr="00000000" w14:paraId="0000002F">
            <w:pPr>
              <w:spacing w:line="360" w:lineRule="auto"/>
              <w:rPr>
                <w:sz w:val="22"/>
                <w:szCs w:val="22"/>
              </w:rPr>
            </w:pPr>
            <w:r w:rsidDel="00000000" w:rsidR="00000000" w:rsidRPr="00000000">
              <w:rPr>
                <w:rtl w:val="0"/>
              </w:rPr>
            </w:r>
          </w:p>
          <w:p w:rsidR="00000000" w:rsidDel="00000000" w:rsidP="00000000" w:rsidRDefault="00000000" w:rsidRPr="00000000" w14:paraId="00000030">
            <w:pPr>
              <w:spacing w:line="360" w:lineRule="auto"/>
              <w:rPr>
                <w:sz w:val="22"/>
                <w:szCs w:val="22"/>
              </w:rPr>
            </w:pPr>
            <w:r w:rsidDel="00000000" w:rsidR="00000000" w:rsidRPr="00000000">
              <w:rPr>
                <w:sz w:val="22"/>
                <w:szCs w:val="22"/>
                <w:rtl w:val="0"/>
              </w:rPr>
              <w:t xml:space="preserve">Government Events (2024) discussed that the 2020 rates for adult prisoners' mental health is significant and around 45% of them have a mental health diagnosis whether it is anxiety or depression. The government invested £1.1 million to help address the root cause of crime, (Ministry of Justice, 2024) stated in their mental health funding press released that around 700 offenders in wales will be told they have to attend treatment when handed a community sentence through the courts, this is in an effort to help reduce the pressures on the £18 billion cost of reoffending on taxpayers. This funding will help to support more offenders to help tackle the root cause of their offending.</w:t>
            </w:r>
          </w:p>
          <w:p w:rsidR="00000000" w:rsidDel="00000000" w:rsidP="00000000" w:rsidRDefault="00000000" w:rsidRPr="00000000" w14:paraId="00000031">
            <w:pPr>
              <w:spacing w:line="360" w:lineRule="auto"/>
              <w:rPr>
                <w:sz w:val="22"/>
                <w:szCs w:val="22"/>
              </w:rPr>
            </w:pPr>
            <w:r w:rsidDel="00000000" w:rsidR="00000000" w:rsidRPr="00000000">
              <w:rPr>
                <w:sz w:val="22"/>
                <w:szCs w:val="22"/>
                <w:rtl w:val="0"/>
              </w:rPr>
              <w:t xml:space="preserve">Some public perception and polling found that 65% of people think that the main reason people commit mostly non-violent crimes is because of poverty and things like mental health issues, this is commonly followed on by drug and alcohol issues. a majority of 58% believed that these crimes should be met with an alternative to time in prison. This was stated in [Revolving Doors], (2022). </w:t>
            </w:r>
          </w:p>
          <w:p w:rsidR="00000000" w:rsidDel="00000000" w:rsidP="00000000" w:rsidRDefault="00000000" w:rsidRPr="00000000" w14:paraId="00000032">
            <w:pPr>
              <w:spacing w:line="360" w:lineRule="auto"/>
              <w:rPr>
                <w:sz w:val="22"/>
                <w:szCs w:val="22"/>
              </w:rPr>
            </w:pPr>
            <w:r w:rsidDel="00000000" w:rsidR="00000000" w:rsidRPr="00000000">
              <w:rPr>
                <w:sz w:val="22"/>
                <w:szCs w:val="22"/>
                <w:rtl w:val="0"/>
              </w:rPr>
              <w:t xml:space="preserve">There is a gap in the public's perception of crime and the actual reality of the trends in crime, the concern was from were crime went from a low in 2016 and then quadrupled in 2019 before it dropped again during lockdown, despite the fact that crime rates are dropping Davies, Farrell (2024) stated, the concerns of those who are worried are justified, although it is unlikely that the way crime is reported will change, it is also important that the government should be taking a more rational approach to criminal behaviour that is based on facts and the correct evidence rather than on public perception.</w:t>
            </w:r>
          </w:p>
          <w:p w:rsidR="00000000" w:rsidDel="00000000" w:rsidP="00000000" w:rsidRDefault="00000000" w:rsidRPr="00000000" w14:paraId="00000033">
            <w:pPr>
              <w:rPr>
                <w:sz w:val="22"/>
                <w:szCs w:val="22"/>
              </w:rPr>
            </w:pPr>
            <w:r w:rsidDel="00000000" w:rsidR="00000000" w:rsidRPr="00000000">
              <w:rPr>
                <w:rtl w:val="0"/>
              </w:rPr>
            </w:r>
          </w:p>
        </w:tc>
      </w:tr>
      <w:tr>
        <w:trPr>
          <w:cantSplit w:val="0"/>
          <w:tblHeader w:val="0"/>
        </w:trPr>
        <w:tc>
          <w:tcPr>
            <w:gridSpan w:val="2"/>
            <w:tcMar>
              <w:top w:w="0.0" w:type="dxa"/>
              <w:left w:w="108.0" w:type="dxa"/>
              <w:bottom w:w="0.0" w:type="dxa"/>
              <w:right w:w="108.0" w:type="dxa"/>
            </w:tcMar>
          </w:tcPr>
          <w:p w:rsidR="00000000" w:rsidDel="00000000" w:rsidP="00000000" w:rsidRDefault="00000000" w:rsidRPr="00000000" w14:paraId="00000035">
            <w:pPr>
              <w:rPr>
                <w:b w:val="1"/>
                <w:sz w:val="22"/>
                <w:szCs w:val="22"/>
              </w:rPr>
            </w:pPr>
            <w:r w:rsidDel="00000000" w:rsidR="00000000" w:rsidRPr="00000000">
              <w:rPr>
                <w:b w:val="1"/>
                <w:sz w:val="22"/>
                <w:szCs w:val="22"/>
                <w:rtl w:val="0"/>
              </w:rPr>
              <w:t xml:space="preserve">SUMMARY OF RESEARCH –SURVEY METHOD: </w:t>
            </w:r>
          </w:p>
          <w:p w:rsidR="00000000" w:rsidDel="00000000" w:rsidP="00000000" w:rsidRDefault="00000000" w:rsidRPr="00000000" w14:paraId="00000036">
            <w:pPr>
              <w:rPr>
                <w:b w:val="1"/>
                <w:sz w:val="22"/>
                <w:szCs w:val="22"/>
              </w:rPr>
            </w:pPr>
            <w:r w:rsidDel="00000000" w:rsidR="00000000" w:rsidRPr="00000000">
              <w:rPr>
                <w:rtl w:val="0"/>
              </w:rPr>
            </w:r>
          </w:p>
          <w:p w:rsidR="00000000" w:rsidDel="00000000" w:rsidP="00000000" w:rsidRDefault="00000000" w:rsidRPr="00000000" w14:paraId="00000037">
            <w:pPr>
              <w:rPr>
                <w:sz w:val="22"/>
                <w:szCs w:val="22"/>
              </w:rPr>
            </w:pPr>
            <w:r w:rsidDel="00000000" w:rsidR="00000000" w:rsidRPr="00000000">
              <w:rPr>
                <w:sz w:val="22"/>
                <w:szCs w:val="22"/>
                <w:rtl w:val="0"/>
              </w:rPr>
              <w:t xml:space="preserve">An online survey will be conducted on microsoft forms with participants over the age of 18.</w:t>
            </w:r>
          </w:p>
          <w:p w:rsidR="00000000" w:rsidDel="00000000" w:rsidP="00000000" w:rsidRDefault="00000000" w:rsidRPr="00000000" w14:paraId="00000038">
            <w:pPr>
              <w:jc w:val="both"/>
              <w:rPr>
                <w:rFonts w:ascii="Calibri" w:cs="Calibri" w:eastAsia="Calibri" w:hAnsi="Calibri"/>
                <w:sz w:val="22"/>
                <w:szCs w:val="22"/>
              </w:rPr>
            </w:pPr>
            <w:r w:rsidDel="00000000" w:rsidR="00000000" w:rsidRPr="00000000">
              <w:rPr>
                <w:rtl w:val="0"/>
              </w:rPr>
            </w:r>
          </w:p>
        </w:tc>
      </w:tr>
      <w:tr>
        <w:trPr>
          <w:cantSplit w:val="0"/>
          <w:tblHeader w:val="0"/>
        </w:trPr>
        <w:tc>
          <w:tcPr>
            <w:gridSpan w:val="2"/>
            <w:tcMar>
              <w:top w:w="0.0" w:type="dxa"/>
              <w:left w:w="108.0" w:type="dxa"/>
              <w:bottom w:w="0.0" w:type="dxa"/>
              <w:right w:w="108.0" w:type="dxa"/>
            </w:tcMar>
          </w:tcPr>
          <w:p w:rsidR="00000000" w:rsidDel="00000000" w:rsidP="00000000" w:rsidRDefault="00000000" w:rsidRPr="00000000" w14:paraId="0000003A">
            <w:pPr>
              <w:rPr>
                <w:rFonts w:ascii="Calibri" w:cs="Calibri" w:eastAsia="Calibri" w:hAnsi="Calibri"/>
                <w:sz w:val="22"/>
                <w:szCs w:val="22"/>
              </w:rPr>
            </w:pPr>
            <w:r w:rsidDel="00000000" w:rsidR="00000000" w:rsidRPr="00000000">
              <w:rPr>
                <w:b w:val="1"/>
                <w:sz w:val="22"/>
                <w:szCs w:val="22"/>
                <w:rtl w:val="0"/>
              </w:rPr>
              <w:t xml:space="preserve">SUMMARY OF SAMPLING FRAMEWORK:</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3B">
            <w:pPr>
              <w:spacing w:line="3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The survey that will be conducted will be targeted to those above the age of eighteen due to the sensitivity of questions and due to those that are under the age of eighteen cannot consent to their data being collected and the surrounding topic area, while the target audience is for those over the age of eighteen it is not limited by race, gender, religion. It is targeted toward those in communities in England and Wales and will be circulated through social media.</w:t>
            </w:r>
          </w:p>
          <w:p w:rsidR="00000000" w:rsidDel="00000000" w:rsidP="00000000" w:rsidRDefault="00000000" w:rsidRPr="00000000" w14:paraId="0000003C">
            <w:pPr>
              <w:jc w:val="both"/>
              <w:rPr>
                <w:rFonts w:ascii="Calibri" w:cs="Calibri" w:eastAsia="Calibri" w:hAnsi="Calibri"/>
                <w:sz w:val="22"/>
                <w:szCs w:val="22"/>
              </w:rPr>
            </w:pPr>
            <w:r w:rsidDel="00000000" w:rsidR="00000000" w:rsidRPr="00000000">
              <w:rPr>
                <w:rtl w:val="0"/>
              </w:rPr>
            </w:r>
          </w:p>
        </w:tc>
      </w:tr>
      <w:tr>
        <w:trPr>
          <w:cantSplit w:val="0"/>
          <w:tblHeader w:val="0"/>
        </w:trPr>
        <w:tc>
          <w:tcPr>
            <w:gridSpan w:val="2"/>
            <w:tcMar>
              <w:top w:w="0.0" w:type="dxa"/>
              <w:left w:w="108.0" w:type="dxa"/>
              <w:bottom w:w="0.0" w:type="dxa"/>
              <w:right w:w="108.0" w:type="dxa"/>
            </w:tcMar>
          </w:tcPr>
          <w:p w:rsidR="00000000" w:rsidDel="00000000" w:rsidP="00000000" w:rsidRDefault="00000000" w:rsidRPr="00000000" w14:paraId="0000003E">
            <w:pPr>
              <w:jc w:val="both"/>
              <w:rPr>
                <w:b w:val="1"/>
                <w:sz w:val="22"/>
                <w:szCs w:val="22"/>
              </w:rPr>
            </w:pPr>
            <w:r w:rsidDel="00000000" w:rsidR="00000000" w:rsidRPr="00000000">
              <w:rPr>
                <w:b w:val="1"/>
                <w:sz w:val="22"/>
                <w:szCs w:val="22"/>
                <w:rtl w:val="0"/>
              </w:rPr>
              <w:t xml:space="preserve">INITIAL REFERENCE LIST:</w:t>
            </w:r>
          </w:p>
          <w:p w:rsidR="00000000" w:rsidDel="00000000" w:rsidP="00000000" w:rsidRDefault="00000000" w:rsidRPr="00000000" w14:paraId="0000003F">
            <w:pPr>
              <w:jc w:val="both"/>
              <w:rPr>
                <w:b w:val="1"/>
                <w:sz w:val="22"/>
                <w:szCs w:val="22"/>
              </w:rPr>
            </w:pPr>
            <w:r w:rsidDel="00000000" w:rsidR="00000000" w:rsidRPr="00000000">
              <w:rPr>
                <w:rtl w:val="0"/>
              </w:rPr>
            </w:r>
          </w:p>
          <w:p w:rsidR="00000000" w:rsidDel="00000000" w:rsidP="00000000" w:rsidRDefault="00000000" w:rsidRPr="00000000" w14:paraId="00000040">
            <w:pPr>
              <w:jc w:val="both"/>
              <w:rPr>
                <w:b w:val="1"/>
                <w:sz w:val="22"/>
                <w:szCs w:val="22"/>
              </w:rPr>
            </w:pPr>
            <w:r w:rsidDel="00000000" w:rsidR="00000000" w:rsidRPr="00000000">
              <w:rPr>
                <w:rtl w:val="0"/>
              </w:rPr>
            </w:r>
          </w:p>
          <w:p w:rsidR="00000000" w:rsidDel="00000000" w:rsidP="00000000" w:rsidRDefault="00000000" w:rsidRPr="00000000" w14:paraId="00000041">
            <w:pPr>
              <w:spacing w:after="240" w:line="360" w:lineRule="auto"/>
              <w:rPr>
                <w:rFonts w:ascii="Calibri" w:cs="Calibri" w:eastAsia="Calibri" w:hAnsi="Calibri"/>
                <w:i w:val="1"/>
              </w:rPr>
            </w:pPr>
            <w:r w:rsidDel="00000000" w:rsidR="00000000" w:rsidRPr="00000000">
              <w:rPr>
                <w:rFonts w:ascii="Calibri" w:cs="Calibri" w:eastAsia="Calibri" w:hAnsi="Calibri"/>
                <w:i w:val="1"/>
                <w:rtl w:val="0"/>
              </w:rPr>
              <w:t xml:space="preserve">Farrell, G. and Davies, T. (2024). Most crime has fallen by 90% in 30 years – so why does the public think it’s increased. The Conversation. Available at: </w:t>
            </w:r>
            <w:hyperlink r:id="rId8">
              <w:r w:rsidDel="00000000" w:rsidR="00000000" w:rsidRPr="00000000">
                <w:rPr>
                  <w:rFonts w:ascii="Calibri" w:cs="Calibri" w:eastAsia="Calibri" w:hAnsi="Calibri"/>
                  <w:i w:val="1"/>
                  <w:color w:val="1155cc"/>
                  <w:u w:val="single"/>
                  <w:rtl w:val="0"/>
                </w:rPr>
                <w:t xml:space="preserve">https://theconversation.com/most-crime-has-fallen-by-90-in-30-years-so-why-does-the-public-think-its-increased-228797</w:t>
              </w:r>
            </w:hyperlink>
            <w:r w:rsidDel="00000000" w:rsidR="00000000" w:rsidRPr="00000000">
              <w:rPr>
                <w:rFonts w:ascii="Calibri" w:cs="Calibri" w:eastAsia="Calibri" w:hAnsi="Calibri"/>
                <w:i w:val="1"/>
                <w:rtl w:val="0"/>
              </w:rPr>
              <w:t xml:space="preserve">. (Accessed: 10th October 2024).</w:t>
            </w:r>
          </w:p>
          <w:p w:rsidR="00000000" w:rsidDel="00000000" w:rsidP="00000000" w:rsidRDefault="00000000" w:rsidRPr="00000000" w14:paraId="00000042">
            <w:pPr>
              <w:spacing w:after="240" w:line="36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43">
            <w:pPr>
              <w:spacing w:after="240" w:line="360" w:lineRule="auto"/>
              <w:rPr>
                <w:rFonts w:ascii="Calibri" w:cs="Calibri" w:eastAsia="Calibri" w:hAnsi="Calibri"/>
                <w:i w:val="1"/>
              </w:rPr>
            </w:pPr>
            <w:r w:rsidDel="00000000" w:rsidR="00000000" w:rsidRPr="00000000">
              <w:rPr>
                <w:rFonts w:ascii="Calibri" w:cs="Calibri" w:eastAsia="Calibri" w:hAnsi="Calibri"/>
                <w:i w:val="1"/>
                <w:rtl w:val="0"/>
              </w:rPr>
              <w:t xml:space="preserve">Revolving Doors (2022). Majority of the UK Public Believe Rising Poverty Will Lead to Increase in Crime – and This Shouldn’t Lead to Prison - Revolving Doors. Available at: </w:t>
            </w:r>
            <w:hyperlink r:id="rId9">
              <w:r w:rsidDel="00000000" w:rsidR="00000000" w:rsidRPr="00000000">
                <w:rPr>
                  <w:rFonts w:ascii="Calibri" w:cs="Calibri" w:eastAsia="Calibri" w:hAnsi="Calibri"/>
                  <w:i w:val="1"/>
                  <w:color w:val="1155cc"/>
                  <w:u w:val="single"/>
                  <w:rtl w:val="0"/>
                </w:rPr>
                <w:t xml:space="preserve">https://revolving-doors.org.uk/majority-of-uk-public-believe-rising-poverty-will-lead-to-increase-in-crime-and-this-shouldnt-lead-to-prison/</w:t>
              </w:r>
            </w:hyperlink>
            <w:r w:rsidDel="00000000" w:rsidR="00000000" w:rsidRPr="00000000">
              <w:rPr>
                <w:rFonts w:ascii="Calibri" w:cs="Calibri" w:eastAsia="Calibri" w:hAnsi="Calibri"/>
                <w:i w:val="1"/>
                <w:rtl w:val="0"/>
              </w:rPr>
              <w:t xml:space="preserve">. (Accessed: 10th October 2024).</w:t>
            </w:r>
          </w:p>
          <w:p w:rsidR="00000000" w:rsidDel="00000000" w:rsidP="00000000" w:rsidRDefault="00000000" w:rsidRPr="00000000" w14:paraId="00000044">
            <w:pPr>
              <w:spacing w:after="240" w:line="36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45">
            <w:pPr>
              <w:spacing w:after="240" w:line="360" w:lineRule="auto"/>
              <w:rPr>
                <w:rFonts w:ascii="Calibri" w:cs="Calibri" w:eastAsia="Calibri" w:hAnsi="Calibri"/>
                <w:i w:val="1"/>
              </w:rPr>
            </w:pPr>
            <w:r w:rsidDel="00000000" w:rsidR="00000000" w:rsidRPr="00000000">
              <w:rPr>
                <w:rFonts w:ascii="Calibri" w:cs="Calibri" w:eastAsia="Calibri" w:hAnsi="Calibri"/>
                <w:i w:val="1"/>
                <w:rtl w:val="0"/>
              </w:rPr>
              <w:t xml:space="preserve">GOV.UK. Ministry of Justice. HM Prison Service. (2024). Mental health funding to tackle reoffending in Wales.  Available at: </w:t>
            </w:r>
            <w:hyperlink r:id="rId10">
              <w:r w:rsidDel="00000000" w:rsidR="00000000" w:rsidRPr="00000000">
                <w:rPr>
                  <w:rFonts w:ascii="Calibri" w:cs="Calibri" w:eastAsia="Calibri" w:hAnsi="Calibri"/>
                  <w:i w:val="1"/>
                  <w:color w:val="1155cc"/>
                  <w:u w:val="single"/>
                  <w:rtl w:val="0"/>
                </w:rPr>
                <w:t xml:space="preserve">https://www.gov.uk/government/news/mental-health-funding-to-tackle-reoffending-in-wales</w:t>
              </w:r>
            </w:hyperlink>
            <w:r w:rsidDel="00000000" w:rsidR="00000000" w:rsidRPr="00000000">
              <w:rPr>
                <w:rFonts w:ascii="Calibri" w:cs="Calibri" w:eastAsia="Calibri" w:hAnsi="Calibri"/>
                <w:i w:val="1"/>
                <w:rtl w:val="0"/>
              </w:rPr>
              <w:t xml:space="preserve">.</w:t>
            </w:r>
          </w:p>
          <w:p w:rsidR="00000000" w:rsidDel="00000000" w:rsidP="00000000" w:rsidRDefault="00000000" w:rsidRPr="00000000" w14:paraId="00000046">
            <w:pPr>
              <w:spacing w:after="240" w:line="360" w:lineRule="auto"/>
              <w:rPr>
                <w:rFonts w:ascii="Calibri" w:cs="Calibri" w:eastAsia="Calibri" w:hAnsi="Calibri"/>
                <w:i w:val="1"/>
              </w:rPr>
            </w:pPr>
            <w:r w:rsidDel="00000000" w:rsidR="00000000" w:rsidRPr="00000000">
              <w:rPr>
                <w:rFonts w:ascii="Calibri" w:cs="Calibri" w:eastAsia="Calibri" w:hAnsi="Calibri"/>
                <w:i w:val="1"/>
                <w:rtl w:val="0"/>
              </w:rPr>
              <w:t xml:space="preserve">(Accessed: 10th October 2024)</w:t>
            </w:r>
          </w:p>
          <w:p w:rsidR="00000000" w:rsidDel="00000000" w:rsidP="00000000" w:rsidRDefault="00000000" w:rsidRPr="00000000" w14:paraId="00000047">
            <w:pPr>
              <w:spacing w:after="240" w:line="36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48">
            <w:pPr>
              <w:spacing w:after="240" w:line="360" w:lineRule="auto"/>
              <w:rPr>
                <w:rFonts w:ascii="Calibri" w:cs="Calibri" w:eastAsia="Calibri" w:hAnsi="Calibri"/>
                <w:i w:val="1"/>
              </w:rPr>
            </w:pPr>
            <w:r w:rsidDel="00000000" w:rsidR="00000000" w:rsidRPr="00000000">
              <w:rPr>
                <w:rFonts w:ascii="Calibri" w:cs="Calibri" w:eastAsia="Calibri" w:hAnsi="Calibri"/>
                <w:i w:val="1"/>
                <w:rtl w:val="0"/>
              </w:rPr>
              <w:t xml:space="preserve">Government Events. (2024). The Offender Management Conference 2024: Working in Partnership to Reduce Reoffending • Government Events. Available at: </w:t>
            </w:r>
            <w:hyperlink r:id="rId11">
              <w:r w:rsidDel="00000000" w:rsidR="00000000" w:rsidRPr="00000000">
                <w:rPr>
                  <w:rFonts w:ascii="Calibri" w:cs="Calibri" w:eastAsia="Calibri" w:hAnsi="Calibri"/>
                  <w:i w:val="1"/>
                  <w:color w:val="1155cc"/>
                  <w:u w:val="single"/>
                  <w:rtl w:val="0"/>
                </w:rPr>
                <w:t xml:space="preserve">https://www.governmentevents.co.uk/event/the-offender-management-conference/#overview</w:t>
              </w:r>
            </w:hyperlink>
            <w:r w:rsidDel="00000000" w:rsidR="00000000" w:rsidRPr="00000000">
              <w:rPr>
                <w:rFonts w:ascii="Calibri" w:cs="Calibri" w:eastAsia="Calibri" w:hAnsi="Calibri"/>
                <w:i w:val="1"/>
                <w:rtl w:val="0"/>
              </w:rPr>
              <w:t xml:space="preserve">.</w:t>
            </w:r>
          </w:p>
          <w:p w:rsidR="00000000" w:rsidDel="00000000" w:rsidP="00000000" w:rsidRDefault="00000000" w:rsidRPr="00000000" w14:paraId="00000049">
            <w:pPr>
              <w:spacing w:after="240" w:line="360" w:lineRule="auto"/>
              <w:rPr>
                <w:rFonts w:ascii="Calibri" w:cs="Calibri" w:eastAsia="Calibri" w:hAnsi="Calibri"/>
                <w:i w:val="1"/>
              </w:rPr>
            </w:pPr>
            <w:r w:rsidDel="00000000" w:rsidR="00000000" w:rsidRPr="00000000">
              <w:rPr>
                <w:rFonts w:ascii="Calibri" w:cs="Calibri" w:eastAsia="Calibri" w:hAnsi="Calibri"/>
                <w:i w:val="1"/>
                <w:rtl w:val="0"/>
              </w:rPr>
              <w:t xml:space="preserve">(Accessed: 9th October 2024)</w:t>
            </w:r>
          </w:p>
          <w:p w:rsidR="00000000" w:rsidDel="00000000" w:rsidP="00000000" w:rsidRDefault="00000000" w:rsidRPr="00000000" w14:paraId="0000004A">
            <w:pPr>
              <w:spacing w:after="240" w:line="36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4B">
            <w:pPr>
              <w:spacing w:after="240" w:line="360" w:lineRule="auto"/>
              <w:rPr>
                <w:rFonts w:ascii="Calibri" w:cs="Calibri" w:eastAsia="Calibri" w:hAnsi="Calibri"/>
                <w:i w:val="1"/>
              </w:rPr>
            </w:pPr>
            <w:r w:rsidDel="00000000" w:rsidR="00000000" w:rsidRPr="00000000">
              <w:rPr>
                <w:rFonts w:ascii="Calibri" w:cs="Calibri" w:eastAsia="Calibri" w:hAnsi="Calibri"/>
                <w:i w:val="1"/>
                <w:rtl w:val="0"/>
              </w:rPr>
              <w:t xml:space="preserve">National Audit Office (NAO). Ministry of  Justice. (2023) Improving resettlement support for prison leavers to reduce reoffending - NAO report. Available at: </w:t>
            </w:r>
            <w:hyperlink r:id="rId12">
              <w:r w:rsidDel="00000000" w:rsidR="00000000" w:rsidRPr="00000000">
                <w:rPr>
                  <w:rFonts w:ascii="Calibri" w:cs="Calibri" w:eastAsia="Calibri" w:hAnsi="Calibri"/>
                  <w:i w:val="1"/>
                  <w:color w:val="1155cc"/>
                  <w:u w:val="single"/>
                  <w:rtl w:val="0"/>
                </w:rPr>
                <w:t xml:space="preserve">https://www.nao.org.uk/reports/improving-resettlement-support-for-prison-leavers-to-reduce-reoffending/</w:t>
              </w:r>
            </w:hyperlink>
            <w:r w:rsidDel="00000000" w:rsidR="00000000" w:rsidRPr="00000000">
              <w:rPr>
                <w:rFonts w:ascii="Calibri" w:cs="Calibri" w:eastAsia="Calibri" w:hAnsi="Calibri"/>
                <w:i w:val="1"/>
                <w:rtl w:val="0"/>
              </w:rPr>
              <w:t xml:space="preserve">.</w:t>
            </w:r>
          </w:p>
          <w:p w:rsidR="00000000" w:rsidDel="00000000" w:rsidP="00000000" w:rsidRDefault="00000000" w:rsidRPr="00000000" w14:paraId="0000004C">
            <w:pPr>
              <w:spacing w:after="240" w:line="360" w:lineRule="auto"/>
              <w:rPr>
                <w:rFonts w:ascii="Calibri" w:cs="Calibri" w:eastAsia="Calibri" w:hAnsi="Calibri"/>
                <w:i w:val="1"/>
              </w:rPr>
            </w:pPr>
            <w:r w:rsidDel="00000000" w:rsidR="00000000" w:rsidRPr="00000000">
              <w:rPr>
                <w:rFonts w:ascii="Calibri" w:cs="Calibri" w:eastAsia="Calibri" w:hAnsi="Calibri"/>
                <w:i w:val="1"/>
                <w:rtl w:val="0"/>
              </w:rPr>
              <w:t xml:space="preserve">(Accessed: 9th October 2024)</w:t>
            </w:r>
          </w:p>
          <w:p w:rsidR="00000000" w:rsidDel="00000000" w:rsidP="00000000" w:rsidRDefault="00000000" w:rsidRPr="00000000" w14:paraId="0000004D">
            <w:pPr>
              <w:spacing w:after="240" w:line="36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4E">
            <w:pPr>
              <w:spacing w:after="240" w:line="360" w:lineRule="auto"/>
              <w:rPr>
                <w:rFonts w:ascii="Calibri" w:cs="Calibri" w:eastAsia="Calibri" w:hAnsi="Calibri"/>
                <w:i w:val="1"/>
              </w:rPr>
            </w:pPr>
            <w:r w:rsidDel="00000000" w:rsidR="00000000" w:rsidRPr="00000000">
              <w:rPr>
                <w:rFonts w:ascii="Calibri" w:cs="Calibri" w:eastAsia="Calibri" w:hAnsi="Calibri"/>
                <w:i w:val="1"/>
                <w:rtl w:val="0"/>
              </w:rPr>
              <w:t xml:space="preserve">Syal, R. (2024). Police ‘left to deal with fallout’ of poorly planned early release of 1,700 prisoners. The Guardian. Available at: </w:t>
            </w:r>
            <w:hyperlink r:id="rId13">
              <w:r w:rsidDel="00000000" w:rsidR="00000000" w:rsidRPr="00000000">
                <w:rPr>
                  <w:rFonts w:ascii="Calibri" w:cs="Calibri" w:eastAsia="Calibri" w:hAnsi="Calibri"/>
                  <w:i w:val="1"/>
                  <w:color w:val="1155cc"/>
                  <w:u w:val="single"/>
                  <w:rtl w:val="0"/>
                </w:rPr>
                <w:t xml:space="preserve">https://www.theguardian.com/society/article/2024/sep/10/police-left-to-deal-with-fallout-of-poorly-planned-early-release-of-1700-prisoners</w:t>
              </w:r>
            </w:hyperlink>
            <w:r w:rsidDel="00000000" w:rsidR="00000000" w:rsidRPr="00000000">
              <w:rPr>
                <w:rFonts w:ascii="Calibri" w:cs="Calibri" w:eastAsia="Calibri" w:hAnsi="Calibri"/>
                <w:i w:val="1"/>
                <w:rtl w:val="0"/>
              </w:rPr>
              <w:t xml:space="preserve"> </w:t>
            </w:r>
          </w:p>
          <w:p w:rsidR="00000000" w:rsidDel="00000000" w:rsidP="00000000" w:rsidRDefault="00000000" w:rsidRPr="00000000" w14:paraId="0000004F">
            <w:pPr>
              <w:spacing w:after="240" w:line="360" w:lineRule="auto"/>
              <w:rPr>
                <w:rFonts w:ascii="Calibri" w:cs="Calibri" w:eastAsia="Calibri" w:hAnsi="Calibri"/>
                <w:i w:val="1"/>
              </w:rPr>
            </w:pPr>
            <w:r w:rsidDel="00000000" w:rsidR="00000000" w:rsidRPr="00000000">
              <w:rPr>
                <w:rFonts w:ascii="Calibri" w:cs="Calibri" w:eastAsia="Calibri" w:hAnsi="Calibri"/>
                <w:i w:val="1"/>
                <w:rtl w:val="0"/>
              </w:rPr>
              <w:t xml:space="preserve">(Accessed: 8th October 2024)</w:t>
            </w:r>
          </w:p>
          <w:p w:rsidR="00000000" w:rsidDel="00000000" w:rsidP="00000000" w:rsidRDefault="00000000" w:rsidRPr="00000000" w14:paraId="00000050">
            <w:pPr>
              <w:spacing w:after="240" w:line="36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51">
            <w:pPr>
              <w:spacing w:after="240" w:line="360" w:lineRule="auto"/>
              <w:rPr>
                <w:rFonts w:ascii="Calibri" w:cs="Calibri" w:eastAsia="Calibri" w:hAnsi="Calibri"/>
                <w:i w:val="1"/>
              </w:rPr>
            </w:pPr>
            <w:r w:rsidDel="00000000" w:rsidR="00000000" w:rsidRPr="00000000">
              <w:rPr>
                <w:rFonts w:ascii="Calibri" w:cs="Calibri" w:eastAsia="Calibri" w:hAnsi="Calibri"/>
                <w:i w:val="1"/>
                <w:rtl w:val="0"/>
              </w:rPr>
              <w:t xml:space="preserve">Parr-Morley, B. (2024). Addressing prison overcrowding through the Early Release scheme.  Catch22. Available at: </w:t>
            </w:r>
            <w:hyperlink r:id="rId14">
              <w:r w:rsidDel="00000000" w:rsidR="00000000" w:rsidRPr="00000000">
                <w:rPr>
                  <w:rFonts w:ascii="Calibri" w:cs="Calibri" w:eastAsia="Calibri" w:hAnsi="Calibri"/>
                  <w:i w:val="1"/>
                  <w:color w:val="1155cc"/>
                  <w:u w:val="single"/>
                  <w:rtl w:val="0"/>
                </w:rPr>
                <w:t xml:space="preserve">https://www.catch-22.org.uk/resources/addressing-prison-overcrowding-through-the-early-release-scheme/</w:t>
              </w:r>
            </w:hyperlink>
            <w:r w:rsidDel="00000000" w:rsidR="00000000" w:rsidRPr="00000000">
              <w:rPr>
                <w:rFonts w:ascii="Calibri" w:cs="Calibri" w:eastAsia="Calibri" w:hAnsi="Calibri"/>
                <w:i w:val="1"/>
                <w:rtl w:val="0"/>
              </w:rPr>
              <w:t xml:space="preserve">.</w:t>
            </w:r>
          </w:p>
          <w:p w:rsidR="00000000" w:rsidDel="00000000" w:rsidP="00000000" w:rsidRDefault="00000000" w:rsidRPr="00000000" w14:paraId="00000052">
            <w:pPr>
              <w:spacing w:after="240" w:line="360" w:lineRule="auto"/>
              <w:rPr>
                <w:rFonts w:ascii="Calibri" w:cs="Calibri" w:eastAsia="Calibri" w:hAnsi="Calibri"/>
                <w:i w:val="1"/>
              </w:rPr>
            </w:pPr>
            <w:r w:rsidDel="00000000" w:rsidR="00000000" w:rsidRPr="00000000">
              <w:rPr>
                <w:rFonts w:ascii="Calibri" w:cs="Calibri" w:eastAsia="Calibri" w:hAnsi="Calibri"/>
                <w:i w:val="1"/>
                <w:rtl w:val="0"/>
              </w:rPr>
              <w:t xml:space="preserve">(Accessed: 8th October 2024)</w:t>
            </w:r>
          </w:p>
          <w:p w:rsidR="00000000" w:rsidDel="00000000" w:rsidP="00000000" w:rsidRDefault="00000000" w:rsidRPr="00000000" w14:paraId="00000053">
            <w:pPr>
              <w:spacing w:after="240" w:line="36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54">
            <w:pPr>
              <w:spacing w:after="240" w:line="360" w:lineRule="auto"/>
              <w:rPr>
                <w:rFonts w:ascii="Calibri" w:cs="Calibri" w:eastAsia="Calibri" w:hAnsi="Calibri"/>
                <w:i w:val="1"/>
              </w:rPr>
            </w:pPr>
            <w:r w:rsidDel="00000000" w:rsidR="00000000" w:rsidRPr="00000000">
              <w:rPr>
                <w:rFonts w:ascii="Calibri" w:cs="Calibri" w:eastAsia="Calibri" w:hAnsi="Calibri"/>
                <w:i w:val="1"/>
                <w:rtl w:val="0"/>
              </w:rPr>
              <w:t xml:space="preserve">Kelly, S. (2024). The UK Prison System at Breaking Point: The 2024 Capacity Crisis and Its Ripple Effects - Murray Hughman. Murray Hughman. Available at: </w:t>
            </w:r>
            <w:hyperlink r:id="rId15">
              <w:r w:rsidDel="00000000" w:rsidR="00000000" w:rsidRPr="00000000">
                <w:rPr>
                  <w:rFonts w:ascii="Calibri" w:cs="Calibri" w:eastAsia="Calibri" w:hAnsi="Calibri"/>
                  <w:i w:val="1"/>
                  <w:color w:val="1155cc"/>
                  <w:u w:val="single"/>
                  <w:rtl w:val="0"/>
                </w:rPr>
                <w:t xml:space="preserve">https://murrayhughman.co.uk/the-uk-prison-system-at-breaking-point-the-2024-capacity-crisis-and-its-ripple-effects/</w:t>
              </w:r>
            </w:hyperlink>
            <w:r w:rsidDel="00000000" w:rsidR="00000000" w:rsidRPr="00000000">
              <w:rPr>
                <w:rtl w:val="0"/>
              </w:rPr>
            </w:r>
          </w:p>
          <w:p w:rsidR="00000000" w:rsidDel="00000000" w:rsidP="00000000" w:rsidRDefault="00000000" w:rsidRPr="00000000" w14:paraId="00000055">
            <w:pPr>
              <w:spacing w:after="240" w:line="360" w:lineRule="auto"/>
              <w:rPr>
                <w:rFonts w:ascii="Calibri" w:cs="Calibri" w:eastAsia="Calibri" w:hAnsi="Calibri"/>
                <w:i w:val="1"/>
              </w:rPr>
            </w:pPr>
            <w:r w:rsidDel="00000000" w:rsidR="00000000" w:rsidRPr="00000000">
              <w:rPr>
                <w:rFonts w:ascii="Calibri" w:cs="Calibri" w:eastAsia="Calibri" w:hAnsi="Calibri"/>
                <w:i w:val="1"/>
                <w:rtl w:val="0"/>
              </w:rPr>
              <w:t xml:space="preserve">(Accessed: 9th October 2024)</w:t>
            </w:r>
          </w:p>
          <w:p w:rsidR="00000000" w:rsidDel="00000000" w:rsidP="00000000" w:rsidRDefault="00000000" w:rsidRPr="00000000" w14:paraId="00000056">
            <w:pPr>
              <w:spacing w:after="240" w:line="36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57">
            <w:pPr>
              <w:spacing w:after="240" w:line="360" w:lineRule="auto"/>
              <w:rPr>
                <w:rFonts w:ascii="Calibri" w:cs="Calibri" w:eastAsia="Calibri" w:hAnsi="Calibri"/>
                <w:i w:val="1"/>
              </w:rPr>
            </w:pPr>
            <w:r w:rsidDel="00000000" w:rsidR="00000000" w:rsidRPr="00000000">
              <w:rPr>
                <w:rFonts w:ascii="Calibri" w:cs="Calibri" w:eastAsia="Calibri" w:hAnsi="Calibri"/>
                <w:i w:val="1"/>
                <w:rtl w:val="0"/>
              </w:rPr>
              <w:t xml:space="preserve">Allen, G. and Carthew, H. (2024). Police Service Strength. Parliament.uk. Available at: </w:t>
            </w:r>
            <w:hyperlink r:id="rId16">
              <w:r w:rsidDel="00000000" w:rsidR="00000000" w:rsidRPr="00000000">
                <w:rPr>
                  <w:rFonts w:ascii="Calibri" w:cs="Calibri" w:eastAsia="Calibri" w:hAnsi="Calibri"/>
                  <w:i w:val="1"/>
                  <w:color w:val="1155cc"/>
                  <w:u w:val="single"/>
                  <w:rtl w:val="0"/>
                </w:rPr>
                <w:t xml:space="preserve">https://researchbriefings.files.parliament.uk/documents/SN00634/SN00634.pdf</w:t>
              </w:r>
            </w:hyperlink>
            <w:r w:rsidDel="00000000" w:rsidR="00000000" w:rsidRPr="00000000">
              <w:rPr>
                <w:rFonts w:ascii="Calibri" w:cs="Calibri" w:eastAsia="Calibri" w:hAnsi="Calibri"/>
                <w:i w:val="1"/>
                <w:rtl w:val="0"/>
              </w:rPr>
              <w:t xml:space="preserve">.</w:t>
            </w:r>
          </w:p>
          <w:p w:rsidR="00000000" w:rsidDel="00000000" w:rsidP="00000000" w:rsidRDefault="00000000" w:rsidRPr="00000000" w14:paraId="00000058">
            <w:pPr>
              <w:spacing w:after="240" w:line="360" w:lineRule="auto"/>
              <w:rPr>
                <w:rFonts w:ascii="Calibri" w:cs="Calibri" w:eastAsia="Calibri" w:hAnsi="Calibri"/>
                <w:i w:val="1"/>
              </w:rPr>
            </w:pPr>
            <w:r w:rsidDel="00000000" w:rsidR="00000000" w:rsidRPr="00000000">
              <w:rPr>
                <w:rFonts w:ascii="Calibri" w:cs="Calibri" w:eastAsia="Calibri" w:hAnsi="Calibri"/>
                <w:i w:val="1"/>
                <w:rtl w:val="0"/>
              </w:rPr>
              <w:t xml:space="preserve">(Accessed: 8th October 2024)</w:t>
            </w:r>
          </w:p>
          <w:p w:rsidR="00000000" w:rsidDel="00000000" w:rsidP="00000000" w:rsidRDefault="00000000" w:rsidRPr="00000000" w14:paraId="00000059">
            <w:pPr>
              <w:spacing w:after="240" w:line="360" w:lineRule="auto"/>
              <w:rPr>
                <w:rFonts w:ascii="Calibri" w:cs="Calibri" w:eastAsia="Calibri" w:hAnsi="Calibri"/>
                <w:i w:val="1"/>
              </w:rPr>
            </w:pPr>
            <w:r w:rsidDel="00000000" w:rsidR="00000000" w:rsidRPr="00000000">
              <w:rPr>
                <w:rFonts w:ascii="Calibri" w:cs="Calibri" w:eastAsia="Calibri" w:hAnsi="Calibri"/>
                <w:i w:val="1"/>
                <w:rtl w:val="0"/>
              </w:rPr>
              <w:t xml:space="preserve">Gov.uk. Wales Reducing Reoffending Plan 2022-25.  Available at: </w:t>
            </w:r>
            <w:hyperlink r:id="rId17">
              <w:r w:rsidDel="00000000" w:rsidR="00000000" w:rsidRPr="00000000">
                <w:rPr>
                  <w:rFonts w:ascii="Calibri" w:cs="Calibri" w:eastAsia="Calibri" w:hAnsi="Calibri"/>
                  <w:i w:val="1"/>
                  <w:color w:val="1155cc"/>
                  <w:u w:val="single"/>
                  <w:rtl w:val="0"/>
                </w:rPr>
                <w:t xml:space="preserve">https://assets.publishing.service.gov.uk/media/62e41079d3bf7f75b02b3481/Wales_HMPPS_Reducing-Reoffending-plan.pdf</w:t>
              </w:r>
            </w:hyperlink>
            <w:r w:rsidDel="00000000" w:rsidR="00000000" w:rsidRPr="00000000">
              <w:rPr>
                <w:rtl w:val="0"/>
              </w:rPr>
            </w:r>
          </w:p>
          <w:p w:rsidR="00000000" w:rsidDel="00000000" w:rsidP="00000000" w:rsidRDefault="00000000" w:rsidRPr="00000000" w14:paraId="0000005A">
            <w:pPr>
              <w:spacing w:after="240" w:line="360" w:lineRule="auto"/>
              <w:rPr>
                <w:rFonts w:ascii="Calibri" w:cs="Calibri" w:eastAsia="Calibri" w:hAnsi="Calibri"/>
                <w:i w:val="1"/>
              </w:rPr>
            </w:pPr>
            <w:r w:rsidDel="00000000" w:rsidR="00000000" w:rsidRPr="00000000">
              <w:rPr>
                <w:rFonts w:ascii="Calibri" w:cs="Calibri" w:eastAsia="Calibri" w:hAnsi="Calibri"/>
                <w:i w:val="1"/>
                <w:rtl w:val="0"/>
              </w:rPr>
              <w:t xml:space="preserve"> (Accessed: 10th October  2024).</w:t>
            </w:r>
          </w:p>
          <w:p w:rsidR="00000000" w:rsidDel="00000000" w:rsidP="00000000" w:rsidRDefault="00000000" w:rsidRPr="00000000" w14:paraId="0000005B">
            <w:pPr>
              <w:spacing w:after="240" w:line="36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5C">
            <w:pPr>
              <w:spacing w:after="240" w:line="360" w:lineRule="auto"/>
              <w:rPr>
                <w:rFonts w:ascii="Calibri" w:cs="Calibri" w:eastAsia="Calibri" w:hAnsi="Calibri"/>
                <w:i w:val="1"/>
              </w:rPr>
            </w:pPr>
            <w:r w:rsidDel="00000000" w:rsidR="00000000" w:rsidRPr="00000000">
              <w:rPr>
                <w:rFonts w:ascii="Calibri" w:cs="Calibri" w:eastAsia="Calibri" w:hAnsi="Calibri"/>
                <w:i w:val="1"/>
                <w:rtl w:val="0"/>
              </w:rPr>
              <w:t xml:space="preserve">Williams, O., Gray, B.J. and Perrett, S.E. (2023). Identifying the public health needs of a UK probation cohort: a cross-sectional analysis. Journal of Public Health, 46.  Available at: </w:t>
            </w:r>
            <w:hyperlink r:id="rId18">
              <w:r w:rsidDel="00000000" w:rsidR="00000000" w:rsidRPr="00000000">
                <w:rPr>
                  <w:rFonts w:ascii="Calibri" w:cs="Calibri" w:eastAsia="Calibri" w:hAnsi="Calibri"/>
                  <w:i w:val="1"/>
                  <w:color w:val="1155cc"/>
                  <w:u w:val="single"/>
                  <w:rtl w:val="0"/>
                </w:rPr>
                <w:t xml:space="preserve">https://doi.org/10.1093/pubmed/fdad183</w:t>
              </w:r>
            </w:hyperlink>
            <w:r w:rsidDel="00000000" w:rsidR="00000000" w:rsidRPr="00000000">
              <w:rPr>
                <w:rFonts w:ascii="Calibri" w:cs="Calibri" w:eastAsia="Calibri" w:hAnsi="Calibri"/>
                <w:i w:val="1"/>
                <w:rtl w:val="0"/>
              </w:rPr>
              <w:t xml:space="preserve">.</w:t>
            </w:r>
          </w:p>
          <w:p w:rsidR="00000000" w:rsidDel="00000000" w:rsidP="00000000" w:rsidRDefault="00000000" w:rsidRPr="00000000" w14:paraId="0000005D">
            <w:pPr>
              <w:spacing w:after="240" w:line="360" w:lineRule="auto"/>
              <w:rPr>
                <w:rFonts w:ascii="Calibri" w:cs="Calibri" w:eastAsia="Calibri" w:hAnsi="Calibri"/>
                <w:i w:val="1"/>
                <w:sz w:val="22"/>
                <w:szCs w:val="22"/>
              </w:rPr>
            </w:pPr>
            <w:r w:rsidDel="00000000" w:rsidR="00000000" w:rsidRPr="00000000">
              <w:rPr>
                <w:rFonts w:ascii="Calibri" w:cs="Calibri" w:eastAsia="Calibri" w:hAnsi="Calibri"/>
                <w:i w:val="1"/>
                <w:rtl w:val="0"/>
              </w:rPr>
              <w:t xml:space="preserve">(Accessed: 10th October 2024)</w:t>
            </w:r>
            <w:r w:rsidDel="00000000" w:rsidR="00000000" w:rsidRPr="00000000">
              <w:rPr>
                <w:rtl w:val="0"/>
              </w:rPr>
            </w:r>
          </w:p>
          <w:p w:rsidR="00000000" w:rsidDel="00000000" w:rsidP="00000000" w:rsidRDefault="00000000" w:rsidRPr="00000000" w14:paraId="0000005E">
            <w:pPr>
              <w:jc w:val="both"/>
              <w:rPr>
                <w:rFonts w:ascii="Calibri" w:cs="Calibri" w:eastAsia="Calibri" w:hAnsi="Calibri"/>
                <w:sz w:val="22"/>
                <w:szCs w:val="22"/>
              </w:rPr>
            </w:pPr>
            <w:r w:rsidDel="00000000" w:rsidR="00000000" w:rsidRPr="00000000">
              <w:rPr>
                <w:rtl w:val="0"/>
              </w:rPr>
            </w:r>
          </w:p>
        </w:tc>
      </w:tr>
    </w:tbl>
    <w:p w:rsidR="00000000" w:rsidDel="00000000" w:rsidP="00000000" w:rsidRDefault="00000000" w:rsidRPr="00000000" w14:paraId="00000060">
      <w:pPr>
        <w:jc w:val="both"/>
        <w:rPr>
          <w:rFonts w:ascii="Calibri" w:cs="Calibri" w:eastAsia="Calibri" w:hAnsi="Calibri"/>
          <w:b w:val="1"/>
          <w:sz w:val="22"/>
          <w:szCs w:val="22"/>
        </w:rPr>
      </w:pPr>
      <w:r w:rsidDel="00000000" w:rsidR="00000000" w:rsidRPr="00000000">
        <w:rPr>
          <w:rtl w:val="0"/>
        </w:rPr>
      </w:r>
    </w:p>
    <w:sectPr>
      <w:footerReference r:id="rId19" w:type="first"/>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Georgia"/>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071"/>
      </w:tabs>
      <w:spacing w:after="0" w:before="0" w:line="240" w:lineRule="auto"/>
      <w:ind w:left="0" w:right="0" w:firstLine="0"/>
      <w:jc w:val="center"/>
      <w:rPr>
        <w:rFonts w:ascii="Arial" w:cs="Arial" w:eastAsia="Arial" w:hAnsi="Arial"/>
        <w:b w:val="0"/>
        <w:i w:val="0"/>
        <w:smallCaps w:val="0"/>
        <w:strike w:val="0"/>
        <w:color w:val="000000"/>
        <w:sz w:val="10"/>
        <w:szCs w:val="10"/>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10"/>
        <w:szCs w:val="10"/>
        <w:u w:val="none"/>
        <w:shd w:fill="auto" w:val="clear"/>
        <w:vertAlign w:val="baseline"/>
        <w:rtl w:val="0"/>
      </w:rPr>
      <w:tab/>
      <w:tab/>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60" w:before="240" w:lineRule="auto"/>
    </w:pPr>
    <w:rPr>
      <w:b w:val="1"/>
      <w:sz w:val="32"/>
      <w:szCs w:val="32"/>
    </w:rPr>
  </w:style>
  <w:style w:type="paragraph" w:styleId="Heading2">
    <w:name w:val="heading 2"/>
    <w:basedOn w:val="Normal"/>
    <w:next w:val="Normal"/>
    <w:pPr>
      <w:keepNext w:val="1"/>
      <w:spacing w:after="60" w:before="240" w:lineRule="auto"/>
    </w:pPr>
    <w:rPr>
      <w:b w:val="1"/>
      <w:sz w:val="28"/>
      <w:szCs w:val="28"/>
    </w:rPr>
  </w:style>
  <w:style w:type="paragraph" w:styleId="Heading3">
    <w:name w:val="heading 3"/>
    <w:basedOn w:val="Normal"/>
    <w:next w:val="Normal"/>
    <w:pPr>
      <w:keepNext w:val="1"/>
      <w:keepLines w:val="1"/>
      <w:spacing w:before="200" w:lineRule="auto"/>
    </w:pPr>
    <w:rPr>
      <w:rFonts w:ascii="Cambria" w:cs="Cambria" w:eastAsia="Cambria" w:hAnsi="Cambria"/>
      <w:b w:val="1"/>
      <w:color w:val="4f81bd"/>
    </w:rPr>
  </w:style>
  <w:style w:type="paragraph" w:styleId="Heading4">
    <w:name w:val="heading 4"/>
    <w:basedOn w:val="Normal"/>
    <w:next w:val="Normal"/>
    <w:pPr>
      <w:keepNext w:val="1"/>
      <w:spacing w:after="60" w:before="240" w:lineRule="auto"/>
    </w:pPr>
    <w:rPr>
      <w:b w:val="1"/>
      <w:sz w:val="28"/>
      <w:szCs w:val="28"/>
    </w:rPr>
  </w:style>
  <w:style w:type="paragraph" w:styleId="Heading5">
    <w:name w:val="heading 5"/>
    <w:basedOn w:val="Normal"/>
    <w:next w:val="Normal"/>
    <w:pPr>
      <w:keepNext w:val="1"/>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630" w:right="-616"/>
    </w:pPr>
    <w:rPr>
      <w:b w:val="1"/>
      <w:i w:val="1"/>
      <w:sz w:val="28"/>
      <w:szCs w:val="28"/>
      <w:u w:val="single"/>
    </w:rPr>
  </w:style>
  <w:style w:type="paragraph" w:styleId="Heading6">
    <w:name w:val="heading 6"/>
    <w:basedOn w:val="Normal"/>
    <w:next w:val="Normal"/>
    <w:pPr>
      <w:spacing w:after="60" w:before="240" w:lineRule="auto"/>
    </w:pPr>
    <w:rPr>
      <w:b w:val="1"/>
      <w:sz w:val="22"/>
      <w:szCs w:val="22"/>
    </w:rPr>
  </w:style>
  <w:style w:type="paragraph" w:styleId="Title">
    <w:name w:val="Title"/>
    <w:basedOn w:val="Normal"/>
    <w:next w:val="Normal"/>
    <w:pPr>
      <w:jc w:val="center"/>
    </w:pPr>
    <w:rPr>
      <w:b w:val="1"/>
    </w:rPr>
  </w:style>
  <w:style w:type="paragraph" w:styleId="Normal" w:default="1">
    <w:name w:val="Normal"/>
    <w:qFormat w:val="1"/>
    <w:rsid w:val="00F65000"/>
    <w:rPr>
      <w:rFonts w:ascii="Arial" w:hAnsi="Arial"/>
      <w:sz w:val="24"/>
      <w:lang w:eastAsia="en-US"/>
    </w:rPr>
  </w:style>
  <w:style w:type="paragraph" w:styleId="Heading1">
    <w:name w:val="heading 1"/>
    <w:basedOn w:val="Normal"/>
    <w:next w:val="Normal"/>
    <w:link w:val="Heading1Char"/>
    <w:uiPriority w:val="99"/>
    <w:qFormat w:val="1"/>
    <w:rsid w:val="00A01FCE"/>
    <w:pPr>
      <w:keepNext w:val="1"/>
      <w:spacing w:after="60" w:before="240"/>
      <w:outlineLvl w:val="0"/>
    </w:pPr>
    <w:rPr>
      <w:rFonts w:cs="Arial"/>
      <w:b w:val="1"/>
      <w:bCs w:val="1"/>
      <w:kern w:val="32"/>
      <w:sz w:val="32"/>
      <w:szCs w:val="32"/>
    </w:rPr>
  </w:style>
  <w:style w:type="paragraph" w:styleId="Heading2">
    <w:name w:val="heading 2"/>
    <w:basedOn w:val="Normal"/>
    <w:next w:val="Normal"/>
    <w:link w:val="Heading2Char"/>
    <w:uiPriority w:val="9"/>
    <w:qFormat w:val="1"/>
    <w:rsid w:val="00680B0E"/>
    <w:pPr>
      <w:keepNext w:val="1"/>
      <w:spacing w:after="60" w:before="240"/>
      <w:outlineLvl w:val="1"/>
    </w:pPr>
    <w:rPr>
      <w:rFonts w:cs="Arial"/>
      <w:b w:val="1"/>
      <w:bCs w:val="1"/>
      <w:iCs w:val="1"/>
      <w:sz w:val="28"/>
      <w:szCs w:val="28"/>
    </w:rPr>
  </w:style>
  <w:style w:type="paragraph" w:styleId="Heading3">
    <w:name w:val="heading 3"/>
    <w:basedOn w:val="Normal"/>
    <w:next w:val="Normal"/>
    <w:link w:val="Heading3Char"/>
    <w:semiHidden w:val="1"/>
    <w:unhideWhenUsed w:val="1"/>
    <w:qFormat w:val="1"/>
    <w:rsid w:val="008B2529"/>
    <w:pPr>
      <w:keepNext w:val="1"/>
      <w:keepLines w:val="1"/>
      <w:spacing w:before="200"/>
      <w:outlineLvl w:val="2"/>
    </w:pPr>
    <w:rPr>
      <w:rFonts w:ascii="Cambria" w:hAnsi="Cambria"/>
      <w:b w:val="1"/>
      <w:bCs w:val="1"/>
      <w:color w:val="4f81bd"/>
    </w:rPr>
  </w:style>
  <w:style w:type="paragraph" w:styleId="Heading4">
    <w:name w:val="heading 4"/>
    <w:basedOn w:val="Normal"/>
    <w:next w:val="Normal"/>
    <w:link w:val="Heading4Char"/>
    <w:uiPriority w:val="99"/>
    <w:qFormat w:val="1"/>
    <w:rsid w:val="00B20215"/>
    <w:pPr>
      <w:keepNext w:val="1"/>
      <w:spacing w:after="60" w:before="240"/>
      <w:outlineLvl w:val="3"/>
    </w:pPr>
    <w:rPr>
      <w:b w:val="1"/>
      <w:bCs w:val="1"/>
      <w:sz w:val="28"/>
      <w:szCs w:val="28"/>
    </w:rPr>
  </w:style>
  <w:style w:type="paragraph" w:styleId="Heading5">
    <w:name w:val="heading 5"/>
    <w:basedOn w:val="Normal"/>
    <w:next w:val="Normal"/>
    <w:link w:val="Heading5Char"/>
    <w:uiPriority w:val="9"/>
    <w:qFormat w:val="1"/>
    <w:rsid w:val="00A01FCE"/>
    <w:pPr>
      <w:keepNext w:v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val="1"/>
      <w:i w:val="1"/>
      <w:sz w:val="28"/>
      <w:u w:val="single"/>
    </w:rPr>
  </w:style>
  <w:style w:type="paragraph" w:styleId="Heading6">
    <w:name w:val="heading 6"/>
    <w:basedOn w:val="Normal"/>
    <w:next w:val="Normal"/>
    <w:link w:val="Heading6Char"/>
    <w:uiPriority w:val="9"/>
    <w:qFormat w:val="1"/>
    <w:rsid w:val="00663786"/>
    <w:pPr>
      <w:spacing w:after="60" w:before="240"/>
      <w:outlineLvl w:val="5"/>
    </w:pPr>
    <w:rPr>
      <w:b w:val="1"/>
      <w:bCs w:val="1"/>
      <w:sz w:val="22"/>
      <w:szCs w:val="22"/>
    </w:rPr>
  </w:style>
  <w:style w:type="paragraph" w:styleId="Heading7">
    <w:name w:val="heading 7"/>
    <w:aliases w:val="Sub heading"/>
    <w:basedOn w:val="Normal"/>
    <w:next w:val="Normal"/>
    <w:link w:val="Heading7Char"/>
    <w:uiPriority w:val="99"/>
    <w:qFormat w:val="1"/>
    <w:rsid w:val="00940A08"/>
    <w:pPr>
      <w:numPr>
        <w:ilvl w:val="1"/>
        <w:numId w:val="10"/>
      </w:numPr>
      <w:spacing w:before="240"/>
      <w:outlineLvl w:val="6"/>
    </w:pPr>
    <w:rPr>
      <w:rFonts w:cs="Arial"/>
      <w:b w:val="1"/>
      <w:bCs w:val="1"/>
      <w:sz w:val="22"/>
      <w:szCs w:val="22"/>
      <w:lang w:eastAsia="en-GB"/>
    </w:rPr>
  </w:style>
  <w:style w:type="paragraph" w:styleId="Heading8">
    <w:name w:val="heading 8"/>
    <w:basedOn w:val="Normal"/>
    <w:next w:val="Normal"/>
    <w:link w:val="Heading8Char"/>
    <w:uiPriority w:val="9"/>
    <w:qFormat w:val="1"/>
    <w:rsid w:val="00A01FCE"/>
    <w:pPr>
      <w:keepNext w:val="1"/>
      <w:jc w:val="center"/>
      <w:outlineLvl w:val="7"/>
    </w:pPr>
    <w:rPr>
      <w:b w:val="1"/>
      <w:sz w:val="4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link w:val="Heading1"/>
    <w:uiPriority w:val="99"/>
    <w:rsid w:val="008E4A17"/>
    <w:rPr>
      <w:rFonts w:ascii="Cambria" w:cs="Times New Roman" w:eastAsia="Times New Roman" w:hAnsi="Cambria"/>
      <w:b w:val="1"/>
      <w:bCs w:val="1"/>
      <w:kern w:val="32"/>
      <w:sz w:val="32"/>
      <w:szCs w:val="32"/>
      <w:lang w:eastAsia="en-US"/>
    </w:rPr>
  </w:style>
  <w:style w:type="character" w:styleId="Heading2Char" w:customStyle="1">
    <w:name w:val="Heading 2 Char"/>
    <w:link w:val="Heading2"/>
    <w:uiPriority w:val="9"/>
    <w:rsid w:val="00680B0E"/>
    <w:rPr>
      <w:rFonts w:ascii="Arial" w:cs="Arial" w:hAnsi="Arial"/>
      <w:b w:val="1"/>
      <w:bCs w:val="1"/>
      <w:iCs w:val="1"/>
      <w:sz w:val="28"/>
      <w:szCs w:val="28"/>
      <w:lang w:eastAsia="en-US"/>
    </w:rPr>
  </w:style>
  <w:style w:type="character" w:styleId="Heading4Char" w:customStyle="1">
    <w:name w:val="Heading 4 Char"/>
    <w:link w:val="Heading4"/>
    <w:uiPriority w:val="99"/>
    <w:semiHidden w:val="1"/>
    <w:rsid w:val="008E4A17"/>
    <w:rPr>
      <w:rFonts w:ascii="Calibri" w:cs="Times New Roman" w:eastAsia="Times New Roman" w:hAnsi="Calibri"/>
      <w:b w:val="1"/>
      <w:bCs w:val="1"/>
      <w:sz w:val="28"/>
      <w:szCs w:val="28"/>
      <w:lang w:eastAsia="en-US"/>
    </w:rPr>
  </w:style>
  <w:style w:type="character" w:styleId="Heading5Char" w:customStyle="1">
    <w:name w:val="Heading 5 Char"/>
    <w:link w:val="Heading5"/>
    <w:uiPriority w:val="9"/>
    <w:semiHidden w:val="1"/>
    <w:rsid w:val="008E4A17"/>
    <w:rPr>
      <w:rFonts w:ascii="Calibri" w:cs="Times New Roman" w:eastAsia="Times New Roman" w:hAnsi="Calibri"/>
      <w:b w:val="1"/>
      <w:bCs w:val="1"/>
      <w:i w:val="1"/>
      <w:iCs w:val="1"/>
      <w:sz w:val="26"/>
      <w:szCs w:val="26"/>
      <w:lang w:eastAsia="en-US"/>
    </w:rPr>
  </w:style>
  <w:style w:type="character" w:styleId="Heading6Char" w:customStyle="1">
    <w:name w:val="Heading 6 Char"/>
    <w:link w:val="Heading6"/>
    <w:uiPriority w:val="9"/>
    <w:semiHidden w:val="1"/>
    <w:rsid w:val="008E4A17"/>
    <w:rPr>
      <w:rFonts w:ascii="Calibri" w:cs="Times New Roman" w:eastAsia="Times New Roman" w:hAnsi="Calibri"/>
      <w:b w:val="1"/>
      <w:bCs w:val="1"/>
      <w:sz w:val="22"/>
      <w:szCs w:val="22"/>
      <w:lang w:eastAsia="en-US"/>
    </w:rPr>
  </w:style>
  <w:style w:type="character" w:styleId="Heading8Char" w:customStyle="1">
    <w:name w:val="Heading 8 Char"/>
    <w:link w:val="Heading8"/>
    <w:uiPriority w:val="9"/>
    <w:semiHidden w:val="1"/>
    <w:rsid w:val="008E4A17"/>
    <w:rPr>
      <w:rFonts w:ascii="Calibri" w:cs="Times New Roman" w:eastAsia="Times New Roman" w:hAnsi="Calibri"/>
      <w:i w:val="1"/>
      <w:iCs w:val="1"/>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styleId="FooterChar" w:customStyle="1">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styleId="HeaderChar" w:customStyle="1">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styleId="BodyTextChar" w:customStyle="1">
    <w:name w:val="Body Text Char"/>
    <w:link w:val="BodyText"/>
    <w:uiPriority w:val="99"/>
    <w:rsid w:val="008E4A17"/>
    <w:rPr>
      <w:sz w:val="24"/>
      <w:lang w:eastAsia="en-US"/>
    </w:rPr>
  </w:style>
  <w:style w:type="paragraph" w:styleId="t3" w:customStyle="1">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styleId="BodyText2Char" w:customStyle="1">
    <w:name w:val="Body Text 2 Char"/>
    <w:link w:val="BodyText2"/>
    <w:uiPriority w:val="99"/>
    <w:semiHidden w:val="1"/>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BodyText3">
    <w:name w:val="Body Text 3"/>
    <w:basedOn w:val="Normal"/>
    <w:link w:val="BodyText3Char"/>
    <w:uiPriority w:val="99"/>
    <w:rsid w:val="00E939AC"/>
    <w:pPr>
      <w:spacing w:after="120"/>
    </w:pPr>
    <w:rPr>
      <w:sz w:val="16"/>
      <w:szCs w:val="16"/>
    </w:rPr>
  </w:style>
  <w:style w:type="character" w:styleId="BodyText3Char" w:customStyle="1">
    <w:name w:val="Body Text 3 Char"/>
    <w:link w:val="BodyText3"/>
    <w:uiPriority w:val="99"/>
    <w:semiHidden w:val="1"/>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styleId="BodyTextIndent2Char" w:customStyle="1">
    <w:name w:val="Body Text Indent 2 Char"/>
    <w:link w:val="BodyTextIndent2"/>
    <w:uiPriority w:val="99"/>
    <w:semiHidden w:val="1"/>
    <w:rsid w:val="008E4A17"/>
    <w:rPr>
      <w:sz w:val="24"/>
      <w:lang w:eastAsia="en-US"/>
    </w:rPr>
  </w:style>
  <w:style w:type="paragraph" w:styleId="Default" w:customStyle="1">
    <w:name w:val="Default"/>
    <w:rsid w:val="00EE32BC"/>
    <w:pPr>
      <w:widowControl w:val="0"/>
      <w:autoSpaceDE w:val="0"/>
      <w:autoSpaceDN w:val="0"/>
      <w:adjustRightInd w:val="0"/>
    </w:pPr>
    <w:rPr>
      <w:color w:val="000000"/>
      <w:sz w:val="24"/>
      <w:szCs w:val="24"/>
      <w:lang w:eastAsia="en-US" w:val="en-US"/>
    </w:rPr>
  </w:style>
  <w:style w:type="paragraph" w:styleId="NormalWeb">
    <w:name w:val="Normal (Web)"/>
    <w:basedOn w:val="Default"/>
    <w:next w:val="Default"/>
    <w:uiPriority w:val="99"/>
    <w:rsid w:val="00AF05ED"/>
    <w:pPr>
      <w:spacing w:after="100" w:before="100"/>
    </w:pPr>
    <w:rPr>
      <w:color w:val="auto"/>
    </w:rPr>
  </w:style>
  <w:style w:type="paragraph" w:styleId="BodyTextIndent">
    <w:name w:val="Body Text Indent"/>
    <w:basedOn w:val="Normal"/>
    <w:link w:val="BodyTextIndentChar"/>
    <w:uiPriority w:val="99"/>
    <w:unhideWhenUsed w:val="1"/>
    <w:rsid w:val="006F69A1"/>
    <w:pPr>
      <w:widowControl w:val="0"/>
      <w:autoSpaceDE w:val="0"/>
      <w:autoSpaceDN w:val="0"/>
      <w:adjustRightInd w:val="0"/>
      <w:spacing w:after="120"/>
      <w:ind w:left="283"/>
    </w:pPr>
    <w:rPr>
      <w:szCs w:val="24"/>
    </w:rPr>
  </w:style>
  <w:style w:type="character" w:styleId="BodyTextIndentChar" w:customStyle="1">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cs="Tahoma" w:hAnsi="Tahoma"/>
      <w:sz w:val="16"/>
      <w:szCs w:val="16"/>
    </w:rPr>
  </w:style>
  <w:style w:type="character" w:styleId="BalloonTextChar" w:customStyle="1">
    <w:name w:val="Balloon Text Char"/>
    <w:link w:val="BalloonText"/>
    <w:uiPriority w:val="99"/>
    <w:rsid w:val="006221DF"/>
    <w:rPr>
      <w:rFonts w:ascii="Tahoma" w:cs="Tahoma" w:hAnsi="Tahoma"/>
      <w:sz w:val="16"/>
      <w:szCs w:val="16"/>
      <w:lang w:eastAsia="en-US"/>
    </w:rPr>
  </w:style>
  <w:style w:type="paragraph" w:styleId="ListParagraph">
    <w:name w:val="List Paragraph"/>
    <w:basedOn w:val="Normal"/>
    <w:link w:val="ListParagraphChar"/>
    <w:uiPriority w:val="34"/>
    <w:qFormat w:val="1"/>
    <w:rsid w:val="00680B0E"/>
    <w:pPr>
      <w:ind w:left="720"/>
      <w:contextualSpacing w:val="1"/>
    </w:pPr>
  </w:style>
  <w:style w:type="paragraph" w:styleId="TOC1">
    <w:name w:val="toc 1"/>
    <w:basedOn w:val="Normal"/>
    <w:next w:val="Normal"/>
    <w:autoRedefine w:val="1"/>
    <w:uiPriority w:val="39"/>
    <w:rsid w:val="003B45E8"/>
    <w:pPr>
      <w:spacing w:after="120" w:before="120"/>
    </w:pPr>
    <w:rPr>
      <w:rFonts w:ascii="Calibri" w:hAnsi="Calibri"/>
      <w:b w:val="1"/>
      <w:bCs w:val="1"/>
      <w:caps w:val="1"/>
      <w:sz w:val="20"/>
    </w:rPr>
  </w:style>
  <w:style w:type="paragraph" w:styleId="TOC2">
    <w:name w:val="toc 2"/>
    <w:basedOn w:val="Normal"/>
    <w:next w:val="Normal"/>
    <w:autoRedefine w:val="1"/>
    <w:uiPriority w:val="39"/>
    <w:rsid w:val="003B45E8"/>
    <w:pPr>
      <w:ind w:left="240"/>
    </w:pPr>
    <w:rPr>
      <w:rFonts w:ascii="Calibri" w:hAnsi="Calibri"/>
      <w:smallCaps w:val="1"/>
      <w:sz w:val="20"/>
    </w:rPr>
  </w:style>
  <w:style w:type="paragraph" w:styleId="TOC3">
    <w:name w:val="toc 3"/>
    <w:basedOn w:val="Normal"/>
    <w:next w:val="Normal"/>
    <w:autoRedefine w:val="1"/>
    <w:uiPriority w:val="39"/>
    <w:rsid w:val="003B45E8"/>
    <w:pPr>
      <w:ind w:left="480"/>
    </w:pPr>
    <w:rPr>
      <w:rFonts w:ascii="Calibri" w:hAnsi="Calibri"/>
      <w:i w:val="1"/>
      <w:iCs w:val="1"/>
      <w:sz w:val="20"/>
    </w:rPr>
  </w:style>
  <w:style w:type="paragraph" w:styleId="TOC4">
    <w:name w:val="toc 4"/>
    <w:basedOn w:val="Normal"/>
    <w:next w:val="Normal"/>
    <w:autoRedefine w:val="1"/>
    <w:uiPriority w:val="39"/>
    <w:rsid w:val="003B45E8"/>
    <w:pPr>
      <w:ind w:left="720"/>
    </w:pPr>
    <w:rPr>
      <w:rFonts w:ascii="Calibri" w:hAnsi="Calibri"/>
      <w:sz w:val="18"/>
      <w:szCs w:val="18"/>
    </w:rPr>
  </w:style>
  <w:style w:type="paragraph" w:styleId="TOC5">
    <w:name w:val="toc 5"/>
    <w:basedOn w:val="Normal"/>
    <w:next w:val="Normal"/>
    <w:autoRedefine w:val="1"/>
    <w:uiPriority w:val="39"/>
    <w:rsid w:val="003B45E8"/>
    <w:pPr>
      <w:ind w:left="960"/>
    </w:pPr>
    <w:rPr>
      <w:rFonts w:ascii="Calibri" w:hAnsi="Calibri"/>
      <w:sz w:val="18"/>
      <w:szCs w:val="18"/>
    </w:rPr>
  </w:style>
  <w:style w:type="paragraph" w:styleId="TOC6">
    <w:name w:val="toc 6"/>
    <w:basedOn w:val="Normal"/>
    <w:next w:val="Normal"/>
    <w:autoRedefine w:val="1"/>
    <w:uiPriority w:val="39"/>
    <w:rsid w:val="003B45E8"/>
    <w:pPr>
      <w:ind w:left="1200"/>
    </w:pPr>
    <w:rPr>
      <w:rFonts w:ascii="Calibri" w:hAnsi="Calibri"/>
      <w:sz w:val="18"/>
      <w:szCs w:val="18"/>
    </w:rPr>
  </w:style>
  <w:style w:type="paragraph" w:styleId="TOC7">
    <w:name w:val="toc 7"/>
    <w:basedOn w:val="Normal"/>
    <w:next w:val="Normal"/>
    <w:autoRedefine w:val="1"/>
    <w:uiPriority w:val="39"/>
    <w:rsid w:val="003B45E8"/>
    <w:pPr>
      <w:ind w:left="1440"/>
    </w:pPr>
    <w:rPr>
      <w:rFonts w:ascii="Calibri" w:hAnsi="Calibri"/>
      <w:sz w:val="18"/>
      <w:szCs w:val="18"/>
    </w:rPr>
  </w:style>
  <w:style w:type="paragraph" w:styleId="TOC8">
    <w:name w:val="toc 8"/>
    <w:basedOn w:val="Normal"/>
    <w:next w:val="Normal"/>
    <w:autoRedefine w:val="1"/>
    <w:uiPriority w:val="39"/>
    <w:rsid w:val="003B45E8"/>
    <w:pPr>
      <w:ind w:left="1680"/>
    </w:pPr>
    <w:rPr>
      <w:rFonts w:ascii="Calibri" w:hAnsi="Calibri"/>
      <w:sz w:val="18"/>
      <w:szCs w:val="18"/>
    </w:rPr>
  </w:style>
  <w:style w:type="paragraph" w:styleId="TOC9">
    <w:name w:val="toc 9"/>
    <w:basedOn w:val="Normal"/>
    <w:next w:val="Normal"/>
    <w:autoRedefine w:val="1"/>
    <w:uiPriority w:val="39"/>
    <w:rsid w:val="003B45E8"/>
    <w:pPr>
      <w:ind w:left="1920"/>
    </w:pPr>
    <w:rPr>
      <w:rFonts w:ascii="Calibri" w:hAnsi="Calibri"/>
      <w:sz w:val="18"/>
      <w:szCs w:val="18"/>
    </w:rPr>
  </w:style>
  <w:style w:type="paragraph" w:styleId="SMUNORMALARIAL" w:customStyle="1">
    <w:name w:val="SMU NORMAL ARIAL"/>
    <w:basedOn w:val="Normal"/>
    <w:rsid w:val="00BF2A01"/>
    <w:rPr>
      <w:sz w:val="22"/>
      <w:szCs w:val="24"/>
      <w:lang w:eastAsia="en-GB"/>
    </w:rPr>
  </w:style>
  <w:style w:type="paragraph" w:styleId="SMUARIAL14BOLD" w:customStyle="1">
    <w:name w:val="SMU ARIAL 14 BOLD"/>
    <w:rsid w:val="00BF2A01"/>
    <w:pPr>
      <w:spacing w:before="240"/>
    </w:pPr>
    <w:rPr>
      <w:rFonts w:ascii="Arial" w:cs="Arial" w:hAnsi="Arial"/>
      <w:b w:val="1"/>
      <w:bCs w:val="1"/>
      <w:caps w:val="1"/>
      <w:kern w:val="32"/>
      <w:sz w:val="28"/>
      <w:szCs w:val="32"/>
    </w:rPr>
  </w:style>
  <w:style w:type="character" w:styleId="Heading3Char" w:customStyle="1">
    <w:name w:val="Heading 3 Char"/>
    <w:link w:val="Heading3"/>
    <w:semiHidden w:val="1"/>
    <w:rsid w:val="008B2529"/>
    <w:rPr>
      <w:rFonts w:ascii="Cambria" w:cs="Times New Roman" w:eastAsia="Times New Roman" w:hAnsi="Cambria"/>
      <w:b w:val="1"/>
      <w:bCs w:val="1"/>
      <w:color w:val="4f81bd"/>
      <w:sz w:val="24"/>
      <w:lang w:eastAsia="en-US"/>
    </w:rPr>
  </w:style>
  <w:style w:type="character" w:styleId="Strong">
    <w:name w:val="Strong"/>
    <w:uiPriority w:val="22"/>
    <w:qFormat w:val="1"/>
    <w:rsid w:val="008B2529"/>
    <w:rPr>
      <w:b w:val="1"/>
      <w:bCs w:val="1"/>
    </w:rPr>
  </w:style>
  <w:style w:type="paragraph" w:styleId="Title">
    <w:name w:val="Title"/>
    <w:basedOn w:val="Normal"/>
    <w:link w:val="TitleChar"/>
    <w:qFormat w:val="1"/>
    <w:rsid w:val="008B2529"/>
    <w:pPr>
      <w:jc w:val="center"/>
    </w:pPr>
    <w:rPr>
      <w:b w:val="1"/>
      <w:bCs w:val="1"/>
      <w:lang w:val="en-US"/>
    </w:rPr>
  </w:style>
  <w:style w:type="character" w:styleId="TitleChar" w:customStyle="1">
    <w:name w:val="Title Char"/>
    <w:link w:val="Title"/>
    <w:uiPriority w:val="99"/>
    <w:rsid w:val="008B2529"/>
    <w:rPr>
      <w:b w:val="1"/>
      <w:bCs w:val="1"/>
      <w:sz w:val="24"/>
      <w:lang w:eastAsia="en-US" w:val="en-US"/>
    </w:rPr>
  </w:style>
  <w:style w:type="paragraph" w:styleId="BodyText1" w:customStyle="1">
    <w:name w:val="Body Text1"/>
    <w:basedOn w:val="Normal"/>
    <w:rsid w:val="000971B7"/>
    <w:pPr>
      <w:tabs>
        <w:tab w:val="left" w:pos="720"/>
        <w:tab w:val="left" w:pos="1440"/>
      </w:tabs>
    </w:pPr>
    <w:rPr>
      <w:rFonts w:ascii="CG Times (WN)" w:hAnsi="CG Times (WN)"/>
    </w:rPr>
  </w:style>
  <w:style w:type="character" w:styleId="Emphasis">
    <w:name w:val="Emphasis"/>
    <w:qFormat w:val="1"/>
    <w:rsid w:val="00212E76"/>
    <w:rPr>
      <w:i w:val="1"/>
      <w:iCs w:val="1"/>
    </w:rPr>
  </w:style>
  <w:style w:type="character" w:styleId="apple-style-span" w:customStyle="1">
    <w:name w:val="apple-style-span"/>
    <w:rsid w:val="00557E08"/>
  </w:style>
  <w:style w:type="paragraph" w:styleId="NormalWeb1" w:customStyle="1">
    <w:name w:val="Normal (Web)1"/>
    <w:basedOn w:val="Normal"/>
    <w:uiPriority w:val="99"/>
    <w:rsid w:val="00557E08"/>
    <w:rPr>
      <w:rFonts w:eastAsia="Calibri"/>
      <w:szCs w:val="24"/>
      <w:lang w:eastAsia="en-GB"/>
    </w:rPr>
  </w:style>
  <w:style w:type="character" w:styleId="nw1" w:customStyle="1">
    <w:name w:val="nw1"/>
    <w:uiPriority w:val="99"/>
    <w:rsid w:val="00557E08"/>
  </w:style>
  <w:style w:type="character" w:styleId="hps" w:customStyle="1">
    <w:name w:val="hps"/>
    <w:rsid w:val="00557E08"/>
  </w:style>
  <w:style w:type="character" w:styleId="FollowedHyperlink">
    <w:name w:val="FollowedHyperlink"/>
    <w:uiPriority w:val="99"/>
    <w:rsid w:val="00037D7A"/>
    <w:rPr>
      <w:color w:val="800080"/>
      <w:u w:val="single"/>
    </w:rPr>
  </w:style>
  <w:style w:type="paragraph" w:styleId="heading" w:customStyle="1">
    <w:name w:val="heading"/>
    <w:basedOn w:val="Normal"/>
    <w:link w:val="headingChar"/>
    <w:rsid w:val="006C5084"/>
    <w:pPr>
      <w:tabs>
        <w:tab w:val="left" w:pos="720"/>
        <w:tab w:val="left" w:pos="1440"/>
        <w:tab w:val="left" w:pos="2160"/>
        <w:tab w:val="left" w:pos="2880"/>
      </w:tabs>
      <w:overflowPunct w:val="0"/>
      <w:autoSpaceDE w:val="0"/>
      <w:autoSpaceDN w:val="0"/>
      <w:adjustRightInd w:val="0"/>
      <w:spacing w:after="120" w:before="240"/>
      <w:ind w:left="3600" w:hanging="3600"/>
      <w:textAlignment w:val="baseline"/>
    </w:pPr>
    <w:rPr>
      <w:b w:val="1"/>
      <w:lang w:eastAsia="en-GB"/>
    </w:rPr>
  </w:style>
  <w:style w:type="character" w:styleId="headingChar" w:customStyle="1">
    <w:name w:val="heading Char"/>
    <w:link w:val="heading"/>
    <w:rsid w:val="006C5084"/>
    <w:rPr>
      <w:b w:val="1"/>
      <w:sz w:val="24"/>
    </w:rPr>
  </w:style>
  <w:style w:type="character" w:styleId="Heading7Char" w:customStyle="1">
    <w:name w:val="Heading 7 Char"/>
    <w:aliases w:val="Sub heading Char"/>
    <w:link w:val="Heading7"/>
    <w:uiPriority w:val="99"/>
    <w:rsid w:val="00940A08"/>
    <w:rPr>
      <w:rFonts w:ascii="Arial" w:cs="Arial" w:hAnsi="Arial"/>
      <w:b w:val="1"/>
      <w:bCs w:val="1"/>
      <w:sz w:val="22"/>
      <w:szCs w:val="22"/>
    </w:rPr>
  </w:style>
  <w:style w:type="character" w:styleId="lookup-resultcontent" w:customStyle="1">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color="7ba0cd" w:space="0" w:sz="8" w:val="single"/>
        <w:left w:color="7ba0cd" w:space="0" w:sz="8" w:val="single"/>
        <w:bottom w:color="7ba0cd" w:space="0" w:sz="8" w:val="single"/>
        <w:right w:color="7ba0cd" w:space="0" w:sz="8" w:val="single"/>
        <w:insideH w:color="7ba0cd" w:space="0" w:sz="8" w:val="single"/>
        <w:insideV w:color="7ba0cd" w:space="0" w:sz="8" w:val="single"/>
      </w:tblBorders>
    </w:tblPr>
    <w:tcPr>
      <w:shd w:color="auto" w:fill="d3dfee" w:val="clear"/>
    </w:tcPr>
    <w:tblStylePr w:type="firstRow">
      <w:rPr>
        <w:b w:val="1"/>
        <w:bCs w:val="1"/>
      </w:rPr>
    </w:tblStylePr>
    <w:tblStylePr w:type="lastRow">
      <w:rPr>
        <w:b w:val="1"/>
        <w:bCs w:val="1"/>
      </w:rPr>
      <w:tblPr/>
      <w:tcPr>
        <w:tcBorders>
          <w:top w:color="7ba0cd" w:space="0" w:sz="18" w:val="single"/>
        </w:tcBorders>
      </w:tcPr>
    </w:tblStylePr>
    <w:tblStylePr w:type="firstCol">
      <w:rPr>
        <w:b w:val="1"/>
        <w:bCs w:val="1"/>
      </w:rPr>
    </w:tblStylePr>
    <w:tblStylePr w:type="lastCol">
      <w:rPr>
        <w:b w:val="1"/>
        <w:bCs w:val="1"/>
      </w:rPr>
    </w:tblStylePr>
    <w:tblStylePr w:type="band1Vert">
      <w:tblPr/>
      <w:tcPr>
        <w:shd w:color="auto" w:fill="a7bfde" w:val="clear"/>
      </w:tcPr>
    </w:tblStylePr>
    <w:tblStylePr w:type="band1Horz">
      <w:tblPr/>
      <w:tcPr>
        <w:shd w:color="auto" w:fill="a7bfde" w:val="clear"/>
      </w:tcPr>
    </w:tblStylePr>
  </w:style>
  <w:style w:type="paragraph" w:styleId="deannah1" w:customStyle="1">
    <w:name w:val="deannah1"/>
    <w:basedOn w:val="Normal"/>
    <w:uiPriority w:val="99"/>
    <w:rsid w:val="00336342"/>
    <w:pPr>
      <w:keepNext w:val="1"/>
      <w:spacing w:after="240"/>
    </w:pPr>
    <w:rPr>
      <w:b w:val="1"/>
      <w:bCs w:val="1"/>
      <w:szCs w:val="24"/>
    </w:rPr>
  </w:style>
  <w:style w:type="character" w:styleId="Hyperlink1" w:customStyle="1">
    <w:name w:val="Hyperlink1"/>
    <w:uiPriority w:val="99"/>
    <w:rsid w:val="00336342"/>
    <w:rPr>
      <w:color w:val="535353"/>
      <w:u w:val="single"/>
      <w:effect w:val="none"/>
    </w:rPr>
  </w:style>
  <w:style w:type="character" w:styleId="CommentReference">
    <w:name w:val="annotation reference"/>
    <w:uiPriority w:val="99"/>
    <w:unhideWhenUsed w:val="1"/>
    <w:rsid w:val="00336342"/>
    <w:rPr>
      <w:sz w:val="16"/>
      <w:szCs w:val="16"/>
    </w:rPr>
  </w:style>
  <w:style w:type="paragraph" w:styleId="CommentText">
    <w:name w:val="annotation text"/>
    <w:basedOn w:val="Normal"/>
    <w:link w:val="CommentTextChar"/>
    <w:uiPriority w:val="99"/>
    <w:unhideWhenUsed w:val="1"/>
    <w:rsid w:val="00336342"/>
    <w:rPr>
      <w:sz w:val="20"/>
    </w:rPr>
  </w:style>
  <w:style w:type="character" w:styleId="CommentTextChar" w:customStyle="1">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val="1"/>
    <w:rsid w:val="00336342"/>
    <w:rPr>
      <w:b w:val="1"/>
      <w:bCs w:val="1"/>
    </w:rPr>
  </w:style>
  <w:style w:type="character" w:styleId="CommentSubjectChar" w:customStyle="1">
    <w:name w:val="Comment Subject Char"/>
    <w:link w:val="CommentSubject"/>
    <w:uiPriority w:val="99"/>
    <w:rsid w:val="00336342"/>
    <w:rPr>
      <w:b w:val="1"/>
      <w:bCs w:val="1"/>
      <w:lang w:eastAsia="en-US"/>
    </w:rPr>
  </w:style>
  <w:style w:type="table" w:styleId="GridTable1Light-Accent21" w:customStyle="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0" w:type="nil"/>
      <w:tblBorders>
        <w:top w:color="f7caac" w:space="0" w:sz="4" w:val="single"/>
        <w:left w:color="f7caac" w:space="0" w:sz="4" w:val="single"/>
        <w:bottom w:color="f7caac" w:space="0" w:sz="4" w:val="single"/>
        <w:right w:color="f7caac" w:space="0" w:sz="4" w:val="single"/>
        <w:insideH w:color="f7caac" w:space="0" w:sz="4" w:val="single"/>
        <w:insideV w:color="f7caac" w:space="0" w:sz="4" w:val="single"/>
      </w:tblBorders>
    </w:tblPr>
    <w:tblStylePr w:type="firstRow">
      <w:rPr>
        <w:b w:val="1"/>
        <w:bCs w:val="1"/>
      </w:rPr>
      <w:tblPr/>
      <w:tcPr>
        <w:tcBorders>
          <w:bottom w:color="f4b083" w:space="0" w:sz="12" w:val="single"/>
        </w:tcBorders>
      </w:tcPr>
    </w:tblStylePr>
    <w:tblStylePr w:type="lastRow">
      <w:rPr>
        <w:b w:val="1"/>
        <w:bCs w:val="1"/>
      </w:rPr>
      <w:tblPr/>
      <w:tcPr>
        <w:tcBorders>
          <w:top w:color="f4b083" w:space="0" w:sz="2" w:val="double"/>
        </w:tcBorders>
      </w:tcPr>
    </w:tblStylePr>
    <w:tblStylePr w:type="firstCol">
      <w:rPr>
        <w:b w:val="1"/>
        <w:bCs w:val="1"/>
      </w:rPr>
    </w:tblStylePr>
    <w:tblStylePr w:type="lastCol">
      <w:rPr>
        <w:b w:val="1"/>
        <w:bCs w:val="1"/>
      </w:rPr>
    </w:tblStylePr>
  </w:style>
  <w:style w:type="table" w:styleId="GridTable1Light-Accent2">
    <w:name w:val="Grid Table 1 Light Accent 2"/>
    <w:basedOn w:val="TableNormal"/>
    <w:uiPriority w:val="46"/>
    <w:rsid w:val="00C5678B"/>
    <w:tblPr>
      <w:tblStyleRowBandSize w:val="1"/>
      <w:tblStyleColBandSize w:val="1"/>
      <w:tblBorders>
        <w:top w:color="f7caac" w:space="0" w:sz="4" w:val="single"/>
        <w:left w:color="f7caac" w:space="0" w:sz="4" w:val="single"/>
        <w:bottom w:color="f7caac" w:space="0" w:sz="4" w:val="single"/>
        <w:right w:color="f7caac" w:space="0" w:sz="4" w:val="single"/>
        <w:insideH w:color="f7caac" w:space="0" w:sz="4" w:val="single"/>
        <w:insideV w:color="f7caac" w:space="0" w:sz="4" w:val="single"/>
      </w:tblBorders>
    </w:tblPr>
    <w:tblStylePr w:type="firstRow">
      <w:rPr>
        <w:b w:val="1"/>
        <w:bCs w:val="1"/>
      </w:rPr>
      <w:tblPr/>
      <w:tcPr>
        <w:tcBorders>
          <w:bottom w:color="f4b083" w:space="0" w:sz="12" w:val="single"/>
        </w:tcBorders>
      </w:tcPr>
    </w:tblStylePr>
    <w:tblStylePr w:type="lastRow">
      <w:rPr>
        <w:b w:val="1"/>
        <w:bCs w:val="1"/>
      </w:rPr>
      <w:tblPr/>
      <w:tcPr>
        <w:tcBorders>
          <w:top w:color="f4b083" w:space="0" w:sz="2" w:val="double"/>
        </w:tcBorders>
      </w:tcPr>
    </w:tblStylePr>
    <w:tblStylePr w:type="firstCol">
      <w:rPr>
        <w:b w:val="1"/>
        <w:bCs w:val="1"/>
      </w:rPr>
    </w:tblStylePr>
    <w:tblStylePr w:type="lastCol">
      <w:rPr>
        <w:b w:val="1"/>
        <w:bCs w:val="1"/>
      </w:rPr>
    </w:tblStylePr>
  </w:style>
  <w:style w:type="table" w:styleId="TableGrid2">
    <w:name w:val="Table Grid 2"/>
    <w:basedOn w:val="TableNormal"/>
    <w:rsid w:val="00180E5F"/>
    <w:tblPr>
      <w:tblBorders>
        <w:insideH w:color="000000" w:space="0" w:sz="6" w:val="single"/>
        <w:insideV w:color="000000" w:space="0" w:sz="6" w:val="single"/>
      </w:tblBorders>
    </w:tblPr>
    <w:tcPr>
      <w:shd w:color="auto" w:fill="auto" w:val="clear"/>
    </w:tcPr>
    <w:tblStylePr w:type="firstRow">
      <w:rPr>
        <w:b w:val="1"/>
        <w:bCs w:val="1"/>
      </w:rPr>
      <w:tblPr/>
      <w:tcPr>
        <w:tcBorders>
          <w:tl2br w:color="auto" w:space="0" w:sz="0" w:val="none"/>
          <w:tr2bl w:color="auto" w:space="0" w:sz="0" w:val="none"/>
        </w:tcBorders>
      </w:tcPr>
    </w:tblStylePr>
    <w:tblStylePr w:type="lastRow">
      <w:rPr>
        <w:b w:val="1"/>
        <w:bCs w:val="1"/>
      </w:rPr>
      <w:tblPr/>
      <w:tcPr>
        <w:tcBorders>
          <w:top w:color="000000" w:space="0" w:sz="6" w:val="single"/>
          <w:tl2br w:color="auto" w:space="0" w:sz="0" w:val="none"/>
          <w:tr2bl w:color="auto" w:space="0" w:sz="0" w:val="none"/>
        </w:tcBorders>
      </w:tcPr>
    </w:tblStylePr>
    <w:tblStylePr w:type="firstCol">
      <w:rPr>
        <w:b w:val="1"/>
        <w:bCs w:val="1"/>
      </w:rPr>
      <w:tblPr/>
      <w:tcPr>
        <w:tcBorders>
          <w:tl2br w:color="auto" w:space="0" w:sz="0" w:val="none"/>
          <w:tr2bl w:color="auto" w:space="0" w:sz="0" w:val="none"/>
        </w:tcBorders>
      </w:tcPr>
    </w:tblStylePr>
    <w:tblStylePr w:type="lastCol">
      <w:rPr>
        <w:b w:val="1"/>
        <w:bCs w:val="1"/>
      </w:rPr>
      <w:tblPr/>
      <w:tcPr>
        <w:tcBorders>
          <w:tl2br w:color="auto" w:space="0" w:sz="0" w:val="none"/>
          <w:tr2bl w:color="auto" w:space="0" w:sz="0" w:val="none"/>
        </w:tcBorders>
      </w:tcPr>
    </w:tblStylePr>
  </w:style>
  <w:style w:type="table" w:styleId="GridTable5Dark-Accent4">
    <w:name w:val="Grid Table 5 Dark Accent 4"/>
    <w:basedOn w:val="TableNormal"/>
    <w:uiPriority w:val="50"/>
    <w:rsid w:val="00180E5F"/>
    <w:tblPr>
      <w:tblStyleRowBandSize w:val="1"/>
      <w:tblStyleColBandSize w:val="1"/>
      <w:tblBorders>
        <w:top w:color="ffffff" w:space="0" w:sz="4" w:val="single"/>
        <w:left w:color="ffffff" w:space="0" w:sz="4" w:val="single"/>
        <w:bottom w:color="ffffff" w:space="0" w:sz="4" w:val="single"/>
        <w:right w:color="ffffff" w:space="0" w:sz="4" w:val="single"/>
        <w:insideH w:color="ffffff" w:space="0" w:sz="4" w:val="single"/>
        <w:insideV w:color="ffffff" w:space="0" w:sz="4" w:val="single"/>
      </w:tblBorders>
    </w:tblPr>
    <w:tcPr>
      <w:shd w:color="auto" w:fill="fff2cc" w:val="clear"/>
    </w:tcPr>
    <w:tblStylePr w:type="firstRow">
      <w:rPr>
        <w:b w:val="1"/>
        <w:bCs w:val="1"/>
        <w:color w:val="ffffff"/>
      </w:rPr>
      <w:tblPr/>
      <w:tcPr>
        <w:tcBorders>
          <w:top w:color="ffffff" w:space="0" w:sz="4" w:val="single"/>
          <w:left w:color="ffffff" w:space="0" w:sz="4" w:val="single"/>
          <w:right w:color="ffffff" w:space="0" w:sz="4" w:val="single"/>
          <w:insideH w:space="0" w:sz="0" w:val="nil"/>
          <w:insideV w:space="0" w:sz="0" w:val="nil"/>
        </w:tcBorders>
        <w:shd w:color="auto" w:fill="ffc000" w:val="clear"/>
      </w:tcPr>
    </w:tblStylePr>
    <w:tblStylePr w:type="lastRow">
      <w:rPr>
        <w:b w:val="1"/>
        <w:bCs w:val="1"/>
        <w:color w:val="ffffff"/>
      </w:rPr>
      <w:tblPr/>
      <w:tcPr>
        <w:tcBorders>
          <w:left w:color="ffffff" w:space="0" w:sz="4" w:val="single"/>
          <w:bottom w:color="ffffff" w:space="0" w:sz="4" w:val="single"/>
          <w:right w:color="ffffff" w:space="0" w:sz="4" w:val="single"/>
          <w:insideH w:space="0" w:sz="0" w:val="nil"/>
          <w:insideV w:space="0" w:sz="0" w:val="nil"/>
        </w:tcBorders>
        <w:shd w:color="auto" w:fill="ffc000" w:val="clear"/>
      </w:tcPr>
    </w:tblStylePr>
    <w:tblStylePr w:type="firstCol">
      <w:rPr>
        <w:b w:val="1"/>
        <w:bCs w:val="1"/>
        <w:color w:val="ffffff"/>
      </w:rPr>
      <w:tblPr/>
      <w:tcPr>
        <w:tcBorders>
          <w:top w:color="ffffff" w:space="0" w:sz="4" w:val="single"/>
          <w:left w:color="ffffff" w:space="0" w:sz="4" w:val="single"/>
          <w:bottom w:color="ffffff" w:space="0" w:sz="4" w:val="single"/>
          <w:insideV w:space="0" w:sz="0" w:val="nil"/>
        </w:tcBorders>
        <w:shd w:color="auto" w:fill="ffc000" w:val="clear"/>
      </w:tcPr>
    </w:tblStylePr>
    <w:tblStylePr w:type="lastCol">
      <w:rPr>
        <w:b w:val="1"/>
        <w:bCs w:val="1"/>
        <w:color w:val="ffffff"/>
      </w:rPr>
      <w:tblPr/>
      <w:tcPr>
        <w:tcBorders>
          <w:top w:color="ffffff" w:space="0" w:sz="4" w:val="single"/>
          <w:bottom w:color="ffffff" w:space="0" w:sz="4" w:val="single"/>
          <w:right w:color="ffffff" w:space="0" w:sz="4" w:val="single"/>
          <w:insideV w:space="0" w:sz="0" w:val="nil"/>
        </w:tcBorders>
        <w:shd w:color="auto" w:fill="ffc000" w:val="clear"/>
      </w:tcPr>
    </w:tblStylePr>
    <w:tblStylePr w:type="band1Vert">
      <w:tblPr/>
      <w:tcPr>
        <w:shd w:color="auto" w:fill="ffe599" w:val="clear"/>
      </w:tcPr>
    </w:tblStylePr>
    <w:tblStylePr w:type="band1Horz">
      <w:tblPr/>
      <w:tcPr>
        <w:shd w:color="auto" w:fill="ffe599" w:val="clear"/>
      </w:tcPr>
    </w:tblStylePr>
  </w:style>
  <w:style w:type="table" w:styleId="MediumGrid3-Accent4">
    <w:name w:val="Medium Grid 3 Accent 4"/>
    <w:basedOn w:val="TableNormal"/>
    <w:uiPriority w:val="69"/>
    <w:rsid w:val="00180E5F"/>
    <w:tblPr>
      <w:tblStyleRowBandSize w:val="1"/>
      <w:tblStyleColBandSize w:val="1"/>
      <w:tblBorders>
        <w:top w:color="ffffff" w:space="0" w:sz="8" w:val="single"/>
        <w:left w:color="ffffff" w:space="0" w:sz="8" w:val="single"/>
        <w:bottom w:color="ffffff" w:space="0" w:sz="8" w:val="single"/>
        <w:right w:color="ffffff" w:space="0" w:sz="8" w:val="single"/>
        <w:insideH w:color="ffffff" w:space="0" w:sz="6" w:val="single"/>
        <w:insideV w:color="ffffff" w:space="0" w:sz="6" w:val="single"/>
      </w:tblBorders>
    </w:tblPr>
    <w:tcPr>
      <w:shd w:color="auto" w:fill="ffefc0" w:val="clear"/>
    </w:tcPr>
    <w:tblStylePr w:type="firstRow">
      <w:rPr>
        <w:b w:val="1"/>
        <w:bCs w:val="1"/>
        <w:i w:val="0"/>
        <w:iCs w:val="0"/>
        <w:color w:val="ffffff"/>
      </w:rPr>
      <w:tblPr/>
      <w:tcPr>
        <w:tcBorders>
          <w:top w:color="ffffff" w:space="0" w:sz="8" w:val="single"/>
          <w:left w:color="ffffff" w:space="0" w:sz="8" w:val="single"/>
          <w:bottom w:color="ffffff" w:space="0" w:sz="24" w:val="single"/>
          <w:right w:color="ffffff" w:space="0" w:sz="8" w:val="single"/>
          <w:insideH w:space="0" w:sz="0" w:val="nil"/>
          <w:insideV w:color="ffffff" w:space="0" w:sz="8" w:val="single"/>
        </w:tcBorders>
        <w:shd w:color="auto" w:fill="ffc000" w:val="clear"/>
      </w:tcPr>
    </w:tblStylePr>
    <w:tblStylePr w:type="lastRow">
      <w:rPr>
        <w:b w:val="1"/>
        <w:bCs w:val="1"/>
        <w:i w:val="0"/>
        <w:iCs w:val="0"/>
        <w:color w:val="ffffff"/>
      </w:rPr>
      <w:tblPr/>
      <w:tcPr>
        <w:tcBorders>
          <w:top w:color="ffffff" w:space="0" w:sz="24" w:val="single"/>
          <w:left w:color="ffffff" w:space="0" w:sz="8" w:val="single"/>
          <w:bottom w:color="ffffff" w:space="0" w:sz="8" w:val="single"/>
          <w:right w:color="ffffff" w:space="0" w:sz="8" w:val="single"/>
          <w:insideH w:space="0" w:sz="0" w:val="nil"/>
          <w:insideV w:color="ffffff" w:space="0" w:sz="8" w:val="single"/>
        </w:tcBorders>
        <w:shd w:color="auto" w:fill="ffc000" w:val="clear"/>
      </w:tcPr>
    </w:tblStylePr>
    <w:tblStylePr w:type="firstCol">
      <w:rPr>
        <w:b w:val="1"/>
        <w:bCs w:val="1"/>
        <w:i w:val="0"/>
        <w:iCs w:val="0"/>
        <w:color w:val="ffffff"/>
      </w:rPr>
      <w:tblPr/>
      <w:tcPr>
        <w:tcBorders>
          <w:left w:color="ffffff" w:space="0" w:sz="8" w:val="single"/>
          <w:right w:color="ffffff" w:space="0" w:sz="24" w:val="single"/>
          <w:insideH w:space="0" w:sz="0" w:val="nil"/>
          <w:insideV w:space="0" w:sz="0" w:val="nil"/>
        </w:tcBorders>
        <w:shd w:color="auto" w:fill="ffc000" w:val="clear"/>
      </w:tcPr>
    </w:tblStylePr>
    <w:tblStylePr w:type="lastCol">
      <w:rPr>
        <w:b w:val="1"/>
        <w:bCs w:val="1"/>
        <w:i w:val="0"/>
        <w:iCs w:val="0"/>
        <w:color w:val="ffffff"/>
      </w:rPr>
      <w:tblPr/>
      <w:tcPr>
        <w:tcBorders>
          <w:top w:space="0" w:sz="0" w:val="nil"/>
          <w:left w:color="ffffff" w:space="0" w:sz="24" w:val="single"/>
          <w:bottom w:space="0" w:sz="0" w:val="nil"/>
          <w:right w:space="0" w:sz="0" w:val="nil"/>
          <w:insideH w:space="0" w:sz="0" w:val="nil"/>
          <w:insideV w:space="0" w:sz="0" w:val="nil"/>
        </w:tcBorders>
        <w:shd w:color="auto" w:fill="ffc000" w:val="clear"/>
      </w:tcPr>
    </w:tblStylePr>
    <w:tblStylePr w:type="band1Vert">
      <w:tblPr/>
      <w:tcPr>
        <w:tcBorders>
          <w:top w:color="ffffff" w:space="0" w:sz="8" w:val="single"/>
          <w:left w:color="ffffff" w:space="0" w:sz="8" w:val="single"/>
          <w:bottom w:color="ffffff" w:space="0" w:sz="8" w:val="single"/>
          <w:right w:color="ffffff" w:space="0" w:sz="8" w:val="single"/>
          <w:insideH w:space="0" w:sz="0" w:val="nil"/>
          <w:insideV w:space="0" w:sz="0" w:val="nil"/>
        </w:tcBorders>
        <w:shd w:color="auto" w:fill="ffdf80" w:val="clear"/>
      </w:tcPr>
    </w:tblStylePr>
    <w:tblStylePr w:type="band1Horz">
      <w:tblPr/>
      <w:tcPr>
        <w:tcBorders>
          <w:top w:color="ffffff" w:space="0" w:sz="8" w:val="single"/>
          <w:left w:color="ffffff" w:space="0" w:sz="8" w:val="single"/>
          <w:bottom w:color="ffffff" w:space="0" w:sz="8" w:val="single"/>
          <w:right w:color="ffffff" w:space="0" w:sz="8" w:val="single"/>
          <w:insideH w:color="ffffff" w:space="0" w:sz="8" w:val="single"/>
          <w:insideV w:color="ffffff" w:space="0" w:sz="8" w:val="single"/>
        </w:tcBorders>
        <w:shd w:color="auto" w:fill="ffdf80" w:val="clear"/>
      </w:tcPr>
    </w:tblStylePr>
  </w:style>
  <w:style w:type="paragraph" w:styleId="fixed" w:customStyle="1">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val="1"/>
      <w:sz w:val="24"/>
    </w:rPr>
  </w:style>
  <w:style w:type="paragraph" w:styleId="bullet" w:customStyle="1">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styleId="fixedChar" w:customStyle="1">
    <w:name w:val="fixed Char"/>
    <w:link w:val="fixed"/>
    <w:rsid w:val="00180E5F"/>
    <w:rPr>
      <w:b w:val="1"/>
      <w:sz w:val="24"/>
    </w:rPr>
  </w:style>
  <w:style w:type="character" w:styleId="bulletChar" w:customStyle="1">
    <w:name w:val="bullet Char"/>
    <w:link w:val="bullet"/>
    <w:rsid w:val="00180E5F"/>
    <w:rPr>
      <w:sz w:val="24"/>
    </w:rPr>
  </w:style>
  <w:style w:type="character" w:styleId="ListParagraphChar" w:customStyle="1">
    <w:name w:val="List Paragraph Char"/>
    <w:link w:val="ListParagraph"/>
    <w:uiPriority w:val="34"/>
    <w:locked w:val="1"/>
    <w:rsid w:val="00180E5F"/>
    <w:rPr>
      <w:sz w:val="24"/>
      <w:lang w:eastAsia="en-US"/>
    </w:rPr>
  </w:style>
  <w:style w:type="paragraph" w:styleId="StyleCJ1" w:customStyle="1">
    <w:name w:val="StyleCJ1"/>
    <w:basedOn w:val="Heading1"/>
    <w:link w:val="StyleCJ1Char"/>
    <w:qFormat w:val="1"/>
    <w:rsid w:val="009903DA"/>
    <w:rPr>
      <w:rFonts w:ascii="Calibri" w:cs="Calibri" w:hAnsi="Calibri"/>
      <w:sz w:val="28"/>
      <w:szCs w:val="22"/>
    </w:rPr>
  </w:style>
  <w:style w:type="paragraph" w:styleId="Style1CJ2" w:customStyle="1">
    <w:name w:val="Style1CJ2"/>
    <w:basedOn w:val="Heading1"/>
    <w:link w:val="Style1CJ2Char"/>
    <w:qFormat w:val="1"/>
    <w:rsid w:val="009903DA"/>
    <w:rPr>
      <w:rFonts w:ascii="Calibri" w:cs="Calibri" w:hAnsi="Calibri"/>
      <w:sz w:val="22"/>
      <w:szCs w:val="22"/>
      <w:lang w:eastAsia="en-GB"/>
    </w:rPr>
  </w:style>
  <w:style w:type="character" w:styleId="StyleCJ1Char" w:customStyle="1">
    <w:name w:val="StyleCJ1 Char"/>
    <w:link w:val="StyleCJ1"/>
    <w:rsid w:val="009903DA"/>
    <w:rPr>
      <w:rFonts w:ascii="Calibri" w:cs="Calibri" w:eastAsia="Times New Roman" w:hAnsi="Calibri"/>
      <w:b w:val="1"/>
      <w:bCs w:val="1"/>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color="f4b083" w:space="0" w:sz="4" w:val="single"/>
        <w:left w:color="f4b083" w:space="0" w:sz="4" w:val="single"/>
        <w:bottom w:color="f4b083" w:space="0" w:sz="4" w:val="single"/>
        <w:right w:color="f4b083" w:space="0" w:sz="4" w:val="single"/>
        <w:insideH w:color="f4b083" w:space="0" w:sz="4" w:val="single"/>
        <w:insideV w:color="f4b083" w:space="0" w:sz="4" w:val="single"/>
      </w:tblBorders>
    </w:tblPr>
    <w:tblStylePr w:type="firstRow">
      <w:rPr>
        <w:b w:val="1"/>
        <w:bCs w:val="1"/>
        <w:color w:val="ffffff"/>
      </w:rPr>
      <w:tblPr/>
      <w:tcPr>
        <w:tcBorders>
          <w:top w:color="ed7d31" w:space="0" w:sz="4" w:val="single"/>
          <w:left w:color="ed7d31" w:space="0" w:sz="4" w:val="single"/>
          <w:bottom w:color="ed7d31" w:space="0" w:sz="4" w:val="single"/>
          <w:right w:color="ed7d31" w:space="0" w:sz="4" w:val="single"/>
          <w:insideH w:space="0" w:sz="0" w:val="nil"/>
          <w:insideV w:space="0" w:sz="0" w:val="nil"/>
        </w:tcBorders>
        <w:shd w:color="auto" w:fill="ed7d31" w:val="clear"/>
      </w:tcPr>
    </w:tblStylePr>
    <w:tblStylePr w:type="lastRow">
      <w:rPr>
        <w:b w:val="1"/>
        <w:bCs w:val="1"/>
      </w:rPr>
      <w:tblPr/>
      <w:tcPr>
        <w:tcBorders>
          <w:top w:color="ed7d31" w:space="0" w:sz="4" w:val="double"/>
        </w:tcBorders>
      </w:tcPr>
    </w:tblStylePr>
    <w:tblStylePr w:type="firstCol">
      <w:rPr>
        <w:b w:val="1"/>
        <w:bCs w:val="1"/>
      </w:rPr>
    </w:tblStylePr>
    <w:tblStylePr w:type="lastCol">
      <w:rPr>
        <w:b w:val="1"/>
        <w:bCs w:val="1"/>
      </w:rPr>
    </w:tblStylePr>
    <w:tblStylePr w:type="band1Vert">
      <w:tblPr/>
      <w:tcPr>
        <w:shd w:color="auto" w:fill="fbe4d5" w:val="clear"/>
      </w:tcPr>
    </w:tblStylePr>
    <w:tblStylePr w:type="band1Horz">
      <w:tblPr/>
      <w:tcPr>
        <w:shd w:color="auto" w:fill="fbe4d5" w:val="clear"/>
      </w:tcPr>
    </w:tblStylePr>
  </w:style>
  <w:style w:type="character" w:styleId="Style1CJ2Char" w:customStyle="1">
    <w:name w:val="Style1CJ2 Char"/>
    <w:link w:val="Style1CJ2"/>
    <w:rsid w:val="009903DA"/>
    <w:rPr>
      <w:rFonts w:ascii="Calibri" w:cs="Calibri" w:eastAsia="Times New Roman" w:hAnsi="Calibri"/>
      <w:b w:val="1"/>
      <w:bCs w:val="1"/>
      <w:kern w:val="32"/>
      <w:sz w:val="22"/>
      <w:szCs w:val="22"/>
      <w:lang w:eastAsia="en-US"/>
    </w:rPr>
  </w:style>
  <w:style w:type="character" w:styleId="UnresolvedMention">
    <w:name w:val="Unresolved Mention"/>
    <w:uiPriority w:val="99"/>
    <w:semiHidden w:val="1"/>
    <w:unhideWhenUsed w:val="1"/>
    <w:rsid w:val="0079068F"/>
    <w:rPr>
      <w:color w:val="605e5c"/>
      <w:shd w:color="auto" w:fill="e1dfdd" w:val="clear"/>
    </w:rPr>
  </w:style>
  <w:style w:type="paragraph" w:styleId="TOCHeading">
    <w:name w:val="TOC Heading"/>
    <w:basedOn w:val="Heading1"/>
    <w:next w:val="Normal"/>
    <w:uiPriority w:val="39"/>
    <w:unhideWhenUsed w:val="1"/>
    <w:qFormat w:val="1"/>
    <w:rsid w:val="00D977FF"/>
    <w:pPr>
      <w:keepLines w:val="1"/>
      <w:spacing w:after="0" w:line="259" w:lineRule="auto"/>
      <w:outlineLvl w:val="9"/>
    </w:pPr>
    <w:rPr>
      <w:rFonts w:ascii="Calibri Light" w:cs="Times New Roman" w:hAnsi="Calibri Light"/>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color="ffd966" w:space="0" w:sz="4" w:val="single"/>
        <w:left w:color="ffd966" w:space="0" w:sz="4" w:val="single"/>
        <w:bottom w:color="ffd966" w:space="0" w:sz="4" w:val="single"/>
        <w:right w:color="ffd966" w:space="0" w:sz="4" w:val="single"/>
        <w:insideH w:color="ffd966" w:space="0" w:sz="4" w:val="single"/>
        <w:insideV w:color="ffd966" w:space="0" w:sz="4" w:val="single"/>
      </w:tblBorders>
    </w:tblPr>
    <w:tblStylePr w:type="firstRow">
      <w:rPr>
        <w:b w:val="1"/>
        <w:bCs w:val="1"/>
      </w:rPr>
      <w:tblPr/>
      <w:tcPr>
        <w:tcBorders>
          <w:bottom w:color="ffd966" w:space="0" w:sz="12" w:val="single"/>
        </w:tcBorders>
      </w:tcPr>
    </w:tblStylePr>
    <w:tblStylePr w:type="lastRow">
      <w:rPr>
        <w:b w:val="1"/>
        <w:bCs w:val="1"/>
      </w:rPr>
      <w:tblPr/>
      <w:tcPr>
        <w:tcBorders>
          <w:top w:color="ffd966" w:space="0" w:sz="4" w:val="double"/>
        </w:tcBorders>
      </w:tcPr>
    </w:tblStylePr>
    <w:tblStylePr w:type="firstCol">
      <w:rPr>
        <w:b w:val="1"/>
        <w:bCs w:val="1"/>
      </w:rPr>
    </w:tblStylePr>
    <w:tblStylePr w:type="lastCol">
      <w:rPr>
        <w:b w:val="1"/>
        <w:bCs w:val="1"/>
      </w:rPr>
    </w:tblStylePr>
    <w:tblStylePr w:type="band1Vert">
      <w:tblPr/>
      <w:tcPr>
        <w:shd w:color="auto" w:fill="fff2cc" w:val="clear"/>
      </w:tcPr>
    </w:tblStylePr>
    <w:tblStylePr w:type="band1Horz">
      <w:tblPr/>
      <w:tcPr>
        <w:shd w:color="auto" w:fill="fff2cc" w:val="clear"/>
      </w:tcPr>
    </w:tblStylePr>
  </w:style>
  <w:style w:type="table" w:styleId="MediumGrid1-Accent4">
    <w:name w:val="Medium Grid 1 Accent 4"/>
    <w:basedOn w:val="TableNormal"/>
    <w:uiPriority w:val="67"/>
    <w:rsid w:val="00D977FF"/>
    <w:tblPr>
      <w:tblStyleRowBandSize w:val="1"/>
      <w:tblStyleColBandSize w:val="1"/>
      <w:tblBorders>
        <w:top w:color="ffcf40" w:space="0" w:sz="8" w:val="single"/>
        <w:left w:color="ffcf40" w:space="0" w:sz="8" w:val="single"/>
        <w:bottom w:color="ffcf40" w:space="0" w:sz="8" w:val="single"/>
        <w:right w:color="ffcf40" w:space="0" w:sz="8" w:val="single"/>
        <w:insideH w:color="ffcf40" w:space="0" w:sz="8" w:val="single"/>
        <w:insideV w:color="ffcf40" w:space="0" w:sz="8" w:val="single"/>
      </w:tblBorders>
    </w:tblPr>
    <w:tcPr>
      <w:shd w:color="auto" w:fill="ffefc0" w:val="clear"/>
    </w:tcPr>
    <w:tblStylePr w:type="firstRow">
      <w:rPr>
        <w:b w:val="1"/>
        <w:bCs w:val="1"/>
      </w:rPr>
    </w:tblStylePr>
    <w:tblStylePr w:type="lastRow">
      <w:rPr>
        <w:b w:val="1"/>
        <w:bCs w:val="1"/>
      </w:rPr>
      <w:tblPr/>
      <w:tcPr>
        <w:tcBorders>
          <w:top w:color="ffcf40" w:space="0" w:sz="18" w:val="single"/>
        </w:tcBorders>
      </w:tcPr>
    </w:tblStylePr>
    <w:tblStylePr w:type="firstCol">
      <w:rPr>
        <w:b w:val="1"/>
        <w:bCs w:val="1"/>
      </w:rPr>
    </w:tblStylePr>
    <w:tblStylePr w:type="lastCol">
      <w:rPr>
        <w:b w:val="1"/>
        <w:bCs w:val="1"/>
      </w:rPr>
    </w:tblStylePr>
    <w:tblStylePr w:type="band1Vert">
      <w:tblPr/>
      <w:tcPr>
        <w:shd w:color="auto" w:fill="ffdf80" w:val="clear"/>
      </w:tcPr>
    </w:tblStylePr>
    <w:tblStylePr w:type="band1Horz">
      <w:tblPr/>
      <w:tcPr>
        <w:shd w:color="auto" w:fill="ffdf80" w:val="clear"/>
      </w:tcPr>
    </w:tblStylePr>
  </w:style>
  <w:style w:type="table" w:styleId="GridTable5Dark-Accent5">
    <w:name w:val="Grid Table 5 Dark Accent 5"/>
    <w:basedOn w:val="TableNormal"/>
    <w:uiPriority w:val="50"/>
    <w:rsid w:val="00D82F4E"/>
    <w:tblPr>
      <w:tblStyleRowBandSize w:val="1"/>
      <w:tblStyleColBandSize w:val="1"/>
      <w:tblBorders>
        <w:top w:color="ffffff" w:space="0" w:sz="4" w:themeColor="background1" w:val="single"/>
        <w:left w:color="ffffff" w:space="0" w:sz="4" w:themeColor="background1" w:val="single"/>
        <w:bottom w:color="ffffff" w:space="0" w:sz="4" w:themeColor="background1" w:val="single"/>
        <w:right w:color="ffffff" w:space="0" w:sz="4" w:themeColor="background1" w:val="single"/>
        <w:insideH w:color="ffffff" w:space="0" w:sz="4" w:themeColor="background1" w:val="single"/>
        <w:insideV w:color="ffffff" w:space="0" w:sz="4" w:themeColor="background1" w:val="single"/>
      </w:tblBorders>
    </w:tblPr>
    <w:tcPr>
      <w:shd w:color="auto" w:fill="deeaf6" w:themeFill="accent5" w:themeFillTint="000033" w:val="clear"/>
    </w:tcPr>
    <w:tblStylePr w:type="firstRow">
      <w:rPr>
        <w:b w:val="1"/>
        <w:bCs w:val="1"/>
        <w:color w:val="ffffff" w:themeColor="background1"/>
      </w:rPr>
      <w:tblPr/>
      <w:tcPr>
        <w:tcBorders>
          <w:top w:color="ffffff" w:space="0" w:sz="4" w:themeColor="background1" w:val="single"/>
          <w:left w:color="ffffff" w:space="0" w:sz="4" w:themeColor="background1" w:val="single"/>
          <w:right w:color="ffffff" w:space="0" w:sz="4" w:themeColor="background1" w:val="single"/>
          <w:insideH w:space="0" w:sz="0" w:val="nil"/>
          <w:insideV w:space="0" w:sz="0" w:val="nil"/>
        </w:tcBorders>
        <w:shd w:color="auto" w:fill="5b9bd5" w:themeFill="accent5" w:val="clear"/>
      </w:tcPr>
    </w:tblStylePr>
    <w:tblStylePr w:type="lastRow">
      <w:rPr>
        <w:b w:val="1"/>
        <w:bCs w:val="1"/>
        <w:color w:val="ffffff" w:themeColor="background1"/>
      </w:rPr>
      <w:tblPr/>
      <w:tcPr>
        <w:tcBorders>
          <w:left w:color="ffffff" w:space="0" w:sz="4" w:themeColor="background1" w:val="single"/>
          <w:bottom w:color="ffffff" w:space="0" w:sz="4" w:themeColor="background1" w:val="single"/>
          <w:right w:color="ffffff" w:space="0" w:sz="4" w:themeColor="background1" w:val="single"/>
          <w:insideH w:space="0" w:sz="0" w:val="nil"/>
          <w:insideV w:space="0" w:sz="0" w:val="nil"/>
        </w:tcBorders>
        <w:shd w:color="auto" w:fill="5b9bd5" w:themeFill="accent5" w:val="clear"/>
      </w:tcPr>
    </w:tblStylePr>
    <w:tblStylePr w:type="firstCol">
      <w:rPr>
        <w:b w:val="1"/>
        <w:bCs w:val="1"/>
        <w:color w:val="ffffff" w:themeColor="background1"/>
      </w:rPr>
      <w:tblPr/>
      <w:tcPr>
        <w:tcBorders>
          <w:top w:color="ffffff" w:space="0" w:sz="4" w:themeColor="background1" w:val="single"/>
          <w:left w:color="ffffff" w:space="0" w:sz="4" w:themeColor="background1" w:val="single"/>
          <w:bottom w:color="ffffff" w:space="0" w:sz="4" w:themeColor="background1" w:val="single"/>
          <w:insideV w:space="0" w:sz="0" w:val="nil"/>
        </w:tcBorders>
        <w:shd w:color="auto" w:fill="5b9bd5" w:themeFill="accent5" w:val="clear"/>
      </w:tcPr>
    </w:tblStylePr>
    <w:tblStylePr w:type="lastCol">
      <w:rPr>
        <w:b w:val="1"/>
        <w:bCs w:val="1"/>
        <w:color w:val="ffffff" w:themeColor="background1"/>
      </w:rPr>
      <w:tblPr/>
      <w:tcPr>
        <w:tcBorders>
          <w:top w:color="ffffff" w:space="0" w:sz="4" w:themeColor="background1" w:val="single"/>
          <w:bottom w:color="ffffff" w:space="0" w:sz="4" w:themeColor="background1" w:val="single"/>
          <w:right w:color="ffffff" w:space="0" w:sz="4" w:themeColor="background1" w:val="single"/>
          <w:insideV w:space="0" w:sz="0" w:val="nil"/>
        </w:tcBorders>
        <w:shd w:color="auto" w:fill="5b9bd5" w:themeFill="accent5" w:val="clear"/>
      </w:tcPr>
    </w:tblStylePr>
    <w:tblStylePr w:type="band1Vert">
      <w:tblPr/>
      <w:tcPr>
        <w:shd w:color="auto" w:fill="bdd6ee" w:themeFill="accent5" w:themeFillTint="000066" w:val="clear"/>
      </w:tcPr>
    </w:tblStylePr>
    <w:tblStylePr w:type="band1Horz">
      <w:tblPr/>
      <w:tcPr>
        <w:shd w:color="auto" w:fill="bdd6ee" w:themeFill="accent5" w:themeFillTint="000066" w:val="clear"/>
      </w:tcPr>
    </w:tblStylePr>
  </w:style>
  <w:style w:type="paragraph" w:styleId="Subheadingcj" w:customStyle="1">
    <w:name w:val="Subheadingcj"/>
    <w:basedOn w:val="Normal"/>
    <w:link w:val="SubheadingcjChar"/>
    <w:qFormat w:val="1"/>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cstheme="minorHAnsi" w:hAnsiTheme="minorHAnsi"/>
    </w:rPr>
  </w:style>
  <w:style w:type="character" w:styleId="SubheadingcjChar" w:customStyle="1">
    <w:name w:val="Subheadingcj Char"/>
    <w:basedOn w:val="DefaultParagraphFont"/>
    <w:link w:val="Subheadingcj"/>
    <w:rsid w:val="00165440"/>
    <w:rPr>
      <w:rFonts w:asciiTheme="minorHAnsi" w:cstheme="minorHAnsi" w:hAnsiTheme="minorHAnsi"/>
      <w:sz w:val="24"/>
      <w:lang w:eastAsia="en-US"/>
    </w:rPr>
  </w:style>
  <w:style w:type="table" w:styleId="TableGrid39" w:customStyle="1">
    <w:name w:val="Table Grid39"/>
    <w:basedOn w:val="TableNormal"/>
    <w:next w:val="TableGrid"/>
    <w:uiPriority w:val="59"/>
    <w:rsid w:val="00F65000"/>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rPr>
      <w:rFonts w:ascii="Calibri" w:cs="Calibri" w:eastAsia="Calibri" w:hAnsi="Calibri"/>
      <w:color w:val="bf8f00"/>
      <w:sz w:val="22"/>
      <w:szCs w:val="22"/>
    </w:rPr>
    <w:tblPr>
      <w:tblStyleRowBandSize w:val="1"/>
      <w:tblStyleColBandSize w:val="1"/>
      <w:tblCellMar>
        <w:top w:w="0.0" w:type="dxa"/>
        <w:left w:w="115.0" w:type="dxa"/>
        <w:bottom w:w="0.0" w:type="dxa"/>
        <w:right w:w="115.0" w:type="dxa"/>
      </w:tblCellMar>
    </w:tblPr>
    <w:tcPr>
      <w:shd w:fill="deebf6" w:val="clear"/>
    </w:tcPr>
  </w:style>
  <w:style w:type="table" w:styleId="Table2">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governmentevents.co.uk/event/the-offender-management-conference/#overview" TargetMode="External"/><Relationship Id="rId10" Type="http://schemas.openxmlformats.org/officeDocument/2006/relationships/hyperlink" Target="https://www.gov.uk/government/news/mental-health-funding-to-tackle-reoffending-in-wales" TargetMode="External"/><Relationship Id="rId13" Type="http://schemas.openxmlformats.org/officeDocument/2006/relationships/hyperlink" Target="https://www.theguardian.com/society/article/2024/sep/10/police-left-to-deal-with-fallout-of-poorly-planned-early-release-of-1700-prisoners" TargetMode="External"/><Relationship Id="rId12" Type="http://schemas.openxmlformats.org/officeDocument/2006/relationships/hyperlink" Target="https://www.nao.org.uk/reports/improving-resettlement-support-for-prison-leavers-to-reduce-reoffending/"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revolving-doors.org.uk/majority-of-uk-public-believe-rising-poverty-will-lead-to-increase-in-crime-and-this-shouldnt-lead-to-prison/" TargetMode="External"/><Relationship Id="rId15" Type="http://schemas.openxmlformats.org/officeDocument/2006/relationships/hyperlink" Target="https://murrayhughman.co.uk/the-uk-prison-system-at-breaking-point-the-2024-capacity-crisis-and-its-ripple-effects/" TargetMode="External"/><Relationship Id="rId14" Type="http://schemas.openxmlformats.org/officeDocument/2006/relationships/hyperlink" Target="https://www.catch-22.org.uk/resources/addressing-prison-overcrowding-through-the-early-release-scheme/" TargetMode="External"/><Relationship Id="rId17" Type="http://schemas.openxmlformats.org/officeDocument/2006/relationships/hyperlink" Target="https://assets.publishing.service.gov.uk/media/62e41079d3bf7f75b02b3481/Wales_HMPPS_Reducing-Reoffending-plan.pdf" TargetMode="External"/><Relationship Id="rId16" Type="http://schemas.openxmlformats.org/officeDocument/2006/relationships/hyperlink" Target="https://researchbriefings.files.parliament.uk/documents/SN00634/SN00634.pdf" TargetMode="External"/><Relationship Id="rId5" Type="http://schemas.openxmlformats.org/officeDocument/2006/relationships/styles" Target="styles.xml"/><Relationship Id="rId19" Type="http://schemas.openxmlformats.org/officeDocument/2006/relationships/footer" Target="footer1.xml"/><Relationship Id="rId6" Type="http://schemas.openxmlformats.org/officeDocument/2006/relationships/customXml" Target="../customXML/item1.xml"/><Relationship Id="rId18" Type="http://schemas.openxmlformats.org/officeDocument/2006/relationships/hyperlink" Target="https://doi.org/10.1093/pubmed/fdad183" TargetMode="External"/><Relationship Id="rId7" Type="http://schemas.openxmlformats.org/officeDocument/2006/relationships/image" Target="media/image1.png"/><Relationship Id="rId8" Type="http://schemas.openxmlformats.org/officeDocument/2006/relationships/hyperlink" Target="https://theconversation.com/most-crime-has-fallen-by-90-in-30-years-so-why-does-the-public-think-its-increased-2287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MA7jmDxRptNHXbYInVbGvwUT4w==">CgMxLjAyCGguZ2pkZ3hzOAByITEtLVRvTHRVSmRrWWtzcmdMemROdGduZS1yUW1qX3g1dA==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2024-01-15T14:48:00Z</dcterms:created>
  <dc:creator>bus-sh</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