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rsidP="5ED495D4" wp14:paraId="3AA9E4EA" wp14:textId="0C128EC3">
      <w:pPr>
        <w:spacing w:before="240" w:beforeAutospacing="off" w:after="160" w:afterAutospacing="off"/>
        <w:jc w:val="center"/>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pPr>
      <w:r w:rsidRPr="5ED495D4" w:rsidR="0720995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5ED495D4" w:rsidR="57B1FF2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5ED495D4" w:rsidR="0720995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5ED495D4" w:rsidR="44745D3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Student name:</w:t>
      </w:r>
      <w:r w:rsidRPr="5ED495D4" w:rsidR="426FACD3">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w:t>
      </w:r>
      <w:r w:rsidRPr="5ED495D4" w:rsidR="4B17F856">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w:t>
      </w:r>
      <w:r w:rsidRPr="5ED495D4" w:rsidR="426FACD3">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w:t>
      </w:r>
      <w:r w:rsidRPr="5ED495D4" w:rsidR="44745D3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Shah</w:t>
      </w:r>
      <w:r w:rsidRPr="5ED495D4" w:rsidR="4DD0DEC9">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w:t>
      </w:r>
      <w:r w:rsidRPr="5ED495D4" w:rsidR="4DD0DEC9">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Mashuk</w:t>
      </w:r>
      <w:r w:rsidRPr="5ED495D4" w:rsidR="4DD0DEC9">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w:t>
      </w:r>
      <w:r w:rsidRPr="5ED495D4" w:rsidR="434CDE01">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Miah   Student Id 1911285</w:t>
      </w:r>
    </w:p>
    <w:p xmlns:wp14="http://schemas.microsoft.com/office/word/2010/wordml" w:rsidP="5ED495D4" wp14:paraId="2972B9C2" wp14:textId="6AE8DF3A">
      <w:pPr>
        <w:spacing w:before="240" w:beforeAutospacing="off" w:after="160" w:afterAutospacing="off"/>
        <w:jc w:val="center"/>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pPr>
      <w:r w:rsidRPr="5ED495D4" w:rsidR="434CDE01">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Programme</w:t>
      </w:r>
      <w:r w:rsidRPr="5ED495D4" w:rsidR="434CDE01">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BA International</w:t>
      </w:r>
      <w:r w:rsidRPr="5ED495D4" w:rsidR="6F3BB435">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Hotel Management</w:t>
      </w:r>
    </w:p>
    <w:p xmlns:wp14="http://schemas.microsoft.com/office/word/2010/wordml" w:rsidP="5ED495D4" wp14:paraId="2931AE97" wp14:textId="4AF79C12">
      <w:pPr>
        <w:spacing w:before="240" w:beforeAutospacing="off" w:after="160" w:afterAutospacing="off"/>
        <w:jc w:val="center"/>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pPr>
      <w:r w:rsidRPr="5ED495D4" w:rsidR="16F6D8D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Module:            </w:t>
      </w:r>
      <w:r w:rsidRPr="5ED495D4" w:rsidR="16F6D8D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Organisational</w:t>
      </w:r>
      <w:r w:rsidRPr="5ED495D4" w:rsidR="16F6D8D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Consultancy</w:t>
      </w:r>
    </w:p>
    <w:p xmlns:wp14="http://schemas.microsoft.com/office/word/2010/wordml" w:rsidP="5ED495D4" wp14:paraId="2CDDBB24" wp14:textId="669E7162">
      <w:pPr>
        <w:spacing w:before="240" w:beforeAutospacing="off" w:after="160" w:afterAutospacing="off"/>
        <w:jc w:val="center"/>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pPr>
      <w:r w:rsidRPr="5ED495D4" w:rsidR="766F724F">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Module Code: </w:t>
      </w:r>
      <w:r w:rsidRPr="5ED495D4" w:rsidR="5243CAD3">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w:t>
      </w:r>
      <w:r w:rsidRPr="5ED495D4" w:rsidR="766F724F">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BMIH</w:t>
      </w:r>
      <w:r w:rsidRPr="5ED495D4" w:rsidR="70C9EE9B">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6005</w:t>
      </w:r>
    </w:p>
    <w:p xmlns:wp14="http://schemas.microsoft.com/office/word/2010/wordml" w:rsidP="5ED495D4" wp14:paraId="67456BC7" wp14:textId="5E4268A3">
      <w:pPr>
        <w:spacing w:before="240" w:beforeAutospacing="off" w:after="160" w:afterAutospacing="off"/>
        <w:jc w:val="center"/>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pPr>
      <w:r w:rsidRPr="5ED495D4" w:rsidR="70C9EE9B">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w:t>
      </w:r>
      <w:r w:rsidRPr="5ED495D4" w:rsidR="22FE088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w:t>
      </w:r>
      <w:r w:rsidRPr="5ED495D4" w:rsidR="137086BC">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Lecturer:</w:t>
      </w:r>
      <w:r w:rsidRPr="5ED495D4" w:rsidR="766F724F">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w:t>
      </w:r>
      <w:r w:rsidRPr="5ED495D4" w:rsidR="5A8EF24F">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Jaliya de Silva</w:t>
      </w:r>
      <w:r w:rsidRPr="5ED495D4" w:rsidR="766F724F">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w:t>
      </w:r>
    </w:p>
    <w:p xmlns:wp14="http://schemas.microsoft.com/office/word/2010/wordml" w:rsidP="5ED495D4" wp14:paraId="65704938" wp14:textId="2A176C19">
      <w:pPr>
        <w:pStyle w:val="Normal"/>
        <w:spacing w:before="240" w:beforeAutospacing="off" w:after="160" w:afterAutospacing="off"/>
        <w:jc w:val="center"/>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pPr>
      <w:r w:rsidRPr="5ED495D4" w:rsidR="2E7B2797">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Assignment: Consultancy Report for </w:t>
      </w:r>
      <w:r w:rsidRPr="5ED495D4" w:rsidR="69BB0990">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Accor Hotels</w:t>
      </w:r>
    </w:p>
    <w:p xmlns:wp14="http://schemas.microsoft.com/office/word/2010/wordml" w:rsidP="5ED495D4" wp14:paraId="33E47EB4" wp14:textId="45AB0B81">
      <w:pPr>
        <w:pStyle w:val="Normal"/>
        <w:spacing w:before="240" w:beforeAutospacing="off" w:after="160" w:afterAutospacing="off"/>
        <w:jc w:val="center"/>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pPr>
      <w:r w:rsidRPr="5ED495D4" w:rsidR="69BB0990">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Submission date:      12/11/2024</w:t>
      </w:r>
    </w:p>
    <w:p xmlns:wp14="http://schemas.microsoft.com/office/word/2010/wordml" w:rsidP="5ED495D4" wp14:paraId="4859F71C" wp14:textId="33C7265A">
      <w:pPr>
        <w:spacing w:before="240" w:beforeAutospacing="off" w:after="160" w:afterAutospacing="off"/>
        <w:jc w:val="center"/>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5ED495D4" w:rsidR="766F724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p>
    <w:p xmlns:wp14="http://schemas.microsoft.com/office/word/2010/wordml" wp14:paraId="56429B5A" wp14:textId="374D2849"/>
    <w:p xmlns:wp14="http://schemas.microsoft.com/office/word/2010/wordml" wp14:paraId="5C3008F7" wp14:textId="5292053D"/>
    <w:p xmlns:wp14="http://schemas.microsoft.com/office/word/2010/wordml" w:rsidP="5ED495D4" wp14:paraId="5AB8147B" wp14:textId="4B075483">
      <w:pPr>
        <w:spacing w:before="0" w:beforeAutospacing="off" w:after="0" w:afterAutospacing="off"/>
        <w:jc w:val="center"/>
      </w:pPr>
      <w:r w:rsidR="5C7B1F42">
        <w:drawing>
          <wp:inline xmlns:wp14="http://schemas.microsoft.com/office/word/2010/wordprocessingDrawing" wp14:editId="46321DFB" wp14:anchorId="445D9BF2">
            <wp:extent cx="4762502" cy="3571875"/>
            <wp:effectExtent l="0" t="0" r="0" b="0"/>
            <wp:docPr id="2120622" name="" title=""/>
            <wp:cNvGraphicFramePr>
              <a:graphicFrameLocks noChangeAspect="1"/>
            </wp:cNvGraphicFramePr>
            <a:graphic>
              <a:graphicData uri="http://schemas.openxmlformats.org/drawingml/2006/picture">
                <pic:pic>
                  <pic:nvPicPr>
                    <pic:cNvPr id="0" name=""/>
                    <pic:cNvPicPr/>
                  </pic:nvPicPr>
                  <pic:blipFill>
                    <a:blip r:embed="R42215926f7f749ec">
                      <a:extLst>
                        <a:ext xmlns:a="http://schemas.openxmlformats.org/drawingml/2006/main" uri="{28A0092B-C50C-407E-A947-70E740481C1C}">
                          <a14:useLocalDpi val="0"/>
                        </a:ext>
                      </a:extLst>
                    </a:blip>
                    <a:stretch>
                      <a:fillRect/>
                    </a:stretch>
                  </pic:blipFill>
                  <pic:spPr>
                    <a:xfrm>
                      <a:off x="0" y="0"/>
                      <a:ext cx="4762502" cy="3571875"/>
                    </a:xfrm>
                    <a:prstGeom prst="rect">
                      <a:avLst/>
                    </a:prstGeom>
                  </pic:spPr>
                </pic:pic>
              </a:graphicData>
            </a:graphic>
          </wp:inline>
        </w:drawing>
      </w:r>
    </w:p>
    <w:p xmlns:wp14="http://schemas.microsoft.com/office/word/2010/wordml" wp14:paraId="5EB17DA4" wp14:textId="7465E9C3"/>
    <w:p xmlns:wp14="http://schemas.microsoft.com/office/word/2010/wordml" wp14:paraId="7E3D38E6" wp14:textId="0336BA09"/>
    <w:p xmlns:wp14="http://schemas.microsoft.com/office/word/2010/wordml" w:rsidP="5ED495D4" wp14:paraId="2DFFA186" wp14:textId="66CD4421">
      <w:pPr>
        <w:rPr>
          <w:rFonts w:ascii="Arial Nova" w:hAnsi="Arial Nova" w:eastAsia="Arial Nova" w:cs="Arial Nova"/>
        </w:rPr>
      </w:pPr>
      <w:r w:rsidRPr="5ED495D4" w:rsidR="7FB82EF4">
        <w:rPr>
          <w:rFonts w:ascii="Arial Nova" w:hAnsi="Arial Nova" w:eastAsia="Arial Nova" w:cs="Arial Nova"/>
        </w:rPr>
        <w:t xml:space="preserve">I confirm that I have not used any AI tools in the </w:t>
      </w:r>
      <w:r w:rsidRPr="5ED495D4" w:rsidR="520B224D">
        <w:rPr>
          <w:rFonts w:ascii="Arial Nova" w:hAnsi="Arial Nova" w:eastAsia="Arial Nova" w:cs="Arial Nova"/>
        </w:rPr>
        <w:t xml:space="preserve">research and creation of this </w:t>
      </w:r>
      <w:r w:rsidRPr="5ED495D4" w:rsidR="7D4FD9D4">
        <w:rPr>
          <w:rFonts w:ascii="Arial Nova" w:hAnsi="Arial Nova" w:eastAsia="Arial Nova" w:cs="Arial Nova"/>
        </w:rPr>
        <w:t>assignment. I</w:t>
      </w:r>
      <w:r w:rsidRPr="5ED495D4" w:rsidR="520B224D">
        <w:rPr>
          <w:rFonts w:ascii="Arial Nova" w:hAnsi="Arial Nova" w:eastAsia="Arial Nova" w:cs="Arial Nova"/>
        </w:rPr>
        <w:t xml:space="preserve"> confirm that I have not presented any AI ge</w:t>
      </w:r>
      <w:r w:rsidRPr="5ED495D4" w:rsidR="0B53CC1F">
        <w:rPr>
          <w:rFonts w:ascii="Arial Nova" w:hAnsi="Arial Nova" w:eastAsia="Arial Nova" w:cs="Arial Nova"/>
        </w:rPr>
        <w:t xml:space="preserve">nerated materials as my own </w:t>
      </w:r>
      <w:r w:rsidRPr="5ED495D4" w:rsidR="02C1244C">
        <w:rPr>
          <w:rFonts w:ascii="Arial Nova" w:hAnsi="Arial Nova" w:eastAsia="Arial Nova" w:cs="Arial Nova"/>
        </w:rPr>
        <w:t>work. I</w:t>
      </w:r>
      <w:r w:rsidRPr="5ED495D4" w:rsidR="0B53CC1F">
        <w:rPr>
          <w:rFonts w:ascii="Arial Nova" w:hAnsi="Arial Nova" w:eastAsia="Arial Nova" w:cs="Arial Nova"/>
        </w:rPr>
        <w:t xml:space="preserve"> confirm I have copies of my</w:t>
      </w:r>
      <w:r w:rsidRPr="5ED495D4" w:rsidR="4A04DB7D">
        <w:rPr>
          <w:rFonts w:ascii="Arial Nova" w:hAnsi="Arial Nova" w:eastAsia="Arial Nova" w:cs="Arial Nova"/>
        </w:rPr>
        <w:t xml:space="preserve"> drafts, notes, and other resources I used</w:t>
      </w:r>
      <w:r w:rsidRPr="5ED495D4" w:rsidR="5FA72994">
        <w:rPr>
          <w:rFonts w:ascii="Arial Nova" w:hAnsi="Arial Nova" w:eastAsia="Arial Nova" w:cs="Arial Nova"/>
        </w:rPr>
        <w:t>, which I may be asked to provide in evidence,</w:t>
      </w:r>
    </w:p>
    <w:p xmlns:wp14="http://schemas.microsoft.com/office/word/2010/wordml" w:rsidP="5ED495D4" wp14:paraId="2E96DC58" wp14:textId="6AD2913C">
      <w:pPr>
        <w:rPr>
          <w:rFonts w:ascii="Arial Nova" w:hAnsi="Arial Nova" w:eastAsia="Arial Nova" w:cs="Arial Nova"/>
        </w:rPr>
      </w:pPr>
      <w:r w:rsidRPr="5ED495D4" w:rsidR="6901F7AB">
        <w:rPr>
          <w:rFonts w:ascii="Arial Nova" w:hAnsi="Arial Nova" w:eastAsia="Arial Nova" w:cs="Arial Nova"/>
        </w:rPr>
        <w:t>Signature:</w:t>
      </w:r>
    </w:p>
    <w:p xmlns:wp14="http://schemas.microsoft.com/office/word/2010/wordml" w:rsidP="5ED495D4" wp14:paraId="3CA52CD4" wp14:textId="47D480D9">
      <w:pPr>
        <w:rPr>
          <w:rFonts w:ascii="Arial Nova" w:hAnsi="Arial Nova" w:eastAsia="Arial Nova" w:cs="Arial Nova"/>
        </w:rPr>
      </w:pPr>
      <w:r w:rsidRPr="5ED495D4" w:rsidR="6901F7AB">
        <w:rPr>
          <w:rFonts w:ascii="Arial Nova" w:hAnsi="Arial Nova" w:eastAsia="Arial Nova" w:cs="Arial Nova"/>
        </w:rPr>
        <w:t xml:space="preserve">Shah </w:t>
      </w:r>
      <w:r w:rsidRPr="5ED495D4" w:rsidR="6901F7AB">
        <w:rPr>
          <w:rFonts w:ascii="Arial Nova" w:hAnsi="Arial Nova" w:eastAsia="Arial Nova" w:cs="Arial Nova"/>
        </w:rPr>
        <w:t>Mashuk</w:t>
      </w:r>
      <w:r w:rsidRPr="5ED495D4" w:rsidR="6901F7AB">
        <w:rPr>
          <w:rFonts w:ascii="Arial Nova" w:hAnsi="Arial Nova" w:eastAsia="Arial Nova" w:cs="Arial Nova"/>
        </w:rPr>
        <w:t xml:space="preserve"> Miah</w:t>
      </w:r>
    </w:p>
    <w:p xmlns:wp14="http://schemas.microsoft.com/office/word/2010/wordml" wp14:paraId="7DE9088E" wp14:textId="63742EC5"/>
    <w:p xmlns:wp14="http://schemas.microsoft.com/office/word/2010/wordml" wp14:paraId="02C0BEF0" wp14:textId="04782B1C"/>
    <w:p xmlns:wp14="http://schemas.microsoft.com/office/word/2010/wordml" wp14:paraId="7D7CF949" wp14:textId="462EB05A"/>
    <w:p xmlns:wp14="http://schemas.microsoft.com/office/word/2010/wordml" wp14:paraId="664B7844" wp14:textId="68176857"/>
    <w:p xmlns:wp14="http://schemas.microsoft.com/office/word/2010/wordml" wp14:paraId="4FE25EE5" wp14:textId="0BEB4116"/>
    <w:p xmlns:wp14="http://schemas.microsoft.com/office/word/2010/wordml" wp14:paraId="2A0AD5EB" wp14:textId="7916EDC0"/>
    <w:p xmlns:wp14="http://schemas.microsoft.com/office/word/2010/wordml" wp14:paraId="14AF5CB7" wp14:textId="462EEBBD"/>
    <w:p xmlns:wp14="http://schemas.microsoft.com/office/word/2010/wordml" wp14:paraId="3E478825" wp14:textId="0E9CAC08"/>
    <w:p xmlns:wp14="http://schemas.microsoft.com/office/word/2010/wordml" wp14:paraId="6B1423EC" wp14:textId="64420AA6"/>
    <w:p xmlns:wp14="http://schemas.microsoft.com/office/word/2010/wordml" wp14:paraId="12452A43" wp14:textId="550EE5B0"/>
    <w:p xmlns:wp14="http://schemas.microsoft.com/office/word/2010/wordml" wp14:paraId="13A8F99E" wp14:textId="661778DD"/>
    <w:p xmlns:wp14="http://schemas.microsoft.com/office/word/2010/wordml" wp14:paraId="293C8F73" wp14:textId="0335EFB9"/>
    <w:p xmlns:wp14="http://schemas.microsoft.com/office/word/2010/wordml" wp14:paraId="2B8E4858" wp14:textId="01FB3653"/>
    <w:p xmlns:wp14="http://schemas.microsoft.com/office/word/2010/wordml" wp14:paraId="6A77261E" wp14:textId="40AEDC9D"/>
    <w:p xmlns:wp14="http://schemas.microsoft.com/office/word/2010/wordml" w:rsidP="5ED495D4" wp14:paraId="5548948A" wp14:textId="68ADC658">
      <w:pPr>
        <w:pStyle w:val="Heading1"/>
        <w:spacing w:before="0" w:beforeAutospacing="off" w:after="0" w:afterAutospacing="off"/>
        <w:jc w:val="both"/>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US"/>
        </w:rPr>
      </w:pPr>
      <w:r w:rsidRPr="5ED495D4" w:rsidR="5C7B1F42">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US"/>
        </w:rPr>
        <w:t>Executive Summary</w:t>
      </w:r>
    </w:p>
    <w:p xmlns:wp14="http://schemas.microsoft.com/office/word/2010/wordml" w:rsidP="5ED495D4" wp14:paraId="25F88364" wp14:textId="11ADF538">
      <w:pPr>
        <w:pStyle w:val="Heading1"/>
        <w:spacing w:before="0" w:beforeAutospacing="off" w:after="0" w:afterAutospacing="off"/>
        <w:jc w:val="both"/>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US"/>
        </w:rPr>
      </w:pPr>
      <w:r w:rsidR="5C7B1F42">
        <w:drawing>
          <wp:inline xmlns:wp14="http://schemas.microsoft.com/office/word/2010/wordprocessingDrawing" wp14:editId="7D777F7E" wp14:anchorId="254DB392">
            <wp:extent cx="3114675" cy="2524125"/>
            <wp:effectExtent l="0" t="0" r="0" b="0"/>
            <wp:docPr id="351871337" name="" descr="Pullman Dubai Downtown | view of Burj Khalifa and close to Dubai Mall | Accor  Hotels - ALL" title=""/>
            <wp:cNvGraphicFramePr>
              <a:graphicFrameLocks noChangeAspect="1"/>
            </wp:cNvGraphicFramePr>
            <a:graphic>
              <a:graphicData uri="http://schemas.openxmlformats.org/drawingml/2006/picture">
                <pic:pic>
                  <pic:nvPicPr>
                    <pic:cNvPr id="0" name=""/>
                    <pic:cNvPicPr/>
                  </pic:nvPicPr>
                  <pic:blipFill>
                    <a:blip r:embed="R21b5c75e227b4288">
                      <a:extLst>
                        <a:ext xmlns:a="http://schemas.openxmlformats.org/drawingml/2006/main" uri="{28A0092B-C50C-407E-A947-70E740481C1C}">
                          <a14:useLocalDpi val="0"/>
                        </a:ext>
                      </a:extLst>
                    </a:blip>
                    <a:stretch>
                      <a:fillRect/>
                    </a:stretch>
                  </pic:blipFill>
                  <pic:spPr>
                    <a:xfrm>
                      <a:off x="0" y="0"/>
                      <a:ext cx="3114675" cy="2524125"/>
                    </a:xfrm>
                    <a:prstGeom prst="rect">
                      <a:avLst/>
                    </a:prstGeom>
                  </pic:spPr>
                </pic:pic>
              </a:graphicData>
            </a:graphic>
          </wp:inline>
        </w:drawing>
      </w:r>
    </w:p>
    <w:p xmlns:wp14="http://schemas.microsoft.com/office/word/2010/wordml" w:rsidP="5ED495D4" wp14:paraId="5F427E8E" wp14:textId="03A33991">
      <w:pPr>
        <w:spacing w:before="0" w:beforeAutospacing="off" w:after="0" w:afterAutospacing="off"/>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pP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Accor Hotels, a global leader in the hospitality industry, has built its brand on delivering exceptional experiences across a diverse range of markets, from economy to luxury. Despite this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strong reputation</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and steady revenue growth, a critical issue has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emerged</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at one of its luxury properties in Dubai, primarily related to service inconsistencies that have affected guest satisfaction and operational performance. This property, part of Accor’s Luxury &amp; Lifestyle (L&amp;L) division,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operates</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within Dubai’s highly competitive hospitality market, which places significant emphasis on personalized and seamless guest experiences. However, feedback from guests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indicates</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dissatisfaction stemming from inconsistent service quality, including check-in delays, variable room and service quality, and slow response times for guest requests. These issues present a substantial challenge to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maintaining</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Accor’s premium reputation in Dubai and risk affecting key financial metrics such as RevPAR (Revenue Per Available Room) and guest retention in the long term.</w:t>
      </w:r>
    </w:p>
    <w:p xmlns:wp14="http://schemas.microsoft.com/office/word/2010/wordml" w:rsidP="5ED495D4" wp14:paraId="58745C9A" wp14:textId="2761F223">
      <w:pPr>
        <w:spacing w:before="0" w:beforeAutospacing="off" w:after="0" w:afterAutospacing="off"/>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pP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PM&amp;E and L&amp;L drove Accor's 12% third-quarter revenue increase over 2023. An 18% revenue gain in the L&amp;L business is great, but a poor guest experience in Dubai might hurt the corporation. The Middle East's desire for premium hospitality is rising, but operational challenges prohibit the hotel from taking advantage. The hotel's RevPAR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hasn't</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grown as rapidly as expected due to fluctuations in customer satisfaction, inflation, and currency movements that </w:t>
      </w:r>
      <w:r w:rsidRPr="5ED495D4" w:rsidR="18D9FA81">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effect</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travel spending. To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establish</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a strategic market position in this area, this Dubai lodging needs a specific plan to boost service quality and efficiency. </w:t>
      </w:r>
    </w:p>
    <w:p xmlns:wp14="http://schemas.microsoft.com/office/word/2010/wordml" w:rsidP="5ED495D4" wp14:paraId="0B830D08" wp14:textId="42E43F1C">
      <w:pPr>
        <w:spacing w:before="0" w:beforeAutospacing="off" w:after="0" w:afterAutospacing="off"/>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pP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Thus, PESTEL, SWOT, and TOWS analyses were performed to compare the many external and internal elements that have caused this property's problems. According to PESTEL study, Dubai's administration and politics promote the hotel business, giving Accor an edge. However, high UAE inflation and currency volatility reduce discretionary spending, which lowers RevPAR and profitability for hoteliers. Technological innovation allows for exciting visitors with great AI-based services that enhance their experiences. Many customers know about Accor's Planet 21, a commitment to sustainability, but scaling up sustainable practices across properties is expensive. SWOT analysis revealed Accor's strong brand identification and portfolio as a competitive advantage that can weather current crises and attract premium tourists. Service uniformity and technical disparities were operational risks that threatened visitor experience. The TOWS research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indicated</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that Accor </w:t>
      </w:r>
      <w:r w:rsidRPr="5ED495D4" w:rsidR="448299E5">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capitalises</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on its brand image and sustainability efforts to qualify services and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maintain</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a consistent income despite operational issues and revenue volatility.</w:t>
      </w:r>
    </w:p>
    <w:p xmlns:wp14="http://schemas.microsoft.com/office/word/2010/wordml" w:rsidP="5ED495D4" wp14:paraId="57FD9112" wp14:textId="53B914A1">
      <w:pPr>
        <w:spacing w:before="0" w:beforeAutospacing="off" w:after="0" w:afterAutospacing="off"/>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pP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Several specific suggestions were made to address these problems and improve the visitor experience. First, staff training must be improved to avoid service quality discrepancies. This training should include service delivery skills including fast registration, complaint resolution, and customer communication. Staff may detect guest needs and assure service quality across divisions by addressing role-based issues. Creating a quick feedback mechanism to record and react to visitors' opinions is also recommended. This would also allow the hotel to quickly adjust service delivery, enhancing visitor happiness by reacting to concerns. Additionally, adopting AI apps to improve hotels' localization capabilities might help create a cohesive and customized experience that matches Dubai's luxury clients' ideals. </w:t>
      </w:r>
    </w:p>
    <w:p xmlns:wp14="http://schemas.microsoft.com/office/word/2010/wordml" w:rsidP="5ED495D4" wp14:paraId="206B2483" wp14:textId="04C853C6">
      <w:pPr>
        <w:spacing w:before="0" w:beforeAutospacing="off" w:after="0" w:afterAutospacing="off"/>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pP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For seasonality, which generates substantial income changes, the hotel should adopt the most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optimum</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pricing range to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establish</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its prices based on supply and demand, occupancy, and rivals' rates. Such flexibility would enable the hotel to earn more during peak demand and book some guests during dull periods. Developing corporate relations with local and international firms might </w:t>
      </w:r>
      <w:r w:rsidRPr="5ED495D4" w:rsidR="3B6F9174">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ensure</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a consistent amount of business tourists who visit for business rather than enjoyment. They might also provide corporate discounts and specific contractual arrangements to boost the hotel's attractiveness for business meetings and prolonged stays. </w:t>
      </w:r>
    </w:p>
    <w:p xmlns:wp14="http://schemas.microsoft.com/office/word/2010/wordml" w:rsidP="5ED495D4" wp14:paraId="49283E51" wp14:textId="03E8CCE6">
      <w:pPr>
        <w:spacing w:before="0" w:beforeAutospacing="off" w:after="0" w:afterAutospacing="off"/>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pP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Sustainability is important in premium hospitality, therefore improving sustainability will help this hotel meet Accor's Planet 21 and client expectations. Efficient heating, cooling, water-saving systems, and lighting in hallways, over corridors, washrooms, reception, and corridors leading to rooms may save energy costs and environmental impact. Local food and beverage procurement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eliminates</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long-distance travel and brings Dubai's local flavor, making it simpler for travelers to identify with the economy. Formatted change management is essential for implementing these suggestions. Communication and staff engagement are vital and important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aspects, since</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all personnel must know why these changes are being </w:t>
      </w:r>
      <w:r w:rsidRPr="5ED495D4" w:rsidR="6AE61720">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made</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and that they can contribute to them. This would guarantee that staff training was consistent with the skills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required</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to continuously adopt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new technology</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and sustainable practices. Transporting the data and recommendations to the hotel regularly would allow the researcher to review the implementation process and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identify</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areas that need to be changed to ensure the recommendations have the intended effects on the hotel. </w:t>
      </w:r>
      <w:r>
        <w:br/>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Customer happiness, employee turnover, RevPAR, and environmental impact correlation were KPIs for these projects. Monitoring these KPIs over time would make it simpler to track progress toward visitor experience, income, and sustainability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objectives</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Dynamic pricing and corporate collaboration techniques may be assessed by using RevPAR movements and non-peak occupancy rate data. The hotel's energy and water saving measures would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demonstrate</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Accor's sustainable hospitality company. </w:t>
      </w:r>
    </w:p>
    <w:p xmlns:wp14="http://schemas.microsoft.com/office/word/2010/wordml" w:rsidP="5ED495D4" wp14:paraId="576CFE0E" wp14:textId="1923D712">
      <w:pPr>
        <w:spacing w:before="0" w:beforeAutospacing="off" w:after="0" w:afterAutospacing="off"/>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pP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The consultant study proposes a strategic intervention strategy for Accor's Dubai hotel to address operational issues, boost customer happiness, and secure income in a competitive market. This will help the hotel compete in premium service and meet Accor's financial and environmental aims. Implementing the above recommendations will improve operational performance and position the property to meet modern luxury travelers' expectations, sustaining growth and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maintaining</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a competitive advantage in Dubai's rapidly growing hospitality market. </w:t>
      </w:r>
    </w:p>
    <w:p xmlns:wp14="http://schemas.microsoft.com/office/word/2010/wordml" w:rsidP="5ED495D4" wp14:paraId="5DE0C1D6" wp14:textId="1E1F19B6">
      <w:pPr>
        <w:rPr>
          <w:rFonts w:ascii="Arial Nova" w:hAnsi="Arial Nova" w:eastAsia="Arial Nova" w:cs="Arial Nova"/>
        </w:rPr>
      </w:pPr>
    </w:p>
    <w:p xmlns:wp14="http://schemas.microsoft.com/office/word/2010/wordml" wp14:paraId="3B4FBFA8" wp14:textId="5ED97A29"/>
    <w:p xmlns:wp14="http://schemas.microsoft.com/office/word/2010/wordml" wp14:paraId="5B34B4AE" wp14:textId="29F42940"/>
    <w:p xmlns:wp14="http://schemas.microsoft.com/office/word/2010/wordml" wp14:paraId="6E113746" wp14:textId="1B6D9923"/>
    <w:p xmlns:wp14="http://schemas.microsoft.com/office/word/2010/wordml" wp14:paraId="1B311BE9" wp14:textId="0C2D9DC7"/>
    <w:p xmlns:wp14="http://schemas.microsoft.com/office/word/2010/wordml" wp14:paraId="3725FF60" wp14:textId="3012D318"/>
    <w:p xmlns:wp14="http://schemas.microsoft.com/office/word/2010/wordml" wp14:paraId="04677B45" wp14:textId="28826776"/>
    <w:p xmlns:wp14="http://schemas.microsoft.com/office/word/2010/wordml" wp14:paraId="076D2594" wp14:textId="6455EE0A"/>
    <w:p xmlns:wp14="http://schemas.microsoft.com/office/word/2010/wordml" wp14:paraId="0DE62669" wp14:textId="03CF4429"/>
    <w:p xmlns:wp14="http://schemas.microsoft.com/office/word/2010/wordml" wp14:paraId="17ABB3C3" wp14:textId="6C30CF1D"/>
    <w:p xmlns:wp14="http://schemas.microsoft.com/office/word/2010/wordml" wp14:paraId="06471B83" wp14:textId="65B00C91"/>
    <w:p xmlns:wp14="http://schemas.microsoft.com/office/word/2010/wordml" wp14:paraId="62587868" wp14:textId="37B8EFCD"/>
    <w:p xmlns:wp14="http://schemas.microsoft.com/office/word/2010/wordml" w:rsidP="5ED495D4" wp14:paraId="622D2969" wp14:textId="49BA3066">
      <w:pPr>
        <w:pStyle w:val="Normal"/>
        <w:rPr>
          <w:rFonts w:ascii="Times New Roman" w:hAnsi="Times New Roman" w:eastAsia="Times New Roman" w:cs="Times New Roman"/>
          <w:b w:val="1"/>
          <w:bCs w:val="1"/>
          <w:i w:val="1"/>
          <w:iCs w:val="1"/>
          <w:strike w:val="0"/>
          <w:dstrike w:val="0"/>
          <w:noProof w:val="0"/>
          <w:color w:val="000000" w:themeColor="text1" w:themeTint="FF" w:themeShade="FF"/>
          <w:sz w:val="28"/>
          <w:szCs w:val="28"/>
          <w:u w:val="none"/>
          <w:lang w:val="en-US"/>
        </w:rPr>
      </w:pPr>
    </w:p>
    <w:p xmlns:wp14="http://schemas.microsoft.com/office/word/2010/wordml" w:rsidP="5ED495D4" wp14:paraId="427F5B64" wp14:textId="1C836226">
      <w:pPr>
        <w:pStyle w:val="Normal"/>
        <w:rPr>
          <w:rFonts w:ascii="Times New Roman" w:hAnsi="Times New Roman" w:eastAsia="Times New Roman" w:cs="Times New Roman"/>
          <w:b w:val="1"/>
          <w:bCs w:val="1"/>
          <w:i w:val="1"/>
          <w:iCs w:val="1"/>
          <w:strike w:val="0"/>
          <w:dstrike w:val="0"/>
          <w:noProof w:val="0"/>
          <w:color w:val="000000" w:themeColor="text1" w:themeTint="FF" w:themeShade="FF"/>
          <w:sz w:val="28"/>
          <w:szCs w:val="28"/>
          <w:u w:val="none"/>
          <w:lang w:val="en-US"/>
        </w:rPr>
      </w:pPr>
    </w:p>
    <w:p xmlns:wp14="http://schemas.microsoft.com/office/word/2010/wordml" w:rsidP="5ED495D4" wp14:paraId="7690A4FA" wp14:textId="36B8BEE8">
      <w:pPr>
        <w:pStyle w:val="Normal"/>
        <w:rPr>
          <w:rFonts w:ascii="Times New Roman" w:hAnsi="Times New Roman" w:eastAsia="Times New Roman" w:cs="Times New Roman"/>
          <w:b w:val="1"/>
          <w:bCs w:val="1"/>
          <w:i w:val="1"/>
          <w:iCs w:val="1"/>
          <w:strike w:val="0"/>
          <w:dstrike w:val="0"/>
          <w:noProof w:val="0"/>
          <w:color w:val="000000" w:themeColor="text1" w:themeTint="FF" w:themeShade="FF"/>
          <w:sz w:val="28"/>
          <w:szCs w:val="28"/>
          <w:u w:val="none"/>
          <w:lang w:val="en-US"/>
        </w:rPr>
      </w:pPr>
    </w:p>
    <w:p xmlns:wp14="http://schemas.microsoft.com/office/word/2010/wordml" w:rsidP="5ED495D4" wp14:paraId="4DE48C29" wp14:textId="75561926">
      <w:pPr>
        <w:pStyle w:val="Normal"/>
        <w:rPr>
          <w:rFonts w:ascii="Times New Roman" w:hAnsi="Times New Roman" w:eastAsia="Times New Roman" w:cs="Times New Roman"/>
          <w:b w:val="1"/>
          <w:bCs w:val="1"/>
          <w:i w:val="1"/>
          <w:iCs w:val="1"/>
          <w:strike w:val="0"/>
          <w:dstrike w:val="0"/>
          <w:noProof w:val="0"/>
          <w:color w:val="000000" w:themeColor="text1" w:themeTint="FF" w:themeShade="FF"/>
          <w:sz w:val="28"/>
          <w:szCs w:val="28"/>
          <w:u w:val="none"/>
          <w:lang w:val="en-US"/>
        </w:rPr>
      </w:pPr>
    </w:p>
    <w:p xmlns:wp14="http://schemas.microsoft.com/office/word/2010/wordml" w:rsidP="5ED495D4" wp14:paraId="100F15A0" wp14:textId="76EB5B8F">
      <w:pPr>
        <w:pStyle w:val="Normal"/>
        <w:rPr>
          <w:rFonts w:ascii="Times New Roman" w:hAnsi="Times New Roman" w:eastAsia="Times New Roman" w:cs="Times New Roman"/>
          <w:b w:val="1"/>
          <w:bCs w:val="1"/>
          <w:i w:val="1"/>
          <w:iCs w:val="1"/>
          <w:strike w:val="0"/>
          <w:dstrike w:val="0"/>
          <w:noProof w:val="0"/>
          <w:color w:val="000000" w:themeColor="text1" w:themeTint="FF" w:themeShade="FF"/>
          <w:sz w:val="28"/>
          <w:szCs w:val="28"/>
          <w:u w:val="none"/>
          <w:lang w:val="en-US"/>
        </w:rPr>
      </w:pPr>
    </w:p>
    <w:p xmlns:wp14="http://schemas.microsoft.com/office/word/2010/wordml" w:rsidP="5ED495D4" wp14:paraId="7457E3B9" wp14:textId="589FEEC2">
      <w:pPr>
        <w:pStyle w:val="Normal"/>
        <w:rPr>
          <w:rFonts w:ascii="Times New Roman" w:hAnsi="Times New Roman" w:eastAsia="Times New Roman" w:cs="Times New Roman"/>
          <w:b w:val="1"/>
          <w:bCs w:val="1"/>
          <w:i w:val="1"/>
          <w:iCs w:val="1"/>
          <w:strike w:val="0"/>
          <w:dstrike w:val="0"/>
          <w:noProof w:val="0"/>
          <w:color w:val="000000" w:themeColor="text1" w:themeTint="FF" w:themeShade="FF"/>
          <w:sz w:val="28"/>
          <w:szCs w:val="28"/>
          <w:u w:val="none"/>
          <w:lang w:val="en-US"/>
        </w:rPr>
      </w:pPr>
    </w:p>
    <w:p xmlns:wp14="http://schemas.microsoft.com/office/word/2010/wordml" w:rsidP="5ED495D4" wp14:paraId="500E81BA" wp14:textId="06BB4D20">
      <w:pPr>
        <w:pStyle w:val="Normal"/>
        <w:rPr>
          <w:rFonts w:ascii="Times New Roman" w:hAnsi="Times New Roman" w:eastAsia="Times New Roman" w:cs="Times New Roman"/>
          <w:b w:val="1"/>
          <w:bCs w:val="1"/>
          <w:i w:val="1"/>
          <w:iCs w:val="1"/>
          <w:strike w:val="0"/>
          <w:dstrike w:val="0"/>
          <w:noProof w:val="0"/>
          <w:color w:val="000000" w:themeColor="text1" w:themeTint="FF" w:themeShade="FF"/>
          <w:sz w:val="28"/>
          <w:szCs w:val="28"/>
          <w:u w:val="none"/>
          <w:lang w:val="en-US"/>
        </w:rPr>
      </w:pPr>
    </w:p>
    <w:p xmlns:wp14="http://schemas.microsoft.com/office/word/2010/wordml" w:rsidP="5ED495D4" wp14:paraId="45EA0833" wp14:textId="187A7037">
      <w:pPr>
        <w:pStyle w:val="Normal"/>
        <w:rPr>
          <w:rFonts w:ascii="Times New Roman" w:hAnsi="Times New Roman" w:eastAsia="Times New Roman" w:cs="Times New Roman"/>
          <w:b w:val="1"/>
          <w:bCs w:val="1"/>
          <w:i w:val="1"/>
          <w:iCs w:val="1"/>
          <w:strike w:val="0"/>
          <w:dstrike w:val="0"/>
          <w:noProof w:val="0"/>
          <w:color w:val="000000" w:themeColor="text1" w:themeTint="FF" w:themeShade="FF"/>
          <w:sz w:val="28"/>
          <w:szCs w:val="28"/>
          <w:u w:val="single"/>
          <w:lang w:val="en-US"/>
        </w:rPr>
      </w:pPr>
      <w:r w:rsidRPr="5ED495D4" w:rsidR="5C7B1F42">
        <w:rPr>
          <w:rFonts w:ascii="Times New Roman" w:hAnsi="Times New Roman" w:eastAsia="Times New Roman" w:cs="Times New Roman"/>
          <w:b w:val="1"/>
          <w:bCs w:val="1"/>
          <w:i w:val="1"/>
          <w:iCs w:val="1"/>
          <w:strike w:val="0"/>
          <w:dstrike w:val="0"/>
          <w:noProof w:val="0"/>
          <w:color w:val="000000" w:themeColor="text1" w:themeTint="FF" w:themeShade="FF"/>
          <w:sz w:val="28"/>
          <w:szCs w:val="28"/>
          <w:u w:val="single"/>
          <w:lang w:val="en-US"/>
        </w:rPr>
        <w:t>Table of Contents</w:t>
      </w:r>
    </w:p>
    <w:p xmlns:wp14="http://schemas.microsoft.com/office/word/2010/wordml" w:rsidP="5ED495D4" wp14:paraId="03A82B17" wp14:textId="65F72298">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5ED495D4" w:rsidR="659D053A">
        <w:rPr>
          <w:rFonts w:ascii="Times New Roman" w:hAnsi="Times New Roman" w:eastAsia="Times New Roman" w:cs="Times New Roman"/>
          <w:b w:val="0"/>
          <w:bCs w:val="0"/>
          <w:i w:val="0"/>
          <w:iCs w:val="0"/>
          <w:strike w:val="0"/>
          <w:dstrike w:val="0"/>
          <w:noProof w:val="0"/>
          <w:color w:val="153D63" w:themeColor="text2" w:themeTint="E6" w:themeShade="FF"/>
          <w:sz w:val="24"/>
          <w:szCs w:val="24"/>
          <w:u w:val="single"/>
          <w:lang w:val="en-US"/>
        </w:rPr>
        <w:t>Executive Summary</w:t>
      </w:r>
      <w:r w:rsidRPr="5ED495D4" w:rsidR="659D053A">
        <w:rPr>
          <w:rFonts w:ascii="Times New Roman" w:hAnsi="Times New Roman" w:eastAsia="Times New Roman" w:cs="Times New Roman"/>
          <w:b w:val="0"/>
          <w:bCs w:val="0"/>
          <w:i w:val="0"/>
          <w:iCs w:val="0"/>
          <w:strike w:val="0"/>
          <w:dstrike w:val="0"/>
          <w:noProof w:val="0"/>
          <w:sz w:val="24"/>
          <w:szCs w:val="24"/>
          <w:lang w:val="en-US"/>
        </w:rPr>
        <w:t xml:space="preserve">    3</w:t>
      </w:r>
      <w:r>
        <w:tab/>
      </w:r>
    </w:p>
    <w:p xmlns:wp14="http://schemas.microsoft.com/office/word/2010/wordml" w:rsidP="5ED495D4" wp14:paraId="210B0DEB" wp14:textId="047B1845">
      <w:pPr>
        <w:spacing w:before="0" w:beforeAutospacing="off" w:after="0" w:afterAutospacing="off"/>
      </w:pPr>
      <w:hyperlink w:anchor="heading=h.30j0zll" r:id="R105ffb33bcab4d13">
        <w:r w:rsidRPr="5ED495D4" w:rsidR="5C7B1F42">
          <w:rPr>
            <w:rStyle w:val="Hyperlink"/>
            <w:rFonts w:ascii="Times New Roman" w:hAnsi="Times New Roman" w:eastAsia="Times New Roman" w:cs="Times New Roman"/>
            <w:b w:val="0"/>
            <w:bCs w:val="0"/>
            <w:i w:val="0"/>
            <w:iCs w:val="0"/>
            <w:strike w:val="0"/>
            <w:dstrike w:val="0"/>
            <w:noProof w:val="0"/>
            <w:color w:val="153D63" w:themeColor="text2" w:themeTint="E6" w:themeShade="FF"/>
            <w:sz w:val="24"/>
            <w:szCs w:val="24"/>
            <w:lang w:val="en-US"/>
          </w:rPr>
          <w:t>Introduction</w:t>
        </w:r>
        <w:r>
          <w:tab/>
        </w:r>
        <w:r w:rsidRPr="5ED495D4" w:rsidR="5C7B1F42">
          <w:rPr>
            <w:rStyle w:val="Hyperlink"/>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6</w:t>
        </w:r>
      </w:hyperlink>
    </w:p>
    <w:p xmlns:wp14="http://schemas.microsoft.com/office/word/2010/wordml" w:rsidP="5ED495D4" wp14:paraId="186F6789" wp14:textId="6482C4C5">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5ED495D4" w:rsidR="5C7B1F42">
        <w:rPr>
          <w:rFonts w:ascii="Times New Roman" w:hAnsi="Times New Roman" w:eastAsia="Times New Roman" w:cs="Times New Roman"/>
          <w:b w:val="0"/>
          <w:bCs w:val="0"/>
          <w:i w:val="0"/>
          <w:iCs w:val="0"/>
          <w:strike w:val="0"/>
          <w:dstrike w:val="0"/>
          <w:noProof w:val="0"/>
          <w:color w:val="153D63" w:themeColor="text2" w:themeTint="E6" w:themeShade="FF"/>
          <w:sz w:val="24"/>
          <w:szCs w:val="24"/>
          <w:u w:val="single"/>
          <w:lang w:val="en-US"/>
        </w:rPr>
        <w:t>Analysis</w:t>
      </w:r>
      <w:r>
        <w:tab/>
      </w:r>
      <w:r w:rsidRPr="5ED495D4" w:rsidR="0CB93491">
        <w:rPr>
          <w:rFonts w:ascii="Times New Roman" w:hAnsi="Times New Roman" w:eastAsia="Times New Roman" w:cs="Times New Roman"/>
          <w:b w:val="0"/>
          <w:bCs w:val="0"/>
          <w:i w:val="0"/>
          <w:iCs w:val="0"/>
          <w:strike w:val="0"/>
          <w:dstrike w:val="0"/>
          <w:noProof w:val="0"/>
          <w:sz w:val="24"/>
          <w:szCs w:val="24"/>
          <w:lang w:val="en-US"/>
        </w:rPr>
        <w:t>9</w:t>
      </w:r>
    </w:p>
    <w:p xmlns:wp14="http://schemas.microsoft.com/office/word/2010/wordml" w:rsidP="5ED495D4" wp14:paraId="578C6222" wp14:textId="142AE976">
      <w:pPr>
        <w:spacing w:before="0" w:beforeAutospacing="off" w:after="0" w:afterAutospacing="off"/>
        <w:ind w:left="0" w:right="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5ED495D4" w:rsidR="5C7B1F42">
        <w:rPr>
          <w:rFonts w:ascii="Times New Roman" w:hAnsi="Times New Roman" w:eastAsia="Times New Roman" w:cs="Times New Roman"/>
          <w:b w:val="0"/>
          <w:bCs w:val="0"/>
          <w:i w:val="0"/>
          <w:iCs w:val="0"/>
          <w:strike w:val="0"/>
          <w:dstrike w:val="0"/>
          <w:noProof w:val="0"/>
          <w:color w:val="153D63" w:themeColor="text2" w:themeTint="E6" w:themeShade="FF"/>
          <w:sz w:val="24"/>
          <w:szCs w:val="24"/>
          <w:u w:val="single"/>
          <w:lang w:val="en-US"/>
        </w:rPr>
        <w:t>Problem Description</w:t>
      </w:r>
      <w:r>
        <w:tab/>
      </w:r>
      <w:r w:rsidRPr="5ED495D4" w:rsidR="0C9BC5F4">
        <w:rPr>
          <w:rFonts w:ascii="Times New Roman" w:hAnsi="Times New Roman" w:eastAsia="Times New Roman" w:cs="Times New Roman"/>
          <w:b w:val="0"/>
          <w:bCs w:val="0"/>
          <w:i w:val="0"/>
          <w:iCs w:val="0"/>
          <w:strike w:val="0"/>
          <w:dstrike w:val="0"/>
          <w:noProof w:val="0"/>
          <w:sz w:val="24"/>
          <w:szCs w:val="24"/>
          <w:lang w:val="en-US"/>
        </w:rPr>
        <w:t>9</w:t>
      </w:r>
    </w:p>
    <w:p xmlns:wp14="http://schemas.microsoft.com/office/word/2010/wordml" w:rsidP="5ED495D4" wp14:paraId="2696191C" wp14:textId="0024BB54">
      <w:pPr>
        <w:spacing w:before="0" w:beforeAutospacing="off" w:after="0" w:afterAutospacing="off"/>
        <w:ind w:left="0" w:right="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5ED495D4" w:rsidR="5C7B1F42">
        <w:rPr>
          <w:rFonts w:ascii="Times New Roman" w:hAnsi="Times New Roman" w:eastAsia="Times New Roman" w:cs="Times New Roman"/>
          <w:b w:val="0"/>
          <w:bCs w:val="0"/>
          <w:i w:val="0"/>
          <w:iCs w:val="0"/>
          <w:strike w:val="0"/>
          <w:dstrike w:val="0"/>
          <w:noProof w:val="0"/>
          <w:color w:val="153D63" w:themeColor="text2" w:themeTint="E6" w:themeShade="FF"/>
          <w:sz w:val="24"/>
          <w:szCs w:val="24"/>
          <w:u w:val="single"/>
          <w:lang w:val="en-US"/>
        </w:rPr>
        <w:t>PESTEL Analysis</w:t>
      </w:r>
      <w:r>
        <w:tab/>
      </w:r>
      <w:r w:rsidRPr="5ED495D4" w:rsidR="1E558490">
        <w:rPr>
          <w:rFonts w:ascii="Times New Roman" w:hAnsi="Times New Roman" w:eastAsia="Times New Roman" w:cs="Times New Roman"/>
          <w:b w:val="0"/>
          <w:bCs w:val="0"/>
          <w:i w:val="0"/>
          <w:iCs w:val="0"/>
          <w:strike w:val="0"/>
          <w:dstrike w:val="0"/>
          <w:noProof w:val="0"/>
          <w:sz w:val="24"/>
          <w:szCs w:val="24"/>
          <w:lang w:val="en-US"/>
        </w:rPr>
        <w:t>10</w:t>
      </w:r>
    </w:p>
    <w:p xmlns:wp14="http://schemas.microsoft.com/office/word/2010/wordml" w:rsidP="5ED495D4" wp14:paraId="0F91A964" wp14:textId="002AE273">
      <w:pPr>
        <w:spacing w:before="0" w:beforeAutospacing="off" w:after="0" w:afterAutospacing="off"/>
        <w:ind w:left="0" w:right="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5ED495D4" w:rsidR="5C7B1F42">
        <w:rPr>
          <w:rFonts w:ascii="Times New Roman" w:hAnsi="Times New Roman" w:eastAsia="Times New Roman" w:cs="Times New Roman"/>
          <w:b w:val="0"/>
          <w:bCs w:val="0"/>
          <w:i w:val="0"/>
          <w:iCs w:val="0"/>
          <w:strike w:val="0"/>
          <w:dstrike w:val="0"/>
          <w:noProof w:val="0"/>
          <w:color w:val="153D63" w:themeColor="text2" w:themeTint="E6" w:themeShade="FF"/>
          <w:sz w:val="24"/>
          <w:szCs w:val="24"/>
          <w:u w:val="single"/>
          <w:lang w:val="en-US"/>
        </w:rPr>
        <w:t>SWOT Analysis</w:t>
      </w:r>
      <w:r>
        <w:tab/>
      </w:r>
      <w:r w:rsidRPr="5ED495D4" w:rsidR="311361D5">
        <w:rPr>
          <w:rFonts w:ascii="Times New Roman" w:hAnsi="Times New Roman" w:eastAsia="Times New Roman" w:cs="Times New Roman"/>
          <w:b w:val="0"/>
          <w:bCs w:val="0"/>
          <w:i w:val="0"/>
          <w:iCs w:val="0"/>
          <w:strike w:val="0"/>
          <w:dstrike w:val="0"/>
          <w:noProof w:val="0"/>
          <w:sz w:val="24"/>
          <w:szCs w:val="24"/>
          <w:lang w:val="en-US"/>
        </w:rPr>
        <w:t>1</w:t>
      </w:r>
      <w:r w:rsidRPr="5ED495D4" w:rsidR="32C05768">
        <w:rPr>
          <w:rFonts w:ascii="Times New Roman" w:hAnsi="Times New Roman" w:eastAsia="Times New Roman" w:cs="Times New Roman"/>
          <w:b w:val="0"/>
          <w:bCs w:val="0"/>
          <w:i w:val="0"/>
          <w:iCs w:val="0"/>
          <w:strike w:val="0"/>
          <w:dstrike w:val="0"/>
          <w:noProof w:val="0"/>
          <w:sz w:val="24"/>
          <w:szCs w:val="24"/>
          <w:lang w:val="en-US"/>
        </w:rPr>
        <w:t>1</w:t>
      </w:r>
    </w:p>
    <w:p xmlns:wp14="http://schemas.microsoft.com/office/word/2010/wordml" w:rsidP="5ED495D4" wp14:paraId="53BCA07D" wp14:textId="6591F400">
      <w:pPr>
        <w:pStyle w:val="Normal"/>
        <w:spacing w:before="0" w:beforeAutospacing="off" w:after="0" w:afterAutospacing="off"/>
        <w:ind w:left="0" w:right="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5ED495D4" w:rsidR="2EBD85D5">
        <w:rPr>
          <w:rFonts w:ascii="Times New Roman" w:hAnsi="Times New Roman" w:eastAsia="Times New Roman" w:cs="Times New Roman"/>
          <w:b w:val="0"/>
          <w:bCs w:val="0"/>
          <w:i w:val="0"/>
          <w:iCs w:val="0"/>
          <w:strike w:val="0"/>
          <w:dstrike w:val="0"/>
          <w:noProof w:val="0"/>
          <w:color w:val="153D63" w:themeColor="text2" w:themeTint="E6" w:themeShade="FF"/>
          <w:sz w:val="24"/>
          <w:szCs w:val="24"/>
          <w:u w:val="single"/>
          <w:lang w:val="en-US"/>
        </w:rPr>
        <w:t>TOWS Analysis</w:t>
      </w:r>
      <w:r>
        <w:tab/>
      </w:r>
      <w:r w:rsidRPr="5ED495D4" w:rsidR="2FF2D84A">
        <w:rPr>
          <w:rFonts w:ascii="Times New Roman" w:hAnsi="Times New Roman" w:eastAsia="Times New Roman" w:cs="Times New Roman"/>
          <w:b w:val="0"/>
          <w:bCs w:val="0"/>
          <w:i w:val="0"/>
          <w:iCs w:val="0"/>
          <w:strike w:val="0"/>
          <w:dstrike w:val="0"/>
          <w:noProof w:val="0"/>
          <w:sz w:val="24"/>
          <w:szCs w:val="24"/>
          <w:lang w:val="en-US"/>
        </w:rPr>
        <w:t>1</w:t>
      </w:r>
      <w:r w:rsidRPr="5ED495D4" w:rsidR="145CB784">
        <w:rPr>
          <w:rFonts w:ascii="Times New Roman" w:hAnsi="Times New Roman" w:eastAsia="Times New Roman" w:cs="Times New Roman"/>
          <w:b w:val="0"/>
          <w:bCs w:val="0"/>
          <w:i w:val="0"/>
          <w:iCs w:val="0"/>
          <w:strike w:val="0"/>
          <w:dstrike w:val="0"/>
          <w:noProof w:val="0"/>
          <w:sz w:val="24"/>
          <w:szCs w:val="24"/>
          <w:lang w:val="en-US"/>
        </w:rPr>
        <w:t>3</w:t>
      </w:r>
    </w:p>
    <w:p xmlns:wp14="http://schemas.microsoft.com/office/word/2010/wordml" w:rsidP="5ED495D4" wp14:paraId="64D0198E" wp14:textId="0B9ED5BB">
      <w:pPr>
        <w:spacing w:before="0" w:beforeAutospacing="off" w:after="0" w:afterAutospacing="off"/>
        <w:ind w:left="0" w:right="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5ED495D4" w:rsidR="5C7B1F42">
        <w:rPr>
          <w:rFonts w:ascii="Times New Roman" w:hAnsi="Times New Roman" w:eastAsia="Times New Roman" w:cs="Times New Roman"/>
          <w:b w:val="0"/>
          <w:bCs w:val="0"/>
          <w:i w:val="0"/>
          <w:iCs w:val="0"/>
          <w:strike w:val="0"/>
          <w:dstrike w:val="0"/>
          <w:noProof w:val="0"/>
          <w:color w:val="153D63" w:themeColor="text2" w:themeTint="E6" w:themeShade="FF"/>
          <w:sz w:val="24"/>
          <w:szCs w:val="24"/>
          <w:u w:val="none"/>
          <w:lang w:val="en-US"/>
        </w:rPr>
        <w:t>Data and Statistics Analysis</w:t>
      </w:r>
      <w:r>
        <w:tab/>
      </w:r>
      <w:r w:rsidRPr="5ED495D4" w:rsidR="5C7B1F4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1</w:t>
      </w:r>
      <w:r w:rsidRPr="5ED495D4" w:rsidR="3B54A1A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4</w:t>
      </w:r>
    </w:p>
    <w:p xmlns:wp14="http://schemas.microsoft.com/office/word/2010/wordml" w:rsidP="5ED495D4" wp14:paraId="4D7F06C7" wp14:textId="6B0F60C0">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5ED495D4" w:rsidR="5C7B1F42">
        <w:rPr>
          <w:rFonts w:ascii="Times New Roman" w:hAnsi="Times New Roman" w:eastAsia="Times New Roman" w:cs="Times New Roman"/>
          <w:b w:val="0"/>
          <w:bCs w:val="0"/>
          <w:i w:val="0"/>
          <w:iCs w:val="0"/>
          <w:strike w:val="0"/>
          <w:dstrike w:val="0"/>
          <w:noProof w:val="0"/>
          <w:color w:val="153D63" w:themeColor="text2" w:themeTint="E6" w:themeShade="FF"/>
          <w:sz w:val="24"/>
          <w:szCs w:val="24"/>
          <w:u w:val="single"/>
          <w:lang w:val="en-US"/>
        </w:rPr>
        <w:t>Recommendations and Change Managemen</w:t>
      </w:r>
      <w:r w:rsidRPr="5ED495D4" w:rsidR="5C7B1F42">
        <w:rPr>
          <w:rFonts w:ascii="Times New Roman" w:hAnsi="Times New Roman" w:eastAsia="Times New Roman" w:cs="Times New Roman"/>
          <w:b w:val="0"/>
          <w:bCs w:val="0"/>
          <w:i w:val="0"/>
          <w:iCs w:val="0"/>
          <w:strike w:val="0"/>
          <w:dstrike w:val="0"/>
          <w:noProof w:val="0"/>
          <w:sz w:val="24"/>
          <w:szCs w:val="24"/>
          <w:lang w:val="en-US"/>
        </w:rPr>
        <w:t>t</w:t>
      </w:r>
      <w:r>
        <w:tab/>
      </w:r>
      <w:r w:rsidRPr="5ED495D4" w:rsidR="5C7B1F4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1</w:t>
      </w:r>
      <w:r w:rsidRPr="5ED495D4" w:rsidR="235935B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5</w:t>
      </w:r>
    </w:p>
    <w:p xmlns:wp14="http://schemas.microsoft.com/office/word/2010/wordml" w:rsidP="5ED495D4" wp14:paraId="12373803" wp14:textId="25A56163">
      <w:pPr>
        <w:spacing w:before="0" w:beforeAutospacing="off" w:after="0" w:afterAutospacing="off"/>
        <w:ind w:left="0" w:right="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5ED495D4" w:rsidR="5C7B1F42">
        <w:rPr>
          <w:rFonts w:ascii="Times New Roman" w:hAnsi="Times New Roman" w:eastAsia="Times New Roman" w:cs="Times New Roman"/>
          <w:b w:val="0"/>
          <w:bCs w:val="0"/>
          <w:i w:val="0"/>
          <w:iCs w:val="0"/>
          <w:strike w:val="0"/>
          <w:dstrike w:val="0"/>
          <w:noProof w:val="0"/>
          <w:color w:val="153D63" w:themeColor="text2" w:themeTint="E6" w:themeShade="FF"/>
          <w:sz w:val="24"/>
          <w:szCs w:val="24"/>
          <w:u w:val="single"/>
          <w:lang w:val="en-US"/>
        </w:rPr>
        <w:t>Recommendations</w:t>
      </w:r>
      <w:r>
        <w:tab/>
      </w:r>
      <w:r w:rsidRPr="5ED495D4" w:rsidR="5C7B1F4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1</w:t>
      </w:r>
      <w:r w:rsidRPr="5ED495D4" w:rsidR="5E59E2A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5</w:t>
      </w:r>
    </w:p>
    <w:p xmlns:wp14="http://schemas.microsoft.com/office/word/2010/wordml" w:rsidP="5ED495D4" wp14:paraId="64FD12FC" wp14:textId="241C27C9">
      <w:pPr>
        <w:spacing w:before="0" w:beforeAutospacing="off" w:after="0" w:afterAutospacing="off"/>
        <w:ind w:left="0" w:right="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5ED495D4" w:rsidR="5C7B1F42">
        <w:rPr>
          <w:rFonts w:ascii="Times New Roman" w:hAnsi="Times New Roman" w:eastAsia="Times New Roman" w:cs="Times New Roman"/>
          <w:b w:val="0"/>
          <w:bCs w:val="0"/>
          <w:i w:val="0"/>
          <w:iCs w:val="0"/>
          <w:strike w:val="0"/>
          <w:dstrike w:val="0"/>
          <w:noProof w:val="0"/>
          <w:color w:val="153D63" w:themeColor="text2" w:themeTint="E6" w:themeShade="FF"/>
          <w:sz w:val="24"/>
          <w:szCs w:val="24"/>
          <w:u w:val="single"/>
          <w:lang w:val="en-US"/>
        </w:rPr>
        <w:t>Improving Customer Service Consistency</w:t>
      </w:r>
      <w:r>
        <w:tab/>
      </w:r>
      <w:r w:rsidRPr="5ED495D4" w:rsidR="5C7B1F4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1</w:t>
      </w:r>
      <w:r w:rsidRPr="5ED495D4" w:rsidR="43F2380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6</w:t>
      </w:r>
    </w:p>
    <w:p xmlns:wp14="http://schemas.microsoft.com/office/word/2010/wordml" w:rsidP="5ED495D4" wp14:paraId="1BE9206D" wp14:textId="1E8101BA">
      <w:pPr>
        <w:spacing w:before="0" w:beforeAutospacing="off" w:after="0" w:afterAutospacing="off"/>
        <w:ind w:left="0" w:right="0"/>
        <w:rPr>
          <w:rFonts w:ascii="Times New Roman" w:hAnsi="Times New Roman" w:eastAsia="Times New Roman" w:cs="Times New Roman"/>
          <w:b w:val="0"/>
          <w:bCs w:val="0"/>
          <w:i w:val="0"/>
          <w:iCs w:val="0"/>
          <w:strike w:val="0"/>
          <w:dstrike w:val="0"/>
          <w:noProof w:val="0"/>
          <w:sz w:val="24"/>
          <w:szCs w:val="24"/>
          <w:lang w:val="en-US"/>
        </w:rPr>
      </w:pPr>
      <w:r w:rsidRPr="5ED495D4" w:rsidR="5C7B1F42">
        <w:rPr>
          <w:rFonts w:ascii="Times New Roman" w:hAnsi="Times New Roman" w:eastAsia="Times New Roman" w:cs="Times New Roman"/>
          <w:b w:val="0"/>
          <w:bCs w:val="0"/>
          <w:i w:val="0"/>
          <w:iCs w:val="0"/>
          <w:strike w:val="0"/>
          <w:dstrike w:val="0"/>
          <w:noProof w:val="0"/>
          <w:color w:val="153D63" w:themeColor="text2" w:themeTint="E6" w:themeShade="FF"/>
          <w:sz w:val="24"/>
          <w:szCs w:val="24"/>
          <w:u w:val="single"/>
          <w:lang w:val="en-US"/>
        </w:rPr>
        <w:t>Optimizing</w:t>
      </w:r>
      <w:r w:rsidRPr="5ED495D4" w:rsidR="5C7B1F42">
        <w:rPr>
          <w:rFonts w:ascii="Times New Roman" w:hAnsi="Times New Roman" w:eastAsia="Times New Roman" w:cs="Times New Roman"/>
          <w:b w:val="0"/>
          <w:bCs w:val="0"/>
          <w:i w:val="0"/>
          <w:iCs w:val="0"/>
          <w:strike w:val="0"/>
          <w:dstrike w:val="0"/>
          <w:noProof w:val="0"/>
          <w:color w:val="153D63" w:themeColor="text2" w:themeTint="E6" w:themeShade="FF"/>
          <w:sz w:val="24"/>
          <w:szCs w:val="24"/>
          <w:u w:val="single"/>
          <w:lang w:val="en-US"/>
        </w:rPr>
        <w:t xml:space="preserve"> Revenue and Reducing Dependency on Seasonal Demand</w:t>
      </w:r>
      <w:r w:rsidRPr="5ED495D4" w:rsidR="6A369F26">
        <w:rPr>
          <w:rFonts w:ascii="Times New Roman" w:hAnsi="Times New Roman" w:eastAsia="Times New Roman" w:cs="Times New Roman"/>
          <w:b w:val="0"/>
          <w:bCs w:val="0"/>
          <w:i w:val="0"/>
          <w:iCs w:val="0"/>
          <w:strike w:val="0"/>
          <w:dstrike w:val="0"/>
          <w:noProof w:val="0"/>
          <w:color w:val="153D63" w:themeColor="text2" w:themeTint="E6" w:themeShade="FF"/>
          <w:sz w:val="24"/>
          <w:szCs w:val="24"/>
          <w:u w:val="single"/>
          <w:lang w:val="en-US"/>
        </w:rPr>
        <w:t xml:space="preserve"> </w:t>
      </w:r>
      <w:r w:rsidRPr="5ED495D4" w:rsidR="6A369F26">
        <w:rPr>
          <w:rFonts w:ascii="Times New Roman" w:hAnsi="Times New Roman" w:eastAsia="Times New Roman" w:cs="Times New Roman"/>
          <w:b w:val="0"/>
          <w:bCs w:val="0"/>
          <w:i w:val="0"/>
          <w:iCs w:val="0"/>
          <w:strike w:val="0"/>
          <w:dstrike w:val="0"/>
          <w:noProof w:val="0"/>
          <w:sz w:val="24"/>
          <w:szCs w:val="24"/>
          <w:lang w:val="en-US"/>
        </w:rPr>
        <w:t xml:space="preserve">  18</w:t>
      </w:r>
      <w:r>
        <w:tab/>
      </w:r>
    </w:p>
    <w:p xmlns:wp14="http://schemas.microsoft.com/office/word/2010/wordml" w:rsidP="5ED495D4" wp14:paraId="63B37A7D" wp14:textId="7578EFD2">
      <w:pPr>
        <w:spacing w:before="0" w:beforeAutospacing="off" w:after="0" w:afterAutospacing="off"/>
        <w:ind w:left="0" w:right="0"/>
        <w:rPr>
          <w:rFonts w:ascii="Times New Roman" w:hAnsi="Times New Roman" w:eastAsia="Times New Roman" w:cs="Times New Roman"/>
          <w:b w:val="0"/>
          <w:bCs w:val="0"/>
          <w:i w:val="0"/>
          <w:iCs w:val="0"/>
          <w:strike w:val="0"/>
          <w:dstrike w:val="0"/>
          <w:noProof w:val="0"/>
          <w:sz w:val="24"/>
          <w:szCs w:val="24"/>
          <w:lang w:val="en-US"/>
        </w:rPr>
      </w:pPr>
      <w:r w:rsidRPr="5ED495D4" w:rsidR="5C7B1F42">
        <w:rPr>
          <w:rFonts w:ascii="Times New Roman" w:hAnsi="Times New Roman" w:eastAsia="Times New Roman" w:cs="Times New Roman"/>
          <w:b w:val="0"/>
          <w:bCs w:val="0"/>
          <w:i w:val="0"/>
          <w:iCs w:val="0"/>
          <w:strike w:val="0"/>
          <w:dstrike w:val="0"/>
          <w:noProof w:val="0"/>
          <w:color w:val="153D63" w:themeColor="text2" w:themeTint="E6" w:themeShade="FF"/>
          <w:sz w:val="24"/>
          <w:szCs w:val="24"/>
          <w:u w:val="single"/>
          <w:lang w:val="en-US"/>
        </w:rPr>
        <w:t>Enhancing Sustainable Practices</w:t>
      </w:r>
      <w:r>
        <w:tab/>
      </w:r>
      <w:r w:rsidRPr="5ED495D4" w:rsidR="2C72C704">
        <w:rPr>
          <w:rFonts w:ascii="Times New Roman" w:hAnsi="Times New Roman" w:eastAsia="Times New Roman" w:cs="Times New Roman"/>
          <w:b w:val="0"/>
          <w:bCs w:val="0"/>
          <w:i w:val="0"/>
          <w:iCs w:val="0"/>
          <w:strike w:val="0"/>
          <w:dstrike w:val="0"/>
          <w:noProof w:val="0"/>
          <w:sz w:val="24"/>
          <w:szCs w:val="24"/>
          <w:lang w:val="en-US"/>
        </w:rPr>
        <w:t>19</w:t>
      </w:r>
    </w:p>
    <w:p xmlns:wp14="http://schemas.microsoft.com/office/word/2010/wordml" w:rsidP="5ED495D4" wp14:paraId="5A1A1F94" wp14:textId="7CCC53E1">
      <w:pPr>
        <w:spacing w:before="0" w:beforeAutospacing="off" w:after="0" w:afterAutospacing="off"/>
        <w:ind w:left="0" w:right="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5ED495D4" w:rsidR="5C7B1F42">
        <w:rPr>
          <w:rFonts w:ascii="Times New Roman" w:hAnsi="Times New Roman" w:eastAsia="Times New Roman" w:cs="Times New Roman"/>
          <w:b w:val="0"/>
          <w:bCs w:val="0"/>
          <w:i w:val="0"/>
          <w:iCs w:val="0"/>
          <w:strike w:val="0"/>
          <w:dstrike w:val="0"/>
          <w:noProof w:val="0"/>
          <w:color w:val="153D63" w:themeColor="text2" w:themeTint="E6" w:themeShade="FF"/>
          <w:sz w:val="24"/>
          <w:szCs w:val="24"/>
          <w:u w:val="single"/>
          <w:lang w:val="en-US"/>
        </w:rPr>
        <w:t>Change Management Strategy</w:t>
      </w:r>
      <w:r>
        <w:tab/>
      </w:r>
      <w:r w:rsidRPr="5ED495D4" w:rsidR="5A54DEBF">
        <w:rPr>
          <w:rFonts w:ascii="Times New Roman" w:hAnsi="Times New Roman" w:eastAsia="Times New Roman" w:cs="Times New Roman"/>
          <w:b w:val="0"/>
          <w:bCs w:val="0"/>
          <w:i w:val="0"/>
          <w:iCs w:val="0"/>
          <w:strike w:val="0"/>
          <w:dstrike w:val="0"/>
          <w:noProof w:val="0"/>
          <w:sz w:val="24"/>
          <w:szCs w:val="24"/>
          <w:lang w:val="en-US"/>
        </w:rPr>
        <w:t xml:space="preserve">  2</w:t>
      </w:r>
      <w:r w:rsidRPr="5ED495D4" w:rsidR="7441799F">
        <w:rPr>
          <w:rFonts w:ascii="Times New Roman" w:hAnsi="Times New Roman" w:eastAsia="Times New Roman" w:cs="Times New Roman"/>
          <w:b w:val="0"/>
          <w:bCs w:val="0"/>
          <w:i w:val="0"/>
          <w:iCs w:val="0"/>
          <w:strike w:val="0"/>
          <w:dstrike w:val="0"/>
          <w:noProof w:val="0"/>
          <w:sz w:val="24"/>
          <w:szCs w:val="24"/>
          <w:lang w:val="en-US"/>
        </w:rPr>
        <w:t>1</w:t>
      </w:r>
    </w:p>
    <w:p xmlns:wp14="http://schemas.microsoft.com/office/word/2010/wordml" w:rsidP="5ED495D4" wp14:paraId="0FD29C0D" wp14:textId="611A4873">
      <w:pPr>
        <w:spacing w:before="0" w:beforeAutospacing="off" w:after="0" w:afterAutospacing="off"/>
        <w:ind w:left="0" w:right="0"/>
        <w:rPr>
          <w:rFonts w:ascii="Times New Roman" w:hAnsi="Times New Roman" w:eastAsia="Times New Roman" w:cs="Times New Roman"/>
          <w:b w:val="0"/>
          <w:bCs w:val="0"/>
          <w:i w:val="0"/>
          <w:iCs w:val="0"/>
          <w:strike w:val="0"/>
          <w:dstrike w:val="0"/>
          <w:noProof w:val="0"/>
          <w:sz w:val="24"/>
          <w:szCs w:val="24"/>
          <w:lang w:val="en-US"/>
        </w:rPr>
      </w:pPr>
      <w:r w:rsidRPr="5ED495D4" w:rsidR="5C7B1F42">
        <w:rPr>
          <w:rFonts w:ascii="Times New Roman" w:hAnsi="Times New Roman" w:eastAsia="Times New Roman" w:cs="Times New Roman"/>
          <w:b w:val="0"/>
          <w:bCs w:val="0"/>
          <w:i w:val="0"/>
          <w:iCs w:val="0"/>
          <w:strike w:val="0"/>
          <w:dstrike w:val="0"/>
          <w:noProof w:val="0"/>
          <w:color w:val="153D63" w:themeColor="text2" w:themeTint="E6" w:themeShade="FF"/>
          <w:sz w:val="24"/>
          <w:szCs w:val="24"/>
          <w:u w:val="single"/>
          <w:lang w:val="en-US"/>
        </w:rPr>
        <w:t>Measurement of Success</w:t>
      </w:r>
      <w:r w:rsidRPr="5ED495D4" w:rsidR="735C021C">
        <w:rPr>
          <w:rFonts w:ascii="Times New Roman" w:hAnsi="Times New Roman" w:eastAsia="Times New Roman" w:cs="Times New Roman"/>
          <w:b w:val="0"/>
          <w:bCs w:val="0"/>
          <w:i w:val="0"/>
          <w:iCs w:val="0"/>
          <w:strike w:val="0"/>
          <w:dstrike w:val="0"/>
          <w:noProof w:val="0"/>
          <w:color w:val="153D63" w:themeColor="text2" w:themeTint="E6" w:themeShade="FF"/>
          <w:sz w:val="24"/>
          <w:szCs w:val="24"/>
          <w:u w:val="single"/>
          <w:lang w:val="en-US"/>
        </w:rPr>
        <w:t xml:space="preserve"> </w:t>
      </w:r>
      <w:r w:rsidRPr="5ED495D4" w:rsidR="735C021C">
        <w:rPr>
          <w:rFonts w:ascii="Times New Roman" w:hAnsi="Times New Roman" w:eastAsia="Times New Roman" w:cs="Times New Roman"/>
          <w:b w:val="0"/>
          <w:bCs w:val="0"/>
          <w:i w:val="0"/>
          <w:iCs w:val="0"/>
          <w:strike w:val="0"/>
          <w:dstrike w:val="0"/>
          <w:noProof w:val="0"/>
          <w:sz w:val="24"/>
          <w:szCs w:val="24"/>
          <w:lang w:val="en-US"/>
        </w:rPr>
        <w:t xml:space="preserve">  21</w:t>
      </w:r>
      <w:r>
        <w:tab/>
      </w:r>
    </w:p>
    <w:p xmlns:wp14="http://schemas.microsoft.com/office/word/2010/wordml" w:rsidP="5ED495D4" wp14:paraId="36048D5B" wp14:textId="4054A6F5">
      <w:pPr>
        <w:spacing w:before="0" w:beforeAutospacing="off" w:after="0" w:afterAutospacing="off"/>
        <w:ind w:left="0" w:right="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5ED495D4" w:rsidR="5C7B1F42">
        <w:rPr>
          <w:rFonts w:ascii="Times New Roman" w:hAnsi="Times New Roman" w:eastAsia="Times New Roman" w:cs="Times New Roman"/>
          <w:b w:val="0"/>
          <w:bCs w:val="0"/>
          <w:i w:val="0"/>
          <w:iCs w:val="0"/>
          <w:strike w:val="0"/>
          <w:dstrike w:val="0"/>
          <w:noProof w:val="0"/>
          <w:color w:val="153D63" w:themeColor="text2" w:themeTint="E6" w:themeShade="FF"/>
          <w:sz w:val="24"/>
          <w:szCs w:val="24"/>
          <w:u w:val="single"/>
          <w:lang w:val="en-US"/>
        </w:rPr>
        <w:t>Costing</w:t>
      </w:r>
      <w:r w:rsidRPr="5ED495D4" w:rsidR="66A4369C">
        <w:rPr>
          <w:rFonts w:ascii="Times New Roman" w:hAnsi="Times New Roman" w:eastAsia="Times New Roman" w:cs="Times New Roman"/>
          <w:b w:val="0"/>
          <w:bCs w:val="0"/>
          <w:i w:val="0"/>
          <w:iCs w:val="0"/>
          <w:strike w:val="0"/>
          <w:dstrike w:val="0"/>
          <w:noProof w:val="0"/>
          <w:color w:val="153D63" w:themeColor="text2" w:themeTint="E6" w:themeShade="FF"/>
          <w:sz w:val="24"/>
          <w:szCs w:val="24"/>
          <w:u w:val="single"/>
          <w:lang w:val="en-US"/>
        </w:rPr>
        <w:t xml:space="preserve"> </w:t>
      </w:r>
      <w:r w:rsidRPr="5ED495D4" w:rsidR="66A4369C">
        <w:rPr>
          <w:rFonts w:ascii="Times New Roman" w:hAnsi="Times New Roman" w:eastAsia="Times New Roman" w:cs="Times New Roman"/>
          <w:b w:val="0"/>
          <w:bCs w:val="0"/>
          <w:i w:val="0"/>
          <w:iCs w:val="0"/>
          <w:strike w:val="0"/>
          <w:dstrike w:val="0"/>
          <w:noProof w:val="0"/>
          <w:sz w:val="24"/>
          <w:szCs w:val="24"/>
          <w:lang w:val="en-US"/>
        </w:rPr>
        <w:t xml:space="preserve">      22</w:t>
      </w:r>
      <w:r>
        <w:tab/>
      </w:r>
    </w:p>
    <w:p xmlns:wp14="http://schemas.microsoft.com/office/word/2010/wordml" w:rsidP="5ED495D4" wp14:paraId="786DE731" wp14:textId="7D72E7BF">
      <w:pPr>
        <w:spacing w:before="0" w:beforeAutospacing="off" w:after="0" w:afterAutospacing="off"/>
      </w:pPr>
      <w:r w:rsidRPr="5ED495D4" w:rsidR="5C7B1F42">
        <w:rPr>
          <w:rFonts w:ascii="Times New Roman" w:hAnsi="Times New Roman" w:eastAsia="Times New Roman" w:cs="Times New Roman"/>
          <w:b w:val="0"/>
          <w:bCs w:val="0"/>
          <w:i w:val="0"/>
          <w:iCs w:val="0"/>
          <w:strike w:val="0"/>
          <w:dstrike w:val="0"/>
          <w:noProof w:val="0"/>
          <w:color w:val="153D63" w:themeColor="text2" w:themeTint="E6" w:themeShade="FF"/>
          <w:sz w:val="24"/>
          <w:szCs w:val="24"/>
          <w:u w:val="single"/>
          <w:lang w:val="en-US"/>
        </w:rPr>
        <w:t>Action Plan</w:t>
      </w:r>
      <w:r>
        <w:tab/>
      </w:r>
      <w:r w:rsidRPr="5ED495D4" w:rsidR="5C7B1F4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2</w:t>
      </w:r>
      <w:r w:rsidRPr="5ED495D4" w:rsidR="68D2A99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7</w:t>
      </w:r>
    </w:p>
    <w:p xmlns:wp14="http://schemas.microsoft.com/office/word/2010/wordml" w:rsidP="5ED495D4" wp14:paraId="322AAC0D" wp14:textId="3E06F86F">
      <w:pPr>
        <w:spacing w:before="0" w:beforeAutospacing="off" w:after="0" w:afterAutospacing="off"/>
      </w:pPr>
      <w:r w:rsidRPr="5ED495D4" w:rsidR="5C7B1F42">
        <w:rPr>
          <w:rFonts w:ascii="Times New Roman" w:hAnsi="Times New Roman" w:eastAsia="Times New Roman" w:cs="Times New Roman"/>
          <w:b w:val="0"/>
          <w:bCs w:val="0"/>
          <w:i w:val="0"/>
          <w:iCs w:val="0"/>
          <w:strike w:val="0"/>
          <w:dstrike w:val="0"/>
          <w:noProof w:val="0"/>
          <w:color w:val="153D63" w:themeColor="text2" w:themeTint="E6" w:themeShade="FF"/>
          <w:sz w:val="24"/>
          <w:szCs w:val="24"/>
          <w:u w:val="single"/>
          <w:lang w:val="en-US"/>
        </w:rPr>
        <w:t>Conclusion</w:t>
      </w:r>
      <w:r>
        <w:tab/>
      </w:r>
      <w:r w:rsidRPr="5ED495D4" w:rsidR="5C7B1F4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2</w:t>
      </w:r>
      <w:r w:rsidRPr="5ED495D4" w:rsidR="4048C25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8</w:t>
      </w:r>
    </w:p>
    <w:p xmlns:wp14="http://schemas.microsoft.com/office/word/2010/wordml" w:rsidP="5ED495D4" wp14:paraId="4068A796" wp14:textId="2D0BE9E4">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5ED495D4" w:rsidR="5C7B1F42">
        <w:rPr>
          <w:rFonts w:ascii="Times New Roman" w:hAnsi="Times New Roman" w:eastAsia="Times New Roman" w:cs="Times New Roman"/>
          <w:b w:val="0"/>
          <w:bCs w:val="0"/>
          <w:i w:val="0"/>
          <w:iCs w:val="0"/>
          <w:strike w:val="0"/>
          <w:dstrike w:val="0"/>
          <w:noProof w:val="0"/>
          <w:color w:val="153D63" w:themeColor="text2" w:themeTint="E6" w:themeShade="FF"/>
          <w:sz w:val="24"/>
          <w:szCs w:val="24"/>
          <w:u w:val="single"/>
          <w:lang w:val="en-US"/>
        </w:rPr>
        <w:t>References</w:t>
      </w:r>
      <w:r w:rsidRPr="5ED495D4" w:rsidR="0CEB284E">
        <w:rPr>
          <w:rFonts w:ascii="Times New Roman" w:hAnsi="Times New Roman" w:eastAsia="Times New Roman" w:cs="Times New Roman"/>
          <w:b w:val="0"/>
          <w:bCs w:val="0"/>
          <w:i w:val="0"/>
          <w:iCs w:val="0"/>
          <w:strike w:val="0"/>
          <w:dstrike w:val="0"/>
          <w:noProof w:val="0"/>
          <w:color w:val="153D63" w:themeColor="text2" w:themeTint="E6" w:themeShade="FF"/>
          <w:sz w:val="24"/>
          <w:szCs w:val="24"/>
          <w:u w:val="single"/>
          <w:lang w:val="en-US"/>
        </w:rPr>
        <w:t xml:space="preserve"> </w:t>
      </w:r>
      <w:r w:rsidRPr="5ED495D4" w:rsidR="0CEB284E">
        <w:rPr>
          <w:rFonts w:ascii="Times New Roman" w:hAnsi="Times New Roman" w:eastAsia="Times New Roman" w:cs="Times New Roman"/>
          <w:b w:val="0"/>
          <w:bCs w:val="0"/>
          <w:i w:val="0"/>
          <w:iCs w:val="0"/>
          <w:strike w:val="0"/>
          <w:dstrike w:val="0"/>
          <w:noProof w:val="0"/>
          <w:sz w:val="24"/>
          <w:szCs w:val="24"/>
          <w:lang w:val="en-US"/>
        </w:rPr>
        <w:t xml:space="preserve">    31</w:t>
      </w:r>
      <w:r>
        <w:tab/>
      </w:r>
    </w:p>
    <w:p xmlns:wp14="http://schemas.microsoft.com/office/word/2010/wordml" w:rsidP="5ED495D4" wp14:paraId="11D1E8F8" wp14:textId="248662E1">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xmlns:wp14="http://schemas.microsoft.com/office/word/2010/wordml" w:rsidP="5ED495D4" wp14:paraId="7312A6E3" wp14:textId="70F4FBCD">
      <w:pPr>
        <w:pStyle w:val="Normal"/>
        <w:rPr>
          <w:rFonts w:ascii="Times New Roman" w:hAnsi="Times New Roman" w:eastAsia="Times New Roman" w:cs="Times New Roman"/>
          <w:b w:val="1"/>
          <w:bCs w:val="1"/>
          <w:i w:val="1"/>
          <w:iCs w:val="1"/>
          <w:strike w:val="0"/>
          <w:dstrike w:val="0"/>
          <w:noProof w:val="0"/>
          <w:color w:val="000000" w:themeColor="text1" w:themeTint="FF" w:themeShade="FF"/>
          <w:sz w:val="28"/>
          <w:szCs w:val="28"/>
          <w:u w:val="single"/>
          <w:lang w:val="en-US"/>
        </w:rPr>
      </w:pPr>
      <w:r w:rsidRPr="5ED495D4" w:rsidR="5C7B1F42">
        <w:rPr>
          <w:rFonts w:ascii="Times New Roman" w:hAnsi="Times New Roman" w:eastAsia="Times New Roman" w:cs="Times New Roman"/>
          <w:b w:val="1"/>
          <w:bCs w:val="1"/>
          <w:i w:val="1"/>
          <w:iCs w:val="1"/>
          <w:strike w:val="0"/>
          <w:dstrike w:val="0"/>
          <w:noProof w:val="0"/>
          <w:color w:val="000000" w:themeColor="text1" w:themeTint="FF" w:themeShade="FF"/>
          <w:sz w:val="28"/>
          <w:szCs w:val="28"/>
          <w:u w:val="single"/>
          <w:lang w:val="en-US"/>
        </w:rPr>
        <w:t xml:space="preserve">List </w:t>
      </w:r>
      <w:r w:rsidRPr="5ED495D4" w:rsidR="64AF2701">
        <w:rPr>
          <w:rFonts w:ascii="Times New Roman" w:hAnsi="Times New Roman" w:eastAsia="Times New Roman" w:cs="Times New Roman"/>
          <w:b w:val="1"/>
          <w:bCs w:val="1"/>
          <w:i w:val="1"/>
          <w:iCs w:val="1"/>
          <w:strike w:val="0"/>
          <w:dstrike w:val="0"/>
          <w:noProof w:val="0"/>
          <w:color w:val="000000" w:themeColor="text1" w:themeTint="FF" w:themeShade="FF"/>
          <w:sz w:val="28"/>
          <w:szCs w:val="28"/>
          <w:u w:val="single"/>
          <w:lang w:val="en-US"/>
        </w:rPr>
        <w:t>of Figures</w:t>
      </w:r>
    </w:p>
    <w:p xmlns:wp14="http://schemas.microsoft.com/office/word/2010/wordml" w:rsidP="5ED495D4" wp14:paraId="0E52E005" wp14:textId="187EF46B">
      <w:pPr>
        <w:spacing w:before="0" w:beforeAutospacing="off" w:after="0" w:afterAutospacing="off"/>
      </w:pPr>
      <w:hyperlink w:anchor="heading=h.1fob9te" r:id="R9985b8719f6344e8">
        <w:r w:rsidRPr="5ED495D4" w:rsidR="5C7B1F42">
          <w:rPr>
            <w:rStyle w:val="Hyperlink"/>
            <w:rFonts w:ascii="Times New Roman" w:hAnsi="Times New Roman" w:eastAsia="Times New Roman" w:cs="Times New Roman"/>
            <w:b w:val="0"/>
            <w:bCs w:val="0"/>
            <w:i w:val="0"/>
            <w:iCs w:val="0"/>
            <w:strike w:val="0"/>
            <w:dstrike w:val="0"/>
            <w:noProof w:val="0"/>
            <w:sz w:val="24"/>
            <w:szCs w:val="24"/>
            <w:lang w:val="en-US"/>
          </w:rPr>
          <w:t>Figure 1: Revenue of Accor Group worldwide from 2019 to 2023</w:t>
        </w:r>
        <w:r>
          <w:tab/>
        </w:r>
        <w:r w:rsidRPr="5ED495D4" w:rsidR="5C7B1F42">
          <w:rPr>
            <w:rStyle w:val="Hyperlink"/>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7</w:t>
        </w:r>
      </w:hyperlink>
    </w:p>
    <w:p xmlns:wp14="http://schemas.microsoft.com/office/word/2010/wordml" w:rsidP="5ED495D4" wp14:paraId="10F3335E" wp14:textId="294AE7EB">
      <w:pPr>
        <w:spacing w:before="0" w:beforeAutospacing="off" w:after="0" w:afterAutospacing="off"/>
      </w:pPr>
      <w:hyperlink w:anchor="heading=h.3dy6vkm" r:id="Rdcae87f430864d08">
        <w:r w:rsidRPr="5ED495D4" w:rsidR="5C7B1F42">
          <w:rPr>
            <w:rStyle w:val="Hyperlink"/>
            <w:rFonts w:ascii="Times New Roman" w:hAnsi="Times New Roman" w:eastAsia="Times New Roman" w:cs="Times New Roman"/>
            <w:b w:val="0"/>
            <w:bCs w:val="0"/>
            <w:i w:val="0"/>
            <w:iCs w:val="0"/>
            <w:strike w:val="0"/>
            <w:dstrike w:val="0"/>
            <w:noProof w:val="0"/>
            <w:sz w:val="24"/>
            <w:szCs w:val="24"/>
            <w:lang w:val="en-US"/>
          </w:rPr>
          <w:t>Figure 2:PESTEL</w:t>
        </w:r>
        <w:r>
          <w:tab/>
        </w:r>
        <w:r w:rsidRPr="5ED495D4" w:rsidR="5C7B1F42">
          <w:rPr>
            <w:rStyle w:val="Hyperlink"/>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10</w:t>
        </w:r>
      </w:hyperlink>
    </w:p>
    <w:p xmlns:wp14="http://schemas.microsoft.com/office/word/2010/wordml" w:rsidP="5ED495D4" wp14:paraId="493938CC" wp14:textId="4FFD71B8">
      <w:pPr>
        <w:spacing w:before="0" w:beforeAutospacing="off" w:after="0" w:afterAutospacing="off"/>
      </w:pPr>
      <w:hyperlink w:anchor="heading=h.2s8eyo1" r:id="R1cf277da75d14c6e">
        <w:r w:rsidRPr="5ED495D4" w:rsidR="5C7B1F42">
          <w:rPr>
            <w:rStyle w:val="Hyperlink"/>
            <w:rFonts w:ascii="Times New Roman" w:hAnsi="Times New Roman" w:eastAsia="Times New Roman" w:cs="Times New Roman"/>
            <w:b w:val="0"/>
            <w:bCs w:val="0"/>
            <w:i w:val="0"/>
            <w:iCs w:val="0"/>
            <w:strike w:val="0"/>
            <w:dstrike w:val="0"/>
            <w:noProof w:val="0"/>
            <w:sz w:val="24"/>
            <w:szCs w:val="24"/>
            <w:lang w:val="en-US"/>
          </w:rPr>
          <w:t>Figure 3: SWOT</w:t>
        </w:r>
        <w:r>
          <w:tab/>
        </w:r>
        <w:r w:rsidRPr="5ED495D4" w:rsidR="5C7B1F42">
          <w:rPr>
            <w:rStyle w:val="Hyperlink"/>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11</w:t>
        </w:r>
      </w:hyperlink>
    </w:p>
    <w:p xmlns:wp14="http://schemas.microsoft.com/office/word/2010/wordml" w:rsidP="5ED495D4" wp14:paraId="7C85B210" wp14:textId="7314CA24">
      <w:pPr>
        <w:spacing w:before="0" w:beforeAutospacing="off" w:after="0" w:afterAutospacing="off"/>
      </w:pPr>
      <w:hyperlink w:anchor="heading=h.26in1rg" r:id="R0ffe63bf6b5348bc">
        <w:r w:rsidRPr="5ED495D4" w:rsidR="5C7B1F42">
          <w:rPr>
            <w:rStyle w:val="Hyperlink"/>
            <w:rFonts w:ascii="Times New Roman" w:hAnsi="Times New Roman" w:eastAsia="Times New Roman" w:cs="Times New Roman"/>
            <w:b w:val="0"/>
            <w:bCs w:val="0"/>
            <w:i w:val="0"/>
            <w:iCs w:val="0"/>
            <w:strike w:val="0"/>
            <w:dstrike w:val="0"/>
            <w:noProof w:val="0"/>
            <w:sz w:val="24"/>
            <w:szCs w:val="24"/>
            <w:lang w:val="en-US"/>
          </w:rPr>
          <w:t>Figure 4: TOWS Matrix</w:t>
        </w:r>
        <w:r>
          <w:tab/>
        </w:r>
        <w:r w:rsidRPr="5ED495D4" w:rsidR="5C7B1F42">
          <w:rPr>
            <w:rStyle w:val="Hyperlink"/>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13</w:t>
        </w:r>
      </w:hyperlink>
    </w:p>
    <w:p xmlns:wp14="http://schemas.microsoft.com/office/word/2010/wordml" w:rsidP="5ED495D4" wp14:paraId="5E39D036" wp14:textId="06A4536E">
      <w:pPr>
        <w:spacing w:before="0" w:beforeAutospacing="off" w:after="0" w:afterAutospacing="off"/>
      </w:pPr>
      <w:hyperlink w:anchor="heading=h.z337ya" r:id="R5fe950d903524ec8">
        <w:r w:rsidRPr="5ED495D4" w:rsidR="5C7B1F42">
          <w:rPr>
            <w:rStyle w:val="Hyperlink"/>
            <w:rFonts w:ascii="Times New Roman" w:hAnsi="Times New Roman" w:eastAsia="Times New Roman" w:cs="Times New Roman"/>
            <w:b w:val="0"/>
            <w:bCs w:val="0"/>
            <w:i w:val="0"/>
            <w:iCs w:val="0"/>
            <w:strike w:val="0"/>
            <w:dstrike w:val="0"/>
            <w:noProof w:val="0"/>
            <w:sz w:val="24"/>
            <w:szCs w:val="24"/>
            <w:lang w:val="en-US"/>
          </w:rPr>
          <w:t>Figure 5: Benefits of a customer service process</w:t>
        </w:r>
        <w:r>
          <w:tab/>
        </w:r>
        <w:r w:rsidRPr="5ED495D4" w:rsidR="5C7B1F42">
          <w:rPr>
            <w:rStyle w:val="Hyperlink"/>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16</w:t>
        </w:r>
      </w:hyperlink>
    </w:p>
    <w:p xmlns:wp14="http://schemas.microsoft.com/office/word/2010/wordml" w:rsidP="5ED495D4" wp14:paraId="5AFB6511" wp14:textId="0FD69311">
      <w:pPr>
        <w:spacing w:before="0" w:beforeAutospacing="off" w:after="0" w:afterAutospacing="off"/>
      </w:pPr>
      <w:hyperlink w:anchor="heading=h.1y810tw" r:id="R6e013a8a1bc4481e">
        <w:r w:rsidRPr="5ED495D4" w:rsidR="5C7B1F42">
          <w:rPr>
            <w:rStyle w:val="Hyperlink"/>
            <w:rFonts w:ascii="Times New Roman" w:hAnsi="Times New Roman" w:eastAsia="Times New Roman" w:cs="Times New Roman"/>
            <w:b w:val="0"/>
            <w:bCs w:val="0"/>
            <w:i w:val="0"/>
            <w:iCs w:val="0"/>
            <w:strike w:val="0"/>
            <w:dstrike w:val="0"/>
            <w:noProof w:val="0"/>
            <w:sz w:val="24"/>
            <w:szCs w:val="24"/>
            <w:lang w:val="en-US"/>
          </w:rPr>
          <w:t>Figure 6;Seasonal Demand Fluctuation</w:t>
        </w:r>
        <w:r>
          <w:tab/>
        </w:r>
        <w:r w:rsidRPr="5ED495D4" w:rsidR="5C7B1F42">
          <w:rPr>
            <w:rStyle w:val="Hyperlink"/>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18</w:t>
        </w:r>
      </w:hyperlink>
    </w:p>
    <w:p xmlns:wp14="http://schemas.microsoft.com/office/word/2010/wordml" w:rsidP="5ED495D4" wp14:paraId="7B9C609F" wp14:textId="51D0CE66">
      <w:pPr>
        <w:spacing w:before="0" w:beforeAutospacing="off" w:after="0" w:afterAutospacing="off"/>
      </w:pPr>
      <w:hyperlink w:anchor="heading=h.2xcytpi" r:id="R21cac981cd894fc0">
        <w:r w:rsidRPr="5ED495D4" w:rsidR="5C7B1F42">
          <w:rPr>
            <w:rStyle w:val="Hyperlink"/>
            <w:rFonts w:ascii="Times New Roman" w:hAnsi="Times New Roman" w:eastAsia="Times New Roman" w:cs="Times New Roman"/>
            <w:b w:val="0"/>
            <w:bCs w:val="0"/>
            <w:i w:val="0"/>
            <w:iCs w:val="0"/>
            <w:strike w:val="0"/>
            <w:dstrike w:val="0"/>
            <w:noProof w:val="0"/>
            <w:sz w:val="24"/>
            <w:szCs w:val="24"/>
            <w:lang w:val="en-US"/>
          </w:rPr>
          <w:t>Figure 7: Acor's Planet 2021</w:t>
        </w:r>
        <w:r>
          <w:tab/>
        </w:r>
        <w:r w:rsidRPr="5ED495D4" w:rsidR="5C7B1F42">
          <w:rPr>
            <w:rStyle w:val="Hyperlink"/>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20</w:t>
        </w:r>
      </w:hyperlink>
    </w:p>
    <w:p xmlns:wp14="http://schemas.microsoft.com/office/word/2010/wordml" wp14:paraId="36DE183D" wp14:textId="437D8849"/>
    <w:p xmlns:wp14="http://schemas.microsoft.com/office/word/2010/wordml" w:rsidP="5ED495D4" wp14:paraId="76EFD593" wp14:textId="66C0E2D0">
      <w:pPr>
        <w:spacing w:before="0" w:beforeAutospacing="off" w:after="0" w:afterAutospacing="off"/>
        <w:rPr>
          <w:rFonts w:ascii="Times New Roman" w:hAnsi="Times New Roman" w:eastAsia="Times New Roman" w:cs="Times New Roman"/>
          <w:b w:val="1"/>
          <w:bCs w:val="1"/>
          <w:i w:val="1"/>
          <w:iCs w:val="1"/>
          <w:strike w:val="0"/>
          <w:dstrike w:val="0"/>
          <w:noProof w:val="0"/>
          <w:color w:val="000000" w:themeColor="text1" w:themeTint="FF" w:themeShade="FF"/>
          <w:sz w:val="28"/>
          <w:szCs w:val="28"/>
          <w:u w:val="single"/>
          <w:lang w:val="en-US"/>
        </w:rPr>
      </w:pPr>
      <w:r w:rsidRPr="5ED495D4" w:rsidR="5C7B1F42">
        <w:rPr>
          <w:rFonts w:ascii="Times New Roman" w:hAnsi="Times New Roman" w:eastAsia="Times New Roman" w:cs="Times New Roman"/>
          <w:b w:val="1"/>
          <w:bCs w:val="1"/>
          <w:i w:val="1"/>
          <w:iCs w:val="1"/>
          <w:strike w:val="0"/>
          <w:dstrike w:val="0"/>
          <w:noProof w:val="0"/>
          <w:color w:val="000000" w:themeColor="text1" w:themeTint="FF" w:themeShade="FF"/>
          <w:sz w:val="28"/>
          <w:szCs w:val="28"/>
          <w:u w:val="single"/>
          <w:lang w:val="en-US"/>
        </w:rPr>
        <w:t xml:space="preserve">List of </w:t>
      </w:r>
      <w:r w:rsidRPr="5ED495D4" w:rsidR="6FD60B85">
        <w:rPr>
          <w:rFonts w:ascii="Times New Roman" w:hAnsi="Times New Roman" w:eastAsia="Times New Roman" w:cs="Times New Roman"/>
          <w:b w:val="1"/>
          <w:bCs w:val="1"/>
          <w:i w:val="1"/>
          <w:iCs w:val="1"/>
          <w:strike w:val="0"/>
          <w:dstrike w:val="0"/>
          <w:noProof w:val="0"/>
          <w:color w:val="000000" w:themeColor="text1" w:themeTint="FF" w:themeShade="FF"/>
          <w:sz w:val="28"/>
          <w:szCs w:val="28"/>
          <w:u w:val="single"/>
          <w:lang w:val="en-US"/>
        </w:rPr>
        <w:t>Tables</w:t>
      </w:r>
    </w:p>
    <w:p xmlns:wp14="http://schemas.microsoft.com/office/word/2010/wordml" w:rsidP="5ED495D4" wp14:paraId="7BF28C50" wp14:textId="473AD8DD">
      <w:pPr>
        <w:spacing w:before="0" w:beforeAutospacing="off" w:after="0" w:afterAutospacing="off"/>
      </w:pPr>
      <w:r w:rsidRPr="5ED495D4" w:rsidR="5C7B1F42">
        <w:rPr>
          <w:rFonts w:ascii="Times New Roman" w:hAnsi="Times New Roman" w:eastAsia="Times New Roman" w:cs="Times New Roman"/>
          <w:b w:val="1"/>
          <w:bCs w:val="1"/>
          <w:i w:val="0"/>
          <w:iCs w:val="0"/>
          <w:strike w:val="0"/>
          <w:dstrike w:val="0"/>
          <w:noProof w:val="0"/>
          <w:color w:val="153D63" w:themeColor="text2" w:themeTint="E6" w:themeShade="FF"/>
          <w:sz w:val="24"/>
          <w:szCs w:val="24"/>
          <w:u w:val="single"/>
          <w:lang w:val="en-US"/>
        </w:rPr>
        <w:t>Table 1:</w:t>
      </w:r>
      <w:r w:rsidRPr="5ED495D4" w:rsidR="5C7B1F42">
        <w:rPr>
          <w:rFonts w:ascii="Times New Roman" w:hAnsi="Times New Roman" w:eastAsia="Times New Roman" w:cs="Times New Roman"/>
          <w:b w:val="0"/>
          <w:bCs w:val="0"/>
          <w:i w:val="0"/>
          <w:iCs w:val="0"/>
          <w:strike w:val="0"/>
          <w:dstrike w:val="0"/>
          <w:noProof w:val="0"/>
          <w:color w:val="153D63" w:themeColor="text2" w:themeTint="E6" w:themeShade="FF"/>
          <w:sz w:val="24"/>
          <w:szCs w:val="24"/>
          <w:u w:val="single"/>
          <w:lang w:val="en-US"/>
        </w:rPr>
        <w:t xml:space="preserve"> PESTEL Analysis</w:t>
      </w:r>
      <w:r>
        <w:tab/>
      </w:r>
      <w:r w:rsidRPr="5ED495D4" w:rsidR="5C7B1F4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10</w:t>
      </w:r>
    </w:p>
    <w:p xmlns:wp14="http://schemas.microsoft.com/office/word/2010/wordml" w:rsidP="5ED495D4" wp14:paraId="4CB0C0FD" wp14:textId="55F7BF6D">
      <w:pPr>
        <w:pStyle w:val="Normal"/>
        <w:suppressLineNumbers w:val="0"/>
        <w:bidi w:val="0"/>
        <w:spacing w:before="0" w:beforeAutospacing="off" w:after="0" w:afterAutospacing="off" w:line="279" w:lineRule="auto"/>
        <w:ind w:left="0" w:right="0"/>
        <w:jc w:val="left"/>
        <w:rPr>
          <w:rFonts w:ascii="Times New Roman" w:hAnsi="Times New Roman" w:eastAsia="Times New Roman" w:cs="Times New Roman"/>
          <w:b w:val="0"/>
          <w:bCs w:val="0"/>
          <w:i w:val="0"/>
          <w:iCs w:val="0"/>
          <w:strike w:val="0"/>
          <w:dstrike w:val="0"/>
          <w:sz w:val="24"/>
          <w:szCs w:val="24"/>
          <w:highlight w:val="darkCyan"/>
          <w:u w:val="single"/>
        </w:rPr>
      </w:pPr>
      <w:hyperlink w:anchor="heading=h.17dp8vu" r:id="R03ad11bb56e34cdf">
        <w:r w:rsidRPr="5ED495D4" w:rsidR="5C7B1F42">
          <w:rPr>
            <w:rStyle w:val="Hyperlink"/>
            <w:rFonts w:ascii="Times New Roman" w:hAnsi="Times New Roman" w:eastAsia="Times New Roman" w:cs="Times New Roman"/>
            <w:b w:val="1"/>
            <w:bCs w:val="1"/>
            <w:i w:val="0"/>
            <w:iCs w:val="0"/>
            <w:strike w:val="0"/>
            <w:dstrike w:val="0"/>
            <w:noProof w:val="0"/>
            <w:sz w:val="24"/>
            <w:szCs w:val="24"/>
            <w:lang w:val="en-US"/>
          </w:rPr>
          <w:t>Table 2</w:t>
        </w:r>
        <w:r w:rsidRPr="5ED495D4" w:rsidR="5C7B1F42">
          <w:rPr>
            <w:rStyle w:val="Hyperlink"/>
            <w:rFonts w:ascii="Times New Roman" w:hAnsi="Times New Roman" w:eastAsia="Times New Roman" w:cs="Times New Roman"/>
            <w:b w:val="0"/>
            <w:bCs w:val="0"/>
            <w:i w:val="0"/>
            <w:iCs w:val="0"/>
            <w:strike w:val="0"/>
            <w:dstrike w:val="0"/>
            <w:noProof w:val="0"/>
            <w:sz w:val="24"/>
            <w:szCs w:val="24"/>
            <w:lang w:val="en-US"/>
          </w:rPr>
          <w:t>:SWOT Analysis</w:t>
        </w:r>
        <w:r>
          <w:tab/>
        </w:r>
        <w:r w:rsidRPr="5ED495D4" w:rsidR="5C7B1F42">
          <w:rPr>
            <w:rStyle w:val="Hyperlink"/>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12</w:t>
        </w:r>
      </w:hyperlink>
    </w:p>
    <w:p xmlns:wp14="http://schemas.microsoft.com/office/word/2010/wordml" w:rsidP="5ED495D4" wp14:paraId="54D831AA" wp14:textId="01B7372C">
      <w:pPr>
        <w:spacing w:before="0" w:beforeAutospacing="off" w:after="0" w:afterAutospacing="off"/>
      </w:pPr>
      <w:hyperlink w:anchor="heading=h.lnxbz9" r:id="Rb5563ea74c2a4694">
        <w:r w:rsidRPr="5ED495D4" w:rsidR="5C7B1F42">
          <w:rPr>
            <w:rStyle w:val="Hyperlink"/>
            <w:rFonts w:ascii="Times New Roman" w:hAnsi="Times New Roman" w:eastAsia="Times New Roman" w:cs="Times New Roman"/>
            <w:b w:val="1"/>
            <w:bCs w:val="1"/>
            <w:i w:val="0"/>
            <w:iCs w:val="0"/>
            <w:strike w:val="0"/>
            <w:dstrike w:val="0"/>
            <w:noProof w:val="0"/>
            <w:sz w:val="24"/>
            <w:szCs w:val="24"/>
            <w:lang w:val="en-US"/>
          </w:rPr>
          <w:t>Table 3:</w:t>
        </w:r>
        <w:r w:rsidRPr="5ED495D4" w:rsidR="5C7B1F42">
          <w:rPr>
            <w:rStyle w:val="Hyperlink"/>
            <w:rFonts w:ascii="Times New Roman" w:hAnsi="Times New Roman" w:eastAsia="Times New Roman" w:cs="Times New Roman"/>
            <w:b w:val="0"/>
            <w:bCs w:val="0"/>
            <w:i w:val="0"/>
            <w:iCs w:val="0"/>
            <w:strike w:val="0"/>
            <w:dstrike w:val="0"/>
            <w:noProof w:val="0"/>
            <w:sz w:val="24"/>
            <w:szCs w:val="24"/>
            <w:lang w:val="en-US"/>
          </w:rPr>
          <w:t>TOWS Analysis</w:t>
        </w:r>
        <w:r>
          <w:tab/>
        </w:r>
        <w:r w:rsidRPr="5ED495D4" w:rsidR="5C7B1F42">
          <w:rPr>
            <w:rStyle w:val="Hyperlink"/>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13</w:t>
        </w:r>
      </w:hyperlink>
    </w:p>
    <w:p xmlns:wp14="http://schemas.microsoft.com/office/word/2010/wordml" w:rsidP="5ED495D4" wp14:paraId="316CA1AB" wp14:textId="40A1C87F">
      <w:pPr>
        <w:spacing w:before="0" w:beforeAutospacing="off" w:after="0" w:afterAutospacing="off"/>
      </w:pPr>
      <w:hyperlink w:anchor="heading=h.qsh70q" r:id="Ra51f33e050084786">
        <w:r w:rsidRPr="5ED495D4" w:rsidR="5C7B1F42">
          <w:rPr>
            <w:rStyle w:val="Hyperlink"/>
            <w:rFonts w:ascii="Times New Roman" w:hAnsi="Times New Roman" w:eastAsia="Times New Roman" w:cs="Times New Roman"/>
            <w:b w:val="1"/>
            <w:bCs w:val="1"/>
            <w:i w:val="0"/>
            <w:iCs w:val="0"/>
            <w:strike w:val="0"/>
            <w:dstrike w:val="0"/>
            <w:noProof w:val="0"/>
            <w:sz w:val="24"/>
            <w:szCs w:val="24"/>
            <w:lang w:val="en-US"/>
          </w:rPr>
          <w:t>Table 4:</w:t>
        </w:r>
        <w:r w:rsidRPr="5ED495D4" w:rsidR="5C7B1F42">
          <w:rPr>
            <w:rStyle w:val="Hyperlink"/>
            <w:rFonts w:ascii="Times New Roman" w:hAnsi="Times New Roman" w:eastAsia="Times New Roman" w:cs="Times New Roman"/>
            <w:b w:val="0"/>
            <w:bCs w:val="0"/>
            <w:i w:val="0"/>
            <w:iCs w:val="0"/>
            <w:strike w:val="0"/>
            <w:dstrike w:val="0"/>
            <w:noProof w:val="0"/>
            <w:sz w:val="24"/>
            <w:szCs w:val="24"/>
            <w:lang w:val="en-US"/>
          </w:rPr>
          <w:t xml:space="preserve"> Costing</w:t>
        </w:r>
        <w:r>
          <w:tab/>
        </w:r>
        <w:r w:rsidRPr="5ED495D4" w:rsidR="5C7B1F42">
          <w:rPr>
            <w:rStyle w:val="Hyperlink"/>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22</w:t>
        </w:r>
      </w:hyperlink>
    </w:p>
    <w:p xmlns:wp14="http://schemas.microsoft.com/office/word/2010/wordml" w:rsidP="5ED495D4" wp14:paraId="68888629" wp14:textId="59F0082D">
      <w:pPr>
        <w:spacing w:before="0" w:beforeAutospacing="off" w:after="0" w:afterAutospacing="off"/>
      </w:pPr>
      <w:hyperlink w:anchor="heading=h.1pxezwc" r:id="R0f261ddbdebf42cf">
        <w:r w:rsidRPr="5ED495D4" w:rsidR="5C7B1F42">
          <w:rPr>
            <w:rStyle w:val="Hyperlink"/>
            <w:rFonts w:ascii="Times New Roman" w:hAnsi="Times New Roman" w:eastAsia="Times New Roman" w:cs="Times New Roman"/>
            <w:b w:val="1"/>
            <w:bCs w:val="1"/>
            <w:i w:val="0"/>
            <w:iCs w:val="0"/>
            <w:strike w:val="0"/>
            <w:dstrike w:val="0"/>
            <w:noProof w:val="0"/>
            <w:sz w:val="24"/>
            <w:szCs w:val="24"/>
            <w:lang w:val="en-US"/>
          </w:rPr>
          <w:t>Table 5:</w:t>
        </w:r>
        <w:r w:rsidRPr="5ED495D4" w:rsidR="5C7B1F42">
          <w:rPr>
            <w:rStyle w:val="Hyperlink"/>
            <w:rFonts w:ascii="Times New Roman" w:hAnsi="Times New Roman" w:eastAsia="Times New Roman" w:cs="Times New Roman"/>
            <w:b w:val="0"/>
            <w:bCs w:val="0"/>
            <w:i w:val="0"/>
            <w:iCs w:val="0"/>
            <w:strike w:val="0"/>
            <w:dstrike w:val="0"/>
            <w:noProof w:val="0"/>
            <w:sz w:val="24"/>
            <w:szCs w:val="24"/>
            <w:lang w:val="en-US"/>
          </w:rPr>
          <w:t xml:space="preserve"> Action Plan</w:t>
        </w:r>
        <w:r>
          <w:tab/>
        </w:r>
        <w:r w:rsidRPr="5ED495D4" w:rsidR="5C7B1F42">
          <w:rPr>
            <w:rStyle w:val="Hyperlink"/>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27</w:t>
        </w:r>
      </w:hyperlink>
    </w:p>
    <w:p xmlns:wp14="http://schemas.microsoft.com/office/word/2010/wordml" w:rsidP="5ED495D4" wp14:paraId="797330C1" wp14:textId="27C260AE">
      <w:pPr>
        <w:spacing w:before="0" w:beforeAutospacing="off" w:after="0" w:afterAutospacing="off"/>
      </w:pPr>
      <w:hyperlink w:anchor="heading=h.147n2zr" r:id="R0ea64a05c03f4bac">
        <w:r w:rsidRPr="5ED495D4" w:rsidR="5C7B1F42">
          <w:rPr>
            <w:rStyle w:val="Hyperlink"/>
            <w:rFonts w:ascii="Times New Roman" w:hAnsi="Times New Roman" w:eastAsia="Times New Roman" w:cs="Times New Roman"/>
            <w:b w:val="1"/>
            <w:bCs w:val="1"/>
            <w:i w:val="0"/>
            <w:iCs w:val="0"/>
            <w:strike w:val="0"/>
            <w:dstrike w:val="0"/>
            <w:noProof w:val="0"/>
            <w:sz w:val="24"/>
            <w:szCs w:val="24"/>
            <w:lang w:val="en-US"/>
          </w:rPr>
          <w:t>Table 6:</w:t>
        </w:r>
        <w:r w:rsidRPr="5ED495D4" w:rsidR="5C7B1F42">
          <w:rPr>
            <w:rStyle w:val="Hyperlink"/>
            <w:rFonts w:ascii="Times New Roman" w:hAnsi="Times New Roman" w:eastAsia="Times New Roman" w:cs="Times New Roman"/>
            <w:b w:val="0"/>
            <w:bCs w:val="0"/>
            <w:i w:val="0"/>
            <w:iCs w:val="0"/>
            <w:strike w:val="0"/>
            <w:dstrike w:val="0"/>
            <w:noProof w:val="0"/>
            <w:sz w:val="24"/>
            <w:szCs w:val="24"/>
            <w:lang w:val="en-US"/>
          </w:rPr>
          <w:t xml:space="preserve"> change management models and their application</w:t>
        </w:r>
        <w:r>
          <w:tab/>
        </w:r>
        <w:r w:rsidRPr="5ED495D4" w:rsidR="5C7B1F42">
          <w:rPr>
            <w:rStyle w:val="Hyperlink"/>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31</w:t>
        </w:r>
      </w:hyperlink>
    </w:p>
    <w:p xmlns:wp14="http://schemas.microsoft.com/office/word/2010/wordml" wp14:paraId="3342F31D" wp14:textId="0AF30942"/>
    <w:p xmlns:wp14="http://schemas.microsoft.com/office/word/2010/wordml" wp14:paraId="193CFE5D" wp14:textId="6145778B"/>
    <w:p xmlns:wp14="http://schemas.microsoft.com/office/word/2010/wordml" wp14:paraId="6EA32433" wp14:textId="033036F8"/>
    <w:p xmlns:wp14="http://schemas.microsoft.com/office/word/2010/wordml" wp14:paraId="5A424A47" wp14:textId="6F87069F"/>
    <w:p xmlns:wp14="http://schemas.microsoft.com/office/word/2010/wordml" wp14:paraId="43DC7711" wp14:textId="5DE1B974"/>
    <w:p xmlns:wp14="http://schemas.microsoft.com/office/word/2010/wordml" wp14:paraId="07CF3E42" wp14:textId="3B9E9B8E"/>
    <w:p xmlns:wp14="http://schemas.microsoft.com/office/word/2010/wordml" w:rsidP="5ED495D4" wp14:paraId="5DB92760" wp14:textId="23E89169">
      <w:pPr>
        <w:pStyle w:val="Heading1"/>
      </w:pPr>
      <w:r w:rsidRPr="5ED495D4" w:rsidR="5C7B1F42">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US"/>
        </w:rPr>
        <w:t>Introduction</w:t>
      </w:r>
    </w:p>
    <w:p xmlns:wp14="http://schemas.microsoft.com/office/word/2010/wordml" w:rsidP="5ED495D4" wp14:paraId="73839E8C" wp14:textId="43D02569">
      <w:pPr>
        <w:spacing w:before="0" w:beforeAutospacing="off" w:after="0" w:afterAutospacing="off"/>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pP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Accor Hotels, founded in 1967 by pioneers Paul Dubrule and Gérard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Pélisson</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transformed the hospitality industry with their innovative approach, launching the first Novotel in Lille, France. By introducing modern conveniences such as private bathrooms and recreational facilities in a standardized hotel model, Accor disrupted traditional hospitality norms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Abellanet</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Miranda, 2022). The company quickly expanded, first across Europe and then globally, becoming a leader in multiple market segments, from budget to luxury. Today, Accor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operates</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over 5,600 properties,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representing</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838,826 rooms across 110 countries, and hosts an ecosystem of brands under its Premium, Midscale, and Economy (PM&amp;E) and Luxury &amp; Lifestyle (L&amp;L) divisions. This diverse portfolio allows Accor to cater to a wide range of clientele, and its strategic growth efforts, particularly in high-potential markets, continue to yield positive financial results (Vinod, 2022).</w:t>
      </w:r>
    </w:p>
    <w:p xmlns:wp14="http://schemas.microsoft.com/office/word/2010/wordml" w:rsidP="5ED495D4" wp14:paraId="4696157B" wp14:textId="5A6C8022">
      <w:pPr>
        <w:spacing w:before="0" w:beforeAutospacing="off" w:after="0" w:afterAutospacing="off"/>
        <w:jc w:val="center"/>
        <w:rPr>
          <w:rFonts w:ascii="Arial Nova" w:hAnsi="Arial Nova" w:eastAsia="Arial Nova" w:cs="Arial Nova"/>
        </w:rPr>
      </w:pPr>
      <w:r w:rsidR="5C7B1F42">
        <w:drawing>
          <wp:inline xmlns:wp14="http://schemas.microsoft.com/office/word/2010/wordprocessingDrawing" wp14:editId="558EA871" wp14:anchorId="6E9DCCF9">
            <wp:extent cx="5457825" cy="3400425"/>
            <wp:effectExtent l="0" t="0" r="0" b="0"/>
            <wp:docPr id="739118377" name="" title=""/>
            <wp:cNvGraphicFramePr>
              <a:graphicFrameLocks noChangeAspect="1"/>
            </wp:cNvGraphicFramePr>
            <a:graphic>
              <a:graphicData uri="http://schemas.openxmlformats.org/drawingml/2006/picture">
                <pic:pic>
                  <pic:nvPicPr>
                    <pic:cNvPr id="0" name=""/>
                    <pic:cNvPicPr/>
                  </pic:nvPicPr>
                  <pic:blipFill>
                    <a:blip r:embed="Rc67f916cc1d142db">
                      <a:extLst>
                        <a:ext xmlns:a="http://schemas.openxmlformats.org/drawingml/2006/main" uri="{28A0092B-C50C-407E-A947-70E740481C1C}">
                          <a14:useLocalDpi val="0"/>
                        </a:ext>
                      </a:extLst>
                    </a:blip>
                    <a:stretch>
                      <a:fillRect/>
                    </a:stretch>
                  </pic:blipFill>
                  <pic:spPr>
                    <a:xfrm>
                      <a:off x="0" y="0"/>
                      <a:ext cx="5457825" cy="3400425"/>
                    </a:xfrm>
                    <a:prstGeom prst="rect">
                      <a:avLst/>
                    </a:prstGeom>
                  </pic:spPr>
                </pic:pic>
              </a:graphicData>
            </a:graphic>
          </wp:inline>
        </w:drawing>
      </w:r>
    </w:p>
    <w:p xmlns:wp14="http://schemas.microsoft.com/office/word/2010/wordml" w:rsidP="5ED495D4" wp14:paraId="3C8A5411" wp14:textId="55AD79A4">
      <w:pPr>
        <w:spacing w:before="0" w:beforeAutospacing="off" w:after="200" w:afterAutospacing="off"/>
        <w:jc w:val="center"/>
        <w:rPr>
          <w:rFonts w:ascii="Arial Nova" w:hAnsi="Arial Nova" w:eastAsia="Arial Nova" w:cs="Arial Nova"/>
          <w:b w:val="0"/>
          <w:bCs w:val="0"/>
          <w:i w:val="1"/>
          <w:iCs w:val="1"/>
          <w:strike w:val="0"/>
          <w:dstrike w:val="0"/>
          <w:noProof w:val="0"/>
          <w:color w:val="44546A"/>
          <w:sz w:val="18"/>
          <w:szCs w:val="18"/>
          <w:u w:val="none"/>
          <w:lang w:val="en-US"/>
        </w:rPr>
      </w:pPr>
      <w:r w:rsidRPr="5ED495D4" w:rsidR="5C7B1F42">
        <w:rPr>
          <w:rFonts w:ascii="Arial Nova" w:hAnsi="Arial Nova" w:eastAsia="Arial Nova" w:cs="Arial Nova"/>
          <w:b w:val="0"/>
          <w:bCs w:val="0"/>
          <w:i w:val="1"/>
          <w:iCs w:val="1"/>
          <w:strike w:val="0"/>
          <w:dstrike w:val="0"/>
          <w:noProof w:val="0"/>
          <w:color w:val="44546A"/>
          <w:sz w:val="18"/>
          <w:szCs w:val="18"/>
          <w:u w:val="none"/>
          <w:lang w:val="en-US"/>
        </w:rPr>
        <w:t>Figure 1: Revenue of Accor Group worldwide from 2019 to 2023</w:t>
      </w:r>
    </w:p>
    <w:p xmlns:wp14="http://schemas.microsoft.com/office/word/2010/wordml" w:rsidP="5ED495D4" wp14:paraId="3A48FE03" wp14:textId="1F14871C">
      <w:pPr>
        <w:spacing w:before="0" w:beforeAutospacing="off" w:after="0" w:afterAutospacing="off"/>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pP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In the third quarter of 2024 alone, Accor recorded a 12% increase in revenue, totaling €1,434 million compared to the same period in 2023. This growth was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largely driven</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by a 7% increase in the PM&amp;E division, which contributed €821 million, and an impressive 18% rise in the Luxury &amp; Lifestyle (L&amp;L) segment, generating €635 million in revenue. Accor’s RevPAR (Revenue Per Available Room), a key performance indicator, also increased by 5.3% year-over-year, illustrating solid demand across its portfolio (Fernandes, 2021). The Luxury &amp; Lifestyle division in particular saw growth propelled by a higher occupancy rate, with its lifestyle brands reporting a 14% rise in RevPAR, notably in regions like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Turkey</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and Egypt where resort hotels performed exceptionally well. These figures underscore Accor’s success in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leveraging</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high-end and lifestyle offerings to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maintain</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robust financial health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Abellanet</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Miranda, 2022).</w:t>
      </w:r>
    </w:p>
    <w:p xmlns:wp14="http://schemas.microsoft.com/office/word/2010/wordml" w:rsidP="5ED495D4" wp14:paraId="709FE34A" wp14:textId="3280ABD0">
      <w:pPr>
        <w:spacing w:before="0" w:beforeAutospacing="off" w:after="0" w:afterAutospacing="off"/>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pP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This consultancy report will focus on a specific Accor luxury hotel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located</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in Dubai, part of the group’s high-performing L&amp;L division. Dubai’s hospitality market is highly competitive, attracting affluent international travelers seeking premium experiences.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This particular hotel offers exclusive amenities, from top-tier accommodations to fine dining and wellness services, aligning with Accor’s emphasis on luxurious and personalized guest experiences (Bharwani and Mathews, 2021).</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However, while the L&amp;L segment experienced a 7% increase in RevPAR in Q3 2024, driven by occupancy improvements, Accor’s hotel in Dubai faces unique operational challenges that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impact</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guest satisfaction. Inconsistencies in service delivery, such as check-in delays, fluctuating quality of in-room amenities, and occasional unresponsiveness to guest needs, have affected customer ratings and,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consequently</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the hotel’s reputation within the region’s luxury market (Dumoulin and Giacomel, 2020).</w:t>
      </w:r>
    </w:p>
    <w:p xmlns:wp14="http://schemas.microsoft.com/office/word/2010/wordml" w:rsidP="5ED495D4" wp14:paraId="1D82650B" wp14:textId="22189EFC">
      <w:pPr>
        <w:spacing w:before="0" w:beforeAutospacing="off" w:after="0" w:afterAutospacing="off"/>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pP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My consultancy firm, Hospitality Insights, specializes in strategic support for luxury and upscale hotels worldwide, providing actionable solutions to improve guest experience, operational efficiency, and market positioning. Our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expertise</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spans critical areas of hospitality management, including customer experience design, operational optimization, and change management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Bardukova</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2023). Hospitality Insights takes a data-driven approach, ensuring that recommendations are not only practical but also aligned with financial realities and sustainability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objectives</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In the case of Accor’s Dubai hotel, we aim to deliver insights and solutions that enhance the hotel's competitive edge in the high-demand, high-expectation luxury segment. By addressing operational challenges and developing a targeted action plan, we strive to elevate guest satisfaction and support the hotel in achieving sustained growth (R. Anubala, 2023).</w:t>
      </w:r>
    </w:p>
    <w:p xmlns:wp14="http://schemas.microsoft.com/office/word/2010/wordml" w:rsidP="5ED495D4" wp14:paraId="5FFB3EDB" wp14:textId="291AE9B4">
      <w:pPr>
        <w:spacing w:before="0" w:beforeAutospacing="off" w:after="0" w:afterAutospacing="off"/>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pP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The core issue we have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identified</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for this Accor property involves </w:t>
      </w:r>
      <w:r w:rsidRPr="5ED495D4" w:rsidR="5C7B1F42">
        <w:rPr>
          <w:rFonts w:ascii="Arial Nova" w:hAnsi="Arial Nova" w:eastAsia="Arial Nova" w:cs="Arial Nova"/>
          <w:b w:val="0"/>
          <w:bCs w:val="0"/>
          <w:i w:val="1"/>
          <w:iCs w:val="1"/>
          <w:strike w:val="0"/>
          <w:dstrike w:val="0"/>
          <w:noProof w:val="0"/>
          <w:color w:val="000000" w:themeColor="text1" w:themeTint="FF" w:themeShade="FF"/>
          <w:sz w:val="24"/>
          <w:szCs w:val="24"/>
          <w:u w:val="none"/>
          <w:lang w:val="en-US"/>
        </w:rPr>
        <w:t>inconsistent guest satisfaction</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which is critical in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maintaining</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the hotel’s RevPAR and overall profitability. Although the group has projected an EBITDA between €1,100 million and €1,125 million for 2024, ongoing operational issues could threaten these targets if guest satisfaction is not addressed effectively. Customer feedback has pointed to service inconsistencies that need immediate attention to prevent potential revenue loss and reputational impact. Given the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high levels</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of competition in Dubai, these operational gaps could result in diminished customer loyalty and affect future revenue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Jinkyung</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Jenny Kim, 2023).</w:t>
      </w:r>
    </w:p>
    <w:p xmlns:wp14="http://schemas.microsoft.com/office/word/2010/wordml" w:rsidP="5ED495D4" wp14:paraId="2A6A83D8" wp14:textId="3651F1A9">
      <w:pPr>
        <w:spacing w:before="0" w:beforeAutospacing="off" w:after="0" w:afterAutospacing="off"/>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pP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To analyze and address these challenges, this report will apply several established frameworks. A PESTEL analysis will evaluate external factors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impacting</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the hotel’s performance, particularly economic, social, and technological trends in Dubai’s tourism market. A SWOT analysis will assess the hotel’s internal strengths and weaknesses, as well as opportunities and threats posed by market conditions. Following this, a TOWS matrix will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leverage</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insights from the SWOT analysis to propose actionable strategies, allowing the hotel to capitalize on its strengths while mitigating its weaknesses. This structured approach will ensure that recommendations are not only relevant but also strategically aligned with the hotel's goals (Papadopoulou, 2022).</w:t>
      </w:r>
    </w:p>
    <w:p xmlns:wp14="http://schemas.microsoft.com/office/word/2010/wordml" w:rsidP="5ED495D4" wp14:paraId="3743E91B" wp14:textId="63BC347E">
      <w:pPr>
        <w:spacing w:before="0" w:beforeAutospacing="off" w:after="0" w:afterAutospacing="off"/>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pP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By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utilizing</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these frameworks, Hospitality Insights will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identify</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the root causes of the hotel’s service inconsistencies and provide a comprehensive set of solutions. These recommendations will include specific change management strategies, cost analyses, and metrics for evaluating success. The report’s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objective</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is to offer Accor’s Dubai property a pathway to improved operational efficiency and guest satisfaction, enabling it to uphold Accor’s reputation as a leader in luxury hospitality and contribute to the group’s ambitious financial targets for 2024 and beyond (Kim and So, 2023).</w:t>
      </w:r>
    </w:p>
    <w:p xmlns:wp14="http://schemas.microsoft.com/office/word/2010/wordml" w:rsidP="5ED495D4" wp14:paraId="0B38950E" wp14:textId="603314B7">
      <w:pPr>
        <w:pStyle w:val="Heading1"/>
        <w:spacing w:before="0" w:beforeAutospacing="off" w:after="0" w:afterAutospacing="off"/>
        <w:jc w:val="both"/>
      </w:pPr>
      <w:r w:rsidRPr="5ED495D4" w:rsidR="5C7B1F42">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US"/>
        </w:rPr>
        <w:t>Analysis</w:t>
      </w:r>
    </w:p>
    <w:p xmlns:wp14="http://schemas.microsoft.com/office/word/2010/wordml" w:rsidP="5ED495D4" wp14:paraId="7973580F" wp14:textId="062C47C0">
      <w:pPr>
        <w:pStyle w:val="Heading2"/>
        <w:spacing w:before="0" w:beforeAutospacing="off" w:after="0" w:afterAutospacing="off"/>
        <w:jc w:val="both"/>
      </w:pPr>
      <w:r w:rsidRPr="5ED495D4" w:rsidR="5C7B1F42">
        <w:rPr>
          <w:rFonts w:ascii="Times New Roman" w:hAnsi="Times New Roman" w:eastAsia="Times New Roman" w:cs="Times New Roman"/>
          <w:b w:val="1"/>
          <w:bCs w:val="1"/>
          <w:i w:val="0"/>
          <w:iCs w:val="0"/>
          <w:strike w:val="0"/>
          <w:dstrike w:val="0"/>
          <w:noProof w:val="0"/>
          <w:color w:val="000000" w:themeColor="text1" w:themeTint="FF" w:themeShade="FF"/>
          <w:sz w:val="26"/>
          <w:szCs w:val="26"/>
          <w:u w:val="none"/>
          <w:lang w:val="en-US"/>
        </w:rPr>
        <w:t>Problem Description</w:t>
      </w:r>
    </w:p>
    <w:p xmlns:wp14="http://schemas.microsoft.com/office/word/2010/wordml" w:rsidP="5ED495D4" wp14:paraId="5E440182" wp14:textId="0B60CBB4">
      <w:pPr>
        <w:spacing w:before="0" w:beforeAutospacing="off" w:after="0" w:afterAutospacing="off"/>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pP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Accor Hotels has recently reported mixed performance across regions and segments, which reflects challenges in meeting guest expectations consistently, particularly in its Luxury &amp; Lifestyle (L&amp;L) division. In the third quarter of 2024, Accor experienced a 12% increase in revenue year-on-year, totaling €1,434 million. This growth was primarily driven by the PM&amp;E and L&amp;L divisions, with the L&amp;L segment alone reporting an 18% increase. However, regional challenges persist, especially in the Middle East and Asia-Pacific, where RevPAR (Revenue per Available Room) saw limited growth at just 1% due to subdued demand in markets like China (Giacomel and Dumoulin, 2020).</w:t>
      </w:r>
    </w:p>
    <w:p xmlns:wp14="http://schemas.microsoft.com/office/word/2010/wordml" w:rsidP="5ED495D4" wp14:paraId="179A25E9" wp14:textId="7D28C9B9">
      <w:pPr>
        <w:spacing w:before="0" w:beforeAutospacing="off" w:after="0" w:afterAutospacing="off"/>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pP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The main issue facing Accor’s Dubai property within the L&amp;L division involves </w:t>
      </w:r>
      <w:r w:rsidRPr="5ED495D4" w:rsidR="5C7B1F42">
        <w:rPr>
          <w:rFonts w:ascii="Arial Nova" w:hAnsi="Arial Nova" w:eastAsia="Arial Nova" w:cs="Arial Nova"/>
          <w:b w:val="0"/>
          <w:bCs w:val="0"/>
          <w:i w:val="1"/>
          <w:iCs w:val="1"/>
          <w:strike w:val="0"/>
          <w:dstrike w:val="0"/>
          <w:noProof w:val="0"/>
          <w:color w:val="000000" w:themeColor="text1" w:themeTint="FF" w:themeShade="FF"/>
          <w:sz w:val="24"/>
          <w:szCs w:val="24"/>
          <w:u w:val="none"/>
          <w:lang w:val="en-US"/>
        </w:rPr>
        <w:t>inconsistent guest satisfaction</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Customer feedback has highlighted specific issues in areas like check-in efficiency, in-room service consistency, and response times. This inconsistency affects guest satisfaction, which is crucial for the premium positioning Accor strives to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maintain</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While the hotel’s luxury segment has driven revenue growth, these operational inefficiencies are detrimental to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maintaining</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a high standard, especially in a competitive market like Dubai, where brand reputation is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closely linked</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to service quality (Awara et al., 2022).</w:t>
      </w:r>
    </w:p>
    <w:p xmlns:wp14="http://schemas.microsoft.com/office/word/2010/wordml" w:rsidP="5ED495D4" wp14:paraId="4F4EAB7F" wp14:textId="5BB7E9DB">
      <w:pPr>
        <w:spacing w:before="0" w:beforeAutospacing="off" w:after="0" w:afterAutospacing="off"/>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pP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To analyze the underlying factors and propose solutions, we conduct PESTEL, SWOT, and TOWS analyses below.</w:t>
      </w:r>
    </w:p>
    <w:p xmlns:wp14="http://schemas.microsoft.com/office/word/2010/wordml" w:rsidP="5ED495D4" wp14:paraId="6592BA21" wp14:textId="67A538A0">
      <w:pPr>
        <w:pStyle w:val="Heading2"/>
        <w:spacing w:before="0" w:beforeAutospacing="off" w:after="0" w:afterAutospacing="off"/>
        <w:jc w:val="both"/>
        <w:rPr>
          <w:rFonts w:ascii="Arial Nova" w:hAnsi="Arial Nova" w:eastAsia="Arial Nova" w:cs="Arial Nova"/>
          <w:b w:val="1"/>
          <w:bCs w:val="1"/>
          <w:i w:val="0"/>
          <w:iCs w:val="0"/>
          <w:strike w:val="0"/>
          <w:dstrike w:val="0"/>
          <w:noProof w:val="0"/>
          <w:color w:val="000000" w:themeColor="text1" w:themeTint="FF" w:themeShade="FF"/>
          <w:sz w:val="24"/>
          <w:szCs w:val="24"/>
          <w:u w:val="none"/>
          <w:lang w:val="en-US"/>
        </w:rPr>
      </w:pPr>
      <w:r w:rsidRPr="5ED495D4" w:rsidR="5C7B1F42">
        <w:rPr>
          <w:rFonts w:ascii="Arial Nova" w:hAnsi="Arial Nova" w:eastAsia="Arial Nova" w:cs="Arial Nova"/>
          <w:b w:val="1"/>
          <w:bCs w:val="1"/>
          <w:i w:val="0"/>
          <w:iCs w:val="0"/>
          <w:strike w:val="0"/>
          <w:dstrike w:val="0"/>
          <w:noProof w:val="0"/>
          <w:color w:val="000000" w:themeColor="text1" w:themeTint="FF" w:themeShade="FF"/>
          <w:sz w:val="24"/>
          <w:szCs w:val="24"/>
          <w:u w:val="none"/>
          <w:lang w:val="en-US"/>
        </w:rPr>
        <w:t>PESTEL Analysis</w:t>
      </w:r>
    </w:p>
    <w:p xmlns:wp14="http://schemas.microsoft.com/office/word/2010/wordml" w:rsidP="5ED495D4" wp14:paraId="51F76441" wp14:textId="24F37736">
      <w:pPr>
        <w:spacing w:before="0" w:beforeAutospacing="off" w:after="0" w:afterAutospacing="off"/>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pP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The PESTEL framework evaluates external factors that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impact</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Accor’s operations in Dubai, providing insights into economic, social, and regulatory influences that shape customer demand and operational practices (Serdyuk, 2023).</w:t>
      </w:r>
    </w:p>
    <w:p xmlns:wp14="http://schemas.microsoft.com/office/word/2010/wordml" w:rsidP="5ED495D4" wp14:paraId="7312EFF6" wp14:textId="0DC9A0AF">
      <w:pPr>
        <w:spacing w:before="0" w:beforeAutospacing="off" w:after="0" w:afterAutospacing="off"/>
        <w:jc w:val="center"/>
      </w:pPr>
      <w:r w:rsidR="5C7B1F42">
        <w:drawing>
          <wp:inline xmlns:wp14="http://schemas.microsoft.com/office/word/2010/wordprocessingDrawing" wp14:editId="497C0DA2" wp14:anchorId="33F26981">
            <wp:extent cx="2390775" cy="2705100"/>
            <wp:effectExtent l="0" t="0" r="0" b="0"/>
            <wp:docPr id="420151616" name="" descr="Scanning the Environment: PESTEL Analysis - Planium Pro" title=""/>
            <wp:cNvGraphicFramePr>
              <a:graphicFrameLocks noChangeAspect="1"/>
            </wp:cNvGraphicFramePr>
            <a:graphic>
              <a:graphicData uri="http://schemas.openxmlformats.org/drawingml/2006/picture">
                <pic:pic>
                  <pic:nvPicPr>
                    <pic:cNvPr id="0" name=""/>
                    <pic:cNvPicPr/>
                  </pic:nvPicPr>
                  <pic:blipFill>
                    <a:blip r:embed="R6213259fd7f64877">
                      <a:extLst>
                        <a:ext xmlns:a="http://schemas.openxmlformats.org/drawingml/2006/main" uri="{28A0092B-C50C-407E-A947-70E740481C1C}">
                          <a14:useLocalDpi val="0"/>
                        </a:ext>
                      </a:extLst>
                    </a:blip>
                    <a:stretch>
                      <a:fillRect/>
                    </a:stretch>
                  </pic:blipFill>
                  <pic:spPr>
                    <a:xfrm>
                      <a:off x="0" y="0"/>
                      <a:ext cx="2390775" cy="2705100"/>
                    </a:xfrm>
                    <a:prstGeom prst="rect">
                      <a:avLst/>
                    </a:prstGeom>
                  </pic:spPr>
                </pic:pic>
              </a:graphicData>
            </a:graphic>
          </wp:inline>
        </w:drawing>
      </w:r>
    </w:p>
    <w:p xmlns:wp14="http://schemas.microsoft.com/office/word/2010/wordml" w:rsidP="5ED495D4" wp14:paraId="600186BC" wp14:textId="61F75229">
      <w:pPr>
        <w:spacing w:before="0" w:beforeAutospacing="off" w:after="200" w:afterAutospacing="off"/>
        <w:jc w:val="center"/>
      </w:pPr>
      <w:r w:rsidRPr="5ED495D4" w:rsidR="5C7B1F42">
        <w:rPr>
          <w:rFonts w:ascii="Times New Roman" w:hAnsi="Times New Roman" w:eastAsia="Times New Roman" w:cs="Times New Roman"/>
          <w:b w:val="0"/>
          <w:bCs w:val="0"/>
          <w:i w:val="1"/>
          <w:iCs w:val="1"/>
          <w:strike w:val="0"/>
          <w:dstrike w:val="0"/>
          <w:noProof w:val="0"/>
          <w:color w:val="44546A"/>
          <w:sz w:val="18"/>
          <w:szCs w:val="18"/>
          <w:u w:val="none"/>
          <w:lang w:val="en-US"/>
        </w:rPr>
        <w:t>Figure 2:PESTEL</w:t>
      </w:r>
    </w:p>
    <w:p xmlns:wp14="http://schemas.microsoft.com/office/word/2010/wordml" w:rsidP="5ED495D4" wp14:paraId="34B490F7" wp14:textId="6971BFD5">
      <w:pPr>
        <w:spacing w:before="0" w:beforeAutospacing="off" w:after="200" w:afterAutospacing="off"/>
      </w:pPr>
      <w:r w:rsidRPr="5ED495D4" w:rsidR="5C7B1F42">
        <w:rPr>
          <w:rFonts w:ascii="Times New Roman" w:hAnsi="Times New Roman" w:eastAsia="Times New Roman" w:cs="Times New Roman"/>
          <w:b w:val="1"/>
          <w:bCs w:val="1"/>
          <w:i w:val="0"/>
          <w:iCs w:val="0"/>
          <w:strike w:val="0"/>
          <w:dstrike w:val="0"/>
          <w:noProof w:val="0"/>
          <w:color w:val="000000" w:themeColor="text1" w:themeTint="FF" w:themeShade="FF"/>
          <w:sz w:val="18"/>
          <w:szCs w:val="18"/>
          <w:u w:val="none"/>
          <w:lang w:val="en-US"/>
        </w:rPr>
        <w:t>Table 1:</w:t>
      </w:r>
      <w:r w:rsidRPr="5ED495D4" w:rsidR="5C7B1F42">
        <w:rPr>
          <w:rFonts w:ascii="Times New Roman" w:hAnsi="Times New Roman" w:eastAsia="Times New Roman" w:cs="Times New Roman"/>
          <w:b w:val="0"/>
          <w:bCs w:val="0"/>
          <w:i w:val="0"/>
          <w:iCs w:val="0"/>
          <w:strike w:val="0"/>
          <w:dstrike w:val="0"/>
          <w:noProof w:val="0"/>
          <w:color w:val="000000" w:themeColor="text1" w:themeTint="FF" w:themeShade="FF"/>
          <w:sz w:val="18"/>
          <w:szCs w:val="18"/>
          <w:u w:val="none"/>
          <w:lang w:val="en-US"/>
        </w:rPr>
        <w:t xml:space="preserve"> PESTEL Analysis</w:t>
      </w:r>
    </w:p>
    <w:tbl>
      <w:tblPr>
        <w:tblStyle w:val="TableNormal"/>
        <w:tblW w:w="0" w:type="auto"/>
        <w:tblLayout w:type="fixed"/>
        <w:tblLook w:val="06A0" w:firstRow="1" w:lastRow="0" w:firstColumn="1" w:lastColumn="0" w:noHBand="1" w:noVBand="1"/>
      </w:tblPr>
      <w:tblGrid>
        <w:gridCol w:w="1539"/>
        <w:gridCol w:w="7359"/>
      </w:tblGrid>
      <w:tr w:rsidR="5ED495D4" w:rsidTr="5ED495D4" w14:paraId="6B21413D">
        <w:trPr>
          <w:trHeight w:val="300"/>
        </w:trPr>
        <w:tc>
          <w:tcPr>
            <w:tcW w:w="1539"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shd w:val="clear" w:color="auto" w:fill="C00000"/>
            <w:tcMar>
              <w:left w:w="108" w:type="dxa"/>
              <w:right w:w="108" w:type="dxa"/>
            </w:tcMar>
            <w:vAlign w:val="top"/>
          </w:tcPr>
          <w:p w:rsidR="5ED495D4" w:rsidP="5ED495D4" w:rsidRDefault="5ED495D4" w14:paraId="52AA72E6" w14:textId="22B83D0C">
            <w:pPr>
              <w:spacing w:before="0" w:beforeAutospacing="off" w:after="0" w:afterAutospacing="off"/>
              <w:jc w:val="center"/>
            </w:pPr>
            <w:r w:rsidRPr="5ED495D4" w:rsidR="5ED495D4">
              <w:rPr>
                <w:rFonts w:ascii="Times New Roman" w:hAnsi="Times New Roman" w:eastAsia="Times New Roman" w:cs="Times New Roman"/>
                <w:b w:val="1"/>
                <w:bCs w:val="1"/>
                <w:i w:val="0"/>
                <w:iCs w:val="0"/>
                <w:strike w:val="0"/>
                <w:dstrike w:val="0"/>
                <w:color w:val="FFFFFF" w:themeColor="background1" w:themeTint="FF" w:themeShade="FF"/>
                <w:sz w:val="24"/>
                <w:szCs w:val="24"/>
                <w:u w:val="none"/>
              </w:rPr>
              <w:t>Factor</w:t>
            </w:r>
          </w:p>
        </w:tc>
        <w:tc>
          <w:tcPr>
            <w:tcW w:w="7359"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shd w:val="clear" w:color="auto" w:fill="C00000"/>
            <w:tcMar>
              <w:left w:w="108" w:type="dxa"/>
              <w:right w:w="108" w:type="dxa"/>
            </w:tcMar>
            <w:vAlign w:val="top"/>
          </w:tcPr>
          <w:p w:rsidR="5ED495D4" w:rsidP="5ED495D4" w:rsidRDefault="5ED495D4" w14:paraId="0DDF1B28" w14:textId="112C688A">
            <w:pPr>
              <w:spacing w:before="0" w:beforeAutospacing="off" w:after="0" w:afterAutospacing="off"/>
              <w:jc w:val="center"/>
            </w:pPr>
            <w:r w:rsidRPr="5ED495D4" w:rsidR="5ED495D4">
              <w:rPr>
                <w:rFonts w:ascii="Times New Roman" w:hAnsi="Times New Roman" w:eastAsia="Times New Roman" w:cs="Times New Roman"/>
                <w:b w:val="1"/>
                <w:bCs w:val="1"/>
                <w:i w:val="0"/>
                <w:iCs w:val="0"/>
                <w:strike w:val="0"/>
                <w:dstrike w:val="0"/>
                <w:color w:val="FFFFFF" w:themeColor="background1" w:themeTint="FF" w:themeShade="FF"/>
                <w:sz w:val="24"/>
                <w:szCs w:val="24"/>
                <w:u w:val="none"/>
              </w:rPr>
              <w:t>Analysis</w:t>
            </w:r>
          </w:p>
        </w:tc>
      </w:tr>
      <w:tr w:rsidR="5ED495D4" w:rsidTr="5ED495D4" w14:paraId="4FADA16A">
        <w:trPr>
          <w:trHeight w:val="300"/>
        </w:trPr>
        <w:tc>
          <w:tcPr>
            <w:tcW w:w="1539"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1E00B076" w14:textId="4566D0AF">
            <w:pPr>
              <w:spacing w:before="0" w:beforeAutospacing="off" w:after="0" w:afterAutospacing="off"/>
              <w:jc w:val="both"/>
              <w:rPr>
                <w:rFonts w:ascii="Arial Nova" w:hAnsi="Arial Nova" w:eastAsia="Arial Nova" w:cs="Arial Nova"/>
                <w:b w:val="1"/>
                <w:bCs w:val="1"/>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1"/>
                <w:bCs w:val="1"/>
                <w:i w:val="0"/>
                <w:iCs w:val="0"/>
                <w:strike w:val="0"/>
                <w:dstrike w:val="0"/>
                <w:color w:val="000000" w:themeColor="text1" w:themeTint="FF" w:themeShade="FF"/>
                <w:sz w:val="24"/>
                <w:szCs w:val="24"/>
                <w:u w:val="none"/>
              </w:rPr>
              <w:t>Political</w:t>
            </w:r>
          </w:p>
        </w:tc>
        <w:tc>
          <w:tcPr>
            <w:tcW w:w="7359"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6A792E09" w14:textId="2A5D14AE">
            <w:pPr>
              <w:spacing w:before="0" w:beforeAutospacing="off" w:after="0" w:afterAutospacing="off"/>
              <w:jc w:val="both"/>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 xml:space="preserve">Dubai’s stable political environment supports tourism growth, especially with governmental efforts to attract high-spending visitors. Policies related to events like the Expo and strategic tourism alliances </w:t>
            </w: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benefit</w:t>
            </w: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 xml:space="preserve"> Accor by creating a favorable hospitality environment (Tran, 2024).</w:t>
            </w:r>
          </w:p>
        </w:tc>
      </w:tr>
      <w:tr w:rsidR="5ED495D4" w:rsidTr="5ED495D4" w14:paraId="1D2EFF09">
        <w:trPr>
          <w:trHeight w:val="300"/>
        </w:trPr>
        <w:tc>
          <w:tcPr>
            <w:tcW w:w="1539"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20222C6C" w14:textId="26A8503C">
            <w:pPr>
              <w:spacing w:before="0" w:beforeAutospacing="off" w:after="0" w:afterAutospacing="off"/>
              <w:jc w:val="both"/>
              <w:rPr>
                <w:rFonts w:ascii="Arial Nova" w:hAnsi="Arial Nova" w:eastAsia="Arial Nova" w:cs="Arial Nova"/>
                <w:b w:val="1"/>
                <w:bCs w:val="1"/>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1"/>
                <w:bCs w:val="1"/>
                <w:i w:val="0"/>
                <w:iCs w:val="0"/>
                <w:strike w:val="0"/>
                <w:dstrike w:val="0"/>
                <w:color w:val="000000" w:themeColor="text1" w:themeTint="FF" w:themeShade="FF"/>
                <w:sz w:val="24"/>
                <w:szCs w:val="24"/>
                <w:u w:val="none"/>
              </w:rPr>
              <w:t>Economic</w:t>
            </w:r>
          </w:p>
        </w:tc>
        <w:tc>
          <w:tcPr>
            <w:tcW w:w="7359"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208E48A9" w14:textId="0DA592B4">
            <w:pPr>
              <w:spacing w:before="0" w:beforeAutospacing="off" w:after="0" w:afterAutospacing="off"/>
              <w:jc w:val="both"/>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 xml:space="preserve">Accor faces currency-related challenges, notably the depreciation of the Brazilian Real and Egyptian Pound, which affect revenues despite occupancy growth in those regions. In Dubai, high inflation can </w:t>
            </w: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impact</w:t>
            </w: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 xml:space="preserve"> discretionary spending, indirectly influencing RevPAR stability (</w:t>
            </w: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Bardukova</w:t>
            </w: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 2023).</w:t>
            </w:r>
          </w:p>
        </w:tc>
      </w:tr>
      <w:tr w:rsidR="5ED495D4" w:rsidTr="5ED495D4" w14:paraId="5C4AFA1D">
        <w:trPr>
          <w:trHeight w:val="300"/>
        </w:trPr>
        <w:tc>
          <w:tcPr>
            <w:tcW w:w="1539"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60ED07AD" w14:textId="2DEEAB8A">
            <w:pPr>
              <w:spacing w:before="0" w:beforeAutospacing="off" w:after="0" w:afterAutospacing="off"/>
              <w:jc w:val="both"/>
              <w:rPr>
                <w:rFonts w:ascii="Arial Nova" w:hAnsi="Arial Nova" w:eastAsia="Arial Nova" w:cs="Arial Nova"/>
                <w:b w:val="1"/>
                <w:bCs w:val="1"/>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1"/>
                <w:bCs w:val="1"/>
                <w:i w:val="0"/>
                <w:iCs w:val="0"/>
                <w:strike w:val="0"/>
                <w:dstrike w:val="0"/>
                <w:color w:val="000000" w:themeColor="text1" w:themeTint="FF" w:themeShade="FF"/>
                <w:sz w:val="24"/>
                <w:szCs w:val="24"/>
                <w:u w:val="none"/>
              </w:rPr>
              <w:t>Social</w:t>
            </w:r>
          </w:p>
        </w:tc>
        <w:tc>
          <w:tcPr>
            <w:tcW w:w="7359"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3E39BBB6" w14:textId="6E618997">
            <w:pPr>
              <w:spacing w:before="0" w:beforeAutospacing="off" w:after="0" w:afterAutospacing="off"/>
              <w:jc w:val="both"/>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The shift in luxury travel trends post-pandemic emphasizes experiential and personalized services. Accor’s high-end clients, especially in regions like the Middle East, increasingly seek culturally relevant and unique experiences (Vinod, 2022).</w:t>
            </w:r>
          </w:p>
        </w:tc>
      </w:tr>
      <w:tr w:rsidR="5ED495D4" w:rsidTr="5ED495D4" w14:paraId="57957A2E">
        <w:trPr>
          <w:trHeight w:val="300"/>
        </w:trPr>
        <w:tc>
          <w:tcPr>
            <w:tcW w:w="1539"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248C8A8C" w14:textId="0FAE1C91">
            <w:pPr>
              <w:spacing w:before="0" w:beforeAutospacing="off" w:after="0" w:afterAutospacing="off"/>
              <w:jc w:val="both"/>
              <w:rPr>
                <w:rFonts w:ascii="Arial Nova" w:hAnsi="Arial Nova" w:eastAsia="Arial Nova" w:cs="Arial Nova"/>
                <w:b w:val="1"/>
                <w:bCs w:val="1"/>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1"/>
                <w:bCs w:val="1"/>
                <w:i w:val="0"/>
                <w:iCs w:val="0"/>
                <w:strike w:val="0"/>
                <w:dstrike w:val="0"/>
                <w:color w:val="000000" w:themeColor="text1" w:themeTint="FF" w:themeShade="FF"/>
                <w:sz w:val="24"/>
                <w:szCs w:val="24"/>
                <w:u w:val="none"/>
              </w:rPr>
              <w:t>Technological</w:t>
            </w:r>
          </w:p>
        </w:tc>
        <w:tc>
          <w:tcPr>
            <w:tcW w:w="7359"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227C7709" w14:textId="094AFE03">
            <w:pPr>
              <w:spacing w:before="0" w:beforeAutospacing="off" w:after="0" w:afterAutospacing="off"/>
              <w:jc w:val="both"/>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The demand for advanced digital services in hospitality is growing. Accor’s loyalty program, ALL – Accor Live Limitless, has driven engagement, but inconsistent technology adoption across regions hampers uniformity in service offerings, affecting guest expectations (Greenwood, 2020).</w:t>
            </w:r>
          </w:p>
        </w:tc>
      </w:tr>
      <w:tr w:rsidR="5ED495D4" w:rsidTr="5ED495D4" w14:paraId="54D4EABE">
        <w:trPr>
          <w:trHeight w:val="300"/>
        </w:trPr>
        <w:tc>
          <w:tcPr>
            <w:tcW w:w="1539"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0586EE04" w14:textId="6F0C68ED">
            <w:pPr>
              <w:spacing w:before="0" w:beforeAutospacing="off" w:after="0" w:afterAutospacing="off"/>
              <w:jc w:val="both"/>
              <w:rPr>
                <w:rFonts w:ascii="Arial Nova" w:hAnsi="Arial Nova" w:eastAsia="Arial Nova" w:cs="Arial Nova"/>
                <w:b w:val="1"/>
                <w:bCs w:val="1"/>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1"/>
                <w:bCs w:val="1"/>
                <w:i w:val="0"/>
                <w:iCs w:val="0"/>
                <w:strike w:val="0"/>
                <w:dstrike w:val="0"/>
                <w:color w:val="000000" w:themeColor="text1" w:themeTint="FF" w:themeShade="FF"/>
                <w:sz w:val="24"/>
                <w:szCs w:val="24"/>
                <w:u w:val="none"/>
              </w:rPr>
              <w:t>Environmental</w:t>
            </w:r>
          </w:p>
        </w:tc>
        <w:tc>
          <w:tcPr>
            <w:tcW w:w="7359"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29319EF0" w14:textId="1CD0F516">
            <w:pPr>
              <w:spacing w:before="0" w:beforeAutospacing="off" w:after="0" w:afterAutospacing="off"/>
              <w:jc w:val="both"/>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 xml:space="preserve">Accor’s Planet 21 commitment emphasizes sustainability, resonating well with eco-conscious guests. However, implementing sustainable practices across diverse regions poses cost and logistical challenges, especially for luxury hotels that must </w:t>
            </w: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maintain</w:t>
            </w: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 xml:space="preserve"> premium standards (Ali, 2023).</w:t>
            </w:r>
          </w:p>
        </w:tc>
      </w:tr>
      <w:tr w:rsidR="5ED495D4" w:rsidTr="5ED495D4" w14:paraId="0E53751B">
        <w:trPr>
          <w:trHeight w:val="300"/>
        </w:trPr>
        <w:tc>
          <w:tcPr>
            <w:tcW w:w="1539"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1D48F0EF" w14:textId="6A2E3D26">
            <w:pPr>
              <w:spacing w:before="0" w:beforeAutospacing="off" w:after="0" w:afterAutospacing="off"/>
              <w:jc w:val="both"/>
              <w:rPr>
                <w:rFonts w:ascii="Arial Nova" w:hAnsi="Arial Nova" w:eastAsia="Arial Nova" w:cs="Arial Nova"/>
                <w:b w:val="1"/>
                <w:bCs w:val="1"/>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1"/>
                <w:bCs w:val="1"/>
                <w:i w:val="0"/>
                <w:iCs w:val="0"/>
                <w:strike w:val="0"/>
                <w:dstrike w:val="0"/>
                <w:color w:val="000000" w:themeColor="text1" w:themeTint="FF" w:themeShade="FF"/>
                <w:sz w:val="24"/>
                <w:szCs w:val="24"/>
                <w:u w:val="none"/>
              </w:rPr>
              <w:t>Legal</w:t>
            </w:r>
          </w:p>
        </w:tc>
        <w:tc>
          <w:tcPr>
            <w:tcW w:w="7359"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21ACECEB" w14:textId="07644121">
            <w:pPr>
              <w:spacing w:before="0" w:beforeAutospacing="off" w:after="0" w:afterAutospacing="off"/>
              <w:jc w:val="both"/>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Compliance with local labor and environmental regulations in Dubai affects operational flexibility. Accor’s commitment to ESG policies aligns with these requirements but also adds operational costs that influence profitability in regions with high compliance expectations (Accor, 2023).</w:t>
            </w:r>
          </w:p>
        </w:tc>
      </w:tr>
    </w:tbl>
    <w:p xmlns:wp14="http://schemas.microsoft.com/office/word/2010/wordml" w:rsidP="5ED495D4" wp14:paraId="66EC4514" wp14:textId="22D44487">
      <w:pPr>
        <w:rPr>
          <w:rFonts w:ascii="Arial Nova" w:hAnsi="Arial Nova" w:eastAsia="Arial Nova" w:cs="Arial Nova"/>
          <w:sz w:val="24"/>
          <w:szCs w:val="24"/>
        </w:rPr>
      </w:pPr>
    </w:p>
    <w:p xmlns:wp14="http://schemas.microsoft.com/office/word/2010/wordml" w:rsidP="5ED495D4" wp14:paraId="56CE4EB1" wp14:textId="12C38592">
      <w:pPr>
        <w:spacing w:before="0" w:beforeAutospacing="off" w:after="0" w:afterAutospacing="off"/>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pP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Accor benefits from favorable political and economic trends, especially in tourism-focused Dubai. However, as consumer expectations in luxury evolve, the need for more localized and personalized experiences grows. Additionally, currency fluctuations continue to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impact</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revenue in various regions,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necessitating</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hedging strategies to mitigate these financial risks. Accor’s Planet 21 and other ESG initiatives resonate well with global sustainability trends but require constant adaptation to meet both regulatory and consumer expectations, which is particularly challenging in the high-standard luxury segment (Sinha and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Fukey</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2020).</w:t>
      </w:r>
    </w:p>
    <w:p xmlns:wp14="http://schemas.microsoft.com/office/word/2010/wordml" w:rsidP="5ED495D4" wp14:paraId="39E0B82C" wp14:textId="1D050A4C">
      <w:pPr>
        <w:pStyle w:val="Heading2"/>
        <w:spacing w:before="0" w:beforeAutospacing="off" w:after="0" w:afterAutospacing="off"/>
        <w:jc w:val="both"/>
        <w:rPr>
          <w:rFonts w:ascii="Arial Nova" w:hAnsi="Arial Nova" w:eastAsia="Arial Nova" w:cs="Arial Nova"/>
          <w:b w:val="1"/>
          <w:bCs w:val="1"/>
          <w:i w:val="0"/>
          <w:iCs w:val="0"/>
          <w:strike w:val="0"/>
          <w:dstrike w:val="0"/>
          <w:noProof w:val="0"/>
          <w:color w:val="000000" w:themeColor="text1" w:themeTint="FF" w:themeShade="FF"/>
          <w:sz w:val="24"/>
          <w:szCs w:val="24"/>
          <w:u w:val="none"/>
          <w:lang w:val="en-US"/>
        </w:rPr>
      </w:pPr>
      <w:r w:rsidRPr="5ED495D4" w:rsidR="5C7B1F42">
        <w:rPr>
          <w:rFonts w:ascii="Arial Nova" w:hAnsi="Arial Nova" w:eastAsia="Arial Nova" w:cs="Arial Nova"/>
          <w:b w:val="1"/>
          <w:bCs w:val="1"/>
          <w:i w:val="0"/>
          <w:iCs w:val="0"/>
          <w:strike w:val="0"/>
          <w:dstrike w:val="0"/>
          <w:noProof w:val="0"/>
          <w:color w:val="000000" w:themeColor="text1" w:themeTint="FF" w:themeShade="FF"/>
          <w:sz w:val="24"/>
          <w:szCs w:val="24"/>
          <w:u w:val="none"/>
          <w:lang w:val="en-US"/>
        </w:rPr>
        <w:t>SWOT Analysis</w:t>
      </w:r>
    </w:p>
    <w:p xmlns:wp14="http://schemas.microsoft.com/office/word/2010/wordml" w:rsidP="5ED495D4" wp14:paraId="1882687A" wp14:textId="0A22CEDD">
      <w:pPr>
        <w:spacing w:before="0" w:beforeAutospacing="off" w:after="0" w:afterAutospacing="off"/>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pP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The SWOT framework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identifies</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internal strengths and weaknesses along with external opportunities and threats that affect Accor’s operational performance and competitive positioning.</w:t>
      </w:r>
    </w:p>
    <w:p xmlns:wp14="http://schemas.microsoft.com/office/word/2010/wordml" w:rsidP="5ED495D4" wp14:paraId="69CF5E7D" wp14:textId="43CBD66A">
      <w:pPr>
        <w:spacing w:before="0" w:beforeAutospacing="off" w:after="0" w:afterAutospacing="off"/>
        <w:jc w:val="center"/>
      </w:pPr>
      <w:r w:rsidR="5C7B1F42">
        <w:drawing>
          <wp:inline xmlns:wp14="http://schemas.microsoft.com/office/word/2010/wordprocessingDrawing" wp14:editId="556FA6EF" wp14:anchorId="219E7265">
            <wp:extent cx="2667000" cy="2990850"/>
            <wp:effectExtent l="0" t="0" r="0" b="0"/>
            <wp:docPr id="785963302" name="" descr="SWOT analysis - Wikipedia" title=""/>
            <wp:cNvGraphicFramePr>
              <a:graphicFrameLocks noChangeAspect="1"/>
            </wp:cNvGraphicFramePr>
            <a:graphic>
              <a:graphicData uri="http://schemas.openxmlformats.org/drawingml/2006/picture">
                <pic:pic>
                  <pic:nvPicPr>
                    <pic:cNvPr id="0" name=""/>
                    <pic:cNvPicPr/>
                  </pic:nvPicPr>
                  <pic:blipFill>
                    <a:blip r:embed="Rf562803761804c90">
                      <a:extLst>
                        <a:ext xmlns:a="http://schemas.openxmlformats.org/drawingml/2006/main" uri="{28A0092B-C50C-407E-A947-70E740481C1C}">
                          <a14:useLocalDpi val="0"/>
                        </a:ext>
                      </a:extLst>
                    </a:blip>
                    <a:stretch>
                      <a:fillRect/>
                    </a:stretch>
                  </pic:blipFill>
                  <pic:spPr>
                    <a:xfrm>
                      <a:off x="0" y="0"/>
                      <a:ext cx="2667000" cy="2990850"/>
                    </a:xfrm>
                    <a:prstGeom prst="rect">
                      <a:avLst/>
                    </a:prstGeom>
                  </pic:spPr>
                </pic:pic>
              </a:graphicData>
            </a:graphic>
          </wp:inline>
        </w:drawing>
      </w:r>
    </w:p>
    <w:p xmlns:wp14="http://schemas.microsoft.com/office/word/2010/wordml" w:rsidP="5ED495D4" wp14:paraId="51845468" wp14:textId="56D5B325">
      <w:pPr>
        <w:spacing w:before="0" w:beforeAutospacing="off" w:after="200" w:afterAutospacing="off"/>
        <w:jc w:val="center"/>
      </w:pPr>
      <w:r w:rsidRPr="5ED495D4" w:rsidR="5C7B1F42">
        <w:rPr>
          <w:rFonts w:ascii="Times New Roman" w:hAnsi="Times New Roman" w:eastAsia="Times New Roman" w:cs="Times New Roman"/>
          <w:b w:val="0"/>
          <w:bCs w:val="0"/>
          <w:i w:val="1"/>
          <w:iCs w:val="1"/>
          <w:strike w:val="0"/>
          <w:dstrike w:val="0"/>
          <w:noProof w:val="0"/>
          <w:color w:val="44546A"/>
          <w:sz w:val="18"/>
          <w:szCs w:val="18"/>
          <w:u w:val="none"/>
          <w:lang w:val="en-US"/>
        </w:rPr>
        <w:t>Figure 3: SWOT</w:t>
      </w:r>
    </w:p>
    <w:p xmlns:wp14="http://schemas.microsoft.com/office/word/2010/wordml" w:rsidP="5ED495D4" wp14:paraId="061F4A95" wp14:textId="7C06C53E">
      <w:pPr>
        <w:spacing w:before="0" w:beforeAutospacing="off" w:after="200" w:afterAutospacing="off"/>
      </w:pPr>
      <w:r w:rsidRPr="5ED495D4" w:rsidR="5C7B1F42">
        <w:rPr>
          <w:rFonts w:ascii="Times New Roman" w:hAnsi="Times New Roman" w:eastAsia="Times New Roman" w:cs="Times New Roman"/>
          <w:b w:val="1"/>
          <w:bCs w:val="1"/>
          <w:i w:val="0"/>
          <w:iCs w:val="0"/>
          <w:strike w:val="0"/>
          <w:dstrike w:val="0"/>
          <w:noProof w:val="0"/>
          <w:color w:val="000000" w:themeColor="text1" w:themeTint="FF" w:themeShade="FF"/>
          <w:sz w:val="18"/>
          <w:szCs w:val="18"/>
          <w:u w:val="none"/>
          <w:lang w:val="en-US"/>
        </w:rPr>
        <w:t>Table 2</w:t>
      </w:r>
      <w:r w:rsidRPr="5ED495D4" w:rsidR="5C7B1F42">
        <w:rPr>
          <w:rFonts w:ascii="Times New Roman" w:hAnsi="Times New Roman" w:eastAsia="Times New Roman" w:cs="Times New Roman"/>
          <w:b w:val="0"/>
          <w:bCs w:val="0"/>
          <w:i w:val="0"/>
          <w:iCs w:val="0"/>
          <w:strike w:val="0"/>
          <w:dstrike w:val="0"/>
          <w:noProof w:val="0"/>
          <w:color w:val="000000" w:themeColor="text1" w:themeTint="FF" w:themeShade="FF"/>
          <w:sz w:val="18"/>
          <w:szCs w:val="18"/>
          <w:u w:val="none"/>
          <w:lang w:val="en-US"/>
        </w:rPr>
        <w:t>:SWOT Analysis</w:t>
      </w:r>
    </w:p>
    <w:tbl>
      <w:tblPr>
        <w:tblStyle w:val="TableNormal"/>
        <w:tblW w:w="0" w:type="auto"/>
        <w:tblLayout w:type="fixed"/>
        <w:tblLook w:val="06A0" w:firstRow="1" w:lastRow="0" w:firstColumn="1" w:lastColumn="0" w:noHBand="1" w:noVBand="1"/>
      </w:tblPr>
      <w:tblGrid>
        <w:gridCol w:w="1419"/>
        <w:gridCol w:w="7464"/>
      </w:tblGrid>
      <w:tr w:rsidR="5ED495D4" w:rsidTr="5ED495D4" w14:paraId="4BD3A101">
        <w:trPr>
          <w:trHeight w:val="300"/>
        </w:trPr>
        <w:tc>
          <w:tcPr>
            <w:tcW w:w="1419"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shd w:val="clear" w:color="auto" w:fill="C00000"/>
            <w:tcMar>
              <w:left w:w="108" w:type="dxa"/>
              <w:right w:w="108" w:type="dxa"/>
            </w:tcMar>
            <w:vAlign w:val="top"/>
          </w:tcPr>
          <w:p w:rsidR="5ED495D4" w:rsidP="5ED495D4" w:rsidRDefault="5ED495D4" w14:paraId="6C9B5B72" w14:textId="008298F8">
            <w:pPr>
              <w:spacing w:before="0" w:beforeAutospacing="off" w:after="0" w:afterAutospacing="off"/>
              <w:jc w:val="center"/>
            </w:pPr>
            <w:r w:rsidRPr="5ED495D4" w:rsidR="5ED495D4">
              <w:rPr>
                <w:rFonts w:ascii="Times New Roman" w:hAnsi="Times New Roman" w:eastAsia="Times New Roman" w:cs="Times New Roman"/>
                <w:b w:val="1"/>
                <w:bCs w:val="1"/>
                <w:i w:val="0"/>
                <w:iCs w:val="0"/>
                <w:strike w:val="0"/>
                <w:dstrike w:val="0"/>
                <w:color w:val="FFFFFF" w:themeColor="background1" w:themeTint="FF" w:themeShade="FF"/>
                <w:sz w:val="24"/>
                <w:szCs w:val="24"/>
                <w:u w:val="none"/>
              </w:rPr>
              <w:t>Category</w:t>
            </w:r>
          </w:p>
        </w:tc>
        <w:tc>
          <w:tcPr>
            <w:tcW w:w="746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shd w:val="clear" w:color="auto" w:fill="C00000"/>
            <w:tcMar>
              <w:left w:w="108" w:type="dxa"/>
              <w:right w:w="108" w:type="dxa"/>
            </w:tcMar>
            <w:vAlign w:val="top"/>
          </w:tcPr>
          <w:p w:rsidR="5ED495D4" w:rsidP="5ED495D4" w:rsidRDefault="5ED495D4" w14:paraId="01A3D41C" w14:textId="77B484D5">
            <w:pPr>
              <w:spacing w:before="0" w:beforeAutospacing="off" w:after="0" w:afterAutospacing="off"/>
              <w:jc w:val="center"/>
            </w:pPr>
            <w:r w:rsidRPr="5ED495D4" w:rsidR="5ED495D4">
              <w:rPr>
                <w:rFonts w:ascii="Times New Roman" w:hAnsi="Times New Roman" w:eastAsia="Times New Roman" w:cs="Times New Roman"/>
                <w:b w:val="1"/>
                <w:bCs w:val="1"/>
                <w:i w:val="0"/>
                <w:iCs w:val="0"/>
                <w:strike w:val="0"/>
                <w:dstrike w:val="0"/>
                <w:color w:val="FFFFFF" w:themeColor="background1" w:themeTint="FF" w:themeShade="FF"/>
                <w:sz w:val="24"/>
                <w:szCs w:val="24"/>
                <w:u w:val="none"/>
              </w:rPr>
              <w:t>Details</w:t>
            </w:r>
          </w:p>
        </w:tc>
      </w:tr>
      <w:tr w:rsidR="5ED495D4" w:rsidTr="5ED495D4" w14:paraId="309BBC0F">
        <w:trPr>
          <w:trHeight w:val="300"/>
        </w:trPr>
        <w:tc>
          <w:tcPr>
            <w:tcW w:w="1419"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6E8245FE" w14:textId="338F2AC2">
            <w:pPr>
              <w:spacing w:before="0" w:beforeAutospacing="off" w:after="0" w:afterAutospacing="off"/>
              <w:jc w:val="both"/>
              <w:rPr>
                <w:rFonts w:ascii="Arial Nova" w:hAnsi="Arial Nova" w:eastAsia="Arial Nova" w:cs="Arial Nova"/>
                <w:b w:val="1"/>
                <w:bCs w:val="1"/>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1"/>
                <w:bCs w:val="1"/>
                <w:i w:val="0"/>
                <w:iCs w:val="0"/>
                <w:strike w:val="0"/>
                <w:dstrike w:val="0"/>
                <w:color w:val="000000" w:themeColor="text1" w:themeTint="FF" w:themeShade="FF"/>
                <w:sz w:val="24"/>
                <w:szCs w:val="24"/>
                <w:u w:val="none"/>
              </w:rPr>
              <w:t>Strengths</w:t>
            </w:r>
          </w:p>
        </w:tc>
        <w:tc>
          <w:tcPr>
            <w:tcW w:w="746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7C491FBB" w14:textId="2921E2FA">
            <w:pPr>
              <w:spacing w:before="0" w:beforeAutospacing="off" w:after="0" w:afterAutospacing="off"/>
              <w:jc w:val="both"/>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 xml:space="preserve">Accor’s diverse brand portfolio (5,600+ hotels) provides resilience against market fluctuations, with growth across segments. The </w:t>
            </w: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ALL loyalty</w:t>
            </w: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 xml:space="preserve"> program and high brand equity in luxury markets enhance customer retention, driving consistent revenue from high-end travelers (Accor, 2023).</w:t>
            </w:r>
          </w:p>
        </w:tc>
      </w:tr>
      <w:tr w:rsidR="5ED495D4" w:rsidTr="5ED495D4" w14:paraId="0D6691ED">
        <w:trPr>
          <w:trHeight w:val="300"/>
        </w:trPr>
        <w:tc>
          <w:tcPr>
            <w:tcW w:w="1419"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68A5B120" w14:textId="536DF1DB">
            <w:pPr>
              <w:spacing w:before="0" w:beforeAutospacing="off" w:after="0" w:afterAutospacing="off"/>
              <w:jc w:val="both"/>
              <w:rPr>
                <w:rFonts w:ascii="Arial Nova" w:hAnsi="Arial Nova" w:eastAsia="Arial Nova" w:cs="Arial Nova"/>
                <w:b w:val="1"/>
                <w:bCs w:val="1"/>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1"/>
                <w:bCs w:val="1"/>
                <w:i w:val="0"/>
                <w:iCs w:val="0"/>
                <w:strike w:val="0"/>
                <w:dstrike w:val="0"/>
                <w:color w:val="000000" w:themeColor="text1" w:themeTint="FF" w:themeShade="FF"/>
                <w:sz w:val="24"/>
                <w:szCs w:val="24"/>
                <w:u w:val="none"/>
              </w:rPr>
              <w:t>Weaknesses</w:t>
            </w:r>
          </w:p>
        </w:tc>
        <w:tc>
          <w:tcPr>
            <w:tcW w:w="746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3ABC4A67" w14:textId="5888DAB2">
            <w:pPr>
              <w:spacing w:before="0" w:beforeAutospacing="off" w:after="0" w:afterAutospacing="off"/>
              <w:jc w:val="both"/>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 xml:space="preserve">Operational inefficiencies, including staff training gaps and uneven technology adoption, lead to inconsistent service quality, </w:t>
            </w: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impacting</w:t>
            </w: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 xml:space="preserve"> guest satisfaction. Regional disparities in demand, particularly in Asia-Pacific, affect revenue growth and brand reliability (Rosenzweig, Kelley and </w:t>
            </w: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Bendoly</w:t>
            </w: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 2024).</w:t>
            </w:r>
          </w:p>
        </w:tc>
      </w:tr>
      <w:tr w:rsidR="5ED495D4" w:rsidTr="5ED495D4" w14:paraId="0DA41461">
        <w:trPr>
          <w:trHeight w:val="300"/>
        </w:trPr>
        <w:tc>
          <w:tcPr>
            <w:tcW w:w="1419"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69F69841" w14:textId="2305DAFC">
            <w:pPr>
              <w:spacing w:before="0" w:beforeAutospacing="off" w:after="0" w:afterAutospacing="off"/>
              <w:jc w:val="both"/>
              <w:rPr>
                <w:rFonts w:ascii="Arial Nova" w:hAnsi="Arial Nova" w:eastAsia="Arial Nova" w:cs="Arial Nova"/>
                <w:b w:val="1"/>
                <w:bCs w:val="1"/>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1"/>
                <w:bCs w:val="1"/>
                <w:i w:val="0"/>
                <w:iCs w:val="0"/>
                <w:strike w:val="0"/>
                <w:dstrike w:val="0"/>
                <w:color w:val="000000" w:themeColor="text1" w:themeTint="FF" w:themeShade="FF"/>
                <w:sz w:val="24"/>
                <w:szCs w:val="24"/>
                <w:u w:val="none"/>
              </w:rPr>
              <w:t>Opportunities</w:t>
            </w:r>
          </w:p>
        </w:tc>
        <w:tc>
          <w:tcPr>
            <w:tcW w:w="746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3B8D888B" w14:textId="59883CFF">
            <w:pPr>
              <w:spacing w:before="0" w:beforeAutospacing="off" w:after="0" w:afterAutospacing="off"/>
              <w:jc w:val="both"/>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Expanding in high-potential markets like Southeast Asia and diversifying with lifestyle brands in high-demand regions. Accor’s push towards “Augmented Hospitality” through coworking spaces and lifestyle services aligns with evolving consumer preferences, offering revenue diversification (Accor, 2023).</w:t>
            </w:r>
          </w:p>
        </w:tc>
      </w:tr>
      <w:tr w:rsidR="5ED495D4" w:rsidTr="5ED495D4" w14:paraId="731ECAE7">
        <w:trPr>
          <w:trHeight w:val="300"/>
        </w:trPr>
        <w:tc>
          <w:tcPr>
            <w:tcW w:w="1419"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6724EE23" w14:textId="11AA3032">
            <w:pPr>
              <w:spacing w:before="0" w:beforeAutospacing="off" w:after="0" w:afterAutospacing="off"/>
              <w:jc w:val="both"/>
              <w:rPr>
                <w:rFonts w:ascii="Arial Nova" w:hAnsi="Arial Nova" w:eastAsia="Arial Nova" w:cs="Arial Nova"/>
                <w:b w:val="1"/>
                <w:bCs w:val="1"/>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1"/>
                <w:bCs w:val="1"/>
                <w:i w:val="0"/>
                <w:iCs w:val="0"/>
                <w:strike w:val="0"/>
                <w:dstrike w:val="0"/>
                <w:color w:val="000000" w:themeColor="text1" w:themeTint="FF" w:themeShade="FF"/>
                <w:sz w:val="24"/>
                <w:szCs w:val="24"/>
                <w:u w:val="none"/>
              </w:rPr>
              <w:t>Threats</w:t>
            </w:r>
          </w:p>
        </w:tc>
        <w:tc>
          <w:tcPr>
            <w:tcW w:w="746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072C09B6" w14:textId="26290E87">
            <w:pPr>
              <w:spacing w:before="0" w:beforeAutospacing="off" w:after="0" w:afterAutospacing="off"/>
              <w:jc w:val="both"/>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Rising competition from digital-first hospitality options and market volatility threaten Accor’s profitability. Currency fluctuations, such as the recent 37% depreciation of the Egyptian Pound, further impact revenue stability in key regions (</w:t>
            </w: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Benzaghta</w:t>
            </w: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 xml:space="preserve"> et al., 2021).</w:t>
            </w:r>
          </w:p>
        </w:tc>
      </w:tr>
    </w:tbl>
    <w:p xmlns:wp14="http://schemas.microsoft.com/office/word/2010/wordml" w:rsidP="5ED495D4" wp14:paraId="0D4EDCE3" wp14:textId="17FEA17A">
      <w:pPr>
        <w:rPr>
          <w:rFonts w:ascii="Arial Nova" w:hAnsi="Arial Nova" w:eastAsia="Arial Nova" w:cs="Arial Nova"/>
          <w:sz w:val="24"/>
          <w:szCs w:val="24"/>
        </w:rPr>
      </w:pPr>
    </w:p>
    <w:p xmlns:wp14="http://schemas.microsoft.com/office/word/2010/wordml" w:rsidP="5ED495D4" wp14:paraId="6EDA41B1" wp14:textId="03D2B52F">
      <w:pPr>
        <w:spacing w:before="0" w:beforeAutospacing="off" w:after="0" w:afterAutospacing="off"/>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pP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Accor’s strengths in brand recognition and diversified offerings provide a stable foundation. However, internal challenges with service consistency and external factors like currency fluctuation require immediate focus. The opportunity to capitalize on lifestyle brands and coworking options aligns with market trends but demands strategic investment. Competitive pressures in digital hospitality could undermine Accor’s growth if digital integration is not standardized across its properties (Pozzobon, 2021).</w:t>
      </w:r>
    </w:p>
    <w:p xmlns:wp14="http://schemas.microsoft.com/office/word/2010/wordml" w:rsidP="5ED495D4" wp14:paraId="7D8EE8BF" wp14:textId="2869453B">
      <w:pPr>
        <w:pStyle w:val="Heading2"/>
        <w:spacing w:before="0" w:beforeAutospacing="off" w:after="0" w:afterAutospacing="off"/>
        <w:jc w:val="both"/>
        <w:rPr>
          <w:rFonts w:ascii="Arial Nova" w:hAnsi="Arial Nova" w:eastAsia="Arial Nova" w:cs="Arial Nova"/>
          <w:b w:val="1"/>
          <w:bCs w:val="1"/>
          <w:i w:val="0"/>
          <w:iCs w:val="0"/>
          <w:strike w:val="0"/>
          <w:dstrike w:val="0"/>
          <w:noProof w:val="0"/>
          <w:color w:val="000000" w:themeColor="text1" w:themeTint="FF" w:themeShade="FF"/>
          <w:sz w:val="24"/>
          <w:szCs w:val="24"/>
          <w:u w:val="none"/>
          <w:lang w:val="en-US"/>
        </w:rPr>
      </w:pPr>
      <w:r w:rsidRPr="5ED495D4" w:rsidR="5C7B1F42">
        <w:rPr>
          <w:rFonts w:ascii="Arial Nova" w:hAnsi="Arial Nova" w:eastAsia="Arial Nova" w:cs="Arial Nova"/>
          <w:b w:val="1"/>
          <w:bCs w:val="1"/>
          <w:i w:val="0"/>
          <w:iCs w:val="0"/>
          <w:strike w:val="0"/>
          <w:dstrike w:val="0"/>
          <w:noProof w:val="0"/>
          <w:color w:val="000000" w:themeColor="text1" w:themeTint="FF" w:themeShade="FF"/>
          <w:sz w:val="24"/>
          <w:szCs w:val="24"/>
          <w:u w:val="none"/>
          <w:lang w:val="en-US"/>
        </w:rPr>
        <w:t>TOWS Analysis</w:t>
      </w:r>
    </w:p>
    <w:p xmlns:wp14="http://schemas.microsoft.com/office/word/2010/wordml" w:rsidP="5ED495D4" wp14:paraId="22AD550E" wp14:textId="4300BC53">
      <w:pPr>
        <w:spacing w:before="0" w:beforeAutospacing="off" w:after="0" w:afterAutospacing="off"/>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pP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The TOWS framework transforms SWOT insights into actionable strategies that help Accor address weaknesses and threats while capitalizing on strengths and opportunities.</w:t>
      </w:r>
    </w:p>
    <w:p xmlns:wp14="http://schemas.microsoft.com/office/word/2010/wordml" w:rsidP="5ED495D4" wp14:paraId="392C3A89" wp14:textId="3CC31880">
      <w:pPr>
        <w:spacing w:before="0" w:beforeAutospacing="off" w:after="0" w:afterAutospacing="off"/>
        <w:jc w:val="center"/>
      </w:pPr>
      <w:r w:rsidR="5C7B1F42">
        <w:drawing>
          <wp:inline xmlns:wp14="http://schemas.microsoft.com/office/word/2010/wordprocessingDrawing" wp14:editId="6506C2FA" wp14:anchorId="15441959">
            <wp:extent cx="5943600" cy="3314700"/>
            <wp:effectExtent l="0" t="0" r="0" b="0"/>
            <wp:docPr id="205976277" name="" descr="Using the TOWS Matrix for Strategy Formulation" title=""/>
            <wp:cNvGraphicFramePr>
              <a:graphicFrameLocks noChangeAspect="1"/>
            </wp:cNvGraphicFramePr>
            <a:graphic>
              <a:graphicData uri="http://schemas.openxmlformats.org/drawingml/2006/picture">
                <pic:pic>
                  <pic:nvPicPr>
                    <pic:cNvPr id="0" name=""/>
                    <pic:cNvPicPr/>
                  </pic:nvPicPr>
                  <pic:blipFill>
                    <a:blip r:embed="R7c095e370eae4cb1">
                      <a:extLst>
                        <a:ext xmlns:a="http://schemas.openxmlformats.org/drawingml/2006/main" uri="{28A0092B-C50C-407E-A947-70E740481C1C}">
                          <a14:useLocalDpi val="0"/>
                        </a:ext>
                      </a:extLst>
                    </a:blip>
                    <a:stretch>
                      <a:fillRect/>
                    </a:stretch>
                  </pic:blipFill>
                  <pic:spPr>
                    <a:xfrm>
                      <a:off x="0" y="0"/>
                      <a:ext cx="5943600" cy="3314700"/>
                    </a:xfrm>
                    <a:prstGeom prst="rect">
                      <a:avLst/>
                    </a:prstGeom>
                  </pic:spPr>
                </pic:pic>
              </a:graphicData>
            </a:graphic>
          </wp:inline>
        </w:drawing>
      </w:r>
    </w:p>
    <w:p xmlns:wp14="http://schemas.microsoft.com/office/word/2010/wordml" w:rsidP="5ED495D4" wp14:paraId="47E4F5DD" wp14:textId="708808D6">
      <w:pPr>
        <w:spacing w:before="0" w:beforeAutospacing="off" w:after="200" w:afterAutospacing="off"/>
        <w:jc w:val="center"/>
      </w:pPr>
      <w:r w:rsidRPr="5ED495D4" w:rsidR="5C7B1F42">
        <w:rPr>
          <w:rFonts w:ascii="Times New Roman" w:hAnsi="Times New Roman" w:eastAsia="Times New Roman" w:cs="Times New Roman"/>
          <w:b w:val="0"/>
          <w:bCs w:val="0"/>
          <w:i w:val="1"/>
          <w:iCs w:val="1"/>
          <w:strike w:val="0"/>
          <w:dstrike w:val="0"/>
          <w:noProof w:val="0"/>
          <w:color w:val="44546A"/>
          <w:sz w:val="18"/>
          <w:szCs w:val="18"/>
          <w:u w:val="none"/>
          <w:lang w:val="en-US"/>
        </w:rPr>
        <w:t>Figure 4: TOWS Matrix</w:t>
      </w:r>
    </w:p>
    <w:p xmlns:wp14="http://schemas.microsoft.com/office/word/2010/wordml" w:rsidP="5ED495D4" wp14:paraId="0D0C8A61" wp14:textId="60797002">
      <w:pPr>
        <w:spacing w:before="0" w:beforeAutospacing="off" w:after="200" w:afterAutospacing="off"/>
      </w:pPr>
      <w:r w:rsidRPr="5ED495D4" w:rsidR="5C7B1F42">
        <w:rPr>
          <w:rFonts w:ascii="Times New Roman" w:hAnsi="Times New Roman" w:eastAsia="Times New Roman" w:cs="Times New Roman"/>
          <w:b w:val="1"/>
          <w:bCs w:val="1"/>
          <w:i w:val="0"/>
          <w:iCs w:val="0"/>
          <w:strike w:val="0"/>
          <w:dstrike w:val="0"/>
          <w:noProof w:val="0"/>
          <w:color w:val="000000" w:themeColor="text1" w:themeTint="FF" w:themeShade="FF"/>
          <w:sz w:val="18"/>
          <w:szCs w:val="18"/>
          <w:u w:val="none"/>
          <w:lang w:val="en-US"/>
        </w:rPr>
        <w:t>Table 3:</w:t>
      </w:r>
      <w:r w:rsidRPr="5ED495D4" w:rsidR="5C7B1F42">
        <w:rPr>
          <w:rFonts w:ascii="Times New Roman" w:hAnsi="Times New Roman" w:eastAsia="Times New Roman" w:cs="Times New Roman"/>
          <w:b w:val="0"/>
          <w:bCs w:val="0"/>
          <w:i w:val="0"/>
          <w:iCs w:val="0"/>
          <w:strike w:val="0"/>
          <w:dstrike w:val="0"/>
          <w:noProof w:val="0"/>
          <w:color w:val="000000" w:themeColor="text1" w:themeTint="FF" w:themeShade="FF"/>
          <w:sz w:val="18"/>
          <w:szCs w:val="18"/>
          <w:u w:val="none"/>
          <w:lang w:val="en-US"/>
        </w:rPr>
        <w:t>TOWS Analysis</w:t>
      </w:r>
    </w:p>
    <w:tbl>
      <w:tblPr>
        <w:tblStyle w:val="TableNormal"/>
        <w:tblW w:w="0" w:type="auto"/>
        <w:tblLayout w:type="fixed"/>
        <w:tblLook w:val="06A0" w:firstRow="1" w:lastRow="0" w:firstColumn="1" w:lastColumn="0" w:noHBand="1" w:noVBand="1"/>
      </w:tblPr>
      <w:tblGrid>
        <w:gridCol w:w="1614"/>
        <w:gridCol w:w="7269"/>
      </w:tblGrid>
      <w:tr w:rsidR="5ED495D4" w:rsidTr="5ED495D4" w14:paraId="4BE75A00">
        <w:trPr>
          <w:trHeight w:val="300"/>
        </w:trPr>
        <w:tc>
          <w:tcPr>
            <w:tcW w:w="161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shd w:val="clear" w:color="auto" w:fill="C00000"/>
            <w:tcMar>
              <w:left w:w="108" w:type="dxa"/>
              <w:right w:w="108" w:type="dxa"/>
            </w:tcMar>
            <w:vAlign w:val="top"/>
          </w:tcPr>
          <w:p w:rsidR="5ED495D4" w:rsidP="5ED495D4" w:rsidRDefault="5ED495D4" w14:paraId="34907CD7" w14:textId="4C8E2C6A">
            <w:pPr>
              <w:spacing w:before="0" w:beforeAutospacing="off" w:after="0" w:afterAutospacing="off"/>
              <w:jc w:val="center"/>
            </w:pPr>
            <w:r w:rsidRPr="5ED495D4" w:rsidR="5ED495D4">
              <w:rPr>
                <w:rFonts w:ascii="Times New Roman" w:hAnsi="Times New Roman" w:eastAsia="Times New Roman" w:cs="Times New Roman"/>
                <w:b w:val="1"/>
                <w:bCs w:val="1"/>
                <w:i w:val="0"/>
                <w:iCs w:val="0"/>
                <w:strike w:val="0"/>
                <w:dstrike w:val="0"/>
                <w:color w:val="FFFFFF" w:themeColor="background1" w:themeTint="FF" w:themeShade="FF"/>
                <w:sz w:val="24"/>
                <w:szCs w:val="24"/>
                <w:u w:val="none"/>
              </w:rPr>
              <w:t>Strategy Type</w:t>
            </w:r>
          </w:p>
        </w:tc>
        <w:tc>
          <w:tcPr>
            <w:tcW w:w="7269"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shd w:val="clear" w:color="auto" w:fill="C00000"/>
            <w:tcMar>
              <w:left w:w="108" w:type="dxa"/>
              <w:right w:w="108" w:type="dxa"/>
            </w:tcMar>
            <w:vAlign w:val="top"/>
          </w:tcPr>
          <w:p w:rsidR="5ED495D4" w:rsidP="5ED495D4" w:rsidRDefault="5ED495D4" w14:paraId="0BF68E9C" w14:textId="5DC2AB5D">
            <w:pPr>
              <w:spacing w:before="0" w:beforeAutospacing="off" w:after="0" w:afterAutospacing="off"/>
              <w:jc w:val="center"/>
            </w:pPr>
            <w:r w:rsidRPr="5ED495D4" w:rsidR="5ED495D4">
              <w:rPr>
                <w:rFonts w:ascii="Times New Roman" w:hAnsi="Times New Roman" w:eastAsia="Times New Roman" w:cs="Times New Roman"/>
                <w:b w:val="1"/>
                <w:bCs w:val="1"/>
                <w:i w:val="0"/>
                <w:iCs w:val="0"/>
                <w:strike w:val="0"/>
                <w:dstrike w:val="0"/>
                <w:color w:val="FFFFFF" w:themeColor="background1" w:themeTint="FF" w:themeShade="FF"/>
                <w:sz w:val="24"/>
                <w:szCs w:val="24"/>
                <w:u w:val="none"/>
              </w:rPr>
              <w:t>Strategy Details</w:t>
            </w:r>
          </w:p>
        </w:tc>
      </w:tr>
      <w:tr w:rsidR="5ED495D4" w:rsidTr="5ED495D4" w14:paraId="49DE8DC4">
        <w:trPr>
          <w:trHeight w:val="300"/>
        </w:trPr>
        <w:tc>
          <w:tcPr>
            <w:tcW w:w="161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3C0B8E43" w14:textId="40C48479">
            <w:pPr>
              <w:spacing w:before="0" w:beforeAutospacing="off" w:after="0" w:afterAutospacing="off"/>
              <w:jc w:val="both"/>
              <w:rPr>
                <w:rFonts w:ascii="Arial Nova" w:hAnsi="Arial Nova" w:eastAsia="Arial Nova" w:cs="Arial Nova"/>
                <w:b w:val="1"/>
                <w:bCs w:val="1"/>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1"/>
                <w:bCs w:val="1"/>
                <w:i w:val="0"/>
                <w:iCs w:val="0"/>
                <w:strike w:val="0"/>
                <w:dstrike w:val="0"/>
                <w:color w:val="000000" w:themeColor="text1" w:themeTint="FF" w:themeShade="FF"/>
                <w:sz w:val="24"/>
                <w:szCs w:val="24"/>
                <w:u w:val="none"/>
              </w:rPr>
              <w:t>Strength-Opportunity (SO)</w:t>
            </w:r>
          </w:p>
        </w:tc>
        <w:tc>
          <w:tcPr>
            <w:tcW w:w="7269"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3127464F" w14:textId="73820429">
            <w:pPr>
              <w:spacing w:before="0" w:beforeAutospacing="off" w:after="0" w:afterAutospacing="off"/>
              <w:jc w:val="both"/>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Utilize Accor’s brand reputation and loyalty program to create exclusive, tailored experiences in high-demand markets like Dubai. Marketing campaigns can focus on promoting the unique aspects of Accor’s Dubai property and enhance collaborations with luxury travel agencies to target affluent travelers (Lucidity, 2020).</w:t>
            </w:r>
          </w:p>
        </w:tc>
      </w:tr>
      <w:tr w:rsidR="5ED495D4" w:rsidTr="5ED495D4" w14:paraId="58A44DB5">
        <w:trPr>
          <w:trHeight w:val="300"/>
        </w:trPr>
        <w:tc>
          <w:tcPr>
            <w:tcW w:w="161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4D579B13" w14:textId="20C38287">
            <w:pPr>
              <w:spacing w:before="0" w:beforeAutospacing="off" w:after="0" w:afterAutospacing="off"/>
              <w:jc w:val="both"/>
              <w:rPr>
                <w:rFonts w:ascii="Arial Nova" w:hAnsi="Arial Nova" w:eastAsia="Arial Nova" w:cs="Arial Nova"/>
                <w:b w:val="1"/>
                <w:bCs w:val="1"/>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1"/>
                <w:bCs w:val="1"/>
                <w:i w:val="0"/>
                <w:iCs w:val="0"/>
                <w:strike w:val="0"/>
                <w:dstrike w:val="0"/>
                <w:color w:val="000000" w:themeColor="text1" w:themeTint="FF" w:themeShade="FF"/>
                <w:sz w:val="24"/>
                <w:szCs w:val="24"/>
                <w:u w:val="none"/>
              </w:rPr>
              <w:t>Strength-Threat (ST)</w:t>
            </w:r>
          </w:p>
        </w:tc>
        <w:tc>
          <w:tcPr>
            <w:tcW w:w="7269"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42942811" w14:textId="11039FB2">
            <w:pPr>
              <w:spacing w:before="0" w:beforeAutospacing="off" w:after="0" w:afterAutospacing="off"/>
              <w:jc w:val="both"/>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Emphasize sustainability initiatives, particularly Planet 21, to attract eco-conscious clients. Implement hedging strategies for currency fluctuations to protect against revenue losses in volatile markets. Leverage the loyalty program to foster deeper connections with repeat guests, offering exclusive sustainable experiences (Marin-</w:t>
            </w: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Pantelescu</w:t>
            </w: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 2021).</w:t>
            </w:r>
          </w:p>
        </w:tc>
      </w:tr>
      <w:tr w:rsidR="5ED495D4" w:rsidTr="5ED495D4" w14:paraId="4B82DEB6">
        <w:trPr>
          <w:trHeight w:val="300"/>
        </w:trPr>
        <w:tc>
          <w:tcPr>
            <w:tcW w:w="161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4008ECC7" w14:textId="0A0994E9">
            <w:pPr>
              <w:spacing w:before="0" w:beforeAutospacing="off" w:after="0" w:afterAutospacing="off"/>
              <w:jc w:val="both"/>
              <w:rPr>
                <w:rFonts w:ascii="Arial Nova" w:hAnsi="Arial Nova" w:eastAsia="Arial Nova" w:cs="Arial Nova"/>
                <w:b w:val="1"/>
                <w:bCs w:val="1"/>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1"/>
                <w:bCs w:val="1"/>
                <w:i w:val="0"/>
                <w:iCs w:val="0"/>
                <w:strike w:val="0"/>
                <w:dstrike w:val="0"/>
                <w:color w:val="000000" w:themeColor="text1" w:themeTint="FF" w:themeShade="FF"/>
                <w:sz w:val="24"/>
                <w:szCs w:val="24"/>
                <w:u w:val="none"/>
              </w:rPr>
              <w:t>Weakness-Opportunity (WO)</w:t>
            </w:r>
          </w:p>
        </w:tc>
        <w:tc>
          <w:tcPr>
            <w:tcW w:w="7269"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65AA78E9" w14:textId="6728D818">
            <w:pPr>
              <w:spacing w:before="0" w:beforeAutospacing="off" w:after="0" w:afterAutospacing="off"/>
              <w:jc w:val="both"/>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 xml:space="preserve">Address internal service inconsistencies by investing in advanced technology solutions like AI-driven guest services. Use dynamic pricing to </w:t>
            </w: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optimize</w:t>
            </w: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 xml:space="preserve"> RevPAR in regions with variable demand, such as China. Strengthen staff training programs to support service quality and consistency in high-demand luxury markets (Vinod, 2022).</w:t>
            </w:r>
          </w:p>
        </w:tc>
      </w:tr>
      <w:tr w:rsidR="5ED495D4" w:rsidTr="5ED495D4" w14:paraId="1C292C1E">
        <w:trPr>
          <w:trHeight w:val="300"/>
        </w:trPr>
        <w:tc>
          <w:tcPr>
            <w:tcW w:w="161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6F3AD0B8" w14:textId="77CF7645">
            <w:pPr>
              <w:spacing w:before="0" w:beforeAutospacing="off" w:after="0" w:afterAutospacing="off"/>
              <w:jc w:val="both"/>
              <w:rPr>
                <w:rFonts w:ascii="Arial Nova" w:hAnsi="Arial Nova" w:eastAsia="Arial Nova" w:cs="Arial Nova"/>
                <w:b w:val="1"/>
                <w:bCs w:val="1"/>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1"/>
                <w:bCs w:val="1"/>
                <w:i w:val="0"/>
                <w:iCs w:val="0"/>
                <w:strike w:val="0"/>
                <w:dstrike w:val="0"/>
                <w:color w:val="000000" w:themeColor="text1" w:themeTint="FF" w:themeShade="FF"/>
                <w:sz w:val="24"/>
                <w:szCs w:val="24"/>
                <w:u w:val="none"/>
              </w:rPr>
              <w:t>Weakness-Threat (WT)</w:t>
            </w:r>
          </w:p>
        </w:tc>
        <w:tc>
          <w:tcPr>
            <w:tcW w:w="7269"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6527BF94" w14:textId="7DFB3D9E">
            <w:pPr>
              <w:spacing w:before="0" w:beforeAutospacing="off" w:after="0" w:afterAutospacing="off"/>
              <w:jc w:val="both"/>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Develop regional retention and recruitment programs to mitigate high staff turnover in competitive markets like Dubai. Enhance business travel and long-term stay offerings to ensure revenue consistency outside peak seasons, reducing reliance on events and tourism cycles that may be unpredictable (Lim Kim Yew et al., 2024).</w:t>
            </w:r>
          </w:p>
        </w:tc>
      </w:tr>
    </w:tbl>
    <w:p xmlns:wp14="http://schemas.microsoft.com/office/word/2010/wordml" w:rsidP="5ED495D4" wp14:paraId="6806FD8F" wp14:textId="64394FE3">
      <w:pPr>
        <w:rPr>
          <w:rFonts w:ascii="Arial Nova" w:hAnsi="Arial Nova" w:eastAsia="Arial Nova" w:cs="Arial Nova"/>
          <w:sz w:val="24"/>
          <w:szCs w:val="24"/>
        </w:rPr>
      </w:pPr>
    </w:p>
    <w:p xmlns:wp14="http://schemas.microsoft.com/office/word/2010/wordml" w:rsidP="5ED495D4" wp14:paraId="4C5C023E" wp14:textId="162A7A27">
      <w:pPr>
        <w:spacing w:before="0" w:beforeAutospacing="off" w:after="0" w:afterAutospacing="off"/>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pP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By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utilizing</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brand strength and loyalty programs, Accor can deepen its market reach and enhance customer loyalty, especially in the premium segment. Addressing service inconsistencies and adopting region-specific solutions like dynamic pricing can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optimize</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resource use and align operations with demand patterns. The investment in sustainable initiatives not only resonates with consumer values but also differentiates Accor from competitors, making it a strategic asset that can mitigate some of the threats posed by economic volatility and fluctuating guest expectations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Górska-Warsewicz</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and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Kulykovets</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2020).</w:t>
      </w:r>
    </w:p>
    <w:p xmlns:wp14="http://schemas.microsoft.com/office/word/2010/wordml" w:rsidP="5ED495D4" wp14:paraId="5F0800B1" wp14:textId="6AB93136">
      <w:pPr>
        <w:pStyle w:val="Heading2"/>
        <w:spacing w:before="0" w:beforeAutospacing="off" w:after="0" w:afterAutospacing="off"/>
        <w:jc w:val="both"/>
        <w:rPr>
          <w:rFonts w:ascii="Arial Nova" w:hAnsi="Arial Nova" w:eastAsia="Arial Nova" w:cs="Arial Nova"/>
          <w:b w:val="1"/>
          <w:bCs w:val="1"/>
          <w:i w:val="0"/>
          <w:iCs w:val="0"/>
          <w:strike w:val="0"/>
          <w:dstrike w:val="0"/>
          <w:noProof w:val="0"/>
          <w:color w:val="000000" w:themeColor="text1" w:themeTint="FF" w:themeShade="FF"/>
          <w:sz w:val="24"/>
          <w:szCs w:val="24"/>
          <w:u w:val="none"/>
          <w:lang w:val="en-US"/>
        </w:rPr>
      </w:pPr>
      <w:r w:rsidRPr="5ED495D4" w:rsidR="5C7B1F42">
        <w:rPr>
          <w:rFonts w:ascii="Arial Nova" w:hAnsi="Arial Nova" w:eastAsia="Arial Nova" w:cs="Arial Nova"/>
          <w:b w:val="1"/>
          <w:bCs w:val="1"/>
          <w:i w:val="0"/>
          <w:iCs w:val="0"/>
          <w:strike w:val="0"/>
          <w:dstrike w:val="0"/>
          <w:noProof w:val="0"/>
          <w:color w:val="000000" w:themeColor="text1" w:themeTint="FF" w:themeShade="FF"/>
          <w:sz w:val="24"/>
          <w:szCs w:val="24"/>
          <w:u w:val="none"/>
          <w:lang w:val="en-US"/>
        </w:rPr>
        <w:t>Data and Statistics Analysis</w:t>
      </w:r>
    </w:p>
    <w:p xmlns:wp14="http://schemas.microsoft.com/office/word/2010/wordml" w:rsidP="5ED495D4" wp14:paraId="0E2D9727" wp14:textId="075B0779">
      <w:pPr>
        <w:spacing w:before="0" w:beforeAutospacing="off" w:after="0" w:afterAutospacing="off"/>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pP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The data from Accor’s recent financial performance reports further contextualizes these strategic insights:</w:t>
      </w:r>
    </w:p>
    <w:p xmlns:wp14="http://schemas.microsoft.com/office/word/2010/wordml" w:rsidP="5ED495D4" wp14:paraId="05BC0990" wp14:textId="5D19CB54">
      <w:pPr>
        <w:pStyle w:val="ListParagraph"/>
        <w:spacing w:before="200" w:beforeAutospacing="off" w:after="200" w:afterAutospacing="off"/>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pPr>
      <w:r w:rsidRPr="5ED495D4" w:rsidR="5C7B1F42">
        <w:rPr>
          <w:rFonts w:ascii="Arial Nova" w:hAnsi="Arial Nova" w:eastAsia="Arial Nova" w:cs="Arial Nova"/>
          <w:b w:val="1"/>
          <w:bCs w:val="1"/>
          <w:i w:val="0"/>
          <w:iCs w:val="0"/>
          <w:strike w:val="0"/>
          <w:dstrike w:val="0"/>
          <w:noProof w:val="0"/>
          <w:color w:val="000000" w:themeColor="text1" w:themeTint="FF" w:themeShade="FF"/>
          <w:sz w:val="24"/>
          <w:szCs w:val="24"/>
          <w:u w:val="none"/>
          <w:lang w:val="en-US"/>
        </w:rPr>
        <w:t>Revenue Growth</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w:t>
      </w:r>
    </w:p>
    <w:p xmlns:wp14="http://schemas.microsoft.com/office/word/2010/wordml" w:rsidP="5ED495D4" wp14:paraId="4A0E9328" wp14:textId="7154F0C8">
      <w:pPr>
        <w:pStyle w:val="ListParagraph"/>
        <w:spacing w:before="200" w:beforeAutospacing="off" w:after="200" w:afterAutospacing="off"/>
        <w:ind w:left="720"/>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pP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Accor’s revenue in Q3 2024 reached €1,434 million, with an overall 12% increase compared to the previous year. This growth was primarily fueled by its PM&amp;E and L&amp;L segments, with L&amp;L recording an 18% increase, signifying strong demand in the luxury sector despite challenges in specific regions (Accor, 2023).</w:t>
      </w:r>
    </w:p>
    <w:p xmlns:wp14="http://schemas.microsoft.com/office/word/2010/wordml" w:rsidP="5ED495D4" wp14:paraId="142822E8" wp14:textId="53360A0F">
      <w:pPr>
        <w:pStyle w:val="ListParagraph"/>
        <w:spacing w:before="200" w:beforeAutospacing="off" w:after="200" w:afterAutospacing="off"/>
        <w:ind w:left="720"/>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pPr>
      <w:r w:rsidRPr="5ED495D4" w:rsidR="5C7B1F42">
        <w:rPr>
          <w:rFonts w:ascii="Arial Nova" w:hAnsi="Arial Nova" w:eastAsia="Arial Nova" w:cs="Arial Nova"/>
          <w:b w:val="1"/>
          <w:bCs w:val="1"/>
          <w:i w:val="0"/>
          <w:iCs w:val="0"/>
          <w:strike w:val="0"/>
          <w:dstrike w:val="0"/>
          <w:noProof w:val="0"/>
          <w:color w:val="000000" w:themeColor="text1" w:themeTint="FF" w:themeShade="FF"/>
          <w:sz w:val="24"/>
          <w:szCs w:val="24"/>
          <w:u w:val="none"/>
          <w:lang w:val="en-US"/>
        </w:rPr>
        <w:t>Regional Performance</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w:t>
      </w:r>
    </w:p>
    <w:p xmlns:wp14="http://schemas.microsoft.com/office/word/2010/wordml" w:rsidP="5ED495D4" wp14:paraId="41186682" wp14:textId="406FAB25">
      <w:pPr>
        <w:pStyle w:val="ListParagraph"/>
        <w:spacing w:before="200" w:beforeAutospacing="off" w:after="200" w:afterAutospacing="off"/>
        <w:ind w:left="720"/>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pP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RevPAR across the Middle East, Africa, and Asia-Pacific regions grew only by 1%, with declines noted in China due to decreased consumer spending and conservative local travel. In contrast, RevPAR in Southeast Asia showed robust growth, driven by high international demand, particularly from affluent Chinese tourists returning to the region post-pandemic (Weinstein, 2024).</w:t>
      </w:r>
    </w:p>
    <w:p xmlns:wp14="http://schemas.microsoft.com/office/word/2010/wordml" w:rsidP="5ED495D4" wp14:paraId="1839D45D" wp14:textId="542F3D40">
      <w:pPr>
        <w:pStyle w:val="ListParagraph"/>
        <w:spacing w:before="200" w:beforeAutospacing="off" w:after="200" w:afterAutospacing="off"/>
        <w:ind w:left="720"/>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pPr>
      <w:r w:rsidRPr="5ED495D4" w:rsidR="5C7B1F42">
        <w:rPr>
          <w:rFonts w:ascii="Arial Nova" w:hAnsi="Arial Nova" w:eastAsia="Arial Nova" w:cs="Arial Nova"/>
          <w:b w:val="1"/>
          <w:bCs w:val="1"/>
          <w:i w:val="0"/>
          <w:iCs w:val="0"/>
          <w:strike w:val="0"/>
          <w:dstrike w:val="0"/>
          <w:noProof w:val="0"/>
          <w:color w:val="000000" w:themeColor="text1" w:themeTint="FF" w:themeShade="FF"/>
          <w:sz w:val="24"/>
          <w:szCs w:val="24"/>
          <w:u w:val="none"/>
          <w:lang w:val="en-US"/>
        </w:rPr>
        <w:t>New Hotel Openings</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w:t>
      </w:r>
    </w:p>
    <w:p xmlns:wp14="http://schemas.microsoft.com/office/word/2010/wordml" w:rsidP="5ED495D4" wp14:paraId="137064D3" wp14:textId="4BB2B1AE">
      <w:pPr>
        <w:pStyle w:val="ListParagraph"/>
        <w:spacing w:before="200" w:beforeAutospacing="off" w:after="200" w:afterAutospacing="off"/>
        <w:ind w:left="720"/>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pP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Accor expanded its portfolio with 47 new hotels, adding 8,000 rooms in Q3 2024 alone, showing a strong commitment to growth. However, fluctuating occupancy rates across new properties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indicate</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potential over-reliance on seasonal demand in certain regions, emphasizing the need for long-term strategic demand </w:t>
      </w:r>
      <w:r w:rsidRPr="5ED495D4" w:rsidR="3E4BC99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management</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Alrawabdeh</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2021) </w:t>
      </w:r>
    </w:p>
    <w:p xmlns:wp14="http://schemas.microsoft.com/office/word/2010/wordml" w:rsidP="5ED495D4" wp14:paraId="698BE1D4" wp14:textId="3F8FA705">
      <w:pPr>
        <w:pStyle w:val="ListParagraph"/>
        <w:spacing w:before="200" w:beforeAutospacing="off" w:after="200" w:afterAutospacing="off"/>
        <w:ind w:left="720"/>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pPr>
      <w:r w:rsidRPr="5ED495D4" w:rsidR="5C7B1F42">
        <w:rPr>
          <w:rFonts w:ascii="Arial Nova" w:hAnsi="Arial Nova" w:eastAsia="Arial Nova" w:cs="Arial Nova"/>
          <w:b w:val="1"/>
          <w:bCs w:val="1"/>
          <w:i w:val="0"/>
          <w:iCs w:val="0"/>
          <w:strike w:val="0"/>
          <w:dstrike w:val="0"/>
          <w:noProof w:val="0"/>
          <w:color w:val="000000" w:themeColor="text1" w:themeTint="FF" w:themeShade="FF"/>
          <w:sz w:val="24"/>
          <w:szCs w:val="24"/>
          <w:u w:val="none"/>
          <w:lang w:val="en-US"/>
        </w:rPr>
        <w:t>Currency Impact</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w:t>
      </w:r>
    </w:p>
    <w:p xmlns:wp14="http://schemas.microsoft.com/office/word/2010/wordml" w:rsidP="5ED495D4" wp14:paraId="68D6C4BE" wp14:textId="5486D8E4">
      <w:pPr>
        <w:pStyle w:val="ListParagraph"/>
        <w:spacing w:before="200" w:beforeAutospacing="off" w:after="200" w:afterAutospacing="off"/>
        <w:ind w:left="720"/>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pP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Accor’s performance in markets like Brazil and Egypt has been hindered by currency devaluations, including a 37% depreciation of the Egyptian Pound. These fluctuations directly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impact</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revenue despite occupancy growth, highlighting the need for financial strategies like currency hedging to protect revenue streams in volatile markets (Alfaro, Calani and Varela, 2024).</w:t>
      </w:r>
    </w:p>
    <w:p xmlns:wp14="http://schemas.microsoft.com/office/word/2010/wordml" w:rsidP="5ED495D4" wp14:paraId="243E12DD" wp14:textId="6DCCA129">
      <w:pPr>
        <w:spacing w:before="0" w:beforeAutospacing="off" w:after="0" w:afterAutospacing="off"/>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pP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Accor’s growth strategies and performance metrics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indicate</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that while revenue growth is steady, reliance on external events and seasonality in regions like Dubai and Egypt may challenge its revenue consistency. Additionally, factors like currency volatility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necessitate</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proactive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financial management</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Alrawabdeh</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2021). The internal challenge of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maintaining</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service quality, coupled with regional differences in demand, suggests that Accor would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benefit</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from focused investments in operational efficiency, staff training, and enhanced digital engagement strategies. The analysis shows Accor’s challenges and the strategic actions necessary to sustain growth. This structured approach addresses both the internal and external factors that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impact</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Accor’s competitive edge, ensuring the Dubai property can meet the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high standards</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expected by its clientele and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maintain</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its market position amidst fluctuating regional dynamics (Hassanein and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Özgit</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2022).</w:t>
      </w:r>
    </w:p>
    <w:p xmlns:wp14="http://schemas.microsoft.com/office/word/2010/wordml" w:rsidP="5ED495D4" wp14:paraId="065C6522" wp14:textId="1F59C6CE">
      <w:pPr>
        <w:pStyle w:val="Heading1"/>
        <w:spacing w:before="0" w:beforeAutospacing="off" w:after="0" w:afterAutospacing="off"/>
        <w:jc w:val="both"/>
      </w:pPr>
      <w:r w:rsidRPr="5ED495D4" w:rsidR="5C7B1F42">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US"/>
        </w:rPr>
        <w:t>Recommendations and Change Management</w:t>
      </w:r>
    </w:p>
    <w:p xmlns:wp14="http://schemas.microsoft.com/office/word/2010/wordml" w:rsidP="5ED495D4" wp14:paraId="307B021F" wp14:textId="2E0F9971">
      <w:pPr>
        <w:spacing w:before="0" w:beforeAutospacing="off" w:after="0" w:afterAutospacing="off"/>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pP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Accor’s Dubai property, positioned within a competitive luxury hospitality market, faces several critical challenges, from service consistency issues to seasonal revenue fluctuations and increasing demand for sustainable practices. Addressing these issues requires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a holistic approach</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grounded in specific, actionable recommendations (Santos, 2024). This section provides an in-depth analysis of each recommendation, detailing the steps Accor’s Dubai property can take to enhance customer service, stabilize revenue, and adopt more sustainable practices. Additionally, the change management strategy that follows outlines a structured approach to implement these recommendations effectively, with strategies for engaging staff, managing transitions, and measuring success. Finally, cost estimates are provided to ensure that these initiatives are financially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feasible</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and aligned with Accor’s strategic goals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Garavan</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et al., 2021).</w:t>
      </w:r>
    </w:p>
    <w:p xmlns:wp14="http://schemas.microsoft.com/office/word/2010/wordml" w:rsidP="5ED495D4" wp14:paraId="5B2B982C" wp14:textId="384EC7F5">
      <w:pPr>
        <w:pStyle w:val="Heading2"/>
        <w:spacing w:before="0" w:beforeAutospacing="off" w:after="0" w:afterAutospacing="off"/>
        <w:jc w:val="both"/>
        <w:rPr>
          <w:rFonts w:ascii="Arial Nova" w:hAnsi="Arial Nova" w:eastAsia="Arial Nova" w:cs="Arial Nova"/>
          <w:b w:val="1"/>
          <w:bCs w:val="1"/>
          <w:i w:val="0"/>
          <w:iCs w:val="0"/>
          <w:strike w:val="0"/>
          <w:dstrike w:val="0"/>
          <w:noProof w:val="0"/>
          <w:color w:val="000000" w:themeColor="text1" w:themeTint="FF" w:themeShade="FF"/>
          <w:sz w:val="24"/>
          <w:szCs w:val="24"/>
          <w:u w:val="none"/>
          <w:lang w:val="en-US"/>
        </w:rPr>
      </w:pPr>
      <w:r w:rsidRPr="5ED495D4" w:rsidR="5C7B1F42">
        <w:rPr>
          <w:rFonts w:ascii="Arial Nova" w:hAnsi="Arial Nova" w:eastAsia="Arial Nova" w:cs="Arial Nova"/>
          <w:b w:val="1"/>
          <w:bCs w:val="1"/>
          <w:i w:val="0"/>
          <w:iCs w:val="0"/>
          <w:strike w:val="0"/>
          <w:dstrike w:val="0"/>
          <w:noProof w:val="0"/>
          <w:color w:val="000000" w:themeColor="text1" w:themeTint="FF" w:themeShade="FF"/>
          <w:sz w:val="24"/>
          <w:szCs w:val="24"/>
          <w:u w:val="none"/>
          <w:lang w:val="en-US"/>
        </w:rPr>
        <w:t>Recommendations</w:t>
      </w:r>
    </w:p>
    <w:p xmlns:wp14="http://schemas.microsoft.com/office/word/2010/wordml" w:rsidP="5ED495D4" wp14:paraId="0E3E46F3" wp14:textId="6756CEAB">
      <w:pPr>
        <w:pStyle w:val="Heading3"/>
        <w:spacing w:before="0" w:beforeAutospacing="off" w:after="0" w:afterAutospacing="off"/>
        <w:jc w:val="both"/>
        <w:rPr>
          <w:rFonts w:ascii="Arial Nova" w:hAnsi="Arial Nova" w:eastAsia="Arial Nova" w:cs="Arial Nova"/>
          <w:b w:val="1"/>
          <w:bCs w:val="1"/>
          <w:i w:val="1"/>
          <w:iCs w:val="1"/>
          <w:strike w:val="0"/>
          <w:dstrike w:val="0"/>
          <w:noProof w:val="0"/>
          <w:color w:val="000000" w:themeColor="text1" w:themeTint="FF" w:themeShade="FF"/>
          <w:sz w:val="24"/>
          <w:szCs w:val="24"/>
          <w:u w:val="none"/>
          <w:lang w:val="en-US"/>
        </w:rPr>
      </w:pPr>
      <w:r w:rsidRPr="5ED495D4" w:rsidR="5C7B1F42">
        <w:rPr>
          <w:rFonts w:ascii="Arial Nova" w:hAnsi="Arial Nova" w:eastAsia="Arial Nova" w:cs="Arial Nova"/>
          <w:b w:val="1"/>
          <w:bCs w:val="1"/>
          <w:i w:val="1"/>
          <w:iCs w:val="1"/>
          <w:strike w:val="0"/>
          <w:dstrike w:val="0"/>
          <w:noProof w:val="0"/>
          <w:color w:val="000000" w:themeColor="text1" w:themeTint="FF" w:themeShade="FF"/>
          <w:sz w:val="24"/>
          <w:szCs w:val="24"/>
          <w:u w:val="none"/>
          <w:lang w:val="en-US"/>
        </w:rPr>
        <w:t>Improving Customer Service Consistency</w:t>
      </w:r>
    </w:p>
    <w:p xmlns:wp14="http://schemas.microsoft.com/office/word/2010/wordml" w:rsidP="5ED495D4" wp14:paraId="403B8A73" wp14:textId="0C995FB1">
      <w:pPr>
        <w:spacing w:before="0" w:beforeAutospacing="off" w:after="0" w:afterAutospacing="off"/>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pP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To uphold Accor’s reputation for excellence, particularly in a market as competitive as Dubai’s luxury hospitality sector, it is essential to address the existing inconsistencies in customer service. These inconsistencies, identified as significant contributors to guest dissatisfaction, can undermine the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high standards</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expected from a luxury brand like Accor. Addressing these issues requires a multifaceted approach that includes rigorous staff training, an effective feedback mechanism, and the integration of advanced technology to personalize guest interactions (Jain et al., 2023).</w:t>
      </w:r>
    </w:p>
    <w:p xmlns:wp14="http://schemas.microsoft.com/office/word/2010/wordml" w:rsidP="5ED495D4" wp14:paraId="331481EF" wp14:textId="7C930337">
      <w:pPr>
        <w:spacing w:before="0" w:beforeAutospacing="off" w:after="0" w:afterAutospacing="off"/>
        <w:jc w:val="center"/>
        <w:rPr>
          <w:rFonts w:ascii="Arial Nova" w:hAnsi="Arial Nova" w:eastAsia="Arial Nova" w:cs="Arial Nova"/>
          <w:sz w:val="24"/>
          <w:szCs w:val="24"/>
        </w:rPr>
      </w:pPr>
      <w:r w:rsidR="5C7B1F42">
        <w:drawing>
          <wp:inline xmlns:wp14="http://schemas.microsoft.com/office/word/2010/wordprocessingDrawing" wp14:editId="1A1B4A4B" wp14:anchorId="4C06ACE0">
            <wp:extent cx="4924424" cy="3400425"/>
            <wp:effectExtent l="0" t="0" r="0" b="0"/>
            <wp:docPr id="1045490525" name="" title=""/>
            <wp:cNvGraphicFramePr>
              <a:graphicFrameLocks noChangeAspect="1"/>
            </wp:cNvGraphicFramePr>
            <a:graphic>
              <a:graphicData uri="http://schemas.openxmlformats.org/drawingml/2006/picture">
                <pic:pic>
                  <pic:nvPicPr>
                    <pic:cNvPr id="0" name=""/>
                    <pic:cNvPicPr/>
                  </pic:nvPicPr>
                  <pic:blipFill>
                    <a:blip r:embed="Red7a629d3bcb4107">
                      <a:extLst>
                        <a:ext xmlns:a="http://schemas.openxmlformats.org/drawingml/2006/main" uri="{28A0092B-C50C-407E-A947-70E740481C1C}">
                          <a14:useLocalDpi val="0"/>
                        </a:ext>
                      </a:extLst>
                    </a:blip>
                    <a:stretch>
                      <a:fillRect/>
                    </a:stretch>
                  </pic:blipFill>
                  <pic:spPr>
                    <a:xfrm>
                      <a:off x="0" y="0"/>
                      <a:ext cx="4924424" cy="3400425"/>
                    </a:xfrm>
                    <a:prstGeom prst="rect">
                      <a:avLst/>
                    </a:prstGeom>
                  </pic:spPr>
                </pic:pic>
              </a:graphicData>
            </a:graphic>
          </wp:inline>
        </w:drawing>
      </w:r>
    </w:p>
    <w:p xmlns:wp14="http://schemas.microsoft.com/office/word/2010/wordml" w:rsidP="5ED495D4" wp14:paraId="67E058AF" wp14:textId="51188163">
      <w:pPr>
        <w:spacing w:before="0" w:beforeAutospacing="off" w:after="200" w:afterAutospacing="off"/>
        <w:jc w:val="center"/>
        <w:rPr>
          <w:rFonts w:ascii="Arial Nova" w:hAnsi="Arial Nova" w:eastAsia="Arial Nova" w:cs="Arial Nova"/>
          <w:b w:val="0"/>
          <w:bCs w:val="0"/>
          <w:i w:val="1"/>
          <w:iCs w:val="1"/>
          <w:strike w:val="0"/>
          <w:dstrike w:val="0"/>
          <w:noProof w:val="0"/>
          <w:color w:val="44546A"/>
          <w:sz w:val="24"/>
          <w:szCs w:val="24"/>
          <w:u w:val="none"/>
          <w:lang w:val="en-US"/>
        </w:rPr>
      </w:pPr>
      <w:r w:rsidRPr="5ED495D4" w:rsidR="5C7B1F42">
        <w:rPr>
          <w:rFonts w:ascii="Arial Nova" w:hAnsi="Arial Nova" w:eastAsia="Arial Nova" w:cs="Arial Nova"/>
          <w:b w:val="0"/>
          <w:bCs w:val="0"/>
          <w:i w:val="1"/>
          <w:iCs w:val="1"/>
          <w:strike w:val="0"/>
          <w:dstrike w:val="0"/>
          <w:noProof w:val="0"/>
          <w:color w:val="44546A"/>
          <w:sz w:val="24"/>
          <w:szCs w:val="24"/>
          <w:u w:val="none"/>
          <w:lang w:val="en-US"/>
        </w:rPr>
        <w:t>Figure 5: Benefits of a customer service process</w:t>
      </w:r>
    </w:p>
    <w:p xmlns:wp14="http://schemas.microsoft.com/office/word/2010/wordml" w:rsidP="5ED495D4" wp14:paraId="3D19AA2D" wp14:textId="1B91B100">
      <w:pPr>
        <w:spacing w:before="0" w:beforeAutospacing="off" w:after="0" w:afterAutospacing="off"/>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pP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The first recommendation, therefore, Accor should undertake a review of its service delivery model for products and services and then carry out training process for all people front facing the customers with the view of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establishing</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a banner of standard service delivery to the guests. The goal of the program should be on basic aspects in the hospitality industry like speed in registering the guests, handling emergent situations as well as coronating any inquiries from the guests. Some key areas include focused efforts on delivering upscale personalized service standards where for instance the service deliverers deduce what may suit the guest’s need through data collected about them and ensure the guest feels special (Rösch, 2020). Impersonation and drama performances, and case-based training or learning activities might be actionable ways to get the staff ready for action. This way the situations like managing high demand check-ins or services for the guests the staff gets practical experience in real service cases that will come in handy one day. The training should also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comprise</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sections that focus on the concept of listening and being considerate, elements that are well understood by the sophisticated customer (Velasco, Huang and Chaithanya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Renduchintala</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2024). Also, the quarterly refresher training sessions would guarantee that the staff is up to date with new practices that can inform improvements in practice.</w:t>
      </w:r>
    </w:p>
    <w:p xmlns:wp14="http://schemas.microsoft.com/office/word/2010/wordml" w:rsidP="5ED495D4" wp14:paraId="421DA7DE" wp14:textId="333A5195">
      <w:pPr>
        <w:spacing w:before="0" w:beforeAutospacing="off" w:after="0" w:afterAutospacing="off"/>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pP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As a complement to staff training, it is recommended </w:t>
      </w:r>
      <w:r w:rsidRPr="5ED495D4" w:rsidR="30A46F3C">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that </w:t>
      </w:r>
      <w:r w:rsidRPr="5ED495D4" w:rsidR="18D47241">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the Moment</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of Truth concept should be implemented to collect guest feedback right after different service encounters including check-in, restaurant, or cleaning services. Such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timely</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feedback can be easily reasonable and responsive, changing negative situations for customers into positive ones for the management of the hotel before they become worse. Technology could be provided in the form of digital tablets in guest rooms or codes such as QR that could be posted in bare areas making it fast for the guests to complete the feedback questionnaires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Arapou</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and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Kapiki</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2023). Apart from enabling the guests </w:t>
      </w:r>
      <w:r w:rsidRPr="5ED495D4" w:rsidR="62FBC57F">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to give</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their opinions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regarding</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the services offered, it also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benefits</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the management as it offers </w:t>
      </w:r>
      <w:r w:rsidRPr="5ED495D4" w:rsidR="5404109E">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them</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statistics within specific sectors of the services that need further enhancement. Furthermore, the information elicited through this feedback channel may be useful in shaping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subsequent</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training activities as indispensable to fill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real rather</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than assumed service deficits (Hassan Ali Khan, 2024).</w:t>
      </w:r>
    </w:p>
    <w:p xmlns:wp14="http://schemas.microsoft.com/office/word/2010/wordml" w:rsidP="5ED495D4" wp14:paraId="46D4AA7E" wp14:textId="77D77CE4">
      <w:pPr>
        <w:spacing w:before="0" w:beforeAutospacing="off" w:after="0" w:afterAutospacing="off"/>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pP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To extend the improvement of the customer service quality and enhance the homogeneity of the service, AI innovation for the guest-oriented tools is crucially impactful. Many guests may like a specific temperature in the room, certain types of food or communicating with personnel in certain ways, and all this and more can be programmed into the AI technology (Sanjeev Kumar Saxena, Gupta and Kumar, 2024). For instance, if the guest had earlier booked a room with no allergens, he or she can have this feature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indicated</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so that ordering this feature is not necessary in future visits. Furthermore, instead of cumbering the personnel with repetitive questions, AI-chatbots could readily address guests’ questions concerning events, for example. This technological implementation pertains to changes in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perception</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of guests who are part of the luxury segment who demand customization and speed (Ahmad et al., 2024).</w:t>
      </w:r>
    </w:p>
    <w:p xmlns:wp14="http://schemas.microsoft.com/office/word/2010/wordml" w:rsidP="5ED495D4" wp14:paraId="295D6500" wp14:textId="54AE2237">
      <w:pPr>
        <w:pStyle w:val="Heading3"/>
        <w:spacing w:before="0" w:beforeAutospacing="off" w:after="0" w:afterAutospacing="off"/>
        <w:jc w:val="both"/>
        <w:rPr>
          <w:rFonts w:ascii="Arial Nova" w:hAnsi="Arial Nova" w:eastAsia="Arial Nova" w:cs="Arial Nova"/>
          <w:b w:val="1"/>
          <w:bCs w:val="1"/>
          <w:i w:val="1"/>
          <w:iCs w:val="1"/>
          <w:strike w:val="0"/>
          <w:dstrike w:val="0"/>
          <w:noProof w:val="0"/>
          <w:color w:val="000000" w:themeColor="text1" w:themeTint="FF" w:themeShade="FF"/>
          <w:sz w:val="24"/>
          <w:szCs w:val="24"/>
          <w:u w:val="none"/>
          <w:lang w:val="en-US"/>
        </w:rPr>
      </w:pPr>
      <w:r w:rsidRPr="5ED495D4" w:rsidR="5C7B1F42">
        <w:rPr>
          <w:rFonts w:ascii="Arial Nova" w:hAnsi="Arial Nova" w:eastAsia="Arial Nova" w:cs="Arial Nova"/>
          <w:b w:val="1"/>
          <w:bCs w:val="1"/>
          <w:i w:val="1"/>
          <w:iCs w:val="1"/>
          <w:strike w:val="0"/>
          <w:dstrike w:val="0"/>
          <w:noProof w:val="0"/>
          <w:color w:val="000000" w:themeColor="text1" w:themeTint="FF" w:themeShade="FF"/>
          <w:sz w:val="24"/>
          <w:szCs w:val="24"/>
          <w:u w:val="none"/>
          <w:lang w:val="en-US"/>
        </w:rPr>
        <w:t>Optimizing</w:t>
      </w:r>
      <w:r w:rsidRPr="5ED495D4" w:rsidR="5C7B1F42">
        <w:rPr>
          <w:rFonts w:ascii="Arial Nova" w:hAnsi="Arial Nova" w:eastAsia="Arial Nova" w:cs="Arial Nova"/>
          <w:b w:val="1"/>
          <w:bCs w:val="1"/>
          <w:i w:val="1"/>
          <w:iCs w:val="1"/>
          <w:strike w:val="0"/>
          <w:dstrike w:val="0"/>
          <w:noProof w:val="0"/>
          <w:color w:val="000000" w:themeColor="text1" w:themeTint="FF" w:themeShade="FF"/>
          <w:sz w:val="24"/>
          <w:szCs w:val="24"/>
          <w:u w:val="none"/>
          <w:lang w:val="en-US"/>
        </w:rPr>
        <w:t xml:space="preserve"> Revenue and Reducing Dependency on Seasonal Demand</w:t>
      </w:r>
    </w:p>
    <w:p xmlns:wp14="http://schemas.microsoft.com/office/word/2010/wordml" w:rsidP="5ED495D4" wp14:paraId="54369086" wp14:textId="1EF453FD">
      <w:pPr>
        <w:spacing w:before="0" w:beforeAutospacing="off" w:after="0" w:afterAutospacing="off"/>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pP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Seasonal fluctuations present a significant challenge for Accor’s Dubai property, leading to inconsistent revenue streams that can affect profitability. Addressing this issue requires a combination of dynamic pricing strategies and strategic partnerships, which together can provide a more stable revenue base and reduce dependency on peak seasons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Talón</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-Ballestero, Nieto-García and González-Serrano, 2022).</w:t>
      </w:r>
    </w:p>
    <w:p xmlns:wp14="http://schemas.microsoft.com/office/word/2010/wordml" w:rsidP="5ED495D4" wp14:paraId="67CD82F5" wp14:textId="2B77C4DF">
      <w:pPr>
        <w:spacing w:before="0" w:beforeAutospacing="off" w:after="0" w:afterAutospacing="off"/>
        <w:jc w:val="center"/>
        <w:rPr>
          <w:rFonts w:ascii="Arial Nova" w:hAnsi="Arial Nova" w:eastAsia="Arial Nova" w:cs="Arial Nova"/>
          <w:sz w:val="24"/>
          <w:szCs w:val="24"/>
        </w:rPr>
      </w:pPr>
      <w:r w:rsidR="5C7B1F42">
        <w:drawing>
          <wp:inline xmlns:wp14="http://schemas.microsoft.com/office/word/2010/wordprocessingDrawing" wp14:editId="0E1D6E83" wp14:anchorId="02D82641">
            <wp:extent cx="3886200" cy="4267200"/>
            <wp:effectExtent l="0" t="0" r="0" b="0"/>
            <wp:docPr id="1883769306" name="" title=""/>
            <wp:cNvGraphicFramePr>
              <a:graphicFrameLocks noChangeAspect="1"/>
            </wp:cNvGraphicFramePr>
            <a:graphic>
              <a:graphicData uri="http://schemas.openxmlformats.org/drawingml/2006/picture">
                <pic:pic>
                  <pic:nvPicPr>
                    <pic:cNvPr id="0" name=""/>
                    <pic:cNvPicPr/>
                  </pic:nvPicPr>
                  <pic:blipFill>
                    <a:blip r:embed="Ra5ca07ae9a854bbf">
                      <a:extLst>
                        <a:ext xmlns:a="http://schemas.openxmlformats.org/drawingml/2006/main" uri="{28A0092B-C50C-407E-A947-70E740481C1C}">
                          <a14:useLocalDpi val="0"/>
                        </a:ext>
                      </a:extLst>
                    </a:blip>
                    <a:stretch>
                      <a:fillRect/>
                    </a:stretch>
                  </pic:blipFill>
                  <pic:spPr>
                    <a:xfrm>
                      <a:off x="0" y="0"/>
                      <a:ext cx="3886200" cy="4267200"/>
                    </a:xfrm>
                    <a:prstGeom prst="rect">
                      <a:avLst/>
                    </a:prstGeom>
                  </pic:spPr>
                </pic:pic>
              </a:graphicData>
            </a:graphic>
          </wp:inline>
        </w:drawing>
      </w:r>
    </w:p>
    <w:p xmlns:wp14="http://schemas.microsoft.com/office/word/2010/wordml" w:rsidP="5ED495D4" wp14:paraId="704368B3" wp14:textId="438C57E6">
      <w:pPr>
        <w:spacing w:before="0" w:beforeAutospacing="off" w:after="200" w:afterAutospacing="off"/>
        <w:jc w:val="center"/>
        <w:rPr>
          <w:rFonts w:ascii="Arial Nova" w:hAnsi="Arial Nova" w:eastAsia="Arial Nova" w:cs="Arial Nova"/>
          <w:b w:val="0"/>
          <w:bCs w:val="0"/>
          <w:i w:val="1"/>
          <w:iCs w:val="1"/>
          <w:strike w:val="0"/>
          <w:dstrike w:val="0"/>
          <w:noProof w:val="0"/>
          <w:color w:val="44546A"/>
          <w:sz w:val="24"/>
          <w:szCs w:val="24"/>
          <w:u w:val="none"/>
          <w:lang w:val="en-US"/>
        </w:rPr>
      </w:pPr>
      <w:r w:rsidRPr="5ED495D4" w:rsidR="5C7B1F42">
        <w:rPr>
          <w:rFonts w:ascii="Arial Nova" w:hAnsi="Arial Nova" w:eastAsia="Arial Nova" w:cs="Arial Nova"/>
          <w:b w:val="0"/>
          <w:bCs w:val="0"/>
          <w:i w:val="1"/>
          <w:iCs w:val="1"/>
          <w:strike w:val="0"/>
          <w:dstrike w:val="0"/>
          <w:noProof w:val="0"/>
          <w:color w:val="44546A"/>
          <w:sz w:val="24"/>
          <w:szCs w:val="24"/>
          <w:u w:val="none"/>
          <w:lang w:val="en-US"/>
        </w:rPr>
        <w:t xml:space="preserve">Figure </w:t>
      </w:r>
      <w:r w:rsidRPr="5ED495D4" w:rsidR="5C7B1F42">
        <w:rPr>
          <w:rFonts w:ascii="Arial Nova" w:hAnsi="Arial Nova" w:eastAsia="Arial Nova" w:cs="Arial Nova"/>
          <w:b w:val="0"/>
          <w:bCs w:val="0"/>
          <w:i w:val="1"/>
          <w:iCs w:val="1"/>
          <w:strike w:val="0"/>
          <w:dstrike w:val="0"/>
          <w:noProof w:val="0"/>
          <w:color w:val="44546A"/>
          <w:sz w:val="24"/>
          <w:szCs w:val="24"/>
          <w:u w:val="none"/>
          <w:lang w:val="en-US"/>
        </w:rPr>
        <w:t>6;Seasonal</w:t>
      </w:r>
      <w:r w:rsidRPr="5ED495D4" w:rsidR="5C7B1F42">
        <w:rPr>
          <w:rFonts w:ascii="Arial Nova" w:hAnsi="Arial Nova" w:eastAsia="Arial Nova" w:cs="Arial Nova"/>
          <w:b w:val="0"/>
          <w:bCs w:val="0"/>
          <w:i w:val="1"/>
          <w:iCs w:val="1"/>
          <w:strike w:val="0"/>
          <w:dstrike w:val="0"/>
          <w:noProof w:val="0"/>
          <w:color w:val="44546A"/>
          <w:sz w:val="24"/>
          <w:szCs w:val="24"/>
          <w:u w:val="none"/>
          <w:lang w:val="en-US"/>
        </w:rPr>
        <w:t xml:space="preserve"> Demand Fluctuation</w:t>
      </w:r>
    </w:p>
    <w:p xmlns:wp14="http://schemas.microsoft.com/office/word/2010/wordml" w:rsidP="5ED495D4" wp14:paraId="6E422F4C" wp14:textId="42A12CA0">
      <w:pPr>
        <w:spacing w:before="0" w:beforeAutospacing="off" w:after="0" w:afterAutospacing="off"/>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pP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One effective approach is to implement a dynamic pricing system, which enables the hotel to adjust room rates based on real-time demand and competitor pricing. A revenue management system that incorporates dynamic pricing capabilities can analyze market trends, local events, and historical data to set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optimal</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rates that maximize occupancy and revenue. For instance, during high-demand periods, such as major events or holiday seasons, the system can automatically increase room rates to capitalize on the influx of tourists (Mitra, 2019). Conversely, during off-peak periods, it can lower rates strategically to attract price-sensitive travelers who might not consider staying at the hotel otherwise. This flexibility in pricing allows the hotel to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remain</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competitive while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optimizing</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revenue across different market conditions. The benefits of dynamic pricing are twofold: it enhances revenue stability by smoothing out the peaks and troughs of seasonal demand, and it ensures that the hotel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remains</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an attractive option for various segments, including budget-conscious </w:t>
      </w:r>
      <w:r w:rsidRPr="5ED495D4" w:rsidR="2B041923">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travelers</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during slower periods (Guizzardi et al., 2020).</w:t>
      </w:r>
    </w:p>
    <w:p xmlns:wp14="http://schemas.microsoft.com/office/word/2010/wordml" w:rsidP="5ED495D4" wp14:paraId="20E6CE2B" wp14:textId="62F545A7">
      <w:pPr>
        <w:spacing w:before="0" w:beforeAutospacing="off" w:after="0" w:afterAutospacing="off"/>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pP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In addition to dynamic pricing,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establishing</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corporate partnerships can provide a steady stream of business during off-peak seasons. Dubai’s reputation as a global business hub offers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ample opportunities</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for attracting corporate clients, who often have a higher propensity for repeat visits and long-term stays. By forming partnerships with local and international corporations, Accor’s Dubai property can offer exclusive packages and special rates for corporate clients, incentivizing them to choose Accor for their business travel needs (Dr. Antoneta Njeri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Kariru</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2023). Such partnerships could include value-added services, such as dedicated meeting spaces, event management support, and corporate discounts on extended stays. This strategy not only diversifies the hotel’s guest demographic but also creates a buffer against the volatility of seasonal tourism cycles. Furthermore, corporate clients often prioritize convenience and service quality over price, making them an ideal target market for Accor’s luxury offerings (Don, 2023).</w:t>
      </w:r>
    </w:p>
    <w:p xmlns:wp14="http://schemas.microsoft.com/office/word/2010/wordml" w:rsidP="5ED495D4" wp14:paraId="69BE90B8" wp14:textId="7C7F561C">
      <w:pPr>
        <w:pStyle w:val="Heading3"/>
        <w:spacing w:before="0" w:beforeAutospacing="off" w:after="0" w:afterAutospacing="off"/>
        <w:jc w:val="both"/>
        <w:rPr>
          <w:rFonts w:ascii="Arial Nova" w:hAnsi="Arial Nova" w:eastAsia="Arial Nova" w:cs="Arial Nova"/>
          <w:b w:val="1"/>
          <w:bCs w:val="1"/>
          <w:i w:val="1"/>
          <w:iCs w:val="1"/>
          <w:strike w:val="0"/>
          <w:dstrike w:val="0"/>
          <w:noProof w:val="0"/>
          <w:color w:val="000000" w:themeColor="text1" w:themeTint="FF" w:themeShade="FF"/>
          <w:sz w:val="24"/>
          <w:szCs w:val="24"/>
          <w:u w:val="none"/>
          <w:lang w:val="en-US"/>
        </w:rPr>
      </w:pPr>
      <w:r w:rsidRPr="5ED495D4" w:rsidR="5C7B1F42">
        <w:rPr>
          <w:rFonts w:ascii="Arial Nova" w:hAnsi="Arial Nova" w:eastAsia="Arial Nova" w:cs="Arial Nova"/>
          <w:b w:val="1"/>
          <w:bCs w:val="1"/>
          <w:i w:val="1"/>
          <w:iCs w:val="1"/>
          <w:strike w:val="0"/>
          <w:dstrike w:val="0"/>
          <w:noProof w:val="0"/>
          <w:color w:val="000000" w:themeColor="text1" w:themeTint="FF" w:themeShade="FF"/>
          <w:sz w:val="24"/>
          <w:szCs w:val="24"/>
          <w:u w:val="none"/>
          <w:lang w:val="en-US"/>
        </w:rPr>
        <w:t>Enhancing Sustainable Practices</w:t>
      </w:r>
    </w:p>
    <w:p xmlns:wp14="http://schemas.microsoft.com/office/word/2010/wordml" w:rsidP="5ED495D4" wp14:paraId="674C9E28" wp14:textId="5113BE88">
      <w:pPr>
        <w:spacing w:before="0" w:beforeAutospacing="off" w:after="0" w:afterAutospacing="off"/>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pP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Sustainability has become a core expectation among travelers, especially within the luxury segment, where eco-consciousness and social responsibility often influence booking decisions. Accor’s Dubai property can strengthen its brand image and attract </w:t>
      </w:r>
      <w:r w:rsidRPr="5ED495D4" w:rsidR="07372266">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environmentally minded</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guests by expanding its commitment to sustainable practices. Accor’s Planet 21 program provides an excellent foundation, but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additional</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efforts are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required</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to ensure that sustainability becomes an integral part of the guest experience and daily operations (Han, 2021).</w:t>
      </w:r>
    </w:p>
    <w:p xmlns:wp14="http://schemas.microsoft.com/office/word/2010/wordml" w:rsidP="5ED495D4" wp14:paraId="167CDB3F" wp14:textId="4885BADE">
      <w:pPr>
        <w:spacing w:before="0" w:beforeAutospacing="off" w:after="0" w:afterAutospacing="off"/>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pP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Energy efficiency initiatives should be a priority, as they offer both environmental and financial benefits. Installing energy-efficient lighting, such as LED bulbs, along with smart thermostats and water-saving fixtures, can significantly reduce the property’s energy consumption. These upgrades not only lower utility costs but also appeal to eco-conscious guests who prefer staying in environmentally responsible hotels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Cerchione</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and Bansal, 2019). To further engage guests, the hotel can communicate these initiatives through in-room materials and digital displays, encouraging guests to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participate</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in sustainability efforts during their stay. For instance, a note explaining the energy savings associated with towel reuse can prompt guests to make environmentally friendly choices (Acampora et al., 2022).</w:t>
      </w:r>
    </w:p>
    <w:p xmlns:wp14="http://schemas.microsoft.com/office/word/2010/wordml" w:rsidP="5ED495D4" wp14:paraId="7DAFD861" wp14:textId="227C067D">
      <w:pPr>
        <w:spacing w:before="0" w:beforeAutospacing="off" w:after="0" w:afterAutospacing="off"/>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pP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Another impactful sustainability initiative involves waste reduction and recycling. Accor can implement a comprehensive waste reduction program that includes minimizing single-use plastics and providing recycling bins in guest rooms. By offering recycling options, the hotel empowers guests to actively contribute to sustainable practices, reinforcing the property’s commitment to environmental responsibility. These efforts could also extend to the hotel’s dining and beverage services, where eco-friendly packaging and compostable materials could replace single-use plastics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Talapatra</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2022).</w:t>
      </w:r>
    </w:p>
    <w:p xmlns:wp14="http://schemas.microsoft.com/office/word/2010/wordml" w:rsidP="5ED495D4" wp14:paraId="600E1F22" wp14:textId="525128BB">
      <w:pPr>
        <w:spacing w:before="0" w:beforeAutospacing="off" w:after="0" w:afterAutospacing="off"/>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pP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To further emphasize its sustainability credentials, Accor’s Dubai property can source local and sustainable products, especially for food and beverage offerings. Partnering with local farmers and suppliers not only reduces the carbon footprint associated with imports but also enhances the guest experience by providing authentic, locally inspired cuisine. This strategy aligns with Accor’s Planet 21 goals while delivering a unique, culturally enriched experience that appeals to guests seeking a connection to the local community (Ruiz Molina et al., 2021).</w:t>
      </w:r>
    </w:p>
    <w:p xmlns:wp14="http://schemas.microsoft.com/office/word/2010/wordml" w:rsidP="5ED495D4" wp14:paraId="240DE659" wp14:textId="0857E308">
      <w:pPr>
        <w:spacing w:before="0" w:beforeAutospacing="off" w:after="0" w:afterAutospacing="off"/>
        <w:jc w:val="both"/>
        <w:rPr>
          <w:rFonts w:ascii="Arial Nova" w:hAnsi="Arial Nova" w:eastAsia="Arial Nova" w:cs="Arial Nova"/>
          <w:sz w:val="24"/>
          <w:szCs w:val="24"/>
        </w:rPr>
      </w:pPr>
      <w:r w:rsidR="5C7B1F42">
        <w:drawing>
          <wp:inline xmlns:wp14="http://schemas.microsoft.com/office/word/2010/wordprocessingDrawing" wp14:editId="6E08AA3A" wp14:anchorId="2A112970">
            <wp:extent cx="5943600" cy="4200525"/>
            <wp:effectExtent l="0" t="0" r="0" b="0"/>
            <wp:docPr id="1495442993" name="" descr="Acting-for-Posituve-Hospitality" title=""/>
            <wp:cNvGraphicFramePr>
              <a:graphicFrameLocks noChangeAspect="1"/>
            </wp:cNvGraphicFramePr>
            <a:graphic>
              <a:graphicData uri="http://schemas.openxmlformats.org/drawingml/2006/picture">
                <pic:pic>
                  <pic:nvPicPr>
                    <pic:cNvPr id="0" name=""/>
                    <pic:cNvPicPr/>
                  </pic:nvPicPr>
                  <pic:blipFill>
                    <a:blip r:embed="R668cde1284ae48fb">
                      <a:extLst>
                        <a:ext xmlns:a="http://schemas.openxmlformats.org/drawingml/2006/main" uri="{28A0092B-C50C-407E-A947-70E740481C1C}">
                          <a14:useLocalDpi val="0"/>
                        </a:ext>
                      </a:extLst>
                    </a:blip>
                    <a:stretch>
                      <a:fillRect/>
                    </a:stretch>
                  </pic:blipFill>
                  <pic:spPr>
                    <a:xfrm>
                      <a:off x="0" y="0"/>
                      <a:ext cx="5943600" cy="4200525"/>
                    </a:xfrm>
                    <a:prstGeom prst="rect">
                      <a:avLst/>
                    </a:prstGeom>
                  </pic:spPr>
                </pic:pic>
              </a:graphicData>
            </a:graphic>
          </wp:inline>
        </w:drawing>
      </w:r>
    </w:p>
    <w:p xmlns:wp14="http://schemas.microsoft.com/office/word/2010/wordml" w:rsidP="5ED495D4" wp14:paraId="408989C6" wp14:textId="7A147E3D">
      <w:pPr>
        <w:spacing w:before="0" w:beforeAutospacing="off" w:after="200" w:afterAutospacing="off"/>
        <w:jc w:val="center"/>
        <w:rPr>
          <w:rFonts w:ascii="Arial Nova" w:hAnsi="Arial Nova" w:eastAsia="Arial Nova" w:cs="Arial Nova"/>
          <w:b w:val="0"/>
          <w:bCs w:val="0"/>
          <w:i w:val="1"/>
          <w:iCs w:val="1"/>
          <w:strike w:val="0"/>
          <w:dstrike w:val="0"/>
          <w:noProof w:val="0"/>
          <w:color w:val="44546A"/>
          <w:sz w:val="24"/>
          <w:szCs w:val="24"/>
          <w:u w:val="none"/>
          <w:lang w:val="en-US"/>
        </w:rPr>
      </w:pPr>
      <w:r w:rsidRPr="5ED495D4" w:rsidR="5C7B1F42">
        <w:rPr>
          <w:rFonts w:ascii="Arial Nova" w:hAnsi="Arial Nova" w:eastAsia="Arial Nova" w:cs="Arial Nova"/>
          <w:b w:val="0"/>
          <w:bCs w:val="0"/>
          <w:i w:val="1"/>
          <w:iCs w:val="1"/>
          <w:strike w:val="0"/>
          <w:dstrike w:val="0"/>
          <w:noProof w:val="0"/>
          <w:color w:val="44546A"/>
          <w:sz w:val="24"/>
          <w:szCs w:val="24"/>
          <w:u w:val="none"/>
          <w:lang w:val="en-US"/>
        </w:rPr>
        <w:t>Figure 7: Acor's Planet 2021</w:t>
      </w:r>
    </w:p>
    <w:p xmlns:wp14="http://schemas.microsoft.com/office/word/2010/wordml" w:rsidP="5ED495D4" wp14:paraId="29601075" wp14:textId="6EABD3CA">
      <w:pPr>
        <w:pStyle w:val="Heading2"/>
        <w:spacing w:before="0" w:beforeAutospacing="off" w:after="0" w:afterAutospacing="off"/>
        <w:jc w:val="both"/>
        <w:rPr>
          <w:rFonts w:ascii="Arial Nova" w:hAnsi="Arial Nova" w:eastAsia="Arial Nova" w:cs="Arial Nova"/>
          <w:b w:val="1"/>
          <w:bCs w:val="1"/>
          <w:i w:val="0"/>
          <w:iCs w:val="0"/>
          <w:strike w:val="0"/>
          <w:dstrike w:val="0"/>
          <w:noProof w:val="0"/>
          <w:color w:val="000000" w:themeColor="text1" w:themeTint="FF" w:themeShade="FF"/>
          <w:sz w:val="24"/>
          <w:szCs w:val="24"/>
          <w:u w:val="none"/>
          <w:lang w:val="en-US"/>
        </w:rPr>
      </w:pPr>
      <w:r w:rsidRPr="5ED495D4" w:rsidR="5C7B1F42">
        <w:rPr>
          <w:rFonts w:ascii="Arial Nova" w:hAnsi="Arial Nova" w:eastAsia="Arial Nova" w:cs="Arial Nova"/>
          <w:b w:val="1"/>
          <w:bCs w:val="1"/>
          <w:i w:val="0"/>
          <w:iCs w:val="0"/>
          <w:strike w:val="0"/>
          <w:dstrike w:val="0"/>
          <w:noProof w:val="0"/>
          <w:color w:val="000000" w:themeColor="text1" w:themeTint="FF" w:themeShade="FF"/>
          <w:sz w:val="24"/>
          <w:szCs w:val="24"/>
          <w:u w:val="none"/>
          <w:lang w:val="en-US"/>
        </w:rPr>
        <w:t>Change Management Strategy</w:t>
      </w:r>
    </w:p>
    <w:p xmlns:wp14="http://schemas.microsoft.com/office/word/2010/wordml" w:rsidP="5ED495D4" wp14:paraId="7148E127" wp14:textId="4D1488CD">
      <w:pPr>
        <w:spacing w:before="0" w:beforeAutospacing="off" w:after="0" w:afterAutospacing="off"/>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pP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Implementing the above recommendations requires a structured change management strategy to ensure a smooth transition and minimize resistance from staff. Successful change management involves clear communication, staff engagement, and phased implementation to foster acceptance and commitment (Rousseau and Have, 2022).</w:t>
      </w:r>
    </w:p>
    <w:p xmlns:wp14="http://schemas.microsoft.com/office/word/2010/wordml" w:rsidP="5ED495D4" wp14:paraId="171F2BC6" wp14:textId="7F6A63E4">
      <w:pPr>
        <w:spacing w:before="0" w:beforeAutospacing="off" w:after="0" w:afterAutospacing="off"/>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pP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To begin, engaging staff in the change process is crucial for ensuring successful implementation. Employees should be introduced to the proposed changes through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initial</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briefings, where the rationale behind each recommendation is clearly explained. These sessions can highlight how the changes align with Accor’s mission of delivering exceptional guest experiences, stabilizing revenue, and promoting sustainability. Involving staff in these discussions fosters a sense of ownership, making employees more likely to support the initiatives. Additionally, allowing staff to provide feedback and voice any concerns can help management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identify</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potential barriers and address them proactively (Ramos-</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Maçães</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and Román-Portas, 2022).</w:t>
      </w:r>
    </w:p>
    <w:p xmlns:wp14="http://schemas.microsoft.com/office/word/2010/wordml" w:rsidP="5ED495D4" wp14:paraId="70B2A005" wp14:textId="3D3092AD">
      <w:pPr>
        <w:spacing w:before="0" w:beforeAutospacing="off" w:after="0" w:afterAutospacing="off"/>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pP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Comprehensive training and development sessions are also essential for equipping staff with the skills necessary to adapt to new practices. Customer service training, for example, should incorporate practical exercises that simulate real-world scenarios, giving staff the opportunity to practice and refine their skills. Sustainability workshops can educate employees on the environmental benefits of energy conservation, waste reduction, and recycling, making them active participants in the hotel’s sustainability efforts. Ongoing training ensures that staff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remain</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committed to delivering consistent, high-quality service while embracing sustainable practices.</w:t>
      </w:r>
    </w:p>
    <w:p xmlns:wp14="http://schemas.microsoft.com/office/word/2010/wordml" w:rsidP="5ED495D4" wp14:paraId="12134BD6" wp14:textId="7D91B9D9">
      <w:pPr>
        <w:spacing w:before="0" w:beforeAutospacing="off" w:after="0" w:afterAutospacing="off"/>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pP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Clear and consistent communication throughout the implementation process is vital to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maintaining</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staff morale and ensuring transparency. Management should provide weekly updates on the progress of each initiative, celebrating early successes to reinforce the value of the changes (Batti, 2019). For example, sharing positive guest feedback from the real-time feedback system or highlighting reductions in energy usage can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demonstrate</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tangible benefits, fostering a positive attitude toward the changes. Additionally, regular check-ins with staff can help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identify</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any issues early on, allowing management to make necessary adjustments to keep the initiatives on </w:t>
      </w:r>
      <w:r w:rsidRPr="5ED495D4" w:rsidR="435F2433">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track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Wasantha</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Rajapakshe, 2024). (Models Application in Appendix A).</w:t>
      </w:r>
    </w:p>
    <w:p xmlns:wp14="http://schemas.microsoft.com/office/word/2010/wordml" w:rsidP="5ED495D4" wp14:paraId="72B4F775" wp14:textId="372EBD0F">
      <w:pPr>
        <w:pStyle w:val="Heading2"/>
        <w:spacing w:before="0" w:beforeAutospacing="off" w:after="0" w:afterAutospacing="off"/>
        <w:jc w:val="both"/>
        <w:rPr>
          <w:rFonts w:ascii="Arial Nova" w:hAnsi="Arial Nova" w:eastAsia="Arial Nova" w:cs="Arial Nova"/>
          <w:b w:val="1"/>
          <w:bCs w:val="1"/>
          <w:i w:val="0"/>
          <w:iCs w:val="0"/>
          <w:strike w:val="0"/>
          <w:dstrike w:val="0"/>
          <w:noProof w:val="0"/>
          <w:color w:val="000000" w:themeColor="text1" w:themeTint="FF" w:themeShade="FF"/>
          <w:sz w:val="24"/>
          <w:szCs w:val="24"/>
          <w:u w:val="none"/>
          <w:lang w:val="en-US"/>
        </w:rPr>
      </w:pPr>
      <w:r w:rsidRPr="5ED495D4" w:rsidR="5C7B1F42">
        <w:rPr>
          <w:rFonts w:ascii="Arial Nova" w:hAnsi="Arial Nova" w:eastAsia="Arial Nova" w:cs="Arial Nova"/>
          <w:b w:val="1"/>
          <w:bCs w:val="1"/>
          <w:i w:val="0"/>
          <w:iCs w:val="0"/>
          <w:strike w:val="0"/>
          <w:dstrike w:val="0"/>
          <w:noProof w:val="0"/>
          <w:color w:val="000000" w:themeColor="text1" w:themeTint="FF" w:themeShade="FF"/>
          <w:sz w:val="24"/>
          <w:szCs w:val="24"/>
          <w:u w:val="none"/>
          <w:lang w:val="en-US"/>
        </w:rPr>
        <w:t>Measurement of Success</w:t>
      </w:r>
    </w:p>
    <w:p xmlns:wp14="http://schemas.microsoft.com/office/word/2010/wordml" w:rsidP="5ED495D4" wp14:paraId="3C192AAA" wp14:textId="7EA0FC2D">
      <w:pPr>
        <w:spacing w:before="0" w:beforeAutospacing="off" w:after="0" w:afterAutospacing="off"/>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pP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To assess the effectiveness of these recommendations, Accor should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establish</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specific key performance indicators (KPIs) that measure progress toward improved customer satisfaction, revenue stability, and environmental impact. Customer satisfaction scores, gathered through post-stay surveys, can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provide</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valuable insights into how guests perceive service quality and consistency. Tracking changes in these scores before and after implementing customer service training will reveal whether the training is yielding the desired results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Aunoa</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2024).</w:t>
      </w:r>
    </w:p>
    <w:p xmlns:wp14="http://schemas.microsoft.com/office/word/2010/wordml" w:rsidP="5ED495D4" wp14:paraId="378F6720" wp14:textId="27599B66">
      <w:pPr>
        <w:spacing w:before="0" w:beforeAutospacing="off" w:after="0" w:afterAutospacing="off"/>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pP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Employee retention rates offer another valuable metric, particularly when evaluating the success of staff engagement and training initiatives. High turnover rates often signal dissatisfaction or disengagement among employees, which could hinder successful change implementation. Improved retention rates, on the other hand, suggest that staff members are more satisfied with their roles and aligned with the hotel’s vision, making them more likely to support new initiatives.</w:t>
      </w:r>
    </w:p>
    <w:p xmlns:wp14="http://schemas.microsoft.com/office/word/2010/wordml" w:rsidP="5ED495D4" wp14:paraId="237046B9" wp14:textId="051BC132">
      <w:pPr>
        <w:spacing w:before="0" w:beforeAutospacing="off" w:after="0" w:afterAutospacing="off"/>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pP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For revenue-related initiatives, metrics such as Revenue per Available Room (RevPAR) and Average Daily Rate (ADR) provide concrete indicators of financial performance. An increase in RevPAR during off-peak seasons, for instance, would signal that the dynamic pricing strategy and corporate partnerships are effectively stabilizing revenue. Environmental impact metrics, including reductions in energy and water consumption, waste production, and carbon emissions, will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demonstrate</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the success of the hotel’s sustainable practices (Ünsal, 2023).</w:t>
      </w:r>
    </w:p>
    <w:p xmlns:wp14="http://schemas.microsoft.com/office/word/2010/wordml" w:rsidP="5ED495D4" wp14:paraId="4B659310" wp14:textId="4CFE8485">
      <w:pPr>
        <w:pStyle w:val="Heading2"/>
        <w:spacing w:before="0" w:beforeAutospacing="off" w:after="0" w:afterAutospacing="off"/>
        <w:jc w:val="both"/>
        <w:rPr>
          <w:rFonts w:ascii="Arial Nova" w:hAnsi="Arial Nova" w:eastAsia="Arial Nova" w:cs="Arial Nova"/>
          <w:b w:val="1"/>
          <w:bCs w:val="1"/>
          <w:i w:val="0"/>
          <w:iCs w:val="0"/>
          <w:strike w:val="0"/>
          <w:dstrike w:val="0"/>
          <w:noProof w:val="0"/>
          <w:color w:val="000000" w:themeColor="text1" w:themeTint="FF" w:themeShade="FF"/>
          <w:sz w:val="24"/>
          <w:szCs w:val="24"/>
          <w:u w:val="none"/>
          <w:lang w:val="en-US"/>
        </w:rPr>
      </w:pPr>
      <w:r w:rsidRPr="5ED495D4" w:rsidR="5C7B1F42">
        <w:rPr>
          <w:rFonts w:ascii="Arial Nova" w:hAnsi="Arial Nova" w:eastAsia="Arial Nova" w:cs="Arial Nova"/>
          <w:b w:val="1"/>
          <w:bCs w:val="1"/>
          <w:i w:val="0"/>
          <w:iCs w:val="0"/>
          <w:strike w:val="0"/>
          <w:dstrike w:val="0"/>
          <w:noProof w:val="0"/>
          <w:color w:val="000000" w:themeColor="text1" w:themeTint="FF" w:themeShade="FF"/>
          <w:sz w:val="24"/>
          <w:szCs w:val="24"/>
          <w:u w:val="none"/>
          <w:lang w:val="en-US"/>
        </w:rPr>
        <w:t>Costing</w:t>
      </w:r>
    </w:p>
    <w:p xmlns:wp14="http://schemas.microsoft.com/office/word/2010/wordml" w:rsidP="5ED495D4" wp14:paraId="0C301088" wp14:textId="3C994563">
      <w:pPr>
        <w:spacing w:before="0" w:beforeAutospacing="off" w:after="200" w:afterAutospacing="off"/>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pPr>
      <w:r w:rsidRPr="5ED495D4" w:rsidR="5C7B1F42">
        <w:rPr>
          <w:rFonts w:ascii="Arial Nova" w:hAnsi="Arial Nova" w:eastAsia="Arial Nova" w:cs="Arial Nova"/>
          <w:b w:val="1"/>
          <w:bCs w:val="1"/>
          <w:i w:val="0"/>
          <w:iCs w:val="0"/>
          <w:strike w:val="0"/>
          <w:dstrike w:val="0"/>
          <w:noProof w:val="0"/>
          <w:color w:val="000000" w:themeColor="text1" w:themeTint="FF" w:themeShade="FF"/>
          <w:sz w:val="24"/>
          <w:szCs w:val="24"/>
          <w:u w:val="none"/>
          <w:lang w:val="en-US"/>
        </w:rPr>
        <w:t>Table 4:</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Costing</w:t>
      </w:r>
    </w:p>
    <w:tbl>
      <w:tblPr>
        <w:tblStyle w:val="TableNormal"/>
        <w:tblW w:w="0" w:type="auto"/>
        <w:tblLayout w:type="fixed"/>
        <w:tblLook w:val="06A0" w:firstRow="1" w:lastRow="0" w:firstColumn="1" w:lastColumn="0" w:noHBand="1" w:noVBand="1"/>
      </w:tblPr>
      <w:tblGrid>
        <w:gridCol w:w="2274"/>
        <w:gridCol w:w="2244"/>
        <w:gridCol w:w="1134"/>
        <w:gridCol w:w="2784"/>
      </w:tblGrid>
      <w:tr w:rsidR="5ED495D4" w:rsidTr="5ED495D4" w14:paraId="2377943A">
        <w:trPr>
          <w:trHeight w:val="300"/>
        </w:trPr>
        <w:tc>
          <w:tcPr>
            <w:tcW w:w="227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shd w:val="clear" w:color="auto" w:fill="C00000"/>
            <w:tcMar>
              <w:left w:w="108" w:type="dxa"/>
              <w:right w:w="108" w:type="dxa"/>
            </w:tcMar>
            <w:vAlign w:val="top"/>
          </w:tcPr>
          <w:p w:rsidR="5ED495D4" w:rsidP="5ED495D4" w:rsidRDefault="5ED495D4" w14:paraId="4FEB896D" w14:textId="3EE91F27">
            <w:pPr>
              <w:spacing w:before="0" w:beforeAutospacing="off" w:after="0" w:afterAutospacing="off"/>
              <w:jc w:val="center"/>
              <w:rPr>
                <w:rFonts w:ascii="Arial Nova" w:hAnsi="Arial Nova" w:eastAsia="Arial Nova" w:cs="Arial Nova"/>
                <w:b w:val="1"/>
                <w:bCs w:val="1"/>
                <w:i w:val="0"/>
                <w:iCs w:val="0"/>
                <w:strike w:val="0"/>
                <w:dstrike w:val="0"/>
                <w:color w:val="FFFFFF" w:themeColor="background1" w:themeTint="FF" w:themeShade="FF"/>
                <w:sz w:val="24"/>
                <w:szCs w:val="24"/>
                <w:u w:val="none"/>
              </w:rPr>
            </w:pPr>
            <w:r w:rsidRPr="5ED495D4" w:rsidR="5ED495D4">
              <w:rPr>
                <w:rFonts w:ascii="Arial Nova" w:hAnsi="Arial Nova" w:eastAsia="Arial Nova" w:cs="Arial Nova"/>
                <w:b w:val="1"/>
                <w:bCs w:val="1"/>
                <w:i w:val="0"/>
                <w:iCs w:val="0"/>
                <w:strike w:val="0"/>
                <w:dstrike w:val="0"/>
                <w:color w:val="FFFFFF" w:themeColor="background1" w:themeTint="FF" w:themeShade="FF"/>
                <w:sz w:val="24"/>
                <w:szCs w:val="24"/>
                <w:u w:val="none"/>
              </w:rPr>
              <w:t>Recommendation</w:t>
            </w:r>
          </w:p>
        </w:tc>
        <w:tc>
          <w:tcPr>
            <w:tcW w:w="224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shd w:val="clear" w:color="auto" w:fill="C00000"/>
            <w:tcMar>
              <w:left w:w="108" w:type="dxa"/>
              <w:right w:w="108" w:type="dxa"/>
            </w:tcMar>
            <w:vAlign w:val="top"/>
          </w:tcPr>
          <w:p w:rsidR="5ED495D4" w:rsidP="5ED495D4" w:rsidRDefault="5ED495D4" w14:paraId="3F929619" w14:textId="75D1722B">
            <w:pPr>
              <w:spacing w:before="0" w:beforeAutospacing="off" w:after="0" w:afterAutospacing="off"/>
              <w:jc w:val="center"/>
              <w:rPr>
                <w:rFonts w:ascii="Arial Nova" w:hAnsi="Arial Nova" w:eastAsia="Arial Nova" w:cs="Arial Nova"/>
                <w:b w:val="1"/>
                <w:bCs w:val="1"/>
                <w:i w:val="0"/>
                <w:iCs w:val="0"/>
                <w:strike w:val="0"/>
                <w:dstrike w:val="0"/>
                <w:color w:val="FFFFFF" w:themeColor="background1" w:themeTint="FF" w:themeShade="FF"/>
                <w:sz w:val="24"/>
                <w:szCs w:val="24"/>
                <w:u w:val="none"/>
              </w:rPr>
            </w:pPr>
            <w:r w:rsidRPr="5ED495D4" w:rsidR="5ED495D4">
              <w:rPr>
                <w:rFonts w:ascii="Arial Nova" w:hAnsi="Arial Nova" w:eastAsia="Arial Nova" w:cs="Arial Nova"/>
                <w:b w:val="1"/>
                <w:bCs w:val="1"/>
                <w:i w:val="0"/>
                <w:iCs w:val="0"/>
                <w:strike w:val="0"/>
                <w:dstrike w:val="0"/>
                <w:color w:val="FFFFFF" w:themeColor="background1" w:themeTint="FF" w:themeShade="FF"/>
                <w:sz w:val="24"/>
                <w:szCs w:val="24"/>
                <w:u w:val="none"/>
              </w:rPr>
              <w:t>Cost Component</w:t>
            </w:r>
          </w:p>
        </w:tc>
        <w:tc>
          <w:tcPr>
            <w:tcW w:w="113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shd w:val="clear" w:color="auto" w:fill="C00000"/>
            <w:tcMar>
              <w:left w:w="108" w:type="dxa"/>
              <w:right w:w="108" w:type="dxa"/>
            </w:tcMar>
            <w:vAlign w:val="top"/>
          </w:tcPr>
          <w:p w:rsidR="5ED495D4" w:rsidP="5ED495D4" w:rsidRDefault="5ED495D4" w14:paraId="31CB9A20" w14:textId="5B3DA455">
            <w:pPr>
              <w:spacing w:before="0" w:beforeAutospacing="off" w:after="0" w:afterAutospacing="off"/>
              <w:jc w:val="center"/>
              <w:rPr>
                <w:rFonts w:ascii="Arial Nova" w:hAnsi="Arial Nova" w:eastAsia="Arial Nova" w:cs="Arial Nova"/>
                <w:b w:val="1"/>
                <w:bCs w:val="1"/>
                <w:i w:val="0"/>
                <w:iCs w:val="0"/>
                <w:strike w:val="0"/>
                <w:dstrike w:val="0"/>
                <w:color w:val="FFFFFF" w:themeColor="background1" w:themeTint="FF" w:themeShade="FF"/>
                <w:sz w:val="24"/>
                <w:szCs w:val="24"/>
                <w:u w:val="none"/>
              </w:rPr>
            </w:pPr>
            <w:r w:rsidRPr="5ED495D4" w:rsidR="5ED495D4">
              <w:rPr>
                <w:rFonts w:ascii="Arial Nova" w:hAnsi="Arial Nova" w:eastAsia="Arial Nova" w:cs="Arial Nova"/>
                <w:b w:val="1"/>
                <w:bCs w:val="1"/>
                <w:i w:val="0"/>
                <w:iCs w:val="0"/>
                <w:strike w:val="0"/>
                <w:dstrike w:val="0"/>
                <w:color w:val="FFFFFF" w:themeColor="background1" w:themeTint="FF" w:themeShade="FF"/>
                <w:sz w:val="24"/>
                <w:szCs w:val="24"/>
                <w:u w:val="none"/>
              </w:rPr>
              <w:t>Detailed Cost Estimate</w:t>
            </w:r>
          </w:p>
        </w:tc>
        <w:tc>
          <w:tcPr>
            <w:tcW w:w="278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shd w:val="clear" w:color="auto" w:fill="C00000"/>
            <w:tcMar>
              <w:left w:w="108" w:type="dxa"/>
              <w:right w:w="108" w:type="dxa"/>
            </w:tcMar>
            <w:vAlign w:val="top"/>
          </w:tcPr>
          <w:p w:rsidR="5ED495D4" w:rsidP="5ED495D4" w:rsidRDefault="5ED495D4" w14:paraId="0A3B7EB3" w14:textId="57CBF8C2">
            <w:pPr>
              <w:spacing w:before="0" w:beforeAutospacing="off" w:after="0" w:afterAutospacing="off"/>
              <w:jc w:val="center"/>
              <w:rPr>
                <w:rFonts w:ascii="Arial Nova" w:hAnsi="Arial Nova" w:eastAsia="Arial Nova" w:cs="Arial Nova"/>
                <w:b w:val="1"/>
                <w:bCs w:val="1"/>
                <w:i w:val="0"/>
                <w:iCs w:val="0"/>
                <w:strike w:val="0"/>
                <w:dstrike w:val="0"/>
                <w:color w:val="FFFFFF" w:themeColor="background1" w:themeTint="FF" w:themeShade="FF"/>
                <w:sz w:val="24"/>
                <w:szCs w:val="24"/>
                <w:u w:val="none"/>
              </w:rPr>
            </w:pPr>
            <w:r w:rsidRPr="5ED495D4" w:rsidR="5ED495D4">
              <w:rPr>
                <w:rFonts w:ascii="Arial Nova" w:hAnsi="Arial Nova" w:eastAsia="Arial Nova" w:cs="Arial Nova"/>
                <w:b w:val="1"/>
                <w:bCs w:val="1"/>
                <w:i w:val="0"/>
                <w:iCs w:val="0"/>
                <w:strike w:val="0"/>
                <w:dstrike w:val="0"/>
                <w:color w:val="FFFFFF" w:themeColor="background1" w:themeTint="FF" w:themeShade="FF"/>
                <w:sz w:val="24"/>
                <w:szCs w:val="24"/>
                <w:u w:val="none"/>
              </w:rPr>
              <w:t>Justification</w:t>
            </w:r>
          </w:p>
        </w:tc>
      </w:tr>
      <w:tr w:rsidR="5ED495D4" w:rsidTr="5ED495D4" w14:paraId="56095E94">
        <w:trPr>
          <w:trHeight w:val="300"/>
        </w:trPr>
        <w:tc>
          <w:tcPr>
            <w:tcW w:w="227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1BF440C5" w14:textId="51A4A099">
            <w:pPr>
              <w:spacing w:before="0" w:beforeAutospacing="off" w:after="0" w:afterAutospacing="off"/>
              <w:jc w:val="both"/>
              <w:rPr>
                <w:rFonts w:ascii="Arial Nova" w:hAnsi="Arial Nova" w:eastAsia="Arial Nova" w:cs="Arial Nova"/>
                <w:b w:val="1"/>
                <w:bCs w:val="1"/>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1"/>
                <w:bCs w:val="1"/>
                <w:i w:val="0"/>
                <w:iCs w:val="0"/>
                <w:strike w:val="0"/>
                <w:dstrike w:val="0"/>
                <w:color w:val="000000" w:themeColor="text1" w:themeTint="FF" w:themeShade="FF"/>
                <w:sz w:val="24"/>
                <w:szCs w:val="24"/>
                <w:u w:val="none"/>
              </w:rPr>
              <w:t>Staff Training Program</w:t>
            </w:r>
          </w:p>
        </w:tc>
        <w:tc>
          <w:tcPr>
            <w:tcW w:w="224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19EA9030" w14:textId="747C28FC">
            <w:pPr>
              <w:spacing w:before="0" w:beforeAutospacing="off" w:after="0" w:afterAutospacing="off"/>
              <w:jc w:val="both"/>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Training materials (handbooks, online resources)</w:t>
            </w:r>
          </w:p>
        </w:tc>
        <w:tc>
          <w:tcPr>
            <w:tcW w:w="113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0A9DABA2" w14:textId="7D111D91">
            <w:pPr>
              <w:spacing w:before="0" w:beforeAutospacing="off" w:after="0" w:afterAutospacing="off"/>
              <w:jc w:val="both"/>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€5,000</w:t>
            </w:r>
          </w:p>
        </w:tc>
        <w:tc>
          <w:tcPr>
            <w:tcW w:w="278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7D1A2E4C" w14:textId="2E2BEE81">
            <w:pPr>
              <w:spacing w:before="0" w:beforeAutospacing="off" w:after="0" w:afterAutospacing="off"/>
              <w:jc w:val="both"/>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Provides comprehensive resources for consistent and standardized service delivery.</w:t>
            </w:r>
          </w:p>
        </w:tc>
      </w:tr>
      <w:tr w:rsidR="5ED495D4" w:rsidTr="5ED495D4" w14:paraId="17D5B5C6">
        <w:trPr>
          <w:trHeight w:val="300"/>
        </w:trPr>
        <w:tc>
          <w:tcPr>
            <w:tcW w:w="227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6DD6B866" w14:textId="24AAB5CF">
            <w:pPr>
              <w:spacing w:before="0" w:beforeAutospacing="off" w:after="0" w:afterAutospacing="off"/>
              <w:rPr>
                <w:rFonts w:ascii="Arial Nova" w:hAnsi="Arial Nova" w:eastAsia="Arial Nova" w:cs="Arial Nova"/>
                <w:sz w:val="24"/>
                <w:szCs w:val="24"/>
              </w:rPr>
            </w:pPr>
          </w:p>
        </w:tc>
        <w:tc>
          <w:tcPr>
            <w:tcW w:w="224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6EC95328" w14:textId="109EB768">
            <w:pPr>
              <w:spacing w:before="0" w:beforeAutospacing="off" w:after="0" w:afterAutospacing="off"/>
              <w:jc w:val="both"/>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Instructor fees (internal trainers or external experts)</w:t>
            </w:r>
          </w:p>
        </w:tc>
        <w:tc>
          <w:tcPr>
            <w:tcW w:w="113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40F984BA" w14:textId="166D35F2">
            <w:pPr>
              <w:spacing w:before="0" w:beforeAutospacing="off" w:after="0" w:afterAutospacing="off"/>
              <w:jc w:val="both"/>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€8,000</w:t>
            </w:r>
          </w:p>
        </w:tc>
        <w:tc>
          <w:tcPr>
            <w:tcW w:w="278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6FCCBCB9" w14:textId="0999A57E">
            <w:pPr>
              <w:spacing w:before="0" w:beforeAutospacing="off" w:after="0" w:afterAutospacing="off"/>
              <w:jc w:val="both"/>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Ensures high-quality training with experienced facilitators.</w:t>
            </w:r>
          </w:p>
        </w:tc>
      </w:tr>
      <w:tr w:rsidR="5ED495D4" w:rsidTr="5ED495D4" w14:paraId="1BA657B5">
        <w:trPr>
          <w:trHeight w:val="300"/>
        </w:trPr>
        <w:tc>
          <w:tcPr>
            <w:tcW w:w="227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38836273" w14:textId="00B48864">
            <w:pPr>
              <w:spacing w:before="0" w:beforeAutospacing="off" w:after="0" w:afterAutospacing="off"/>
              <w:rPr>
                <w:rFonts w:ascii="Arial Nova" w:hAnsi="Arial Nova" w:eastAsia="Arial Nova" w:cs="Arial Nova"/>
                <w:sz w:val="24"/>
                <w:szCs w:val="24"/>
              </w:rPr>
            </w:pPr>
          </w:p>
        </w:tc>
        <w:tc>
          <w:tcPr>
            <w:tcW w:w="224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723BCCA3" w14:textId="4CD06F18">
            <w:pPr>
              <w:spacing w:before="0" w:beforeAutospacing="off" w:after="0" w:afterAutospacing="off"/>
              <w:jc w:val="both"/>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Workshop space and refreshments</w:t>
            </w:r>
          </w:p>
        </w:tc>
        <w:tc>
          <w:tcPr>
            <w:tcW w:w="113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282F6ED6" w14:textId="42AD4FCA">
            <w:pPr>
              <w:spacing w:before="0" w:beforeAutospacing="off" w:after="0" w:afterAutospacing="off"/>
              <w:jc w:val="both"/>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€3,000</w:t>
            </w:r>
          </w:p>
        </w:tc>
        <w:tc>
          <w:tcPr>
            <w:tcW w:w="278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3C9F47AD" w14:textId="3CBCCB33">
            <w:pPr>
              <w:spacing w:before="0" w:beforeAutospacing="off" w:after="0" w:afterAutospacing="off"/>
              <w:jc w:val="both"/>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Creates an engaging learning environment that supports staff participation and morale.</w:t>
            </w:r>
          </w:p>
        </w:tc>
      </w:tr>
      <w:tr w:rsidR="5ED495D4" w:rsidTr="5ED495D4" w14:paraId="6116A4DB">
        <w:trPr>
          <w:trHeight w:val="300"/>
        </w:trPr>
        <w:tc>
          <w:tcPr>
            <w:tcW w:w="227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40EE373E" w14:textId="0735D1F7">
            <w:pPr>
              <w:spacing w:before="0" w:beforeAutospacing="off" w:after="0" w:afterAutospacing="off"/>
              <w:rPr>
                <w:rFonts w:ascii="Arial Nova" w:hAnsi="Arial Nova" w:eastAsia="Arial Nova" w:cs="Arial Nova"/>
                <w:sz w:val="24"/>
                <w:szCs w:val="24"/>
              </w:rPr>
            </w:pPr>
          </w:p>
        </w:tc>
        <w:tc>
          <w:tcPr>
            <w:tcW w:w="224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192A4D97" w14:textId="74712F6B">
            <w:pPr>
              <w:spacing w:before="0" w:beforeAutospacing="off" w:after="0" w:afterAutospacing="off"/>
              <w:jc w:val="both"/>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Simulation tools and software for role-play scenarios</w:t>
            </w:r>
          </w:p>
        </w:tc>
        <w:tc>
          <w:tcPr>
            <w:tcW w:w="113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3B2EC3F9" w14:textId="4EAF3BCA">
            <w:pPr>
              <w:spacing w:before="0" w:beforeAutospacing="off" w:after="0" w:afterAutospacing="off"/>
              <w:jc w:val="both"/>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€4,000</w:t>
            </w:r>
          </w:p>
        </w:tc>
        <w:tc>
          <w:tcPr>
            <w:tcW w:w="278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469A08E4" w14:textId="6107FFE3">
            <w:pPr>
              <w:spacing w:before="0" w:beforeAutospacing="off" w:after="0" w:afterAutospacing="off"/>
              <w:jc w:val="both"/>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Enhances learning through practical scenarios, especially for handling luxury guest expectations.</w:t>
            </w:r>
          </w:p>
        </w:tc>
      </w:tr>
      <w:tr w:rsidR="5ED495D4" w:rsidTr="5ED495D4" w14:paraId="2D754DB0">
        <w:trPr>
          <w:trHeight w:val="300"/>
        </w:trPr>
        <w:tc>
          <w:tcPr>
            <w:tcW w:w="227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0D04E0D2" w14:textId="5B14EC6E">
            <w:pPr>
              <w:spacing w:before="0" w:beforeAutospacing="off" w:after="0" w:afterAutospacing="off"/>
              <w:rPr>
                <w:rFonts w:ascii="Arial Nova" w:hAnsi="Arial Nova" w:eastAsia="Arial Nova" w:cs="Arial Nova"/>
                <w:sz w:val="24"/>
                <w:szCs w:val="24"/>
              </w:rPr>
            </w:pPr>
          </w:p>
        </w:tc>
        <w:tc>
          <w:tcPr>
            <w:tcW w:w="224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1D1EEE68" w14:textId="63544327">
            <w:pPr>
              <w:spacing w:before="0" w:beforeAutospacing="off" w:after="0" w:afterAutospacing="off"/>
              <w:jc w:val="both"/>
              <w:rPr>
                <w:rFonts w:ascii="Arial Nova" w:hAnsi="Arial Nova" w:eastAsia="Arial Nova" w:cs="Arial Nova"/>
                <w:b w:val="1"/>
                <w:bCs w:val="1"/>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1"/>
                <w:bCs w:val="1"/>
                <w:i w:val="0"/>
                <w:iCs w:val="0"/>
                <w:strike w:val="0"/>
                <w:dstrike w:val="0"/>
                <w:color w:val="000000" w:themeColor="text1" w:themeTint="FF" w:themeShade="FF"/>
                <w:sz w:val="24"/>
                <w:szCs w:val="24"/>
                <w:u w:val="none"/>
              </w:rPr>
              <w:t>Total</w:t>
            </w:r>
          </w:p>
        </w:tc>
        <w:tc>
          <w:tcPr>
            <w:tcW w:w="113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2BEDECA7" w14:textId="05A2E467">
            <w:pPr>
              <w:spacing w:before="0" w:beforeAutospacing="off" w:after="0" w:afterAutospacing="off"/>
              <w:jc w:val="both"/>
              <w:rPr>
                <w:rFonts w:ascii="Arial Nova" w:hAnsi="Arial Nova" w:eastAsia="Arial Nova" w:cs="Arial Nova"/>
                <w:b w:val="1"/>
                <w:bCs w:val="1"/>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1"/>
                <w:bCs w:val="1"/>
                <w:i w:val="0"/>
                <w:iCs w:val="0"/>
                <w:strike w:val="0"/>
                <w:dstrike w:val="0"/>
                <w:color w:val="000000" w:themeColor="text1" w:themeTint="FF" w:themeShade="FF"/>
                <w:sz w:val="24"/>
                <w:szCs w:val="24"/>
                <w:u w:val="none"/>
              </w:rPr>
              <w:t>€20,000</w:t>
            </w:r>
          </w:p>
        </w:tc>
        <w:tc>
          <w:tcPr>
            <w:tcW w:w="278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3D9706AC" w14:textId="24B5E43E">
            <w:pPr>
              <w:spacing w:before="0" w:beforeAutospacing="off" w:after="0" w:afterAutospacing="off"/>
              <w:jc w:val="both"/>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Investment in service consistency to enhance guest satisfaction and loyalty.</w:t>
            </w:r>
          </w:p>
        </w:tc>
      </w:tr>
      <w:tr w:rsidR="5ED495D4" w:rsidTr="5ED495D4" w14:paraId="44FAD611">
        <w:trPr>
          <w:trHeight w:val="300"/>
        </w:trPr>
        <w:tc>
          <w:tcPr>
            <w:tcW w:w="227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2077F7EF" w14:textId="68B2CD36">
            <w:pPr>
              <w:spacing w:before="0" w:beforeAutospacing="off" w:after="0" w:afterAutospacing="off"/>
              <w:jc w:val="both"/>
              <w:rPr>
                <w:rFonts w:ascii="Arial Nova" w:hAnsi="Arial Nova" w:eastAsia="Arial Nova" w:cs="Arial Nova"/>
                <w:b w:val="1"/>
                <w:bCs w:val="1"/>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1"/>
                <w:bCs w:val="1"/>
                <w:i w:val="0"/>
                <w:iCs w:val="0"/>
                <w:strike w:val="0"/>
                <w:dstrike w:val="0"/>
                <w:color w:val="000000" w:themeColor="text1" w:themeTint="FF" w:themeShade="FF"/>
                <w:sz w:val="24"/>
                <w:szCs w:val="24"/>
                <w:u w:val="none"/>
              </w:rPr>
              <w:t>Real-Time Feedback System</w:t>
            </w:r>
          </w:p>
        </w:tc>
        <w:tc>
          <w:tcPr>
            <w:tcW w:w="224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4BD4A0D0" w14:textId="359D04B8">
            <w:pPr>
              <w:spacing w:before="0" w:beforeAutospacing="off" w:after="0" w:afterAutospacing="off"/>
              <w:jc w:val="both"/>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 xml:space="preserve">Digital tablets for guest rooms and </w:t>
            </w: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common areas</w:t>
            </w:r>
          </w:p>
        </w:tc>
        <w:tc>
          <w:tcPr>
            <w:tcW w:w="113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7FA38532" w14:textId="6FAC500F">
            <w:pPr>
              <w:spacing w:before="0" w:beforeAutospacing="off" w:after="0" w:afterAutospacing="off"/>
              <w:jc w:val="both"/>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€7,500</w:t>
            </w:r>
          </w:p>
        </w:tc>
        <w:tc>
          <w:tcPr>
            <w:tcW w:w="278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245890D7" w14:textId="30AFD0D6">
            <w:pPr>
              <w:spacing w:before="0" w:beforeAutospacing="off" w:after="0" w:afterAutospacing="off"/>
              <w:jc w:val="both"/>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Facilitates immediate guest feedback, especially in high-traffic areas like lobbies and restaurants.</w:t>
            </w:r>
          </w:p>
        </w:tc>
      </w:tr>
      <w:tr w:rsidR="5ED495D4" w:rsidTr="5ED495D4" w14:paraId="591DB561">
        <w:trPr>
          <w:trHeight w:val="300"/>
        </w:trPr>
        <w:tc>
          <w:tcPr>
            <w:tcW w:w="227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264578DE" w14:textId="0C4FF536">
            <w:pPr>
              <w:spacing w:before="0" w:beforeAutospacing="off" w:after="0" w:afterAutospacing="off"/>
              <w:rPr>
                <w:rFonts w:ascii="Arial Nova" w:hAnsi="Arial Nova" w:eastAsia="Arial Nova" w:cs="Arial Nova"/>
                <w:sz w:val="24"/>
                <w:szCs w:val="24"/>
              </w:rPr>
            </w:pPr>
          </w:p>
        </w:tc>
        <w:tc>
          <w:tcPr>
            <w:tcW w:w="224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58246DEA" w14:textId="51E345E0">
            <w:pPr>
              <w:spacing w:before="0" w:beforeAutospacing="off" w:after="0" w:afterAutospacing="off"/>
              <w:jc w:val="both"/>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QR code setup and software integration</w:t>
            </w:r>
          </w:p>
        </w:tc>
        <w:tc>
          <w:tcPr>
            <w:tcW w:w="113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54AA7F11" w14:textId="0F1EFF15">
            <w:pPr>
              <w:spacing w:before="0" w:beforeAutospacing="off" w:after="0" w:afterAutospacing="off"/>
              <w:jc w:val="both"/>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€2,500</w:t>
            </w:r>
          </w:p>
        </w:tc>
        <w:tc>
          <w:tcPr>
            <w:tcW w:w="278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73087B84" w14:textId="1F89B190">
            <w:pPr>
              <w:spacing w:before="0" w:beforeAutospacing="off" w:after="0" w:afterAutospacing="off"/>
              <w:jc w:val="both"/>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Provides a quick and easy feedback mechanism that encourages guest participation.</w:t>
            </w:r>
          </w:p>
        </w:tc>
      </w:tr>
      <w:tr w:rsidR="5ED495D4" w:rsidTr="5ED495D4" w14:paraId="162C7D18">
        <w:trPr>
          <w:trHeight w:val="300"/>
        </w:trPr>
        <w:tc>
          <w:tcPr>
            <w:tcW w:w="227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26A9E0B4" w14:textId="0BC94166">
            <w:pPr>
              <w:spacing w:before="0" w:beforeAutospacing="off" w:after="0" w:afterAutospacing="off"/>
              <w:rPr>
                <w:rFonts w:ascii="Arial Nova" w:hAnsi="Arial Nova" w:eastAsia="Arial Nova" w:cs="Arial Nova"/>
                <w:sz w:val="24"/>
                <w:szCs w:val="24"/>
              </w:rPr>
            </w:pPr>
          </w:p>
        </w:tc>
        <w:tc>
          <w:tcPr>
            <w:tcW w:w="224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38D14C54" w14:textId="3758DAB8">
            <w:pPr>
              <w:spacing w:before="0" w:beforeAutospacing="off" w:after="0" w:afterAutospacing="off"/>
              <w:jc w:val="both"/>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Feedback management software</w:t>
            </w:r>
          </w:p>
        </w:tc>
        <w:tc>
          <w:tcPr>
            <w:tcW w:w="113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6F698B44" w14:textId="2E542527">
            <w:pPr>
              <w:spacing w:before="0" w:beforeAutospacing="off" w:after="0" w:afterAutospacing="off"/>
              <w:jc w:val="both"/>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€5,000</w:t>
            </w:r>
          </w:p>
        </w:tc>
        <w:tc>
          <w:tcPr>
            <w:tcW w:w="278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25DB5BBB" w14:textId="4C673CED">
            <w:pPr>
              <w:spacing w:before="0" w:beforeAutospacing="off" w:after="0" w:afterAutospacing="off"/>
              <w:jc w:val="both"/>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Centralizes feedback data, allowing for prompt response and trend analysis.</w:t>
            </w:r>
          </w:p>
        </w:tc>
      </w:tr>
      <w:tr w:rsidR="5ED495D4" w:rsidTr="5ED495D4" w14:paraId="57F2D031">
        <w:trPr>
          <w:trHeight w:val="300"/>
        </w:trPr>
        <w:tc>
          <w:tcPr>
            <w:tcW w:w="227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7BD3869E" w14:textId="7C508697">
            <w:pPr>
              <w:spacing w:before="0" w:beforeAutospacing="off" w:after="0" w:afterAutospacing="off"/>
              <w:rPr>
                <w:rFonts w:ascii="Arial Nova" w:hAnsi="Arial Nova" w:eastAsia="Arial Nova" w:cs="Arial Nova"/>
                <w:sz w:val="24"/>
                <w:szCs w:val="24"/>
              </w:rPr>
            </w:pPr>
          </w:p>
        </w:tc>
        <w:tc>
          <w:tcPr>
            <w:tcW w:w="224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772E94DC" w14:textId="2BDEEAE4">
            <w:pPr>
              <w:spacing w:before="0" w:beforeAutospacing="off" w:after="0" w:afterAutospacing="off"/>
              <w:jc w:val="both"/>
              <w:rPr>
                <w:rFonts w:ascii="Arial Nova" w:hAnsi="Arial Nova" w:eastAsia="Arial Nova" w:cs="Arial Nova"/>
                <w:b w:val="1"/>
                <w:bCs w:val="1"/>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1"/>
                <w:bCs w:val="1"/>
                <w:i w:val="0"/>
                <w:iCs w:val="0"/>
                <w:strike w:val="0"/>
                <w:dstrike w:val="0"/>
                <w:color w:val="000000" w:themeColor="text1" w:themeTint="FF" w:themeShade="FF"/>
                <w:sz w:val="24"/>
                <w:szCs w:val="24"/>
                <w:u w:val="none"/>
              </w:rPr>
              <w:t>Total</w:t>
            </w:r>
          </w:p>
        </w:tc>
        <w:tc>
          <w:tcPr>
            <w:tcW w:w="113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3193767B" w14:textId="42F29781">
            <w:pPr>
              <w:spacing w:before="0" w:beforeAutospacing="off" w:after="0" w:afterAutospacing="off"/>
              <w:jc w:val="both"/>
              <w:rPr>
                <w:rFonts w:ascii="Arial Nova" w:hAnsi="Arial Nova" w:eastAsia="Arial Nova" w:cs="Arial Nova"/>
                <w:b w:val="1"/>
                <w:bCs w:val="1"/>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1"/>
                <w:bCs w:val="1"/>
                <w:i w:val="0"/>
                <w:iCs w:val="0"/>
                <w:strike w:val="0"/>
                <w:dstrike w:val="0"/>
                <w:color w:val="000000" w:themeColor="text1" w:themeTint="FF" w:themeShade="FF"/>
                <w:sz w:val="24"/>
                <w:szCs w:val="24"/>
                <w:u w:val="none"/>
              </w:rPr>
              <w:t>€15,000</w:t>
            </w:r>
          </w:p>
        </w:tc>
        <w:tc>
          <w:tcPr>
            <w:tcW w:w="278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59F9B751" w14:textId="4C3302D5">
            <w:pPr>
              <w:spacing w:before="0" w:beforeAutospacing="off" w:after="0" w:afterAutospacing="off"/>
              <w:jc w:val="both"/>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Real-time feedback improves responsiveness to guest concerns, enhancing satisfaction.</w:t>
            </w:r>
          </w:p>
        </w:tc>
      </w:tr>
      <w:tr w:rsidR="5ED495D4" w:rsidTr="5ED495D4" w14:paraId="15CFEFA8">
        <w:trPr>
          <w:trHeight w:val="300"/>
        </w:trPr>
        <w:tc>
          <w:tcPr>
            <w:tcW w:w="227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60ACE4F0" w14:textId="1D92ED4E">
            <w:pPr>
              <w:spacing w:before="0" w:beforeAutospacing="off" w:after="0" w:afterAutospacing="off"/>
              <w:jc w:val="both"/>
              <w:rPr>
                <w:rFonts w:ascii="Arial Nova" w:hAnsi="Arial Nova" w:eastAsia="Arial Nova" w:cs="Arial Nova"/>
                <w:b w:val="1"/>
                <w:bCs w:val="1"/>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1"/>
                <w:bCs w:val="1"/>
                <w:i w:val="0"/>
                <w:iCs w:val="0"/>
                <w:strike w:val="0"/>
                <w:dstrike w:val="0"/>
                <w:color w:val="000000" w:themeColor="text1" w:themeTint="FF" w:themeShade="FF"/>
                <w:sz w:val="24"/>
                <w:szCs w:val="24"/>
                <w:u w:val="none"/>
              </w:rPr>
              <w:t>AI-Driven Tools for Personalization</w:t>
            </w:r>
          </w:p>
        </w:tc>
        <w:tc>
          <w:tcPr>
            <w:tcW w:w="224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6F3D36A6" w14:textId="3C06AB3D">
            <w:pPr>
              <w:spacing w:before="0" w:beforeAutospacing="off" w:after="0" w:afterAutospacing="off"/>
              <w:jc w:val="both"/>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AI software licenses (e.g., chatbots, personalization)</w:t>
            </w:r>
          </w:p>
        </w:tc>
        <w:tc>
          <w:tcPr>
            <w:tcW w:w="113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00FC1B38" w14:textId="7D70D5F5">
            <w:pPr>
              <w:spacing w:before="0" w:beforeAutospacing="off" w:after="0" w:afterAutospacing="off"/>
              <w:jc w:val="both"/>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€15,000</w:t>
            </w:r>
          </w:p>
        </w:tc>
        <w:tc>
          <w:tcPr>
            <w:tcW w:w="278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140EE74E" w14:textId="0ABB9B48">
            <w:pPr>
              <w:spacing w:before="0" w:beforeAutospacing="off" w:after="0" w:afterAutospacing="off"/>
              <w:jc w:val="both"/>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Enables personalized service, aligning with luxury guest expectations.</w:t>
            </w:r>
          </w:p>
        </w:tc>
      </w:tr>
      <w:tr w:rsidR="5ED495D4" w:rsidTr="5ED495D4" w14:paraId="65F33E4F">
        <w:trPr>
          <w:trHeight w:val="300"/>
        </w:trPr>
        <w:tc>
          <w:tcPr>
            <w:tcW w:w="227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6CC28E30" w14:textId="6FBCD913">
            <w:pPr>
              <w:spacing w:before="0" w:beforeAutospacing="off" w:after="0" w:afterAutospacing="off"/>
              <w:rPr>
                <w:rFonts w:ascii="Arial Nova" w:hAnsi="Arial Nova" w:eastAsia="Arial Nova" w:cs="Arial Nova"/>
                <w:sz w:val="24"/>
                <w:szCs w:val="24"/>
              </w:rPr>
            </w:pPr>
          </w:p>
        </w:tc>
        <w:tc>
          <w:tcPr>
            <w:tcW w:w="224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2E433CDF" w14:textId="5C15F02F">
            <w:pPr>
              <w:spacing w:before="0" w:beforeAutospacing="off" w:after="0" w:afterAutospacing="off"/>
              <w:jc w:val="both"/>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Integration with existing property management systems</w:t>
            </w:r>
          </w:p>
        </w:tc>
        <w:tc>
          <w:tcPr>
            <w:tcW w:w="113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15B62153" w14:textId="4BA99482">
            <w:pPr>
              <w:spacing w:before="0" w:beforeAutospacing="off" w:after="0" w:afterAutospacing="off"/>
              <w:jc w:val="both"/>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€10,000</w:t>
            </w:r>
          </w:p>
        </w:tc>
        <w:tc>
          <w:tcPr>
            <w:tcW w:w="278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2A6D5E82" w14:textId="3117D51B">
            <w:pPr>
              <w:spacing w:before="0" w:beforeAutospacing="off" w:after="0" w:afterAutospacing="off"/>
              <w:jc w:val="both"/>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Ensures seamless functionality across different hotel departments and services.</w:t>
            </w:r>
          </w:p>
        </w:tc>
      </w:tr>
      <w:tr w:rsidR="5ED495D4" w:rsidTr="5ED495D4" w14:paraId="2EEF74BE">
        <w:trPr>
          <w:trHeight w:val="300"/>
        </w:trPr>
        <w:tc>
          <w:tcPr>
            <w:tcW w:w="227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29195628" w14:textId="03111737">
            <w:pPr>
              <w:spacing w:before="0" w:beforeAutospacing="off" w:after="0" w:afterAutospacing="off"/>
              <w:rPr>
                <w:rFonts w:ascii="Arial Nova" w:hAnsi="Arial Nova" w:eastAsia="Arial Nova" w:cs="Arial Nova"/>
                <w:sz w:val="24"/>
                <w:szCs w:val="24"/>
              </w:rPr>
            </w:pPr>
          </w:p>
        </w:tc>
        <w:tc>
          <w:tcPr>
            <w:tcW w:w="224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53F40A26" w14:textId="20F06E1B">
            <w:pPr>
              <w:spacing w:before="0" w:beforeAutospacing="off" w:after="0" w:afterAutospacing="off"/>
              <w:jc w:val="both"/>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Staff training on AI tools</w:t>
            </w:r>
          </w:p>
        </w:tc>
        <w:tc>
          <w:tcPr>
            <w:tcW w:w="113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7EF9CAC3" w14:textId="359E9DB2">
            <w:pPr>
              <w:spacing w:before="0" w:beforeAutospacing="off" w:after="0" w:afterAutospacing="off"/>
              <w:jc w:val="both"/>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€5,000</w:t>
            </w:r>
          </w:p>
        </w:tc>
        <w:tc>
          <w:tcPr>
            <w:tcW w:w="278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6D6DA754" w14:textId="0E00C5CA">
            <w:pPr>
              <w:spacing w:before="0" w:beforeAutospacing="off" w:after="0" w:afterAutospacing="off"/>
              <w:jc w:val="both"/>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 xml:space="preserve">Equips staff with skills to manage and </w:t>
            </w: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leverage</w:t>
            </w: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 xml:space="preserve"> AI-driven personalization effectively.</w:t>
            </w:r>
          </w:p>
        </w:tc>
      </w:tr>
      <w:tr w:rsidR="5ED495D4" w:rsidTr="5ED495D4" w14:paraId="0594C19E">
        <w:trPr>
          <w:trHeight w:val="300"/>
        </w:trPr>
        <w:tc>
          <w:tcPr>
            <w:tcW w:w="227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33074178" w14:textId="1B71FB4D">
            <w:pPr>
              <w:spacing w:before="0" w:beforeAutospacing="off" w:after="0" w:afterAutospacing="off"/>
              <w:rPr>
                <w:rFonts w:ascii="Arial Nova" w:hAnsi="Arial Nova" w:eastAsia="Arial Nova" w:cs="Arial Nova"/>
                <w:sz w:val="24"/>
                <w:szCs w:val="24"/>
              </w:rPr>
            </w:pPr>
          </w:p>
        </w:tc>
        <w:tc>
          <w:tcPr>
            <w:tcW w:w="224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0697A31F" w14:textId="1C5355D7">
            <w:pPr>
              <w:spacing w:before="0" w:beforeAutospacing="off" w:after="0" w:afterAutospacing="off"/>
              <w:jc w:val="both"/>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Maintenance and software updates</w:t>
            </w:r>
          </w:p>
        </w:tc>
        <w:tc>
          <w:tcPr>
            <w:tcW w:w="113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0CFE4920" w14:textId="2B3D93A5">
            <w:pPr>
              <w:spacing w:before="0" w:beforeAutospacing="off" w:after="0" w:afterAutospacing="off"/>
              <w:jc w:val="both"/>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€5,000</w:t>
            </w:r>
          </w:p>
        </w:tc>
        <w:tc>
          <w:tcPr>
            <w:tcW w:w="278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173829C9" w14:textId="69DFE82F">
            <w:pPr>
              <w:spacing w:before="0" w:beforeAutospacing="off" w:after="0" w:afterAutospacing="off"/>
              <w:jc w:val="both"/>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 xml:space="preserve">Ensures the system </w:t>
            </w: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remains</w:t>
            </w: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 xml:space="preserve"> efficient, secure, and </w:t>
            </w: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up-to-date</w:t>
            </w: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w:t>
            </w:r>
          </w:p>
        </w:tc>
      </w:tr>
      <w:tr w:rsidR="5ED495D4" w:rsidTr="5ED495D4" w14:paraId="2713EC19">
        <w:trPr>
          <w:trHeight w:val="300"/>
        </w:trPr>
        <w:tc>
          <w:tcPr>
            <w:tcW w:w="227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799DEC84" w14:textId="3BF3B457">
            <w:pPr>
              <w:spacing w:before="0" w:beforeAutospacing="off" w:after="0" w:afterAutospacing="off"/>
              <w:rPr>
                <w:rFonts w:ascii="Arial Nova" w:hAnsi="Arial Nova" w:eastAsia="Arial Nova" w:cs="Arial Nova"/>
                <w:sz w:val="24"/>
                <w:szCs w:val="24"/>
              </w:rPr>
            </w:pPr>
          </w:p>
        </w:tc>
        <w:tc>
          <w:tcPr>
            <w:tcW w:w="224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2E94B309" w14:textId="162E36E7">
            <w:pPr>
              <w:spacing w:before="0" w:beforeAutospacing="off" w:after="0" w:afterAutospacing="off"/>
              <w:jc w:val="both"/>
              <w:rPr>
                <w:rFonts w:ascii="Arial Nova" w:hAnsi="Arial Nova" w:eastAsia="Arial Nova" w:cs="Arial Nova"/>
                <w:b w:val="1"/>
                <w:bCs w:val="1"/>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1"/>
                <w:bCs w:val="1"/>
                <w:i w:val="0"/>
                <w:iCs w:val="0"/>
                <w:strike w:val="0"/>
                <w:dstrike w:val="0"/>
                <w:color w:val="000000" w:themeColor="text1" w:themeTint="FF" w:themeShade="FF"/>
                <w:sz w:val="24"/>
                <w:szCs w:val="24"/>
                <w:u w:val="none"/>
              </w:rPr>
              <w:t>Total</w:t>
            </w:r>
          </w:p>
        </w:tc>
        <w:tc>
          <w:tcPr>
            <w:tcW w:w="113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729E5C54" w14:textId="508D7383">
            <w:pPr>
              <w:spacing w:before="0" w:beforeAutospacing="off" w:after="0" w:afterAutospacing="off"/>
              <w:jc w:val="both"/>
              <w:rPr>
                <w:rFonts w:ascii="Arial Nova" w:hAnsi="Arial Nova" w:eastAsia="Arial Nova" w:cs="Arial Nova"/>
                <w:b w:val="1"/>
                <w:bCs w:val="1"/>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1"/>
                <w:bCs w:val="1"/>
                <w:i w:val="0"/>
                <w:iCs w:val="0"/>
                <w:strike w:val="0"/>
                <w:dstrike w:val="0"/>
                <w:color w:val="000000" w:themeColor="text1" w:themeTint="FF" w:themeShade="FF"/>
                <w:sz w:val="24"/>
                <w:szCs w:val="24"/>
                <w:u w:val="none"/>
              </w:rPr>
              <w:t>€35,000</w:t>
            </w:r>
          </w:p>
        </w:tc>
        <w:tc>
          <w:tcPr>
            <w:tcW w:w="278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01E57D26" w14:textId="2AD9846C">
            <w:pPr>
              <w:spacing w:before="0" w:beforeAutospacing="off" w:after="0" w:afterAutospacing="off"/>
              <w:jc w:val="both"/>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Improves operational efficiency and guest satisfaction through tailored service.</w:t>
            </w:r>
          </w:p>
        </w:tc>
      </w:tr>
      <w:tr w:rsidR="5ED495D4" w:rsidTr="5ED495D4" w14:paraId="409670C4">
        <w:trPr>
          <w:trHeight w:val="300"/>
        </w:trPr>
        <w:tc>
          <w:tcPr>
            <w:tcW w:w="227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7392707C" w14:textId="50DC61CC">
            <w:pPr>
              <w:spacing w:before="0" w:beforeAutospacing="off" w:after="0" w:afterAutospacing="off"/>
              <w:jc w:val="both"/>
              <w:rPr>
                <w:rFonts w:ascii="Arial Nova" w:hAnsi="Arial Nova" w:eastAsia="Arial Nova" w:cs="Arial Nova"/>
                <w:b w:val="1"/>
                <w:bCs w:val="1"/>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1"/>
                <w:bCs w:val="1"/>
                <w:i w:val="0"/>
                <w:iCs w:val="0"/>
                <w:strike w:val="0"/>
                <w:dstrike w:val="0"/>
                <w:color w:val="000000" w:themeColor="text1" w:themeTint="FF" w:themeShade="FF"/>
                <w:sz w:val="24"/>
                <w:szCs w:val="24"/>
                <w:u w:val="none"/>
              </w:rPr>
              <w:t>Dynamic Pricing System</w:t>
            </w:r>
          </w:p>
        </w:tc>
        <w:tc>
          <w:tcPr>
            <w:tcW w:w="224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2DCE805F" w14:textId="052D3E5F">
            <w:pPr>
              <w:spacing w:before="0" w:beforeAutospacing="off" w:after="0" w:afterAutospacing="off"/>
              <w:jc w:val="both"/>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Revenue management software</w:t>
            </w:r>
          </w:p>
        </w:tc>
        <w:tc>
          <w:tcPr>
            <w:tcW w:w="113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1E1A40A9" w14:textId="7CF32736">
            <w:pPr>
              <w:spacing w:before="0" w:beforeAutospacing="off" w:after="0" w:afterAutospacing="off"/>
              <w:jc w:val="both"/>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€15,000</w:t>
            </w:r>
          </w:p>
        </w:tc>
        <w:tc>
          <w:tcPr>
            <w:tcW w:w="278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3EA4E01D" w14:textId="7BC13611">
            <w:pPr>
              <w:spacing w:before="0" w:beforeAutospacing="off" w:after="0" w:afterAutospacing="off"/>
              <w:jc w:val="both"/>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Provides</w:t>
            </w: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 xml:space="preserve"> the ability to adjust pricing based on demand, enhancing revenue potential.</w:t>
            </w:r>
          </w:p>
        </w:tc>
      </w:tr>
      <w:tr w:rsidR="5ED495D4" w:rsidTr="5ED495D4" w14:paraId="6B71E21A">
        <w:trPr>
          <w:trHeight w:val="300"/>
        </w:trPr>
        <w:tc>
          <w:tcPr>
            <w:tcW w:w="227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77D6E6A1" w14:textId="7252E7FC">
            <w:pPr>
              <w:spacing w:before="0" w:beforeAutospacing="off" w:after="0" w:afterAutospacing="off"/>
              <w:rPr>
                <w:rFonts w:ascii="Arial Nova" w:hAnsi="Arial Nova" w:eastAsia="Arial Nova" w:cs="Arial Nova"/>
                <w:sz w:val="24"/>
                <w:szCs w:val="24"/>
              </w:rPr>
            </w:pPr>
          </w:p>
        </w:tc>
        <w:tc>
          <w:tcPr>
            <w:tcW w:w="224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275AC575" w14:textId="19A468F5">
            <w:pPr>
              <w:spacing w:before="0" w:beforeAutospacing="off" w:after="0" w:afterAutospacing="off"/>
              <w:jc w:val="both"/>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Integration with booking channels</w:t>
            </w:r>
          </w:p>
        </w:tc>
        <w:tc>
          <w:tcPr>
            <w:tcW w:w="113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6566DB43" w14:textId="238AB84D">
            <w:pPr>
              <w:spacing w:before="0" w:beforeAutospacing="off" w:after="0" w:afterAutospacing="off"/>
              <w:jc w:val="both"/>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€7,500</w:t>
            </w:r>
          </w:p>
        </w:tc>
        <w:tc>
          <w:tcPr>
            <w:tcW w:w="278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02CCEED0" w14:textId="674998F4">
            <w:pPr>
              <w:spacing w:before="0" w:beforeAutospacing="off" w:after="0" w:afterAutospacing="off"/>
              <w:jc w:val="both"/>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Ensures pricing consistency across direct booking channels and third-party platforms.</w:t>
            </w:r>
          </w:p>
        </w:tc>
      </w:tr>
      <w:tr w:rsidR="5ED495D4" w:rsidTr="5ED495D4" w14:paraId="0487575F">
        <w:trPr>
          <w:trHeight w:val="300"/>
        </w:trPr>
        <w:tc>
          <w:tcPr>
            <w:tcW w:w="227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63E1C566" w14:textId="3FDA6D77">
            <w:pPr>
              <w:spacing w:before="0" w:beforeAutospacing="off" w:after="0" w:afterAutospacing="off"/>
              <w:rPr>
                <w:rFonts w:ascii="Arial Nova" w:hAnsi="Arial Nova" w:eastAsia="Arial Nova" w:cs="Arial Nova"/>
                <w:sz w:val="24"/>
                <w:szCs w:val="24"/>
              </w:rPr>
            </w:pPr>
          </w:p>
        </w:tc>
        <w:tc>
          <w:tcPr>
            <w:tcW w:w="224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313395D2" w14:textId="324CE10A">
            <w:pPr>
              <w:spacing w:before="0" w:beforeAutospacing="off" w:after="0" w:afterAutospacing="off"/>
              <w:jc w:val="both"/>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Staff training for revenue managers</w:t>
            </w:r>
          </w:p>
        </w:tc>
        <w:tc>
          <w:tcPr>
            <w:tcW w:w="113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1951607A" w14:textId="301931AC">
            <w:pPr>
              <w:spacing w:before="0" w:beforeAutospacing="off" w:after="0" w:afterAutospacing="off"/>
              <w:jc w:val="both"/>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€5,000</w:t>
            </w:r>
          </w:p>
        </w:tc>
        <w:tc>
          <w:tcPr>
            <w:tcW w:w="278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1346041A" w14:textId="0A16BCC0">
            <w:pPr>
              <w:spacing w:before="0" w:beforeAutospacing="off" w:after="0" w:afterAutospacing="off"/>
              <w:jc w:val="both"/>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 xml:space="preserve">Helps revenue management team effectively </w:t>
            </w: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utilize</w:t>
            </w: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 xml:space="preserve"> the system for </w:t>
            </w: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optimal</w:t>
            </w: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 xml:space="preserve"> pricing.</w:t>
            </w:r>
          </w:p>
        </w:tc>
      </w:tr>
      <w:tr w:rsidR="5ED495D4" w:rsidTr="5ED495D4" w14:paraId="53761A79">
        <w:trPr>
          <w:trHeight w:val="300"/>
        </w:trPr>
        <w:tc>
          <w:tcPr>
            <w:tcW w:w="227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2FCAACA0" w14:textId="18CFF87A">
            <w:pPr>
              <w:spacing w:before="0" w:beforeAutospacing="off" w:after="0" w:afterAutospacing="off"/>
              <w:rPr>
                <w:rFonts w:ascii="Arial Nova" w:hAnsi="Arial Nova" w:eastAsia="Arial Nova" w:cs="Arial Nova"/>
                <w:sz w:val="24"/>
                <w:szCs w:val="24"/>
              </w:rPr>
            </w:pPr>
          </w:p>
        </w:tc>
        <w:tc>
          <w:tcPr>
            <w:tcW w:w="224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53F858CF" w14:textId="73474AB6">
            <w:pPr>
              <w:spacing w:before="0" w:beforeAutospacing="off" w:after="0" w:afterAutospacing="off"/>
              <w:jc w:val="both"/>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Monthly maintenance and software updates</w:t>
            </w:r>
          </w:p>
        </w:tc>
        <w:tc>
          <w:tcPr>
            <w:tcW w:w="113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72EB696F" w14:textId="7CA44C1C">
            <w:pPr>
              <w:spacing w:before="0" w:beforeAutospacing="off" w:after="0" w:afterAutospacing="off"/>
              <w:jc w:val="both"/>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€2,500 annually</w:t>
            </w:r>
          </w:p>
        </w:tc>
        <w:tc>
          <w:tcPr>
            <w:tcW w:w="278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13A17BC7" w14:textId="4DF74738">
            <w:pPr>
              <w:spacing w:before="0" w:beforeAutospacing="off" w:after="0" w:afterAutospacing="off"/>
              <w:jc w:val="both"/>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 xml:space="preserve">Keeps software running smoothly and </w:t>
            </w: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up-to-date</w:t>
            </w: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 xml:space="preserve"> with market trends.</w:t>
            </w:r>
          </w:p>
        </w:tc>
      </w:tr>
      <w:tr w:rsidR="5ED495D4" w:rsidTr="5ED495D4" w14:paraId="37567FC1">
        <w:trPr>
          <w:trHeight w:val="300"/>
        </w:trPr>
        <w:tc>
          <w:tcPr>
            <w:tcW w:w="227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51DBE95E" w14:textId="58DA058A">
            <w:pPr>
              <w:spacing w:before="0" w:beforeAutospacing="off" w:after="0" w:afterAutospacing="off"/>
              <w:rPr>
                <w:rFonts w:ascii="Arial Nova" w:hAnsi="Arial Nova" w:eastAsia="Arial Nova" w:cs="Arial Nova"/>
                <w:sz w:val="24"/>
                <w:szCs w:val="24"/>
              </w:rPr>
            </w:pPr>
          </w:p>
        </w:tc>
        <w:tc>
          <w:tcPr>
            <w:tcW w:w="224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1F71FD55" w14:textId="48708844">
            <w:pPr>
              <w:spacing w:before="0" w:beforeAutospacing="off" w:after="0" w:afterAutospacing="off"/>
              <w:jc w:val="both"/>
              <w:rPr>
                <w:rFonts w:ascii="Arial Nova" w:hAnsi="Arial Nova" w:eastAsia="Arial Nova" w:cs="Arial Nova"/>
                <w:b w:val="1"/>
                <w:bCs w:val="1"/>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1"/>
                <w:bCs w:val="1"/>
                <w:i w:val="0"/>
                <w:iCs w:val="0"/>
                <w:strike w:val="0"/>
                <w:dstrike w:val="0"/>
                <w:color w:val="000000" w:themeColor="text1" w:themeTint="FF" w:themeShade="FF"/>
                <w:sz w:val="24"/>
                <w:szCs w:val="24"/>
                <w:u w:val="none"/>
              </w:rPr>
              <w:t>Total</w:t>
            </w:r>
          </w:p>
        </w:tc>
        <w:tc>
          <w:tcPr>
            <w:tcW w:w="113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06E2D2CE" w14:textId="6358F1CC">
            <w:pPr>
              <w:spacing w:before="0" w:beforeAutospacing="off" w:after="0" w:afterAutospacing="off"/>
              <w:jc w:val="both"/>
              <w:rPr>
                <w:rFonts w:ascii="Arial Nova" w:hAnsi="Arial Nova" w:eastAsia="Arial Nova" w:cs="Arial Nova"/>
                <w:b w:val="1"/>
                <w:bCs w:val="1"/>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1"/>
                <w:bCs w:val="1"/>
                <w:i w:val="0"/>
                <w:iCs w:val="0"/>
                <w:strike w:val="0"/>
                <w:dstrike w:val="0"/>
                <w:color w:val="000000" w:themeColor="text1" w:themeTint="FF" w:themeShade="FF"/>
                <w:sz w:val="24"/>
                <w:szCs w:val="24"/>
                <w:u w:val="none"/>
              </w:rPr>
              <w:t>€30,000</w:t>
            </w:r>
          </w:p>
        </w:tc>
        <w:tc>
          <w:tcPr>
            <w:tcW w:w="278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39F12E66" w14:textId="716180DF">
            <w:pPr>
              <w:spacing w:before="0" w:beforeAutospacing="off" w:after="0" w:afterAutospacing="off"/>
              <w:jc w:val="both"/>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 xml:space="preserve">Strategic investment to stabilize revenue by </w:t>
            </w: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optimizing</w:t>
            </w: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 xml:space="preserve"> rates year-round.</w:t>
            </w:r>
          </w:p>
        </w:tc>
      </w:tr>
      <w:tr w:rsidR="5ED495D4" w:rsidTr="5ED495D4" w14:paraId="65671133">
        <w:trPr>
          <w:trHeight w:val="300"/>
        </w:trPr>
        <w:tc>
          <w:tcPr>
            <w:tcW w:w="227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2A548ED8" w14:textId="32954D0E">
            <w:pPr>
              <w:spacing w:before="0" w:beforeAutospacing="off" w:after="0" w:afterAutospacing="off"/>
              <w:jc w:val="both"/>
              <w:rPr>
                <w:rFonts w:ascii="Arial Nova" w:hAnsi="Arial Nova" w:eastAsia="Arial Nova" w:cs="Arial Nova"/>
                <w:b w:val="1"/>
                <w:bCs w:val="1"/>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1"/>
                <w:bCs w:val="1"/>
                <w:i w:val="0"/>
                <w:iCs w:val="0"/>
                <w:strike w:val="0"/>
                <w:dstrike w:val="0"/>
                <w:color w:val="000000" w:themeColor="text1" w:themeTint="FF" w:themeShade="FF"/>
                <w:sz w:val="24"/>
                <w:szCs w:val="24"/>
                <w:u w:val="none"/>
              </w:rPr>
              <w:t>Corporate Partnership Development</w:t>
            </w:r>
          </w:p>
        </w:tc>
        <w:tc>
          <w:tcPr>
            <w:tcW w:w="224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0404CBB5" w14:textId="295863BC">
            <w:pPr>
              <w:spacing w:before="0" w:beforeAutospacing="off" w:after="0" w:afterAutospacing="off"/>
              <w:jc w:val="both"/>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Marketing collateral for corporate packages</w:t>
            </w:r>
          </w:p>
        </w:tc>
        <w:tc>
          <w:tcPr>
            <w:tcW w:w="113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7094D15F" w14:textId="7347DEE6">
            <w:pPr>
              <w:spacing w:before="0" w:beforeAutospacing="off" w:after="0" w:afterAutospacing="off"/>
              <w:jc w:val="both"/>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€5,000</w:t>
            </w:r>
          </w:p>
        </w:tc>
        <w:tc>
          <w:tcPr>
            <w:tcW w:w="278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2C0A4B64" w14:textId="17C1ACAD">
            <w:pPr>
              <w:spacing w:before="0" w:beforeAutospacing="off" w:after="0" w:afterAutospacing="off"/>
              <w:jc w:val="both"/>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 xml:space="preserve">Creates attractive materials to </w:t>
            </w: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showcase</w:t>
            </w: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 xml:space="preserve"> exclusive offers for corporate clients.</w:t>
            </w:r>
          </w:p>
        </w:tc>
      </w:tr>
      <w:tr w:rsidR="5ED495D4" w:rsidTr="5ED495D4" w14:paraId="1892AAB5">
        <w:trPr>
          <w:trHeight w:val="300"/>
        </w:trPr>
        <w:tc>
          <w:tcPr>
            <w:tcW w:w="227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2041FDCB" w14:textId="7B725B99">
            <w:pPr>
              <w:spacing w:before="0" w:beforeAutospacing="off" w:after="0" w:afterAutospacing="off"/>
              <w:rPr>
                <w:rFonts w:ascii="Arial Nova" w:hAnsi="Arial Nova" w:eastAsia="Arial Nova" w:cs="Arial Nova"/>
                <w:sz w:val="24"/>
                <w:szCs w:val="24"/>
              </w:rPr>
            </w:pPr>
          </w:p>
        </w:tc>
        <w:tc>
          <w:tcPr>
            <w:tcW w:w="224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4572AE7E" w14:textId="3D143AB6">
            <w:pPr>
              <w:spacing w:before="0" w:beforeAutospacing="off" w:after="0" w:afterAutospacing="off"/>
              <w:jc w:val="both"/>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Sales outreach and business development resources</w:t>
            </w:r>
          </w:p>
        </w:tc>
        <w:tc>
          <w:tcPr>
            <w:tcW w:w="113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0E4D8A54" w14:textId="6A5A0756">
            <w:pPr>
              <w:spacing w:before="0" w:beforeAutospacing="off" w:after="0" w:afterAutospacing="off"/>
              <w:jc w:val="both"/>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€6,000</w:t>
            </w:r>
          </w:p>
        </w:tc>
        <w:tc>
          <w:tcPr>
            <w:tcW w:w="278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095D9078" w14:textId="3992D8FC">
            <w:pPr>
              <w:spacing w:before="0" w:beforeAutospacing="off" w:after="0" w:afterAutospacing="off"/>
              <w:jc w:val="both"/>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Enables dedicated efforts to attract corporate clients and secure long-term partnerships.</w:t>
            </w:r>
          </w:p>
        </w:tc>
      </w:tr>
      <w:tr w:rsidR="5ED495D4" w:rsidTr="5ED495D4" w14:paraId="5CF58442">
        <w:trPr>
          <w:trHeight w:val="300"/>
        </w:trPr>
        <w:tc>
          <w:tcPr>
            <w:tcW w:w="227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2CDCAA07" w14:textId="78C09ADB">
            <w:pPr>
              <w:spacing w:before="0" w:beforeAutospacing="off" w:after="0" w:afterAutospacing="off"/>
              <w:rPr>
                <w:rFonts w:ascii="Arial Nova" w:hAnsi="Arial Nova" w:eastAsia="Arial Nova" w:cs="Arial Nova"/>
                <w:sz w:val="24"/>
                <w:szCs w:val="24"/>
              </w:rPr>
            </w:pPr>
          </w:p>
        </w:tc>
        <w:tc>
          <w:tcPr>
            <w:tcW w:w="224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74598662" w14:textId="10A09A12">
            <w:pPr>
              <w:spacing w:before="0" w:beforeAutospacing="off" w:after="0" w:afterAutospacing="off"/>
              <w:jc w:val="both"/>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Networking and partnership events</w:t>
            </w:r>
          </w:p>
        </w:tc>
        <w:tc>
          <w:tcPr>
            <w:tcW w:w="113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0A8F983F" w14:textId="5992E5A3">
            <w:pPr>
              <w:spacing w:before="0" w:beforeAutospacing="off" w:after="0" w:afterAutospacing="off"/>
              <w:jc w:val="both"/>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€4,000</w:t>
            </w:r>
          </w:p>
        </w:tc>
        <w:tc>
          <w:tcPr>
            <w:tcW w:w="278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2642A42B" w14:textId="6F8374D8">
            <w:pPr>
              <w:spacing w:before="0" w:beforeAutospacing="off" w:after="0" w:afterAutospacing="off"/>
              <w:jc w:val="both"/>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Builds relationships through targeted networking events and exhibitions in Dubai’s business sector.</w:t>
            </w:r>
          </w:p>
        </w:tc>
      </w:tr>
      <w:tr w:rsidR="5ED495D4" w:rsidTr="5ED495D4" w14:paraId="5C9D4532">
        <w:trPr>
          <w:trHeight w:val="300"/>
        </w:trPr>
        <w:tc>
          <w:tcPr>
            <w:tcW w:w="227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40D73D1F" w14:textId="0C6FFF47">
            <w:pPr>
              <w:spacing w:before="0" w:beforeAutospacing="off" w:after="0" w:afterAutospacing="off"/>
              <w:rPr>
                <w:rFonts w:ascii="Arial Nova" w:hAnsi="Arial Nova" w:eastAsia="Arial Nova" w:cs="Arial Nova"/>
                <w:sz w:val="24"/>
                <w:szCs w:val="24"/>
              </w:rPr>
            </w:pPr>
          </w:p>
        </w:tc>
        <w:tc>
          <w:tcPr>
            <w:tcW w:w="224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1B0A23D9" w14:textId="2F1286AE">
            <w:pPr>
              <w:spacing w:before="0" w:beforeAutospacing="off" w:after="0" w:afterAutospacing="off"/>
              <w:jc w:val="both"/>
              <w:rPr>
                <w:rFonts w:ascii="Arial Nova" w:hAnsi="Arial Nova" w:eastAsia="Arial Nova" w:cs="Arial Nova"/>
                <w:b w:val="1"/>
                <w:bCs w:val="1"/>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1"/>
                <w:bCs w:val="1"/>
                <w:i w:val="0"/>
                <w:iCs w:val="0"/>
                <w:strike w:val="0"/>
                <w:dstrike w:val="0"/>
                <w:color w:val="000000" w:themeColor="text1" w:themeTint="FF" w:themeShade="FF"/>
                <w:sz w:val="24"/>
                <w:szCs w:val="24"/>
                <w:u w:val="none"/>
              </w:rPr>
              <w:t>Total</w:t>
            </w:r>
          </w:p>
        </w:tc>
        <w:tc>
          <w:tcPr>
            <w:tcW w:w="113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18C3E5F6" w14:textId="2869B281">
            <w:pPr>
              <w:spacing w:before="0" w:beforeAutospacing="off" w:after="0" w:afterAutospacing="off"/>
              <w:jc w:val="both"/>
              <w:rPr>
                <w:rFonts w:ascii="Arial Nova" w:hAnsi="Arial Nova" w:eastAsia="Arial Nova" w:cs="Arial Nova"/>
                <w:b w:val="1"/>
                <w:bCs w:val="1"/>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1"/>
                <w:bCs w:val="1"/>
                <w:i w:val="0"/>
                <w:iCs w:val="0"/>
                <w:strike w:val="0"/>
                <w:dstrike w:val="0"/>
                <w:color w:val="000000" w:themeColor="text1" w:themeTint="FF" w:themeShade="FF"/>
                <w:sz w:val="24"/>
                <w:szCs w:val="24"/>
                <w:u w:val="none"/>
              </w:rPr>
              <w:t>€15,000</w:t>
            </w:r>
          </w:p>
        </w:tc>
        <w:tc>
          <w:tcPr>
            <w:tcW w:w="278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13906DCF" w14:textId="53D214A4">
            <w:pPr>
              <w:spacing w:before="0" w:beforeAutospacing="off" w:after="0" w:afterAutospacing="off"/>
              <w:jc w:val="both"/>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Builds a corporate client base to ensure occupancy stability in off-peak seasons.</w:t>
            </w:r>
          </w:p>
        </w:tc>
      </w:tr>
      <w:tr w:rsidR="5ED495D4" w:rsidTr="5ED495D4" w14:paraId="00FCD502">
        <w:trPr>
          <w:trHeight w:val="300"/>
        </w:trPr>
        <w:tc>
          <w:tcPr>
            <w:tcW w:w="227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001E0BF4" w14:textId="6B9B8732">
            <w:pPr>
              <w:spacing w:before="0" w:beforeAutospacing="off" w:after="0" w:afterAutospacing="off"/>
              <w:jc w:val="both"/>
              <w:rPr>
                <w:rFonts w:ascii="Arial Nova" w:hAnsi="Arial Nova" w:eastAsia="Arial Nova" w:cs="Arial Nova"/>
                <w:b w:val="1"/>
                <w:bCs w:val="1"/>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1"/>
                <w:bCs w:val="1"/>
                <w:i w:val="0"/>
                <w:iCs w:val="0"/>
                <w:strike w:val="0"/>
                <w:dstrike w:val="0"/>
                <w:color w:val="000000" w:themeColor="text1" w:themeTint="FF" w:themeShade="FF"/>
                <w:sz w:val="24"/>
                <w:szCs w:val="24"/>
                <w:u w:val="none"/>
              </w:rPr>
              <w:t>Energy Efficiency Upgrades</w:t>
            </w:r>
          </w:p>
        </w:tc>
        <w:tc>
          <w:tcPr>
            <w:tcW w:w="224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2FE748AA" w14:textId="4982D32A">
            <w:pPr>
              <w:spacing w:before="0" w:beforeAutospacing="off" w:after="0" w:afterAutospacing="off"/>
              <w:jc w:val="both"/>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LED lighting installation (guest rooms, lobbies)</w:t>
            </w:r>
          </w:p>
        </w:tc>
        <w:tc>
          <w:tcPr>
            <w:tcW w:w="113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5D03E939" w14:textId="49DE2C71">
            <w:pPr>
              <w:spacing w:before="0" w:beforeAutospacing="off" w:after="0" w:afterAutospacing="off"/>
              <w:jc w:val="both"/>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€10,000</w:t>
            </w:r>
          </w:p>
        </w:tc>
        <w:tc>
          <w:tcPr>
            <w:tcW w:w="278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286B5193" w14:textId="30C93997">
            <w:pPr>
              <w:spacing w:before="0" w:beforeAutospacing="off" w:after="0" w:afterAutospacing="off"/>
              <w:jc w:val="both"/>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Reduces energy consumption, lowering long-term utility costs.</w:t>
            </w:r>
          </w:p>
        </w:tc>
      </w:tr>
      <w:tr w:rsidR="5ED495D4" w:rsidTr="5ED495D4" w14:paraId="52E4B91D">
        <w:trPr>
          <w:trHeight w:val="300"/>
        </w:trPr>
        <w:tc>
          <w:tcPr>
            <w:tcW w:w="227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5F5F6C0F" w14:textId="0A214CCC">
            <w:pPr>
              <w:spacing w:before="0" w:beforeAutospacing="off" w:after="0" w:afterAutospacing="off"/>
              <w:rPr>
                <w:rFonts w:ascii="Arial Nova" w:hAnsi="Arial Nova" w:eastAsia="Arial Nova" w:cs="Arial Nova"/>
                <w:sz w:val="24"/>
                <w:szCs w:val="24"/>
              </w:rPr>
            </w:pPr>
          </w:p>
        </w:tc>
        <w:tc>
          <w:tcPr>
            <w:tcW w:w="224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7E318408" w14:textId="61E11B50">
            <w:pPr>
              <w:spacing w:before="0" w:beforeAutospacing="off" w:after="0" w:afterAutospacing="off"/>
              <w:jc w:val="both"/>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Smart thermostats for guest rooms</w:t>
            </w:r>
          </w:p>
        </w:tc>
        <w:tc>
          <w:tcPr>
            <w:tcW w:w="113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67956BC9" w14:textId="36A3C33E">
            <w:pPr>
              <w:spacing w:before="0" w:beforeAutospacing="off" w:after="0" w:afterAutospacing="off"/>
              <w:jc w:val="both"/>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€5,000</w:t>
            </w:r>
          </w:p>
        </w:tc>
        <w:tc>
          <w:tcPr>
            <w:tcW w:w="278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49F9EA2D" w14:textId="3C55EAA0">
            <w:pPr>
              <w:spacing w:before="0" w:beforeAutospacing="off" w:after="0" w:afterAutospacing="off"/>
              <w:jc w:val="both"/>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Allows for more efficient temperature management, especially during peak summer months.</w:t>
            </w:r>
          </w:p>
        </w:tc>
      </w:tr>
      <w:tr w:rsidR="5ED495D4" w:rsidTr="5ED495D4" w14:paraId="70F38045">
        <w:trPr>
          <w:trHeight w:val="300"/>
        </w:trPr>
        <w:tc>
          <w:tcPr>
            <w:tcW w:w="227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021DDC4B" w14:textId="34588C14">
            <w:pPr>
              <w:spacing w:before="0" w:beforeAutospacing="off" w:after="0" w:afterAutospacing="off"/>
              <w:rPr>
                <w:rFonts w:ascii="Arial Nova" w:hAnsi="Arial Nova" w:eastAsia="Arial Nova" w:cs="Arial Nova"/>
                <w:sz w:val="24"/>
                <w:szCs w:val="24"/>
              </w:rPr>
            </w:pPr>
          </w:p>
        </w:tc>
        <w:tc>
          <w:tcPr>
            <w:tcW w:w="224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65C8559D" w14:textId="0F71AA2D">
            <w:pPr>
              <w:spacing w:before="0" w:beforeAutospacing="off" w:after="0" w:afterAutospacing="off"/>
              <w:jc w:val="both"/>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Water-saving fixtures for bathrooms</w:t>
            </w:r>
          </w:p>
        </w:tc>
        <w:tc>
          <w:tcPr>
            <w:tcW w:w="113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16FD1CCD" w14:textId="3F806F75">
            <w:pPr>
              <w:spacing w:before="0" w:beforeAutospacing="off" w:after="0" w:afterAutospacing="off"/>
              <w:jc w:val="both"/>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€5,000</w:t>
            </w:r>
          </w:p>
        </w:tc>
        <w:tc>
          <w:tcPr>
            <w:tcW w:w="278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3135C049" w14:textId="6E103BAC">
            <w:pPr>
              <w:spacing w:before="0" w:beforeAutospacing="off" w:after="0" w:afterAutospacing="off"/>
              <w:jc w:val="both"/>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Decreases water usage, supporting Accor’s Planet 21 sustainability goals.</w:t>
            </w:r>
          </w:p>
        </w:tc>
      </w:tr>
      <w:tr w:rsidR="5ED495D4" w:rsidTr="5ED495D4" w14:paraId="4174C9C7">
        <w:trPr>
          <w:trHeight w:val="300"/>
        </w:trPr>
        <w:tc>
          <w:tcPr>
            <w:tcW w:w="227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1B506939" w14:textId="30940C8C">
            <w:pPr>
              <w:spacing w:before="0" w:beforeAutospacing="off" w:after="0" w:afterAutospacing="off"/>
              <w:rPr>
                <w:rFonts w:ascii="Arial Nova" w:hAnsi="Arial Nova" w:eastAsia="Arial Nova" w:cs="Arial Nova"/>
                <w:sz w:val="24"/>
                <w:szCs w:val="24"/>
              </w:rPr>
            </w:pPr>
          </w:p>
        </w:tc>
        <w:tc>
          <w:tcPr>
            <w:tcW w:w="224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1FDE7824" w14:textId="30961812">
            <w:pPr>
              <w:spacing w:before="0" w:beforeAutospacing="off" w:after="0" w:afterAutospacing="off"/>
              <w:jc w:val="both"/>
              <w:rPr>
                <w:rFonts w:ascii="Arial Nova" w:hAnsi="Arial Nova" w:eastAsia="Arial Nova" w:cs="Arial Nova"/>
                <w:b w:val="1"/>
                <w:bCs w:val="1"/>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1"/>
                <w:bCs w:val="1"/>
                <w:i w:val="0"/>
                <w:iCs w:val="0"/>
                <w:strike w:val="0"/>
                <w:dstrike w:val="0"/>
                <w:color w:val="000000" w:themeColor="text1" w:themeTint="FF" w:themeShade="FF"/>
                <w:sz w:val="24"/>
                <w:szCs w:val="24"/>
                <w:u w:val="none"/>
              </w:rPr>
              <w:t>Total</w:t>
            </w:r>
          </w:p>
        </w:tc>
        <w:tc>
          <w:tcPr>
            <w:tcW w:w="113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5F8BCC5B" w14:textId="5D07CB1D">
            <w:pPr>
              <w:spacing w:before="0" w:beforeAutospacing="off" w:after="0" w:afterAutospacing="off"/>
              <w:jc w:val="both"/>
              <w:rPr>
                <w:rFonts w:ascii="Arial Nova" w:hAnsi="Arial Nova" w:eastAsia="Arial Nova" w:cs="Arial Nova"/>
                <w:b w:val="1"/>
                <w:bCs w:val="1"/>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1"/>
                <w:bCs w:val="1"/>
                <w:i w:val="0"/>
                <w:iCs w:val="0"/>
                <w:strike w:val="0"/>
                <w:dstrike w:val="0"/>
                <w:color w:val="000000" w:themeColor="text1" w:themeTint="FF" w:themeShade="FF"/>
                <w:sz w:val="24"/>
                <w:szCs w:val="24"/>
                <w:u w:val="none"/>
              </w:rPr>
              <w:t>€20,000</w:t>
            </w:r>
          </w:p>
        </w:tc>
        <w:tc>
          <w:tcPr>
            <w:tcW w:w="278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056161AD" w14:textId="05F9061B">
            <w:pPr>
              <w:spacing w:before="0" w:beforeAutospacing="off" w:after="0" w:afterAutospacing="off"/>
              <w:jc w:val="both"/>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Contributes to sustainability efforts and appeals to eco-conscious guests.</w:t>
            </w:r>
          </w:p>
        </w:tc>
      </w:tr>
      <w:tr w:rsidR="5ED495D4" w:rsidTr="5ED495D4" w14:paraId="7D4DF899">
        <w:trPr>
          <w:trHeight w:val="300"/>
        </w:trPr>
        <w:tc>
          <w:tcPr>
            <w:tcW w:w="227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37142D1A" w14:textId="672651A5">
            <w:pPr>
              <w:spacing w:before="0" w:beforeAutospacing="off" w:after="0" w:afterAutospacing="off"/>
              <w:jc w:val="both"/>
              <w:rPr>
                <w:rFonts w:ascii="Arial Nova" w:hAnsi="Arial Nova" w:eastAsia="Arial Nova" w:cs="Arial Nova"/>
                <w:b w:val="1"/>
                <w:bCs w:val="1"/>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1"/>
                <w:bCs w:val="1"/>
                <w:i w:val="0"/>
                <w:iCs w:val="0"/>
                <w:strike w:val="0"/>
                <w:dstrike w:val="0"/>
                <w:color w:val="000000" w:themeColor="text1" w:themeTint="FF" w:themeShade="FF"/>
                <w:sz w:val="24"/>
                <w:szCs w:val="24"/>
                <w:u w:val="none"/>
              </w:rPr>
              <w:t>Waste Reduction and Recycling Program</w:t>
            </w:r>
          </w:p>
        </w:tc>
        <w:tc>
          <w:tcPr>
            <w:tcW w:w="224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02EFE177" w14:textId="593E2776">
            <w:pPr>
              <w:spacing w:before="0" w:beforeAutospacing="off" w:after="0" w:afterAutospacing="off"/>
              <w:jc w:val="both"/>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 xml:space="preserve">Recycling bins for guest rooms and </w:t>
            </w: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common areas</w:t>
            </w:r>
          </w:p>
        </w:tc>
        <w:tc>
          <w:tcPr>
            <w:tcW w:w="113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511A6C41" w14:textId="7473C96F">
            <w:pPr>
              <w:spacing w:before="0" w:beforeAutospacing="off" w:after="0" w:afterAutospacing="off"/>
              <w:jc w:val="both"/>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€3,000</w:t>
            </w:r>
          </w:p>
        </w:tc>
        <w:tc>
          <w:tcPr>
            <w:tcW w:w="278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23B2CA46" w14:textId="320391D2">
            <w:pPr>
              <w:spacing w:before="0" w:beforeAutospacing="off" w:after="0" w:afterAutospacing="off"/>
              <w:jc w:val="both"/>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Provides convenient waste segregation options for guests</w:t>
            </w: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 enhancing sustainability visibility.</w:t>
            </w:r>
          </w:p>
        </w:tc>
      </w:tr>
      <w:tr w:rsidR="5ED495D4" w:rsidTr="5ED495D4" w14:paraId="29424F2B">
        <w:trPr>
          <w:trHeight w:val="300"/>
        </w:trPr>
        <w:tc>
          <w:tcPr>
            <w:tcW w:w="227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00393238" w14:textId="7437C78C">
            <w:pPr>
              <w:spacing w:before="0" w:beforeAutospacing="off" w:after="0" w:afterAutospacing="off"/>
              <w:rPr>
                <w:rFonts w:ascii="Arial Nova" w:hAnsi="Arial Nova" w:eastAsia="Arial Nova" w:cs="Arial Nova"/>
                <w:sz w:val="24"/>
                <w:szCs w:val="24"/>
              </w:rPr>
            </w:pPr>
          </w:p>
        </w:tc>
        <w:tc>
          <w:tcPr>
            <w:tcW w:w="224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1C787E88" w14:textId="61913208">
            <w:pPr>
              <w:spacing w:before="0" w:beforeAutospacing="off" w:after="0" w:afterAutospacing="off"/>
              <w:jc w:val="both"/>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Eco-friendly packaging for toiletries and in-room amenities</w:t>
            </w:r>
          </w:p>
        </w:tc>
        <w:tc>
          <w:tcPr>
            <w:tcW w:w="113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28822E2C" w14:textId="5A586741">
            <w:pPr>
              <w:spacing w:before="0" w:beforeAutospacing="off" w:after="0" w:afterAutospacing="off"/>
              <w:jc w:val="both"/>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€3,500</w:t>
            </w:r>
          </w:p>
        </w:tc>
        <w:tc>
          <w:tcPr>
            <w:tcW w:w="278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258021A3" w14:textId="0DB36FA0">
            <w:pPr>
              <w:spacing w:before="0" w:beforeAutospacing="off" w:after="0" w:afterAutospacing="off"/>
              <w:jc w:val="both"/>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Reduces single-use plastic usage, promoting environmental responsibility.</w:t>
            </w:r>
          </w:p>
        </w:tc>
      </w:tr>
      <w:tr w:rsidR="5ED495D4" w:rsidTr="5ED495D4" w14:paraId="79EDF25B">
        <w:trPr>
          <w:trHeight w:val="300"/>
        </w:trPr>
        <w:tc>
          <w:tcPr>
            <w:tcW w:w="227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66ADABA1" w14:textId="48CBA348">
            <w:pPr>
              <w:spacing w:before="0" w:beforeAutospacing="off" w:after="0" w:afterAutospacing="off"/>
              <w:rPr>
                <w:rFonts w:ascii="Arial Nova" w:hAnsi="Arial Nova" w:eastAsia="Arial Nova" w:cs="Arial Nova"/>
                <w:sz w:val="24"/>
                <w:szCs w:val="24"/>
              </w:rPr>
            </w:pPr>
          </w:p>
        </w:tc>
        <w:tc>
          <w:tcPr>
            <w:tcW w:w="224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2A8B57D9" w14:textId="7B85D4A5">
            <w:pPr>
              <w:spacing w:before="0" w:beforeAutospacing="off" w:after="0" w:afterAutospacing="off"/>
              <w:jc w:val="both"/>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Signage for sustainability information</w:t>
            </w:r>
          </w:p>
        </w:tc>
        <w:tc>
          <w:tcPr>
            <w:tcW w:w="113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39EF7201" w14:textId="507B16D8">
            <w:pPr>
              <w:spacing w:before="0" w:beforeAutospacing="off" w:after="0" w:afterAutospacing="off"/>
              <w:jc w:val="both"/>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€1,500</w:t>
            </w:r>
          </w:p>
        </w:tc>
        <w:tc>
          <w:tcPr>
            <w:tcW w:w="278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2743A8A7" w14:textId="3C2F3932">
            <w:pPr>
              <w:spacing w:before="0" w:beforeAutospacing="off" w:after="0" w:afterAutospacing="off"/>
              <w:jc w:val="both"/>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Educates guests on sustainable practices and encourages participation.</w:t>
            </w:r>
          </w:p>
        </w:tc>
      </w:tr>
      <w:tr w:rsidR="5ED495D4" w:rsidTr="5ED495D4" w14:paraId="30810AC0">
        <w:trPr>
          <w:trHeight w:val="300"/>
        </w:trPr>
        <w:tc>
          <w:tcPr>
            <w:tcW w:w="227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61DAAF15" w14:textId="642D1773">
            <w:pPr>
              <w:spacing w:before="0" w:beforeAutospacing="off" w:after="0" w:afterAutospacing="off"/>
              <w:rPr>
                <w:rFonts w:ascii="Arial Nova" w:hAnsi="Arial Nova" w:eastAsia="Arial Nova" w:cs="Arial Nova"/>
                <w:sz w:val="24"/>
                <w:szCs w:val="24"/>
              </w:rPr>
            </w:pPr>
          </w:p>
        </w:tc>
        <w:tc>
          <w:tcPr>
            <w:tcW w:w="224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5D86013E" w14:textId="55BB8A48">
            <w:pPr>
              <w:spacing w:before="0" w:beforeAutospacing="off" w:after="0" w:afterAutospacing="off"/>
              <w:jc w:val="both"/>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Staff training on waste management and recycling</w:t>
            </w:r>
          </w:p>
        </w:tc>
        <w:tc>
          <w:tcPr>
            <w:tcW w:w="113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47E348E8" w14:textId="0257E13C">
            <w:pPr>
              <w:spacing w:before="0" w:beforeAutospacing="off" w:after="0" w:afterAutospacing="off"/>
              <w:jc w:val="both"/>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€2,000</w:t>
            </w:r>
          </w:p>
        </w:tc>
        <w:tc>
          <w:tcPr>
            <w:tcW w:w="278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5C2F665E" w14:textId="0EB788CF">
            <w:pPr>
              <w:spacing w:before="0" w:beforeAutospacing="off" w:after="0" w:afterAutospacing="off"/>
              <w:jc w:val="both"/>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Ensures staff understand and support the waste reduction goals.</w:t>
            </w:r>
          </w:p>
        </w:tc>
      </w:tr>
      <w:tr w:rsidR="5ED495D4" w:rsidTr="5ED495D4" w14:paraId="41876512">
        <w:trPr>
          <w:trHeight w:val="300"/>
        </w:trPr>
        <w:tc>
          <w:tcPr>
            <w:tcW w:w="227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2E1349FB" w14:textId="00CDDA41">
            <w:pPr>
              <w:spacing w:before="0" w:beforeAutospacing="off" w:after="0" w:afterAutospacing="off"/>
              <w:rPr>
                <w:rFonts w:ascii="Arial Nova" w:hAnsi="Arial Nova" w:eastAsia="Arial Nova" w:cs="Arial Nova"/>
                <w:sz w:val="24"/>
                <w:szCs w:val="24"/>
              </w:rPr>
            </w:pPr>
          </w:p>
        </w:tc>
        <w:tc>
          <w:tcPr>
            <w:tcW w:w="224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41155AD2" w14:textId="28E8A791">
            <w:pPr>
              <w:spacing w:before="0" w:beforeAutospacing="off" w:after="0" w:afterAutospacing="off"/>
              <w:jc w:val="both"/>
              <w:rPr>
                <w:rFonts w:ascii="Arial Nova" w:hAnsi="Arial Nova" w:eastAsia="Arial Nova" w:cs="Arial Nova"/>
                <w:b w:val="1"/>
                <w:bCs w:val="1"/>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1"/>
                <w:bCs w:val="1"/>
                <w:i w:val="0"/>
                <w:iCs w:val="0"/>
                <w:strike w:val="0"/>
                <w:dstrike w:val="0"/>
                <w:color w:val="000000" w:themeColor="text1" w:themeTint="FF" w:themeShade="FF"/>
                <w:sz w:val="24"/>
                <w:szCs w:val="24"/>
                <w:u w:val="none"/>
              </w:rPr>
              <w:t>Total</w:t>
            </w:r>
          </w:p>
        </w:tc>
        <w:tc>
          <w:tcPr>
            <w:tcW w:w="113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100D5881" w14:textId="3C580C70">
            <w:pPr>
              <w:spacing w:before="0" w:beforeAutospacing="off" w:after="0" w:afterAutospacing="off"/>
              <w:jc w:val="both"/>
              <w:rPr>
                <w:rFonts w:ascii="Arial Nova" w:hAnsi="Arial Nova" w:eastAsia="Arial Nova" w:cs="Arial Nova"/>
                <w:b w:val="1"/>
                <w:bCs w:val="1"/>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1"/>
                <w:bCs w:val="1"/>
                <w:i w:val="0"/>
                <w:iCs w:val="0"/>
                <w:strike w:val="0"/>
                <w:dstrike w:val="0"/>
                <w:color w:val="000000" w:themeColor="text1" w:themeTint="FF" w:themeShade="FF"/>
                <w:sz w:val="24"/>
                <w:szCs w:val="24"/>
                <w:u w:val="none"/>
              </w:rPr>
              <w:t>€10,000</w:t>
            </w:r>
          </w:p>
        </w:tc>
        <w:tc>
          <w:tcPr>
            <w:tcW w:w="278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21C06D19" w14:textId="373C5153">
            <w:pPr>
              <w:spacing w:before="0" w:beforeAutospacing="off" w:after="0" w:afterAutospacing="off"/>
              <w:jc w:val="both"/>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 xml:space="preserve">Reduces waste footprint, aligning with environmental goals and </w:t>
            </w: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enhancing</w:t>
            </w: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 xml:space="preserve"> brand reputation.</w:t>
            </w:r>
          </w:p>
        </w:tc>
      </w:tr>
      <w:tr w:rsidR="5ED495D4" w:rsidTr="5ED495D4" w14:paraId="3D128D98">
        <w:trPr>
          <w:trHeight w:val="300"/>
        </w:trPr>
        <w:tc>
          <w:tcPr>
            <w:tcW w:w="227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08EBC10D" w14:textId="0CB28950">
            <w:pPr>
              <w:spacing w:before="0" w:beforeAutospacing="off" w:after="0" w:afterAutospacing="off"/>
              <w:jc w:val="both"/>
              <w:rPr>
                <w:rFonts w:ascii="Arial Nova" w:hAnsi="Arial Nova" w:eastAsia="Arial Nova" w:cs="Arial Nova"/>
                <w:b w:val="1"/>
                <w:bCs w:val="1"/>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1"/>
                <w:bCs w:val="1"/>
                <w:i w:val="0"/>
                <w:iCs w:val="0"/>
                <w:strike w:val="0"/>
                <w:dstrike w:val="0"/>
                <w:color w:val="000000" w:themeColor="text1" w:themeTint="FF" w:themeShade="FF"/>
                <w:sz w:val="24"/>
                <w:szCs w:val="24"/>
                <w:u w:val="none"/>
              </w:rPr>
              <w:t>Local Sourcing and Eco-Friendly Partnerships</w:t>
            </w:r>
          </w:p>
        </w:tc>
        <w:tc>
          <w:tcPr>
            <w:tcW w:w="224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0D921D89" w14:textId="0A570F2C">
            <w:pPr>
              <w:spacing w:before="0" w:beforeAutospacing="off" w:after="0" w:afterAutospacing="off"/>
              <w:jc w:val="both"/>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Supplier research and selection</w:t>
            </w:r>
          </w:p>
        </w:tc>
        <w:tc>
          <w:tcPr>
            <w:tcW w:w="113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0A6FC5BB" w14:textId="4C3E7F36">
            <w:pPr>
              <w:spacing w:before="0" w:beforeAutospacing="off" w:after="0" w:afterAutospacing="off"/>
              <w:jc w:val="both"/>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€3,000</w:t>
            </w:r>
          </w:p>
        </w:tc>
        <w:tc>
          <w:tcPr>
            <w:tcW w:w="278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66551B49" w14:textId="77E06089">
            <w:pPr>
              <w:spacing w:before="0" w:beforeAutospacing="off" w:after="0" w:afterAutospacing="off"/>
              <w:jc w:val="both"/>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Identifies</w:t>
            </w: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 xml:space="preserve"> local, sustainable suppliers for in-room amenities and F&amp;B offerings.</w:t>
            </w:r>
          </w:p>
        </w:tc>
      </w:tr>
      <w:tr w:rsidR="5ED495D4" w:rsidTr="5ED495D4" w14:paraId="3C6B3782">
        <w:trPr>
          <w:trHeight w:val="300"/>
        </w:trPr>
        <w:tc>
          <w:tcPr>
            <w:tcW w:w="227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4C87F9AB" w14:textId="0495D680">
            <w:pPr>
              <w:spacing w:before="0" w:beforeAutospacing="off" w:after="0" w:afterAutospacing="off"/>
              <w:rPr>
                <w:rFonts w:ascii="Arial Nova" w:hAnsi="Arial Nova" w:eastAsia="Arial Nova" w:cs="Arial Nova"/>
                <w:sz w:val="24"/>
                <w:szCs w:val="24"/>
              </w:rPr>
            </w:pPr>
          </w:p>
        </w:tc>
        <w:tc>
          <w:tcPr>
            <w:tcW w:w="224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15DA147B" w14:textId="12F96E3B">
            <w:pPr>
              <w:spacing w:before="0" w:beforeAutospacing="off" w:after="0" w:afterAutospacing="off"/>
              <w:jc w:val="both"/>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Marketing materials to highlight locally sourced products</w:t>
            </w:r>
          </w:p>
        </w:tc>
        <w:tc>
          <w:tcPr>
            <w:tcW w:w="113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0D1B2BFC" w14:textId="67818601">
            <w:pPr>
              <w:spacing w:before="0" w:beforeAutospacing="off" w:after="0" w:afterAutospacing="off"/>
              <w:jc w:val="both"/>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€2,000</w:t>
            </w:r>
          </w:p>
        </w:tc>
        <w:tc>
          <w:tcPr>
            <w:tcW w:w="278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72822DB0" w14:textId="3594F214">
            <w:pPr>
              <w:spacing w:before="0" w:beforeAutospacing="off" w:after="0" w:afterAutospacing="off"/>
              <w:jc w:val="both"/>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 xml:space="preserve">Enhances guest </w:t>
            </w: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perception</w:t>
            </w: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 xml:space="preserve"> of authenticity and sustainability.</w:t>
            </w:r>
          </w:p>
        </w:tc>
      </w:tr>
      <w:tr w:rsidR="5ED495D4" w:rsidTr="5ED495D4" w14:paraId="25B0CD4A">
        <w:trPr>
          <w:trHeight w:val="300"/>
        </w:trPr>
        <w:tc>
          <w:tcPr>
            <w:tcW w:w="227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50D3F309" w14:textId="61B4E20A">
            <w:pPr>
              <w:spacing w:before="0" w:beforeAutospacing="off" w:after="0" w:afterAutospacing="off"/>
              <w:rPr>
                <w:rFonts w:ascii="Arial Nova" w:hAnsi="Arial Nova" w:eastAsia="Arial Nova" w:cs="Arial Nova"/>
                <w:sz w:val="24"/>
                <w:szCs w:val="24"/>
              </w:rPr>
            </w:pPr>
          </w:p>
        </w:tc>
        <w:tc>
          <w:tcPr>
            <w:tcW w:w="224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7EDD3375" w14:textId="752B1072">
            <w:pPr>
              <w:spacing w:before="0" w:beforeAutospacing="off" w:after="0" w:afterAutospacing="off"/>
              <w:jc w:val="both"/>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Coordination and partnership agreements with local suppliers</w:t>
            </w:r>
          </w:p>
        </w:tc>
        <w:tc>
          <w:tcPr>
            <w:tcW w:w="113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10FBEDE7" w14:textId="1716870B">
            <w:pPr>
              <w:spacing w:before="0" w:beforeAutospacing="off" w:after="0" w:afterAutospacing="off"/>
              <w:jc w:val="both"/>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€5,000</w:t>
            </w:r>
          </w:p>
        </w:tc>
        <w:tc>
          <w:tcPr>
            <w:tcW w:w="278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14C6872F" w14:textId="448EC9BC">
            <w:pPr>
              <w:spacing w:before="0" w:beforeAutospacing="off" w:after="0" w:afterAutospacing="off"/>
              <w:jc w:val="both"/>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Secures ongoing supply of locally sourced items, supporting local economy.</w:t>
            </w:r>
          </w:p>
        </w:tc>
      </w:tr>
      <w:tr w:rsidR="5ED495D4" w:rsidTr="5ED495D4" w14:paraId="13293216">
        <w:trPr>
          <w:trHeight w:val="300"/>
        </w:trPr>
        <w:tc>
          <w:tcPr>
            <w:tcW w:w="227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42CAD75F" w14:textId="4F877B93">
            <w:pPr>
              <w:spacing w:before="0" w:beforeAutospacing="off" w:after="0" w:afterAutospacing="off"/>
              <w:rPr>
                <w:rFonts w:ascii="Arial Nova" w:hAnsi="Arial Nova" w:eastAsia="Arial Nova" w:cs="Arial Nova"/>
                <w:sz w:val="24"/>
                <w:szCs w:val="24"/>
              </w:rPr>
            </w:pPr>
          </w:p>
        </w:tc>
        <w:tc>
          <w:tcPr>
            <w:tcW w:w="224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70E5FB0B" w14:textId="3DA9491D">
            <w:pPr>
              <w:spacing w:before="0" w:beforeAutospacing="off" w:after="0" w:afterAutospacing="off"/>
              <w:jc w:val="both"/>
              <w:rPr>
                <w:rFonts w:ascii="Arial Nova" w:hAnsi="Arial Nova" w:eastAsia="Arial Nova" w:cs="Arial Nova"/>
                <w:b w:val="1"/>
                <w:bCs w:val="1"/>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1"/>
                <w:bCs w:val="1"/>
                <w:i w:val="0"/>
                <w:iCs w:val="0"/>
                <w:strike w:val="0"/>
                <w:dstrike w:val="0"/>
                <w:color w:val="000000" w:themeColor="text1" w:themeTint="FF" w:themeShade="FF"/>
                <w:sz w:val="24"/>
                <w:szCs w:val="24"/>
                <w:u w:val="none"/>
              </w:rPr>
              <w:t>Total</w:t>
            </w:r>
          </w:p>
        </w:tc>
        <w:tc>
          <w:tcPr>
            <w:tcW w:w="113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0838D67D" w14:textId="72646587">
            <w:pPr>
              <w:spacing w:before="0" w:beforeAutospacing="off" w:after="0" w:afterAutospacing="off"/>
              <w:jc w:val="both"/>
              <w:rPr>
                <w:rFonts w:ascii="Arial Nova" w:hAnsi="Arial Nova" w:eastAsia="Arial Nova" w:cs="Arial Nova"/>
                <w:b w:val="1"/>
                <w:bCs w:val="1"/>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1"/>
                <w:bCs w:val="1"/>
                <w:i w:val="0"/>
                <w:iCs w:val="0"/>
                <w:strike w:val="0"/>
                <w:dstrike w:val="0"/>
                <w:color w:val="000000" w:themeColor="text1" w:themeTint="FF" w:themeShade="FF"/>
                <w:sz w:val="24"/>
                <w:szCs w:val="24"/>
                <w:u w:val="none"/>
              </w:rPr>
              <w:t>€10,000</w:t>
            </w:r>
          </w:p>
        </w:tc>
        <w:tc>
          <w:tcPr>
            <w:tcW w:w="278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6E8727BA" w14:textId="3608625E">
            <w:pPr>
              <w:spacing w:before="0" w:beforeAutospacing="off" w:after="0" w:afterAutospacing="off"/>
              <w:jc w:val="both"/>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Lowers carbon footprint through local sourcing, supporting sustainable brand image.</w:t>
            </w:r>
          </w:p>
        </w:tc>
      </w:tr>
    </w:tbl>
    <w:p xmlns:wp14="http://schemas.microsoft.com/office/word/2010/wordml" w:rsidP="5ED495D4" wp14:paraId="494B64E3" wp14:textId="3DEF0B85">
      <w:pPr>
        <w:rPr>
          <w:rFonts w:ascii="Arial Nova" w:hAnsi="Arial Nova" w:eastAsia="Arial Nova" w:cs="Arial Nova"/>
          <w:sz w:val="24"/>
          <w:szCs w:val="24"/>
        </w:rPr>
      </w:pPr>
    </w:p>
    <w:p xmlns:wp14="http://schemas.microsoft.com/office/word/2010/wordml" w:rsidP="5ED495D4" wp14:paraId="3FA53F7C" wp14:textId="17388C11">
      <w:pPr>
        <w:spacing w:before="0" w:beforeAutospacing="off" w:after="0" w:afterAutospacing="off"/>
        <w:jc w:val="both"/>
        <w:rPr>
          <w:rFonts w:ascii="Arial Nova" w:hAnsi="Arial Nova" w:eastAsia="Arial Nova" w:cs="Arial Nova"/>
          <w:b w:val="0"/>
          <w:bCs w:val="0"/>
          <w:i w:val="1"/>
          <w:iCs w:val="1"/>
          <w:strike w:val="0"/>
          <w:dstrike w:val="0"/>
          <w:noProof w:val="0"/>
          <w:color w:val="000000" w:themeColor="text1" w:themeTint="FF" w:themeShade="FF"/>
          <w:sz w:val="24"/>
          <w:szCs w:val="24"/>
          <w:u w:val="none"/>
          <w:lang w:val="en-US"/>
        </w:rPr>
      </w:pPr>
      <w:r w:rsidRPr="5ED495D4" w:rsidR="5C7B1F42">
        <w:rPr>
          <w:rFonts w:ascii="Arial Nova" w:hAnsi="Arial Nova" w:eastAsia="Arial Nova" w:cs="Arial Nova"/>
          <w:b w:val="0"/>
          <w:bCs w:val="0"/>
          <w:i w:val="1"/>
          <w:iCs w:val="1"/>
          <w:strike w:val="0"/>
          <w:dstrike w:val="0"/>
          <w:noProof w:val="0"/>
          <w:color w:val="000000" w:themeColor="text1" w:themeTint="FF" w:themeShade="FF"/>
          <w:sz w:val="24"/>
          <w:szCs w:val="24"/>
          <w:u w:val="none"/>
          <w:lang w:val="en-US"/>
        </w:rPr>
        <w:t xml:space="preserve">Overall Total Estimated </w:t>
      </w:r>
      <w:r w:rsidRPr="5ED495D4" w:rsidR="6665823D">
        <w:rPr>
          <w:rFonts w:ascii="Arial Nova" w:hAnsi="Arial Nova" w:eastAsia="Arial Nova" w:cs="Arial Nova"/>
          <w:b w:val="0"/>
          <w:bCs w:val="0"/>
          <w:i w:val="1"/>
          <w:iCs w:val="1"/>
          <w:strike w:val="0"/>
          <w:dstrike w:val="0"/>
          <w:noProof w:val="0"/>
          <w:color w:val="000000" w:themeColor="text1" w:themeTint="FF" w:themeShade="FF"/>
          <w:sz w:val="24"/>
          <w:szCs w:val="24"/>
          <w:u w:val="none"/>
          <w:lang w:val="en-US"/>
        </w:rPr>
        <w:t>Cost is</w:t>
      </w:r>
      <w:r w:rsidRPr="5ED495D4" w:rsidR="5C7B1F42">
        <w:rPr>
          <w:rFonts w:ascii="Arial Nova" w:hAnsi="Arial Nova" w:eastAsia="Arial Nova" w:cs="Arial Nova"/>
          <w:b w:val="0"/>
          <w:bCs w:val="0"/>
          <w:i w:val="1"/>
          <w:iCs w:val="1"/>
          <w:strike w:val="0"/>
          <w:dstrike w:val="0"/>
          <w:noProof w:val="0"/>
          <w:color w:val="000000" w:themeColor="text1" w:themeTint="FF" w:themeShade="FF"/>
          <w:sz w:val="24"/>
          <w:szCs w:val="24"/>
          <w:u w:val="none"/>
          <w:lang w:val="en-US"/>
        </w:rPr>
        <w:t xml:space="preserve"> €145,000 to enhance service quality, revenue stability, and sustainability. </w:t>
      </w:r>
    </w:p>
    <w:p xmlns:wp14="http://schemas.microsoft.com/office/word/2010/wordml" w:rsidP="5ED495D4" wp14:paraId="48BE93F0" wp14:textId="07C7FCEC">
      <w:pPr>
        <w:pStyle w:val="Heading1"/>
        <w:spacing w:before="0" w:beforeAutospacing="off" w:after="0" w:afterAutospacing="off"/>
        <w:jc w:val="both"/>
        <w:rPr>
          <w:rFonts w:ascii="Arial Nova" w:hAnsi="Arial Nova" w:eastAsia="Arial Nova" w:cs="Arial Nova"/>
          <w:b w:val="1"/>
          <w:bCs w:val="1"/>
          <w:i w:val="0"/>
          <w:iCs w:val="0"/>
          <w:strike w:val="0"/>
          <w:dstrike w:val="0"/>
          <w:noProof w:val="0"/>
          <w:color w:val="000000" w:themeColor="text1" w:themeTint="FF" w:themeShade="FF"/>
          <w:sz w:val="24"/>
          <w:szCs w:val="24"/>
          <w:u w:val="none"/>
          <w:lang w:val="en-US"/>
        </w:rPr>
      </w:pPr>
      <w:r w:rsidRPr="5ED495D4" w:rsidR="5C7B1F42">
        <w:rPr>
          <w:rFonts w:ascii="Arial Nova" w:hAnsi="Arial Nova" w:eastAsia="Arial Nova" w:cs="Arial Nova"/>
          <w:b w:val="1"/>
          <w:bCs w:val="1"/>
          <w:i w:val="0"/>
          <w:iCs w:val="0"/>
          <w:strike w:val="0"/>
          <w:dstrike w:val="0"/>
          <w:noProof w:val="0"/>
          <w:color w:val="000000" w:themeColor="text1" w:themeTint="FF" w:themeShade="FF"/>
          <w:sz w:val="24"/>
          <w:szCs w:val="24"/>
          <w:u w:val="none"/>
          <w:lang w:val="en-US"/>
        </w:rPr>
        <w:t>Action Plan</w:t>
      </w:r>
    </w:p>
    <w:p xmlns:wp14="http://schemas.microsoft.com/office/word/2010/wordml" w:rsidP="5ED495D4" wp14:paraId="2FD69C40" wp14:textId="0C11F1E8">
      <w:pPr>
        <w:spacing w:before="0" w:beforeAutospacing="off" w:after="200" w:afterAutospacing="off"/>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pPr>
      <w:r w:rsidRPr="5ED495D4" w:rsidR="5C7B1F42">
        <w:rPr>
          <w:rFonts w:ascii="Arial Nova" w:hAnsi="Arial Nova" w:eastAsia="Arial Nova" w:cs="Arial Nova"/>
          <w:b w:val="1"/>
          <w:bCs w:val="1"/>
          <w:i w:val="0"/>
          <w:iCs w:val="0"/>
          <w:strike w:val="0"/>
          <w:dstrike w:val="0"/>
          <w:noProof w:val="0"/>
          <w:color w:val="000000" w:themeColor="text1" w:themeTint="FF" w:themeShade="FF"/>
          <w:sz w:val="24"/>
          <w:szCs w:val="24"/>
          <w:u w:val="none"/>
          <w:lang w:val="en-US"/>
        </w:rPr>
        <w:t>Table 5:</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Action Plan</w:t>
      </w:r>
    </w:p>
    <w:tbl>
      <w:tblPr>
        <w:tblStyle w:val="TableNormal"/>
        <w:tblW w:w="0" w:type="auto"/>
        <w:tblLayout w:type="fixed"/>
        <w:tblLook w:val="06A0" w:firstRow="1" w:lastRow="0" w:firstColumn="1" w:lastColumn="0" w:noHBand="1" w:noVBand="1"/>
      </w:tblPr>
      <w:tblGrid>
        <w:gridCol w:w="810"/>
        <w:gridCol w:w="1464"/>
        <w:gridCol w:w="1524"/>
        <w:gridCol w:w="1524"/>
        <w:gridCol w:w="690"/>
        <w:gridCol w:w="1140"/>
        <w:gridCol w:w="780"/>
      </w:tblGrid>
      <w:tr w:rsidR="5ED495D4" w:rsidTr="5ED495D4" w14:paraId="0B275647">
        <w:trPr>
          <w:trHeight w:val="300"/>
        </w:trPr>
        <w:tc>
          <w:tcPr>
            <w:tcW w:w="810"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shd w:val="clear" w:color="auto" w:fill="C00000"/>
            <w:tcMar>
              <w:left w:w="108" w:type="dxa"/>
              <w:right w:w="108" w:type="dxa"/>
            </w:tcMar>
            <w:vAlign w:val="top"/>
          </w:tcPr>
          <w:p w:rsidR="5ED495D4" w:rsidP="5ED495D4" w:rsidRDefault="5ED495D4" w14:paraId="34DEFD38" w14:textId="7148109A">
            <w:pPr>
              <w:spacing w:before="0" w:beforeAutospacing="off" w:after="0" w:afterAutospacing="off"/>
              <w:rPr>
                <w:rFonts w:ascii="Arial Nova" w:hAnsi="Arial Nova" w:eastAsia="Arial Nova" w:cs="Arial Nova"/>
                <w:b w:val="1"/>
                <w:bCs w:val="1"/>
                <w:i w:val="0"/>
                <w:iCs w:val="0"/>
                <w:strike w:val="0"/>
                <w:dstrike w:val="0"/>
                <w:color w:val="FFFFFF" w:themeColor="background1" w:themeTint="FF" w:themeShade="FF"/>
                <w:sz w:val="24"/>
                <w:szCs w:val="24"/>
                <w:u w:val="none"/>
              </w:rPr>
            </w:pPr>
            <w:r w:rsidRPr="5ED495D4" w:rsidR="5ED495D4">
              <w:rPr>
                <w:rFonts w:ascii="Arial Nova" w:hAnsi="Arial Nova" w:eastAsia="Arial Nova" w:cs="Arial Nova"/>
                <w:b w:val="1"/>
                <w:bCs w:val="1"/>
                <w:i w:val="0"/>
                <w:iCs w:val="0"/>
                <w:strike w:val="0"/>
                <w:dstrike w:val="0"/>
                <w:color w:val="FFFFFF" w:themeColor="background1" w:themeTint="FF" w:themeShade="FF"/>
                <w:sz w:val="24"/>
                <w:szCs w:val="24"/>
                <w:u w:val="none"/>
              </w:rPr>
              <w:t>Number</w:t>
            </w:r>
          </w:p>
        </w:tc>
        <w:tc>
          <w:tcPr>
            <w:tcW w:w="146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shd w:val="clear" w:color="auto" w:fill="C00000"/>
            <w:tcMar>
              <w:left w:w="108" w:type="dxa"/>
              <w:right w:w="108" w:type="dxa"/>
            </w:tcMar>
            <w:vAlign w:val="top"/>
          </w:tcPr>
          <w:p w:rsidR="5ED495D4" w:rsidP="5ED495D4" w:rsidRDefault="5ED495D4" w14:paraId="67443CDB" w14:textId="025BF6C0">
            <w:pPr>
              <w:spacing w:before="0" w:beforeAutospacing="off" w:after="0" w:afterAutospacing="off"/>
              <w:rPr>
                <w:rFonts w:ascii="Arial Nova" w:hAnsi="Arial Nova" w:eastAsia="Arial Nova" w:cs="Arial Nova"/>
                <w:b w:val="1"/>
                <w:bCs w:val="1"/>
                <w:i w:val="0"/>
                <w:iCs w:val="0"/>
                <w:strike w:val="0"/>
                <w:dstrike w:val="0"/>
                <w:color w:val="FFFFFF" w:themeColor="background1" w:themeTint="FF" w:themeShade="FF"/>
                <w:sz w:val="24"/>
                <w:szCs w:val="24"/>
                <w:u w:val="none"/>
              </w:rPr>
            </w:pPr>
            <w:r w:rsidRPr="5ED495D4" w:rsidR="5ED495D4">
              <w:rPr>
                <w:rFonts w:ascii="Arial Nova" w:hAnsi="Arial Nova" w:eastAsia="Arial Nova" w:cs="Arial Nova"/>
                <w:b w:val="1"/>
                <w:bCs w:val="1"/>
                <w:i w:val="0"/>
                <w:iCs w:val="0"/>
                <w:strike w:val="0"/>
                <w:dstrike w:val="0"/>
                <w:color w:val="FFFFFF" w:themeColor="background1" w:themeTint="FF" w:themeShade="FF"/>
                <w:sz w:val="24"/>
                <w:szCs w:val="24"/>
                <w:u w:val="none"/>
              </w:rPr>
              <w:t>Problem</w:t>
            </w:r>
          </w:p>
        </w:tc>
        <w:tc>
          <w:tcPr>
            <w:tcW w:w="152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shd w:val="clear" w:color="auto" w:fill="C00000"/>
            <w:tcMar>
              <w:left w:w="108" w:type="dxa"/>
              <w:right w:w="108" w:type="dxa"/>
            </w:tcMar>
            <w:vAlign w:val="top"/>
          </w:tcPr>
          <w:p w:rsidR="5ED495D4" w:rsidP="5ED495D4" w:rsidRDefault="5ED495D4" w14:paraId="52F3B2E6" w14:textId="01F8061A">
            <w:pPr>
              <w:spacing w:before="0" w:beforeAutospacing="off" w:after="0" w:afterAutospacing="off"/>
              <w:rPr>
                <w:rFonts w:ascii="Arial Nova" w:hAnsi="Arial Nova" w:eastAsia="Arial Nova" w:cs="Arial Nova"/>
                <w:b w:val="1"/>
                <w:bCs w:val="1"/>
                <w:i w:val="0"/>
                <w:iCs w:val="0"/>
                <w:strike w:val="0"/>
                <w:dstrike w:val="0"/>
                <w:color w:val="FFFFFF" w:themeColor="background1" w:themeTint="FF" w:themeShade="FF"/>
                <w:sz w:val="24"/>
                <w:szCs w:val="24"/>
                <w:u w:val="none"/>
              </w:rPr>
            </w:pPr>
            <w:r w:rsidRPr="5ED495D4" w:rsidR="5ED495D4">
              <w:rPr>
                <w:rFonts w:ascii="Arial Nova" w:hAnsi="Arial Nova" w:eastAsia="Arial Nova" w:cs="Arial Nova"/>
                <w:b w:val="1"/>
                <w:bCs w:val="1"/>
                <w:i w:val="0"/>
                <w:iCs w:val="0"/>
                <w:strike w:val="0"/>
                <w:dstrike w:val="0"/>
                <w:color w:val="FFFFFF" w:themeColor="background1" w:themeTint="FF" w:themeShade="FF"/>
                <w:sz w:val="24"/>
                <w:szCs w:val="24"/>
                <w:u w:val="none"/>
              </w:rPr>
              <w:t>Solution</w:t>
            </w:r>
          </w:p>
        </w:tc>
        <w:tc>
          <w:tcPr>
            <w:tcW w:w="152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shd w:val="clear" w:color="auto" w:fill="C00000"/>
            <w:tcMar>
              <w:left w:w="108" w:type="dxa"/>
              <w:right w:w="108" w:type="dxa"/>
            </w:tcMar>
            <w:vAlign w:val="top"/>
          </w:tcPr>
          <w:p w:rsidR="5ED495D4" w:rsidP="5ED495D4" w:rsidRDefault="5ED495D4" w14:paraId="7B63F140" w14:textId="727F1807">
            <w:pPr>
              <w:spacing w:before="0" w:beforeAutospacing="off" w:after="0" w:afterAutospacing="off"/>
              <w:rPr>
                <w:rFonts w:ascii="Arial Nova" w:hAnsi="Arial Nova" w:eastAsia="Arial Nova" w:cs="Arial Nova"/>
                <w:b w:val="1"/>
                <w:bCs w:val="1"/>
                <w:i w:val="0"/>
                <w:iCs w:val="0"/>
                <w:strike w:val="0"/>
                <w:dstrike w:val="0"/>
                <w:color w:val="FFFFFF" w:themeColor="background1" w:themeTint="FF" w:themeShade="FF"/>
                <w:sz w:val="24"/>
                <w:szCs w:val="24"/>
                <w:u w:val="none"/>
              </w:rPr>
            </w:pPr>
            <w:r w:rsidRPr="5ED495D4" w:rsidR="5ED495D4">
              <w:rPr>
                <w:rFonts w:ascii="Arial Nova" w:hAnsi="Arial Nova" w:eastAsia="Arial Nova" w:cs="Arial Nova"/>
                <w:b w:val="1"/>
                <w:bCs w:val="1"/>
                <w:i w:val="0"/>
                <w:iCs w:val="0"/>
                <w:strike w:val="0"/>
                <w:dstrike w:val="0"/>
                <w:color w:val="FFFFFF" w:themeColor="background1" w:themeTint="FF" w:themeShade="FF"/>
                <w:sz w:val="24"/>
                <w:szCs w:val="24"/>
                <w:u w:val="none"/>
              </w:rPr>
              <w:t>Desired Outcome</w:t>
            </w:r>
          </w:p>
        </w:tc>
        <w:tc>
          <w:tcPr>
            <w:tcW w:w="690"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shd w:val="clear" w:color="auto" w:fill="C00000"/>
            <w:tcMar>
              <w:left w:w="108" w:type="dxa"/>
              <w:right w:w="108" w:type="dxa"/>
            </w:tcMar>
            <w:vAlign w:val="top"/>
          </w:tcPr>
          <w:p w:rsidR="5ED495D4" w:rsidP="5ED495D4" w:rsidRDefault="5ED495D4" w14:paraId="0CFB5C13" w14:textId="590B1166">
            <w:pPr>
              <w:spacing w:before="0" w:beforeAutospacing="off" w:after="0" w:afterAutospacing="off"/>
              <w:rPr>
                <w:rFonts w:ascii="Arial Nova" w:hAnsi="Arial Nova" w:eastAsia="Arial Nova" w:cs="Arial Nova"/>
                <w:b w:val="1"/>
                <w:bCs w:val="1"/>
                <w:i w:val="0"/>
                <w:iCs w:val="0"/>
                <w:strike w:val="0"/>
                <w:dstrike w:val="0"/>
                <w:color w:val="FFFFFF" w:themeColor="background1" w:themeTint="FF" w:themeShade="FF"/>
                <w:sz w:val="24"/>
                <w:szCs w:val="24"/>
                <w:u w:val="none"/>
              </w:rPr>
            </w:pPr>
            <w:r w:rsidRPr="5ED495D4" w:rsidR="5ED495D4">
              <w:rPr>
                <w:rFonts w:ascii="Arial Nova" w:hAnsi="Arial Nova" w:eastAsia="Arial Nova" w:cs="Arial Nova"/>
                <w:b w:val="1"/>
                <w:bCs w:val="1"/>
                <w:i w:val="0"/>
                <w:iCs w:val="0"/>
                <w:strike w:val="0"/>
                <w:dstrike w:val="0"/>
                <w:color w:val="FFFFFF" w:themeColor="background1" w:themeTint="FF" w:themeShade="FF"/>
                <w:sz w:val="24"/>
                <w:szCs w:val="24"/>
                <w:u w:val="none"/>
              </w:rPr>
              <w:t>Time Scale</w:t>
            </w:r>
          </w:p>
        </w:tc>
        <w:tc>
          <w:tcPr>
            <w:tcW w:w="1140"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shd w:val="clear" w:color="auto" w:fill="C00000"/>
            <w:tcMar>
              <w:left w:w="108" w:type="dxa"/>
              <w:right w:w="108" w:type="dxa"/>
            </w:tcMar>
            <w:vAlign w:val="top"/>
          </w:tcPr>
          <w:p w:rsidR="5ED495D4" w:rsidP="5ED495D4" w:rsidRDefault="5ED495D4" w14:paraId="2B6B9EF3" w14:textId="701CCAB0">
            <w:pPr>
              <w:spacing w:before="0" w:beforeAutospacing="off" w:after="0" w:afterAutospacing="off"/>
              <w:rPr>
                <w:rFonts w:ascii="Arial Nova" w:hAnsi="Arial Nova" w:eastAsia="Arial Nova" w:cs="Arial Nova"/>
                <w:b w:val="1"/>
                <w:bCs w:val="1"/>
                <w:i w:val="0"/>
                <w:iCs w:val="0"/>
                <w:strike w:val="0"/>
                <w:dstrike w:val="0"/>
                <w:color w:val="FFFFFF" w:themeColor="background1" w:themeTint="FF" w:themeShade="FF"/>
                <w:sz w:val="24"/>
                <w:szCs w:val="24"/>
                <w:u w:val="none"/>
              </w:rPr>
            </w:pPr>
            <w:r w:rsidRPr="5ED495D4" w:rsidR="5ED495D4">
              <w:rPr>
                <w:rFonts w:ascii="Arial Nova" w:hAnsi="Arial Nova" w:eastAsia="Arial Nova" w:cs="Arial Nova"/>
                <w:b w:val="1"/>
                <w:bCs w:val="1"/>
                <w:i w:val="0"/>
                <w:iCs w:val="0"/>
                <w:strike w:val="0"/>
                <w:dstrike w:val="0"/>
                <w:color w:val="FFFFFF" w:themeColor="background1" w:themeTint="FF" w:themeShade="FF"/>
                <w:sz w:val="24"/>
                <w:szCs w:val="24"/>
                <w:u w:val="none"/>
              </w:rPr>
              <w:t>Completion Date</w:t>
            </w:r>
          </w:p>
        </w:tc>
        <w:tc>
          <w:tcPr>
            <w:tcW w:w="780"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shd w:val="clear" w:color="auto" w:fill="C00000"/>
            <w:tcMar>
              <w:left w:w="108" w:type="dxa"/>
              <w:right w:w="108" w:type="dxa"/>
            </w:tcMar>
            <w:vAlign w:val="top"/>
          </w:tcPr>
          <w:p w:rsidR="5ED495D4" w:rsidP="5ED495D4" w:rsidRDefault="5ED495D4" w14:paraId="3369AA0A" w14:textId="4DBD951E">
            <w:pPr>
              <w:spacing w:before="0" w:beforeAutospacing="off" w:after="0" w:afterAutospacing="off"/>
              <w:rPr>
                <w:rFonts w:ascii="Arial Nova" w:hAnsi="Arial Nova" w:eastAsia="Arial Nova" w:cs="Arial Nova"/>
                <w:b w:val="1"/>
                <w:bCs w:val="1"/>
                <w:i w:val="0"/>
                <w:iCs w:val="0"/>
                <w:strike w:val="0"/>
                <w:dstrike w:val="0"/>
                <w:color w:val="FFFFFF" w:themeColor="background1" w:themeTint="FF" w:themeShade="FF"/>
                <w:sz w:val="24"/>
                <w:szCs w:val="24"/>
                <w:u w:val="none"/>
              </w:rPr>
            </w:pPr>
            <w:r w:rsidRPr="5ED495D4" w:rsidR="5ED495D4">
              <w:rPr>
                <w:rFonts w:ascii="Arial Nova" w:hAnsi="Arial Nova" w:eastAsia="Arial Nova" w:cs="Arial Nova"/>
                <w:b w:val="1"/>
                <w:bCs w:val="1"/>
                <w:i w:val="0"/>
                <w:iCs w:val="0"/>
                <w:strike w:val="0"/>
                <w:dstrike w:val="0"/>
                <w:color w:val="FFFFFF" w:themeColor="background1" w:themeTint="FF" w:themeShade="FF"/>
                <w:sz w:val="24"/>
                <w:szCs w:val="24"/>
                <w:u w:val="none"/>
              </w:rPr>
              <w:t>Budget</w:t>
            </w:r>
          </w:p>
        </w:tc>
      </w:tr>
      <w:tr w:rsidR="5ED495D4" w:rsidTr="5ED495D4" w14:paraId="5B05D2B8">
        <w:trPr>
          <w:trHeight w:val="300"/>
        </w:trPr>
        <w:tc>
          <w:tcPr>
            <w:tcW w:w="810"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718B422D" w14:textId="15FC3494">
            <w:pPr>
              <w:spacing w:before="0" w:beforeAutospacing="off" w:after="0" w:afterAutospacing="off"/>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1</w:t>
            </w:r>
          </w:p>
        </w:tc>
        <w:tc>
          <w:tcPr>
            <w:tcW w:w="146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68B423F4" w14:textId="0DD9EEFB">
            <w:pPr>
              <w:spacing w:before="0" w:beforeAutospacing="off" w:after="0" w:afterAutospacing="off"/>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Inconsistent Customer Service</w:t>
            </w:r>
          </w:p>
        </w:tc>
        <w:tc>
          <w:tcPr>
            <w:tcW w:w="152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0C6E05AD" w14:textId="2A6283B8">
            <w:pPr>
              <w:spacing w:before="0" w:beforeAutospacing="off" w:after="0" w:afterAutospacing="off"/>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Implement comprehensive staff training</w:t>
            </w:r>
          </w:p>
        </w:tc>
        <w:tc>
          <w:tcPr>
            <w:tcW w:w="152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43B6A6E6" w14:textId="47F05705">
            <w:pPr>
              <w:spacing w:before="0" w:beforeAutospacing="off" w:after="0" w:afterAutospacing="off"/>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Improved service consistency and enhanced guest satisfaction</w:t>
            </w:r>
          </w:p>
        </w:tc>
        <w:tc>
          <w:tcPr>
            <w:tcW w:w="690"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7C3F8643" w14:textId="1125E51E">
            <w:pPr>
              <w:spacing w:before="0" w:beforeAutospacing="off" w:after="0" w:afterAutospacing="off"/>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3 months</w:t>
            </w:r>
          </w:p>
        </w:tc>
        <w:tc>
          <w:tcPr>
            <w:tcW w:w="1140"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2AFFEA5F" w14:textId="5471F2D1">
            <w:pPr>
              <w:spacing w:before="0" w:beforeAutospacing="off" w:after="0" w:afterAutospacing="off"/>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January 2025</w:t>
            </w:r>
          </w:p>
        </w:tc>
        <w:tc>
          <w:tcPr>
            <w:tcW w:w="780"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51BDA0D4" w14:textId="1A14AFA0">
            <w:pPr>
              <w:spacing w:before="0" w:beforeAutospacing="off" w:after="0" w:afterAutospacing="off"/>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€20,000</w:t>
            </w:r>
          </w:p>
        </w:tc>
      </w:tr>
      <w:tr w:rsidR="5ED495D4" w:rsidTr="5ED495D4" w14:paraId="56D7EB0E">
        <w:trPr>
          <w:trHeight w:val="300"/>
        </w:trPr>
        <w:tc>
          <w:tcPr>
            <w:tcW w:w="810"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647B87CD" w14:textId="6ED65B87">
            <w:pPr>
              <w:spacing w:before="0" w:beforeAutospacing="off" w:after="0" w:afterAutospacing="off"/>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2</w:t>
            </w:r>
          </w:p>
        </w:tc>
        <w:tc>
          <w:tcPr>
            <w:tcW w:w="146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04438139" w14:textId="1F775D98">
            <w:pPr>
              <w:spacing w:before="0" w:beforeAutospacing="off" w:after="0" w:afterAutospacing="off"/>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Lack of Real-Time Guest Feedback</w:t>
            </w:r>
          </w:p>
        </w:tc>
        <w:tc>
          <w:tcPr>
            <w:tcW w:w="152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3D4C9422" w14:textId="2670AE14">
            <w:pPr>
              <w:spacing w:before="0" w:beforeAutospacing="off" w:after="0" w:afterAutospacing="off"/>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Introduce digital feedback system</w:t>
            </w:r>
          </w:p>
        </w:tc>
        <w:tc>
          <w:tcPr>
            <w:tcW w:w="152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658BB93E" w14:textId="66D772EE">
            <w:pPr>
              <w:spacing w:before="0" w:beforeAutospacing="off" w:after="0" w:afterAutospacing="off"/>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Immediate response to guest concerns, increased satisfaction</w:t>
            </w:r>
          </w:p>
        </w:tc>
        <w:tc>
          <w:tcPr>
            <w:tcW w:w="690"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6C71F91E" w14:textId="4A75DCE7">
            <w:pPr>
              <w:spacing w:before="0" w:beforeAutospacing="off" w:after="0" w:afterAutospacing="off"/>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2 months</w:t>
            </w:r>
          </w:p>
        </w:tc>
        <w:tc>
          <w:tcPr>
            <w:tcW w:w="1140"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06EAD889" w14:textId="6AF3CC39">
            <w:pPr>
              <w:spacing w:before="0" w:beforeAutospacing="off" w:after="0" w:afterAutospacing="off"/>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December 2024</w:t>
            </w:r>
          </w:p>
        </w:tc>
        <w:tc>
          <w:tcPr>
            <w:tcW w:w="780"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2D75DCE0" w14:textId="1E2AE7F6">
            <w:pPr>
              <w:spacing w:before="0" w:beforeAutospacing="off" w:after="0" w:afterAutospacing="off"/>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€15,000</w:t>
            </w:r>
          </w:p>
        </w:tc>
      </w:tr>
      <w:tr w:rsidR="5ED495D4" w:rsidTr="5ED495D4" w14:paraId="071FC116">
        <w:trPr>
          <w:trHeight w:val="300"/>
        </w:trPr>
        <w:tc>
          <w:tcPr>
            <w:tcW w:w="810"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7C7BF630" w14:textId="17BFC118">
            <w:pPr>
              <w:spacing w:before="0" w:beforeAutospacing="off" w:after="0" w:afterAutospacing="off"/>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3</w:t>
            </w:r>
          </w:p>
        </w:tc>
        <w:tc>
          <w:tcPr>
            <w:tcW w:w="146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4F800E28" w14:textId="192C006C">
            <w:pPr>
              <w:spacing w:before="0" w:beforeAutospacing="off" w:after="0" w:afterAutospacing="off"/>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Limited Personalization for Guests</w:t>
            </w:r>
          </w:p>
        </w:tc>
        <w:tc>
          <w:tcPr>
            <w:tcW w:w="152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4F960FF3" w14:textId="3517EAAE">
            <w:pPr>
              <w:spacing w:before="0" w:beforeAutospacing="off" w:after="0" w:afterAutospacing="off"/>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Integrate AI-driven personalization tools</w:t>
            </w:r>
          </w:p>
        </w:tc>
        <w:tc>
          <w:tcPr>
            <w:tcW w:w="152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6497664B" w14:textId="54568AE9">
            <w:pPr>
              <w:spacing w:before="0" w:beforeAutospacing="off" w:after="0" w:afterAutospacing="off"/>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Enhanced guest experience with personalized service</w:t>
            </w:r>
          </w:p>
        </w:tc>
        <w:tc>
          <w:tcPr>
            <w:tcW w:w="690"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30625299" w14:textId="265BF14A">
            <w:pPr>
              <w:spacing w:before="0" w:beforeAutospacing="off" w:after="0" w:afterAutospacing="off"/>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4 months</w:t>
            </w:r>
          </w:p>
        </w:tc>
        <w:tc>
          <w:tcPr>
            <w:tcW w:w="1140"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1BAF9B37" w14:textId="7666C8AD">
            <w:pPr>
              <w:spacing w:before="0" w:beforeAutospacing="off" w:after="0" w:afterAutospacing="off"/>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February 2025</w:t>
            </w:r>
          </w:p>
        </w:tc>
        <w:tc>
          <w:tcPr>
            <w:tcW w:w="780"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1FED4C38" w14:textId="6141B12A">
            <w:pPr>
              <w:spacing w:before="0" w:beforeAutospacing="off" w:after="0" w:afterAutospacing="off"/>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€35,000</w:t>
            </w:r>
          </w:p>
        </w:tc>
      </w:tr>
      <w:tr w:rsidR="5ED495D4" w:rsidTr="5ED495D4" w14:paraId="5CE9BC1A">
        <w:trPr>
          <w:trHeight w:val="300"/>
        </w:trPr>
        <w:tc>
          <w:tcPr>
            <w:tcW w:w="810"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614E454C" w14:textId="58FA959F">
            <w:pPr>
              <w:spacing w:before="0" w:beforeAutospacing="off" w:after="0" w:afterAutospacing="off"/>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4</w:t>
            </w:r>
          </w:p>
        </w:tc>
        <w:tc>
          <w:tcPr>
            <w:tcW w:w="146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3E931DF6" w14:textId="4ECD277B">
            <w:pPr>
              <w:spacing w:before="0" w:beforeAutospacing="off" w:after="0" w:afterAutospacing="off"/>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Revenue Fluctuation due to Seasonality</w:t>
            </w:r>
          </w:p>
        </w:tc>
        <w:tc>
          <w:tcPr>
            <w:tcW w:w="152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533C94E7" w14:textId="01C0DE3F">
            <w:pPr>
              <w:spacing w:before="0" w:beforeAutospacing="off" w:after="0" w:afterAutospacing="off"/>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Implement dynamic pricing system</w:t>
            </w:r>
          </w:p>
        </w:tc>
        <w:tc>
          <w:tcPr>
            <w:tcW w:w="152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4375E68B" w14:textId="781FE321">
            <w:pPr>
              <w:spacing w:before="0" w:beforeAutospacing="off" w:after="0" w:afterAutospacing="off"/>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Increased revenue stability and optimized room rates year-round</w:t>
            </w:r>
          </w:p>
        </w:tc>
        <w:tc>
          <w:tcPr>
            <w:tcW w:w="690"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64E9860E" w14:textId="7A7507A6">
            <w:pPr>
              <w:spacing w:before="0" w:beforeAutospacing="off" w:after="0" w:afterAutospacing="off"/>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3 months</w:t>
            </w:r>
          </w:p>
        </w:tc>
        <w:tc>
          <w:tcPr>
            <w:tcW w:w="1140"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7615CA72" w14:textId="543B82F2">
            <w:pPr>
              <w:spacing w:before="0" w:beforeAutospacing="off" w:after="0" w:afterAutospacing="off"/>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January 2025</w:t>
            </w:r>
          </w:p>
        </w:tc>
        <w:tc>
          <w:tcPr>
            <w:tcW w:w="780"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0E552B6A" w14:textId="5BAD502E">
            <w:pPr>
              <w:spacing w:before="0" w:beforeAutospacing="off" w:after="0" w:afterAutospacing="off"/>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€30,000</w:t>
            </w:r>
          </w:p>
        </w:tc>
      </w:tr>
      <w:tr w:rsidR="5ED495D4" w:rsidTr="5ED495D4" w14:paraId="4F407F29">
        <w:trPr>
          <w:trHeight w:val="300"/>
        </w:trPr>
        <w:tc>
          <w:tcPr>
            <w:tcW w:w="810"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4AD62934" w14:textId="276CA4F6">
            <w:pPr>
              <w:spacing w:before="0" w:beforeAutospacing="off" w:after="0" w:afterAutospacing="off"/>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5</w:t>
            </w:r>
          </w:p>
        </w:tc>
        <w:tc>
          <w:tcPr>
            <w:tcW w:w="146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495E59B4" w14:textId="36C1A6A4">
            <w:pPr>
              <w:spacing w:before="0" w:beforeAutospacing="off" w:after="0" w:afterAutospacing="off"/>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Insufficient Off-Peak Bookings</w:t>
            </w:r>
          </w:p>
        </w:tc>
        <w:tc>
          <w:tcPr>
            <w:tcW w:w="152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61CB2253" w14:textId="471E6AE1">
            <w:pPr>
              <w:spacing w:before="0" w:beforeAutospacing="off" w:after="0" w:afterAutospacing="off"/>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Establish corporate partnerships</w:t>
            </w:r>
          </w:p>
        </w:tc>
        <w:tc>
          <w:tcPr>
            <w:tcW w:w="152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794E5DF8" w14:textId="61DEB2DF">
            <w:pPr>
              <w:spacing w:before="0" w:beforeAutospacing="off" w:after="0" w:afterAutospacing="off"/>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Consistent bookings from business clients, reducing seasonality impact</w:t>
            </w:r>
          </w:p>
        </w:tc>
        <w:tc>
          <w:tcPr>
            <w:tcW w:w="690"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4BACACA2" w14:textId="3F170D1E">
            <w:pPr>
              <w:spacing w:before="0" w:beforeAutospacing="off" w:after="0" w:afterAutospacing="off"/>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6 months</w:t>
            </w:r>
          </w:p>
        </w:tc>
        <w:tc>
          <w:tcPr>
            <w:tcW w:w="1140"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7D330082" w14:textId="2F097CEB">
            <w:pPr>
              <w:spacing w:before="0" w:beforeAutospacing="off" w:after="0" w:afterAutospacing="off"/>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March 2025</w:t>
            </w:r>
          </w:p>
        </w:tc>
        <w:tc>
          <w:tcPr>
            <w:tcW w:w="780"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29E6CC48" w14:textId="1663A27A">
            <w:pPr>
              <w:spacing w:before="0" w:beforeAutospacing="off" w:after="0" w:afterAutospacing="off"/>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€15,000</w:t>
            </w:r>
          </w:p>
        </w:tc>
      </w:tr>
      <w:tr w:rsidR="5ED495D4" w:rsidTr="5ED495D4" w14:paraId="0ED3E93B">
        <w:trPr>
          <w:trHeight w:val="300"/>
        </w:trPr>
        <w:tc>
          <w:tcPr>
            <w:tcW w:w="810"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06AA0602" w14:textId="0209B397">
            <w:pPr>
              <w:spacing w:before="0" w:beforeAutospacing="off" w:after="0" w:afterAutospacing="off"/>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6</w:t>
            </w:r>
          </w:p>
        </w:tc>
        <w:tc>
          <w:tcPr>
            <w:tcW w:w="146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44B59818" w14:textId="5005DF69">
            <w:pPr>
              <w:spacing w:before="0" w:beforeAutospacing="off" w:after="0" w:afterAutospacing="off"/>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High Energy and Water Consumption</w:t>
            </w:r>
          </w:p>
        </w:tc>
        <w:tc>
          <w:tcPr>
            <w:tcW w:w="152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2928E304" w14:textId="2785A836">
            <w:pPr>
              <w:spacing w:before="0" w:beforeAutospacing="off" w:after="0" w:afterAutospacing="off"/>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Install energy-efficient lighting and water-saving fixtures</w:t>
            </w:r>
          </w:p>
        </w:tc>
        <w:tc>
          <w:tcPr>
            <w:tcW w:w="152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7C3FE8B1" w14:textId="0633CAC6">
            <w:pPr>
              <w:spacing w:before="0" w:beforeAutospacing="off" w:after="0" w:afterAutospacing="off"/>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Reduced utility costs, lower environmental impact</w:t>
            </w:r>
          </w:p>
        </w:tc>
        <w:tc>
          <w:tcPr>
            <w:tcW w:w="690"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53FF8CE0" w14:textId="17F4F4B6">
            <w:pPr>
              <w:spacing w:before="0" w:beforeAutospacing="off" w:after="0" w:afterAutospacing="off"/>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3 months</w:t>
            </w:r>
          </w:p>
        </w:tc>
        <w:tc>
          <w:tcPr>
            <w:tcW w:w="1140"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126796FC" w14:textId="28343652">
            <w:pPr>
              <w:spacing w:before="0" w:beforeAutospacing="off" w:after="0" w:afterAutospacing="off"/>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January 2025</w:t>
            </w:r>
          </w:p>
        </w:tc>
        <w:tc>
          <w:tcPr>
            <w:tcW w:w="780"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2FF1B7FB" w14:textId="665D29D2">
            <w:pPr>
              <w:spacing w:before="0" w:beforeAutospacing="off" w:after="0" w:afterAutospacing="off"/>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€20,000</w:t>
            </w:r>
          </w:p>
        </w:tc>
      </w:tr>
      <w:tr w:rsidR="5ED495D4" w:rsidTr="5ED495D4" w14:paraId="02129187">
        <w:trPr>
          <w:trHeight w:val="300"/>
        </w:trPr>
        <w:tc>
          <w:tcPr>
            <w:tcW w:w="810"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2E8B4181" w14:textId="594E4533">
            <w:pPr>
              <w:spacing w:before="0" w:beforeAutospacing="off" w:after="0" w:afterAutospacing="off"/>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7</w:t>
            </w:r>
          </w:p>
        </w:tc>
        <w:tc>
          <w:tcPr>
            <w:tcW w:w="146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6C3040A9" w14:textId="61B51CF2">
            <w:pPr>
              <w:spacing w:before="0" w:beforeAutospacing="off" w:after="0" w:afterAutospacing="off"/>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Excessive Waste and Single-Use Plastics</w:t>
            </w:r>
          </w:p>
        </w:tc>
        <w:tc>
          <w:tcPr>
            <w:tcW w:w="152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50DB0FDA" w14:textId="242EC4DD">
            <w:pPr>
              <w:spacing w:before="0" w:beforeAutospacing="off" w:after="0" w:afterAutospacing="off"/>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Launch waste reduction and recycling program</w:t>
            </w:r>
          </w:p>
        </w:tc>
        <w:tc>
          <w:tcPr>
            <w:tcW w:w="152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51C7C020" w14:textId="6D8CF71F">
            <w:pPr>
              <w:spacing w:before="0" w:beforeAutospacing="off" w:after="0" w:afterAutospacing="off"/>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Reduced waste footprint, enhanced brand image for sustainability</w:t>
            </w:r>
          </w:p>
        </w:tc>
        <w:tc>
          <w:tcPr>
            <w:tcW w:w="690"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7F505CD0" w14:textId="6EE7D022">
            <w:pPr>
              <w:spacing w:before="0" w:beforeAutospacing="off" w:after="0" w:afterAutospacing="off"/>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2 months</w:t>
            </w:r>
          </w:p>
        </w:tc>
        <w:tc>
          <w:tcPr>
            <w:tcW w:w="1140"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2EDB647F" w14:textId="17B241FB">
            <w:pPr>
              <w:spacing w:before="0" w:beforeAutospacing="off" w:after="0" w:afterAutospacing="off"/>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December 2024</w:t>
            </w:r>
          </w:p>
        </w:tc>
        <w:tc>
          <w:tcPr>
            <w:tcW w:w="780"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59553A32" w14:textId="72CB23F1">
            <w:pPr>
              <w:spacing w:before="0" w:beforeAutospacing="off" w:after="0" w:afterAutospacing="off"/>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€10,000</w:t>
            </w:r>
          </w:p>
        </w:tc>
      </w:tr>
      <w:tr w:rsidR="5ED495D4" w:rsidTr="5ED495D4" w14:paraId="0BE23F0F">
        <w:trPr>
          <w:trHeight w:val="300"/>
        </w:trPr>
        <w:tc>
          <w:tcPr>
            <w:tcW w:w="810"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22974215" w14:textId="689670C3">
            <w:pPr>
              <w:spacing w:before="0" w:beforeAutospacing="off" w:after="0" w:afterAutospacing="off"/>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8</w:t>
            </w:r>
          </w:p>
        </w:tc>
        <w:tc>
          <w:tcPr>
            <w:tcW w:w="146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11D4D76E" w14:textId="418620E9">
            <w:pPr>
              <w:spacing w:before="0" w:beforeAutospacing="off" w:after="0" w:afterAutospacing="off"/>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High Carbon Footprint from Imports</w:t>
            </w:r>
          </w:p>
        </w:tc>
        <w:tc>
          <w:tcPr>
            <w:tcW w:w="152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7A00E0AF" w14:textId="5CA69AAC">
            <w:pPr>
              <w:spacing w:before="0" w:beforeAutospacing="off" w:after="0" w:afterAutospacing="off"/>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Partner with local suppliers for amenities and F&amp;B</w:t>
            </w:r>
          </w:p>
        </w:tc>
        <w:tc>
          <w:tcPr>
            <w:tcW w:w="1524"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21C0846B" w14:textId="0223E424">
            <w:pPr>
              <w:spacing w:before="0" w:beforeAutospacing="off" w:after="0" w:afterAutospacing="off"/>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Lower carbon footprint, support for local economy</w:t>
            </w:r>
          </w:p>
        </w:tc>
        <w:tc>
          <w:tcPr>
            <w:tcW w:w="690"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062D74A4" w14:textId="1C1873A5">
            <w:pPr>
              <w:spacing w:before="0" w:beforeAutospacing="off" w:after="0" w:afterAutospacing="off"/>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4 months</w:t>
            </w:r>
          </w:p>
        </w:tc>
        <w:tc>
          <w:tcPr>
            <w:tcW w:w="1140"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733D5D2E" w14:textId="45F362AA">
            <w:pPr>
              <w:spacing w:before="0" w:beforeAutospacing="off" w:after="0" w:afterAutospacing="off"/>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February 2025</w:t>
            </w:r>
          </w:p>
        </w:tc>
        <w:tc>
          <w:tcPr>
            <w:tcW w:w="780"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6E3A4358" w14:textId="544F5B1E">
            <w:pPr>
              <w:spacing w:before="0" w:beforeAutospacing="off" w:after="0" w:afterAutospacing="off"/>
              <w:rPr>
                <w:rFonts w:ascii="Arial Nova" w:hAnsi="Arial Nova" w:eastAsia="Arial Nova" w:cs="Arial Nova"/>
                <w:b w:val="0"/>
                <w:bCs w:val="0"/>
                <w:i w:val="0"/>
                <w:iCs w:val="0"/>
                <w:strike w:val="0"/>
                <w:dstrike w:val="0"/>
                <w:color w:val="000000" w:themeColor="text1" w:themeTint="FF" w:themeShade="FF"/>
                <w:sz w:val="24"/>
                <w:szCs w:val="24"/>
                <w:u w:val="none"/>
              </w:rPr>
            </w:pPr>
            <w:r w:rsidRPr="5ED495D4" w:rsidR="5ED495D4">
              <w:rPr>
                <w:rFonts w:ascii="Arial Nova" w:hAnsi="Arial Nova" w:eastAsia="Arial Nova" w:cs="Arial Nova"/>
                <w:b w:val="0"/>
                <w:bCs w:val="0"/>
                <w:i w:val="0"/>
                <w:iCs w:val="0"/>
                <w:strike w:val="0"/>
                <w:dstrike w:val="0"/>
                <w:color w:val="000000" w:themeColor="text1" w:themeTint="FF" w:themeShade="FF"/>
                <w:sz w:val="24"/>
                <w:szCs w:val="24"/>
                <w:u w:val="none"/>
              </w:rPr>
              <w:t>€10,000</w:t>
            </w:r>
          </w:p>
        </w:tc>
      </w:tr>
    </w:tbl>
    <w:p xmlns:wp14="http://schemas.microsoft.com/office/word/2010/wordml" w:rsidP="5ED495D4" wp14:paraId="271B8DF8" wp14:textId="25A4FBAE">
      <w:pPr>
        <w:rPr>
          <w:rFonts w:ascii="Arial Nova" w:hAnsi="Arial Nova" w:eastAsia="Arial Nova" w:cs="Arial Nova"/>
          <w:sz w:val="24"/>
          <w:szCs w:val="24"/>
        </w:rPr>
      </w:pPr>
    </w:p>
    <w:p xmlns:wp14="http://schemas.microsoft.com/office/word/2010/wordml" w:rsidP="5ED495D4" wp14:paraId="5695D8A6" wp14:textId="057FF41A">
      <w:pPr>
        <w:pStyle w:val="Heading1"/>
        <w:spacing w:before="0" w:beforeAutospacing="off" w:after="0" w:afterAutospacing="off"/>
        <w:jc w:val="both"/>
        <w:rPr>
          <w:rFonts w:ascii="Arial Nova" w:hAnsi="Arial Nova" w:eastAsia="Arial Nova" w:cs="Arial Nova"/>
          <w:b w:val="1"/>
          <w:bCs w:val="1"/>
          <w:i w:val="0"/>
          <w:iCs w:val="0"/>
          <w:strike w:val="0"/>
          <w:dstrike w:val="0"/>
          <w:noProof w:val="0"/>
          <w:color w:val="000000" w:themeColor="text1" w:themeTint="FF" w:themeShade="FF"/>
          <w:sz w:val="24"/>
          <w:szCs w:val="24"/>
          <w:u w:val="none"/>
          <w:lang w:val="en-US"/>
        </w:rPr>
      </w:pPr>
      <w:r w:rsidRPr="5ED495D4" w:rsidR="5C7B1F42">
        <w:rPr>
          <w:rFonts w:ascii="Arial Nova" w:hAnsi="Arial Nova" w:eastAsia="Arial Nova" w:cs="Arial Nova"/>
          <w:b w:val="1"/>
          <w:bCs w:val="1"/>
          <w:i w:val="0"/>
          <w:iCs w:val="0"/>
          <w:strike w:val="0"/>
          <w:dstrike w:val="0"/>
          <w:noProof w:val="0"/>
          <w:color w:val="000000" w:themeColor="text1" w:themeTint="FF" w:themeShade="FF"/>
          <w:sz w:val="24"/>
          <w:szCs w:val="24"/>
          <w:u w:val="none"/>
          <w:lang w:val="en-US"/>
        </w:rPr>
        <w:t>Conclusion</w:t>
      </w:r>
    </w:p>
    <w:p xmlns:wp14="http://schemas.microsoft.com/office/word/2010/wordml" w:rsidP="5ED495D4" wp14:paraId="67FF6547" wp14:textId="553287C1">
      <w:pPr>
        <w:spacing w:before="0" w:beforeAutospacing="off" w:after="0" w:afterAutospacing="off"/>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pP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The consultancy report for Accor’s Dubai property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identifies</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key areas for improvement and proposes actionable recommendations to address operational challenges, stabilize revenue, and enhance sustainability (Massimo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Regona</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et al., 2024). The analysis provided insights into the hotel’s strengths, weaknesses, opportunities, and threats (SWOT), revealing that while the property excels in luxury offerings and brand reputation, it faces challenges in delivering consistent customer service,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optimizing</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revenue during off-peak seasons, and meeting growing environmental expectations. External and internal factors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impacting</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the property were evaluated through PESTEL and TOWS frameworks, further informing a comprehensive understanding of the hotel’s operational landscape.</w:t>
      </w:r>
    </w:p>
    <w:p xmlns:wp14="http://schemas.microsoft.com/office/word/2010/wordml" w:rsidP="5ED495D4" wp14:paraId="68ACAB78" wp14:textId="4FBE4D66">
      <w:pPr>
        <w:spacing w:before="0" w:beforeAutospacing="off" w:after="0" w:afterAutospacing="off"/>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pP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The recommendations presented in this report are tailored to address the specific issues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identified</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in the analysis. To improve customer service consistency, a detailed training program for staff was recommended, focusing on core hospitality skills and personalization techniques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Mericia</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2020). This approach aims to create a consistently positive guest experience, increasing satisfaction and loyalty in the highly competitive luxury market. To capture and respond to guest feedback in real-time, a digital feedback system was suggested. This will empower Accor’s Dubai property to address issues as they arise, reinforcing its commitment to exceptional service quality.</w:t>
      </w:r>
    </w:p>
    <w:p xmlns:wp14="http://schemas.microsoft.com/office/word/2010/wordml" w:rsidP="5ED495D4" wp14:paraId="57EED2F2" wp14:textId="125A904F">
      <w:pPr>
        <w:spacing w:before="0" w:beforeAutospacing="off" w:after="0" w:afterAutospacing="off"/>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pP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Revenue optimization strategies are essential for the Dubai property, given the seasonal demand fluctuations characteristic of the tourism market. A dynamic pricing system was recommended to adjust room rates based on real-time demand, helping the hotel remain competitive and stabilize revenue year-round. Additionally, developing partnerships with corporate clients was suggested as a strategic approach to secure steady business, particularly during off-peak seasons, thus creating a balanced mix of leisure and business guests (Gibbons, 2015).</w:t>
      </w:r>
    </w:p>
    <w:p xmlns:wp14="http://schemas.microsoft.com/office/word/2010/wordml" w:rsidP="5ED495D4" wp14:paraId="13EEF951" wp14:textId="563E8219">
      <w:pPr>
        <w:spacing w:before="0" w:beforeAutospacing="off" w:after="0" w:afterAutospacing="off"/>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pP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Environmental sustainability is becoming increasingly important for guests in the luxury segment. To enhance its sustainability profile, Accor’s Dubai property was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advised to implement</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energy-efficient lighting and water-saving fixtures. Waste reduction and recycling initiatives were also recommended to reduce the hotel’s environmental footprint and align with Accor’s broader Planet 21 sustainability goals. Partnering with local suppliers for in-room amenities and food items was suggested to support the local economy while reducing the carbon footprint associated with imports, meeting the expectations of eco-conscious travelers (GUPTA, 2024).</w:t>
      </w:r>
    </w:p>
    <w:p xmlns:wp14="http://schemas.microsoft.com/office/word/2010/wordml" w:rsidP="5ED495D4" wp14:paraId="754AFC24" wp14:textId="753A84BA">
      <w:pPr>
        <w:spacing w:before="0" w:beforeAutospacing="off" w:after="0" w:afterAutospacing="off"/>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pP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The report outlines a structured change management strategy, emphasizing the importance of staff engagement, training, and communication to ensure the successful implementation of each recommendation. By involving employees in the process from the outset and providing comprehensive training, the hotel can cultivate a culture of continuous improvement and adaptability. Clear and consistent communication throughout the transition will help reduce resistance to change, fostering an environment where employees are motivated to support new initiatives (Hamed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Taherdoost</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2023).</w:t>
      </w:r>
    </w:p>
    <w:p xmlns:wp14="http://schemas.microsoft.com/office/word/2010/wordml" w:rsidP="5ED495D4" wp14:paraId="0982437C" wp14:textId="2C26E04F">
      <w:pPr>
        <w:spacing w:before="0" w:beforeAutospacing="off" w:after="0" w:afterAutospacing="off"/>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pP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Key performance indicators (KPIs) were defined to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monitor</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the effectiveness of each recommendation, covering areas such as customer satisfaction, employee retention, revenue performance, and environmental impact. Regularly tracking these metrics will allow Accor to assess progress and make data-driven adjustments as needed to achieve desired outcomes.</w:t>
      </w:r>
    </w:p>
    <w:p xmlns:wp14="http://schemas.microsoft.com/office/word/2010/wordml" w:rsidP="5ED495D4" wp14:paraId="1B25D94A" wp14:textId="49D28A50">
      <w:pPr>
        <w:spacing w:before="0" w:beforeAutospacing="off" w:after="0" w:afterAutospacing="off"/>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pP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On behalf of our consultancy firm, I would like to express our sincere gratitude to Accor Hotels for entrusting us with this opportunity to contribute to the growth and enhancement of its Dubai property. Working collaboratively on this project has been a rewarding experience, and we are confident that these recommendations will lead to positive and measurable improvements in guest satisfaction, revenue stability, and sustainability. We look forward to future opportunities to support Accor Hotels in its mission to redefine excellence in hospitality and drive sustainable growth. Thank you for the opportunity to contribute to this vision, and we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remain</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committed to your continued success.</w:t>
      </w:r>
    </w:p>
    <w:p xmlns:wp14="http://schemas.microsoft.com/office/word/2010/wordml" wp14:paraId="2A76DC06" wp14:textId="29D70495"/>
    <w:p xmlns:wp14="http://schemas.microsoft.com/office/word/2010/wordml" wp14:paraId="2565C5D8" wp14:textId="0FA78C9C"/>
    <w:p xmlns:wp14="http://schemas.microsoft.com/office/word/2010/wordml" wp14:paraId="048B306F" wp14:textId="0320F927"/>
    <w:p xmlns:wp14="http://schemas.microsoft.com/office/word/2010/wordml" wp14:paraId="6424A726" wp14:textId="6A78E7F7"/>
    <w:p xmlns:wp14="http://schemas.microsoft.com/office/word/2010/wordml" wp14:paraId="6C32660B" wp14:textId="35B14A4E"/>
    <w:p xmlns:wp14="http://schemas.microsoft.com/office/word/2010/wordml" wp14:paraId="28371B5E" wp14:textId="2FFA0E9D"/>
    <w:p xmlns:wp14="http://schemas.microsoft.com/office/word/2010/wordml" wp14:paraId="0AFA1E8A" wp14:textId="1CF0E5B2"/>
    <w:p xmlns:wp14="http://schemas.microsoft.com/office/word/2010/wordml" wp14:paraId="1E8B40A9" wp14:textId="2405088A"/>
    <w:p xmlns:wp14="http://schemas.microsoft.com/office/word/2010/wordml" wp14:paraId="1AB4B066" wp14:textId="6F24B8B6"/>
    <w:p xmlns:wp14="http://schemas.microsoft.com/office/word/2010/wordml" wp14:paraId="00DE41E6" wp14:textId="09FDF892"/>
    <w:p xmlns:wp14="http://schemas.microsoft.com/office/word/2010/wordml" wp14:paraId="079E610F" wp14:textId="1BB46C3B"/>
    <w:p xmlns:wp14="http://schemas.microsoft.com/office/word/2010/wordml" wp14:paraId="03084D6E" wp14:textId="34BE7C2C"/>
    <w:p xmlns:wp14="http://schemas.microsoft.com/office/word/2010/wordml" wp14:paraId="46740D60" wp14:textId="381BD590"/>
    <w:p xmlns:wp14="http://schemas.microsoft.com/office/word/2010/wordml" wp14:paraId="1887F013" wp14:textId="0875850C"/>
    <w:p xmlns:wp14="http://schemas.microsoft.com/office/word/2010/wordml" w:rsidP="5ED495D4" wp14:paraId="5E86BD85" wp14:textId="7CA91BFB">
      <w:pPr>
        <w:pStyle w:val="Heading1"/>
      </w:pPr>
      <w:r w:rsidRPr="5ED495D4" w:rsidR="5C7B1F42">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US"/>
        </w:rPr>
        <w:t>References</w:t>
      </w:r>
    </w:p>
    <w:p xmlns:wp14="http://schemas.microsoft.com/office/word/2010/wordml" w:rsidP="5ED495D4" wp14:paraId="5349092E" wp14:textId="0B2CA3A2">
      <w:pPr>
        <w:spacing w:before="0" w:beforeAutospacing="off" w:after="240" w:afterAutospacing="off"/>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pP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Abellanet</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Miranda, C. (2022). Multinational firms in the tourism sector: Accor Hotels. </w:t>
      </w:r>
      <w:r w:rsidRPr="5ED495D4" w:rsidR="5C7B1F42">
        <w:rPr>
          <w:rFonts w:ascii="Arial Nova" w:hAnsi="Arial Nova" w:eastAsia="Arial Nova" w:cs="Arial Nova"/>
          <w:b w:val="0"/>
          <w:bCs w:val="0"/>
          <w:i w:val="1"/>
          <w:iCs w:val="1"/>
          <w:strike w:val="0"/>
          <w:dstrike w:val="0"/>
          <w:noProof w:val="0"/>
          <w:color w:val="000000" w:themeColor="text1" w:themeTint="FF" w:themeShade="FF"/>
          <w:sz w:val="24"/>
          <w:szCs w:val="24"/>
          <w:u w:val="none"/>
          <w:lang w:val="en-US"/>
        </w:rPr>
        <w:t>repositori.uib.es</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[online] Available at: </w:t>
      </w:r>
      <w:hyperlink r:id="Rdb92d249b4e642ca">
        <w:r w:rsidRPr="5ED495D4" w:rsidR="5C7B1F42">
          <w:rPr>
            <w:rStyle w:val="Hyperlink"/>
            <w:rFonts w:ascii="Arial Nova" w:hAnsi="Arial Nova" w:eastAsia="Arial Nova" w:cs="Arial Nova"/>
            <w:b w:val="0"/>
            <w:bCs w:val="0"/>
            <w:i w:val="0"/>
            <w:iCs w:val="0"/>
            <w:strike w:val="0"/>
            <w:dstrike w:val="0"/>
            <w:noProof w:val="0"/>
            <w:sz w:val="24"/>
            <w:szCs w:val="24"/>
            <w:lang w:val="en-US"/>
          </w:rPr>
          <w:t>https://repositori.uib.es/xmlui/handle/11201/158933</w:t>
        </w:r>
      </w:hyperlink>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w:t>
      </w:r>
    </w:p>
    <w:p xmlns:wp14="http://schemas.microsoft.com/office/word/2010/wordml" w:rsidP="5ED495D4" wp14:paraId="6B0725D1" wp14:textId="5634C43F">
      <w:pPr>
        <w:spacing w:before="0" w:beforeAutospacing="off" w:after="240" w:afterAutospacing="off"/>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pP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Acampora, A., Preziosi, M., Lucchetti, M.C. and Merli, R. (2022). The Role of Hotel Environmental Communication and Guests’ Environmental Concern in Determining Guests’ Behavioral Intentions. </w:t>
      </w:r>
      <w:r w:rsidRPr="5ED495D4" w:rsidR="5C7B1F42">
        <w:rPr>
          <w:rFonts w:ascii="Arial Nova" w:hAnsi="Arial Nova" w:eastAsia="Arial Nova" w:cs="Arial Nova"/>
          <w:b w:val="0"/>
          <w:bCs w:val="0"/>
          <w:i w:val="1"/>
          <w:iCs w:val="1"/>
          <w:strike w:val="0"/>
          <w:dstrike w:val="0"/>
          <w:noProof w:val="0"/>
          <w:color w:val="000000" w:themeColor="text1" w:themeTint="FF" w:themeShade="FF"/>
          <w:sz w:val="24"/>
          <w:szCs w:val="24"/>
          <w:u w:val="none"/>
          <w:lang w:val="en-US"/>
        </w:rPr>
        <w:t>Sustainability</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14(18), p.11638.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doi:https</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://doi.org/10.3390/su141811638.</w:t>
      </w:r>
    </w:p>
    <w:p xmlns:wp14="http://schemas.microsoft.com/office/word/2010/wordml" w:rsidP="5ED495D4" wp14:paraId="06E030E8" wp14:textId="78B37ED5">
      <w:pPr>
        <w:spacing w:before="0" w:beforeAutospacing="off" w:after="240" w:afterAutospacing="off"/>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pP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Accor (2023). </w:t>
      </w:r>
      <w:r w:rsidRPr="5ED495D4" w:rsidR="5C7B1F42">
        <w:rPr>
          <w:rFonts w:ascii="Arial Nova" w:hAnsi="Arial Nova" w:eastAsia="Arial Nova" w:cs="Arial Nova"/>
          <w:b w:val="0"/>
          <w:bCs w:val="0"/>
          <w:i w:val="1"/>
          <w:iCs w:val="1"/>
          <w:strike w:val="0"/>
          <w:dstrike w:val="0"/>
          <w:noProof w:val="0"/>
          <w:color w:val="000000" w:themeColor="text1" w:themeTint="FF" w:themeShade="FF"/>
          <w:sz w:val="24"/>
          <w:szCs w:val="24"/>
          <w:u w:val="none"/>
          <w:lang w:val="en-US"/>
        </w:rPr>
        <w:t xml:space="preserve">ALL - Accor Live Limitless lifestyle loyalty </w:t>
      </w:r>
      <w:r w:rsidRPr="5ED495D4" w:rsidR="5C7B1F42">
        <w:rPr>
          <w:rFonts w:ascii="Arial Nova" w:hAnsi="Arial Nova" w:eastAsia="Arial Nova" w:cs="Arial Nova"/>
          <w:b w:val="0"/>
          <w:bCs w:val="0"/>
          <w:i w:val="1"/>
          <w:iCs w:val="1"/>
          <w:strike w:val="0"/>
          <w:dstrike w:val="0"/>
          <w:noProof w:val="0"/>
          <w:color w:val="000000" w:themeColor="text1" w:themeTint="FF" w:themeShade="FF"/>
          <w:sz w:val="24"/>
          <w:szCs w:val="24"/>
          <w:u w:val="none"/>
          <w:lang w:val="en-US"/>
        </w:rPr>
        <w:t>programme</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[online] all.accor.com. Available at: </w:t>
      </w:r>
      <w:hyperlink r:id="R736ec425eada45af">
        <w:r w:rsidRPr="5ED495D4" w:rsidR="5C7B1F42">
          <w:rPr>
            <w:rStyle w:val="Hyperlink"/>
            <w:rFonts w:ascii="Arial Nova" w:hAnsi="Arial Nova" w:eastAsia="Arial Nova" w:cs="Arial Nova"/>
            <w:b w:val="0"/>
            <w:bCs w:val="0"/>
            <w:i w:val="0"/>
            <w:iCs w:val="0"/>
            <w:strike w:val="0"/>
            <w:dstrike w:val="0"/>
            <w:noProof w:val="0"/>
            <w:sz w:val="24"/>
            <w:szCs w:val="24"/>
            <w:lang w:val="en-US"/>
          </w:rPr>
          <w:t>https://all.accor.com/loyalty-program/reasonstojoin/index.en.shtml</w:t>
        </w:r>
      </w:hyperlink>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w:t>
      </w:r>
    </w:p>
    <w:p xmlns:wp14="http://schemas.microsoft.com/office/word/2010/wordml" w:rsidP="5ED495D4" wp14:paraId="03B93E87" wp14:textId="6ECD6908">
      <w:pPr>
        <w:spacing w:before="0" w:beforeAutospacing="off" w:after="240" w:afterAutospacing="off"/>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pP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Ahmad, M., Naeem, M.K.H.,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Mobo</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F.D., Tahir, M.W. and Akram, M. (2024). </w:t>
      </w:r>
      <w:r w:rsidRPr="5ED495D4" w:rsidR="5C7B1F42">
        <w:rPr>
          <w:rFonts w:ascii="Arial Nova" w:hAnsi="Arial Nova" w:eastAsia="Arial Nova" w:cs="Arial Nova"/>
          <w:b w:val="0"/>
          <w:bCs w:val="0"/>
          <w:i w:val="1"/>
          <w:iCs w:val="1"/>
          <w:strike w:val="0"/>
          <w:dstrike w:val="0"/>
          <w:noProof w:val="0"/>
          <w:color w:val="000000" w:themeColor="text1" w:themeTint="FF" w:themeShade="FF"/>
          <w:sz w:val="24"/>
          <w:szCs w:val="24"/>
          <w:u w:val="none"/>
          <w:lang w:val="en-US"/>
        </w:rPr>
        <w:t>Navigating the Journey: How Chatbots Are Transforming Tourism and Hospitality</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[online] </w:t>
      </w:r>
      <w:hyperlink r:id="Rda88ee5a773448d8">
        <w:r w:rsidRPr="5ED495D4" w:rsidR="5C7B1F42">
          <w:rPr>
            <w:rStyle w:val="Hyperlink"/>
            <w:rFonts w:ascii="Arial Nova" w:hAnsi="Arial Nova" w:eastAsia="Arial Nova" w:cs="Arial Nova"/>
            <w:b w:val="0"/>
            <w:bCs w:val="0"/>
            <w:i w:val="0"/>
            <w:iCs w:val="0"/>
            <w:strike w:val="0"/>
            <w:dstrike w:val="0"/>
            <w:noProof w:val="0"/>
            <w:sz w:val="24"/>
            <w:szCs w:val="24"/>
            <w:lang w:val="en-US"/>
          </w:rPr>
          <w:t>www.igi-global.com</w:t>
        </w:r>
      </w:hyperlink>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Available at: </w:t>
      </w:r>
      <w:hyperlink r:id="R170a46905ef84c48">
        <w:r w:rsidRPr="5ED495D4" w:rsidR="5C7B1F42">
          <w:rPr>
            <w:rStyle w:val="Hyperlink"/>
            <w:rFonts w:ascii="Arial Nova" w:hAnsi="Arial Nova" w:eastAsia="Arial Nova" w:cs="Arial Nova"/>
            <w:b w:val="0"/>
            <w:bCs w:val="0"/>
            <w:i w:val="0"/>
            <w:iCs w:val="0"/>
            <w:strike w:val="0"/>
            <w:dstrike w:val="0"/>
            <w:noProof w:val="0"/>
            <w:sz w:val="24"/>
            <w:szCs w:val="24"/>
            <w:lang w:val="en-US"/>
          </w:rPr>
          <w:t>https://www.igi-global.com/chapter/navigating-the-journey/344261</w:t>
        </w:r>
      </w:hyperlink>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w:t>
      </w:r>
    </w:p>
    <w:p xmlns:wp14="http://schemas.microsoft.com/office/word/2010/wordml" w:rsidP="5ED495D4" wp14:paraId="1E2F3341" wp14:textId="1ED9E8A3">
      <w:pPr>
        <w:spacing w:before="0" w:beforeAutospacing="off" w:after="240" w:afterAutospacing="off"/>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pP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Alfaro, L., Calani, M. and Varela, L. (2024). </w:t>
      </w:r>
      <w:r w:rsidRPr="5ED495D4" w:rsidR="5C7B1F42">
        <w:rPr>
          <w:rFonts w:ascii="Arial Nova" w:hAnsi="Arial Nova" w:eastAsia="Arial Nova" w:cs="Arial Nova"/>
          <w:b w:val="0"/>
          <w:bCs w:val="0"/>
          <w:i w:val="1"/>
          <w:iCs w:val="1"/>
          <w:strike w:val="0"/>
          <w:dstrike w:val="0"/>
          <w:noProof w:val="0"/>
          <w:color w:val="000000" w:themeColor="text1" w:themeTint="FF" w:themeShade="FF"/>
          <w:sz w:val="24"/>
          <w:szCs w:val="24"/>
          <w:u w:val="none"/>
          <w:lang w:val="en-US"/>
        </w:rPr>
        <w:t>Firms, currency hedging, and financial derivatives</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[online] </w:t>
      </w:r>
      <w:hyperlink r:id="R5da7b4642c754247">
        <w:r w:rsidRPr="5ED495D4" w:rsidR="5C7B1F42">
          <w:rPr>
            <w:rStyle w:val="Hyperlink"/>
            <w:rFonts w:ascii="Arial Nova" w:hAnsi="Arial Nova" w:eastAsia="Arial Nova" w:cs="Arial Nova"/>
            <w:b w:val="0"/>
            <w:bCs w:val="0"/>
            <w:i w:val="0"/>
            <w:iCs w:val="0"/>
            <w:strike w:val="0"/>
            <w:dstrike w:val="0"/>
            <w:noProof w:val="0"/>
            <w:sz w:val="24"/>
            <w:szCs w:val="24"/>
            <w:lang w:val="en-US"/>
          </w:rPr>
          <w:t>www.elgaronline.com</w:t>
        </w:r>
      </w:hyperlink>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Available at: </w:t>
      </w:r>
      <w:hyperlink r:id="R9c3700cbfd7140a7">
        <w:r w:rsidRPr="5ED495D4" w:rsidR="5C7B1F42">
          <w:rPr>
            <w:rStyle w:val="Hyperlink"/>
            <w:rFonts w:ascii="Arial Nova" w:hAnsi="Arial Nova" w:eastAsia="Arial Nova" w:cs="Arial Nova"/>
            <w:b w:val="0"/>
            <w:bCs w:val="0"/>
            <w:i w:val="0"/>
            <w:iCs w:val="0"/>
            <w:strike w:val="0"/>
            <w:dstrike w:val="0"/>
            <w:noProof w:val="0"/>
            <w:sz w:val="24"/>
            <w:szCs w:val="24"/>
            <w:lang w:val="en-US"/>
          </w:rPr>
          <w:t>https://www.elgaronline.com/edcollchap/book/9781803926377/book-part-9781803926377-23.xml</w:t>
        </w:r>
      </w:hyperlink>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w:t>
      </w:r>
    </w:p>
    <w:p xmlns:wp14="http://schemas.microsoft.com/office/word/2010/wordml" w:rsidP="5ED495D4" wp14:paraId="0672045A" wp14:textId="0D51CC26">
      <w:pPr>
        <w:spacing w:before="0" w:beforeAutospacing="off" w:after="240" w:afterAutospacing="off"/>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pP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Ali, B. (2023). Corporate social responsibility practices within the scope of sustainable tourism: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A research</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at Accor Hotels. </w:t>
      </w:r>
      <w:r w:rsidRPr="5ED495D4" w:rsidR="5C7B1F42">
        <w:rPr>
          <w:rFonts w:ascii="Arial Nova" w:hAnsi="Arial Nova" w:eastAsia="Arial Nova" w:cs="Arial Nova"/>
          <w:b w:val="0"/>
          <w:bCs w:val="0"/>
          <w:i w:val="1"/>
          <w:iCs w:val="1"/>
          <w:strike w:val="0"/>
          <w:dstrike w:val="0"/>
          <w:noProof w:val="0"/>
          <w:color w:val="000000" w:themeColor="text1" w:themeTint="FF" w:themeShade="FF"/>
          <w:sz w:val="24"/>
          <w:szCs w:val="24"/>
          <w:u w:val="none"/>
          <w:lang w:val="en-US"/>
        </w:rPr>
        <w:t>Prosperitas</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[online] 10(1), pp.1–10. Available at: </w:t>
      </w:r>
      <w:hyperlink r:id="Rc2098262679b4e41">
        <w:r w:rsidRPr="5ED495D4" w:rsidR="5C7B1F42">
          <w:rPr>
            <w:rStyle w:val="Hyperlink"/>
            <w:rFonts w:ascii="Arial Nova" w:hAnsi="Arial Nova" w:eastAsia="Arial Nova" w:cs="Arial Nova"/>
            <w:b w:val="0"/>
            <w:bCs w:val="0"/>
            <w:i w:val="0"/>
            <w:iCs w:val="0"/>
            <w:strike w:val="0"/>
            <w:dstrike w:val="0"/>
            <w:noProof w:val="0"/>
            <w:sz w:val="24"/>
            <w:szCs w:val="24"/>
            <w:lang w:val="en-US"/>
          </w:rPr>
          <w:t>https://publikaciotar.uni-bge.hu/id/eprint/1913/</w:t>
        </w:r>
      </w:hyperlink>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w:t>
      </w:r>
    </w:p>
    <w:p xmlns:wp14="http://schemas.microsoft.com/office/word/2010/wordml" w:rsidP="5ED495D4" wp14:paraId="6EE5693A" wp14:textId="58D7F48A">
      <w:pPr>
        <w:spacing w:before="0" w:beforeAutospacing="off" w:after="240" w:afterAutospacing="off"/>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pP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Alrawabdeh</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W. (2021). Seasonal Balancing of Revenue and Demand in Hotel industry: the Case of Dubai City. </w:t>
      </w:r>
      <w:r w:rsidRPr="5ED495D4" w:rsidR="5C7B1F42">
        <w:rPr>
          <w:rFonts w:ascii="Arial Nova" w:hAnsi="Arial Nova" w:eastAsia="Arial Nova" w:cs="Arial Nova"/>
          <w:b w:val="0"/>
          <w:bCs w:val="0"/>
          <w:i w:val="1"/>
          <w:iCs w:val="1"/>
          <w:strike w:val="0"/>
          <w:dstrike w:val="0"/>
          <w:noProof w:val="0"/>
          <w:color w:val="000000" w:themeColor="text1" w:themeTint="FF" w:themeShade="FF"/>
          <w:sz w:val="24"/>
          <w:szCs w:val="24"/>
          <w:u w:val="none"/>
          <w:lang w:val="en-US"/>
        </w:rPr>
        <w:t>Journal of Revenue and Pricing Management</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[online] 21(1).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doi:https</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://doi.org/10.1057/s41272-021-00290-6.</w:t>
      </w:r>
    </w:p>
    <w:p xmlns:wp14="http://schemas.microsoft.com/office/word/2010/wordml" w:rsidP="5ED495D4" wp14:paraId="3DDBDF7E" wp14:textId="65D1BF72">
      <w:pPr>
        <w:spacing w:before="0" w:beforeAutospacing="off" w:after="240" w:afterAutospacing="off"/>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pP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Arapou</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D. and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Kapiki</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S. (2023). </w:t>
      </w:r>
      <w:r w:rsidRPr="5ED495D4" w:rsidR="5C7B1F42">
        <w:rPr>
          <w:rFonts w:ascii="Arial Nova" w:hAnsi="Arial Nova" w:eastAsia="Arial Nova" w:cs="Arial Nova"/>
          <w:b w:val="0"/>
          <w:bCs w:val="0"/>
          <w:i w:val="1"/>
          <w:iCs w:val="1"/>
          <w:strike w:val="0"/>
          <w:dstrike w:val="0"/>
          <w:noProof w:val="0"/>
          <w:color w:val="000000" w:themeColor="text1" w:themeTint="FF" w:themeShade="FF"/>
          <w:sz w:val="24"/>
          <w:szCs w:val="24"/>
          <w:u w:val="none"/>
          <w:lang w:val="en-US"/>
        </w:rPr>
        <w:t xml:space="preserve">Enhancing the Guest Experience in Hospitality Through Technology: An Outlook </w:t>
      </w:r>
      <w:r w:rsidRPr="5ED495D4" w:rsidR="5C7B1F42">
        <w:rPr>
          <w:rFonts w:ascii="Arial Nova" w:hAnsi="Arial Nova" w:eastAsia="Arial Nova" w:cs="Arial Nova"/>
          <w:b w:val="0"/>
          <w:bCs w:val="0"/>
          <w:i w:val="1"/>
          <w:iCs w:val="1"/>
          <w:strike w:val="0"/>
          <w:dstrike w:val="0"/>
          <w:noProof w:val="0"/>
          <w:color w:val="000000" w:themeColor="text1" w:themeTint="FF" w:themeShade="FF"/>
          <w:sz w:val="24"/>
          <w:szCs w:val="24"/>
          <w:u w:val="none"/>
          <w:lang w:val="en-US"/>
        </w:rPr>
        <w:t>of</w:t>
      </w:r>
      <w:r w:rsidRPr="5ED495D4" w:rsidR="5C7B1F42">
        <w:rPr>
          <w:rFonts w:ascii="Arial Nova" w:hAnsi="Arial Nova" w:eastAsia="Arial Nova" w:cs="Arial Nova"/>
          <w:b w:val="0"/>
          <w:bCs w:val="0"/>
          <w:i w:val="1"/>
          <w:iCs w:val="1"/>
          <w:strike w:val="0"/>
          <w:dstrike w:val="0"/>
          <w:noProof w:val="0"/>
          <w:color w:val="000000" w:themeColor="text1" w:themeTint="FF" w:themeShade="FF"/>
          <w:sz w:val="24"/>
          <w:szCs w:val="24"/>
          <w:u w:val="none"/>
          <w:lang w:val="en-US"/>
        </w:rPr>
        <w:t xml:space="preserve"> the Future</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[online] Ssrn.com. Available at: </w:t>
      </w:r>
      <w:hyperlink r:id="R76ce145cb1614a91">
        <w:r w:rsidRPr="5ED495D4" w:rsidR="5C7B1F42">
          <w:rPr>
            <w:rStyle w:val="Hyperlink"/>
            <w:rFonts w:ascii="Arial Nova" w:hAnsi="Arial Nova" w:eastAsia="Arial Nova" w:cs="Arial Nova"/>
            <w:b w:val="0"/>
            <w:bCs w:val="0"/>
            <w:i w:val="0"/>
            <w:iCs w:val="0"/>
            <w:strike w:val="0"/>
            <w:dstrike w:val="0"/>
            <w:noProof w:val="0"/>
            <w:sz w:val="24"/>
            <w:szCs w:val="24"/>
            <w:lang w:val="en-US"/>
          </w:rPr>
          <w:t>https://papers.ssrn.com/sol3/papers.cfm?abstract_id=4660192</w:t>
        </w:r>
      </w:hyperlink>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w:t>
      </w:r>
    </w:p>
    <w:p xmlns:wp14="http://schemas.microsoft.com/office/word/2010/wordml" w:rsidP="5ED495D4" wp14:paraId="536DBEC9" wp14:textId="45874873">
      <w:pPr>
        <w:spacing w:before="0" w:beforeAutospacing="off" w:after="240" w:afterAutospacing="off"/>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pP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Aunoa</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(2024). </w:t>
      </w:r>
      <w:r w:rsidRPr="5ED495D4" w:rsidR="5C7B1F42">
        <w:rPr>
          <w:rFonts w:ascii="Arial Nova" w:hAnsi="Arial Nova" w:eastAsia="Arial Nova" w:cs="Arial Nova"/>
          <w:b w:val="0"/>
          <w:bCs w:val="0"/>
          <w:i w:val="1"/>
          <w:iCs w:val="1"/>
          <w:strike w:val="0"/>
          <w:dstrike w:val="0"/>
          <w:noProof w:val="0"/>
          <w:color w:val="000000" w:themeColor="text1" w:themeTint="FF" w:themeShade="FF"/>
          <w:sz w:val="24"/>
          <w:szCs w:val="24"/>
          <w:u w:val="none"/>
          <w:lang w:val="en-US"/>
        </w:rPr>
        <w:t>Customer Satisfaction KPIs: metrics you should measure</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[online]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Aunoa</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Available at: </w:t>
      </w:r>
      <w:hyperlink r:id="R32bac649d5bb4aa0">
        <w:r w:rsidRPr="5ED495D4" w:rsidR="5C7B1F42">
          <w:rPr>
            <w:rStyle w:val="Hyperlink"/>
            <w:rFonts w:ascii="Arial Nova" w:hAnsi="Arial Nova" w:eastAsia="Arial Nova" w:cs="Arial Nova"/>
            <w:b w:val="0"/>
            <w:bCs w:val="0"/>
            <w:i w:val="0"/>
            <w:iCs w:val="0"/>
            <w:strike w:val="0"/>
            <w:dstrike w:val="0"/>
            <w:noProof w:val="0"/>
            <w:sz w:val="24"/>
            <w:szCs w:val="24"/>
            <w:lang w:val="en-US"/>
          </w:rPr>
          <w:t>https://aunoa.ai/en/blog/customer-satisfaction-kpis-metrics/</w:t>
        </w:r>
      </w:hyperlink>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[Accessed 12 Nov. 2024].</w:t>
      </w:r>
    </w:p>
    <w:p xmlns:wp14="http://schemas.microsoft.com/office/word/2010/wordml" w:rsidP="5ED495D4" wp14:paraId="4A773AB3" wp14:textId="141C6246">
      <w:pPr>
        <w:spacing w:before="0" w:beforeAutospacing="off" w:after="240" w:afterAutospacing="off"/>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pP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Awara, N.F.,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Odigbo</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B.E.,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Anyadighibe</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J.A. and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Esiet</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J.E. (2022). Automated Service Delivery System and Customer Satisfaction of Hotels. </w:t>
      </w:r>
      <w:r w:rsidRPr="5ED495D4" w:rsidR="5C7B1F42">
        <w:rPr>
          <w:rFonts w:ascii="Arial Nova" w:hAnsi="Arial Nova" w:eastAsia="Arial Nova" w:cs="Arial Nova"/>
          <w:b w:val="0"/>
          <w:bCs w:val="0"/>
          <w:i w:val="1"/>
          <w:iCs w:val="1"/>
          <w:strike w:val="0"/>
          <w:dstrike w:val="0"/>
          <w:noProof w:val="0"/>
          <w:color w:val="000000" w:themeColor="text1" w:themeTint="FF" w:themeShade="FF"/>
          <w:sz w:val="24"/>
          <w:szCs w:val="24"/>
          <w:u w:val="none"/>
          <w:lang w:val="en-US"/>
        </w:rPr>
        <w:t>Nigerian Academy of Management Journal</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[online] 17(1), pp.156–168. Available at: </w:t>
      </w:r>
      <w:hyperlink r:id="R8dc1dd6e50554854">
        <w:r w:rsidRPr="5ED495D4" w:rsidR="5C7B1F42">
          <w:rPr>
            <w:rStyle w:val="Hyperlink"/>
            <w:rFonts w:ascii="Arial Nova" w:hAnsi="Arial Nova" w:eastAsia="Arial Nova" w:cs="Arial Nova"/>
            <w:b w:val="0"/>
            <w:bCs w:val="0"/>
            <w:i w:val="0"/>
            <w:iCs w:val="0"/>
            <w:strike w:val="0"/>
            <w:dstrike w:val="0"/>
            <w:noProof w:val="0"/>
            <w:sz w:val="24"/>
            <w:szCs w:val="24"/>
            <w:lang w:val="en-US"/>
          </w:rPr>
          <w:t>https://namj.tamn-ng.org/index.php/home/article/view/174</w:t>
        </w:r>
      </w:hyperlink>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w:t>
      </w:r>
    </w:p>
    <w:p xmlns:wp14="http://schemas.microsoft.com/office/word/2010/wordml" w:rsidP="5ED495D4" wp14:paraId="6A0B4285" wp14:textId="192FE460">
      <w:pPr>
        <w:spacing w:before="0" w:beforeAutospacing="off" w:after="240" w:afterAutospacing="off"/>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pP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Bardukova</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L. (2023). Navigating the Hospitality Horizon: Current Trends and Strategies for Customer Attraction and Retention in the Hotel Industry. </w:t>
      </w:r>
      <w:r w:rsidRPr="5ED495D4" w:rsidR="5C7B1F42">
        <w:rPr>
          <w:rFonts w:ascii="Arial Nova" w:hAnsi="Arial Nova" w:eastAsia="Arial Nova" w:cs="Arial Nova"/>
          <w:b w:val="0"/>
          <w:bCs w:val="0"/>
          <w:i w:val="1"/>
          <w:iCs w:val="1"/>
          <w:strike w:val="0"/>
          <w:dstrike w:val="0"/>
          <w:noProof w:val="0"/>
          <w:color w:val="000000" w:themeColor="text1" w:themeTint="FF" w:themeShade="FF"/>
          <w:sz w:val="24"/>
          <w:szCs w:val="24"/>
          <w:u w:val="none"/>
          <w:lang w:val="en-US"/>
        </w:rPr>
        <w:t>ELECTRONIC JOURNAL "ECONOMICS AND COMPUTER SCIENCE</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[online] (2). Available at: </w:t>
      </w:r>
      <w:hyperlink r:id="Rb6bad7530fac4612">
        <w:r w:rsidRPr="5ED495D4" w:rsidR="5C7B1F42">
          <w:rPr>
            <w:rStyle w:val="Hyperlink"/>
            <w:rFonts w:ascii="Arial Nova" w:hAnsi="Arial Nova" w:eastAsia="Arial Nova" w:cs="Arial Nova"/>
            <w:b w:val="0"/>
            <w:bCs w:val="0"/>
            <w:i w:val="0"/>
            <w:iCs w:val="0"/>
            <w:strike w:val="0"/>
            <w:dstrike w:val="0"/>
            <w:noProof w:val="0"/>
            <w:sz w:val="24"/>
            <w:szCs w:val="24"/>
            <w:lang w:val="en-US"/>
          </w:rPr>
          <w:t>http://eknigibg.net/Volume9/Issue2/spisanie-br2-2023_pp.88-103.pdf</w:t>
        </w:r>
      </w:hyperlink>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w:t>
      </w:r>
    </w:p>
    <w:p xmlns:wp14="http://schemas.microsoft.com/office/word/2010/wordml" w:rsidP="5ED495D4" wp14:paraId="4F72F4F3" wp14:textId="60F561E8">
      <w:pPr>
        <w:spacing w:before="0" w:beforeAutospacing="off" w:after="240" w:afterAutospacing="off"/>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pP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Batti, K. (2019). </w:t>
      </w:r>
      <w:r w:rsidRPr="5ED495D4" w:rsidR="5C7B1F42">
        <w:rPr>
          <w:rFonts w:ascii="Arial Nova" w:hAnsi="Arial Nova" w:eastAsia="Arial Nova" w:cs="Arial Nova"/>
          <w:b w:val="0"/>
          <w:bCs w:val="0"/>
          <w:i w:val="1"/>
          <w:iCs w:val="1"/>
          <w:strike w:val="0"/>
          <w:dstrike w:val="0"/>
          <w:noProof w:val="0"/>
          <w:color w:val="000000" w:themeColor="text1" w:themeTint="FF" w:themeShade="FF"/>
          <w:sz w:val="24"/>
          <w:szCs w:val="24"/>
          <w:u w:val="none"/>
          <w:lang w:val="en-US"/>
        </w:rPr>
        <w:t>7 Best Practices in Change Management Communication</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[online]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Whatfix</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Digital Adoption Blog | Insights, News, Tips, Trends -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Whatfix</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Blog. Available at: </w:t>
      </w:r>
      <w:hyperlink r:id="R92393199853249d2">
        <w:r w:rsidRPr="5ED495D4" w:rsidR="5C7B1F42">
          <w:rPr>
            <w:rStyle w:val="Hyperlink"/>
            <w:rFonts w:ascii="Arial Nova" w:hAnsi="Arial Nova" w:eastAsia="Arial Nova" w:cs="Arial Nova"/>
            <w:b w:val="0"/>
            <w:bCs w:val="0"/>
            <w:i w:val="0"/>
            <w:iCs w:val="0"/>
            <w:strike w:val="0"/>
            <w:dstrike w:val="0"/>
            <w:noProof w:val="0"/>
            <w:sz w:val="24"/>
            <w:szCs w:val="24"/>
            <w:lang w:val="en-US"/>
          </w:rPr>
          <w:t>https://whatfix.com/blog/best-practices-change-management-communication/</w:t>
        </w:r>
      </w:hyperlink>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w:t>
      </w:r>
    </w:p>
    <w:p xmlns:wp14="http://schemas.microsoft.com/office/word/2010/wordml" w:rsidP="5ED495D4" wp14:paraId="3B6722C2" wp14:textId="02782CB5">
      <w:pPr>
        <w:spacing w:before="0" w:beforeAutospacing="off" w:after="240" w:afterAutospacing="off"/>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pP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Benzaghta</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M.A.,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Elwalda</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A., Mousa, M., Erkan, I. and Rahman, M. (2021). SWOT Analysis applications: an Integrative Literature Review. </w:t>
      </w:r>
      <w:r w:rsidRPr="5ED495D4" w:rsidR="5C7B1F42">
        <w:rPr>
          <w:rFonts w:ascii="Arial Nova" w:hAnsi="Arial Nova" w:eastAsia="Arial Nova" w:cs="Arial Nova"/>
          <w:b w:val="0"/>
          <w:bCs w:val="0"/>
          <w:i w:val="1"/>
          <w:iCs w:val="1"/>
          <w:strike w:val="0"/>
          <w:dstrike w:val="0"/>
          <w:noProof w:val="0"/>
          <w:color w:val="000000" w:themeColor="text1" w:themeTint="FF" w:themeShade="FF"/>
          <w:sz w:val="24"/>
          <w:szCs w:val="24"/>
          <w:u w:val="none"/>
          <w:lang w:val="en-US"/>
        </w:rPr>
        <w:t>Journal of Global Business Insights</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6(1), pp.54–72.</w:t>
      </w:r>
    </w:p>
    <w:p xmlns:wp14="http://schemas.microsoft.com/office/word/2010/wordml" w:rsidP="5ED495D4" wp14:paraId="76D086FC" wp14:textId="6A3955B3">
      <w:pPr>
        <w:spacing w:before="0" w:beforeAutospacing="off" w:after="240" w:afterAutospacing="off"/>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pP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Bharwani, S. and Mathews, D. (2021). Techno-business strategies for enhancing guest experience in luxury hotels: a managerial perspective. </w:t>
      </w:r>
      <w:r w:rsidRPr="5ED495D4" w:rsidR="5C7B1F42">
        <w:rPr>
          <w:rFonts w:ascii="Arial Nova" w:hAnsi="Arial Nova" w:eastAsia="Arial Nova" w:cs="Arial Nova"/>
          <w:b w:val="0"/>
          <w:bCs w:val="0"/>
          <w:i w:val="1"/>
          <w:iCs w:val="1"/>
          <w:strike w:val="0"/>
          <w:dstrike w:val="0"/>
          <w:noProof w:val="0"/>
          <w:color w:val="000000" w:themeColor="text1" w:themeTint="FF" w:themeShade="FF"/>
          <w:sz w:val="24"/>
          <w:szCs w:val="24"/>
          <w:u w:val="none"/>
          <w:lang w:val="en-US"/>
        </w:rPr>
        <w:t>Worldwide Hospitality and Tourism Themes</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13(2).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doi:https</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://doi.org/10.1108/whatt-09-2020-0121.</w:t>
      </w:r>
    </w:p>
    <w:p xmlns:wp14="http://schemas.microsoft.com/office/word/2010/wordml" w:rsidP="5ED495D4" wp14:paraId="5733DF3E" wp14:textId="7815B3F8">
      <w:pPr>
        <w:spacing w:before="0" w:beforeAutospacing="off" w:after="240" w:afterAutospacing="off"/>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pP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Cerchione</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R. and Bansal, H. (2019). Measuring the Impact of Sustainability Policy and Practices in Tourism and Hospitality Industry. </w:t>
      </w:r>
      <w:r w:rsidRPr="5ED495D4" w:rsidR="5C7B1F42">
        <w:rPr>
          <w:rFonts w:ascii="Arial Nova" w:hAnsi="Arial Nova" w:eastAsia="Arial Nova" w:cs="Arial Nova"/>
          <w:b w:val="0"/>
          <w:bCs w:val="0"/>
          <w:i w:val="1"/>
          <w:iCs w:val="1"/>
          <w:strike w:val="0"/>
          <w:dstrike w:val="0"/>
          <w:noProof w:val="0"/>
          <w:color w:val="000000" w:themeColor="text1" w:themeTint="FF" w:themeShade="FF"/>
          <w:sz w:val="24"/>
          <w:szCs w:val="24"/>
          <w:u w:val="none"/>
          <w:lang w:val="en-US"/>
        </w:rPr>
        <w:t>Business Strategy and the Environment</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29(3).</w:t>
      </w:r>
    </w:p>
    <w:p xmlns:wp14="http://schemas.microsoft.com/office/word/2010/wordml" w:rsidP="5ED495D4" wp14:paraId="705915AC" wp14:textId="55AADF9D">
      <w:pPr>
        <w:spacing w:before="0" w:beforeAutospacing="off" w:after="240" w:afterAutospacing="off"/>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pP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Don, L. (2023). The Content and Structure of Tourism and Public Policies: A Temporal Analysis of Stability and Change. </w:t>
      </w:r>
      <w:r w:rsidRPr="5ED495D4" w:rsidR="5C7B1F42">
        <w:rPr>
          <w:rFonts w:ascii="Arial Nova" w:hAnsi="Arial Nova" w:eastAsia="Arial Nova" w:cs="Arial Nova"/>
          <w:b w:val="0"/>
          <w:bCs w:val="0"/>
          <w:i w:val="1"/>
          <w:iCs w:val="1"/>
          <w:strike w:val="0"/>
          <w:dstrike w:val="0"/>
          <w:noProof w:val="0"/>
          <w:color w:val="000000" w:themeColor="text1" w:themeTint="FF" w:themeShade="FF"/>
          <w:sz w:val="24"/>
          <w:szCs w:val="24"/>
          <w:u w:val="none"/>
          <w:lang w:val="en-US"/>
        </w:rPr>
        <w:t>Cornell Hospitality Quarterly</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65(1), pp.7–33.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doi:https</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://doi.org/10.1177/19389655231182086.</w:t>
      </w:r>
    </w:p>
    <w:p xmlns:wp14="http://schemas.microsoft.com/office/word/2010/wordml" w:rsidP="5ED495D4" wp14:paraId="5A3B4240" wp14:textId="3AFA61C2">
      <w:pPr>
        <w:spacing w:before="0" w:beforeAutospacing="off" w:after="240" w:afterAutospacing="off"/>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pP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Dr. Antoneta Njeri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Kariru</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(2023). Contemporary Trends and Issues in The Hospitality and Tourism Industry. </w:t>
      </w:r>
      <w:r w:rsidRPr="5ED495D4" w:rsidR="5C7B1F42">
        <w:rPr>
          <w:rFonts w:ascii="Arial Nova" w:hAnsi="Arial Nova" w:eastAsia="Arial Nova" w:cs="Arial Nova"/>
          <w:b w:val="0"/>
          <w:bCs w:val="0"/>
          <w:i w:val="1"/>
          <w:iCs w:val="1"/>
          <w:strike w:val="0"/>
          <w:dstrike w:val="0"/>
          <w:noProof w:val="0"/>
          <w:color w:val="000000" w:themeColor="text1" w:themeTint="FF" w:themeShade="FF"/>
          <w:sz w:val="24"/>
          <w:szCs w:val="24"/>
          <w:u w:val="none"/>
          <w:lang w:val="en-US"/>
        </w:rPr>
        <w:t>International Journal of Research and Innovation in Social Science</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VII(IV), pp.970–986.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doi:https</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://doi.org/10.47772/ijriss.2023.7481.</w:t>
      </w:r>
    </w:p>
    <w:p xmlns:wp14="http://schemas.microsoft.com/office/word/2010/wordml" w:rsidP="5ED495D4" wp14:paraId="0A888655" wp14:textId="67084C5D">
      <w:pPr>
        <w:spacing w:before="0" w:beforeAutospacing="off" w:after="240" w:afterAutospacing="off"/>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pP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Dumoulin, R. and Giacomel, A. (2020). Disruption and the Strategy of Hotel Groups. </w:t>
      </w:r>
      <w:r w:rsidRPr="5ED495D4" w:rsidR="5C7B1F42">
        <w:rPr>
          <w:rFonts w:ascii="Arial Nova" w:hAnsi="Arial Nova" w:eastAsia="Arial Nova" w:cs="Arial Nova"/>
          <w:b w:val="0"/>
          <w:bCs w:val="0"/>
          <w:i w:val="1"/>
          <w:iCs w:val="1"/>
          <w:strike w:val="0"/>
          <w:dstrike w:val="0"/>
          <w:noProof w:val="0"/>
          <w:color w:val="000000" w:themeColor="text1" w:themeTint="FF" w:themeShade="FF"/>
          <w:sz w:val="24"/>
          <w:szCs w:val="24"/>
          <w:u w:val="none"/>
          <w:lang w:val="en-US"/>
        </w:rPr>
        <w:t>Shapes of Tourism Employment</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pp.9–21.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doi:https</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://doi.org/10.1002/9781119751342.ch1.</w:t>
      </w:r>
    </w:p>
    <w:p xmlns:wp14="http://schemas.microsoft.com/office/word/2010/wordml" w:rsidP="5ED495D4" wp14:paraId="239E43CF" wp14:textId="487176F4">
      <w:pPr>
        <w:spacing w:before="0" w:beforeAutospacing="off" w:after="240" w:afterAutospacing="off"/>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pP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Fernandes, F. (2021). </w:t>
      </w:r>
      <w:r w:rsidRPr="5ED495D4" w:rsidR="5C7B1F42">
        <w:rPr>
          <w:rFonts w:ascii="Arial Nova" w:hAnsi="Arial Nova" w:eastAsia="Arial Nova" w:cs="Arial Nova"/>
          <w:b w:val="0"/>
          <w:bCs w:val="0"/>
          <w:i w:val="1"/>
          <w:iCs w:val="1"/>
          <w:strike w:val="0"/>
          <w:dstrike w:val="0"/>
          <w:noProof w:val="0"/>
          <w:color w:val="000000" w:themeColor="text1" w:themeTint="FF" w:themeShade="FF"/>
          <w:sz w:val="24"/>
          <w:szCs w:val="24"/>
          <w:u w:val="none"/>
          <w:lang w:val="en-US"/>
        </w:rPr>
        <w:t>Intercontinental Hotels Group - Time to Check-In - ProQuest</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[online] Available at: </w:t>
      </w:r>
      <w:hyperlink r:id="Rac061784df964653">
        <w:r w:rsidRPr="5ED495D4" w:rsidR="5C7B1F42">
          <w:rPr>
            <w:rStyle w:val="Hyperlink"/>
            <w:rFonts w:ascii="Arial Nova" w:hAnsi="Arial Nova" w:eastAsia="Arial Nova" w:cs="Arial Nova"/>
            <w:b w:val="0"/>
            <w:bCs w:val="0"/>
            <w:i w:val="0"/>
            <w:iCs w:val="0"/>
            <w:strike w:val="0"/>
            <w:dstrike w:val="0"/>
            <w:noProof w:val="0"/>
            <w:sz w:val="24"/>
            <w:szCs w:val="24"/>
            <w:lang w:val="en-US"/>
          </w:rPr>
          <w:t>https://www.proquest.com/openview/5c61b3410b66a714c863c054e647c987/1?pq-origsite=gscholar&amp;cbl=2026366&amp;diss=y</w:t>
        </w:r>
      </w:hyperlink>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w:t>
      </w:r>
    </w:p>
    <w:p xmlns:wp14="http://schemas.microsoft.com/office/word/2010/wordml" w:rsidP="5ED495D4" wp14:paraId="29F1650C" wp14:textId="68E337D5">
      <w:pPr>
        <w:spacing w:before="0" w:beforeAutospacing="off" w:after="240" w:afterAutospacing="off"/>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pP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Garavan</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T., Matthews-Smith, G., Gill, A.M. and O’Brien, F. (2021). Strategic Talent Management in the Hospitality Industry. </w:t>
      </w:r>
      <w:r w:rsidRPr="5ED495D4" w:rsidR="5C7B1F42">
        <w:rPr>
          <w:rFonts w:ascii="Arial Nova" w:hAnsi="Arial Nova" w:eastAsia="Arial Nova" w:cs="Arial Nova"/>
          <w:b w:val="0"/>
          <w:bCs w:val="0"/>
          <w:i w:val="1"/>
          <w:iCs w:val="1"/>
          <w:strike w:val="0"/>
          <w:dstrike w:val="0"/>
          <w:noProof w:val="0"/>
          <w:color w:val="000000" w:themeColor="text1" w:themeTint="FF" w:themeShade="FF"/>
          <w:sz w:val="24"/>
          <w:szCs w:val="24"/>
          <w:u w:val="none"/>
          <w:lang w:val="en-US"/>
        </w:rPr>
        <w:t>Talent Management Innovations in the International Hospitality Industry</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pp.9–30.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doi:https</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://doi.org/10.1108/978-1-80071-306-220211002.</w:t>
      </w:r>
    </w:p>
    <w:p xmlns:wp14="http://schemas.microsoft.com/office/word/2010/wordml" w:rsidP="5ED495D4" wp14:paraId="7C52F258" wp14:textId="05D87759">
      <w:pPr>
        <w:spacing w:before="0" w:beforeAutospacing="off" w:after="240" w:afterAutospacing="off"/>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pP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Giacomel, A. and Dumoulin, R. (2020). The Globalized Hotel Business: Worlds within a World. </w:t>
      </w:r>
      <w:r w:rsidRPr="5ED495D4" w:rsidR="5C7B1F42">
        <w:rPr>
          <w:rFonts w:ascii="Arial Nova" w:hAnsi="Arial Nova" w:eastAsia="Arial Nova" w:cs="Arial Nova"/>
          <w:b w:val="0"/>
          <w:bCs w:val="0"/>
          <w:i w:val="1"/>
          <w:iCs w:val="1"/>
          <w:strike w:val="0"/>
          <w:dstrike w:val="0"/>
          <w:noProof w:val="0"/>
          <w:color w:val="000000" w:themeColor="text1" w:themeTint="FF" w:themeShade="FF"/>
          <w:sz w:val="24"/>
          <w:szCs w:val="24"/>
          <w:u w:val="none"/>
          <w:lang w:val="en-US"/>
        </w:rPr>
        <w:t>Shapes of Tourism Employment</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pp.67–76.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doi:https</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://doi.org/10.1002/9781119751342.ch5.</w:t>
      </w:r>
    </w:p>
    <w:p xmlns:wp14="http://schemas.microsoft.com/office/word/2010/wordml" w:rsidP="5ED495D4" wp14:paraId="1361FF9B" wp14:textId="4BB2B37F">
      <w:pPr>
        <w:spacing w:before="0" w:beforeAutospacing="off" w:after="240" w:afterAutospacing="off"/>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pP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Gibbons, K. (2015). Small Seasonal Business Strategies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To</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Increase Profits Through Community Collaboration. </w:t>
      </w:r>
      <w:r w:rsidRPr="5ED495D4" w:rsidR="5C7B1F42">
        <w:rPr>
          <w:rFonts w:ascii="Arial Nova" w:hAnsi="Arial Nova" w:eastAsia="Arial Nova" w:cs="Arial Nova"/>
          <w:b w:val="0"/>
          <w:bCs w:val="0"/>
          <w:i w:val="1"/>
          <w:iCs w:val="1"/>
          <w:strike w:val="0"/>
          <w:dstrike w:val="0"/>
          <w:noProof w:val="0"/>
          <w:color w:val="000000" w:themeColor="text1" w:themeTint="FF" w:themeShade="FF"/>
          <w:sz w:val="24"/>
          <w:szCs w:val="24"/>
          <w:u w:val="none"/>
          <w:lang w:val="en-US"/>
        </w:rPr>
        <w:t>Walden Dissertations and Doctoral Studies</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[online] Available at: </w:t>
      </w:r>
      <w:hyperlink r:id="R2c2791603a624fd5">
        <w:r w:rsidRPr="5ED495D4" w:rsidR="5C7B1F42">
          <w:rPr>
            <w:rStyle w:val="Hyperlink"/>
            <w:rFonts w:ascii="Arial Nova" w:hAnsi="Arial Nova" w:eastAsia="Arial Nova" w:cs="Arial Nova"/>
            <w:b w:val="0"/>
            <w:bCs w:val="0"/>
            <w:i w:val="0"/>
            <w:iCs w:val="0"/>
            <w:strike w:val="0"/>
            <w:dstrike w:val="0"/>
            <w:noProof w:val="0"/>
            <w:sz w:val="24"/>
            <w:szCs w:val="24"/>
            <w:lang w:val="en-US"/>
          </w:rPr>
          <w:t>https://scholarworks.waldenu.edu/dissertations/182/</w:t>
        </w:r>
      </w:hyperlink>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w:t>
      </w:r>
    </w:p>
    <w:p xmlns:wp14="http://schemas.microsoft.com/office/word/2010/wordml" w:rsidP="5ED495D4" wp14:paraId="24F13A6F" wp14:textId="432E304F">
      <w:pPr>
        <w:spacing w:before="0" w:beforeAutospacing="off" w:after="240" w:afterAutospacing="off"/>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pP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Górska-Warsewicz</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H. and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Kulykovets</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O. (2020). Hotel Brand Loyalty—A Systematic Literature Review. </w:t>
      </w:r>
      <w:r w:rsidRPr="5ED495D4" w:rsidR="5C7B1F42">
        <w:rPr>
          <w:rFonts w:ascii="Arial Nova" w:hAnsi="Arial Nova" w:eastAsia="Arial Nova" w:cs="Arial Nova"/>
          <w:b w:val="0"/>
          <w:bCs w:val="0"/>
          <w:i w:val="1"/>
          <w:iCs w:val="1"/>
          <w:strike w:val="0"/>
          <w:dstrike w:val="0"/>
          <w:noProof w:val="0"/>
          <w:color w:val="000000" w:themeColor="text1" w:themeTint="FF" w:themeShade="FF"/>
          <w:sz w:val="24"/>
          <w:szCs w:val="24"/>
          <w:u w:val="none"/>
          <w:lang w:val="en-US"/>
        </w:rPr>
        <w:t>Sustainability</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[online] 12(12), p.4810. Available at: </w:t>
      </w:r>
      <w:hyperlink r:id="R56e76d63651441f6">
        <w:r w:rsidRPr="5ED495D4" w:rsidR="5C7B1F42">
          <w:rPr>
            <w:rStyle w:val="Hyperlink"/>
            <w:rFonts w:ascii="Arial Nova" w:hAnsi="Arial Nova" w:eastAsia="Arial Nova" w:cs="Arial Nova"/>
            <w:b w:val="0"/>
            <w:bCs w:val="0"/>
            <w:i w:val="0"/>
            <w:iCs w:val="0"/>
            <w:strike w:val="0"/>
            <w:dstrike w:val="0"/>
            <w:noProof w:val="0"/>
            <w:sz w:val="24"/>
            <w:szCs w:val="24"/>
            <w:lang w:val="en-US"/>
          </w:rPr>
          <w:t>https://www.mdpi.com/2071-1050/12/12/4810</w:t>
        </w:r>
      </w:hyperlink>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w:t>
      </w:r>
    </w:p>
    <w:p xmlns:wp14="http://schemas.microsoft.com/office/word/2010/wordml" w:rsidP="5ED495D4" wp14:paraId="4A87899D" wp14:textId="74B360DF">
      <w:pPr>
        <w:spacing w:before="0" w:beforeAutospacing="off" w:after="240" w:afterAutospacing="off"/>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pP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Greenwood, G. (2020). IT’S ALL ABOUT YOU: Treating guests to thrilling experiences, not only in travel, but everyday life, is the crux of Accor’s re-imagined loyalty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programme</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ALL--Accor</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Live Limitless, promising benefits that go way beyond the hotel stay. </w:t>
      </w:r>
      <w:r w:rsidRPr="5ED495D4" w:rsidR="5C7B1F42">
        <w:rPr>
          <w:rFonts w:ascii="Arial Nova" w:hAnsi="Arial Nova" w:eastAsia="Arial Nova" w:cs="Arial Nova"/>
          <w:b w:val="0"/>
          <w:bCs w:val="0"/>
          <w:i w:val="1"/>
          <w:iCs w:val="1"/>
          <w:strike w:val="0"/>
          <w:dstrike w:val="0"/>
          <w:noProof w:val="0"/>
          <w:color w:val="000000" w:themeColor="text1" w:themeTint="FF" w:themeShade="FF"/>
          <w:sz w:val="24"/>
          <w:szCs w:val="24"/>
          <w:u w:val="none"/>
          <w:lang w:val="en-US"/>
        </w:rPr>
        <w:t>Business Traveller Middle East</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[online] pp.22–27. Available at: </w:t>
      </w:r>
      <w:hyperlink r:id="R49e7d1a1d8b04e66">
        <w:r w:rsidRPr="5ED495D4" w:rsidR="5C7B1F42">
          <w:rPr>
            <w:rStyle w:val="Hyperlink"/>
            <w:rFonts w:ascii="Arial Nova" w:hAnsi="Arial Nova" w:eastAsia="Arial Nova" w:cs="Arial Nova"/>
            <w:b w:val="0"/>
            <w:bCs w:val="0"/>
            <w:i w:val="0"/>
            <w:iCs w:val="0"/>
            <w:strike w:val="0"/>
            <w:dstrike w:val="0"/>
            <w:noProof w:val="0"/>
            <w:sz w:val="24"/>
            <w:szCs w:val="24"/>
            <w:lang w:val="en-US"/>
          </w:rPr>
          <w:t>https://go.gale.com/ps/i.do?p=AONE&amp;sw=w&amp;issn=&amp;v=2.1&amp;it=r&amp;id=GALE%7CA616788825&amp;sid=googleScholar&amp;linkaccess=abs</w:t>
        </w:r>
      </w:hyperlink>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[Accessed 12 Nov. 2024].</w:t>
      </w:r>
    </w:p>
    <w:p xmlns:wp14="http://schemas.microsoft.com/office/word/2010/wordml" w:rsidP="5ED495D4" wp14:paraId="0D01BFC8" wp14:textId="3EA47844">
      <w:pPr>
        <w:spacing w:before="0" w:beforeAutospacing="off" w:after="240" w:afterAutospacing="off"/>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pP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Guizzardi, A., Pons, F.M.E., Angelini, G. and Ranieri, E. (2020). Big data from dynamic pricing: A smart approach to tourism demand forecasting. </w:t>
      </w:r>
      <w:r w:rsidRPr="5ED495D4" w:rsidR="5C7B1F42">
        <w:rPr>
          <w:rFonts w:ascii="Arial Nova" w:hAnsi="Arial Nova" w:eastAsia="Arial Nova" w:cs="Arial Nova"/>
          <w:b w:val="0"/>
          <w:bCs w:val="0"/>
          <w:i w:val="1"/>
          <w:iCs w:val="1"/>
          <w:strike w:val="0"/>
          <w:dstrike w:val="0"/>
          <w:noProof w:val="0"/>
          <w:color w:val="000000" w:themeColor="text1" w:themeTint="FF" w:themeShade="FF"/>
          <w:sz w:val="24"/>
          <w:szCs w:val="24"/>
          <w:u w:val="none"/>
          <w:lang w:val="en-US"/>
        </w:rPr>
        <w:t>International Journal of Forecasting</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37(3).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doi:https</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://doi.org/10.1016/j.ijforecast.2020.11.006.</w:t>
      </w:r>
    </w:p>
    <w:p xmlns:wp14="http://schemas.microsoft.com/office/word/2010/wordml" w:rsidP="5ED495D4" wp14:paraId="2718CC4B" wp14:textId="59A7DFA5">
      <w:pPr>
        <w:spacing w:before="0" w:beforeAutospacing="off" w:after="240" w:afterAutospacing="off"/>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pP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GUPTA, R. (2024). </w:t>
      </w:r>
      <w:r w:rsidRPr="5ED495D4" w:rsidR="5C7B1F42">
        <w:rPr>
          <w:rFonts w:ascii="Arial Nova" w:hAnsi="Arial Nova" w:eastAsia="Arial Nova" w:cs="Arial Nova"/>
          <w:b w:val="0"/>
          <w:bCs w:val="0"/>
          <w:i w:val="1"/>
          <w:iCs w:val="1"/>
          <w:strike w:val="0"/>
          <w:dstrike w:val="0"/>
          <w:noProof w:val="0"/>
          <w:color w:val="000000" w:themeColor="text1" w:themeTint="FF" w:themeShade="FF"/>
          <w:sz w:val="24"/>
          <w:szCs w:val="24"/>
          <w:u w:val="none"/>
          <w:lang w:val="en-US"/>
        </w:rPr>
        <w:t>MANAGING HOTELS</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[online] Google Books. Available at: </w:t>
      </w:r>
      <w:hyperlink r:id="R9cb836bfb9554ef0">
        <w:r w:rsidRPr="5ED495D4" w:rsidR="5C7B1F42">
          <w:rPr>
            <w:rStyle w:val="Hyperlink"/>
            <w:rFonts w:ascii="Arial Nova" w:hAnsi="Arial Nova" w:eastAsia="Arial Nova" w:cs="Arial Nova"/>
            <w:b w:val="0"/>
            <w:bCs w:val="0"/>
            <w:i w:val="0"/>
            <w:iCs w:val="0"/>
            <w:strike w:val="0"/>
            <w:dstrike w:val="0"/>
            <w:noProof w:val="0"/>
            <w:sz w:val="24"/>
            <w:szCs w:val="24"/>
            <w:lang w:val="en-US"/>
          </w:rPr>
          <w:t>https://books.google.com.pk/books?hl=en&amp;lr=&amp;id=zh3JDwAAQBAJ&amp;oi=fnd&amp;pg=PT8&amp;dq=Partnering+with+local+suppliers+for+in-room+amenities+and+food+items+was+suggested+to+support+the+local+economy+while+reducing+the+carbon+footprint+associated+with+imports</w:t>
        </w:r>
      </w:hyperlink>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[Accessed 12 Nov. 2024].</w:t>
      </w:r>
    </w:p>
    <w:p xmlns:wp14="http://schemas.microsoft.com/office/word/2010/wordml" w:rsidP="5ED495D4" wp14:paraId="20BA4F16" wp14:textId="12665BF4">
      <w:pPr>
        <w:spacing w:before="0" w:beforeAutospacing="off" w:after="240" w:afterAutospacing="off"/>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pP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Hamed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Taherdoost</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(2023). Change Management. </w:t>
      </w:r>
      <w:r w:rsidRPr="5ED495D4" w:rsidR="5C7B1F42">
        <w:rPr>
          <w:rFonts w:ascii="Arial Nova" w:hAnsi="Arial Nova" w:eastAsia="Arial Nova" w:cs="Arial Nova"/>
          <w:b w:val="0"/>
          <w:bCs w:val="0"/>
          <w:i w:val="1"/>
          <w:iCs w:val="1"/>
          <w:strike w:val="0"/>
          <w:dstrike w:val="0"/>
          <w:noProof w:val="0"/>
          <w:color w:val="000000" w:themeColor="text1" w:themeTint="FF" w:themeShade="FF"/>
          <w:sz w:val="24"/>
          <w:szCs w:val="24"/>
          <w:u w:val="none"/>
          <w:lang w:val="en-US"/>
        </w:rPr>
        <w:t>EAI/Springer Innovations in Communication and Computing</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pp.319–349.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doi:https</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://doi.org/10.1007/978-3-031-39626-7_13.</w:t>
      </w:r>
    </w:p>
    <w:p xmlns:wp14="http://schemas.microsoft.com/office/word/2010/wordml" w:rsidP="5ED495D4" wp14:paraId="7FAC8211" wp14:textId="223746E8">
      <w:pPr>
        <w:spacing w:before="0" w:beforeAutospacing="off" w:after="240" w:afterAutospacing="off"/>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pP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Han, H. (2021). Consumer behavior and environmental sustainability in tourism and hospitality: a review of theories, concepts, and latest research. </w:t>
      </w:r>
      <w:r w:rsidRPr="5ED495D4" w:rsidR="5C7B1F42">
        <w:rPr>
          <w:rFonts w:ascii="Arial Nova" w:hAnsi="Arial Nova" w:eastAsia="Arial Nova" w:cs="Arial Nova"/>
          <w:b w:val="0"/>
          <w:bCs w:val="0"/>
          <w:i w:val="1"/>
          <w:iCs w:val="1"/>
          <w:strike w:val="0"/>
          <w:dstrike w:val="0"/>
          <w:noProof w:val="0"/>
          <w:color w:val="000000" w:themeColor="text1" w:themeTint="FF" w:themeShade="FF"/>
          <w:sz w:val="24"/>
          <w:szCs w:val="24"/>
          <w:u w:val="none"/>
          <w:lang w:val="en-US"/>
        </w:rPr>
        <w:t>Routledge eBooks</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pp.1–22.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doi:https</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://doi.org/10.4324/9781003256274-1.</w:t>
      </w:r>
    </w:p>
    <w:p xmlns:wp14="http://schemas.microsoft.com/office/word/2010/wordml" w:rsidP="5ED495D4" wp14:paraId="6362894A" wp14:textId="5FC18FB3">
      <w:pPr>
        <w:spacing w:before="0" w:beforeAutospacing="off" w:after="240" w:afterAutospacing="off"/>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pP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Hassan Ali Khan (2024). Innovative Services, Processes and Product Design Crucial for Enhancing Customer Experience. </w:t>
      </w:r>
      <w:r w:rsidRPr="5ED495D4" w:rsidR="5C7B1F42">
        <w:rPr>
          <w:rFonts w:ascii="Arial Nova" w:hAnsi="Arial Nova" w:eastAsia="Arial Nova" w:cs="Arial Nova"/>
          <w:b w:val="0"/>
          <w:bCs w:val="0"/>
          <w:i w:val="1"/>
          <w:iCs w:val="1"/>
          <w:strike w:val="0"/>
          <w:dstrike w:val="0"/>
          <w:noProof w:val="0"/>
          <w:color w:val="000000" w:themeColor="text1" w:themeTint="FF" w:themeShade="FF"/>
          <w:sz w:val="24"/>
          <w:szCs w:val="24"/>
          <w:u w:val="none"/>
          <w:lang w:val="en-US"/>
        </w:rPr>
        <w:t>Emerald Publishing Limited eBooks</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pp.63–81.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doi:https</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://doi.org/10.1108/978-1-83797-276-020241006.</w:t>
      </w:r>
    </w:p>
    <w:p xmlns:wp14="http://schemas.microsoft.com/office/word/2010/wordml" w:rsidP="5ED495D4" wp14:paraId="2AC35AA3" wp14:textId="33AC5667">
      <w:pPr>
        <w:spacing w:before="0" w:beforeAutospacing="off" w:after="240" w:afterAutospacing="off"/>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pP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Hassanein, F. and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Özgit</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H. (2022). Sustaining Human Resources through Talent Management Strategies and Employee Engagement in the Middle East Hotel Industry. </w:t>
      </w:r>
      <w:r w:rsidRPr="5ED495D4" w:rsidR="5C7B1F42">
        <w:rPr>
          <w:rFonts w:ascii="Arial Nova" w:hAnsi="Arial Nova" w:eastAsia="Arial Nova" w:cs="Arial Nova"/>
          <w:b w:val="0"/>
          <w:bCs w:val="0"/>
          <w:i w:val="1"/>
          <w:iCs w:val="1"/>
          <w:strike w:val="0"/>
          <w:dstrike w:val="0"/>
          <w:noProof w:val="0"/>
          <w:color w:val="000000" w:themeColor="text1" w:themeTint="FF" w:themeShade="FF"/>
          <w:sz w:val="24"/>
          <w:szCs w:val="24"/>
          <w:u w:val="none"/>
          <w:lang w:val="en-US"/>
        </w:rPr>
        <w:t>Sustainability</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[online] 14(22), p.15365.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doi:https</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://doi.org/10.3390/su142215365.</w:t>
      </w:r>
    </w:p>
    <w:p xmlns:wp14="http://schemas.microsoft.com/office/word/2010/wordml" w:rsidP="5ED495D4" wp14:paraId="11E8F647" wp14:textId="3305D6F7">
      <w:pPr>
        <w:spacing w:before="0" w:beforeAutospacing="off" w:after="240" w:afterAutospacing="off"/>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pP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Jain, V., Wirtz, J., Salunke, P., Nunkoo, R. and Sharma, A. (2023). Luxury hospitality: A systematic literature review and research agenda. </w:t>
      </w:r>
      <w:r w:rsidRPr="5ED495D4" w:rsidR="5C7B1F42">
        <w:rPr>
          <w:rFonts w:ascii="Arial Nova" w:hAnsi="Arial Nova" w:eastAsia="Arial Nova" w:cs="Arial Nova"/>
          <w:b w:val="0"/>
          <w:bCs w:val="0"/>
          <w:i w:val="1"/>
          <w:iCs w:val="1"/>
          <w:strike w:val="0"/>
          <w:dstrike w:val="0"/>
          <w:noProof w:val="0"/>
          <w:color w:val="000000" w:themeColor="text1" w:themeTint="FF" w:themeShade="FF"/>
          <w:sz w:val="24"/>
          <w:szCs w:val="24"/>
          <w:u w:val="none"/>
          <w:lang w:val="en-US"/>
        </w:rPr>
        <w:t>International Journal of Hospitality Management</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[online] 115, p.103597.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doi:https</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://doi.org/10.1016/j.ijhm.2023.103597.</w:t>
      </w:r>
    </w:p>
    <w:p xmlns:wp14="http://schemas.microsoft.com/office/word/2010/wordml" w:rsidP="5ED495D4" wp14:paraId="3EFDDCC5" wp14:textId="19C094D4">
      <w:pPr>
        <w:spacing w:before="0" w:beforeAutospacing="off" w:after="240" w:afterAutospacing="off"/>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pP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Jinkyung</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Jenny Kim (2023). Brand personality of global chain hotels, self-congruity, and self-discrepancy on customer responses. </w:t>
      </w:r>
      <w:r w:rsidRPr="5ED495D4" w:rsidR="5C7B1F42">
        <w:rPr>
          <w:rFonts w:ascii="Arial Nova" w:hAnsi="Arial Nova" w:eastAsia="Arial Nova" w:cs="Arial Nova"/>
          <w:b w:val="0"/>
          <w:bCs w:val="0"/>
          <w:i w:val="1"/>
          <w:iCs w:val="1"/>
          <w:strike w:val="0"/>
          <w:dstrike w:val="0"/>
          <w:noProof w:val="0"/>
          <w:color w:val="000000" w:themeColor="text1" w:themeTint="FF" w:themeShade="FF"/>
          <w:sz w:val="24"/>
          <w:szCs w:val="24"/>
          <w:u w:val="none"/>
          <w:lang w:val="en-US"/>
        </w:rPr>
        <w:t>International Journal of Hospitality Management</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114, pp.103565–103565.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doi:https</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://doi.org/10.1016/j.ijhm.2023.103565.</w:t>
      </w:r>
    </w:p>
    <w:p xmlns:wp14="http://schemas.microsoft.com/office/word/2010/wordml" w:rsidP="5ED495D4" wp14:paraId="08403C93" wp14:textId="6F5276F4">
      <w:pPr>
        <w:spacing w:before="0" w:beforeAutospacing="off" w:after="240" w:afterAutospacing="off"/>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pP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Kim, H. and So, K.K.F. (2023). The evolution of service failure and recovery research in hospitality and tourism: An integrative review and future research directions. </w:t>
      </w:r>
      <w:r w:rsidRPr="5ED495D4" w:rsidR="5C7B1F42">
        <w:rPr>
          <w:rFonts w:ascii="Arial Nova" w:hAnsi="Arial Nova" w:eastAsia="Arial Nova" w:cs="Arial Nova"/>
          <w:b w:val="0"/>
          <w:bCs w:val="0"/>
          <w:i w:val="1"/>
          <w:iCs w:val="1"/>
          <w:strike w:val="0"/>
          <w:dstrike w:val="0"/>
          <w:noProof w:val="0"/>
          <w:color w:val="000000" w:themeColor="text1" w:themeTint="FF" w:themeShade="FF"/>
          <w:sz w:val="24"/>
          <w:szCs w:val="24"/>
          <w:u w:val="none"/>
          <w:lang w:val="en-US"/>
        </w:rPr>
        <w:t>International Journal of Hospitality Management</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[online] 111, p.103457.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doi:https</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://doi.org/10.1016/j.ijhm.2023.103457.</w:t>
      </w:r>
    </w:p>
    <w:p xmlns:wp14="http://schemas.microsoft.com/office/word/2010/wordml" w:rsidP="5ED495D4" wp14:paraId="76614AD9" wp14:textId="6217516A">
      <w:pPr>
        <w:spacing w:before="0" w:beforeAutospacing="off" w:after="240" w:afterAutospacing="off"/>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pP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Lim Kim Yew, Lynn, H., Tan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Owee</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Kowang</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Zhao, X., Eaw Hooi Cheng, Thai,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P.</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and Venus Claver Dennen (2024). The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influencing factors and</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employee retention in Dubai hotel industry. </w:t>
      </w:r>
      <w:r w:rsidRPr="5ED495D4" w:rsidR="5C7B1F42">
        <w:rPr>
          <w:rFonts w:ascii="Arial Nova" w:hAnsi="Arial Nova" w:eastAsia="Arial Nova" w:cs="Arial Nova"/>
          <w:b w:val="0"/>
          <w:bCs w:val="0"/>
          <w:i w:val="1"/>
          <w:iCs w:val="1"/>
          <w:strike w:val="0"/>
          <w:dstrike w:val="0"/>
          <w:noProof w:val="0"/>
          <w:color w:val="000000" w:themeColor="text1" w:themeTint="FF" w:themeShade="FF"/>
          <w:sz w:val="24"/>
          <w:szCs w:val="24"/>
          <w:u w:val="none"/>
          <w:lang w:val="en-US"/>
        </w:rPr>
        <w:t>Environment</w:t>
      </w:r>
      <w:r w:rsidRPr="5ED495D4" w:rsidR="5C7B1F42">
        <w:rPr>
          <w:rFonts w:ascii="Arial Nova" w:hAnsi="Arial Nova" w:eastAsia="Arial Nova" w:cs="Arial Nova"/>
          <w:b w:val="0"/>
          <w:bCs w:val="0"/>
          <w:i w:val="1"/>
          <w:iCs w:val="1"/>
          <w:strike w:val="0"/>
          <w:dstrike w:val="0"/>
          <w:noProof w:val="0"/>
          <w:color w:val="000000" w:themeColor="text1" w:themeTint="FF" w:themeShade="FF"/>
          <w:sz w:val="24"/>
          <w:szCs w:val="24"/>
          <w:u w:val="none"/>
          <w:lang w:val="en-US"/>
        </w:rPr>
        <w:t xml:space="preserve"> </w:t>
      </w:r>
      <w:r w:rsidRPr="5ED495D4" w:rsidR="5C7B1F42">
        <w:rPr>
          <w:rFonts w:ascii="Arial Nova" w:hAnsi="Arial Nova" w:eastAsia="Arial Nova" w:cs="Arial Nova"/>
          <w:b w:val="0"/>
          <w:bCs w:val="0"/>
          <w:i w:val="1"/>
          <w:iCs w:val="1"/>
          <w:strike w:val="0"/>
          <w:dstrike w:val="0"/>
          <w:noProof w:val="0"/>
          <w:color w:val="000000" w:themeColor="text1" w:themeTint="FF" w:themeShade="FF"/>
          <w:sz w:val="24"/>
          <w:szCs w:val="24"/>
          <w:u w:val="none"/>
          <w:lang w:val="en-US"/>
        </w:rPr>
        <w:t>social psychology</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9(7).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doi:https</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://doi.org/10.59429/esp.v9i7.2721.</w:t>
      </w:r>
    </w:p>
    <w:p xmlns:wp14="http://schemas.microsoft.com/office/word/2010/wordml" w:rsidP="5ED495D4" wp14:paraId="3B501C5C" wp14:textId="320AED5F">
      <w:pPr>
        <w:spacing w:before="0" w:beforeAutospacing="off" w:after="240" w:afterAutospacing="off"/>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pP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Lucidity (2020). </w:t>
      </w:r>
      <w:r w:rsidRPr="5ED495D4" w:rsidR="5C7B1F42">
        <w:rPr>
          <w:rFonts w:ascii="Arial Nova" w:hAnsi="Arial Nova" w:eastAsia="Arial Nova" w:cs="Arial Nova"/>
          <w:b w:val="0"/>
          <w:bCs w:val="0"/>
          <w:i w:val="1"/>
          <w:iCs w:val="1"/>
          <w:strike w:val="0"/>
          <w:dstrike w:val="0"/>
          <w:noProof w:val="0"/>
          <w:color w:val="000000" w:themeColor="text1" w:themeTint="FF" w:themeShade="FF"/>
          <w:sz w:val="24"/>
          <w:szCs w:val="24"/>
          <w:u w:val="none"/>
          <w:lang w:val="en-US"/>
        </w:rPr>
        <w:t>An introduction to TOWS Analysis | Resources | Get Lucidity</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[online] getlucidity.com. Available at: </w:t>
      </w:r>
      <w:hyperlink r:id="R1e4b7618b7a34826">
        <w:r w:rsidRPr="5ED495D4" w:rsidR="5C7B1F42">
          <w:rPr>
            <w:rStyle w:val="Hyperlink"/>
            <w:rFonts w:ascii="Arial Nova" w:hAnsi="Arial Nova" w:eastAsia="Arial Nova" w:cs="Arial Nova"/>
            <w:b w:val="0"/>
            <w:bCs w:val="0"/>
            <w:i w:val="0"/>
            <w:iCs w:val="0"/>
            <w:strike w:val="0"/>
            <w:dstrike w:val="0"/>
            <w:noProof w:val="0"/>
            <w:sz w:val="24"/>
            <w:szCs w:val="24"/>
            <w:lang w:val="en-US"/>
          </w:rPr>
          <w:t>https://getlucidity.com/strategy-resources/an-introduction-to-tows-analysis/</w:t>
        </w:r>
      </w:hyperlink>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w:t>
      </w:r>
    </w:p>
    <w:p xmlns:wp14="http://schemas.microsoft.com/office/word/2010/wordml" w:rsidP="5ED495D4" wp14:paraId="7CFCD4AE" wp14:textId="17A57AE4">
      <w:pPr>
        <w:spacing w:before="0" w:beforeAutospacing="off" w:after="240" w:afterAutospacing="off"/>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pP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Marin-</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Pantelescu</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A. (2021). </w:t>
      </w:r>
      <w:r w:rsidRPr="5ED495D4" w:rsidR="5C7B1F42">
        <w:rPr>
          <w:rFonts w:ascii="Arial Nova" w:hAnsi="Arial Nova" w:eastAsia="Arial Nova" w:cs="Arial Nova"/>
          <w:b w:val="0"/>
          <w:bCs w:val="0"/>
          <w:i w:val="1"/>
          <w:iCs w:val="1"/>
          <w:strike w:val="0"/>
          <w:dstrike w:val="0"/>
          <w:noProof w:val="0"/>
          <w:color w:val="000000" w:themeColor="text1" w:themeTint="FF" w:themeShade="FF"/>
          <w:sz w:val="24"/>
          <w:szCs w:val="24"/>
          <w:u w:val="none"/>
          <w:lang w:val="en-US"/>
        </w:rPr>
        <w:t>CSR in the Tourism Industry</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[online] CSR and Management Accounting Challenges in a Time of Global Crises. Available at: </w:t>
      </w:r>
      <w:hyperlink r:id="R3bd2d36d8bc34b49">
        <w:r w:rsidRPr="5ED495D4" w:rsidR="5C7B1F42">
          <w:rPr>
            <w:rStyle w:val="Hyperlink"/>
            <w:rFonts w:ascii="Arial Nova" w:hAnsi="Arial Nova" w:eastAsia="Arial Nova" w:cs="Arial Nova"/>
            <w:b w:val="0"/>
            <w:bCs w:val="0"/>
            <w:i w:val="0"/>
            <w:iCs w:val="0"/>
            <w:strike w:val="0"/>
            <w:dstrike w:val="0"/>
            <w:noProof w:val="0"/>
            <w:sz w:val="24"/>
            <w:szCs w:val="24"/>
            <w:lang w:val="en-US"/>
          </w:rPr>
          <w:t>https://www.igi-global.com/chapter/csr-in-the-tourism-industry/285328</w:t>
        </w:r>
      </w:hyperlink>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w:t>
      </w:r>
    </w:p>
    <w:p xmlns:wp14="http://schemas.microsoft.com/office/word/2010/wordml" w:rsidP="5ED495D4" wp14:paraId="4C729365" wp14:textId="2FE2D953">
      <w:pPr>
        <w:spacing w:before="0" w:beforeAutospacing="off" w:after="240" w:afterAutospacing="off"/>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pP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Massimo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Regona</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Tan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Yigitcanlar</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Hon, C. and Teo, M. (2024). Artificial Intelligence and Sustainable Development Goals: Systematic Literature Review of the Construction Industry. </w:t>
      </w:r>
      <w:r w:rsidRPr="5ED495D4" w:rsidR="5C7B1F42">
        <w:rPr>
          <w:rFonts w:ascii="Arial Nova" w:hAnsi="Arial Nova" w:eastAsia="Arial Nova" w:cs="Arial Nova"/>
          <w:b w:val="0"/>
          <w:bCs w:val="0"/>
          <w:i w:val="1"/>
          <w:iCs w:val="1"/>
          <w:strike w:val="0"/>
          <w:dstrike w:val="0"/>
          <w:noProof w:val="0"/>
          <w:color w:val="000000" w:themeColor="text1" w:themeTint="FF" w:themeShade="FF"/>
          <w:sz w:val="24"/>
          <w:szCs w:val="24"/>
          <w:u w:val="none"/>
          <w:lang w:val="en-US"/>
        </w:rPr>
        <w:t>Sustainable cities and society</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108, pp.105499–105499.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doi:https</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://doi.org/10.1016/j.scs.2024.105499.</w:t>
      </w:r>
    </w:p>
    <w:p xmlns:wp14="http://schemas.microsoft.com/office/word/2010/wordml" w:rsidP="5ED495D4" wp14:paraId="0CA69609" wp14:textId="62343815">
      <w:pPr>
        <w:spacing w:before="0" w:beforeAutospacing="off" w:after="240" w:afterAutospacing="off"/>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pP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Mericia</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(2020). (PDF) Employee training and service quality in the hospitality industry. </w:t>
      </w:r>
      <w:r w:rsidRPr="5ED495D4" w:rsidR="5C7B1F42">
        <w:rPr>
          <w:rFonts w:ascii="Arial Nova" w:hAnsi="Arial Nova" w:eastAsia="Arial Nova" w:cs="Arial Nova"/>
          <w:b w:val="0"/>
          <w:bCs w:val="0"/>
          <w:i w:val="1"/>
          <w:iCs w:val="1"/>
          <w:strike w:val="0"/>
          <w:dstrike w:val="0"/>
          <w:noProof w:val="0"/>
          <w:color w:val="000000" w:themeColor="text1" w:themeTint="FF" w:themeShade="FF"/>
          <w:sz w:val="24"/>
          <w:szCs w:val="24"/>
          <w:u w:val="none"/>
          <w:lang w:val="en-US"/>
        </w:rPr>
        <w:t>ResearchGate</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[online] Available at: </w:t>
      </w:r>
      <w:hyperlink r:id="Rbfb0ab66e0774e53">
        <w:r w:rsidRPr="5ED495D4" w:rsidR="5C7B1F42">
          <w:rPr>
            <w:rStyle w:val="Hyperlink"/>
            <w:rFonts w:ascii="Arial Nova" w:hAnsi="Arial Nova" w:eastAsia="Arial Nova" w:cs="Arial Nova"/>
            <w:b w:val="0"/>
            <w:bCs w:val="0"/>
            <w:i w:val="0"/>
            <w:iCs w:val="0"/>
            <w:strike w:val="0"/>
            <w:dstrike w:val="0"/>
            <w:noProof w:val="0"/>
            <w:sz w:val="24"/>
            <w:szCs w:val="24"/>
            <w:lang w:val="en-US"/>
          </w:rPr>
          <w:t>https://www.researchgate.net/publication/339134856_Employee_training_and_service_quality_in_the_hospitality_industry</w:t>
        </w:r>
      </w:hyperlink>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w:t>
      </w:r>
    </w:p>
    <w:p xmlns:wp14="http://schemas.microsoft.com/office/word/2010/wordml" w:rsidP="5ED495D4" wp14:paraId="48040AB8" wp14:textId="12D03036">
      <w:pPr>
        <w:spacing w:before="0" w:beforeAutospacing="off" w:after="240" w:afterAutospacing="off"/>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pP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Mitra, S.K. (2019). An analysis of asymmetry in dynamic pricing of hospitality industry. </w:t>
      </w:r>
      <w:r w:rsidRPr="5ED495D4" w:rsidR="5C7B1F42">
        <w:rPr>
          <w:rFonts w:ascii="Arial Nova" w:hAnsi="Arial Nova" w:eastAsia="Arial Nova" w:cs="Arial Nova"/>
          <w:b w:val="0"/>
          <w:bCs w:val="0"/>
          <w:i w:val="1"/>
          <w:iCs w:val="1"/>
          <w:strike w:val="0"/>
          <w:dstrike w:val="0"/>
          <w:noProof w:val="0"/>
          <w:color w:val="000000" w:themeColor="text1" w:themeTint="FF" w:themeShade="FF"/>
          <w:sz w:val="24"/>
          <w:szCs w:val="24"/>
          <w:u w:val="none"/>
          <w:lang w:val="en-US"/>
        </w:rPr>
        <w:t>International Journal of Hospitality Management</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89, p.102406.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doi:https</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://doi.org/10.1016/j.ijhm.2019.102406.</w:t>
      </w:r>
    </w:p>
    <w:p xmlns:wp14="http://schemas.microsoft.com/office/word/2010/wordml" w:rsidP="5ED495D4" wp14:paraId="2A69427D" wp14:textId="2768EF5F">
      <w:pPr>
        <w:spacing w:before="0" w:beforeAutospacing="off" w:after="240" w:afterAutospacing="off"/>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pP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Papadopoulou, G. (2022). The Economic Development of Tourism in the United Arab Emirates. </w:t>
      </w:r>
      <w:r w:rsidRPr="5ED495D4" w:rsidR="5C7B1F42">
        <w:rPr>
          <w:rFonts w:ascii="Arial Nova" w:hAnsi="Arial Nova" w:eastAsia="Arial Nova" w:cs="Arial Nova"/>
          <w:b w:val="0"/>
          <w:bCs w:val="0"/>
          <w:i w:val="1"/>
          <w:iCs w:val="1"/>
          <w:strike w:val="0"/>
          <w:dstrike w:val="0"/>
          <w:noProof w:val="0"/>
          <w:color w:val="000000" w:themeColor="text1" w:themeTint="FF" w:themeShade="FF"/>
          <w:sz w:val="24"/>
          <w:szCs w:val="24"/>
          <w:u w:val="none"/>
          <w:lang w:val="en-US"/>
        </w:rPr>
        <w:t>Entrepreneurial Rise in the Middle East and North Africa: The Influence of Quadruple Helix on Technological Innovation</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pp.111–123. </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doi:https</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://doi.org/10.1108/978-1-80071-517-220221008.</w:t>
      </w:r>
    </w:p>
    <w:p xmlns:wp14="http://schemas.microsoft.com/office/word/2010/wordml" w:rsidP="5ED495D4" wp14:paraId="0AC47CE8" wp14:textId="24EC4397">
      <w:pPr>
        <w:spacing w:before="0" w:beforeAutospacing="off" w:after="240" w:afterAutospacing="off"/>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pP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Pozzobon, F. &lt;1996&gt; (2021). Consistency of non-financial risk disclosure in Integrated Reports and Business Models (Hospitality industry). </w:t>
      </w:r>
      <w:r w:rsidRPr="5ED495D4" w:rsidR="5C7B1F42">
        <w:rPr>
          <w:rFonts w:ascii="Arial Nova" w:hAnsi="Arial Nova" w:eastAsia="Arial Nova" w:cs="Arial Nova"/>
          <w:b w:val="0"/>
          <w:bCs w:val="0"/>
          <w:i w:val="1"/>
          <w:iCs w:val="1"/>
          <w:strike w:val="0"/>
          <w:dstrike w:val="0"/>
          <w:noProof w:val="0"/>
          <w:color w:val="000000" w:themeColor="text1" w:themeTint="FF" w:themeShade="FF"/>
          <w:sz w:val="24"/>
          <w:szCs w:val="24"/>
          <w:u w:val="none"/>
          <w:lang w:val="en-US"/>
        </w:rPr>
        <w:t>dspace.unive.it</w:t>
      </w:r>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 xml:space="preserve">. [online] Available at: </w:t>
      </w:r>
      <w:hyperlink r:id="R00174d1680804cc0">
        <w:r w:rsidRPr="5ED495D4" w:rsidR="5C7B1F42">
          <w:rPr>
            <w:rStyle w:val="Hyperlink"/>
            <w:rFonts w:ascii="Arial Nova" w:hAnsi="Arial Nova" w:eastAsia="Arial Nova" w:cs="Arial Nova"/>
            <w:b w:val="0"/>
            <w:bCs w:val="0"/>
            <w:i w:val="0"/>
            <w:iCs w:val="0"/>
            <w:strike w:val="0"/>
            <w:dstrike w:val="0"/>
            <w:noProof w:val="0"/>
            <w:sz w:val="24"/>
            <w:szCs w:val="24"/>
            <w:lang w:val="en-US"/>
          </w:rPr>
          <w:t>http://dspace.unive.it/handle/10579/20168</w:t>
        </w:r>
      </w:hyperlink>
      <w:r w:rsidRPr="5ED495D4" w:rsidR="5C7B1F42">
        <w:rPr>
          <w:rFonts w:ascii="Arial Nova" w:hAnsi="Arial Nova" w:eastAsia="Arial Nova" w:cs="Arial Nova"/>
          <w:b w:val="0"/>
          <w:bCs w:val="0"/>
          <w:i w:val="0"/>
          <w:iCs w:val="0"/>
          <w:strike w:val="0"/>
          <w:dstrike w:val="0"/>
          <w:noProof w:val="0"/>
          <w:color w:val="000000" w:themeColor="text1" w:themeTint="FF" w:themeShade="FF"/>
          <w:sz w:val="24"/>
          <w:szCs w:val="24"/>
          <w:u w:val="none"/>
          <w:lang w:val="en-US"/>
        </w:rPr>
        <w:t>.</w:t>
      </w:r>
    </w:p>
    <w:p xmlns:wp14="http://schemas.microsoft.com/office/word/2010/wordml" wp14:paraId="08A80A0F" wp14:textId="218AC11C"/>
    <w:p xmlns:wp14="http://schemas.microsoft.com/office/word/2010/wordml" w:rsidP="5ED495D4" wp14:paraId="5A6A05C8" wp14:textId="7DECBC97">
      <w:pPr>
        <w:pStyle w:val="Heading1"/>
        <w:spacing w:before="240" w:beforeAutospacing="off" w:after="0" w:afterAutospacing="off"/>
        <w:jc w:val="both"/>
      </w:pPr>
      <w:r w:rsidRPr="5ED495D4" w:rsidR="47864529">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US"/>
        </w:rPr>
        <w:t>Appendix (A)</w:t>
      </w:r>
    </w:p>
    <w:p xmlns:wp14="http://schemas.microsoft.com/office/word/2010/wordml" w:rsidP="5ED495D4" wp14:paraId="2063FBC9" wp14:textId="54AFE96A">
      <w:pPr>
        <w:spacing w:before="0" w:beforeAutospacing="off" w:after="160" w:afterAutospacing="off"/>
        <w:jc w:val="both"/>
      </w:pPr>
      <w:r w:rsidRPr="5ED495D4" w:rsidR="4786452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This following table illustrating relevant change management models and their application within the change management strategy for Accor’s Dubai property:</w:t>
      </w:r>
    </w:p>
    <w:p xmlns:wp14="http://schemas.microsoft.com/office/word/2010/wordml" w:rsidP="5ED495D4" wp14:paraId="00727FE8" wp14:textId="6A9CED04">
      <w:pPr>
        <w:spacing w:before="0" w:beforeAutospacing="off" w:after="200" w:afterAutospacing="off"/>
      </w:pPr>
      <w:r w:rsidRPr="5ED495D4" w:rsidR="47864529">
        <w:rPr>
          <w:rFonts w:ascii="Times New Roman" w:hAnsi="Times New Roman" w:eastAsia="Times New Roman" w:cs="Times New Roman"/>
          <w:b w:val="1"/>
          <w:bCs w:val="1"/>
          <w:i w:val="0"/>
          <w:iCs w:val="0"/>
          <w:strike w:val="0"/>
          <w:dstrike w:val="0"/>
          <w:noProof w:val="0"/>
          <w:color w:val="000000" w:themeColor="text1" w:themeTint="FF" w:themeShade="FF"/>
          <w:sz w:val="18"/>
          <w:szCs w:val="18"/>
          <w:u w:val="none"/>
          <w:lang w:val="en-US"/>
        </w:rPr>
        <w:t>Table 6:</w:t>
      </w:r>
      <w:r w:rsidRPr="5ED495D4" w:rsidR="47864529">
        <w:rPr>
          <w:rFonts w:ascii="Times New Roman" w:hAnsi="Times New Roman" w:eastAsia="Times New Roman" w:cs="Times New Roman"/>
          <w:b w:val="0"/>
          <w:bCs w:val="0"/>
          <w:i w:val="0"/>
          <w:iCs w:val="0"/>
          <w:strike w:val="0"/>
          <w:dstrike w:val="0"/>
          <w:noProof w:val="0"/>
          <w:color w:val="000000" w:themeColor="text1" w:themeTint="FF" w:themeShade="FF"/>
          <w:sz w:val="18"/>
          <w:szCs w:val="18"/>
          <w:u w:val="none"/>
          <w:lang w:val="en-US"/>
        </w:rPr>
        <w:t xml:space="preserve"> change management models and their application</w:t>
      </w:r>
    </w:p>
    <w:tbl>
      <w:tblPr>
        <w:tblStyle w:val="TableNormal"/>
        <w:tblW w:w="0" w:type="auto"/>
        <w:tblLayout w:type="fixed"/>
        <w:tblLook w:val="06A0" w:firstRow="1" w:lastRow="0" w:firstColumn="1" w:lastColumn="0" w:noHBand="1" w:noVBand="1"/>
      </w:tblPr>
      <w:tblGrid>
        <w:gridCol w:w="1299"/>
        <w:gridCol w:w="3609"/>
        <w:gridCol w:w="3759"/>
      </w:tblGrid>
      <w:tr w:rsidR="5ED495D4" w:rsidTr="5ED495D4" w14:paraId="3B884F62">
        <w:trPr>
          <w:trHeight w:val="300"/>
        </w:trPr>
        <w:tc>
          <w:tcPr>
            <w:tcW w:w="1299"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shd w:val="clear" w:color="auto" w:fill="C00000"/>
            <w:tcMar>
              <w:left w:w="108" w:type="dxa"/>
              <w:right w:w="108" w:type="dxa"/>
            </w:tcMar>
            <w:vAlign w:val="top"/>
          </w:tcPr>
          <w:p w:rsidR="5ED495D4" w:rsidP="5ED495D4" w:rsidRDefault="5ED495D4" w14:paraId="197767A5" w14:textId="1CA1E538">
            <w:pPr>
              <w:spacing w:before="0" w:beforeAutospacing="off" w:after="160" w:afterAutospacing="off"/>
              <w:jc w:val="center"/>
            </w:pPr>
            <w:r w:rsidRPr="5ED495D4" w:rsidR="5ED495D4">
              <w:rPr>
                <w:rFonts w:ascii="Times New Roman" w:hAnsi="Times New Roman" w:eastAsia="Times New Roman" w:cs="Times New Roman"/>
                <w:b w:val="1"/>
                <w:bCs w:val="1"/>
                <w:i w:val="0"/>
                <w:iCs w:val="0"/>
                <w:strike w:val="0"/>
                <w:dstrike w:val="0"/>
                <w:color w:val="FFFFFF" w:themeColor="background1" w:themeTint="FF" w:themeShade="FF"/>
                <w:sz w:val="24"/>
                <w:szCs w:val="24"/>
                <w:u w:val="none"/>
              </w:rPr>
              <w:t>Model</w:t>
            </w:r>
          </w:p>
        </w:tc>
        <w:tc>
          <w:tcPr>
            <w:tcW w:w="3609"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shd w:val="clear" w:color="auto" w:fill="C00000"/>
            <w:tcMar>
              <w:left w:w="108" w:type="dxa"/>
              <w:right w:w="108" w:type="dxa"/>
            </w:tcMar>
            <w:vAlign w:val="top"/>
          </w:tcPr>
          <w:p w:rsidR="5ED495D4" w:rsidP="5ED495D4" w:rsidRDefault="5ED495D4" w14:paraId="688A21A0" w14:textId="04C94F73">
            <w:pPr>
              <w:spacing w:before="0" w:beforeAutospacing="off" w:after="160" w:afterAutospacing="off"/>
              <w:jc w:val="center"/>
            </w:pPr>
            <w:r w:rsidRPr="5ED495D4" w:rsidR="5ED495D4">
              <w:rPr>
                <w:rFonts w:ascii="Times New Roman" w:hAnsi="Times New Roman" w:eastAsia="Times New Roman" w:cs="Times New Roman"/>
                <w:b w:val="1"/>
                <w:bCs w:val="1"/>
                <w:i w:val="0"/>
                <w:iCs w:val="0"/>
                <w:strike w:val="0"/>
                <w:dstrike w:val="0"/>
                <w:color w:val="FFFFFF" w:themeColor="background1" w:themeTint="FF" w:themeShade="FF"/>
                <w:sz w:val="24"/>
                <w:szCs w:val="24"/>
                <w:u w:val="none"/>
              </w:rPr>
              <w:t>Description</w:t>
            </w:r>
          </w:p>
        </w:tc>
        <w:tc>
          <w:tcPr>
            <w:tcW w:w="3759"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shd w:val="clear" w:color="auto" w:fill="C00000"/>
            <w:tcMar>
              <w:left w:w="108" w:type="dxa"/>
              <w:right w:w="108" w:type="dxa"/>
            </w:tcMar>
            <w:vAlign w:val="top"/>
          </w:tcPr>
          <w:p w:rsidR="5ED495D4" w:rsidP="5ED495D4" w:rsidRDefault="5ED495D4" w14:paraId="1F6853B8" w14:textId="501E2D2D">
            <w:pPr>
              <w:spacing w:before="0" w:beforeAutospacing="off" w:after="160" w:afterAutospacing="off"/>
              <w:jc w:val="center"/>
            </w:pPr>
            <w:r w:rsidRPr="5ED495D4" w:rsidR="5ED495D4">
              <w:rPr>
                <w:rFonts w:ascii="Times New Roman" w:hAnsi="Times New Roman" w:eastAsia="Times New Roman" w:cs="Times New Roman"/>
                <w:b w:val="1"/>
                <w:bCs w:val="1"/>
                <w:i w:val="0"/>
                <w:iCs w:val="0"/>
                <w:strike w:val="0"/>
                <w:dstrike w:val="0"/>
                <w:color w:val="FFFFFF" w:themeColor="background1" w:themeTint="FF" w:themeShade="FF"/>
                <w:sz w:val="24"/>
                <w:szCs w:val="24"/>
                <w:u w:val="none"/>
              </w:rPr>
              <w:t>Application in Accor’s Change Management Strategy</w:t>
            </w:r>
          </w:p>
        </w:tc>
      </w:tr>
      <w:tr w:rsidR="5ED495D4" w:rsidTr="5ED495D4" w14:paraId="59084706">
        <w:trPr>
          <w:trHeight w:val="300"/>
        </w:trPr>
        <w:tc>
          <w:tcPr>
            <w:tcW w:w="1299"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366D49A4" w14:textId="509D6F99">
            <w:pPr>
              <w:spacing w:before="0" w:beforeAutospacing="off" w:after="160" w:afterAutospacing="off"/>
            </w:pPr>
            <w:r w:rsidRPr="5ED495D4" w:rsidR="5ED495D4">
              <w:rPr>
                <w:rFonts w:ascii="Times New Roman" w:hAnsi="Times New Roman" w:eastAsia="Times New Roman" w:cs="Times New Roman"/>
                <w:b w:val="1"/>
                <w:bCs w:val="1"/>
                <w:i w:val="0"/>
                <w:iCs w:val="0"/>
                <w:strike w:val="0"/>
                <w:dstrike w:val="0"/>
                <w:color w:val="000000" w:themeColor="text1" w:themeTint="FF" w:themeShade="FF"/>
                <w:sz w:val="24"/>
                <w:szCs w:val="24"/>
                <w:u w:val="none"/>
              </w:rPr>
              <w:t>Lewin's Change Model</w:t>
            </w:r>
          </w:p>
        </w:tc>
        <w:tc>
          <w:tcPr>
            <w:tcW w:w="3609"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1B8D2AB8" w14:textId="4B70A1FC">
            <w:pPr>
              <w:spacing w:before="0" w:beforeAutospacing="off" w:after="160" w:afterAutospacing="off"/>
              <w:jc w:val="both"/>
            </w:pPr>
            <w:r w:rsidRPr="5ED495D4" w:rsidR="5ED495D4">
              <w:rPr>
                <w:rFonts w:ascii="Times New Roman" w:hAnsi="Times New Roman" w:eastAsia="Times New Roman" w:cs="Times New Roman"/>
                <w:b w:val="0"/>
                <w:bCs w:val="0"/>
                <w:i w:val="0"/>
                <w:iCs w:val="0"/>
                <w:strike w:val="0"/>
                <w:dstrike w:val="0"/>
                <w:color w:val="000000" w:themeColor="text1" w:themeTint="FF" w:themeShade="FF"/>
                <w:sz w:val="24"/>
                <w:szCs w:val="24"/>
                <w:u w:val="none"/>
              </w:rPr>
              <w:t>Divides the change process into three phases: Unfreeze, Change, and Refreeze. It emphasizes preparing an organization for change, implementing it, and solidifying the new state as the standard.</w:t>
            </w:r>
          </w:p>
        </w:tc>
        <w:tc>
          <w:tcPr>
            <w:tcW w:w="3759"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195DF8E8" w14:textId="1EFF04D0">
            <w:pPr>
              <w:spacing w:before="0" w:beforeAutospacing="off" w:after="160" w:afterAutospacing="off"/>
              <w:jc w:val="both"/>
            </w:pPr>
            <w:r w:rsidRPr="5ED495D4" w:rsidR="5ED495D4">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Unfreeze: Initial staff briefings explaining the rationale behind changes to customer service, revenue optimization, and sustainability. This helps in creating awareness and readiness among employees. </w:t>
            </w:r>
            <w:r>
              <w:br/>
            </w:r>
            <w:r w:rsidRPr="5ED495D4" w:rsidR="5ED495D4">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Change: Conduct training and development sessions in customer service, sustainability, and technology, integrating hands-on exercises to familiarize employees with new practices. </w:t>
            </w:r>
            <w:r>
              <w:br/>
            </w:r>
            <w:r w:rsidRPr="5ED495D4" w:rsidR="5ED495D4">
              <w:rPr>
                <w:rFonts w:ascii="Times New Roman" w:hAnsi="Times New Roman" w:eastAsia="Times New Roman" w:cs="Times New Roman"/>
                <w:b w:val="0"/>
                <w:bCs w:val="0"/>
                <w:i w:val="0"/>
                <w:iCs w:val="0"/>
                <w:strike w:val="0"/>
                <w:dstrike w:val="0"/>
                <w:color w:val="000000" w:themeColor="text1" w:themeTint="FF" w:themeShade="FF"/>
                <w:sz w:val="24"/>
                <w:szCs w:val="24"/>
                <w:u w:val="none"/>
              </w:rPr>
              <w:t>Refreeze: Regular performance tracking and reinforcement through feedback sessions and updates on progress.</w:t>
            </w:r>
          </w:p>
        </w:tc>
      </w:tr>
      <w:tr w:rsidR="5ED495D4" w:rsidTr="5ED495D4" w14:paraId="6B989F12">
        <w:trPr>
          <w:trHeight w:val="300"/>
        </w:trPr>
        <w:tc>
          <w:tcPr>
            <w:tcW w:w="1299"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75E75BF2" w14:textId="0A940076">
            <w:pPr>
              <w:spacing w:before="0" w:beforeAutospacing="off" w:after="160" w:afterAutospacing="off"/>
            </w:pPr>
            <w:r w:rsidRPr="5ED495D4" w:rsidR="5ED495D4">
              <w:rPr>
                <w:rFonts w:ascii="Times New Roman" w:hAnsi="Times New Roman" w:eastAsia="Times New Roman" w:cs="Times New Roman"/>
                <w:b w:val="1"/>
                <w:bCs w:val="1"/>
                <w:i w:val="0"/>
                <w:iCs w:val="0"/>
                <w:strike w:val="0"/>
                <w:dstrike w:val="0"/>
                <w:color w:val="000000" w:themeColor="text1" w:themeTint="FF" w:themeShade="FF"/>
                <w:sz w:val="24"/>
                <w:szCs w:val="24"/>
                <w:u w:val="none"/>
              </w:rPr>
              <w:t>Kotter’s 8-Step Model</w:t>
            </w:r>
          </w:p>
        </w:tc>
        <w:tc>
          <w:tcPr>
            <w:tcW w:w="3609"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58AE8264" w14:textId="45DFAED2">
            <w:pPr>
              <w:spacing w:before="0" w:beforeAutospacing="off" w:after="160" w:afterAutospacing="off"/>
              <w:jc w:val="both"/>
            </w:pPr>
            <w:r w:rsidRPr="5ED495D4" w:rsidR="5ED495D4">
              <w:rPr>
                <w:rFonts w:ascii="Times New Roman" w:hAnsi="Times New Roman" w:eastAsia="Times New Roman" w:cs="Times New Roman"/>
                <w:b w:val="0"/>
                <w:bCs w:val="0"/>
                <w:i w:val="0"/>
                <w:iCs w:val="0"/>
                <w:strike w:val="0"/>
                <w:dstrike w:val="0"/>
                <w:color w:val="000000" w:themeColor="text1" w:themeTint="FF" w:themeShade="FF"/>
                <w:sz w:val="24"/>
                <w:szCs w:val="24"/>
                <w:u w:val="none"/>
              </w:rPr>
              <w:t>Outlines eight steps for effective change management, focusing on creating urgency, building a guiding coalition, and anchoring new approaches in the organization’s culture.</w:t>
            </w:r>
          </w:p>
        </w:tc>
        <w:tc>
          <w:tcPr>
            <w:tcW w:w="3759"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29951A76" w14:textId="41B2B35E">
            <w:pPr>
              <w:spacing w:before="0" w:beforeAutospacing="off" w:after="160" w:afterAutospacing="off"/>
              <w:jc w:val="both"/>
            </w:pPr>
            <w:r w:rsidRPr="5ED495D4" w:rsidR="5ED495D4">
              <w:rPr>
                <w:rFonts w:ascii="Times New Roman" w:hAnsi="Times New Roman" w:eastAsia="Times New Roman" w:cs="Times New Roman"/>
                <w:b w:val="0"/>
                <w:bCs w:val="0"/>
                <w:i w:val="0"/>
                <w:iCs w:val="0"/>
                <w:strike w:val="0"/>
                <w:dstrike w:val="0"/>
                <w:color w:val="000000" w:themeColor="text1" w:themeTint="FF" w:themeShade="FF"/>
                <w:sz w:val="24"/>
                <w:szCs w:val="24"/>
                <w:u w:val="none"/>
              </w:rPr>
              <w:t>Creating Urgency: Emphasize the competitive and operational need for changes by sharing customer satisfaction data and market performance.</w:t>
            </w:r>
            <w:r>
              <w:br/>
            </w:r>
            <w:r w:rsidRPr="5ED495D4" w:rsidR="5ED495D4">
              <w:rPr>
                <w:rFonts w:ascii="Times New Roman" w:hAnsi="Times New Roman" w:eastAsia="Times New Roman" w:cs="Times New Roman"/>
                <w:b w:val="0"/>
                <w:bCs w:val="0"/>
                <w:i w:val="0"/>
                <w:iCs w:val="0"/>
                <w:strike w:val="0"/>
                <w:dstrike w:val="0"/>
                <w:color w:val="000000" w:themeColor="text1" w:themeTint="FF" w:themeShade="FF"/>
                <w:sz w:val="24"/>
                <w:szCs w:val="24"/>
                <w:u w:val="none"/>
              </w:rPr>
              <w:t>Building a Coalition: Engage department heads and influential staff as champions of change.</w:t>
            </w:r>
            <w:r>
              <w:br/>
            </w:r>
            <w:r w:rsidRPr="5ED495D4" w:rsidR="5ED495D4">
              <w:rPr>
                <w:rFonts w:ascii="Times New Roman" w:hAnsi="Times New Roman" w:eastAsia="Times New Roman" w:cs="Times New Roman"/>
                <w:b w:val="0"/>
                <w:bCs w:val="0"/>
                <w:i w:val="0"/>
                <w:iCs w:val="0"/>
                <w:strike w:val="0"/>
                <w:dstrike w:val="0"/>
                <w:color w:val="000000" w:themeColor="text1" w:themeTint="FF" w:themeShade="FF"/>
                <w:sz w:val="24"/>
                <w:szCs w:val="24"/>
                <w:u w:val="none"/>
              </w:rPr>
              <w:t>Forming a Vision: Outline a clear, unified vision for improved guest experience and operational efficiency.</w:t>
            </w:r>
            <w:r>
              <w:br/>
            </w:r>
            <w:r w:rsidRPr="5ED495D4" w:rsidR="5ED495D4">
              <w:rPr>
                <w:rFonts w:ascii="Times New Roman" w:hAnsi="Times New Roman" w:eastAsia="Times New Roman" w:cs="Times New Roman"/>
                <w:b w:val="0"/>
                <w:bCs w:val="0"/>
                <w:i w:val="0"/>
                <w:iCs w:val="0"/>
                <w:strike w:val="0"/>
                <w:dstrike w:val="0"/>
                <w:color w:val="000000" w:themeColor="text1" w:themeTint="FF" w:themeShade="FF"/>
                <w:sz w:val="24"/>
                <w:szCs w:val="24"/>
                <w:u w:val="none"/>
              </w:rPr>
              <w:t>Empowering Staff: Encourage feedback loops and provide tools needed for smooth transitions.</w:t>
            </w:r>
            <w:r>
              <w:br/>
            </w:r>
            <w:r w:rsidRPr="5ED495D4" w:rsidR="5ED495D4">
              <w:rPr>
                <w:rFonts w:ascii="Times New Roman" w:hAnsi="Times New Roman" w:eastAsia="Times New Roman" w:cs="Times New Roman"/>
                <w:b w:val="0"/>
                <w:bCs w:val="0"/>
                <w:i w:val="0"/>
                <w:iCs w:val="0"/>
                <w:strike w:val="0"/>
                <w:dstrike w:val="0"/>
                <w:color w:val="000000" w:themeColor="text1" w:themeTint="FF" w:themeShade="FF"/>
                <w:sz w:val="24"/>
                <w:szCs w:val="24"/>
                <w:u w:val="none"/>
              </w:rPr>
              <w:t>Anchoring New Approaches: Embed service consistency and sustainability into performance metrics and daily workflows, making them integral to Accor’s brand identity.</w:t>
            </w:r>
          </w:p>
        </w:tc>
      </w:tr>
      <w:tr w:rsidR="5ED495D4" w:rsidTr="5ED495D4" w14:paraId="1B351554">
        <w:trPr>
          <w:trHeight w:val="300"/>
        </w:trPr>
        <w:tc>
          <w:tcPr>
            <w:tcW w:w="1299"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0054067A" w14:textId="441EC979">
            <w:pPr>
              <w:spacing w:before="0" w:beforeAutospacing="off" w:after="160" w:afterAutospacing="off"/>
            </w:pPr>
            <w:r w:rsidRPr="5ED495D4" w:rsidR="5ED495D4">
              <w:rPr>
                <w:rFonts w:ascii="Times New Roman" w:hAnsi="Times New Roman" w:eastAsia="Times New Roman" w:cs="Times New Roman"/>
                <w:b w:val="1"/>
                <w:bCs w:val="1"/>
                <w:i w:val="0"/>
                <w:iCs w:val="0"/>
                <w:strike w:val="0"/>
                <w:dstrike w:val="0"/>
                <w:color w:val="000000" w:themeColor="text1" w:themeTint="FF" w:themeShade="FF"/>
                <w:sz w:val="24"/>
                <w:szCs w:val="24"/>
                <w:u w:val="none"/>
              </w:rPr>
              <w:t>ADKAR Model</w:t>
            </w:r>
          </w:p>
        </w:tc>
        <w:tc>
          <w:tcPr>
            <w:tcW w:w="3609"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62A2A3F8" w14:textId="0420721D">
            <w:pPr>
              <w:spacing w:before="0" w:beforeAutospacing="off" w:after="160" w:afterAutospacing="off"/>
              <w:jc w:val="both"/>
            </w:pPr>
            <w:r w:rsidRPr="5ED495D4" w:rsidR="5ED495D4">
              <w:rPr>
                <w:rFonts w:ascii="Times New Roman" w:hAnsi="Times New Roman" w:eastAsia="Times New Roman" w:cs="Times New Roman"/>
                <w:b w:val="0"/>
                <w:bCs w:val="0"/>
                <w:i w:val="0"/>
                <w:iCs w:val="0"/>
                <w:strike w:val="0"/>
                <w:dstrike w:val="0"/>
                <w:color w:val="000000" w:themeColor="text1" w:themeTint="FF" w:themeShade="FF"/>
                <w:sz w:val="24"/>
                <w:szCs w:val="24"/>
                <w:u w:val="none"/>
              </w:rPr>
              <w:t>An acronym for Awareness, Desire, Knowledge, Ability, and Reinforcement. This model focuses on individual change by addressing each stage of adoption for sustainable results.</w:t>
            </w:r>
          </w:p>
        </w:tc>
        <w:tc>
          <w:tcPr>
            <w:tcW w:w="3759"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4ECCACB8" w14:textId="22A0142F">
            <w:pPr>
              <w:spacing w:before="0" w:beforeAutospacing="off" w:after="160" w:afterAutospacing="off"/>
              <w:jc w:val="both"/>
            </w:pPr>
            <w:r w:rsidRPr="5ED495D4" w:rsidR="5ED495D4">
              <w:rPr>
                <w:rFonts w:ascii="Times New Roman" w:hAnsi="Times New Roman" w:eastAsia="Times New Roman" w:cs="Times New Roman"/>
                <w:b w:val="0"/>
                <w:bCs w:val="0"/>
                <w:i w:val="0"/>
                <w:iCs w:val="0"/>
                <w:strike w:val="0"/>
                <w:dstrike w:val="0"/>
                <w:color w:val="000000" w:themeColor="text1" w:themeTint="FF" w:themeShade="FF"/>
                <w:sz w:val="24"/>
                <w:szCs w:val="24"/>
                <w:u w:val="none"/>
              </w:rPr>
              <w:t>Awareness: Briefings explain the need for operational changes, focusing on benefits for both staff and guests.</w:t>
            </w:r>
            <w:r>
              <w:br/>
            </w:r>
            <w:r w:rsidRPr="5ED495D4" w:rsidR="5ED495D4">
              <w:rPr>
                <w:rFonts w:ascii="Times New Roman" w:hAnsi="Times New Roman" w:eastAsia="Times New Roman" w:cs="Times New Roman"/>
                <w:b w:val="0"/>
                <w:bCs w:val="0"/>
                <w:i w:val="0"/>
                <w:iCs w:val="0"/>
                <w:strike w:val="0"/>
                <w:dstrike w:val="0"/>
                <w:color w:val="000000" w:themeColor="text1" w:themeTint="FF" w:themeShade="FF"/>
                <w:sz w:val="24"/>
                <w:szCs w:val="24"/>
                <w:u w:val="none"/>
              </w:rPr>
              <w:t>Desire: Managers highlight how improvements will create a better work environment and benefit staff.</w:t>
            </w:r>
            <w:r>
              <w:br/>
            </w:r>
            <w:r w:rsidRPr="5ED495D4" w:rsidR="5ED495D4">
              <w:rPr>
                <w:rFonts w:ascii="Times New Roman" w:hAnsi="Times New Roman" w:eastAsia="Times New Roman" w:cs="Times New Roman"/>
                <w:b w:val="0"/>
                <w:bCs w:val="0"/>
                <w:i w:val="0"/>
                <w:iCs w:val="0"/>
                <w:strike w:val="0"/>
                <w:dstrike w:val="0"/>
                <w:color w:val="000000" w:themeColor="text1" w:themeTint="FF" w:themeShade="FF"/>
                <w:sz w:val="24"/>
                <w:szCs w:val="24"/>
                <w:u w:val="none"/>
              </w:rPr>
              <w:t>Knowledge: Customer service, technology, and sustainability training provide skills for effective change implementation.</w:t>
            </w:r>
            <w:r>
              <w:br/>
            </w:r>
            <w:r w:rsidRPr="5ED495D4" w:rsidR="5ED495D4">
              <w:rPr>
                <w:rFonts w:ascii="Times New Roman" w:hAnsi="Times New Roman" w:eastAsia="Times New Roman" w:cs="Times New Roman"/>
                <w:b w:val="0"/>
                <w:bCs w:val="0"/>
                <w:i w:val="0"/>
                <w:iCs w:val="0"/>
                <w:strike w:val="0"/>
                <w:dstrike w:val="0"/>
                <w:color w:val="000000" w:themeColor="text1" w:themeTint="FF" w:themeShade="FF"/>
                <w:sz w:val="24"/>
                <w:szCs w:val="24"/>
                <w:u w:val="none"/>
              </w:rPr>
              <w:t>Ability: Hands-on practice and role-playing in training sessions equip employees to apply new skills.</w:t>
            </w:r>
            <w:r>
              <w:br/>
            </w:r>
            <w:r w:rsidRPr="5ED495D4" w:rsidR="5ED495D4">
              <w:rPr>
                <w:rFonts w:ascii="Times New Roman" w:hAnsi="Times New Roman" w:eastAsia="Times New Roman" w:cs="Times New Roman"/>
                <w:b w:val="0"/>
                <w:bCs w:val="0"/>
                <w:i w:val="0"/>
                <w:iCs w:val="0"/>
                <w:strike w:val="0"/>
                <w:dstrike w:val="0"/>
                <w:color w:val="000000" w:themeColor="text1" w:themeTint="FF" w:themeShade="FF"/>
                <w:sz w:val="24"/>
                <w:szCs w:val="24"/>
                <w:u w:val="none"/>
              </w:rPr>
              <w:t>Reinforcement: Regular updates on success metrics, feedback from guests, and celebrating milestones to maintain motivation and consistency.</w:t>
            </w:r>
          </w:p>
        </w:tc>
      </w:tr>
      <w:tr w:rsidR="5ED495D4" w:rsidTr="5ED495D4" w14:paraId="1BEF86D7">
        <w:trPr>
          <w:trHeight w:val="300"/>
        </w:trPr>
        <w:tc>
          <w:tcPr>
            <w:tcW w:w="1299"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4BB102AD" w14:textId="1417C618">
            <w:pPr>
              <w:spacing w:before="0" w:beforeAutospacing="off" w:after="160" w:afterAutospacing="off"/>
            </w:pPr>
            <w:r w:rsidRPr="5ED495D4" w:rsidR="5ED495D4">
              <w:rPr>
                <w:rFonts w:ascii="Times New Roman" w:hAnsi="Times New Roman" w:eastAsia="Times New Roman" w:cs="Times New Roman"/>
                <w:b w:val="1"/>
                <w:bCs w:val="1"/>
                <w:i w:val="0"/>
                <w:iCs w:val="0"/>
                <w:strike w:val="0"/>
                <w:dstrike w:val="0"/>
                <w:color w:val="000000" w:themeColor="text1" w:themeTint="FF" w:themeShade="FF"/>
                <w:sz w:val="24"/>
                <w:szCs w:val="24"/>
                <w:u w:val="none"/>
              </w:rPr>
              <w:t>McKinsey 7S Framework</w:t>
            </w:r>
          </w:p>
        </w:tc>
        <w:tc>
          <w:tcPr>
            <w:tcW w:w="3609"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574DC2FC" w14:textId="2204A881">
            <w:pPr>
              <w:spacing w:before="0" w:beforeAutospacing="off" w:after="160" w:afterAutospacing="off"/>
              <w:jc w:val="both"/>
            </w:pPr>
            <w:r w:rsidRPr="5ED495D4" w:rsidR="5ED495D4">
              <w:rPr>
                <w:rFonts w:ascii="Times New Roman" w:hAnsi="Times New Roman" w:eastAsia="Times New Roman" w:cs="Times New Roman"/>
                <w:b w:val="0"/>
                <w:bCs w:val="0"/>
                <w:i w:val="0"/>
                <w:iCs w:val="0"/>
                <w:strike w:val="0"/>
                <w:dstrike w:val="0"/>
                <w:color w:val="000000" w:themeColor="text1" w:themeTint="FF" w:themeShade="FF"/>
                <w:sz w:val="24"/>
                <w:szCs w:val="24"/>
                <w:u w:val="none"/>
              </w:rPr>
              <w:t>Focuses on seven elements essential for successful organizational change: Strategy, Structure, Systems, Shared Values, Style, Staff, and Skills. Ensures all elements align to support change.</w:t>
            </w:r>
          </w:p>
        </w:tc>
        <w:tc>
          <w:tcPr>
            <w:tcW w:w="3759"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6DC54F2D" w14:textId="12F38768">
            <w:pPr>
              <w:spacing w:before="0" w:beforeAutospacing="off" w:after="160" w:afterAutospacing="off"/>
              <w:jc w:val="both"/>
            </w:pPr>
            <w:r w:rsidRPr="5ED495D4" w:rsidR="5ED495D4">
              <w:rPr>
                <w:rFonts w:ascii="Times New Roman" w:hAnsi="Times New Roman" w:eastAsia="Times New Roman" w:cs="Times New Roman"/>
                <w:b w:val="0"/>
                <w:bCs w:val="0"/>
                <w:i w:val="0"/>
                <w:iCs w:val="0"/>
                <w:strike w:val="0"/>
                <w:dstrike w:val="0"/>
                <w:color w:val="000000" w:themeColor="text1" w:themeTint="FF" w:themeShade="FF"/>
                <w:sz w:val="24"/>
                <w:szCs w:val="24"/>
                <w:u w:val="none"/>
              </w:rPr>
              <w:t>Strategy: Integrate customer experience and sustainability as strategic priorities.</w:t>
            </w:r>
            <w:r>
              <w:br/>
            </w:r>
            <w:r w:rsidRPr="5ED495D4" w:rsidR="5ED495D4">
              <w:rPr>
                <w:rFonts w:ascii="Times New Roman" w:hAnsi="Times New Roman" w:eastAsia="Times New Roman" w:cs="Times New Roman"/>
                <w:b w:val="0"/>
                <w:bCs w:val="0"/>
                <w:i w:val="0"/>
                <w:iCs w:val="0"/>
                <w:strike w:val="0"/>
                <w:dstrike w:val="0"/>
                <w:color w:val="000000" w:themeColor="text1" w:themeTint="FF" w:themeShade="FF"/>
                <w:sz w:val="24"/>
                <w:szCs w:val="24"/>
                <w:u w:val="none"/>
              </w:rPr>
              <w:t>Structure: Define clear roles for change implementation, including change champions and task-specific teams.</w:t>
            </w:r>
            <w:r>
              <w:br/>
            </w:r>
            <w:r w:rsidRPr="5ED495D4" w:rsidR="5ED495D4">
              <w:rPr>
                <w:rFonts w:ascii="Times New Roman" w:hAnsi="Times New Roman" w:eastAsia="Times New Roman" w:cs="Times New Roman"/>
                <w:b w:val="0"/>
                <w:bCs w:val="0"/>
                <w:i w:val="0"/>
                <w:iCs w:val="0"/>
                <w:strike w:val="0"/>
                <w:dstrike w:val="0"/>
                <w:color w:val="000000" w:themeColor="text1" w:themeTint="FF" w:themeShade="FF"/>
                <w:sz w:val="24"/>
                <w:szCs w:val="24"/>
                <w:u w:val="none"/>
              </w:rPr>
              <w:t>Systems: Implement systems for real-time feedback and dynamic pricing to support operational efficiency.</w:t>
            </w:r>
            <w:r>
              <w:br/>
            </w:r>
            <w:r w:rsidRPr="5ED495D4" w:rsidR="5ED495D4">
              <w:rPr>
                <w:rFonts w:ascii="Times New Roman" w:hAnsi="Times New Roman" w:eastAsia="Times New Roman" w:cs="Times New Roman"/>
                <w:b w:val="0"/>
                <w:bCs w:val="0"/>
                <w:i w:val="0"/>
                <w:iCs w:val="0"/>
                <w:strike w:val="0"/>
                <w:dstrike w:val="0"/>
                <w:color w:val="000000" w:themeColor="text1" w:themeTint="FF" w:themeShade="FF"/>
                <w:sz w:val="24"/>
                <w:szCs w:val="24"/>
                <w:u w:val="none"/>
              </w:rPr>
              <w:t>Shared Values: Reinforce Accor’s mission of luxury hospitality and sustainability through training and communications.</w:t>
            </w:r>
            <w:r>
              <w:br/>
            </w:r>
            <w:r w:rsidRPr="5ED495D4" w:rsidR="5ED495D4">
              <w:rPr>
                <w:rFonts w:ascii="Times New Roman" w:hAnsi="Times New Roman" w:eastAsia="Times New Roman" w:cs="Times New Roman"/>
                <w:b w:val="0"/>
                <w:bCs w:val="0"/>
                <w:i w:val="0"/>
                <w:iCs w:val="0"/>
                <w:strike w:val="0"/>
                <w:dstrike w:val="0"/>
                <w:color w:val="000000" w:themeColor="text1" w:themeTint="FF" w:themeShade="FF"/>
                <w:sz w:val="24"/>
                <w:szCs w:val="24"/>
                <w:u w:val="none"/>
              </w:rPr>
              <w:t>Staff: Focus on staff training to improve skill levels.</w:t>
            </w:r>
            <w:r>
              <w:br/>
            </w:r>
            <w:r w:rsidRPr="5ED495D4" w:rsidR="5ED495D4">
              <w:rPr>
                <w:rFonts w:ascii="Times New Roman" w:hAnsi="Times New Roman" w:eastAsia="Times New Roman" w:cs="Times New Roman"/>
                <w:b w:val="0"/>
                <w:bCs w:val="0"/>
                <w:i w:val="0"/>
                <w:iCs w:val="0"/>
                <w:strike w:val="0"/>
                <w:dstrike w:val="0"/>
                <w:color w:val="000000" w:themeColor="text1" w:themeTint="FF" w:themeShade="FF"/>
                <w:sz w:val="24"/>
                <w:szCs w:val="24"/>
                <w:u w:val="none"/>
              </w:rPr>
              <w:t>Skills: Emphasize personalized guest service and sustainable practices through ongoing skill development.</w:t>
            </w:r>
            <w:r>
              <w:br/>
            </w:r>
            <w:r w:rsidRPr="5ED495D4" w:rsidR="5ED495D4">
              <w:rPr>
                <w:rFonts w:ascii="Times New Roman" w:hAnsi="Times New Roman" w:eastAsia="Times New Roman" w:cs="Times New Roman"/>
                <w:b w:val="0"/>
                <w:bCs w:val="0"/>
                <w:i w:val="0"/>
                <w:iCs w:val="0"/>
                <w:strike w:val="0"/>
                <w:dstrike w:val="0"/>
                <w:color w:val="000000" w:themeColor="text1" w:themeTint="FF" w:themeShade="FF"/>
                <w:sz w:val="24"/>
                <w:szCs w:val="24"/>
                <w:u w:val="none"/>
              </w:rPr>
              <w:t>Style: Foster an open, collaborative style to encourage feedback and adaptability.</w:t>
            </w:r>
          </w:p>
        </w:tc>
      </w:tr>
      <w:tr w:rsidR="5ED495D4" w:rsidTr="5ED495D4" w14:paraId="3C743879">
        <w:trPr>
          <w:trHeight w:val="300"/>
        </w:trPr>
        <w:tc>
          <w:tcPr>
            <w:tcW w:w="1299"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548DB2D6" w14:textId="5AE592CF">
            <w:pPr>
              <w:spacing w:before="0" w:beforeAutospacing="off" w:after="160" w:afterAutospacing="off"/>
            </w:pPr>
            <w:r w:rsidRPr="5ED495D4" w:rsidR="5ED495D4">
              <w:rPr>
                <w:rFonts w:ascii="Times New Roman" w:hAnsi="Times New Roman" w:eastAsia="Times New Roman" w:cs="Times New Roman"/>
                <w:b w:val="1"/>
                <w:bCs w:val="1"/>
                <w:i w:val="0"/>
                <w:iCs w:val="0"/>
                <w:strike w:val="0"/>
                <w:dstrike w:val="0"/>
                <w:color w:val="000000" w:themeColor="text1" w:themeTint="FF" w:themeShade="FF"/>
                <w:sz w:val="24"/>
                <w:szCs w:val="24"/>
                <w:u w:val="none"/>
              </w:rPr>
              <w:t>Bridges’ Transition Model</w:t>
            </w:r>
          </w:p>
        </w:tc>
        <w:tc>
          <w:tcPr>
            <w:tcW w:w="3609"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46F4A95E" w14:textId="54BBE330">
            <w:pPr>
              <w:spacing w:before="0" w:beforeAutospacing="off" w:after="160" w:afterAutospacing="off"/>
              <w:jc w:val="both"/>
            </w:pPr>
            <w:r w:rsidRPr="5ED495D4" w:rsidR="5ED495D4">
              <w:rPr>
                <w:rFonts w:ascii="Times New Roman" w:hAnsi="Times New Roman" w:eastAsia="Times New Roman" w:cs="Times New Roman"/>
                <w:b w:val="0"/>
                <w:bCs w:val="0"/>
                <w:i w:val="0"/>
                <w:iCs w:val="0"/>
                <w:strike w:val="0"/>
                <w:dstrike w:val="0"/>
                <w:color w:val="000000" w:themeColor="text1" w:themeTint="FF" w:themeShade="FF"/>
                <w:sz w:val="24"/>
                <w:szCs w:val="24"/>
                <w:u w:val="none"/>
              </w:rPr>
              <w:t>Divides change into three phases: Ending, Neutral Zone, and New Beginning. Focuses on the psychological transitions that accompany organizational change and the emotional impact on employees.</w:t>
            </w:r>
          </w:p>
        </w:tc>
        <w:tc>
          <w:tcPr>
            <w:tcW w:w="3759"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7065C214" w14:textId="1BE50B53">
            <w:pPr>
              <w:spacing w:before="0" w:beforeAutospacing="off" w:after="160" w:afterAutospacing="off"/>
              <w:jc w:val="both"/>
            </w:pPr>
            <w:r w:rsidRPr="5ED495D4" w:rsidR="5ED495D4">
              <w:rPr>
                <w:rFonts w:ascii="Times New Roman" w:hAnsi="Times New Roman" w:eastAsia="Times New Roman" w:cs="Times New Roman"/>
                <w:b w:val="0"/>
                <w:bCs w:val="0"/>
                <w:i w:val="0"/>
                <w:iCs w:val="0"/>
                <w:strike w:val="0"/>
                <w:dstrike w:val="0"/>
                <w:color w:val="000000" w:themeColor="text1" w:themeTint="FF" w:themeShade="FF"/>
                <w:sz w:val="24"/>
                <w:szCs w:val="24"/>
                <w:u w:val="none"/>
              </w:rPr>
              <w:t>Ending: Acknowledge challenges of adapting to new standards and encourage open discussion about employee concerns.</w:t>
            </w:r>
            <w:r>
              <w:br/>
            </w:r>
            <w:r w:rsidRPr="5ED495D4" w:rsidR="5ED495D4">
              <w:rPr>
                <w:rFonts w:ascii="Times New Roman" w:hAnsi="Times New Roman" w:eastAsia="Times New Roman" w:cs="Times New Roman"/>
                <w:b w:val="0"/>
                <w:bCs w:val="0"/>
                <w:i w:val="0"/>
                <w:iCs w:val="0"/>
                <w:strike w:val="0"/>
                <w:dstrike w:val="0"/>
                <w:color w:val="000000" w:themeColor="text1" w:themeTint="FF" w:themeShade="FF"/>
                <w:sz w:val="24"/>
                <w:szCs w:val="24"/>
                <w:u w:val="none"/>
              </w:rPr>
              <w:t>Neutral Zone: Guide employees through training and development sessions, reinforcing learning and encouraging practice.</w:t>
            </w:r>
            <w:r>
              <w:br/>
            </w:r>
            <w:r w:rsidRPr="5ED495D4" w:rsidR="5ED495D4">
              <w:rPr>
                <w:rFonts w:ascii="Times New Roman" w:hAnsi="Times New Roman" w:eastAsia="Times New Roman" w:cs="Times New Roman"/>
                <w:b w:val="0"/>
                <w:bCs w:val="0"/>
                <w:i w:val="0"/>
                <w:iCs w:val="0"/>
                <w:strike w:val="0"/>
                <w:dstrike w:val="0"/>
                <w:color w:val="000000" w:themeColor="text1" w:themeTint="FF" w:themeShade="FF"/>
                <w:sz w:val="24"/>
                <w:szCs w:val="24"/>
                <w:u w:val="none"/>
              </w:rPr>
              <w:t>New Beginning: Establish consistent communication on progress, share positive feedback, and encourage staff to embrace new practices as the norm, emphasizing the benefits for guest satisfaction and job satisfaction.</w:t>
            </w:r>
          </w:p>
        </w:tc>
      </w:tr>
      <w:tr w:rsidR="5ED495D4" w:rsidTr="5ED495D4" w14:paraId="1CB2CE77">
        <w:trPr>
          <w:trHeight w:val="300"/>
        </w:trPr>
        <w:tc>
          <w:tcPr>
            <w:tcW w:w="1299"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6221FE11" w14:textId="4B0ED0DC">
            <w:pPr>
              <w:spacing w:before="0" w:beforeAutospacing="off" w:after="160" w:afterAutospacing="off"/>
            </w:pPr>
            <w:r w:rsidRPr="5ED495D4" w:rsidR="5ED495D4">
              <w:rPr>
                <w:rFonts w:ascii="Times New Roman" w:hAnsi="Times New Roman" w:eastAsia="Times New Roman" w:cs="Times New Roman"/>
                <w:b w:val="1"/>
                <w:bCs w:val="1"/>
                <w:i w:val="0"/>
                <w:iCs w:val="0"/>
                <w:strike w:val="0"/>
                <w:dstrike w:val="0"/>
                <w:color w:val="000000" w:themeColor="text1" w:themeTint="FF" w:themeShade="FF"/>
                <w:sz w:val="24"/>
                <w:szCs w:val="24"/>
                <w:u w:val="none"/>
              </w:rPr>
              <w:t>Prosci's Change Triangle</w:t>
            </w:r>
          </w:p>
        </w:tc>
        <w:tc>
          <w:tcPr>
            <w:tcW w:w="3609"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6403754A" w14:textId="2ADB7ECD">
            <w:pPr>
              <w:spacing w:before="0" w:beforeAutospacing="off" w:after="160" w:afterAutospacing="off"/>
              <w:jc w:val="both"/>
            </w:pPr>
            <w:r w:rsidRPr="5ED495D4" w:rsidR="5ED495D4">
              <w:rPr>
                <w:rFonts w:ascii="Times New Roman" w:hAnsi="Times New Roman" w:eastAsia="Times New Roman" w:cs="Times New Roman"/>
                <w:b w:val="0"/>
                <w:bCs w:val="0"/>
                <w:i w:val="0"/>
                <w:iCs w:val="0"/>
                <w:strike w:val="0"/>
                <w:dstrike w:val="0"/>
                <w:color w:val="000000" w:themeColor="text1" w:themeTint="FF" w:themeShade="FF"/>
                <w:sz w:val="24"/>
                <w:szCs w:val="24"/>
                <w:u w:val="none"/>
              </w:rPr>
              <w:t>Focuses on three components for successful change: Leadership/Sponsorship, Project Management, and Change Management. It emphasizes the importance of leadership commitment and structured change processes.</w:t>
            </w:r>
          </w:p>
        </w:tc>
        <w:tc>
          <w:tcPr>
            <w:tcW w:w="3759"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5ED495D4" w:rsidP="5ED495D4" w:rsidRDefault="5ED495D4" w14:paraId="26630AFA" w14:textId="4C3C8DEC">
            <w:pPr>
              <w:spacing w:before="0" w:beforeAutospacing="off" w:after="160" w:afterAutospacing="off"/>
              <w:jc w:val="both"/>
            </w:pPr>
            <w:r w:rsidRPr="5ED495D4" w:rsidR="5ED495D4">
              <w:rPr>
                <w:rFonts w:ascii="Times New Roman" w:hAnsi="Times New Roman" w:eastAsia="Times New Roman" w:cs="Times New Roman"/>
                <w:b w:val="0"/>
                <w:bCs w:val="0"/>
                <w:i w:val="0"/>
                <w:iCs w:val="0"/>
                <w:strike w:val="0"/>
                <w:dstrike w:val="0"/>
                <w:color w:val="000000" w:themeColor="text1" w:themeTint="FF" w:themeShade="FF"/>
                <w:sz w:val="24"/>
                <w:szCs w:val="24"/>
                <w:u w:val="none"/>
              </w:rPr>
              <w:t>Leadership/Sponsorship: Engage senior managers to endorse the changes, ensuring staff see strong, visible support from leadership.</w:t>
            </w:r>
            <w:r>
              <w:br/>
            </w:r>
            <w:r w:rsidRPr="5ED495D4" w:rsidR="5ED495D4">
              <w:rPr>
                <w:rFonts w:ascii="Times New Roman" w:hAnsi="Times New Roman" w:eastAsia="Times New Roman" w:cs="Times New Roman"/>
                <w:b w:val="0"/>
                <w:bCs w:val="0"/>
                <w:i w:val="0"/>
                <w:iCs w:val="0"/>
                <w:strike w:val="0"/>
                <w:dstrike w:val="0"/>
                <w:color w:val="000000" w:themeColor="text1" w:themeTint="FF" w:themeShade="FF"/>
                <w:sz w:val="24"/>
                <w:szCs w:val="24"/>
                <w:u w:val="none"/>
              </w:rPr>
              <w:t>Project Management: Outline timelines, objectives, and responsibilities in a structured action plan for each change initiative.</w:t>
            </w:r>
            <w:r>
              <w:br/>
            </w:r>
            <w:r w:rsidRPr="5ED495D4" w:rsidR="5ED495D4">
              <w:rPr>
                <w:rFonts w:ascii="Times New Roman" w:hAnsi="Times New Roman" w:eastAsia="Times New Roman" w:cs="Times New Roman"/>
                <w:b w:val="0"/>
                <w:bCs w:val="0"/>
                <w:i w:val="0"/>
                <w:iCs w:val="0"/>
                <w:strike w:val="0"/>
                <w:dstrike w:val="0"/>
                <w:color w:val="000000" w:themeColor="text1" w:themeTint="FF" w:themeShade="FF"/>
                <w:sz w:val="24"/>
                <w:szCs w:val="24"/>
                <w:u w:val="none"/>
              </w:rPr>
              <w:t>Change Management: Communicate the change process clearly, address any staff resistance proactively, and provide support and resources for successful adaptation, such as coaching for newly implemented AI-driven personalization tools.</w:t>
            </w:r>
          </w:p>
        </w:tc>
      </w:tr>
    </w:tbl>
    <w:p xmlns:wp14="http://schemas.microsoft.com/office/word/2010/wordml" wp14:paraId="2C078E63" wp14:textId="155055A0"/>
    <w:sectPr>
      <w:pgSz w:w="12240" w:h="15840" w:orient="portrait"/>
      <w:pgMar w:top="1440" w:right="1440" w:bottom="1440" w:left="1440" w:header="720" w:footer="720" w:gutter="0"/>
      <w:cols w:space="720"/>
      <w:docGrid w:linePitch="360"/>
      <w:headerReference w:type="default" r:id="R8d4a790c76fe49d9"/>
      <w:footerReference w:type="default" r:id="R124c434ac60540c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ED495D4" w:rsidTr="5ED495D4" w14:paraId="5150198C">
      <w:trPr>
        <w:trHeight w:val="300"/>
      </w:trPr>
      <w:tc>
        <w:tcPr>
          <w:tcW w:w="3120" w:type="dxa"/>
          <w:tcMar/>
        </w:tcPr>
        <w:p w:rsidR="5ED495D4" w:rsidP="5ED495D4" w:rsidRDefault="5ED495D4" w14:paraId="25A4FA32" w14:textId="328D688D">
          <w:pPr>
            <w:pStyle w:val="Header"/>
            <w:bidi w:val="0"/>
            <w:ind w:left="-115"/>
            <w:jc w:val="left"/>
          </w:pPr>
        </w:p>
      </w:tc>
      <w:tc>
        <w:tcPr>
          <w:tcW w:w="3120" w:type="dxa"/>
          <w:tcMar/>
        </w:tcPr>
        <w:p w:rsidR="5ED495D4" w:rsidP="5ED495D4" w:rsidRDefault="5ED495D4" w14:paraId="6B2B2C37" w14:textId="52EAF799">
          <w:pPr>
            <w:pStyle w:val="Header"/>
            <w:bidi w:val="0"/>
            <w:jc w:val="center"/>
          </w:pPr>
        </w:p>
      </w:tc>
      <w:tc>
        <w:tcPr>
          <w:tcW w:w="3120" w:type="dxa"/>
          <w:tcMar/>
        </w:tcPr>
        <w:p w:rsidR="5ED495D4" w:rsidP="5ED495D4" w:rsidRDefault="5ED495D4" w14:paraId="2D07E5B4" w14:textId="54FA28BF">
          <w:pPr>
            <w:pStyle w:val="Header"/>
            <w:bidi w:val="0"/>
            <w:ind w:right="-115"/>
            <w:jc w:val="right"/>
          </w:pPr>
        </w:p>
      </w:tc>
    </w:tr>
  </w:tbl>
  <w:p w:rsidR="5ED495D4" w:rsidP="5ED495D4" w:rsidRDefault="5ED495D4" w14:paraId="3FCC5FFF" w14:textId="39F53525">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ED495D4" w:rsidTr="5ED495D4" w14:paraId="6D5198F3">
      <w:trPr>
        <w:trHeight w:val="300"/>
      </w:trPr>
      <w:tc>
        <w:tcPr>
          <w:tcW w:w="3120" w:type="dxa"/>
          <w:tcMar/>
        </w:tcPr>
        <w:p w:rsidR="5ED495D4" w:rsidP="5ED495D4" w:rsidRDefault="5ED495D4" w14:paraId="2F0A19EB" w14:textId="72683B60">
          <w:pPr>
            <w:pStyle w:val="Header"/>
            <w:bidi w:val="0"/>
            <w:ind w:left="-115"/>
            <w:jc w:val="left"/>
          </w:pPr>
        </w:p>
      </w:tc>
      <w:tc>
        <w:tcPr>
          <w:tcW w:w="3120" w:type="dxa"/>
          <w:tcMar/>
        </w:tcPr>
        <w:p w:rsidR="5ED495D4" w:rsidP="5ED495D4" w:rsidRDefault="5ED495D4" w14:paraId="753DE448" w14:textId="3C6C8ED5">
          <w:pPr>
            <w:pStyle w:val="Header"/>
            <w:bidi w:val="0"/>
            <w:jc w:val="center"/>
          </w:pPr>
        </w:p>
      </w:tc>
      <w:tc>
        <w:tcPr>
          <w:tcW w:w="3120" w:type="dxa"/>
          <w:tcMar/>
        </w:tcPr>
        <w:p w:rsidR="5ED495D4" w:rsidP="5ED495D4" w:rsidRDefault="5ED495D4" w14:paraId="446B4B65" w14:textId="4688F591">
          <w:pPr>
            <w:pStyle w:val="Header"/>
            <w:bidi w:val="0"/>
            <w:ind w:right="-115"/>
            <w:jc w:val="right"/>
          </w:pPr>
        </w:p>
      </w:tc>
    </w:tr>
  </w:tbl>
  <w:p w:rsidR="5ED495D4" w:rsidP="5ED495D4" w:rsidRDefault="5ED495D4" w14:paraId="3E6319FB" w14:textId="7B5D5281">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86D0B77"/>
    <w:rsid w:val="01645674"/>
    <w:rsid w:val="02C1244C"/>
    <w:rsid w:val="03C8D468"/>
    <w:rsid w:val="0673AE53"/>
    <w:rsid w:val="06E0AAA6"/>
    <w:rsid w:val="06E8BD50"/>
    <w:rsid w:val="07209951"/>
    <w:rsid w:val="07372266"/>
    <w:rsid w:val="084364EB"/>
    <w:rsid w:val="08BF593C"/>
    <w:rsid w:val="0A6C8D0E"/>
    <w:rsid w:val="0B53CC1F"/>
    <w:rsid w:val="0BFE9484"/>
    <w:rsid w:val="0C2D72C2"/>
    <w:rsid w:val="0C9BC5F4"/>
    <w:rsid w:val="0CB93491"/>
    <w:rsid w:val="0CEB284E"/>
    <w:rsid w:val="0F4387FE"/>
    <w:rsid w:val="0F8BCEAE"/>
    <w:rsid w:val="0FA16F08"/>
    <w:rsid w:val="0FE072C4"/>
    <w:rsid w:val="10818B93"/>
    <w:rsid w:val="124D7ABF"/>
    <w:rsid w:val="126DF9C6"/>
    <w:rsid w:val="137086BC"/>
    <w:rsid w:val="138DE183"/>
    <w:rsid w:val="145CB784"/>
    <w:rsid w:val="145CF933"/>
    <w:rsid w:val="147A4C32"/>
    <w:rsid w:val="15D5086D"/>
    <w:rsid w:val="16F6D8D2"/>
    <w:rsid w:val="173D0A84"/>
    <w:rsid w:val="17C24B55"/>
    <w:rsid w:val="18D47241"/>
    <w:rsid w:val="18D9FA81"/>
    <w:rsid w:val="19DDBBA4"/>
    <w:rsid w:val="1B6BBDA2"/>
    <w:rsid w:val="1CAE5C61"/>
    <w:rsid w:val="1E379BD2"/>
    <w:rsid w:val="1E558490"/>
    <w:rsid w:val="1F300FFE"/>
    <w:rsid w:val="21BC0B71"/>
    <w:rsid w:val="22FE0882"/>
    <w:rsid w:val="235935B0"/>
    <w:rsid w:val="260FC034"/>
    <w:rsid w:val="2724DBB4"/>
    <w:rsid w:val="282FE5AD"/>
    <w:rsid w:val="29F3EF48"/>
    <w:rsid w:val="2ADB98F5"/>
    <w:rsid w:val="2B041923"/>
    <w:rsid w:val="2B900981"/>
    <w:rsid w:val="2BF3153D"/>
    <w:rsid w:val="2C213955"/>
    <w:rsid w:val="2C72C704"/>
    <w:rsid w:val="2CEEE542"/>
    <w:rsid w:val="2E043EDB"/>
    <w:rsid w:val="2E7B2797"/>
    <w:rsid w:val="2EBD85D5"/>
    <w:rsid w:val="2F2D5350"/>
    <w:rsid w:val="2FF2D84A"/>
    <w:rsid w:val="30A46F3C"/>
    <w:rsid w:val="311361D5"/>
    <w:rsid w:val="3192CFA7"/>
    <w:rsid w:val="31FC5805"/>
    <w:rsid w:val="3247CDC6"/>
    <w:rsid w:val="32C05768"/>
    <w:rsid w:val="3319BF98"/>
    <w:rsid w:val="33A44E10"/>
    <w:rsid w:val="340B8DD9"/>
    <w:rsid w:val="340B8DD9"/>
    <w:rsid w:val="35360CBE"/>
    <w:rsid w:val="35A008F7"/>
    <w:rsid w:val="35CC8ABD"/>
    <w:rsid w:val="3633F502"/>
    <w:rsid w:val="385DC1EB"/>
    <w:rsid w:val="3873A32E"/>
    <w:rsid w:val="3A90B4D6"/>
    <w:rsid w:val="3B54A1A4"/>
    <w:rsid w:val="3B6F9174"/>
    <w:rsid w:val="3D82B168"/>
    <w:rsid w:val="3E1FE37C"/>
    <w:rsid w:val="3E4BC992"/>
    <w:rsid w:val="4048C25E"/>
    <w:rsid w:val="426FACD3"/>
    <w:rsid w:val="42B6FF4D"/>
    <w:rsid w:val="433FE9CC"/>
    <w:rsid w:val="434CDE01"/>
    <w:rsid w:val="435F2433"/>
    <w:rsid w:val="43F23802"/>
    <w:rsid w:val="445A8273"/>
    <w:rsid w:val="44745D32"/>
    <w:rsid w:val="448299E5"/>
    <w:rsid w:val="45310A42"/>
    <w:rsid w:val="4627BCD6"/>
    <w:rsid w:val="47864529"/>
    <w:rsid w:val="493F36AC"/>
    <w:rsid w:val="4977361B"/>
    <w:rsid w:val="4A04DB7D"/>
    <w:rsid w:val="4A7FE8BF"/>
    <w:rsid w:val="4AC6A3F8"/>
    <w:rsid w:val="4B17F856"/>
    <w:rsid w:val="4BE1CF4C"/>
    <w:rsid w:val="4BE8669E"/>
    <w:rsid w:val="4DD0DEC9"/>
    <w:rsid w:val="4EAF093B"/>
    <w:rsid w:val="51194DB5"/>
    <w:rsid w:val="520B224D"/>
    <w:rsid w:val="5243CAD3"/>
    <w:rsid w:val="538DBE70"/>
    <w:rsid w:val="53E392D2"/>
    <w:rsid w:val="5404109E"/>
    <w:rsid w:val="545157CF"/>
    <w:rsid w:val="545F6DB2"/>
    <w:rsid w:val="56828255"/>
    <w:rsid w:val="57156027"/>
    <w:rsid w:val="57B1FF20"/>
    <w:rsid w:val="59D6FDF5"/>
    <w:rsid w:val="5A54DEBF"/>
    <w:rsid w:val="5A6A1D2D"/>
    <w:rsid w:val="5A8EF24F"/>
    <w:rsid w:val="5AC4C9C0"/>
    <w:rsid w:val="5B160F7C"/>
    <w:rsid w:val="5BB4C83F"/>
    <w:rsid w:val="5C7B1F42"/>
    <w:rsid w:val="5D1387B6"/>
    <w:rsid w:val="5D6A483F"/>
    <w:rsid w:val="5E59E2A2"/>
    <w:rsid w:val="5EC0C0BA"/>
    <w:rsid w:val="5ED495D4"/>
    <w:rsid w:val="5FA72994"/>
    <w:rsid w:val="5FFE168B"/>
    <w:rsid w:val="60AAB1BA"/>
    <w:rsid w:val="62FBC57F"/>
    <w:rsid w:val="63CE2D5D"/>
    <w:rsid w:val="64AF2701"/>
    <w:rsid w:val="6581A535"/>
    <w:rsid w:val="659D053A"/>
    <w:rsid w:val="66176004"/>
    <w:rsid w:val="663DB061"/>
    <w:rsid w:val="6665823D"/>
    <w:rsid w:val="6697E932"/>
    <w:rsid w:val="66A4369C"/>
    <w:rsid w:val="66A5E002"/>
    <w:rsid w:val="66C22D41"/>
    <w:rsid w:val="66D681A9"/>
    <w:rsid w:val="6835F8F8"/>
    <w:rsid w:val="686D0B77"/>
    <w:rsid w:val="68D2A99A"/>
    <w:rsid w:val="6901F7AB"/>
    <w:rsid w:val="69A281A6"/>
    <w:rsid w:val="69BB0990"/>
    <w:rsid w:val="6A369F26"/>
    <w:rsid w:val="6AE61720"/>
    <w:rsid w:val="6B85F3D6"/>
    <w:rsid w:val="6C2D0105"/>
    <w:rsid w:val="6C43BD46"/>
    <w:rsid w:val="6DCD442E"/>
    <w:rsid w:val="6EAAF95C"/>
    <w:rsid w:val="6F3BB435"/>
    <w:rsid w:val="6FD60B85"/>
    <w:rsid w:val="70C9EE9B"/>
    <w:rsid w:val="711C2864"/>
    <w:rsid w:val="71E4C6B9"/>
    <w:rsid w:val="73047306"/>
    <w:rsid w:val="731E835B"/>
    <w:rsid w:val="73249CD6"/>
    <w:rsid w:val="735C021C"/>
    <w:rsid w:val="73DF3AC2"/>
    <w:rsid w:val="7441799F"/>
    <w:rsid w:val="75BD564B"/>
    <w:rsid w:val="7643AF8F"/>
    <w:rsid w:val="766F724F"/>
    <w:rsid w:val="772E2CF7"/>
    <w:rsid w:val="787798B2"/>
    <w:rsid w:val="78FE3598"/>
    <w:rsid w:val="7A35B23D"/>
    <w:rsid w:val="7A61ED16"/>
    <w:rsid w:val="7A670A81"/>
    <w:rsid w:val="7AE7C86C"/>
    <w:rsid w:val="7BAF7CCE"/>
    <w:rsid w:val="7CBF7433"/>
    <w:rsid w:val="7D4FD9D4"/>
    <w:rsid w:val="7D525744"/>
    <w:rsid w:val="7DEDBEB7"/>
    <w:rsid w:val="7FB82E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6D0B77"/>
  <w15:chartTrackingRefBased/>
  <w15:docId w15:val="{F0A1FAF1-1040-4A29-A808-EC17812085B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42215926f7f749ec" /><Relationship Type="http://schemas.openxmlformats.org/officeDocument/2006/relationships/image" Target="/media/image.jpg" Id="R21b5c75e227b4288" /><Relationship Type="http://schemas.openxmlformats.org/officeDocument/2006/relationships/hyperlink" Target="https://docs.google.com/document/d/1WvQnn7xHXAdqPaCSTC3U90doc6aV2nmX/edit" TargetMode="External" Id="R105ffb33bcab4d13" /><Relationship Type="http://schemas.openxmlformats.org/officeDocument/2006/relationships/hyperlink" Target="https://docs.google.com/document/d/1WvQnn7xHXAdqPaCSTC3U90doc6aV2nmX/edit" TargetMode="External" Id="R9985b8719f6344e8" /><Relationship Type="http://schemas.openxmlformats.org/officeDocument/2006/relationships/hyperlink" Target="https://docs.google.com/document/d/1WvQnn7xHXAdqPaCSTC3U90doc6aV2nmX/edit" TargetMode="External" Id="Rdcae87f430864d08" /><Relationship Type="http://schemas.openxmlformats.org/officeDocument/2006/relationships/hyperlink" Target="https://docs.google.com/document/d/1WvQnn7xHXAdqPaCSTC3U90doc6aV2nmX/edit" TargetMode="External" Id="R1cf277da75d14c6e" /><Relationship Type="http://schemas.openxmlformats.org/officeDocument/2006/relationships/hyperlink" Target="https://docs.google.com/document/d/1WvQnn7xHXAdqPaCSTC3U90doc6aV2nmX/edit" TargetMode="External" Id="R0ffe63bf6b5348bc" /><Relationship Type="http://schemas.openxmlformats.org/officeDocument/2006/relationships/hyperlink" Target="https://docs.google.com/document/d/1WvQnn7xHXAdqPaCSTC3U90doc6aV2nmX/edit" TargetMode="External" Id="R5fe950d903524ec8" /><Relationship Type="http://schemas.openxmlformats.org/officeDocument/2006/relationships/hyperlink" Target="https://docs.google.com/document/d/1WvQnn7xHXAdqPaCSTC3U90doc6aV2nmX/edit" TargetMode="External" Id="R6e013a8a1bc4481e" /><Relationship Type="http://schemas.openxmlformats.org/officeDocument/2006/relationships/hyperlink" Target="https://docs.google.com/document/d/1WvQnn7xHXAdqPaCSTC3U90doc6aV2nmX/edit" TargetMode="External" Id="R21cac981cd894fc0" /><Relationship Type="http://schemas.openxmlformats.org/officeDocument/2006/relationships/hyperlink" Target="https://docs.google.com/document/d/1WvQnn7xHXAdqPaCSTC3U90doc6aV2nmX/edit" TargetMode="External" Id="R03ad11bb56e34cdf" /><Relationship Type="http://schemas.openxmlformats.org/officeDocument/2006/relationships/hyperlink" Target="https://docs.google.com/document/d/1WvQnn7xHXAdqPaCSTC3U90doc6aV2nmX/edit" TargetMode="External" Id="Rb5563ea74c2a4694" /><Relationship Type="http://schemas.openxmlformats.org/officeDocument/2006/relationships/hyperlink" Target="https://docs.google.com/document/d/1WvQnn7xHXAdqPaCSTC3U90doc6aV2nmX/edit" TargetMode="External" Id="Ra51f33e050084786" /><Relationship Type="http://schemas.openxmlformats.org/officeDocument/2006/relationships/hyperlink" Target="https://docs.google.com/document/d/1WvQnn7xHXAdqPaCSTC3U90doc6aV2nmX/edit" TargetMode="External" Id="R0f261ddbdebf42cf" /><Relationship Type="http://schemas.openxmlformats.org/officeDocument/2006/relationships/hyperlink" Target="https://docs.google.com/document/d/1WvQnn7xHXAdqPaCSTC3U90doc6aV2nmX/edit" TargetMode="External" Id="R0ea64a05c03f4bac" /><Relationship Type="http://schemas.openxmlformats.org/officeDocument/2006/relationships/image" Target="/media/image2.png" Id="Rc67f916cc1d142db" /><Relationship Type="http://schemas.openxmlformats.org/officeDocument/2006/relationships/image" Target="/media/image2.jpg" Id="R6213259fd7f64877" /><Relationship Type="http://schemas.openxmlformats.org/officeDocument/2006/relationships/image" Target="/media/image3.png" Id="Rf562803761804c90" /><Relationship Type="http://schemas.openxmlformats.org/officeDocument/2006/relationships/image" Target="/media/image4.png" Id="R7c095e370eae4cb1" /><Relationship Type="http://schemas.openxmlformats.org/officeDocument/2006/relationships/image" Target="/media/image5.png" Id="Red7a629d3bcb4107" /><Relationship Type="http://schemas.openxmlformats.org/officeDocument/2006/relationships/image" Target="/media/image6.png" Id="Ra5ca07ae9a854bbf" /><Relationship Type="http://schemas.openxmlformats.org/officeDocument/2006/relationships/image" Target="/media/image7.png" Id="R668cde1284ae48fb" /><Relationship Type="http://schemas.openxmlformats.org/officeDocument/2006/relationships/hyperlink" Target="https://repositori.uib.es/xmlui/handle/11201/158933" TargetMode="External" Id="Rdb92d249b4e642ca" /><Relationship Type="http://schemas.openxmlformats.org/officeDocument/2006/relationships/hyperlink" Target="https://all.accor.com/loyalty-program/reasonstojoin/index.en.shtml" TargetMode="External" Id="R736ec425eada45af" /><Relationship Type="http://schemas.openxmlformats.org/officeDocument/2006/relationships/hyperlink" Target="https://www.igi-global.com" TargetMode="External" Id="Rda88ee5a773448d8" /><Relationship Type="http://schemas.openxmlformats.org/officeDocument/2006/relationships/hyperlink" Target="https://www.igi-global.com/chapter/navigating-the-journey/344261" TargetMode="External" Id="R170a46905ef84c48" /><Relationship Type="http://schemas.openxmlformats.org/officeDocument/2006/relationships/hyperlink" Target="https://www.elgaronline.com" TargetMode="External" Id="R5da7b4642c754247" /><Relationship Type="http://schemas.openxmlformats.org/officeDocument/2006/relationships/hyperlink" Target="https://www.elgaronline.com/edcollchap/book/9781803926377/book-part-9781803926377-23.xml" TargetMode="External" Id="R9c3700cbfd7140a7" /><Relationship Type="http://schemas.openxmlformats.org/officeDocument/2006/relationships/hyperlink" Target="https://publikaciotar.uni-bge.hu/id/eprint/1913/" TargetMode="External" Id="Rc2098262679b4e41" /><Relationship Type="http://schemas.openxmlformats.org/officeDocument/2006/relationships/hyperlink" Target="https://papers.ssrn.com/sol3/papers.cfm?abstract_id=4660192" TargetMode="External" Id="R76ce145cb1614a91" /><Relationship Type="http://schemas.openxmlformats.org/officeDocument/2006/relationships/hyperlink" Target="https://aunoa.ai/en/blog/customer-satisfaction-kpis-metrics/" TargetMode="External" Id="R32bac649d5bb4aa0" /><Relationship Type="http://schemas.openxmlformats.org/officeDocument/2006/relationships/hyperlink" Target="https://namj.tamn-ng.org/index.php/home/article/view/174" TargetMode="External" Id="R8dc1dd6e50554854" /><Relationship Type="http://schemas.openxmlformats.org/officeDocument/2006/relationships/hyperlink" Target="http://eknigibg.net/Volume9/Issue2/spisanie-br2-2023_pp.88-103.pdf" TargetMode="External" Id="Rb6bad7530fac4612" /><Relationship Type="http://schemas.openxmlformats.org/officeDocument/2006/relationships/hyperlink" Target="https://whatfix.com/blog/best-practices-change-management-communication/" TargetMode="External" Id="R92393199853249d2" /><Relationship Type="http://schemas.openxmlformats.org/officeDocument/2006/relationships/hyperlink" Target="https://www.proquest.com/openview/5c61b3410b66a714c863c054e647c987/1?pq-origsite=gscholar&amp;cbl=2026366&amp;diss=y" TargetMode="External" Id="Rac061784df964653" /><Relationship Type="http://schemas.openxmlformats.org/officeDocument/2006/relationships/hyperlink" Target="https://scholarworks.waldenu.edu/dissertations/182/" TargetMode="External" Id="R2c2791603a624fd5" /><Relationship Type="http://schemas.openxmlformats.org/officeDocument/2006/relationships/hyperlink" Target="https://www.mdpi.com/2071-1050/12/12/4810" TargetMode="External" Id="R56e76d63651441f6" /><Relationship Type="http://schemas.openxmlformats.org/officeDocument/2006/relationships/hyperlink" Target="https://go.gale.com/ps/i.do?p=AONE&amp;sw=w&amp;issn=&amp;v=2.1&amp;it=r&amp;id=GALE%7CA616788825&amp;sid=googleScholar&amp;linkaccess=abs" TargetMode="External" Id="R49e7d1a1d8b04e66" /><Relationship Type="http://schemas.openxmlformats.org/officeDocument/2006/relationships/hyperlink" Target="https://books.google.com.pk/books?hl=en&amp;lr=&amp;id=zh3JDwAAQBAJ&amp;oi=fnd&amp;pg=PT8&amp;dq=Partnering+with+local+suppliers+for+in-room+amenities+and+food+items+was+suggested+to+support+the+local+economy+while+reducing+the+carbon+footprint+associated+with+imports" TargetMode="External" Id="R9cb836bfb9554ef0" /><Relationship Type="http://schemas.openxmlformats.org/officeDocument/2006/relationships/hyperlink" Target="https://getlucidity.com/strategy-resources/an-introduction-to-tows-analysis/" TargetMode="External" Id="R1e4b7618b7a34826" /><Relationship Type="http://schemas.openxmlformats.org/officeDocument/2006/relationships/hyperlink" Target="https://www.igi-global.com/chapter/csr-in-the-tourism-industry/285328" TargetMode="External" Id="R3bd2d36d8bc34b49" /><Relationship Type="http://schemas.openxmlformats.org/officeDocument/2006/relationships/hyperlink" Target="https://www.researchgate.net/publication/339134856_Employee_training_and_service_quality_in_the_hospitality_industry" TargetMode="External" Id="Rbfb0ab66e0774e53" /><Relationship Type="http://schemas.openxmlformats.org/officeDocument/2006/relationships/hyperlink" Target="http://dspace.unive.it/handle/10579/20168" TargetMode="External" Id="R00174d1680804cc0" /><Relationship Type="http://schemas.openxmlformats.org/officeDocument/2006/relationships/header" Target="header.xml" Id="R8d4a790c76fe49d9" /><Relationship Type="http://schemas.openxmlformats.org/officeDocument/2006/relationships/footer" Target="footer.xml" Id="R124c434ac60540c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2024-11-12T19:53:23.4803646Z</dcterms:created>
  <dcterms:modified xsi:type="dcterms:W3CDTF">2024-11-12T23:06:58.2486961Z</dcterms:modified>
  <dc:creator>Shah Miah (1911285)</dc:creator>
  <lastModifiedBy>Shah Miah (1911285)</lastModifiedBy>
</coreProperties>
</file>