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C8D184" w14:textId="4C11E16F" w:rsidR="00AB414F" w:rsidRDefault="00AB414F" w:rsidP="00AB414F">
      <w:pPr>
        <w:pStyle w:val="NormalWeb"/>
        <w:spacing w:before="0" w:after="0"/>
        <w:ind w:left="-180" w:right="-334"/>
      </w:pPr>
      <w:r>
        <w:rPr>
          <w:noProof/>
        </w:rPr>
        <w:drawing>
          <wp:inline distT="0" distB="0" distL="0" distR="0" wp14:anchorId="40D74538" wp14:editId="1D875F38">
            <wp:extent cx="1905000" cy="628650"/>
            <wp:effectExtent l="19050" t="19050" r="19050" b="19050"/>
            <wp:docPr id="1135721019"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721019" name="Picture 1"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28650"/>
                    </a:xfrm>
                    <a:prstGeom prst="rect">
                      <a:avLst/>
                    </a:prstGeom>
                    <a:noFill/>
                    <a:ln w="19050" cmpd="sng">
                      <a:solidFill>
                        <a:srgbClr val="000000"/>
                      </a:solidFill>
                      <a:miter lim="800000"/>
                      <a:headEnd/>
                      <a:tailEnd/>
                    </a:ln>
                    <a:effectLst/>
                  </pic:spPr>
                </pic:pic>
              </a:graphicData>
            </a:graphic>
          </wp:inline>
        </w:drawing>
      </w:r>
    </w:p>
    <w:p w14:paraId="041A7A1E" w14:textId="77777777" w:rsidR="00AB414F" w:rsidRDefault="00AB414F" w:rsidP="00AB414F">
      <w:pPr>
        <w:pStyle w:val="NormalWeb"/>
        <w:spacing w:before="0" w:after="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06CB771E" w14:textId="77777777" w:rsidR="00AB414F" w:rsidRDefault="00AB414F" w:rsidP="00AB414F">
      <w:pPr>
        <w:pStyle w:val="NormalWeb"/>
        <w:spacing w:before="0" w:after="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46A55F70" w14:textId="77777777" w:rsidR="00AB414F" w:rsidRDefault="00AB414F" w:rsidP="00AB414F">
      <w:pPr>
        <w:pStyle w:val="Heading3"/>
        <w:jc w:val="center"/>
        <w:rPr>
          <w:rFonts w:ascii="Tahoma" w:eastAsia="SimSun" w:hAnsi="Tahoma" w:cs="Tahoma"/>
          <w:sz w:val="20"/>
          <w:szCs w:val="20"/>
          <w:lang w:val="cy-GB"/>
        </w:rPr>
      </w:pPr>
      <w:r>
        <w:rPr>
          <w:rFonts w:eastAsia="SimSun"/>
          <w:lang w:val="cy-GB"/>
        </w:rPr>
        <w:t>THIS SHEET MUST BE THE FIRST PAGE OF THE ASSIGNMENT YOU ARE SUBMITTING  (DO NOT SEND AS A SEPARATE FILE)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B414F" w14:paraId="4AEE5D96" w14:textId="77777777" w:rsidTr="008A30B8">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514B259A" w14:textId="77777777" w:rsidR="00AB414F" w:rsidRDefault="00AB414F" w:rsidP="008A30B8">
            <w:pPr>
              <w:pStyle w:val="NormalWeb"/>
              <w:spacing w:before="0" w:after="0"/>
              <w:ind w:right="34"/>
              <w:rPr>
                <w:rFonts w:ascii="Arial" w:eastAsia="SimSun"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AB414F" w14:paraId="5DC81A48" w14:textId="77777777" w:rsidTr="008A30B8">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358918C3" w14:textId="77777777" w:rsidR="00AB414F" w:rsidRDefault="00AB414F" w:rsidP="008A30B8">
            <w:pPr>
              <w:pStyle w:val="NormalWeb"/>
              <w:spacing w:before="0" w:after="0"/>
              <w:ind w:right="34"/>
              <w:rPr>
                <w:rFonts w:ascii="Arial" w:hAnsi="Arial" w:cs="Arial"/>
                <w:sz w:val="22"/>
                <w:szCs w:val="22"/>
              </w:rPr>
            </w:pPr>
            <w:r>
              <w:rPr>
                <w:rFonts w:ascii="Arial" w:hAnsi="Arial" w:cs="Arial"/>
                <w:sz w:val="22"/>
                <w:szCs w:val="22"/>
              </w:rPr>
              <w:t>Student Name:</w:t>
            </w:r>
          </w:p>
          <w:p w14:paraId="6787BF70" w14:textId="77777777" w:rsidR="00AB414F" w:rsidRDefault="00AB414F" w:rsidP="008A30B8">
            <w:pPr>
              <w:pStyle w:val="NormalWeb"/>
              <w:spacing w:before="0" w:after="0"/>
              <w:ind w:right="34"/>
              <w:rPr>
                <w:rFonts w:ascii="Arial" w:hAnsi="Arial" w:cs="Arial"/>
                <w:sz w:val="22"/>
                <w:szCs w:val="22"/>
              </w:rPr>
            </w:pPr>
            <w:r>
              <w:rPr>
                <w:rFonts w:ascii="Arial" w:hAnsi="Arial" w:cs="Arial"/>
                <w:sz w:val="22"/>
                <w:szCs w:val="22"/>
              </w:rPr>
              <w:t>Rufus Maychild</w:t>
            </w:r>
          </w:p>
        </w:tc>
      </w:tr>
      <w:tr w:rsidR="00AB414F" w14:paraId="5F864620" w14:textId="77777777" w:rsidTr="008A30B8">
        <w:trPr>
          <w:trHeight w:val="849"/>
        </w:trPr>
        <w:tc>
          <w:tcPr>
            <w:tcW w:w="4788" w:type="dxa"/>
            <w:tcBorders>
              <w:top w:val="single" w:sz="4" w:space="0" w:color="000000"/>
              <w:left w:val="single" w:sz="4" w:space="0" w:color="000000"/>
              <w:bottom w:val="single" w:sz="4" w:space="0" w:color="000000"/>
              <w:right w:val="single" w:sz="4" w:space="0" w:color="000000"/>
            </w:tcBorders>
          </w:tcPr>
          <w:p w14:paraId="60A519E4" w14:textId="77777777" w:rsidR="00AB414F" w:rsidRPr="00AC13DE" w:rsidRDefault="00AB414F" w:rsidP="008A30B8">
            <w:pPr>
              <w:rPr>
                <w:sz w:val="24"/>
                <w:szCs w:val="24"/>
              </w:rPr>
            </w:pPr>
            <w:r>
              <w:rPr>
                <w:rFonts w:ascii="Arial" w:hAnsi="Arial" w:cs="Arial"/>
              </w:rPr>
              <w:t xml:space="preserve">Module code: </w:t>
            </w:r>
            <w:r w:rsidRPr="00AC13DE">
              <w:rPr>
                <w:sz w:val="24"/>
                <w:szCs w:val="24"/>
              </w:rPr>
              <w:t>HPAH7017</w:t>
            </w:r>
          </w:p>
          <w:p w14:paraId="38DF2296" w14:textId="77777777" w:rsidR="00AB414F" w:rsidRPr="00AC13DE" w:rsidRDefault="00AB414F" w:rsidP="008A30B8">
            <w:pPr>
              <w:rPr>
                <w:sz w:val="24"/>
                <w:szCs w:val="24"/>
              </w:rPr>
            </w:pPr>
            <w:r w:rsidRPr="00AC13DE">
              <w:rPr>
                <w:sz w:val="24"/>
                <w:szCs w:val="24"/>
              </w:rPr>
              <w:t xml:space="preserve">Religions in China, 1500 BCE - 500 CE </w:t>
            </w:r>
          </w:p>
          <w:p w14:paraId="633E9767" w14:textId="51E4EE87" w:rsidR="00AB414F" w:rsidRDefault="00AB414F" w:rsidP="008A30B8">
            <w:pPr>
              <w:pStyle w:val="NormalWeb"/>
              <w:spacing w:before="0" w:after="0"/>
              <w:ind w:right="34"/>
              <w:rPr>
                <w:rFonts w:ascii="Arial" w:hAnsi="Arial" w:cs="Arial"/>
                <w:sz w:val="22"/>
                <w:szCs w:val="22"/>
              </w:rPr>
            </w:pPr>
            <w:r>
              <w:rPr>
                <w:rFonts w:ascii="Arial" w:hAnsi="Arial" w:cs="Arial"/>
                <w:sz w:val="22"/>
                <w:szCs w:val="22"/>
              </w:rPr>
              <w:t>Essay 2</w:t>
            </w: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73432C1F" w14:textId="77777777" w:rsidR="00AB414F" w:rsidRDefault="00AB414F" w:rsidP="008A30B8">
            <w:pPr>
              <w:pStyle w:val="NormalWeb"/>
              <w:spacing w:before="0" w:after="0"/>
              <w:ind w:right="34"/>
              <w:rPr>
                <w:rFonts w:ascii="Arial" w:hAnsi="Arial" w:cs="Arial"/>
                <w:sz w:val="22"/>
                <w:szCs w:val="22"/>
              </w:rPr>
            </w:pPr>
            <w:r>
              <w:rPr>
                <w:rFonts w:ascii="Arial" w:hAnsi="Arial" w:cs="Arial"/>
                <w:sz w:val="22"/>
                <w:szCs w:val="22"/>
              </w:rPr>
              <w:t>Student ID number: 2310535</w:t>
            </w:r>
          </w:p>
        </w:tc>
        <w:tc>
          <w:tcPr>
            <w:tcW w:w="1802" w:type="dxa"/>
            <w:tcBorders>
              <w:top w:val="single" w:sz="4" w:space="0" w:color="000000"/>
              <w:left w:val="single" w:sz="4" w:space="0" w:color="000000"/>
              <w:bottom w:val="single" w:sz="4" w:space="0" w:color="000000"/>
              <w:right w:val="single" w:sz="4" w:space="0" w:color="000000"/>
            </w:tcBorders>
            <w:hideMark/>
          </w:tcPr>
          <w:p w14:paraId="73009C11" w14:textId="77777777" w:rsidR="00AB414F" w:rsidRDefault="00AB414F" w:rsidP="008A30B8">
            <w:pPr>
              <w:pStyle w:val="NormalWeb"/>
              <w:spacing w:before="0" w:after="0"/>
              <w:ind w:right="34"/>
              <w:rPr>
                <w:rFonts w:ascii="Arial" w:hAnsi="Arial" w:cs="Arial"/>
                <w:sz w:val="22"/>
                <w:szCs w:val="22"/>
              </w:rPr>
            </w:pPr>
            <w:r>
              <w:rPr>
                <w:rFonts w:ascii="Arial" w:hAnsi="Arial" w:cs="Arial"/>
                <w:sz w:val="22"/>
                <w:szCs w:val="22"/>
              </w:rPr>
              <w:t>Educational support needs:</w:t>
            </w:r>
          </w:p>
          <w:p w14:paraId="79702D49" w14:textId="77777777" w:rsidR="00AB414F" w:rsidRDefault="00AB414F" w:rsidP="008A30B8">
            <w:pPr>
              <w:pStyle w:val="NormalWeb"/>
              <w:spacing w:before="0" w:after="0"/>
              <w:ind w:right="34"/>
              <w:rPr>
                <w:rFonts w:ascii="Arial" w:hAnsi="Arial" w:cs="Arial"/>
                <w:sz w:val="22"/>
                <w:szCs w:val="22"/>
              </w:rPr>
            </w:pPr>
            <w:r>
              <w:rPr>
                <w:rFonts w:ascii="Arial" w:hAnsi="Arial" w:cs="Arial"/>
                <w:sz w:val="22"/>
                <w:szCs w:val="22"/>
              </w:rPr>
              <w:t>No</w:t>
            </w:r>
          </w:p>
        </w:tc>
      </w:tr>
      <w:tr w:rsidR="00AB414F" w14:paraId="5563DC4C" w14:textId="77777777" w:rsidTr="008A30B8">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3D3D1629" w14:textId="77777777" w:rsidR="00AB414F" w:rsidRDefault="00AB414F" w:rsidP="008A30B8">
            <w:pPr>
              <w:pStyle w:val="NormalWeb"/>
              <w:spacing w:before="0" w:after="0"/>
              <w:ind w:right="34"/>
              <w:rPr>
                <w:rFonts w:ascii="Arial" w:hAnsi="Arial" w:cs="Arial"/>
                <w:sz w:val="22"/>
                <w:szCs w:val="22"/>
              </w:rPr>
            </w:pPr>
            <w:r>
              <w:rPr>
                <w:rFonts w:ascii="Arial" w:hAnsi="Arial" w:cs="Arial"/>
                <w:sz w:val="22"/>
                <w:szCs w:val="22"/>
              </w:rPr>
              <w:t>Module tutor:  Thomas Jensen</w:t>
            </w:r>
          </w:p>
          <w:p w14:paraId="6B88093F" w14:textId="77777777" w:rsidR="00AB414F" w:rsidRDefault="00AB414F" w:rsidP="008A30B8">
            <w:pPr>
              <w:pStyle w:val="NormalWeb"/>
              <w:spacing w:before="0" w:after="0"/>
              <w:ind w:right="34"/>
              <w:rPr>
                <w:rFonts w:ascii="Arial" w:hAnsi="Arial" w:cs="Arial"/>
                <w:sz w:val="22"/>
                <w:szCs w:val="22"/>
              </w:rPr>
            </w:pPr>
          </w:p>
          <w:p w14:paraId="5CD7945F" w14:textId="011D2E38" w:rsidR="00AB414F" w:rsidRDefault="00AB414F" w:rsidP="008A30B8">
            <w:pPr>
              <w:pStyle w:val="NormalWeb"/>
              <w:spacing w:before="0" w:after="0"/>
              <w:ind w:right="34"/>
              <w:rPr>
                <w:rFonts w:ascii="Arial" w:hAnsi="Arial" w:cs="Arial"/>
                <w:sz w:val="22"/>
                <w:szCs w:val="22"/>
              </w:rPr>
            </w:pPr>
            <w:r>
              <w:rPr>
                <w:rFonts w:ascii="Arial" w:hAnsi="Arial" w:cs="Arial"/>
                <w:sz w:val="22"/>
                <w:szCs w:val="22"/>
              </w:rPr>
              <w:t>Assignment due date: January 10</w:t>
            </w:r>
            <w:r w:rsidRPr="00AB414F">
              <w:rPr>
                <w:rFonts w:ascii="Arial" w:hAnsi="Arial" w:cs="Arial"/>
                <w:sz w:val="22"/>
                <w:szCs w:val="22"/>
                <w:vertAlign w:val="superscript"/>
              </w:rPr>
              <w:t>th</w:t>
            </w:r>
            <w:r>
              <w:rPr>
                <w:rFonts w:ascii="Arial" w:hAnsi="Arial" w:cs="Arial"/>
                <w:sz w:val="22"/>
                <w:szCs w:val="22"/>
              </w:rPr>
              <w:t xml:space="preserve"> 2025</w:t>
            </w:r>
          </w:p>
        </w:tc>
      </w:tr>
      <w:tr w:rsidR="00AB414F" w14:paraId="184C87B7" w14:textId="77777777" w:rsidTr="008A30B8">
        <w:trPr>
          <w:trHeight w:val="978"/>
        </w:trPr>
        <w:tc>
          <w:tcPr>
            <w:tcW w:w="8856" w:type="dxa"/>
            <w:gridSpan w:val="5"/>
            <w:tcBorders>
              <w:top w:val="single" w:sz="4" w:space="0" w:color="000000"/>
              <w:left w:val="single" w:sz="4" w:space="0" w:color="000000"/>
              <w:bottom w:val="single" w:sz="4" w:space="0" w:color="000000"/>
              <w:right w:val="single" w:sz="4" w:space="0" w:color="000000"/>
            </w:tcBorders>
          </w:tcPr>
          <w:p w14:paraId="73073D00" w14:textId="77777777" w:rsidR="00AB414F" w:rsidRDefault="00AB414F" w:rsidP="008A30B8">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77BC30B1" w14:textId="77777777" w:rsidR="00AB414F" w:rsidRDefault="00AB414F" w:rsidP="008A30B8">
            <w:pPr>
              <w:rPr>
                <w:rFonts w:ascii="Arial" w:hAnsi="Arial" w:cs="Arial"/>
              </w:rPr>
            </w:pPr>
          </w:p>
          <w:p w14:paraId="09A4F4B5" w14:textId="77777777" w:rsidR="00AB414F" w:rsidRDefault="00AB414F" w:rsidP="008A30B8">
            <w:pPr>
              <w:rPr>
                <w:rFonts w:ascii="Arial" w:hAnsi="Arial" w:cs="Arial"/>
              </w:rPr>
            </w:pPr>
            <w:r>
              <w:rPr>
                <w:rFonts w:ascii="Arial" w:hAnsi="Arial" w:cs="Arial"/>
              </w:rPr>
              <w:t>1</w:t>
            </w:r>
            <w:r>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0" w:name="Check13"/>
            <w:r>
              <w:rPr>
                <w:rFonts w:ascii="Arial" w:hAnsi="Arial" w:cs="Arial"/>
              </w:rPr>
              <w:instrText xml:space="preserve"> FORMCHECKBOX </w:instrText>
            </w:r>
            <w:r>
              <w:rPr>
                <w:rFonts w:ascii="Times New Roman" w:hAnsi="Times New Roman"/>
                <w:sz w:val="24"/>
                <w:szCs w:val="24"/>
              </w:rPr>
            </w:r>
            <w:r>
              <w:rPr>
                <w:rFonts w:ascii="Times New Roman" w:hAnsi="Times New Roman"/>
                <w:sz w:val="24"/>
                <w:szCs w:val="24"/>
              </w:rPr>
              <w:fldChar w:fldCharType="separate"/>
            </w:r>
            <w:r>
              <w:rPr>
                <w:rFonts w:ascii="Times New Roman" w:hAnsi="Times New Roman"/>
                <w:sz w:val="24"/>
                <w:szCs w:val="24"/>
              </w:rPr>
              <w:fldChar w:fldCharType="end"/>
            </w:r>
            <w:bookmarkEnd w:id="0"/>
            <w:r>
              <w:rPr>
                <w:rFonts w:ascii="Arial" w:hAnsi="Arial" w:cs="Arial"/>
              </w:rPr>
              <w:t xml:space="preserve">    2</w:t>
            </w:r>
            <w:r>
              <w:rPr>
                <w:rFonts w:ascii="Arial" w:hAnsi="Arial" w:cs="Arial"/>
                <w:vertAlign w:val="superscript"/>
              </w:rPr>
              <w:t>nd</w:t>
            </w:r>
            <w:r>
              <w:rPr>
                <w:rFonts w:ascii="Arial" w:hAnsi="Arial" w:cs="Arial"/>
              </w:rPr>
              <w:t xml:space="preserve">  </w:t>
            </w:r>
            <w:r>
              <w:rPr>
                <w:rFonts w:ascii="Arial" w:hAnsi="Arial" w:cs="Arial"/>
              </w:rPr>
              <w:fldChar w:fldCharType="begin">
                <w:ffData>
                  <w:name w:val="Check14"/>
                  <w:enabled/>
                  <w:calcOnExit w:val="0"/>
                  <w:checkBox>
                    <w:sizeAuto/>
                    <w:default w:val="0"/>
                  </w:checkBox>
                </w:ffData>
              </w:fldChar>
            </w:r>
            <w:bookmarkStart w:id="1" w:name="Check14"/>
            <w:r>
              <w:rPr>
                <w:rFonts w:ascii="Arial" w:hAnsi="Arial" w:cs="Arial"/>
              </w:rPr>
              <w:instrText xml:space="preserve"> FORMCHECKBOX </w:instrText>
            </w:r>
            <w:r>
              <w:rPr>
                <w:rFonts w:ascii="Times New Roman" w:hAnsi="Times New Roman"/>
                <w:sz w:val="24"/>
                <w:szCs w:val="24"/>
              </w:rPr>
            </w:r>
            <w:r>
              <w:rPr>
                <w:rFonts w:ascii="Times New Roman" w:hAnsi="Times New Roman"/>
                <w:sz w:val="24"/>
                <w:szCs w:val="24"/>
              </w:rPr>
              <w:fldChar w:fldCharType="separate"/>
            </w:r>
            <w:r>
              <w:rPr>
                <w:rFonts w:ascii="Times New Roman" w:hAnsi="Times New Roman"/>
                <w:sz w:val="24"/>
                <w:szCs w:val="24"/>
              </w:rPr>
              <w:fldChar w:fldCharType="end"/>
            </w:r>
            <w:bookmarkEnd w:id="1"/>
            <w:r>
              <w:rPr>
                <w:rFonts w:ascii="Arial" w:hAnsi="Arial" w:cs="Arial"/>
              </w:rPr>
              <w:t xml:space="preserve">     3</w:t>
            </w:r>
            <w:r>
              <w:rPr>
                <w:rFonts w:ascii="Arial" w:hAnsi="Arial" w:cs="Arial"/>
                <w:vertAlign w:val="superscript"/>
              </w:rPr>
              <w:t>rd</w:t>
            </w:r>
            <w:r>
              <w:rPr>
                <w:rFonts w:ascii="Arial" w:hAnsi="Arial" w:cs="Arial"/>
              </w:rPr>
              <w:t xml:space="preserve">  </w:t>
            </w:r>
            <w:r>
              <w:rPr>
                <w:rFonts w:ascii="Arial" w:hAnsi="Arial" w:cs="Arial"/>
              </w:rPr>
              <w:fldChar w:fldCharType="begin">
                <w:ffData>
                  <w:name w:val="Check15"/>
                  <w:enabled/>
                  <w:calcOnExit w:val="0"/>
                  <w:checkBox>
                    <w:sizeAuto/>
                    <w:default w:val="0"/>
                  </w:checkBox>
                </w:ffData>
              </w:fldChar>
            </w:r>
            <w:bookmarkStart w:id="2" w:name="Check15"/>
            <w:r>
              <w:rPr>
                <w:rFonts w:ascii="Arial" w:hAnsi="Arial" w:cs="Arial"/>
              </w:rPr>
              <w:instrText xml:space="preserve"> FORMCHECKBOX </w:instrText>
            </w:r>
            <w:r>
              <w:rPr>
                <w:rFonts w:ascii="Times New Roman" w:hAnsi="Times New Roman"/>
                <w:sz w:val="24"/>
                <w:szCs w:val="24"/>
              </w:rPr>
            </w:r>
            <w:r>
              <w:rPr>
                <w:rFonts w:ascii="Times New Roman" w:hAnsi="Times New Roman"/>
                <w:sz w:val="24"/>
                <w:szCs w:val="24"/>
              </w:rPr>
              <w:fldChar w:fldCharType="separate"/>
            </w:r>
            <w:r>
              <w:rPr>
                <w:rFonts w:ascii="Times New Roman" w:hAnsi="Times New Roman"/>
                <w:sz w:val="24"/>
                <w:szCs w:val="24"/>
              </w:rPr>
              <w:fldChar w:fldCharType="end"/>
            </w:r>
            <w:bookmarkEnd w:id="2"/>
            <w:r>
              <w:rPr>
                <w:rFonts w:ascii="Arial" w:hAnsi="Arial" w:cs="Arial"/>
              </w:rPr>
              <w:t xml:space="preserve">      4</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3" w:name="Check16"/>
            <w:r>
              <w:rPr>
                <w:rFonts w:ascii="Arial" w:hAnsi="Arial" w:cs="Arial"/>
              </w:rPr>
              <w:instrText xml:space="preserve"> FORMCHECKBOX </w:instrText>
            </w:r>
            <w:r>
              <w:rPr>
                <w:rFonts w:ascii="Times New Roman" w:hAnsi="Times New Roman"/>
                <w:sz w:val="24"/>
                <w:szCs w:val="24"/>
              </w:rPr>
            </w:r>
            <w:r>
              <w:rPr>
                <w:rFonts w:ascii="Times New Roman" w:hAnsi="Times New Roman"/>
                <w:sz w:val="24"/>
                <w:szCs w:val="24"/>
              </w:rPr>
              <w:fldChar w:fldCharType="separate"/>
            </w:r>
            <w:r>
              <w:rPr>
                <w:rFonts w:ascii="Times New Roman" w:hAnsi="Times New Roman"/>
                <w:sz w:val="24"/>
                <w:szCs w:val="24"/>
              </w:rPr>
              <w:fldChar w:fldCharType="end"/>
            </w:r>
            <w:bookmarkEnd w:id="3"/>
            <w:r>
              <w:rPr>
                <w:rFonts w:ascii="Arial" w:hAnsi="Arial" w:cs="Arial"/>
              </w:rPr>
              <w:t xml:space="preserve">      5</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7"/>
                  <w:enabled/>
                  <w:calcOnExit w:val="0"/>
                  <w:checkBox>
                    <w:sizeAuto/>
                    <w:default w:val="0"/>
                  </w:checkBox>
                </w:ffData>
              </w:fldChar>
            </w:r>
            <w:bookmarkStart w:id="4" w:name="Check17"/>
            <w:r>
              <w:rPr>
                <w:rFonts w:ascii="Arial" w:hAnsi="Arial" w:cs="Arial"/>
              </w:rPr>
              <w:instrText xml:space="preserve"> FORMCHECKBOX </w:instrText>
            </w:r>
            <w:r>
              <w:rPr>
                <w:rFonts w:ascii="Times New Roman" w:hAnsi="Times New Roman"/>
                <w:sz w:val="24"/>
                <w:szCs w:val="24"/>
              </w:rPr>
            </w:r>
            <w:r>
              <w:rPr>
                <w:rFonts w:ascii="Times New Roman" w:hAnsi="Times New Roman"/>
                <w:sz w:val="24"/>
                <w:szCs w:val="24"/>
              </w:rPr>
              <w:fldChar w:fldCharType="separate"/>
            </w:r>
            <w:r>
              <w:rPr>
                <w:rFonts w:ascii="Times New Roman" w:hAnsi="Times New Roman"/>
                <w:sz w:val="24"/>
                <w:szCs w:val="24"/>
              </w:rPr>
              <w:fldChar w:fldCharType="end"/>
            </w:r>
            <w:bookmarkEnd w:id="4"/>
            <w:r>
              <w:rPr>
                <w:rFonts w:ascii="Arial" w:hAnsi="Arial" w:cs="Arial"/>
              </w:rPr>
              <w:t xml:space="preserve">      6</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8"/>
                  <w:enabled/>
                  <w:calcOnExit w:val="0"/>
                  <w:checkBox>
                    <w:sizeAuto/>
                    <w:default w:val="0"/>
                  </w:checkBox>
                </w:ffData>
              </w:fldChar>
            </w:r>
            <w:bookmarkStart w:id="5" w:name="Check18"/>
            <w:r>
              <w:rPr>
                <w:rFonts w:ascii="Arial" w:hAnsi="Arial" w:cs="Arial"/>
              </w:rPr>
              <w:instrText xml:space="preserve"> FORMCHECKBOX </w:instrText>
            </w:r>
            <w:r>
              <w:rPr>
                <w:rFonts w:ascii="Times New Roman" w:hAnsi="Times New Roman"/>
                <w:sz w:val="24"/>
                <w:szCs w:val="24"/>
              </w:rPr>
            </w:r>
            <w:r>
              <w:rPr>
                <w:rFonts w:ascii="Times New Roman" w:hAnsi="Times New Roman"/>
                <w:sz w:val="24"/>
                <w:szCs w:val="24"/>
              </w:rPr>
              <w:fldChar w:fldCharType="separate"/>
            </w:r>
            <w:r>
              <w:rPr>
                <w:rFonts w:ascii="Times New Roman" w:hAnsi="Times New Roman"/>
                <w:sz w:val="24"/>
                <w:szCs w:val="24"/>
              </w:rPr>
              <w:fldChar w:fldCharType="end"/>
            </w:r>
            <w:bookmarkEnd w:id="5"/>
          </w:p>
        </w:tc>
      </w:tr>
      <w:tr w:rsidR="00AB414F" w14:paraId="67A99EEE" w14:textId="77777777" w:rsidTr="008A30B8">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4AFF47A7" w14:textId="77777777" w:rsidR="00AB414F" w:rsidRDefault="00AB414F" w:rsidP="008A30B8">
            <w:pPr>
              <w:pStyle w:val="NormalWeb"/>
              <w:spacing w:before="0" w:after="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r>
              <w:rPr>
                <w:rFonts w:ascii="Calibri" w:hAnsi="Calibri" w:cs="Tahoma"/>
                <w:b/>
                <w:noProof/>
              </w:rPr>
              <w:t xml:space="preserve"> </w:t>
            </w:r>
            <w:r>
              <w:rPr>
                <w:rFonts w:ascii="Calibri" w:hAnsi="Calibri" w:cs="Tahoma"/>
                <w:b/>
                <w:noProof/>
              </w:rPr>
              <w:drawing>
                <wp:inline distT="0" distB="0" distL="0" distR="0" wp14:anchorId="6D5CB411" wp14:editId="1874F061">
                  <wp:extent cx="2486025" cy="876300"/>
                  <wp:effectExtent l="0" t="0" r="9525" b="0"/>
                  <wp:docPr id="9935168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86025" cy="876300"/>
                          </a:xfrm>
                          <a:prstGeom prst="rect">
                            <a:avLst/>
                          </a:prstGeom>
                          <a:noFill/>
                          <a:ln>
                            <a:noFill/>
                          </a:ln>
                        </pic:spPr>
                      </pic:pic>
                    </a:graphicData>
                  </a:graphic>
                </wp:inline>
              </w:drawing>
            </w:r>
          </w:p>
          <w:p w14:paraId="3E6CB925" w14:textId="77777777" w:rsidR="00AB414F" w:rsidRDefault="00AB414F" w:rsidP="008A30B8">
            <w:pPr>
              <w:pStyle w:val="NormalWeb"/>
              <w:spacing w:before="0" w:after="0"/>
              <w:ind w:right="34"/>
              <w:rPr>
                <w:rFonts w:ascii="Arial" w:hAnsi="Arial" w:cs="Arial"/>
                <w:sz w:val="22"/>
                <w:szCs w:val="22"/>
              </w:rPr>
            </w:pPr>
            <w:r>
              <w:rPr>
                <w:rFonts w:ascii="Arial" w:hAnsi="Arial" w:cs="Arial"/>
                <w:sz w:val="22"/>
                <w:szCs w:val="22"/>
              </w:rPr>
              <w:t>Signed ……</w:t>
            </w:r>
          </w:p>
          <w:p w14:paraId="6C07945C" w14:textId="77777777" w:rsidR="00AB414F" w:rsidRDefault="00AB414F" w:rsidP="008A30B8">
            <w:pPr>
              <w:pStyle w:val="NormalWeb"/>
              <w:spacing w:before="0" w:after="0"/>
              <w:ind w:right="34"/>
              <w:rPr>
                <w:rFonts w:ascii="Arial" w:hAnsi="Arial" w:cs="Arial"/>
                <w:sz w:val="22"/>
                <w:szCs w:val="22"/>
              </w:rPr>
            </w:pPr>
            <w:r>
              <w:rPr>
                <w:rFonts w:ascii="Arial" w:hAnsi="Arial" w:cs="Arial"/>
                <w:sz w:val="22"/>
                <w:szCs w:val="22"/>
              </w:rPr>
              <w:t xml:space="preserve">(checkbox apparently </w:t>
            </w:r>
            <w:proofErr w:type="spellStart"/>
            <w:r>
              <w:rPr>
                <w:rFonts w:ascii="Arial" w:hAnsi="Arial" w:cs="Arial"/>
                <w:sz w:val="22"/>
                <w:szCs w:val="22"/>
              </w:rPr>
              <w:t>untickable</w:t>
            </w:r>
            <w:proofErr w:type="spellEnd"/>
            <w:r>
              <w:rPr>
                <w:rFonts w:ascii="Arial" w:hAnsi="Arial" w:cs="Arial"/>
                <w:sz w:val="22"/>
                <w:szCs w:val="22"/>
              </w:rPr>
              <w:t>, even when doc marked editable)……  ……………………</w:t>
            </w:r>
          </w:p>
          <w:p w14:paraId="79D3780B" w14:textId="77777777" w:rsidR="00AB414F" w:rsidRDefault="00AB414F" w:rsidP="008A30B8">
            <w:pPr>
              <w:pStyle w:val="NormalWeb"/>
              <w:spacing w:before="0" w:after="0"/>
              <w:ind w:right="34"/>
              <w:rPr>
                <w:rFonts w:ascii="Calibri" w:hAnsi="Calibri" w:cs="Calibri"/>
                <w:b/>
                <w:sz w:val="44"/>
                <w:szCs w:val="44"/>
              </w:rPr>
            </w:pPr>
            <w:r>
              <w:rPr>
                <w:rFonts w:ascii="Calibri" w:hAnsi="Calibri" w:cs="Tahoma"/>
                <w:b/>
              </w:rPr>
              <w:t xml:space="preserve">Email submission: if you are submitting this form via email, please tick this box </w:t>
            </w:r>
            <w:r>
              <w:rPr>
                <w:rFonts w:ascii="Calibri" w:hAnsi="Calibri" w:cs="Calibri"/>
                <w:b/>
                <w:sz w:val="44"/>
                <w:szCs w:val="44"/>
              </w:rPr>
              <w:t>□</w:t>
            </w:r>
          </w:p>
          <w:p w14:paraId="40B12A1E" w14:textId="77777777" w:rsidR="00AB414F" w:rsidRDefault="00AB414F" w:rsidP="008A30B8">
            <w:pPr>
              <w:pStyle w:val="NormalWeb"/>
              <w:spacing w:before="0" w:after="0"/>
              <w:ind w:right="34"/>
              <w:rPr>
                <w:rFonts w:ascii="Arial" w:hAnsi="Arial" w:cs="Arial"/>
                <w:sz w:val="22"/>
                <w:szCs w:val="22"/>
              </w:rPr>
            </w:pPr>
            <w:r>
              <w:rPr>
                <w:rFonts w:ascii="Calibri" w:hAnsi="Calibri" w:cs="Tahoma"/>
                <w:b/>
              </w:rPr>
              <w:t>(as a substitute for your signature) to confirm that you agree to the above declaration.</w:t>
            </w:r>
          </w:p>
        </w:tc>
      </w:tr>
      <w:tr w:rsidR="00AB414F" w14:paraId="61F2F99D" w14:textId="77777777" w:rsidTr="008A30B8">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71430F16" w14:textId="77777777" w:rsidR="00AB414F" w:rsidRDefault="00AB414F" w:rsidP="008A30B8">
            <w:pPr>
              <w:rPr>
                <w:rFonts w:ascii="Arial" w:hAnsi="Arial"/>
                <w:b/>
                <w:sz w:val="24"/>
                <w:szCs w:val="24"/>
              </w:rPr>
            </w:pPr>
          </w:p>
          <w:p w14:paraId="34A6BE26" w14:textId="77777777" w:rsidR="00AB414F" w:rsidRDefault="00AB414F" w:rsidP="008A30B8">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B414F" w14:paraId="09240D8F" w14:textId="77777777" w:rsidTr="008A30B8">
              <w:tc>
                <w:tcPr>
                  <w:tcW w:w="6970" w:type="dxa"/>
                  <w:tcBorders>
                    <w:top w:val="single" w:sz="4" w:space="0" w:color="auto"/>
                    <w:left w:val="single" w:sz="4" w:space="0" w:color="auto"/>
                    <w:bottom w:val="single" w:sz="4" w:space="0" w:color="auto"/>
                    <w:right w:val="single" w:sz="4" w:space="0" w:color="auto"/>
                  </w:tcBorders>
                </w:tcPr>
                <w:p w14:paraId="7BD974B8" w14:textId="77777777" w:rsidR="00AB414F" w:rsidRDefault="00AB414F" w:rsidP="008A30B8">
                  <w:pPr>
                    <w:rPr>
                      <w:rFonts w:ascii="Arial" w:hAnsi="Arial"/>
                      <w:sz w:val="20"/>
                      <w:szCs w:val="20"/>
                    </w:rPr>
                  </w:pPr>
                </w:p>
                <w:p w14:paraId="605FAA88" w14:textId="77777777" w:rsidR="00AB414F" w:rsidRDefault="00AB414F" w:rsidP="008A30B8">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511E0EA1" w14:textId="77777777" w:rsidR="00AB414F" w:rsidRDefault="00AB414F" w:rsidP="008A30B8">
                  <w:pPr>
                    <w:rPr>
                      <w:rFonts w:ascii="Arial" w:hAnsi="Arial"/>
                      <w:sz w:val="20"/>
                      <w:szCs w:val="20"/>
                    </w:rPr>
                  </w:pPr>
                </w:p>
              </w:tc>
            </w:tr>
            <w:tr w:rsidR="00AB414F" w14:paraId="38984EA0" w14:textId="77777777" w:rsidTr="008A30B8">
              <w:tc>
                <w:tcPr>
                  <w:tcW w:w="6970" w:type="dxa"/>
                  <w:tcBorders>
                    <w:top w:val="single" w:sz="4" w:space="0" w:color="auto"/>
                    <w:left w:val="single" w:sz="4" w:space="0" w:color="auto"/>
                    <w:bottom w:val="single" w:sz="4" w:space="0" w:color="auto"/>
                    <w:right w:val="single" w:sz="4" w:space="0" w:color="auto"/>
                  </w:tcBorders>
                </w:tcPr>
                <w:p w14:paraId="4728DCF9" w14:textId="77777777" w:rsidR="00AB414F" w:rsidRDefault="00AB414F" w:rsidP="008A30B8">
                  <w:pPr>
                    <w:rPr>
                      <w:rFonts w:ascii="Arial" w:hAnsi="Arial"/>
                      <w:sz w:val="20"/>
                      <w:szCs w:val="20"/>
                    </w:rPr>
                  </w:pPr>
                </w:p>
                <w:p w14:paraId="05B214E0" w14:textId="77777777" w:rsidR="00AB414F" w:rsidRDefault="00AB414F" w:rsidP="008A30B8">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1BD795BE" w14:textId="77777777" w:rsidR="00AB414F" w:rsidRDefault="00AB414F" w:rsidP="008A30B8">
                  <w:pPr>
                    <w:rPr>
                      <w:rFonts w:ascii="Arial" w:hAnsi="Arial"/>
                      <w:sz w:val="20"/>
                      <w:szCs w:val="20"/>
                    </w:rPr>
                  </w:pPr>
                </w:p>
              </w:tc>
            </w:tr>
            <w:tr w:rsidR="00AB414F" w14:paraId="6F46B2CE" w14:textId="77777777" w:rsidTr="008A30B8">
              <w:tc>
                <w:tcPr>
                  <w:tcW w:w="6970" w:type="dxa"/>
                  <w:tcBorders>
                    <w:top w:val="single" w:sz="4" w:space="0" w:color="auto"/>
                    <w:left w:val="single" w:sz="4" w:space="0" w:color="auto"/>
                    <w:bottom w:val="single" w:sz="4" w:space="0" w:color="auto"/>
                    <w:right w:val="single" w:sz="4" w:space="0" w:color="auto"/>
                  </w:tcBorders>
                </w:tcPr>
                <w:p w14:paraId="460D173B" w14:textId="77777777" w:rsidR="00AB414F" w:rsidRDefault="00AB414F" w:rsidP="008A30B8">
                  <w:pPr>
                    <w:rPr>
                      <w:rFonts w:ascii="Arial" w:hAnsi="Arial"/>
                      <w:color w:val="000000"/>
                      <w:sz w:val="20"/>
                      <w:szCs w:val="20"/>
                    </w:rPr>
                  </w:pPr>
                  <w:r>
                    <w:rPr>
                      <w:rFonts w:ascii="Arial" w:hAnsi="Arial"/>
                      <w:color w:val="000000"/>
                      <w:sz w:val="20"/>
                      <w:szCs w:val="20"/>
                    </w:rPr>
                    <w:t xml:space="preserve">Agreed Internal Mark: </w:t>
                  </w:r>
                </w:p>
                <w:p w14:paraId="7F411ABB" w14:textId="77777777" w:rsidR="00AB414F" w:rsidRDefault="00AB414F" w:rsidP="008A30B8">
                  <w:pPr>
                    <w:rPr>
                      <w:rFonts w:ascii="Arial" w:hAnsi="Arial"/>
                      <w:sz w:val="20"/>
                      <w:szCs w:val="20"/>
                      <w:highlight w:val="yellow"/>
                    </w:rPr>
                  </w:pPr>
                </w:p>
              </w:tc>
              <w:tc>
                <w:tcPr>
                  <w:tcW w:w="1660" w:type="dxa"/>
                  <w:tcBorders>
                    <w:top w:val="single" w:sz="4" w:space="0" w:color="auto"/>
                    <w:left w:val="single" w:sz="4" w:space="0" w:color="auto"/>
                    <w:bottom w:val="single" w:sz="4" w:space="0" w:color="auto"/>
                    <w:right w:val="single" w:sz="4" w:space="0" w:color="auto"/>
                  </w:tcBorders>
                </w:tcPr>
                <w:p w14:paraId="7FAB7223" w14:textId="77777777" w:rsidR="00AB414F" w:rsidRDefault="00AB414F" w:rsidP="008A30B8">
                  <w:pPr>
                    <w:rPr>
                      <w:rFonts w:ascii="Arial" w:hAnsi="Arial"/>
                      <w:sz w:val="20"/>
                      <w:szCs w:val="20"/>
                      <w:highlight w:val="yellow"/>
                    </w:rPr>
                  </w:pPr>
                </w:p>
              </w:tc>
            </w:tr>
            <w:tr w:rsidR="00AB414F" w14:paraId="5E5C8A5A" w14:textId="77777777" w:rsidTr="008A30B8">
              <w:tc>
                <w:tcPr>
                  <w:tcW w:w="6970" w:type="dxa"/>
                  <w:tcBorders>
                    <w:top w:val="single" w:sz="4" w:space="0" w:color="auto"/>
                    <w:left w:val="single" w:sz="4" w:space="0" w:color="auto"/>
                    <w:bottom w:val="single" w:sz="4" w:space="0" w:color="auto"/>
                    <w:right w:val="single" w:sz="4" w:space="0" w:color="auto"/>
                  </w:tcBorders>
                </w:tcPr>
                <w:p w14:paraId="0646800D" w14:textId="77777777" w:rsidR="00AB414F" w:rsidRDefault="00AB414F" w:rsidP="008A30B8">
                  <w:pPr>
                    <w:rPr>
                      <w:rFonts w:ascii="Arial" w:hAnsi="Arial"/>
                      <w:sz w:val="20"/>
                      <w:szCs w:val="20"/>
                    </w:rPr>
                  </w:pPr>
                </w:p>
                <w:p w14:paraId="59AB25E6" w14:textId="77777777" w:rsidR="00AB414F" w:rsidRDefault="00AB414F" w:rsidP="008A30B8">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15D9C4B8" w14:textId="77777777" w:rsidR="00AB414F" w:rsidRDefault="00AB414F" w:rsidP="008A30B8">
                  <w:pPr>
                    <w:rPr>
                      <w:rFonts w:ascii="Arial" w:hAnsi="Arial"/>
                      <w:sz w:val="20"/>
                      <w:szCs w:val="20"/>
                    </w:rPr>
                  </w:pPr>
                </w:p>
              </w:tc>
            </w:tr>
            <w:tr w:rsidR="00AB414F" w14:paraId="1E0558E6" w14:textId="77777777" w:rsidTr="008A30B8">
              <w:tc>
                <w:tcPr>
                  <w:tcW w:w="6970" w:type="dxa"/>
                  <w:tcBorders>
                    <w:top w:val="single" w:sz="4" w:space="0" w:color="auto"/>
                    <w:left w:val="single" w:sz="4" w:space="0" w:color="auto"/>
                    <w:bottom w:val="single" w:sz="4" w:space="0" w:color="auto"/>
                    <w:right w:val="single" w:sz="4" w:space="0" w:color="auto"/>
                  </w:tcBorders>
                </w:tcPr>
                <w:p w14:paraId="1F3491CA" w14:textId="77777777" w:rsidR="00AB414F" w:rsidRDefault="00AB414F" w:rsidP="008A30B8">
                  <w:pPr>
                    <w:rPr>
                      <w:rFonts w:ascii="Arial" w:hAnsi="Arial"/>
                      <w:sz w:val="20"/>
                      <w:szCs w:val="20"/>
                    </w:rPr>
                  </w:pPr>
                </w:p>
                <w:p w14:paraId="3EC9A5DC" w14:textId="77777777" w:rsidR="00AB414F" w:rsidRDefault="00AB414F" w:rsidP="008A30B8">
                  <w:pPr>
                    <w:rPr>
                      <w:rFonts w:ascii="Arial" w:hAnsi="Arial"/>
                      <w:b/>
                      <w:sz w:val="20"/>
                      <w:szCs w:val="20"/>
                    </w:rPr>
                  </w:pPr>
                  <w:r>
                    <w:rPr>
                      <w:rFonts w:ascii="Arial" w:hAnsi="Arial"/>
                      <w:b/>
                      <w:sz w:val="20"/>
                      <w:szCs w:val="20"/>
                    </w:rPr>
                    <w:t>Final Mark</w:t>
                  </w:r>
                </w:p>
                <w:p w14:paraId="58ECBA98" w14:textId="77777777" w:rsidR="00AB414F" w:rsidRDefault="00AB414F" w:rsidP="008A30B8">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0CBF329D" w14:textId="77777777" w:rsidR="00AB414F" w:rsidRDefault="00AB414F" w:rsidP="008A30B8">
                  <w:pPr>
                    <w:rPr>
                      <w:rFonts w:ascii="Arial" w:hAnsi="Arial"/>
                      <w:sz w:val="20"/>
                      <w:szCs w:val="20"/>
                    </w:rPr>
                  </w:pPr>
                </w:p>
              </w:tc>
            </w:tr>
          </w:tbl>
          <w:p w14:paraId="4E303B4F" w14:textId="77777777" w:rsidR="00AB414F" w:rsidRDefault="00AB414F" w:rsidP="008A30B8">
            <w:pPr>
              <w:pStyle w:val="NormalWeb"/>
              <w:spacing w:before="0" w:after="0"/>
              <w:ind w:left="142" w:right="34"/>
              <w:rPr>
                <w:rFonts w:ascii="Arial" w:hAnsi="Arial" w:cs="Arial"/>
                <w:b/>
                <w:sz w:val="22"/>
                <w:szCs w:val="22"/>
                <w:lang w:eastAsia="zh-CN"/>
              </w:rPr>
            </w:pPr>
          </w:p>
          <w:p w14:paraId="2B6011AE" w14:textId="77777777" w:rsidR="00AB414F" w:rsidRDefault="00AB414F" w:rsidP="008A30B8">
            <w:pPr>
              <w:pStyle w:val="NormalWeb"/>
              <w:spacing w:before="0" w:after="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1F92FABB" w14:textId="77777777" w:rsidR="00AB414F" w:rsidRDefault="00AB414F" w:rsidP="008A30B8">
            <w:pPr>
              <w:pStyle w:val="NormalWeb"/>
              <w:spacing w:before="0" w:after="0"/>
              <w:rPr>
                <w:rFonts w:ascii="Arial" w:hAnsi="Arial" w:cs="Arial"/>
                <w:b/>
                <w:sz w:val="22"/>
                <w:szCs w:val="22"/>
              </w:rPr>
            </w:pPr>
          </w:p>
          <w:p w14:paraId="64A9AC73" w14:textId="77777777" w:rsidR="00AB414F" w:rsidRDefault="00AB414F" w:rsidP="008A30B8">
            <w:pPr>
              <w:pStyle w:val="NormalWeb"/>
              <w:spacing w:before="0" w:after="0"/>
              <w:rPr>
                <w:rFonts w:ascii="Arial" w:hAnsi="Arial" w:cs="Arial"/>
                <w:b/>
                <w:sz w:val="22"/>
                <w:szCs w:val="22"/>
              </w:rPr>
            </w:pPr>
          </w:p>
          <w:p w14:paraId="5C49B3C8" w14:textId="77777777" w:rsidR="00AB414F" w:rsidRDefault="00AB414F" w:rsidP="008A30B8">
            <w:pPr>
              <w:pStyle w:val="NormalWeb"/>
              <w:spacing w:before="0" w:after="0"/>
              <w:rPr>
                <w:rFonts w:ascii="Arial" w:hAnsi="Arial" w:cs="Arial"/>
                <w:b/>
                <w:sz w:val="22"/>
                <w:szCs w:val="22"/>
              </w:rPr>
            </w:pPr>
          </w:p>
          <w:p w14:paraId="1282F11A" w14:textId="77777777" w:rsidR="00AB414F" w:rsidRDefault="00AB414F" w:rsidP="008A30B8">
            <w:pPr>
              <w:pStyle w:val="NormalWeb"/>
              <w:spacing w:before="0" w:after="0"/>
              <w:rPr>
                <w:rFonts w:ascii="Arial" w:hAnsi="Arial" w:cs="Arial"/>
                <w:b/>
                <w:sz w:val="22"/>
                <w:szCs w:val="22"/>
              </w:rPr>
            </w:pPr>
          </w:p>
          <w:p w14:paraId="44682612" w14:textId="77777777" w:rsidR="00AB414F" w:rsidRDefault="00AB414F" w:rsidP="008A30B8">
            <w:pPr>
              <w:pStyle w:val="NormalWeb"/>
              <w:spacing w:before="0" w:after="0"/>
              <w:rPr>
                <w:rFonts w:ascii="Arial" w:hAnsi="Arial" w:cs="Arial"/>
                <w:b/>
                <w:sz w:val="22"/>
                <w:szCs w:val="22"/>
              </w:rPr>
            </w:pPr>
            <w:r>
              <w:rPr>
                <w:rFonts w:ascii="Arial" w:hAnsi="Arial" w:cs="Arial"/>
                <w:b/>
                <w:sz w:val="22"/>
                <w:szCs w:val="22"/>
              </w:rPr>
              <w:t>For completion by Marker 1 :</w:t>
            </w:r>
          </w:p>
          <w:p w14:paraId="6A896025" w14:textId="77777777" w:rsidR="00AB414F" w:rsidRDefault="00AB414F" w:rsidP="008A30B8">
            <w:pPr>
              <w:pStyle w:val="NormalWeb"/>
              <w:rPr>
                <w:rFonts w:ascii="Arial" w:hAnsi="Arial" w:cs="Arial"/>
                <w:sz w:val="22"/>
                <w:szCs w:val="22"/>
              </w:rPr>
            </w:pPr>
            <w:r>
              <w:rPr>
                <w:rFonts w:ascii="Arial" w:hAnsi="Arial" w:cs="Arial"/>
                <w:sz w:val="22"/>
                <w:szCs w:val="22"/>
              </w:rPr>
              <w:t>Comments:</w:t>
            </w:r>
          </w:p>
          <w:p w14:paraId="333A62F4" w14:textId="77777777" w:rsidR="00AB414F" w:rsidRDefault="00AB414F" w:rsidP="008A30B8">
            <w:pPr>
              <w:pStyle w:val="NormalWeb"/>
              <w:rPr>
                <w:rFonts w:ascii="Arial" w:hAnsi="Arial" w:cs="Arial"/>
                <w:sz w:val="22"/>
                <w:szCs w:val="22"/>
              </w:rPr>
            </w:pPr>
          </w:p>
        </w:tc>
      </w:tr>
      <w:tr w:rsidR="00AB414F" w14:paraId="3293FC9A" w14:textId="77777777" w:rsidTr="008A30B8">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415EE71C" w14:textId="77777777" w:rsidR="00AB414F" w:rsidRDefault="00AB414F" w:rsidP="008A30B8">
            <w:pPr>
              <w:pStyle w:val="NormalWeb"/>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70D4E64D" w14:textId="77777777" w:rsidR="00AB414F" w:rsidRDefault="00AB414F" w:rsidP="008A30B8">
            <w:pPr>
              <w:pStyle w:val="NormalWeb"/>
              <w:spacing w:after="0"/>
              <w:ind w:left="142" w:right="34"/>
              <w:rPr>
                <w:rFonts w:ascii="Arial" w:hAnsi="Arial" w:cs="Arial"/>
                <w:sz w:val="22"/>
                <w:szCs w:val="22"/>
              </w:rPr>
            </w:pPr>
            <w:r>
              <w:rPr>
                <w:rFonts w:ascii="Arial" w:hAnsi="Arial" w:cs="Arial"/>
                <w:sz w:val="22"/>
                <w:szCs w:val="22"/>
              </w:rPr>
              <w:t>Date:</w:t>
            </w:r>
          </w:p>
        </w:tc>
      </w:tr>
      <w:tr w:rsidR="00AB414F" w14:paraId="628ACDDC" w14:textId="77777777" w:rsidTr="008A30B8">
        <w:tc>
          <w:tcPr>
            <w:tcW w:w="8856" w:type="dxa"/>
            <w:gridSpan w:val="5"/>
            <w:tcBorders>
              <w:top w:val="single" w:sz="4" w:space="0" w:color="000000"/>
              <w:left w:val="single" w:sz="4" w:space="0" w:color="000000"/>
              <w:bottom w:val="single" w:sz="4" w:space="0" w:color="000000"/>
              <w:right w:val="single" w:sz="4" w:space="0" w:color="000000"/>
            </w:tcBorders>
          </w:tcPr>
          <w:p w14:paraId="724E77AF" w14:textId="77777777" w:rsidR="00AB414F" w:rsidRDefault="00AB414F" w:rsidP="008A30B8">
            <w:pPr>
              <w:pStyle w:val="NormalWeb"/>
              <w:spacing w:before="0" w:after="0"/>
              <w:ind w:right="-334"/>
              <w:rPr>
                <w:rFonts w:ascii="Arial" w:hAnsi="Arial" w:cs="Arial"/>
                <w:bCs/>
                <w:i/>
                <w:sz w:val="22"/>
                <w:szCs w:val="22"/>
              </w:rPr>
            </w:pPr>
          </w:p>
          <w:p w14:paraId="47526950" w14:textId="77777777" w:rsidR="00AB414F" w:rsidRDefault="00AB414F" w:rsidP="008A30B8">
            <w:pPr>
              <w:pStyle w:val="NormalWeb"/>
              <w:spacing w:before="0" w:after="0"/>
              <w:ind w:right="-334"/>
              <w:rPr>
                <w:rFonts w:ascii="Arial" w:hAnsi="Arial" w:cs="Arial"/>
                <w:b/>
                <w:bCs/>
                <w:sz w:val="22"/>
                <w:szCs w:val="22"/>
              </w:rPr>
            </w:pPr>
            <w:r>
              <w:rPr>
                <w:rFonts w:ascii="Arial" w:hAnsi="Arial" w:cs="Arial"/>
                <w:b/>
                <w:bCs/>
                <w:sz w:val="22"/>
                <w:szCs w:val="22"/>
              </w:rPr>
              <w:t>For completion by Marker 2/Moderator:</w:t>
            </w:r>
          </w:p>
          <w:p w14:paraId="3F9EFBE7" w14:textId="77777777" w:rsidR="00AB414F" w:rsidRDefault="00AB414F" w:rsidP="008A30B8">
            <w:pPr>
              <w:pStyle w:val="NormalWeb"/>
              <w:spacing w:before="0" w:after="0"/>
              <w:ind w:right="-334"/>
              <w:rPr>
                <w:rFonts w:ascii="Arial" w:hAnsi="Arial" w:cs="Arial"/>
                <w:b/>
                <w:bCs/>
                <w:sz w:val="22"/>
                <w:szCs w:val="22"/>
              </w:rPr>
            </w:pPr>
          </w:p>
          <w:p w14:paraId="51329E97" w14:textId="77777777" w:rsidR="00AB414F" w:rsidRDefault="00AB414F" w:rsidP="008A30B8">
            <w:pPr>
              <w:pStyle w:val="NormalWeb"/>
              <w:spacing w:before="0" w:after="0"/>
              <w:ind w:right="-334"/>
              <w:rPr>
                <w:rFonts w:ascii="Arial" w:hAnsi="Arial" w:cs="Arial"/>
                <w:bCs/>
                <w:sz w:val="22"/>
                <w:szCs w:val="22"/>
              </w:rPr>
            </w:pPr>
            <w:r>
              <w:rPr>
                <w:rFonts w:ascii="Arial" w:hAnsi="Arial" w:cs="Arial"/>
                <w:bCs/>
                <w:sz w:val="22"/>
                <w:szCs w:val="22"/>
              </w:rPr>
              <w:t>Comments:</w:t>
            </w:r>
          </w:p>
          <w:p w14:paraId="1DFAE03F" w14:textId="77777777" w:rsidR="00AB414F" w:rsidRDefault="00AB414F" w:rsidP="008A30B8">
            <w:pPr>
              <w:pStyle w:val="NormalWeb"/>
              <w:spacing w:before="0" w:after="0"/>
              <w:ind w:right="-334"/>
              <w:rPr>
                <w:rFonts w:ascii="Arial" w:hAnsi="Arial" w:cs="Arial"/>
                <w:bCs/>
                <w:sz w:val="22"/>
                <w:szCs w:val="22"/>
              </w:rPr>
            </w:pPr>
          </w:p>
          <w:p w14:paraId="3C799F1D" w14:textId="77777777" w:rsidR="00AB414F" w:rsidRDefault="00AB414F" w:rsidP="008A30B8">
            <w:pPr>
              <w:pStyle w:val="NormalWeb"/>
              <w:spacing w:before="0" w:after="0"/>
              <w:ind w:right="-334"/>
              <w:rPr>
                <w:rFonts w:ascii="Arial" w:hAnsi="Arial" w:cs="Arial"/>
                <w:bCs/>
                <w:sz w:val="22"/>
                <w:szCs w:val="22"/>
              </w:rPr>
            </w:pPr>
          </w:p>
          <w:p w14:paraId="20D9E74A" w14:textId="77777777" w:rsidR="00AB414F" w:rsidRDefault="00AB414F" w:rsidP="008A30B8">
            <w:pPr>
              <w:pStyle w:val="NormalWeb"/>
              <w:spacing w:before="0" w:after="0"/>
              <w:ind w:right="-334"/>
              <w:rPr>
                <w:rFonts w:ascii="Arial" w:hAnsi="Arial" w:cs="Arial"/>
                <w:bCs/>
                <w:sz w:val="22"/>
                <w:szCs w:val="22"/>
              </w:rPr>
            </w:pPr>
          </w:p>
        </w:tc>
      </w:tr>
      <w:tr w:rsidR="00AB414F" w14:paraId="21E118B5" w14:textId="77777777" w:rsidTr="008A30B8">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020851CF" w14:textId="77777777" w:rsidR="00AB414F" w:rsidRDefault="00AB414F" w:rsidP="008A30B8">
            <w:pPr>
              <w:pStyle w:val="NormalWeb"/>
              <w:spacing w:before="0" w:after="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1437205C" w14:textId="77777777" w:rsidR="00AB414F" w:rsidRDefault="00AB414F" w:rsidP="008A30B8">
            <w:pPr>
              <w:pStyle w:val="NormalWeb"/>
              <w:spacing w:before="0" w:after="0"/>
              <w:ind w:right="-334"/>
              <w:rPr>
                <w:rFonts w:ascii="Arial" w:hAnsi="Arial" w:cs="Arial"/>
                <w:bCs/>
                <w:sz w:val="22"/>
                <w:szCs w:val="22"/>
              </w:rPr>
            </w:pPr>
            <w:r>
              <w:rPr>
                <w:rFonts w:ascii="Arial" w:hAnsi="Arial" w:cs="Arial"/>
                <w:bCs/>
                <w:sz w:val="22"/>
                <w:szCs w:val="22"/>
              </w:rPr>
              <w:t>Date:</w:t>
            </w:r>
          </w:p>
        </w:tc>
      </w:tr>
      <w:tr w:rsidR="00AB414F" w14:paraId="55FC7EFB" w14:textId="77777777" w:rsidTr="008A30B8">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537D9379" w14:textId="77777777" w:rsidR="00AB414F" w:rsidRDefault="00AB414F" w:rsidP="008A30B8">
            <w:pPr>
              <w:rPr>
                <w:rFonts w:ascii="Arial" w:hAnsi="Arial" w:cs="Arial"/>
                <w:b/>
              </w:rPr>
            </w:pPr>
            <w:r>
              <w:rPr>
                <w:rFonts w:ascii="Arial" w:hAnsi="Arial" w:cs="Arial"/>
                <w:b/>
              </w:rPr>
              <w:t>AGREED INTERNAL MARK (where necessary):</w:t>
            </w:r>
          </w:p>
          <w:p w14:paraId="138F59E2" w14:textId="77777777" w:rsidR="00AB414F" w:rsidRDefault="00AB414F" w:rsidP="008A30B8">
            <w:pPr>
              <w:rPr>
                <w:rFonts w:ascii="Arial" w:hAnsi="Arial" w:cs="Arial"/>
                <w:b/>
              </w:rPr>
            </w:pPr>
          </w:p>
          <w:p w14:paraId="7D77ED2B" w14:textId="77777777" w:rsidR="00AB414F" w:rsidRDefault="00AB414F" w:rsidP="008A30B8">
            <w:pPr>
              <w:rPr>
                <w:rFonts w:ascii="Arial" w:hAnsi="Arial" w:cs="Arial"/>
                <w:b/>
              </w:rPr>
            </w:pPr>
            <w:r>
              <w:rPr>
                <w:rFonts w:ascii="Arial" w:hAnsi="Arial" w:cs="Arial"/>
                <w:b/>
              </w:rPr>
              <w:t>Comment on process of arriving at agreed mark:</w:t>
            </w:r>
          </w:p>
          <w:p w14:paraId="7CD2820E" w14:textId="77777777" w:rsidR="00AB414F" w:rsidRDefault="00AB414F" w:rsidP="008A30B8">
            <w:pPr>
              <w:rPr>
                <w:rFonts w:ascii="Arial" w:hAnsi="Arial" w:cs="Arial"/>
                <w:b/>
              </w:rPr>
            </w:pPr>
          </w:p>
          <w:p w14:paraId="32D4419B" w14:textId="77777777" w:rsidR="00AB414F" w:rsidRDefault="00AB414F" w:rsidP="008A30B8">
            <w:pPr>
              <w:rPr>
                <w:rFonts w:ascii="Arial" w:hAnsi="Arial" w:cs="Arial"/>
                <w:b/>
              </w:rPr>
            </w:pPr>
          </w:p>
          <w:p w14:paraId="13E5AE27" w14:textId="77777777" w:rsidR="00AB414F" w:rsidRDefault="00AB414F" w:rsidP="008A30B8">
            <w:pPr>
              <w:rPr>
                <w:rFonts w:ascii="Arial" w:hAnsi="Arial" w:cs="Arial"/>
                <w:b/>
              </w:rPr>
            </w:pPr>
          </w:p>
          <w:p w14:paraId="6D56D5A6" w14:textId="77777777" w:rsidR="00AB414F" w:rsidRDefault="00AB414F" w:rsidP="008A30B8">
            <w:pPr>
              <w:rPr>
                <w:rFonts w:ascii="Arial" w:hAnsi="Arial" w:cs="Arial"/>
                <w:b/>
              </w:rPr>
            </w:pPr>
          </w:p>
          <w:p w14:paraId="374F2616" w14:textId="77777777" w:rsidR="00AB414F" w:rsidRDefault="00AB414F" w:rsidP="008A30B8">
            <w:pPr>
              <w:rPr>
                <w:rFonts w:ascii="Arial" w:hAnsi="Arial" w:cs="Arial"/>
                <w:b/>
              </w:rPr>
            </w:pPr>
          </w:p>
          <w:p w14:paraId="7274D94E" w14:textId="77777777" w:rsidR="00AB414F" w:rsidRDefault="00AB414F" w:rsidP="008A30B8">
            <w:pPr>
              <w:rPr>
                <w:rFonts w:ascii="Arial" w:hAnsi="Arial" w:cs="Arial"/>
                <w:b/>
              </w:rPr>
            </w:pPr>
          </w:p>
          <w:p w14:paraId="07C171D6" w14:textId="77777777" w:rsidR="00AB414F" w:rsidRDefault="00AB414F" w:rsidP="008A30B8">
            <w:pPr>
              <w:rPr>
                <w:rFonts w:ascii="Arial" w:hAnsi="Arial" w:cs="Arial"/>
                <w:b/>
              </w:rPr>
            </w:pPr>
          </w:p>
          <w:p w14:paraId="2338D2D2" w14:textId="77777777" w:rsidR="00AB414F" w:rsidRDefault="00AB414F" w:rsidP="008A30B8">
            <w:pPr>
              <w:rPr>
                <w:rFonts w:ascii="Arial" w:hAnsi="Arial" w:cs="Arial"/>
                <w:b/>
              </w:rPr>
            </w:pPr>
          </w:p>
        </w:tc>
      </w:tr>
      <w:tr w:rsidR="00AB414F" w14:paraId="515773DB" w14:textId="77777777" w:rsidTr="008A30B8">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52A041F8" w14:textId="77777777" w:rsidR="00AB414F" w:rsidRDefault="00AB414F" w:rsidP="008A30B8">
            <w:pPr>
              <w:rPr>
                <w:rFonts w:ascii="Arial" w:hAnsi="Arial" w:cs="Arial"/>
                <w:b/>
              </w:rPr>
            </w:pPr>
            <w:r>
              <w:rPr>
                <w:rFonts w:ascii="Arial" w:hAnsi="Arial" w:cs="Arial"/>
                <w:b/>
              </w:rPr>
              <w:lastRenderedPageBreak/>
              <w:t>External Examiner’s comments (if relevant)</w:t>
            </w:r>
          </w:p>
          <w:p w14:paraId="690F9850" w14:textId="77777777" w:rsidR="00AB414F" w:rsidRDefault="00AB414F" w:rsidP="008A30B8">
            <w:pPr>
              <w:pStyle w:val="NormalWeb"/>
              <w:spacing w:before="0" w:after="0"/>
              <w:ind w:right="-334"/>
              <w:rPr>
                <w:rFonts w:ascii="Arial" w:hAnsi="Arial" w:cs="Arial"/>
                <w:bCs/>
                <w:sz w:val="22"/>
                <w:szCs w:val="22"/>
              </w:rPr>
            </w:pPr>
          </w:p>
          <w:p w14:paraId="1653315F" w14:textId="77777777" w:rsidR="00AB414F" w:rsidRDefault="00AB414F" w:rsidP="008A30B8">
            <w:pPr>
              <w:pStyle w:val="NormalWeb"/>
              <w:spacing w:before="0" w:after="0"/>
              <w:ind w:right="-334"/>
              <w:rPr>
                <w:rFonts w:ascii="Arial" w:hAnsi="Arial" w:cs="Arial"/>
                <w:bCs/>
                <w:sz w:val="22"/>
                <w:szCs w:val="22"/>
              </w:rPr>
            </w:pPr>
          </w:p>
          <w:p w14:paraId="1099CA1A" w14:textId="77777777" w:rsidR="00AB414F" w:rsidRDefault="00AB414F" w:rsidP="008A30B8">
            <w:pPr>
              <w:pStyle w:val="NormalWeb"/>
              <w:spacing w:before="0" w:after="0"/>
              <w:ind w:right="-334"/>
              <w:rPr>
                <w:rFonts w:ascii="Arial" w:hAnsi="Arial" w:cs="Arial"/>
                <w:bCs/>
                <w:sz w:val="22"/>
                <w:szCs w:val="22"/>
              </w:rPr>
            </w:pPr>
          </w:p>
          <w:p w14:paraId="76EB10F2" w14:textId="77777777" w:rsidR="00AB414F" w:rsidRDefault="00AB414F" w:rsidP="008A30B8">
            <w:pPr>
              <w:pStyle w:val="NormalWeb"/>
              <w:spacing w:before="0" w:after="0"/>
              <w:ind w:right="-334"/>
              <w:rPr>
                <w:rFonts w:ascii="Arial" w:hAnsi="Arial" w:cs="Arial"/>
                <w:bCs/>
                <w:sz w:val="22"/>
                <w:szCs w:val="22"/>
              </w:rPr>
            </w:pPr>
          </w:p>
          <w:p w14:paraId="32F61B63" w14:textId="77777777" w:rsidR="00AB414F" w:rsidRDefault="00AB414F" w:rsidP="008A30B8">
            <w:pPr>
              <w:pStyle w:val="NormalWeb"/>
              <w:spacing w:before="0" w:after="0"/>
              <w:ind w:right="-334"/>
              <w:rPr>
                <w:rFonts w:ascii="Arial" w:hAnsi="Arial" w:cs="Arial"/>
                <w:bCs/>
                <w:sz w:val="22"/>
                <w:szCs w:val="22"/>
              </w:rPr>
            </w:pPr>
          </w:p>
          <w:p w14:paraId="26856807" w14:textId="77777777" w:rsidR="00AB414F" w:rsidRDefault="00AB414F" w:rsidP="008A30B8">
            <w:pPr>
              <w:pStyle w:val="NormalWeb"/>
              <w:spacing w:before="0" w:after="0"/>
              <w:ind w:right="-334"/>
              <w:rPr>
                <w:rFonts w:ascii="Arial" w:hAnsi="Arial" w:cs="Arial"/>
                <w:bCs/>
                <w:sz w:val="22"/>
                <w:szCs w:val="22"/>
              </w:rPr>
            </w:pPr>
          </w:p>
          <w:p w14:paraId="66F49DD2" w14:textId="77777777" w:rsidR="00AB414F" w:rsidRDefault="00AB414F" w:rsidP="008A30B8">
            <w:pPr>
              <w:pStyle w:val="NormalWeb"/>
              <w:spacing w:before="0" w:after="0"/>
              <w:ind w:right="-334"/>
              <w:rPr>
                <w:rFonts w:ascii="Arial" w:hAnsi="Arial" w:cs="Arial"/>
                <w:bCs/>
                <w:sz w:val="22"/>
                <w:szCs w:val="22"/>
              </w:rPr>
            </w:pPr>
          </w:p>
        </w:tc>
      </w:tr>
      <w:tr w:rsidR="00AB414F" w14:paraId="14A62E29" w14:textId="77777777" w:rsidTr="008A30B8">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230467FC" w14:textId="77777777" w:rsidR="00AB414F" w:rsidRDefault="00AB414F" w:rsidP="008A30B8">
            <w:pPr>
              <w:rPr>
                <w:rFonts w:ascii="Arial" w:hAnsi="Arial" w:cs="Arial"/>
              </w:rPr>
            </w:pPr>
            <w:r>
              <w:rPr>
                <w:rFonts w:ascii="Arial" w:hAnsi="Arial" w:cs="Arial"/>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7B15F6B3" w14:textId="77777777" w:rsidR="00AB414F" w:rsidRDefault="00AB414F" w:rsidP="008A30B8">
            <w:pPr>
              <w:rPr>
                <w:rFonts w:ascii="Arial" w:hAnsi="Arial" w:cs="Arial"/>
              </w:rPr>
            </w:pPr>
            <w:r>
              <w:rPr>
                <w:rFonts w:ascii="Arial" w:hAnsi="Arial" w:cs="Arial"/>
              </w:rPr>
              <w:t>Date:</w:t>
            </w:r>
          </w:p>
        </w:tc>
      </w:tr>
    </w:tbl>
    <w:p w14:paraId="46459B8F" w14:textId="77777777" w:rsidR="00AB414F" w:rsidRDefault="00AB414F" w:rsidP="00AB414F">
      <w:pPr>
        <w:pStyle w:val="NormalWeb"/>
        <w:spacing w:before="0" w:after="0"/>
        <w:ind w:right="-334"/>
        <w:rPr>
          <w:rFonts w:ascii="Trebuchet MS" w:hAnsi="Trebuchet MS" w:cs="Tahoma"/>
          <w:bCs/>
          <w:lang w:eastAsia="zh-CN"/>
        </w:rPr>
      </w:pPr>
    </w:p>
    <w:p w14:paraId="6AE96D9F" w14:textId="776D8D6B" w:rsidR="007A2D5A" w:rsidRPr="00AB1493" w:rsidRDefault="00AB414F" w:rsidP="00AB414F">
      <w:pPr>
        <w:rPr>
          <w:rFonts w:cs="Calibri"/>
          <w:sz w:val="24"/>
          <w:szCs w:val="24"/>
        </w:rPr>
      </w:pPr>
      <w:r>
        <w:rPr>
          <w:b/>
          <w:bCs/>
          <w:sz w:val="28"/>
          <w:szCs w:val="28"/>
        </w:rPr>
        <w:br w:type="page"/>
      </w:r>
      <w:r w:rsidR="002B45C4" w:rsidRPr="00EA571D">
        <w:rPr>
          <w:rFonts w:cs="Calibri"/>
          <w:sz w:val="28"/>
          <w:szCs w:val="28"/>
        </w:rPr>
        <w:lastRenderedPageBreak/>
        <w:t>Compare and contrast the various forms of Otherworld Journey in Chinese Tradition. How do these experiences relate to Shamanism and concepts of Soul in Chinese Religion</w:t>
      </w:r>
      <w:r w:rsidR="00EA571D">
        <w:rPr>
          <w:rFonts w:cs="Calibri"/>
          <w:sz w:val="24"/>
          <w:szCs w:val="24"/>
        </w:rPr>
        <w:t>?</w:t>
      </w:r>
      <w:r w:rsidR="003C300F" w:rsidRPr="00AB1493">
        <w:rPr>
          <w:rStyle w:val="FootnoteReference"/>
          <w:rFonts w:cs="Calibri"/>
          <w:sz w:val="24"/>
          <w:szCs w:val="24"/>
        </w:rPr>
        <w:footnoteReference w:id="1"/>
      </w:r>
    </w:p>
    <w:p w14:paraId="42DC9CD0" w14:textId="77777777" w:rsidR="00557A6C" w:rsidRPr="00AB1493" w:rsidRDefault="00557A6C">
      <w:pPr>
        <w:rPr>
          <w:rFonts w:cs="Calibri"/>
          <w:sz w:val="24"/>
          <w:szCs w:val="24"/>
        </w:rPr>
      </w:pPr>
    </w:p>
    <w:p w14:paraId="14EC6BD4" w14:textId="1D3445CC" w:rsidR="00C46CFE" w:rsidRPr="00AB1493" w:rsidRDefault="00CE2249" w:rsidP="00EA1AE2">
      <w:pPr>
        <w:spacing w:after="0" w:line="480" w:lineRule="auto"/>
        <w:rPr>
          <w:rFonts w:cs="Calibri"/>
          <w:sz w:val="24"/>
          <w:szCs w:val="24"/>
        </w:rPr>
      </w:pPr>
      <w:r w:rsidRPr="00AB1493">
        <w:rPr>
          <w:rFonts w:cs="Calibri"/>
          <w:sz w:val="24"/>
          <w:szCs w:val="24"/>
        </w:rPr>
        <w:t>Accounts of otherworld journeys are present in most cultures of the world.</w:t>
      </w:r>
      <w:r w:rsidR="00DE473C" w:rsidRPr="00AB1493">
        <w:rPr>
          <w:rStyle w:val="FootnoteReference"/>
          <w:rFonts w:cs="Calibri"/>
          <w:sz w:val="24"/>
          <w:szCs w:val="24"/>
        </w:rPr>
        <w:footnoteReference w:id="2"/>
      </w:r>
      <w:r w:rsidRPr="00AB1493">
        <w:rPr>
          <w:rFonts w:cs="Calibri"/>
          <w:sz w:val="24"/>
          <w:szCs w:val="24"/>
        </w:rPr>
        <w:t xml:space="preserve"> </w:t>
      </w:r>
      <w:r w:rsidR="00FE3822" w:rsidRPr="00AB1493">
        <w:rPr>
          <w:rFonts w:cs="Calibri"/>
          <w:sz w:val="24"/>
          <w:szCs w:val="24"/>
        </w:rPr>
        <w:t xml:space="preserve">In China, </w:t>
      </w:r>
      <w:r w:rsidR="00374DD6" w:rsidRPr="00AB1493">
        <w:rPr>
          <w:rFonts w:cs="Calibri"/>
          <w:sz w:val="24"/>
          <w:szCs w:val="24"/>
        </w:rPr>
        <w:t xml:space="preserve">many </w:t>
      </w:r>
      <w:r w:rsidR="00FE3822" w:rsidRPr="00AB1493">
        <w:rPr>
          <w:rFonts w:cs="Calibri"/>
          <w:sz w:val="24"/>
          <w:szCs w:val="24"/>
        </w:rPr>
        <w:t>records of otherworld encounters and experiences are part of a larger category of ‘anomaly accounts’:</w:t>
      </w:r>
      <w:r w:rsidR="00922743" w:rsidRPr="00AB1493">
        <w:rPr>
          <w:rStyle w:val="FootnoteReference"/>
          <w:rFonts w:cs="Calibri"/>
          <w:sz w:val="24"/>
          <w:szCs w:val="24"/>
        </w:rPr>
        <w:footnoteReference w:id="3"/>
      </w:r>
      <w:r w:rsidR="00FE3822" w:rsidRPr="00AB1493">
        <w:rPr>
          <w:rFonts w:cs="Calibri"/>
          <w:sz w:val="24"/>
          <w:szCs w:val="24"/>
        </w:rPr>
        <w:t xml:space="preserve"> Campany describes this literature as a ‘large and unwieldy body of texts’</w:t>
      </w:r>
      <w:r w:rsidR="00FE3822" w:rsidRPr="00AB1493">
        <w:rPr>
          <w:rStyle w:val="FootnoteReference"/>
          <w:rFonts w:cs="Calibri"/>
          <w:sz w:val="24"/>
          <w:szCs w:val="24"/>
        </w:rPr>
        <w:footnoteReference w:id="4"/>
      </w:r>
      <w:r w:rsidR="00FE3822" w:rsidRPr="00AB1493">
        <w:rPr>
          <w:rFonts w:cs="Calibri"/>
          <w:sz w:val="24"/>
          <w:szCs w:val="24"/>
        </w:rPr>
        <w:t>. The presentation of the ‘anomalies’ was not that of canonical text, but rather to persuade readers of their truth.</w:t>
      </w:r>
      <w:r w:rsidR="00FE3822" w:rsidRPr="00AB1493">
        <w:rPr>
          <w:rStyle w:val="FootnoteReference"/>
          <w:rFonts w:cs="Calibri"/>
          <w:sz w:val="24"/>
          <w:szCs w:val="24"/>
        </w:rPr>
        <w:footnoteReference w:id="5"/>
      </w:r>
      <w:r w:rsidR="00FE3822" w:rsidRPr="00AB1493">
        <w:rPr>
          <w:rFonts w:cs="Calibri"/>
          <w:sz w:val="24"/>
          <w:szCs w:val="24"/>
        </w:rPr>
        <w:t xml:space="preserve"> </w:t>
      </w:r>
      <w:r w:rsidR="0036581B" w:rsidRPr="00AB1493">
        <w:rPr>
          <w:rFonts w:cs="Calibri"/>
          <w:sz w:val="24"/>
          <w:szCs w:val="24"/>
        </w:rPr>
        <w:t>S</w:t>
      </w:r>
      <w:r w:rsidR="00374DD6" w:rsidRPr="00AB1493">
        <w:rPr>
          <w:rFonts w:cs="Calibri"/>
          <w:sz w:val="24"/>
          <w:szCs w:val="24"/>
        </w:rPr>
        <w:t>tories from Buddhist context</w:t>
      </w:r>
      <w:r w:rsidR="0036581B" w:rsidRPr="00AB1493">
        <w:rPr>
          <w:rFonts w:cs="Calibri"/>
          <w:sz w:val="24"/>
          <w:szCs w:val="24"/>
        </w:rPr>
        <w:t xml:space="preserve"> </w:t>
      </w:r>
      <w:r w:rsidR="00374DD6" w:rsidRPr="00AB1493">
        <w:rPr>
          <w:rFonts w:cs="Calibri"/>
          <w:sz w:val="24"/>
          <w:szCs w:val="24"/>
        </w:rPr>
        <w:t>may be intensely ‘religious’ in character</w:t>
      </w:r>
      <w:r w:rsidR="0036581B" w:rsidRPr="00AB1493">
        <w:rPr>
          <w:rFonts w:cs="Calibri"/>
          <w:sz w:val="24"/>
          <w:szCs w:val="24"/>
        </w:rPr>
        <w:t xml:space="preserve"> but </w:t>
      </w:r>
      <w:r w:rsidR="00374DD6" w:rsidRPr="00AB1493">
        <w:rPr>
          <w:rFonts w:cs="Calibri"/>
          <w:sz w:val="24"/>
          <w:szCs w:val="24"/>
        </w:rPr>
        <w:t>in China, by contrast with ‘the West’, an antagonism between secular and sacred seems largely absent.</w:t>
      </w:r>
      <w:r w:rsidR="0036581B" w:rsidRPr="00AB1493">
        <w:rPr>
          <w:rStyle w:val="FootnoteReference"/>
          <w:rFonts w:cs="Calibri"/>
          <w:sz w:val="24"/>
          <w:szCs w:val="24"/>
        </w:rPr>
        <w:footnoteReference w:id="6"/>
      </w:r>
      <w:r w:rsidR="00374DD6" w:rsidRPr="00AB1493">
        <w:rPr>
          <w:rFonts w:cs="Calibri"/>
          <w:sz w:val="24"/>
          <w:szCs w:val="24"/>
        </w:rPr>
        <w:t xml:space="preserve"> </w:t>
      </w:r>
      <w:r w:rsidR="00DE473C" w:rsidRPr="00AB1493">
        <w:rPr>
          <w:rFonts w:cs="Calibri"/>
          <w:sz w:val="24"/>
          <w:szCs w:val="24"/>
        </w:rPr>
        <w:t>Indeed, t</w:t>
      </w:r>
      <w:r w:rsidR="00374DD6" w:rsidRPr="00AB1493">
        <w:rPr>
          <w:rFonts w:cs="Calibri"/>
          <w:sz w:val="24"/>
          <w:szCs w:val="24"/>
        </w:rPr>
        <w:t>he</w:t>
      </w:r>
      <w:r w:rsidR="002B45C4" w:rsidRPr="00AB1493">
        <w:rPr>
          <w:rFonts w:cs="Calibri"/>
          <w:sz w:val="24"/>
          <w:szCs w:val="24"/>
        </w:rPr>
        <w:t xml:space="preserve"> otherworld</w:t>
      </w:r>
      <w:r w:rsidR="002825E5" w:rsidRPr="00AB1493">
        <w:rPr>
          <w:rFonts w:cs="Calibri"/>
          <w:sz w:val="24"/>
          <w:szCs w:val="24"/>
        </w:rPr>
        <w:t xml:space="preserve"> encounters and </w:t>
      </w:r>
      <w:r w:rsidR="002B45C4" w:rsidRPr="00AB1493">
        <w:rPr>
          <w:rFonts w:cs="Calibri"/>
          <w:sz w:val="24"/>
          <w:szCs w:val="24"/>
        </w:rPr>
        <w:t>journey</w:t>
      </w:r>
      <w:r w:rsidR="002825E5" w:rsidRPr="00AB1493">
        <w:rPr>
          <w:rFonts w:cs="Calibri"/>
          <w:sz w:val="24"/>
          <w:szCs w:val="24"/>
        </w:rPr>
        <w:t xml:space="preserve">s </w:t>
      </w:r>
      <w:r w:rsidR="00374DD6" w:rsidRPr="00AB1493">
        <w:rPr>
          <w:rFonts w:cs="Calibri"/>
          <w:sz w:val="24"/>
          <w:szCs w:val="24"/>
        </w:rPr>
        <w:t xml:space="preserve">of Chinese tradition </w:t>
      </w:r>
      <w:r w:rsidR="00C46CFE" w:rsidRPr="00AB1493">
        <w:rPr>
          <w:rFonts w:cs="Calibri"/>
          <w:sz w:val="24"/>
          <w:szCs w:val="24"/>
        </w:rPr>
        <w:t xml:space="preserve">may well be considered </w:t>
      </w:r>
      <w:r w:rsidR="002B45C4" w:rsidRPr="00AB1493">
        <w:rPr>
          <w:rFonts w:cs="Calibri"/>
          <w:sz w:val="24"/>
          <w:szCs w:val="24"/>
        </w:rPr>
        <w:t xml:space="preserve">‘normal’, </w:t>
      </w:r>
      <w:r w:rsidR="00C46CFE" w:rsidRPr="00AB1493">
        <w:rPr>
          <w:rFonts w:cs="Calibri"/>
          <w:sz w:val="24"/>
          <w:szCs w:val="24"/>
        </w:rPr>
        <w:t xml:space="preserve">a fundamental part of ‘culture’, </w:t>
      </w:r>
      <w:r w:rsidR="002B45C4" w:rsidRPr="00AB1493">
        <w:rPr>
          <w:rFonts w:cs="Calibri"/>
          <w:sz w:val="24"/>
          <w:szCs w:val="24"/>
        </w:rPr>
        <w:t>reported widely over a long period</w:t>
      </w:r>
      <w:r w:rsidR="002825E5" w:rsidRPr="00AB1493">
        <w:rPr>
          <w:rFonts w:cs="Calibri"/>
          <w:sz w:val="24"/>
          <w:szCs w:val="24"/>
        </w:rPr>
        <w:t xml:space="preserve"> of</w:t>
      </w:r>
      <w:r w:rsidR="002B45C4" w:rsidRPr="00AB1493">
        <w:rPr>
          <w:rFonts w:cs="Calibri"/>
          <w:sz w:val="24"/>
          <w:szCs w:val="24"/>
        </w:rPr>
        <w:t xml:space="preserve"> time</w:t>
      </w:r>
      <w:r w:rsidR="00C46CFE" w:rsidRPr="00AB1493">
        <w:rPr>
          <w:rFonts w:cs="Calibri"/>
          <w:sz w:val="24"/>
          <w:szCs w:val="24"/>
        </w:rPr>
        <w:t xml:space="preserve"> dating from the earliest literary materials, but they relate to</w:t>
      </w:r>
      <w:r w:rsidR="002B45C4" w:rsidRPr="00AB1493">
        <w:rPr>
          <w:rFonts w:cs="Calibri"/>
          <w:sz w:val="24"/>
          <w:szCs w:val="24"/>
        </w:rPr>
        <w:t xml:space="preserve"> ‘non-ordinary reality’</w:t>
      </w:r>
      <w:r w:rsidR="0036581B" w:rsidRPr="00AB1493">
        <w:rPr>
          <w:rFonts w:cs="Calibri"/>
          <w:sz w:val="24"/>
          <w:szCs w:val="24"/>
        </w:rPr>
        <w:t>.</w:t>
      </w:r>
      <w:r w:rsidR="0036581B" w:rsidRPr="00AB1493">
        <w:rPr>
          <w:rStyle w:val="FootnoteReference"/>
          <w:rFonts w:cs="Calibri"/>
          <w:sz w:val="24"/>
          <w:szCs w:val="24"/>
        </w:rPr>
        <w:t xml:space="preserve"> </w:t>
      </w:r>
      <w:r w:rsidR="0036581B" w:rsidRPr="00AB1493">
        <w:rPr>
          <w:rStyle w:val="FootnoteReference"/>
          <w:rFonts w:cs="Calibri"/>
          <w:sz w:val="24"/>
          <w:szCs w:val="24"/>
        </w:rPr>
        <w:footnoteReference w:id="7"/>
      </w:r>
      <w:r w:rsidR="00374DD6" w:rsidRPr="00AB1493">
        <w:rPr>
          <w:rFonts w:cs="Calibri"/>
          <w:sz w:val="24"/>
          <w:szCs w:val="24"/>
        </w:rPr>
        <w:t xml:space="preserve"> </w:t>
      </w:r>
      <w:r w:rsidR="0036581B" w:rsidRPr="00AB1493">
        <w:rPr>
          <w:rFonts w:cs="Calibri"/>
          <w:sz w:val="24"/>
          <w:szCs w:val="24"/>
        </w:rPr>
        <w:t>T</w:t>
      </w:r>
      <w:r w:rsidR="00C46CFE" w:rsidRPr="00AB1493">
        <w:rPr>
          <w:rFonts w:cs="Calibri"/>
          <w:sz w:val="24"/>
          <w:szCs w:val="24"/>
        </w:rPr>
        <w:t>hat this is</w:t>
      </w:r>
      <w:r w:rsidR="002B45C4" w:rsidRPr="00AB1493">
        <w:rPr>
          <w:rFonts w:cs="Calibri"/>
          <w:sz w:val="24"/>
          <w:szCs w:val="24"/>
        </w:rPr>
        <w:t xml:space="preserve"> </w:t>
      </w:r>
      <w:r w:rsidR="00DE473C" w:rsidRPr="00AB1493">
        <w:rPr>
          <w:rFonts w:cs="Calibri"/>
          <w:sz w:val="24"/>
          <w:szCs w:val="24"/>
        </w:rPr>
        <w:t xml:space="preserve">undeniably </w:t>
      </w:r>
      <w:r w:rsidR="002B45C4" w:rsidRPr="00AB1493">
        <w:rPr>
          <w:rFonts w:cs="Calibri"/>
          <w:sz w:val="24"/>
          <w:szCs w:val="24"/>
        </w:rPr>
        <w:t>‘reality’, rather than delusion, has unavoidable consequences for concepts of religion and spirituality.</w:t>
      </w:r>
      <w:r w:rsidR="00374DD6" w:rsidRPr="00AB1493">
        <w:rPr>
          <w:rStyle w:val="FootnoteReference"/>
          <w:rFonts w:cs="Calibri"/>
          <w:sz w:val="24"/>
          <w:szCs w:val="24"/>
        </w:rPr>
        <w:t xml:space="preserve"> </w:t>
      </w:r>
    </w:p>
    <w:p w14:paraId="2D811109" w14:textId="77777777" w:rsidR="00374DD6" w:rsidRPr="00AB1493" w:rsidRDefault="00374DD6" w:rsidP="00EA1AE2">
      <w:pPr>
        <w:spacing w:after="0" w:line="480" w:lineRule="auto"/>
        <w:rPr>
          <w:rFonts w:cs="Calibri"/>
          <w:sz w:val="24"/>
          <w:szCs w:val="24"/>
        </w:rPr>
      </w:pPr>
    </w:p>
    <w:p w14:paraId="43A150F1" w14:textId="4B3D92EA" w:rsidR="00DF3255" w:rsidRPr="00AB1493" w:rsidRDefault="008946AF" w:rsidP="00EA1AE2">
      <w:pPr>
        <w:spacing w:after="0" w:line="480" w:lineRule="auto"/>
        <w:rPr>
          <w:rFonts w:cs="Calibri"/>
          <w:sz w:val="24"/>
          <w:szCs w:val="24"/>
        </w:rPr>
      </w:pPr>
      <w:r w:rsidRPr="00AB1493">
        <w:rPr>
          <w:rFonts w:cs="Calibri"/>
          <w:sz w:val="24"/>
          <w:szCs w:val="24"/>
        </w:rPr>
        <w:t>Zaleski writes that the ‘voyage to the underworld…</w:t>
      </w:r>
      <w:r w:rsidR="00DE473C" w:rsidRPr="00AB1493">
        <w:rPr>
          <w:rFonts w:cs="Calibri"/>
          <w:sz w:val="24"/>
          <w:szCs w:val="24"/>
        </w:rPr>
        <w:t xml:space="preserve">is </w:t>
      </w:r>
      <w:r w:rsidRPr="00AB1493">
        <w:rPr>
          <w:rFonts w:cs="Calibri"/>
          <w:sz w:val="24"/>
          <w:szCs w:val="24"/>
        </w:rPr>
        <w:t>often</w:t>
      </w:r>
      <w:r w:rsidR="00C55FF3" w:rsidRPr="00AB1493">
        <w:rPr>
          <w:rFonts w:cs="Calibri"/>
          <w:sz w:val="24"/>
          <w:szCs w:val="24"/>
        </w:rPr>
        <w:t xml:space="preserve"> associated with initiatory death and rebirth</w:t>
      </w:r>
      <w:r w:rsidRPr="00AB1493">
        <w:rPr>
          <w:rFonts w:cs="Calibri"/>
          <w:sz w:val="24"/>
          <w:szCs w:val="24"/>
        </w:rPr>
        <w:t>”</w:t>
      </w:r>
      <w:r w:rsidRPr="00AB1493">
        <w:rPr>
          <w:rStyle w:val="FootnoteReference"/>
          <w:rFonts w:cs="Calibri"/>
          <w:sz w:val="24"/>
          <w:szCs w:val="24"/>
        </w:rPr>
        <w:footnoteReference w:id="8"/>
      </w:r>
      <w:r w:rsidRPr="00AB1493">
        <w:rPr>
          <w:rFonts w:cs="Calibri"/>
          <w:sz w:val="24"/>
          <w:szCs w:val="24"/>
        </w:rPr>
        <w:t xml:space="preserve"> and further than i</w:t>
      </w:r>
      <w:r w:rsidR="00C55FF3" w:rsidRPr="00AB1493">
        <w:rPr>
          <w:rFonts w:cs="Calibri"/>
          <w:sz w:val="24"/>
          <w:szCs w:val="24"/>
        </w:rPr>
        <w:t xml:space="preserve">n many societies </w:t>
      </w:r>
      <w:r w:rsidRPr="00AB1493">
        <w:rPr>
          <w:rFonts w:cs="Calibri"/>
          <w:sz w:val="24"/>
          <w:szCs w:val="24"/>
        </w:rPr>
        <w:t>“</w:t>
      </w:r>
      <w:r w:rsidR="00C55FF3" w:rsidRPr="00AB1493">
        <w:rPr>
          <w:rFonts w:cs="Calibri"/>
          <w:sz w:val="24"/>
          <w:szCs w:val="24"/>
        </w:rPr>
        <w:t>ritual and spiritual practice aimed at achieving transcendence</w:t>
      </w:r>
      <w:r w:rsidRPr="00AB1493">
        <w:rPr>
          <w:rFonts w:cs="Calibri"/>
          <w:sz w:val="24"/>
          <w:szCs w:val="24"/>
        </w:rPr>
        <w:t>” s</w:t>
      </w:r>
      <w:r w:rsidR="00C55FF3" w:rsidRPr="00AB1493">
        <w:rPr>
          <w:rFonts w:cs="Calibri"/>
          <w:sz w:val="24"/>
          <w:szCs w:val="24"/>
        </w:rPr>
        <w:t>eek</w:t>
      </w:r>
      <w:r w:rsidRPr="00AB1493">
        <w:rPr>
          <w:rFonts w:cs="Calibri"/>
          <w:sz w:val="24"/>
          <w:szCs w:val="24"/>
        </w:rPr>
        <w:t>s</w:t>
      </w:r>
      <w:r w:rsidR="00C55FF3" w:rsidRPr="00AB1493">
        <w:rPr>
          <w:rFonts w:cs="Calibri"/>
          <w:sz w:val="24"/>
          <w:szCs w:val="24"/>
        </w:rPr>
        <w:t xml:space="preserve"> a heavenly journey.</w:t>
      </w:r>
      <w:r w:rsidRPr="00AB1493">
        <w:rPr>
          <w:rStyle w:val="FootnoteReference"/>
          <w:rFonts w:cs="Calibri"/>
          <w:sz w:val="24"/>
          <w:szCs w:val="24"/>
        </w:rPr>
        <w:footnoteReference w:id="9"/>
      </w:r>
      <w:r w:rsidR="00C55FF3" w:rsidRPr="00AB1493">
        <w:rPr>
          <w:rFonts w:cs="Calibri"/>
          <w:sz w:val="24"/>
          <w:szCs w:val="24"/>
        </w:rPr>
        <w:t xml:space="preserve"> </w:t>
      </w:r>
      <w:r w:rsidR="0070640B" w:rsidRPr="00AB1493">
        <w:rPr>
          <w:rFonts w:cs="Calibri"/>
          <w:sz w:val="24"/>
          <w:szCs w:val="24"/>
        </w:rPr>
        <w:t xml:space="preserve">She argues that, despite being “neither so lofty as celestial ascent not so profound as descent into the abyss” that </w:t>
      </w:r>
      <w:r w:rsidR="00C55FF3" w:rsidRPr="00AB1493">
        <w:rPr>
          <w:rFonts w:cs="Calibri"/>
          <w:sz w:val="24"/>
          <w:szCs w:val="24"/>
        </w:rPr>
        <w:t>‘fantastic voyage</w:t>
      </w:r>
      <w:r w:rsidR="0070640B" w:rsidRPr="00AB1493">
        <w:rPr>
          <w:rFonts w:cs="Calibri"/>
          <w:sz w:val="24"/>
          <w:szCs w:val="24"/>
        </w:rPr>
        <w:t xml:space="preserve">s’ </w:t>
      </w:r>
      <w:r w:rsidR="00F21D43" w:rsidRPr="00AB1493">
        <w:rPr>
          <w:rFonts w:cs="Calibri"/>
          <w:sz w:val="24"/>
          <w:szCs w:val="24"/>
        </w:rPr>
        <w:t>are</w:t>
      </w:r>
      <w:r w:rsidR="0070640B" w:rsidRPr="00AB1493">
        <w:rPr>
          <w:rFonts w:cs="Calibri"/>
          <w:sz w:val="24"/>
          <w:szCs w:val="24"/>
        </w:rPr>
        <w:t xml:space="preserve"> also </w:t>
      </w:r>
      <w:r w:rsidR="00C55FF3" w:rsidRPr="00AB1493">
        <w:rPr>
          <w:rFonts w:cs="Calibri"/>
          <w:sz w:val="24"/>
          <w:szCs w:val="24"/>
        </w:rPr>
        <w:t>otherworld travel</w:t>
      </w:r>
      <w:r w:rsidR="0070640B" w:rsidRPr="00AB1493">
        <w:rPr>
          <w:rFonts w:cs="Calibri"/>
          <w:sz w:val="24"/>
          <w:szCs w:val="24"/>
        </w:rPr>
        <w:t>.</w:t>
      </w:r>
      <w:r w:rsidR="0070640B" w:rsidRPr="00AB1493">
        <w:rPr>
          <w:rStyle w:val="FootnoteReference"/>
          <w:rFonts w:cs="Calibri"/>
          <w:sz w:val="24"/>
          <w:szCs w:val="24"/>
        </w:rPr>
        <w:footnoteReference w:id="10"/>
      </w:r>
      <w:r w:rsidR="00DE473C" w:rsidRPr="00AB1493">
        <w:rPr>
          <w:rFonts w:cs="Calibri"/>
          <w:sz w:val="24"/>
          <w:szCs w:val="24"/>
        </w:rPr>
        <w:t xml:space="preserve"> McClenon brings into question the ‘cultural source’ theory</w:t>
      </w:r>
      <w:r w:rsidR="00DF3255" w:rsidRPr="00AB1493">
        <w:rPr>
          <w:rFonts w:cs="Calibri"/>
          <w:sz w:val="24"/>
          <w:szCs w:val="24"/>
        </w:rPr>
        <w:t xml:space="preserve"> and criticises academic response to </w:t>
      </w:r>
      <w:r w:rsidR="00F21D43" w:rsidRPr="00AB1493">
        <w:rPr>
          <w:rFonts w:cs="Calibri"/>
          <w:sz w:val="24"/>
          <w:szCs w:val="24"/>
        </w:rPr>
        <w:t>‘</w:t>
      </w:r>
      <w:r w:rsidR="00DF3255" w:rsidRPr="00AB1493">
        <w:rPr>
          <w:rFonts w:cs="Calibri"/>
          <w:sz w:val="24"/>
          <w:szCs w:val="24"/>
        </w:rPr>
        <w:t>anomalous experiences</w:t>
      </w:r>
      <w:r w:rsidR="00F21D43" w:rsidRPr="00AB1493">
        <w:rPr>
          <w:rFonts w:cs="Calibri"/>
          <w:sz w:val="24"/>
          <w:szCs w:val="24"/>
        </w:rPr>
        <w:t>’</w:t>
      </w:r>
      <w:r w:rsidR="00DF3255" w:rsidRPr="00AB1493">
        <w:rPr>
          <w:rFonts w:cs="Calibri"/>
          <w:sz w:val="24"/>
          <w:szCs w:val="24"/>
        </w:rPr>
        <w:t>:</w:t>
      </w:r>
    </w:p>
    <w:p w14:paraId="3D478A09" w14:textId="79B6A345" w:rsidR="00C55FF3" w:rsidRPr="00AB1493" w:rsidRDefault="00DF3255" w:rsidP="002E02E5">
      <w:pPr>
        <w:spacing w:after="240" w:line="240" w:lineRule="auto"/>
        <w:ind w:left="720"/>
        <w:rPr>
          <w:rFonts w:cs="Calibri"/>
          <w:sz w:val="24"/>
          <w:szCs w:val="24"/>
        </w:rPr>
      </w:pPr>
      <w:r w:rsidRPr="00AB1493">
        <w:rPr>
          <w:rFonts w:cs="Calibri"/>
          <w:sz w:val="24"/>
          <w:szCs w:val="24"/>
        </w:rPr>
        <w:t>because the cultural source hypothesis aligns so closely with the ethic of scientific skepticism regarding the supernatural, scholars frequently depart from normal academic standards, relying on a priori reasoning regarding what is “real” and “possible”</w:t>
      </w:r>
      <w:r w:rsidRPr="00AB1493">
        <w:rPr>
          <w:rStyle w:val="FootnoteReference"/>
          <w:rFonts w:cs="Calibri"/>
          <w:sz w:val="24"/>
          <w:szCs w:val="24"/>
        </w:rPr>
        <w:t xml:space="preserve"> </w:t>
      </w:r>
      <w:r w:rsidRPr="00AB1493">
        <w:rPr>
          <w:rStyle w:val="FootnoteReference"/>
          <w:rFonts w:cs="Calibri"/>
          <w:sz w:val="24"/>
          <w:szCs w:val="24"/>
        </w:rPr>
        <w:footnoteReference w:id="11"/>
      </w:r>
    </w:p>
    <w:p w14:paraId="0982AD31" w14:textId="59675609" w:rsidR="00096105" w:rsidRPr="00AB1493" w:rsidRDefault="00DF3255" w:rsidP="00EA1AE2">
      <w:pPr>
        <w:spacing w:after="0" w:line="480" w:lineRule="auto"/>
        <w:rPr>
          <w:rFonts w:cs="Calibri"/>
          <w:sz w:val="24"/>
          <w:szCs w:val="24"/>
        </w:rPr>
      </w:pPr>
      <w:r w:rsidRPr="00AB1493">
        <w:rPr>
          <w:rFonts w:cs="Calibri"/>
          <w:sz w:val="24"/>
          <w:szCs w:val="24"/>
        </w:rPr>
        <w:t xml:space="preserve">For this writer, </w:t>
      </w:r>
      <w:r w:rsidR="00096105" w:rsidRPr="00AB1493">
        <w:rPr>
          <w:rFonts w:cs="Calibri"/>
          <w:sz w:val="24"/>
          <w:szCs w:val="24"/>
        </w:rPr>
        <w:t>a</w:t>
      </w:r>
      <w:r w:rsidRPr="00AB1493">
        <w:rPr>
          <w:rFonts w:cs="Calibri"/>
          <w:sz w:val="24"/>
          <w:szCs w:val="24"/>
        </w:rPr>
        <w:t xml:space="preserve">ll </w:t>
      </w:r>
      <w:r w:rsidR="00F21D43" w:rsidRPr="00AB1493">
        <w:rPr>
          <w:rFonts w:cs="Calibri"/>
          <w:sz w:val="24"/>
          <w:szCs w:val="24"/>
        </w:rPr>
        <w:t xml:space="preserve">stories of </w:t>
      </w:r>
      <w:r w:rsidR="00096105" w:rsidRPr="00AB1493">
        <w:rPr>
          <w:rFonts w:cs="Calibri"/>
          <w:sz w:val="24"/>
          <w:szCs w:val="24"/>
        </w:rPr>
        <w:t xml:space="preserve">otherworld travel should be considered </w:t>
      </w:r>
      <w:r w:rsidRPr="00AB1493">
        <w:rPr>
          <w:rFonts w:cs="Calibri"/>
          <w:sz w:val="24"/>
          <w:szCs w:val="24"/>
        </w:rPr>
        <w:t>fundamentally shamanic</w:t>
      </w:r>
      <w:r w:rsidR="00096105" w:rsidRPr="00AB1493">
        <w:rPr>
          <w:rFonts w:cs="Calibri"/>
          <w:sz w:val="24"/>
          <w:szCs w:val="24"/>
        </w:rPr>
        <w:t>.</w:t>
      </w:r>
      <w:r w:rsidR="00566453">
        <w:rPr>
          <w:rStyle w:val="FootnoteReference"/>
          <w:rFonts w:cs="Calibri"/>
          <w:sz w:val="24"/>
          <w:szCs w:val="24"/>
        </w:rPr>
        <w:footnoteReference w:id="12"/>
      </w:r>
      <w:r w:rsidR="00096105" w:rsidRPr="00AB1493">
        <w:rPr>
          <w:rFonts w:cs="Calibri"/>
          <w:sz w:val="24"/>
          <w:szCs w:val="24"/>
        </w:rPr>
        <w:t xml:space="preserve"> </w:t>
      </w:r>
      <w:r w:rsidR="00933F21">
        <w:rPr>
          <w:rFonts w:cs="Calibri"/>
          <w:sz w:val="24"/>
          <w:szCs w:val="24"/>
        </w:rPr>
        <w:t>Intermediacy between the worlds is the shamans’ task: E</w:t>
      </w:r>
      <w:r w:rsidR="009E09D7" w:rsidRPr="00AB1493">
        <w:rPr>
          <w:rFonts w:cs="Calibri"/>
          <w:sz w:val="24"/>
          <w:szCs w:val="24"/>
        </w:rPr>
        <w:t>liade defines the</w:t>
      </w:r>
      <w:r w:rsidR="00933F21">
        <w:rPr>
          <w:rFonts w:cs="Calibri"/>
          <w:sz w:val="24"/>
          <w:szCs w:val="24"/>
        </w:rPr>
        <w:t>ir</w:t>
      </w:r>
      <w:r w:rsidR="009E09D7" w:rsidRPr="00AB1493">
        <w:rPr>
          <w:rFonts w:cs="Calibri"/>
          <w:sz w:val="24"/>
          <w:szCs w:val="24"/>
        </w:rPr>
        <w:t xml:space="preserve"> speciality </w:t>
      </w:r>
      <w:r w:rsidR="0036581B" w:rsidRPr="00AB1493">
        <w:rPr>
          <w:rFonts w:cs="Calibri"/>
          <w:sz w:val="24"/>
          <w:szCs w:val="24"/>
        </w:rPr>
        <w:t>a</w:t>
      </w:r>
      <w:r w:rsidR="009E09D7" w:rsidRPr="00AB1493">
        <w:rPr>
          <w:rFonts w:cs="Calibri"/>
          <w:sz w:val="24"/>
          <w:szCs w:val="24"/>
        </w:rPr>
        <w:t>s to “ascend to the sky or descend to the underworld”.</w:t>
      </w:r>
      <w:r w:rsidR="009E09D7" w:rsidRPr="00AB1493">
        <w:rPr>
          <w:rStyle w:val="FootnoteReference"/>
          <w:rFonts w:cs="Calibri"/>
          <w:sz w:val="24"/>
          <w:szCs w:val="24"/>
        </w:rPr>
        <w:footnoteReference w:id="13"/>
      </w:r>
      <w:r w:rsidR="009E09D7" w:rsidRPr="00AB1493">
        <w:rPr>
          <w:rFonts w:cs="Calibri"/>
          <w:sz w:val="24"/>
          <w:szCs w:val="24"/>
        </w:rPr>
        <w:t xml:space="preserve"> He further argued China as abounding in examples of magical flight, and the term ‘flight’ itself as a “plastic term for ecstasy”.</w:t>
      </w:r>
      <w:r w:rsidR="00C27701" w:rsidRPr="00AB1493">
        <w:rPr>
          <w:rStyle w:val="FootnoteReference"/>
          <w:rFonts w:cs="Calibri"/>
          <w:sz w:val="24"/>
          <w:szCs w:val="24"/>
        </w:rPr>
        <w:footnoteReference w:id="14"/>
      </w:r>
      <w:r w:rsidR="009E09D7" w:rsidRPr="00AB1493">
        <w:rPr>
          <w:rFonts w:cs="Calibri"/>
          <w:sz w:val="24"/>
          <w:szCs w:val="24"/>
        </w:rPr>
        <w:t xml:space="preserve"> E</w:t>
      </w:r>
      <w:r w:rsidR="00096105" w:rsidRPr="00AB1493">
        <w:rPr>
          <w:rFonts w:cs="Calibri"/>
          <w:sz w:val="24"/>
          <w:szCs w:val="24"/>
        </w:rPr>
        <w:t xml:space="preserve">ven the modern explicitly literary otherworld stories should be considered </w:t>
      </w:r>
      <w:r w:rsidR="00096105" w:rsidRPr="00AB1493">
        <w:rPr>
          <w:rFonts w:cs="Calibri"/>
          <w:sz w:val="24"/>
          <w:szCs w:val="24"/>
        </w:rPr>
        <w:lastRenderedPageBreak/>
        <w:t>directly inspired by a long history of shamanic and visionary experience. One of the standard academic strategies criticising ‘shamanic’ interpretations is to define ‘shamanism’ closely by the archetype provided in the Siberian Tungus culture, so that any differing phenomenology can be rejected.</w:t>
      </w:r>
      <w:r w:rsidR="00F122DD" w:rsidRPr="00AB1493">
        <w:rPr>
          <w:rStyle w:val="FootnoteReference"/>
          <w:rFonts w:cs="Calibri"/>
          <w:sz w:val="24"/>
          <w:szCs w:val="24"/>
        </w:rPr>
        <w:footnoteReference w:id="15"/>
      </w:r>
      <w:r w:rsidR="00096105" w:rsidRPr="00AB1493">
        <w:rPr>
          <w:rFonts w:cs="Calibri"/>
          <w:sz w:val="24"/>
          <w:szCs w:val="24"/>
        </w:rPr>
        <w:t xml:space="preserve"> This essay </w:t>
      </w:r>
      <w:r w:rsidR="00C27701" w:rsidRPr="00AB1493">
        <w:rPr>
          <w:rFonts w:cs="Calibri"/>
          <w:sz w:val="24"/>
          <w:szCs w:val="24"/>
        </w:rPr>
        <w:t>by contrast utilises a wide definition of the term</w:t>
      </w:r>
      <w:r w:rsidR="00BD32EB" w:rsidRPr="00AB1493">
        <w:rPr>
          <w:rFonts w:cs="Calibri"/>
          <w:sz w:val="24"/>
          <w:szCs w:val="24"/>
        </w:rPr>
        <w:t>.</w:t>
      </w:r>
      <w:r w:rsidR="00BD32EB" w:rsidRPr="00AB1493">
        <w:rPr>
          <w:rStyle w:val="FootnoteReference"/>
          <w:rFonts w:cs="Calibri"/>
          <w:sz w:val="24"/>
          <w:szCs w:val="24"/>
        </w:rPr>
        <w:footnoteReference w:id="16"/>
      </w:r>
      <w:r w:rsidR="00BD32EB" w:rsidRPr="00AB1493">
        <w:rPr>
          <w:rFonts w:cs="Calibri"/>
          <w:sz w:val="24"/>
          <w:szCs w:val="24"/>
        </w:rPr>
        <w:t xml:space="preserve"> The Chinese term </w:t>
      </w:r>
      <w:r w:rsidR="00BD32EB" w:rsidRPr="00AB1493">
        <w:rPr>
          <w:rFonts w:cs="Calibri"/>
          <w:i/>
          <w:iCs/>
          <w:sz w:val="24"/>
          <w:szCs w:val="24"/>
        </w:rPr>
        <w:t>wu</w:t>
      </w:r>
      <w:r w:rsidR="00BD32EB" w:rsidRPr="00AB1493">
        <w:rPr>
          <w:rFonts w:cs="Calibri"/>
          <w:sz w:val="24"/>
          <w:szCs w:val="24"/>
        </w:rPr>
        <w:t xml:space="preserve"> is usually translated as ‘shaman’ but remains subject to criticism.</w:t>
      </w:r>
      <w:r w:rsidR="00BD32EB" w:rsidRPr="00AB1493">
        <w:rPr>
          <w:rStyle w:val="FootnoteReference"/>
          <w:rFonts w:cs="Calibri"/>
          <w:sz w:val="24"/>
          <w:szCs w:val="24"/>
        </w:rPr>
        <w:footnoteReference w:id="17"/>
      </w:r>
      <w:r w:rsidR="00BD32EB" w:rsidRPr="00AB1493">
        <w:rPr>
          <w:rFonts w:cs="Calibri"/>
          <w:sz w:val="24"/>
          <w:szCs w:val="24"/>
        </w:rPr>
        <w:t xml:space="preserve"> It</w:t>
      </w:r>
      <w:r w:rsidR="00C27701" w:rsidRPr="00AB1493">
        <w:rPr>
          <w:rFonts w:cs="Calibri"/>
          <w:sz w:val="24"/>
          <w:szCs w:val="24"/>
        </w:rPr>
        <w:t xml:space="preserve"> </w:t>
      </w:r>
      <w:r w:rsidR="00096105" w:rsidRPr="00AB1493">
        <w:rPr>
          <w:rFonts w:cs="Calibri"/>
          <w:sz w:val="24"/>
          <w:szCs w:val="24"/>
        </w:rPr>
        <w:t xml:space="preserve">will </w:t>
      </w:r>
      <w:r w:rsidR="00BD32EB" w:rsidRPr="00AB1493">
        <w:rPr>
          <w:rFonts w:cs="Calibri"/>
          <w:sz w:val="24"/>
          <w:szCs w:val="24"/>
        </w:rPr>
        <w:t xml:space="preserve">be </w:t>
      </w:r>
      <w:r w:rsidR="00096105" w:rsidRPr="00AB1493">
        <w:rPr>
          <w:rFonts w:cs="Calibri"/>
          <w:sz w:val="24"/>
          <w:szCs w:val="24"/>
        </w:rPr>
        <w:t>argue</w:t>
      </w:r>
      <w:r w:rsidR="00BD32EB" w:rsidRPr="00AB1493">
        <w:rPr>
          <w:rFonts w:cs="Calibri"/>
          <w:sz w:val="24"/>
          <w:szCs w:val="24"/>
        </w:rPr>
        <w:t>d</w:t>
      </w:r>
      <w:r w:rsidR="00096105" w:rsidRPr="00AB1493">
        <w:rPr>
          <w:rFonts w:cs="Calibri"/>
          <w:sz w:val="24"/>
          <w:szCs w:val="24"/>
        </w:rPr>
        <w:t xml:space="preserve"> that the Chinese context provide</w:t>
      </w:r>
      <w:r w:rsidR="00BD32EB" w:rsidRPr="00AB1493">
        <w:rPr>
          <w:rFonts w:cs="Calibri"/>
          <w:sz w:val="24"/>
          <w:szCs w:val="24"/>
        </w:rPr>
        <w:t>s</w:t>
      </w:r>
      <w:r w:rsidR="00096105" w:rsidRPr="00AB1493">
        <w:rPr>
          <w:rFonts w:cs="Calibri"/>
          <w:sz w:val="24"/>
          <w:szCs w:val="24"/>
        </w:rPr>
        <w:t xml:space="preserve"> a </w:t>
      </w:r>
      <w:r w:rsidR="00BD32EB" w:rsidRPr="00AB1493">
        <w:rPr>
          <w:rFonts w:cs="Calibri"/>
          <w:sz w:val="24"/>
          <w:szCs w:val="24"/>
        </w:rPr>
        <w:t xml:space="preserve">form </w:t>
      </w:r>
      <w:r w:rsidR="00096105" w:rsidRPr="00AB1493">
        <w:rPr>
          <w:rFonts w:cs="Calibri"/>
          <w:sz w:val="24"/>
          <w:szCs w:val="24"/>
        </w:rPr>
        <w:t xml:space="preserve">positively different </w:t>
      </w:r>
      <w:r w:rsidR="00BD32EB" w:rsidRPr="00AB1493">
        <w:rPr>
          <w:rFonts w:cs="Calibri"/>
          <w:sz w:val="24"/>
          <w:szCs w:val="24"/>
        </w:rPr>
        <w:t xml:space="preserve">from the ‘classic’ but </w:t>
      </w:r>
      <w:r w:rsidR="00096105" w:rsidRPr="00AB1493">
        <w:rPr>
          <w:rFonts w:cs="Calibri"/>
          <w:sz w:val="24"/>
          <w:szCs w:val="24"/>
        </w:rPr>
        <w:t>that is nonetheless shamanism.</w:t>
      </w:r>
    </w:p>
    <w:p w14:paraId="449F8F8E" w14:textId="77777777" w:rsidR="001C241A" w:rsidRPr="00AB1493" w:rsidRDefault="001C241A" w:rsidP="00EA1AE2">
      <w:pPr>
        <w:spacing w:after="0" w:line="480" w:lineRule="auto"/>
        <w:rPr>
          <w:rFonts w:cs="Calibri"/>
          <w:sz w:val="24"/>
          <w:szCs w:val="24"/>
        </w:rPr>
      </w:pPr>
    </w:p>
    <w:p w14:paraId="3F6D9DFE" w14:textId="5175F077" w:rsidR="007A2D5A" w:rsidRPr="00AB1493" w:rsidRDefault="002B45C4" w:rsidP="00EA1AE2">
      <w:pPr>
        <w:spacing w:after="0" w:line="480" w:lineRule="auto"/>
        <w:rPr>
          <w:rFonts w:cs="Calibri"/>
          <w:sz w:val="24"/>
          <w:szCs w:val="24"/>
        </w:rPr>
      </w:pPr>
      <w:r w:rsidRPr="00AB1493">
        <w:rPr>
          <w:rFonts w:cs="Calibri"/>
          <w:sz w:val="24"/>
          <w:szCs w:val="24"/>
        </w:rPr>
        <w:t xml:space="preserve">A major form of otherworld journey narrated in China is the narrative of visiting and returning from </w:t>
      </w:r>
      <w:r w:rsidR="00486702" w:rsidRPr="00AB1493">
        <w:rPr>
          <w:rFonts w:cs="Calibri"/>
          <w:sz w:val="24"/>
          <w:szCs w:val="24"/>
        </w:rPr>
        <w:t xml:space="preserve">an </w:t>
      </w:r>
      <w:r w:rsidR="008A2381">
        <w:rPr>
          <w:rFonts w:cs="Calibri"/>
          <w:sz w:val="24"/>
          <w:szCs w:val="24"/>
        </w:rPr>
        <w:t>afterlife-</w:t>
      </w:r>
      <w:r w:rsidR="00486702" w:rsidRPr="00AB1493">
        <w:rPr>
          <w:rFonts w:cs="Calibri"/>
          <w:sz w:val="24"/>
          <w:szCs w:val="24"/>
        </w:rPr>
        <w:t xml:space="preserve">otherworld </w:t>
      </w:r>
      <w:r w:rsidRPr="00AB1493">
        <w:rPr>
          <w:rFonts w:cs="Calibri"/>
          <w:sz w:val="24"/>
          <w:szCs w:val="24"/>
        </w:rPr>
        <w:t>after apparent ‘death’</w:t>
      </w:r>
      <w:r w:rsidR="00486702" w:rsidRPr="00AB1493">
        <w:rPr>
          <w:rFonts w:cs="Calibri"/>
          <w:sz w:val="24"/>
          <w:szCs w:val="24"/>
        </w:rPr>
        <w:t>, a</w:t>
      </w:r>
      <w:r w:rsidR="00F21D43" w:rsidRPr="00AB1493">
        <w:rPr>
          <w:rFonts w:cs="Calibri"/>
          <w:sz w:val="24"/>
          <w:szCs w:val="24"/>
        </w:rPr>
        <w:t xml:space="preserve"> Near Death Experience (N</w:t>
      </w:r>
      <w:r w:rsidR="00486702" w:rsidRPr="00AB1493">
        <w:rPr>
          <w:rFonts w:cs="Calibri"/>
          <w:sz w:val="24"/>
          <w:szCs w:val="24"/>
        </w:rPr>
        <w:t>DE</w:t>
      </w:r>
      <w:r w:rsidR="00F21D43" w:rsidRPr="00AB1493">
        <w:rPr>
          <w:rFonts w:cs="Calibri"/>
          <w:sz w:val="24"/>
          <w:szCs w:val="24"/>
        </w:rPr>
        <w:t>)</w:t>
      </w:r>
      <w:r w:rsidR="00486702" w:rsidRPr="00AB1493">
        <w:rPr>
          <w:rFonts w:cs="Calibri"/>
          <w:sz w:val="24"/>
          <w:szCs w:val="24"/>
        </w:rPr>
        <w:t xml:space="preserve"> in modern terminology</w:t>
      </w:r>
      <w:r w:rsidRPr="00AB1493">
        <w:rPr>
          <w:rFonts w:cs="Calibri"/>
          <w:sz w:val="24"/>
          <w:szCs w:val="24"/>
        </w:rPr>
        <w:t xml:space="preserve">. In general, </w:t>
      </w:r>
      <w:r w:rsidR="00F21D43" w:rsidRPr="00AB1493">
        <w:rPr>
          <w:rFonts w:cs="Calibri"/>
          <w:sz w:val="24"/>
          <w:szCs w:val="24"/>
        </w:rPr>
        <w:t>Chinese accounts</w:t>
      </w:r>
      <w:r w:rsidRPr="00AB1493">
        <w:rPr>
          <w:rFonts w:cs="Calibri"/>
          <w:sz w:val="24"/>
          <w:szCs w:val="24"/>
        </w:rPr>
        <w:t xml:space="preserve"> </w:t>
      </w:r>
      <w:r w:rsidR="00486702" w:rsidRPr="00AB1493">
        <w:rPr>
          <w:rFonts w:cs="Calibri"/>
          <w:sz w:val="24"/>
          <w:szCs w:val="24"/>
        </w:rPr>
        <w:t xml:space="preserve">seems to </w:t>
      </w:r>
      <w:r w:rsidR="00F21D43" w:rsidRPr="00AB1493">
        <w:rPr>
          <w:rFonts w:cs="Calibri"/>
          <w:sz w:val="24"/>
          <w:szCs w:val="24"/>
        </w:rPr>
        <w:t xml:space="preserve">involve </w:t>
      </w:r>
      <w:r w:rsidRPr="00AB1493">
        <w:rPr>
          <w:rFonts w:cs="Calibri"/>
          <w:sz w:val="24"/>
          <w:szCs w:val="24"/>
        </w:rPr>
        <w:t>some sort of involuntary coma or catalepsy with minimal pulse or other life signs, but which would not constitute ‘brain death’ for modern medical</w:t>
      </w:r>
      <w:r w:rsidR="006008E5" w:rsidRPr="00AB1493">
        <w:rPr>
          <w:rFonts w:cs="Calibri"/>
          <w:sz w:val="24"/>
          <w:szCs w:val="24"/>
        </w:rPr>
        <w:t xml:space="preserve"> understanding</w:t>
      </w:r>
      <w:r w:rsidRPr="00AB1493">
        <w:rPr>
          <w:rFonts w:cs="Calibri"/>
          <w:sz w:val="24"/>
          <w:szCs w:val="24"/>
        </w:rPr>
        <w:t>. For example, the story of He Yu says that he “fell ill and unconscious – only a place beneath his heart remained warm”.</w:t>
      </w:r>
      <w:r w:rsidRPr="00AB1493">
        <w:rPr>
          <w:rStyle w:val="FootnoteReference"/>
          <w:rFonts w:cs="Calibri"/>
          <w:sz w:val="24"/>
          <w:szCs w:val="24"/>
        </w:rPr>
        <w:footnoteReference w:id="18"/>
      </w:r>
      <w:r w:rsidRPr="00AB1493">
        <w:rPr>
          <w:rFonts w:cs="Calibri"/>
          <w:sz w:val="24"/>
          <w:szCs w:val="24"/>
        </w:rPr>
        <w:t xml:space="preserve"> </w:t>
      </w:r>
      <w:r w:rsidR="006008E5" w:rsidRPr="00AB1493">
        <w:rPr>
          <w:rFonts w:cs="Calibri"/>
          <w:sz w:val="24"/>
          <w:szCs w:val="24"/>
        </w:rPr>
        <w:t>A couple of</w:t>
      </w:r>
      <w:r w:rsidRPr="00AB1493">
        <w:rPr>
          <w:rFonts w:cs="Calibri"/>
          <w:sz w:val="24"/>
          <w:szCs w:val="24"/>
        </w:rPr>
        <w:t xml:space="preserve"> report</w:t>
      </w:r>
      <w:r w:rsidR="006008E5" w:rsidRPr="00AB1493">
        <w:rPr>
          <w:rFonts w:cs="Calibri"/>
          <w:sz w:val="24"/>
          <w:szCs w:val="24"/>
        </w:rPr>
        <w:t>s</w:t>
      </w:r>
      <w:r w:rsidRPr="00AB1493">
        <w:rPr>
          <w:rFonts w:cs="Calibri"/>
          <w:sz w:val="24"/>
          <w:szCs w:val="24"/>
        </w:rPr>
        <w:t xml:space="preserve"> do imply ‘actual death</w:t>
      </w:r>
      <w:r w:rsidR="00225EDD" w:rsidRPr="00AB1493">
        <w:rPr>
          <w:rFonts w:cs="Calibri"/>
          <w:sz w:val="24"/>
          <w:szCs w:val="24"/>
        </w:rPr>
        <w:t>’</w:t>
      </w:r>
      <w:r w:rsidR="006008E5" w:rsidRPr="00AB1493">
        <w:rPr>
          <w:rFonts w:cs="Calibri"/>
          <w:sz w:val="24"/>
          <w:szCs w:val="24"/>
        </w:rPr>
        <w:t>: in one</w:t>
      </w:r>
      <w:r w:rsidRPr="00AB1493">
        <w:rPr>
          <w:rFonts w:cs="Calibri"/>
          <w:sz w:val="24"/>
          <w:szCs w:val="24"/>
        </w:rPr>
        <w:t xml:space="preserve"> the returnee, Li Qing, </w:t>
      </w:r>
      <w:r w:rsidR="0092796C" w:rsidRPr="00AB1493">
        <w:rPr>
          <w:rFonts w:cs="Calibri"/>
          <w:sz w:val="24"/>
          <w:szCs w:val="24"/>
        </w:rPr>
        <w:t xml:space="preserve">is </w:t>
      </w:r>
      <w:r w:rsidRPr="00AB1493">
        <w:rPr>
          <w:rFonts w:cs="Calibri"/>
          <w:sz w:val="24"/>
          <w:szCs w:val="24"/>
        </w:rPr>
        <w:t>reluctant to re-</w:t>
      </w:r>
      <w:r w:rsidRPr="00AB1493">
        <w:rPr>
          <w:rFonts w:cs="Calibri"/>
          <w:sz w:val="24"/>
          <w:szCs w:val="24"/>
        </w:rPr>
        <w:lastRenderedPageBreak/>
        <w:t>enter his corpse because of its ‘stench’</w:t>
      </w:r>
      <w:r w:rsidR="008A2381">
        <w:rPr>
          <w:rFonts w:cs="Calibri"/>
          <w:sz w:val="24"/>
          <w:szCs w:val="24"/>
        </w:rPr>
        <w:t>.</w:t>
      </w:r>
      <w:r w:rsidRPr="00AB1493">
        <w:rPr>
          <w:rStyle w:val="FootnoteReference"/>
          <w:rFonts w:cs="Calibri"/>
          <w:sz w:val="24"/>
          <w:szCs w:val="24"/>
        </w:rPr>
        <w:footnoteReference w:id="19"/>
      </w:r>
      <w:r w:rsidRPr="00AB1493">
        <w:rPr>
          <w:rFonts w:cs="Calibri"/>
          <w:sz w:val="24"/>
          <w:szCs w:val="24"/>
        </w:rPr>
        <w:t xml:space="preserve"> </w:t>
      </w:r>
      <w:r w:rsidR="008A2381">
        <w:rPr>
          <w:rFonts w:cs="Calibri"/>
          <w:sz w:val="24"/>
          <w:szCs w:val="24"/>
        </w:rPr>
        <w:t>A</w:t>
      </w:r>
      <w:r w:rsidR="006008E5" w:rsidRPr="00AB1493">
        <w:rPr>
          <w:rFonts w:cs="Calibri"/>
          <w:sz w:val="24"/>
          <w:szCs w:val="24"/>
        </w:rPr>
        <w:t xml:space="preserve">nother, </w:t>
      </w:r>
      <w:r w:rsidRPr="00AB1493">
        <w:rPr>
          <w:rFonts w:cs="Calibri"/>
          <w:sz w:val="24"/>
          <w:szCs w:val="24"/>
        </w:rPr>
        <w:t xml:space="preserve">of Gan Qing of the Jin dynasty has exactly the same phrase about the heart, </w:t>
      </w:r>
      <w:r w:rsidR="006008E5" w:rsidRPr="00AB1493">
        <w:rPr>
          <w:rFonts w:cs="Calibri"/>
          <w:sz w:val="24"/>
          <w:szCs w:val="24"/>
        </w:rPr>
        <w:t xml:space="preserve">and </w:t>
      </w:r>
      <w:r w:rsidRPr="00AB1493">
        <w:rPr>
          <w:rFonts w:cs="Calibri"/>
          <w:sz w:val="24"/>
          <w:szCs w:val="24"/>
        </w:rPr>
        <w:t>also says that due to hot weather the corpse began to decay.</w:t>
      </w:r>
      <w:r w:rsidRPr="00AB1493">
        <w:rPr>
          <w:rStyle w:val="FootnoteReference"/>
          <w:rFonts w:cs="Calibri"/>
          <w:sz w:val="24"/>
          <w:szCs w:val="24"/>
        </w:rPr>
        <w:footnoteReference w:id="20"/>
      </w:r>
    </w:p>
    <w:p w14:paraId="327A78FD" w14:textId="77777777" w:rsidR="00F21D43" w:rsidRPr="00AB1493" w:rsidRDefault="00F21D43" w:rsidP="00EA1AE2">
      <w:pPr>
        <w:spacing w:after="0" w:line="480" w:lineRule="auto"/>
        <w:rPr>
          <w:rFonts w:cs="Calibri"/>
          <w:sz w:val="24"/>
          <w:szCs w:val="24"/>
        </w:rPr>
      </w:pPr>
    </w:p>
    <w:p w14:paraId="1F803DA2" w14:textId="1D290DFF" w:rsidR="00F21D43" w:rsidRPr="00AB1493" w:rsidRDefault="00F21D43" w:rsidP="00EA1AE2">
      <w:pPr>
        <w:spacing w:after="0" w:line="480" w:lineRule="auto"/>
        <w:rPr>
          <w:rFonts w:cs="Calibri"/>
          <w:sz w:val="24"/>
          <w:szCs w:val="24"/>
        </w:rPr>
      </w:pPr>
      <w:r w:rsidRPr="00AB1493">
        <w:rPr>
          <w:rFonts w:cs="Calibri"/>
          <w:sz w:val="24"/>
          <w:szCs w:val="24"/>
        </w:rPr>
        <w:t>Two stories were recorded by Sima Qian in his account of the physician Bian Que.</w:t>
      </w:r>
      <w:r w:rsidRPr="00AB1493">
        <w:rPr>
          <w:rStyle w:val="FootnoteReference"/>
          <w:rFonts w:cs="Calibri"/>
          <w:sz w:val="24"/>
          <w:szCs w:val="24"/>
        </w:rPr>
        <w:footnoteReference w:id="21"/>
      </w:r>
      <w:r w:rsidRPr="00AB1493">
        <w:rPr>
          <w:rFonts w:cs="Calibri"/>
          <w:sz w:val="24"/>
          <w:szCs w:val="24"/>
        </w:rPr>
        <w:t xml:space="preserve"> Dating back to the 5</w:t>
      </w:r>
      <w:r w:rsidRPr="00AB1493">
        <w:rPr>
          <w:rFonts w:cs="Calibri"/>
          <w:sz w:val="24"/>
          <w:szCs w:val="24"/>
          <w:vertAlign w:val="superscript"/>
        </w:rPr>
        <w:t>th</w:t>
      </w:r>
      <w:r w:rsidRPr="00AB1493">
        <w:rPr>
          <w:rFonts w:cs="Calibri"/>
          <w:sz w:val="24"/>
          <w:szCs w:val="24"/>
        </w:rPr>
        <w:t xml:space="preserve"> and 6</w:t>
      </w:r>
      <w:r w:rsidRPr="00AB1493">
        <w:rPr>
          <w:rFonts w:cs="Calibri"/>
          <w:sz w:val="24"/>
          <w:szCs w:val="24"/>
          <w:vertAlign w:val="superscript"/>
        </w:rPr>
        <w:t>th</w:t>
      </w:r>
      <w:r w:rsidRPr="00AB1493">
        <w:rPr>
          <w:rFonts w:cs="Calibri"/>
          <w:sz w:val="24"/>
          <w:szCs w:val="24"/>
        </w:rPr>
        <w:t xml:space="preserve"> centuries BCE these are the “world’s earliest extant medically documented NDEs”: their perspectives must be considered ‘authentically ancient Chinese’, prior to any Buddhist or Daoist </w:t>
      </w:r>
      <w:r w:rsidR="0092796C" w:rsidRPr="00AB1493">
        <w:rPr>
          <w:rFonts w:cs="Calibri"/>
          <w:sz w:val="24"/>
          <w:szCs w:val="24"/>
        </w:rPr>
        <w:t>‘</w:t>
      </w:r>
      <w:r w:rsidRPr="00AB1493">
        <w:rPr>
          <w:rFonts w:cs="Calibri"/>
          <w:sz w:val="24"/>
          <w:szCs w:val="24"/>
        </w:rPr>
        <w:t>influence</w:t>
      </w:r>
      <w:r w:rsidR="0092796C" w:rsidRPr="00AB1493">
        <w:rPr>
          <w:rFonts w:cs="Calibri"/>
          <w:sz w:val="24"/>
          <w:szCs w:val="24"/>
        </w:rPr>
        <w:t>’</w:t>
      </w:r>
      <w:r w:rsidRPr="00AB1493">
        <w:rPr>
          <w:rFonts w:cs="Calibri"/>
          <w:sz w:val="24"/>
          <w:szCs w:val="24"/>
        </w:rPr>
        <w:t>.</w:t>
      </w:r>
      <w:r w:rsidR="0092796C" w:rsidRPr="00AB1493">
        <w:rPr>
          <w:rStyle w:val="FootnoteReference"/>
          <w:rFonts w:cs="Calibri"/>
          <w:sz w:val="24"/>
          <w:szCs w:val="24"/>
        </w:rPr>
        <w:t xml:space="preserve"> </w:t>
      </w:r>
      <w:r w:rsidR="0092796C" w:rsidRPr="00AB1493">
        <w:rPr>
          <w:rStyle w:val="FootnoteReference"/>
          <w:rFonts w:cs="Calibri"/>
          <w:sz w:val="24"/>
          <w:szCs w:val="24"/>
        </w:rPr>
        <w:footnoteReference w:id="22"/>
      </w:r>
      <w:r w:rsidRPr="00AB1493">
        <w:rPr>
          <w:rFonts w:cs="Calibri"/>
          <w:sz w:val="24"/>
          <w:szCs w:val="24"/>
        </w:rPr>
        <w:t xml:space="preserve"> Bian Que, with a reputation of success with patients thought close to death, was called to tend to Zhao Jian Zi, a senior minister in the state of Jin, who had been unconscious for several days. Bian Que had an awareness of this type of </w:t>
      </w:r>
      <w:r w:rsidR="0092796C" w:rsidRPr="00AB1493">
        <w:rPr>
          <w:rFonts w:cs="Calibri"/>
          <w:sz w:val="24"/>
          <w:szCs w:val="24"/>
        </w:rPr>
        <w:t>sickness</w:t>
      </w:r>
      <w:r w:rsidRPr="00AB1493">
        <w:rPr>
          <w:rFonts w:cs="Calibri"/>
          <w:sz w:val="24"/>
          <w:szCs w:val="24"/>
        </w:rPr>
        <w:t>, citing the case of Duke Mu of Chin in coma for seven days, from a century or so prior, but clearly well-known.</w:t>
      </w:r>
      <w:r w:rsidR="008A2381">
        <w:rPr>
          <w:rStyle w:val="FootnoteReference"/>
          <w:rFonts w:cs="Calibri"/>
          <w:sz w:val="24"/>
          <w:szCs w:val="24"/>
        </w:rPr>
        <w:footnoteReference w:id="23"/>
      </w:r>
      <w:r w:rsidRPr="00AB1493">
        <w:rPr>
          <w:rFonts w:cs="Calibri"/>
          <w:sz w:val="24"/>
          <w:szCs w:val="24"/>
        </w:rPr>
        <w:t xml:space="preserve"> Bian Que seems to have expected an NDE revelation, saying that when the coma eases “he is bound to have something to tell”. Two days later, Jian Zi obliges, reporting</w:t>
      </w:r>
      <w:r w:rsidR="001C241A" w:rsidRPr="00AB1493">
        <w:rPr>
          <w:rFonts w:cs="Calibri"/>
          <w:sz w:val="24"/>
          <w:szCs w:val="24"/>
        </w:rPr>
        <w:t>:</w:t>
      </w:r>
    </w:p>
    <w:p w14:paraId="15C9316B" w14:textId="21A4E770" w:rsidR="00F21D43" w:rsidRPr="00AB1493" w:rsidRDefault="00F21D43" w:rsidP="00EA1AE2">
      <w:pPr>
        <w:spacing w:after="240" w:line="240" w:lineRule="auto"/>
        <w:ind w:left="720"/>
        <w:rPr>
          <w:rFonts w:cs="Calibri"/>
          <w:sz w:val="24"/>
          <w:szCs w:val="24"/>
        </w:rPr>
      </w:pPr>
      <w:r w:rsidRPr="00AB1493">
        <w:rPr>
          <w:rFonts w:cs="Calibri"/>
          <w:sz w:val="24"/>
          <w:szCs w:val="24"/>
        </w:rPr>
        <w:t>I have been to the supreme being, and it was very blissful. I travelled with hundreds of spirits through the turning heavens. There was far sounding music in nine renditions with a myriad dances</w:t>
      </w:r>
      <w:r w:rsidR="00EA1AE2">
        <w:rPr>
          <w:rStyle w:val="FootnoteReference"/>
          <w:rFonts w:cs="Calibri"/>
          <w:sz w:val="24"/>
          <w:szCs w:val="24"/>
        </w:rPr>
        <w:footnoteReference w:id="24"/>
      </w:r>
      <w:r w:rsidR="0092796C" w:rsidRPr="00AB1493">
        <w:rPr>
          <w:rFonts w:cs="Calibri"/>
          <w:sz w:val="24"/>
          <w:szCs w:val="24"/>
        </w:rPr>
        <w:t xml:space="preserve"> </w:t>
      </w:r>
    </w:p>
    <w:p w14:paraId="5EC3237E" w14:textId="00BCDB54" w:rsidR="00C9649E" w:rsidRPr="00AB1493" w:rsidRDefault="00F21D43" w:rsidP="00EA1AE2">
      <w:pPr>
        <w:spacing w:after="0" w:line="480" w:lineRule="auto"/>
        <w:rPr>
          <w:rFonts w:cs="Calibri"/>
          <w:sz w:val="24"/>
          <w:szCs w:val="24"/>
        </w:rPr>
      </w:pPr>
      <w:r w:rsidRPr="00AB1493">
        <w:rPr>
          <w:rFonts w:cs="Calibri"/>
          <w:sz w:val="24"/>
          <w:szCs w:val="24"/>
        </w:rPr>
        <w:t xml:space="preserve">Jian Zi also seems to have experienced a sort of challenge before returning: “there was a bear that wanted to take hold of me, and the supreme being ordered me to shoot it”. </w:t>
      </w:r>
      <w:r w:rsidRPr="00AB1493">
        <w:rPr>
          <w:rFonts w:cs="Calibri"/>
          <w:sz w:val="24"/>
          <w:szCs w:val="24"/>
        </w:rPr>
        <w:lastRenderedPageBreak/>
        <w:t>Another ‘mottled’ bear subsequently attacks him and is also killed.</w:t>
      </w:r>
      <w:r w:rsidRPr="00AB1493">
        <w:rPr>
          <w:rStyle w:val="FootnoteReference"/>
          <w:rFonts w:cs="Calibri"/>
          <w:sz w:val="24"/>
          <w:szCs w:val="24"/>
        </w:rPr>
        <w:footnoteReference w:id="25"/>
      </w:r>
      <w:r w:rsidRPr="00AB1493">
        <w:rPr>
          <w:rFonts w:cs="Calibri"/>
          <w:sz w:val="24"/>
          <w:szCs w:val="24"/>
        </w:rPr>
        <w:t xml:space="preserve"> The experience is entirely a ‘heavenly’ or ‘upperworld’ experience, with no judgement or punishment, </w:t>
      </w:r>
      <w:r w:rsidR="0092796C" w:rsidRPr="00AB1493">
        <w:rPr>
          <w:rFonts w:cs="Calibri"/>
          <w:sz w:val="24"/>
          <w:szCs w:val="24"/>
        </w:rPr>
        <w:t xml:space="preserve">unless </w:t>
      </w:r>
      <w:r w:rsidRPr="00AB1493">
        <w:rPr>
          <w:rFonts w:cs="Calibri"/>
          <w:sz w:val="24"/>
          <w:szCs w:val="24"/>
        </w:rPr>
        <w:t>the bears</w:t>
      </w:r>
      <w:r w:rsidR="0092796C" w:rsidRPr="00AB1493">
        <w:rPr>
          <w:rFonts w:cs="Calibri"/>
          <w:sz w:val="24"/>
          <w:szCs w:val="24"/>
        </w:rPr>
        <w:t xml:space="preserve"> are so considered</w:t>
      </w:r>
      <w:r w:rsidRPr="00AB1493">
        <w:rPr>
          <w:rFonts w:cs="Calibri"/>
          <w:sz w:val="24"/>
          <w:szCs w:val="24"/>
        </w:rPr>
        <w:t>.</w:t>
      </w:r>
      <w:r w:rsidR="00091875" w:rsidRPr="00AB1493">
        <w:rPr>
          <w:rStyle w:val="FootnoteReference"/>
          <w:rFonts w:cs="Calibri"/>
          <w:sz w:val="24"/>
          <w:szCs w:val="24"/>
        </w:rPr>
        <w:t xml:space="preserve"> </w:t>
      </w:r>
      <w:r w:rsidR="002E02E5" w:rsidRPr="00AB1493">
        <w:rPr>
          <w:rFonts w:cs="Calibri"/>
          <w:sz w:val="24"/>
          <w:szCs w:val="24"/>
        </w:rPr>
        <w:t>It may be noted however that in some cultures an encounter and embrace with Bear is fundamentally one of spiritual healing.</w:t>
      </w:r>
      <w:r w:rsidR="002E02E5" w:rsidRPr="00AB1493">
        <w:rPr>
          <w:rStyle w:val="FootnoteReference"/>
          <w:rFonts w:cs="Calibri"/>
          <w:sz w:val="24"/>
          <w:szCs w:val="24"/>
        </w:rPr>
        <w:footnoteReference w:id="26"/>
      </w:r>
      <w:r w:rsidR="002E02E5" w:rsidRPr="00AB1493">
        <w:rPr>
          <w:rFonts w:cs="Calibri"/>
          <w:sz w:val="24"/>
          <w:szCs w:val="24"/>
        </w:rPr>
        <w:t>.</w:t>
      </w:r>
    </w:p>
    <w:p w14:paraId="627986DF" w14:textId="7F35759C" w:rsidR="00F21D43" w:rsidRPr="00AB1493" w:rsidRDefault="00F21D43" w:rsidP="00EA1AE2">
      <w:pPr>
        <w:spacing w:after="0" w:line="480" w:lineRule="auto"/>
        <w:rPr>
          <w:rFonts w:cs="Calibri"/>
          <w:sz w:val="24"/>
          <w:szCs w:val="24"/>
        </w:rPr>
      </w:pPr>
    </w:p>
    <w:p w14:paraId="6B381145" w14:textId="50D4B8D0" w:rsidR="00F21D43" w:rsidRPr="00AB1493" w:rsidRDefault="00F21D43" w:rsidP="00EA1AE2">
      <w:pPr>
        <w:spacing w:after="0" w:line="480" w:lineRule="auto"/>
        <w:rPr>
          <w:rFonts w:cs="Calibri"/>
          <w:sz w:val="24"/>
          <w:szCs w:val="24"/>
        </w:rPr>
      </w:pPr>
      <w:r w:rsidRPr="00AB1493">
        <w:rPr>
          <w:rFonts w:cs="Calibri"/>
          <w:sz w:val="24"/>
          <w:szCs w:val="24"/>
        </w:rPr>
        <w:t>Sima Qian’s presentation is somewhat different from most other NDE accounts in Chinese literature, by being linked to medical practice, rather than considered more directly as ‘religion’ or more vaguely as ‘folklore’: it is not possible to tell how such reports were appreciated by contemporaries.</w:t>
      </w:r>
      <w:r w:rsidR="00EF2AE7" w:rsidRPr="00AB1493">
        <w:rPr>
          <w:rStyle w:val="FootnoteReference"/>
          <w:rFonts w:cs="Calibri"/>
          <w:sz w:val="24"/>
          <w:szCs w:val="24"/>
        </w:rPr>
        <w:footnoteReference w:id="27"/>
      </w:r>
      <w:r w:rsidRPr="00AB1493">
        <w:rPr>
          <w:rFonts w:cs="Calibri"/>
          <w:sz w:val="24"/>
          <w:szCs w:val="24"/>
        </w:rPr>
        <w:t xml:space="preserve"> Poo similarly cites a ‘resurrection story’ of “ a man named Tan” dating back to the Warring States period, arguing “the idea of resurrection, however, should be viewed as having a long prehistory in the everyday religion of ancient China”.</w:t>
      </w:r>
      <w:r w:rsidRPr="00AB1493">
        <w:rPr>
          <w:rStyle w:val="FootnoteReference"/>
          <w:rFonts w:cs="Calibri"/>
          <w:sz w:val="24"/>
          <w:szCs w:val="24"/>
        </w:rPr>
        <w:footnoteReference w:id="28"/>
      </w:r>
      <w:r w:rsidRPr="00AB1493">
        <w:rPr>
          <w:rFonts w:cs="Calibri"/>
          <w:sz w:val="24"/>
          <w:szCs w:val="24"/>
        </w:rPr>
        <w:t xml:space="preserve"> </w:t>
      </w:r>
    </w:p>
    <w:p w14:paraId="05A18F59" w14:textId="77777777" w:rsidR="00853498" w:rsidRPr="00AB1493" w:rsidRDefault="00853498" w:rsidP="00EA1AE2">
      <w:pPr>
        <w:spacing w:after="0" w:line="480" w:lineRule="auto"/>
        <w:rPr>
          <w:rFonts w:cs="Calibri"/>
          <w:sz w:val="24"/>
          <w:szCs w:val="24"/>
        </w:rPr>
      </w:pPr>
    </w:p>
    <w:p w14:paraId="5C6C2E2D" w14:textId="536DE754" w:rsidR="00F21D43" w:rsidRPr="00AB1493" w:rsidRDefault="00F21D43" w:rsidP="00EA1AE2">
      <w:pPr>
        <w:spacing w:after="0" w:line="480" w:lineRule="auto"/>
        <w:rPr>
          <w:rFonts w:cs="Calibri"/>
          <w:sz w:val="24"/>
          <w:szCs w:val="24"/>
        </w:rPr>
      </w:pPr>
      <w:r w:rsidRPr="00AB1493">
        <w:rPr>
          <w:rFonts w:cs="Calibri"/>
          <w:sz w:val="24"/>
          <w:szCs w:val="24"/>
        </w:rPr>
        <w:t xml:space="preserve">The story of Yu noted above similarly involves a summons to a specific otherworld office and financial interaction with a deceased girl and her family that provides </w:t>
      </w:r>
      <w:r w:rsidR="00853498" w:rsidRPr="00AB1493">
        <w:rPr>
          <w:rFonts w:cs="Calibri"/>
          <w:sz w:val="24"/>
          <w:szCs w:val="24"/>
        </w:rPr>
        <w:t>corroboration</w:t>
      </w:r>
      <w:r w:rsidRPr="00AB1493">
        <w:rPr>
          <w:rFonts w:cs="Calibri"/>
          <w:sz w:val="24"/>
          <w:szCs w:val="24"/>
        </w:rPr>
        <w:t xml:space="preserve"> for the experience as genuine.</w:t>
      </w:r>
      <w:r w:rsidRPr="00AB1493">
        <w:rPr>
          <w:rStyle w:val="FootnoteReference"/>
          <w:rFonts w:cs="Calibri"/>
          <w:sz w:val="24"/>
          <w:szCs w:val="24"/>
        </w:rPr>
        <w:footnoteReference w:id="29"/>
      </w:r>
      <w:r w:rsidRPr="00AB1493">
        <w:rPr>
          <w:rFonts w:cs="Calibri"/>
          <w:sz w:val="24"/>
          <w:szCs w:val="24"/>
        </w:rPr>
        <w:t xml:space="preserve"> Gan Qing, also noted above, has a less pleasant experience, ordered to an underworld prison, roped and shackled. The idea of the ‘earth prison’ (</w:t>
      </w:r>
      <w:proofErr w:type="spellStart"/>
      <w:r w:rsidRPr="00AB1493">
        <w:rPr>
          <w:rFonts w:cs="Calibri"/>
          <w:i/>
          <w:iCs/>
          <w:sz w:val="24"/>
          <w:szCs w:val="24"/>
        </w:rPr>
        <w:t>diyu</w:t>
      </w:r>
      <w:proofErr w:type="spellEnd"/>
      <w:r w:rsidRPr="00AB1493">
        <w:rPr>
          <w:rFonts w:cs="Calibri"/>
          <w:sz w:val="24"/>
          <w:szCs w:val="24"/>
        </w:rPr>
        <w:t xml:space="preserve">, also ‘Earth Mansion’) seems a mixture of traditional Chinese concepts with those of both Buddhist and Daoist character. Gan Qing is fortunate to encounter one Wu Meng, originator of the Daoist Way of Purity and Brightness, apparently well-known to the underworld </w:t>
      </w:r>
      <w:r w:rsidRPr="00AB1493">
        <w:rPr>
          <w:rFonts w:cs="Calibri"/>
          <w:sz w:val="24"/>
          <w:szCs w:val="24"/>
        </w:rPr>
        <w:lastRenderedPageBreak/>
        <w:t>officials, who successfully pleads for his release.</w:t>
      </w:r>
      <w:r w:rsidRPr="00AB1493">
        <w:rPr>
          <w:rStyle w:val="FootnoteReference"/>
          <w:rFonts w:cs="Calibri"/>
          <w:sz w:val="24"/>
          <w:szCs w:val="24"/>
        </w:rPr>
        <w:footnoteReference w:id="30"/>
      </w:r>
      <w:r w:rsidRPr="00AB1493">
        <w:rPr>
          <w:rFonts w:cs="Calibri"/>
          <w:sz w:val="24"/>
          <w:szCs w:val="24"/>
        </w:rPr>
        <w:t xml:space="preserve"> </w:t>
      </w:r>
      <w:r w:rsidRPr="00AB1493">
        <w:rPr>
          <w:rFonts w:cs="Calibri"/>
          <w:i/>
          <w:iCs/>
          <w:sz w:val="24"/>
          <w:szCs w:val="24"/>
        </w:rPr>
        <w:t>Diyu</w:t>
      </w:r>
      <w:r w:rsidRPr="00AB1493">
        <w:rPr>
          <w:rFonts w:cs="Calibri"/>
          <w:sz w:val="24"/>
          <w:szCs w:val="24"/>
        </w:rPr>
        <w:t xml:space="preserve"> appears to be a place of time-restricted punishment rather than one of eternal damnation.</w:t>
      </w:r>
      <w:r w:rsidRPr="00AB1493">
        <w:rPr>
          <w:rStyle w:val="FootnoteReference"/>
          <w:rFonts w:cs="Calibri"/>
          <w:sz w:val="24"/>
          <w:szCs w:val="24"/>
        </w:rPr>
        <w:footnoteReference w:id="31"/>
      </w:r>
    </w:p>
    <w:p w14:paraId="01B25BDA" w14:textId="77777777" w:rsidR="00F21D43" w:rsidRPr="00AB1493" w:rsidRDefault="00F21D43" w:rsidP="00EA1AE2">
      <w:pPr>
        <w:spacing w:after="0" w:line="480" w:lineRule="auto"/>
        <w:rPr>
          <w:rFonts w:cs="Calibri"/>
          <w:sz w:val="24"/>
          <w:szCs w:val="24"/>
        </w:rPr>
      </w:pPr>
    </w:p>
    <w:p w14:paraId="4E1F1217" w14:textId="69C6E2ED" w:rsidR="0092796C" w:rsidRPr="00AB1493" w:rsidRDefault="002B45C4" w:rsidP="00EA1AE2">
      <w:pPr>
        <w:spacing w:after="0" w:line="480" w:lineRule="auto"/>
        <w:rPr>
          <w:rFonts w:cs="Calibri"/>
          <w:sz w:val="24"/>
          <w:szCs w:val="24"/>
        </w:rPr>
      </w:pPr>
      <w:r w:rsidRPr="00AB1493">
        <w:rPr>
          <w:rFonts w:cs="Calibri"/>
          <w:sz w:val="24"/>
          <w:szCs w:val="24"/>
        </w:rPr>
        <w:t>In China, a major theme of the afterlife-otherworld is its ‘worldliness’: a hierarchical bureaucracy of officials controls it, summoning the living at the appropriate time with complex record-keeping, detailed in great books.</w:t>
      </w:r>
      <w:r w:rsidRPr="00AB1493">
        <w:rPr>
          <w:rStyle w:val="FootnoteReference"/>
          <w:rFonts w:cs="Calibri"/>
          <w:sz w:val="24"/>
          <w:szCs w:val="24"/>
        </w:rPr>
        <w:footnoteReference w:id="32"/>
      </w:r>
      <w:r w:rsidRPr="00AB1493">
        <w:rPr>
          <w:rFonts w:cs="Calibri"/>
          <w:sz w:val="24"/>
          <w:szCs w:val="24"/>
        </w:rPr>
        <w:t xml:space="preserve"> Occasionally, the living are summoned to fill exactly the same post as in life.</w:t>
      </w:r>
      <w:r w:rsidRPr="00AB1493">
        <w:rPr>
          <w:rStyle w:val="FootnoteReference"/>
          <w:rFonts w:cs="Calibri"/>
          <w:sz w:val="24"/>
          <w:szCs w:val="24"/>
        </w:rPr>
        <w:footnoteReference w:id="33"/>
      </w:r>
      <w:r w:rsidRPr="00AB1493">
        <w:rPr>
          <w:rFonts w:cs="Calibri"/>
          <w:sz w:val="24"/>
          <w:szCs w:val="24"/>
        </w:rPr>
        <w:t xml:space="preserve"> An example citing an unnamed “man from </w:t>
      </w:r>
      <w:proofErr w:type="spellStart"/>
      <w:r w:rsidRPr="00AB1493">
        <w:rPr>
          <w:rFonts w:cs="Calibri"/>
          <w:sz w:val="24"/>
          <w:szCs w:val="24"/>
        </w:rPr>
        <w:t>Qu’e</w:t>
      </w:r>
      <w:proofErr w:type="spellEnd"/>
      <w:r w:rsidRPr="00AB1493">
        <w:rPr>
          <w:rFonts w:cs="Calibri"/>
          <w:sz w:val="24"/>
          <w:szCs w:val="24"/>
        </w:rPr>
        <w:t>” has him assigned a post to the Duke of Thunder when no other ‘vacancies’ exist, returning to life after “new orders”. All this naturally this provides for the occasional escape when the summons is ‘mistaken’, resulting in a ‘return from death’. The case of Li Qing above falls into this category.</w:t>
      </w:r>
      <w:r w:rsidR="00CA1CC7" w:rsidRPr="00AB1493">
        <w:rPr>
          <w:rFonts w:cs="Calibri"/>
          <w:sz w:val="24"/>
          <w:szCs w:val="24"/>
        </w:rPr>
        <w:t xml:space="preserve"> </w:t>
      </w:r>
      <w:r w:rsidR="0092796C" w:rsidRPr="00AB1493">
        <w:rPr>
          <w:rFonts w:cs="Calibri"/>
          <w:sz w:val="24"/>
          <w:szCs w:val="24"/>
        </w:rPr>
        <w:t xml:space="preserve">More generally, whatever type of otherworld hosts the dead, punitive or otherwise, </w:t>
      </w:r>
      <w:r w:rsidR="00064353" w:rsidRPr="00AB1493">
        <w:rPr>
          <w:rFonts w:cs="Calibri"/>
          <w:sz w:val="24"/>
          <w:szCs w:val="24"/>
        </w:rPr>
        <w:t>they</w:t>
      </w:r>
      <w:r w:rsidR="0092796C" w:rsidRPr="00AB1493">
        <w:rPr>
          <w:rFonts w:cs="Calibri"/>
          <w:sz w:val="24"/>
          <w:szCs w:val="24"/>
        </w:rPr>
        <w:t xml:space="preserve"> are </w:t>
      </w:r>
      <w:r w:rsidR="008A2381">
        <w:rPr>
          <w:rFonts w:cs="Calibri"/>
          <w:sz w:val="24"/>
          <w:szCs w:val="24"/>
        </w:rPr>
        <w:t>n</w:t>
      </w:r>
      <w:r w:rsidR="002E02E5">
        <w:rPr>
          <w:rFonts w:cs="Calibri"/>
          <w:sz w:val="24"/>
          <w:szCs w:val="24"/>
        </w:rPr>
        <w:t xml:space="preserve">ot </w:t>
      </w:r>
      <w:r w:rsidR="008A2381">
        <w:rPr>
          <w:rFonts w:cs="Calibri"/>
          <w:sz w:val="24"/>
          <w:szCs w:val="24"/>
        </w:rPr>
        <w:t>ineffectual wraiths</w:t>
      </w:r>
      <w:r w:rsidR="0092796C" w:rsidRPr="00AB1493">
        <w:rPr>
          <w:rFonts w:cs="Calibri"/>
          <w:sz w:val="24"/>
          <w:szCs w:val="24"/>
        </w:rPr>
        <w:t xml:space="preserve"> therein, but </w:t>
      </w:r>
      <w:r w:rsidR="002E02E5">
        <w:rPr>
          <w:rFonts w:cs="Calibri"/>
          <w:sz w:val="24"/>
          <w:szCs w:val="24"/>
        </w:rPr>
        <w:t xml:space="preserve">rather </w:t>
      </w:r>
      <w:r w:rsidR="0092796C" w:rsidRPr="00AB1493">
        <w:rPr>
          <w:rFonts w:cs="Calibri"/>
          <w:sz w:val="24"/>
          <w:szCs w:val="24"/>
        </w:rPr>
        <w:t xml:space="preserve">are </w:t>
      </w:r>
      <w:r w:rsidR="002E02E5">
        <w:rPr>
          <w:rFonts w:cs="Calibri"/>
          <w:sz w:val="24"/>
          <w:szCs w:val="24"/>
        </w:rPr>
        <w:t xml:space="preserve">often </w:t>
      </w:r>
      <w:r w:rsidR="0092796C" w:rsidRPr="00AB1493">
        <w:rPr>
          <w:rFonts w:cs="Calibri"/>
          <w:sz w:val="24"/>
          <w:szCs w:val="24"/>
        </w:rPr>
        <w:t xml:space="preserve">able to maintain effective agency with respect to the mortal world: for example, the simple story of Wang Ju has him providing materially for his family several years after his death. </w:t>
      </w:r>
      <w:r w:rsidR="0092796C" w:rsidRPr="00AB1493">
        <w:rPr>
          <w:rStyle w:val="FootnoteReference"/>
          <w:rFonts w:cs="Calibri"/>
          <w:sz w:val="24"/>
          <w:szCs w:val="24"/>
        </w:rPr>
        <w:footnoteReference w:id="34"/>
      </w:r>
    </w:p>
    <w:p w14:paraId="063426AB" w14:textId="77777777" w:rsidR="002825E5" w:rsidRPr="00AB1493" w:rsidRDefault="002825E5" w:rsidP="00EA1AE2">
      <w:pPr>
        <w:spacing w:after="0" w:line="480" w:lineRule="auto"/>
        <w:rPr>
          <w:rFonts w:cs="Calibri"/>
          <w:sz w:val="24"/>
          <w:szCs w:val="24"/>
        </w:rPr>
      </w:pPr>
    </w:p>
    <w:p w14:paraId="175DDF0E" w14:textId="0629E37C" w:rsidR="007A2D5A" w:rsidRPr="00AB1493" w:rsidRDefault="002B45C4" w:rsidP="00EA1AE2">
      <w:pPr>
        <w:spacing w:after="0" w:line="480" w:lineRule="auto"/>
        <w:rPr>
          <w:rFonts w:cs="Calibri"/>
          <w:sz w:val="24"/>
          <w:szCs w:val="24"/>
        </w:rPr>
      </w:pPr>
      <w:r w:rsidRPr="00AB1493">
        <w:rPr>
          <w:rFonts w:cs="Calibri"/>
          <w:sz w:val="24"/>
          <w:szCs w:val="24"/>
        </w:rPr>
        <w:lastRenderedPageBreak/>
        <w:t>By the time of Liu Yiqing (403-444</w:t>
      </w:r>
      <w:r w:rsidR="008A2381">
        <w:rPr>
          <w:rFonts w:cs="Calibri"/>
          <w:sz w:val="24"/>
          <w:szCs w:val="24"/>
        </w:rPr>
        <w:t xml:space="preserve"> CE</w:t>
      </w:r>
      <w:r w:rsidRPr="00AB1493">
        <w:rPr>
          <w:rFonts w:cs="Calibri"/>
          <w:sz w:val="24"/>
          <w:szCs w:val="24"/>
        </w:rPr>
        <w:t xml:space="preserve">) author of the </w:t>
      </w:r>
      <w:proofErr w:type="spellStart"/>
      <w:r w:rsidRPr="00AB1493">
        <w:rPr>
          <w:rFonts w:cs="Calibri"/>
          <w:i/>
          <w:iCs/>
          <w:sz w:val="24"/>
          <w:szCs w:val="24"/>
        </w:rPr>
        <w:t>Yuoming</w:t>
      </w:r>
      <w:proofErr w:type="spellEnd"/>
      <w:r w:rsidRPr="00AB1493">
        <w:rPr>
          <w:rFonts w:cs="Calibri"/>
          <w:i/>
          <w:iCs/>
          <w:sz w:val="24"/>
          <w:szCs w:val="24"/>
        </w:rPr>
        <w:t xml:space="preserve"> </w:t>
      </w:r>
      <w:proofErr w:type="spellStart"/>
      <w:r w:rsidRPr="00AB1493">
        <w:rPr>
          <w:rFonts w:cs="Calibri"/>
          <w:i/>
          <w:iCs/>
          <w:sz w:val="24"/>
          <w:szCs w:val="24"/>
        </w:rPr>
        <w:t>lu</w:t>
      </w:r>
      <w:proofErr w:type="spellEnd"/>
      <w:r w:rsidRPr="00AB1493">
        <w:rPr>
          <w:rFonts w:cs="Calibri"/>
          <w:sz w:val="24"/>
          <w:szCs w:val="24"/>
        </w:rPr>
        <w:t xml:space="preserve"> (Records of the Hidden and Visible Realms) a substantial ‘bureaucracy’ is envisaged in the underworld.</w:t>
      </w:r>
      <w:r w:rsidRPr="00AB1493">
        <w:rPr>
          <w:rStyle w:val="FootnoteReference"/>
          <w:rFonts w:cs="Calibri"/>
          <w:sz w:val="24"/>
          <w:szCs w:val="24"/>
        </w:rPr>
        <w:footnoteReference w:id="35"/>
      </w:r>
      <w:r w:rsidRPr="00AB1493">
        <w:rPr>
          <w:rFonts w:cs="Calibri"/>
          <w:sz w:val="24"/>
          <w:szCs w:val="24"/>
        </w:rPr>
        <w:t xml:space="preserve"> Typical of return-from-death narratives in this collection is the story of Suo </w:t>
      </w:r>
      <w:proofErr w:type="spellStart"/>
      <w:r w:rsidRPr="00AB1493">
        <w:rPr>
          <w:rFonts w:cs="Calibri"/>
          <w:sz w:val="24"/>
          <w:szCs w:val="24"/>
        </w:rPr>
        <w:t>Luzhen</w:t>
      </w:r>
      <w:proofErr w:type="spellEnd"/>
      <w:r w:rsidRPr="00AB1493">
        <w:rPr>
          <w:rFonts w:cs="Calibri"/>
          <w:sz w:val="24"/>
          <w:szCs w:val="24"/>
        </w:rPr>
        <w:t xml:space="preserve">, ‘dying’ and reviving the next night. He is told his allotted time “is not yet up” but he is required for an otherworld post. Negotiation with a deceased colleague allows him to choose a substitute, after which his own name is erased from the ‘books of fate’. Important to this story is the process by which its veracity is confirmed: speaking to a deceased neighbour before his return, </w:t>
      </w:r>
      <w:proofErr w:type="spellStart"/>
      <w:r w:rsidRPr="00AB1493">
        <w:rPr>
          <w:rFonts w:cs="Calibri"/>
          <w:sz w:val="24"/>
          <w:szCs w:val="24"/>
        </w:rPr>
        <w:t>Luzhen</w:t>
      </w:r>
      <w:proofErr w:type="spellEnd"/>
      <w:r w:rsidRPr="00AB1493">
        <w:rPr>
          <w:rFonts w:cs="Calibri"/>
          <w:sz w:val="24"/>
          <w:szCs w:val="24"/>
        </w:rPr>
        <w:t xml:space="preserve"> is told of a buried fortune that the neighbour had intended to give to his daughter, but died suddenly without revealing the hiding place of the cash. After revival, </w:t>
      </w:r>
      <w:proofErr w:type="spellStart"/>
      <w:r w:rsidRPr="00AB1493">
        <w:rPr>
          <w:rFonts w:cs="Calibri"/>
          <w:sz w:val="24"/>
          <w:szCs w:val="24"/>
        </w:rPr>
        <w:t>Luzhen</w:t>
      </w:r>
      <w:proofErr w:type="spellEnd"/>
      <w:r w:rsidRPr="00AB1493">
        <w:rPr>
          <w:rFonts w:cs="Calibri"/>
          <w:sz w:val="24"/>
          <w:szCs w:val="24"/>
        </w:rPr>
        <w:t xml:space="preserve"> dig</w:t>
      </w:r>
      <w:r w:rsidR="00064353" w:rsidRPr="00AB1493">
        <w:rPr>
          <w:rFonts w:cs="Calibri"/>
          <w:sz w:val="24"/>
          <w:szCs w:val="24"/>
        </w:rPr>
        <w:t>s</w:t>
      </w:r>
      <w:r w:rsidRPr="00AB1493">
        <w:rPr>
          <w:rFonts w:cs="Calibri"/>
          <w:sz w:val="24"/>
          <w:szCs w:val="24"/>
        </w:rPr>
        <w:t xml:space="preserve"> up the hoard and give it to the daughter.</w:t>
      </w:r>
      <w:r w:rsidR="00064353" w:rsidRPr="00AB1493">
        <w:rPr>
          <w:rStyle w:val="FootnoteReference"/>
          <w:rFonts w:cs="Calibri"/>
          <w:sz w:val="24"/>
          <w:szCs w:val="24"/>
        </w:rPr>
        <w:footnoteReference w:id="36"/>
      </w:r>
      <w:r w:rsidR="00064353" w:rsidRPr="00AB1493">
        <w:rPr>
          <w:rFonts w:cs="Calibri"/>
          <w:sz w:val="24"/>
          <w:szCs w:val="24"/>
        </w:rPr>
        <w:t xml:space="preserve"> </w:t>
      </w:r>
      <w:r w:rsidRPr="00AB1493">
        <w:rPr>
          <w:rFonts w:cs="Calibri"/>
          <w:sz w:val="24"/>
          <w:szCs w:val="24"/>
        </w:rPr>
        <w:t xml:space="preserve"> </w:t>
      </w:r>
    </w:p>
    <w:p w14:paraId="42BEF597" w14:textId="77777777" w:rsidR="00D03698" w:rsidRPr="00AB1493" w:rsidRDefault="00D03698" w:rsidP="00EA1AE2">
      <w:pPr>
        <w:spacing w:after="0" w:line="480" w:lineRule="auto"/>
        <w:rPr>
          <w:rFonts w:cs="Calibri"/>
          <w:sz w:val="24"/>
          <w:szCs w:val="24"/>
        </w:rPr>
      </w:pPr>
    </w:p>
    <w:p w14:paraId="06EC69D2" w14:textId="4C0AC1A7" w:rsidR="007A2D5A" w:rsidRPr="00AB1493" w:rsidRDefault="00D03698" w:rsidP="00EA1AE2">
      <w:pPr>
        <w:spacing w:after="0" w:line="480" w:lineRule="auto"/>
        <w:rPr>
          <w:rFonts w:cs="Calibri"/>
          <w:sz w:val="24"/>
          <w:szCs w:val="24"/>
        </w:rPr>
      </w:pPr>
      <w:r w:rsidRPr="00AB1493">
        <w:rPr>
          <w:rFonts w:cs="Calibri"/>
          <w:sz w:val="24"/>
          <w:szCs w:val="24"/>
        </w:rPr>
        <w:t>Arrangements are often no less complex in the upperworld</w:t>
      </w:r>
      <w:r w:rsidR="00AD0B42">
        <w:rPr>
          <w:rFonts w:cs="Calibri"/>
          <w:sz w:val="24"/>
          <w:szCs w:val="24"/>
        </w:rPr>
        <w:t xml:space="preserve"> – at least nine heavens defined</w:t>
      </w:r>
      <w:r w:rsidRPr="00AB1493">
        <w:rPr>
          <w:rFonts w:cs="Calibri"/>
          <w:sz w:val="24"/>
          <w:szCs w:val="24"/>
        </w:rPr>
        <w:t>.</w:t>
      </w:r>
      <w:r w:rsidR="00AD0B42">
        <w:rPr>
          <w:rStyle w:val="FootnoteReference"/>
          <w:rFonts w:cs="Calibri"/>
          <w:sz w:val="24"/>
          <w:szCs w:val="24"/>
        </w:rPr>
        <w:footnoteReference w:id="37"/>
      </w:r>
      <w:r w:rsidRPr="00AB1493">
        <w:rPr>
          <w:rFonts w:cs="Calibri"/>
          <w:sz w:val="24"/>
          <w:szCs w:val="24"/>
        </w:rPr>
        <w:t xml:space="preserve"> The story of Zhou Wei suggests a succession process in the post of Celestial Emperor.</w:t>
      </w:r>
      <w:r w:rsidRPr="00AB1493">
        <w:rPr>
          <w:rStyle w:val="FootnoteReference"/>
          <w:rFonts w:cs="Calibri"/>
          <w:sz w:val="24"/>
          <w:szCs w:val="24"/>
        </w:rPr>
        <w:footnoteReference w:id="38"/>
      </w:r>
      <w:r w:rsidRPr="00AB1493">
        <w:rPr>
          <w:rFonts w:cs="Calibri"/>
          <w:sz w:val="24"/>
          <w:szCs w:val="24"/>
        </w:rPr>
        <w:t xml:space="preserve"> That of Jia Yu involves a test which gives power over</w:t>
      </w:r>
      <w:r w:rsidR="00064353" w:rsidRPr="00AB1493">
        <w:rPr>
          <w:rFonts w:cs="Calibri"/>
          <w:sz w:val="24"/>
          <w:szCs w:val="24"/>
        </w:rPr>
        <w:t xml:space="preserve"> spirits</w:t>
      </w:r>
      <w:r w:rsidRPr="00AB1493">
        <w:rPr>
          <w:rFonts w:cs="Calibri"/>
          <w:sz w:val="24"/>
          <w:szCs w:val="24"/>
        </w:rPr>
        <w:t>.</w:t>
      </w:r>
      <w:r w:rsidRPr="00AB1493">
        <w:rPr>
          <w:rStyle w:val="FootnoteReference"/>
          <w:rFonts w:cs="Calibri"/>
          <w:sz w:val="24"/>
          <w:szCs w:val="24"/>
        </w:rPr>
        <w:footnoteReference w:id="39"/>
      </w:r>
      <w:r w:rsidRPr="00AB1493">
        <w:rPr>
          <w:rFonts w:cs="Calibri"/>
          <w:sz w:val="24"/>
          <w:szCs w:val="24"/>
        </w:rPr>
        <w:t xml:space="preserve"> </w:t>
      </w:r>
      <w:r w:rsidR="002B45C4" w:rsidRPr="00AB1493">
        <w:rPr>
          <w:rFonts w:cs="Calibri"/>
          <w:sz w:val="24"/>
          <w:szCs w:val="24"/>
        </w:rPr>
        <w:t xml:space="preserve">It may be noted </w:t>
      </w:r>
      <w:r w:rsidR="00486702" w:rsidRPr="00AB1493">
        <w:rPr>
          <w:rFonts w:cs="Calibri"/>
          <w:sz w:val="24"/>
          <w:szCs w:val="24"/>
        </w:rPr>
        <w:t xml:space="preserve">though </w:t>
      </w:r>
      <w:r w:rsidR="002B45C4" w:rsidRPr="00AB1493">
        <w:rPr>
          <w:rFonts w:cs="Calibri"/>
          <w:sz w:val="24"/>
          <w:szCs w:val="24"/>
        </w:rPr>
        <w:t xml:space="preserve">that many modern NDE accounts could be characterised with a </w:t>
      </w:r>
      <w:r w:rsidR="008C25F0" w:rsidRPr="00AB1493">
        <w:rPr>
          <w:rFonts w:cs="Calibri"/>
          <w:sz w:val="24"/>
          <w:szCs w:val="24"/>
        </w:rPr>
        <w:t>substantial</w:t>
      </w:r>
      <w:r w:rsidR="002B45C4" w:rsidRPr="00AB1493">
        <w:rPr>
          <w:rFonts w:cs="Calibri"/>
          <w:sz w:val="24"/>
          <w:szCs w:val="24"/>
        </w:rPr>
        <w:t xml:space="preserve"> degree of ‘bureaucracy’.</w:t>
      </w:r>
      <w:r w:rsidR="00F23D79" w:rsidRPr="00AB1493">
        <w:rPr>
          <w:rStyle w:val="FootnoteReference"/>
          <w:rFonts w:cs="Calibri"/>
          <w:sz w:val="24"/>
          <w:szCs w:val="24"/>
        </w:rPr>
        <w:footnoteReference w:id="40"/>
      </w:r>
      <w:r w:rsidR="002B45C4" w:rsidRPr="00AB1493">
        <w:rPr>
          <w:rFonts w:cs="Calibri"/>
          <w:sz w:val="24"/>
          <w:szCs w:val="24"/>
        </w:rPr>
        <w:t xml:space="preserve"> People speak to otherworld functionaries who are not ‘deities’ or spirits </w:t>
      </w:r>
      <w:r w:rsidR="002B45C4" w:rsidRPr="00AB1493">
        <w:rPr>
          <w:rFonts w:cs="Calibri"/>
          <w:sz w:val="24"/>
          <w:szCs w:val="24"/>
        </w:rPr>
        <w:lastRenderedPageBreak/>
        <w:t>with any ‘mythological’ role</w:t>
      </w:r>
      <w:r w:rsidR="005161F1">
        <w:rPr>
          <w:rFonts w:cs="Calibri"/>
          <w:sz w:val="24"/>
          <w:szCs w:val="24"/>
        </w:rPr>
        <w:t>; t</w:t>
      </w:r>
      <w:r w:rsidR="002B45C4" w:rsidRPr="00AB1493">
        <w:rPr>
          <w:rFonts w:cs="Calibri"/>
          <w:sz w:val="24"/>
          <w:szCs w:val="24"/>
        </w:rPr>
        <w:t>hey are sent back because their time is ‘not yet arrived’ (implying record-keeping) and indeed their whole lives are recorded in ‘Akashic Records’</w:t>
      </w:r>
      <w:r w:rsidR="005161F1">
        <w:rPr>
          <w:rFonts w:cs="Calibri"/>
          <w:sz w:val="24"/>
          <w:szCs w:val="24"/>
        </w:rPr>
        <w:t>.</w:t>
      </w:r>
      <w:r w:rsidR="002B45C4" w:rsidRPr="00AB1493">
        <w:rPr>
          <w:rStyle w:val="FootnoteReference"/>
          <w:rFonts w:cs="Calibri"/>
          <w:sz w:val="24"/>
          <w:szCs w:val="24"/>
        </w:rPr>
        <w:footnoteReference w:id="41"/>
      </w:r>
      <w:r w:rsidR="002B45C4" w:rsidRPr="00AB1493">
        <w:rPr>
          <w:rFonts w:cs="Calibri"/>
          <w:sz w:val="24"/>
          <w:szCs w:val="24"/>
        </w:rPr>
        <w:t xml:space="preserve"> </w:t>
      </w:r>
    </w:p>
    <w:p w14:paraId="3A4E48CF" w14:textId="77777777" w:rsidR="00486702" w:rsidRPr="00AB1493" w:rsidRDefault="00486702" w:rsidP="00EA1AE2">
      <w:pPr>
        <w:spacing w:after="0" w:line="480" w:lineRule="auto"/>
        <w:rPr>
          <w:rFonts w:cs="Calibri"/>
          <w:sz w:val="24"/>
          <w:szCs w:val="24"/>
        </w:rPr>
      </w:pPr>
    </w:p>
    <w:p w14:paraId="36A46200" w14:textId="76BCD3FD" w:rsidR="007A2D5A" w:rsidRPr="00AB1493" w:rsidRDefault="00D03698" w:rsidP="00EA1AE2">
      <w:pPr>
        <w:spacing w:after="0" w:line="480" w:lineRule="auto"/>
        <w:rPr>
          <w:rFonts w:cs="Calibri"/>
          <w:sz w:val="24"/>
          <w:szCs w:val="24"/>
        </w:rPr>
      </w:pPr>
      <w:r w:rsidRPr="00AB1493">
        <w:rPr>
          <w:rFonts w:cs="Calibri"/>
          <w:sz w:val="24"/>
          <w:szCs w:val="24"/>
        </w:rPr>
        <w:t>M</w:t>
      </w:r>
      <w:r w:rsidR="002B45C4" w:rsidRPr="00AB1493">
        <w:rPr>
          <w:rFonts w:cs="Calibri"/>
          <w:sz w:val="24"/>
          <w:szCs w:val="24"/>
        </w:rPr>
        <w:t xml:space="preserve">odern medicine is frequently able to resuscitate from cardiac arrest, and hence has potential for many NDEs, </w:t>
      </w:r>
      <w:r w:rsidRPr="00AB1493">
        <w:rPr>
          <w:rFonts w:cs="Calibri"/>
          <w:sz w:val="24"/>
          <w:szCs w:val="24"/>
        </w:rPr>
        <w:t xml:space="preserve">but </w:t>
      </w:r>
      <w:r w:rsidR="002B45C4" w:rsidRPr="00AB1493">
        <w:rPr>
          <w:rFonts w:cs="Calibri"/>
          <w:sz w:val="24"/>
          <w:szCs w:val="24"/>
        </w:rPr>
        <w:t>this was not the case in ancient China</w:t>
      </w:r>
      <w:r w:rsidR="002E02E5">
        <w:rPr>
          <w:rFonts w:cs="Calibri"/>
          <w:sz w:val="24"/>
          <w:szCs w:val="24"/>
        </w:rPr>
        <w:t xml:space="preserve">, yet there was a </w:t>
      </w:r>
      <w:r w:rsidR="002B45C4" w:rsidRPr="00AB1493">
        <w:rPr>
          <w:rFonts w:cs="Calibri"/>
          <w:sz w:val="24"/>
          <w:szCs w:val="24"/>
        </w:rPr>
        <w:t>large number of Chinese NDE-like reports</w:t>
      </w:r>
      <w:r w:rsidR="002E02E5">
        <w:rPr>
          <w:rFonts w:cs="Calibri"/>
          <w:sz w:val="24"/>
          <w:szCs w:val="24"/>
        </w:rPr>
        <w:t>.</w:t>
      </w:r>
      <w:r w:rsidR="00FA1128" w:rsidRPr="00AB1493">
        <w:rPr>
          <w:rStyle w:val="FootnoteReference"/>
          <w:rFonts w:cs="Calibri"/>
          <w:sz w:val="24"/>
          <w:szCs w:val="24"/>
        </w:rPr>
        <w:footnoteReference w:id="42"/>
      </w:r>
      <w:r w:rsidR="002B45C4" w:rsidRPr="00AB1493">
        <w:rPr>
          <w:rFonts w:cs="Calibri"/>
          <w:sz w:val="24"/>
          <w:szCs w:val="24"/>
        </w:rPr>
        <w:t xml:space="preserve"> </w:t>
      </w:r>
      <w:r w:rsidR="002E02E5">
        <w:rPr>
          <w:rFonts w:cs="Calibri"/>
          <w:sz w:val="24"/>
          <w:szCs w:val="24"/>
        </w:rPr>
        <w:t>I</w:t>
      </w:r>
      <w:r w:rsidR="002B45C4" w:rsidRPr="00AB1493">
        <w:rPr>
          <w:rFonts w:cs="Calibri"/>
          <w:sz w:val="24"/>
          <w:szCs w:val="24"/>
        </w:rPr>
        <w:t>t is reasonable to consider therefore that rather than deriving from involuntary ‘medical’ cause, some of them are actually the consequence of deliberate attempts to travel to the underworld, subsequently misinterpreted by literati mistrustful of older shamanic practice.</w:t>
      </w:r>
      <w:r w:rsidR="00FA1128" w:rsidRPr="00AB1493">
        <w:rPr>
          <w:rStyle w:val="FootnoteReference"/>
          <w:rFonts w:cs="Calibri"/>
          <w:sz w:val="24"/>
          <w:szCs w:val="24"/>
        </w:rPr>
        <w:footnoteReference w:id="43"/>
      </w:r>
      <w:r w:rsidR="002B45C4" w:rsidRPr="00AB1493">
        <w:rPr>
          <w:rFonts w:cs="Calibri"/>
          <w:sz w:val="24"/>
          <w:szCs w:val="24"/>
        </w:rPr>
        <w:t xml:space="preserve"> </w:t>
      </w:r>
      <w:r w:rsidR="005161F1">
        <w:rPr>
          <w:rFonts w:cs="Calibri"/>
          <w:sz w:val="24"/>
          <w:szCs w:val="24"/>
        </w:rPr>
        <w:t>T</w:t>
      </w:r>
      <w:r w:rsidR="002B45C4" w:rsidRPr="00AB1493">
        <w:rPr>
          <w:rFonts w:cs="Calibri"/>
          <w:sz w:val="24"/>
          <w:szCs w:val="24"/>
        </w:rPr>
        <w:t xml:space="preserve">ravel to the underworld and successful return is </w:t>
      </w:r>
      <w:r w:rsidR="005161F1">
        <w:rPr>
          <w:rFonts w:cs="Calibri"/>
          <w:sz w:val="24"/>
          <w:szCs w:val="24"/>
        </w:rPr>
        <w:t xml:space="preserve">not only </w:t>
      </w:r>
      <w:r w:rsidR="002B45C4" w:rsidRPr="00AB1493">
        <w:rPr>
          <w:rFonts w:cs="Calibri"/>
          <w:sz w:val="24"/>
          <w:szCs w:val="24"/>
        </w:rPr>
        <w:t>fundamentally shamanic</w:t>
      </w:r>
      <w:r w:rsidR="005161F1">
        <w:rPr>
          <w:rFonts w:cs="Calibri"/>
          <w:sz w:val="24"/>
          <w:szCs w:val="24"/>
        </w:rPr>
        <w:t>,</w:t>
      </w:r>
      <w:r w:rsidR="002B45C4" w:rsidRPr="00AB1493">
        <w:rPr>
          <w:rFonts w:cs="Calibri"/>
          <w:sz w:val="24"/>
          <w:szCs w:val="24"/>
        </w:rPr>
        <w:t xml:space="preserve"> the experience itself </w:t>
      </w:r>
      <w:r w:rsidR="005161F1">
        <w:rPr>
          <w:rFonts w:cs="Calibri"/>
          <w:sz w:val="24"/>
          <w:szCs w:val="24"/>
        </w:rPr>
        <w:t xml:space="preserve">is </w:t>
      </w:r>
      <w:r w:rsidR="002E02E5">
        <w:rPr>
          <w:rFonts w:cs="Calibri"/>
          <w:sz w:val="24"/>
          <w:szCs w:val="24"/>
        </w:rPr>
        <w:t xml:space="preserve">a standard mode of </w:t>
      </w:r>
      <w:r w:rsidR="002B45C4" w:rsidRPr="00AB1493">
        <w:rPr>
          <w:rFonts w:cs="Calibri"/>
          <w:sz w:val="24"/>
          <w:szCs w:val="24"/>
        </w:rPr>
        <w:t xml:space="preserve">initiation to a subsequent </w:t>
      </w:r>
      <w:r w:rsidR="00E710BE" w:rsidRPr="00AB1493">
        <w:rPr>
          <w:rFonts w:cs="Calibri"/>
          <w:sz w:val="24"/>
          <w:szCs w:val="24"/>
        </w:rPr>
        <w:t>s</w:t>
      </w:r>
      <w:r w:rsidR="002B45C4" w:rsidRPr="00AB1493">
        <w:rPr>
          <w:rFonts w:cs="Calibri"/>
          <w:sz w:val="24"/>
          <w:szCs w:val="24"/>
        </w:rPr>
        <w:t>hamanic career</w:t>
      </w:r>
      <w:r w:rsidR="005161F1">
        <w:rPr>
          <w:rFonts w:cs="Calibri"/>
          <w:sz w:val="24"/>
          <w:szCs w:val="24"/>
        </w:rPr>
        <w:t>.</w:t>
      </w:r>
      <w:r w:rsidR="005161F1">
        <w:rPr>
          <w:rStyle w:val="FootnoteReference"/>
          <w:rFonts w:cs="Calibri"/>
          <w:sz w:val="24"/>
          <w:szCs w:val="24"/>
        </w:rPr>
        <w:footnoteReference w:id="44"/>
      </w:r>
      <w:r w:rsidR="002B45C4" w:rsidRPr="00AB1493">
        <w:rPr>
          <w:rFonts w:cs="Calibri"/>
          <w:sz w:val="24"/>
          <w:szCs w:val="24"/>
        </w:rPr>
        <w:t xml:space="preserve"> </w:t>
      </w:r>
      <w:r w:rsidR="00E710BE" w:rsidRPr="00AB1493">
        <w:rPr>
          <w:rFonts w:cs="Calibri"/>
          <w:sz w:val="24"/>
          <w:szCs w:val="24"/>
        </w:rPr>
        <w:t>Ganany writes of the netherworld journey as ‘rite of passage’ towards deification of the main protagonist – arguably a ‘literary shift’ of the same process.</w:t>
      </w:r>
      <w:r w:rsidR="00E710BE" w:rsidRPr="00AB1493">
        <w:rPr>
          <w:rStyle w:val="FootnoteReference"/>
          <w:rFonts w:cs="Calibri"/>
          <w:sz w:val="24"/>
          <w:szCs w:val="24"/>
        </w:rPr>
        <w:footnoteReference w:id="45"/>
      </w:r>
      <w:r w:rsidR="00E710BE" w:rsidRPr="00AB1493">
        <w:rPr>
          <w:rFonts w:cs="Calibri"/>
          <w:sz w:val="24"/>
          <w:szCs w:val="24"/>
        </w:rPr>
        <w:t xml:space="preserve"> The</w:t>
      </w:r>
      <w:r w:rsidR="00486702" w:rsidRPr="00AB1493">
        <w:rPr>
          <w:rFonts w:cs="Calibri"/>
          <w:sz w:val="24"/>
          <w:szCs w:val="24"/>
        </w:rPr>
        <w:t xml:space="preserve"> refusal </w:t>
      </w:r>
      <w:r w:rsidR="00E710BE" w:rsidRPr="00AB1493">
        <w:rPr>
          <w:rFonts w:cs="Calibri"/>
          <w:sz w:val="24"/>
          <w:szCs w:val="24"/>
        </w:rPr>
        <w:t xml:space="preserve">of the initiatory experience was often </w:t>
      </w:r>
      <w:r w:rsidR="00486702" w:rsidRPr="00AB1493">
        <w:rPr>
          <w:rFonts w:cs="Calibri"/>
          <w:sz w:val="24"/>
          <w:szCs w:val="24"/>
        </w:rPr>
        <w:t>fatal: stories of those who die soon after the return ar</w:t>
      </w:r>
      <w:r w:rsidR="005161F1">
        <w:rPr>
          <w:rFonts w:cs="Calibri"/>
          <w:sz w:val="24"/>
          <w:szCs w:val="24"/>
        </w:rPr>
        <w:t xml:space="preserve">e plausibly a </w:t>
      </w:r>
      <w:r w:rsidR="00486702" w:rsidRPr="00AB1493">
        <w:rPr>
          <w:rFonts w:cs="Calibri"/>
          <w:sz w:val="24"/>
          <w:szCs w:val="24"/>
        </w:rPr>
        <w:t>reflect</w:t>
      </w:r>
      <w:r w:rsidR="005161F1">
        <w:rPr>
          <w:rFonts w:cs="Calibri"/>
          <w:sz w:val="24"/>
          <w:szCs w:val="24"/>
        </w:rPr>
        <w:t>ion of</w:t>
      </w:r>
      <w:r w:rsidR="00486702" w:rsidRPr="00AB1493">
        <w:rPr>
          <w:rFonts w:cs="Calibri"/>
          <w:sz w:val="24"/>
          <w:szCs w:val="24"/>
        </w:rPr>
        <w:t xml:space="preserve"> this.</w:t>
      </w:r>
    </w:p>
    <w:p w14:paraId="262CD80D" w14:textId="77777777" w:rsidR="00486702" w:rsidRPr="00AB1493" w:rsidRDefault="00486702" w:rsidP="00EA1AE2">
      <w:pPr>
        <w:spacing w:after="0" w:line="480" w:lineRule="auto"/>
        <w:rPr>
          <w:rFonts w:cs="Calibri"/>
          <w:sz w:val="24"/>
          <w:szCs w:val="24"/>
        </w:rPr>
      </w:pPr>
    </w:p>
    <w:p w14:paraId="7E26F643" w14:textId="12314C4C" w:rsidR="006D4FB8" w:rsidRPr="00AB1493" w:rsidRDefault="006D4FB8" w:rsidP="00EA1AE2">
      <w:pPr>
        <w:spacing w:after="0" w:line="480" w:lineRule="auto"/>
        <w:rPr>
          <w:rFonts w:cs="Calibri"/>
          <w:sz w:val="24"/>
          <w:szCs w:val="24"/>
        </w:rPr>
      </w:pPr>
      <w:r w:rsidRPr="00AB1493">
        <w:rPr>
          <w:rFonts w:cs="Calibri"/>
          <w:sz w:val="24"/>
          <w:szCs w:val="24"/>
        </w:rPr>
        <w:t>The influx of Buddhism into China was in no way that of a self-contained ‘ism’</w:t>
      </w:r>
      <w:r w:rsidR="009E43D2" w:rsidRPr="00AB1493">
        <w:rPr>
          <w:rFonts w:cs="Calibri"/>
          <w:sz w:val="24"/>
          <w:szCs w:val="24"/>
        </w:rPr>
        <w:t xml:space="preserve"> or ‘single religious culture’</w:t>
      </w:r>
      <w:r w:rsidRPr="00AB1493">
        <w:rPr>
          <w:rFonts w:cs="Calibri"/>
          <w:sz w:val="24"/>
          <w:szCs w:val="24"/>
        </w:rPr>
        <w:t xml:space="preserve">: rather its doctrine ‘massively modified’ all other religious complexes, those that can be labelled as ‘Daoism’ and those of ‘popular religion’, bringing about “a </w:t>
      </w:r>
      <w:r w:rsidRPr="00AB1493">
        <w:rPr>
          <w:rFonts w:cs="Calibri"/>
          <w:sz w:val="24"/>
          <w:szCs w:val="24"/>
        </w:rPr>
        <w:lastRenderedPageBreak/>
        <w:t>grand series of adjustments in and new mappings of the otherworldly terrain”.</w:t>
      </w:r>
      <w:r w:rsidRPr="00AB1493">
        <w:rPr>
          <w:rStyle w:val="FootnoteReference"/>
          <w:rFonts w:cs="Calibri"/>
          <w:sz w:val="24"/>
          <w:szCs w:val="24"/>
        </w:rPr>
        <w:footnoteReference w:id="46"/>
      </w:r>
      <w:r w:rsidRPr="00AB1493">
        <w:rPr>
          <w:rFonts w:cs="Calibri"/>
          <w:sz w:val="24"/>
          <w:szCs w:val="24"/>
        </w:rPr>
        <w:t xml:space="preserve"> </w:t>
      </w:r>
      <w:r w:rsidR="00C97E95" w:rsidRPr="00AB1493">
        <w:rPr>
          <w:rFonts w:cs="Calibri"/>
          <w:sz w:val="24"/>
          <w:szCs w:val="24"/>
        </w:rPr>
        <w:t>At the same time, Chinese Buddhism provided a context for shamanic and mediumistic practice.</w:t>
      </w:r>
      <w:r w:rsidR="009E43D2" w:rsidRPr="00AB1493">
        <w:rPr>
          <w:rStyle w:val="FootnoteReference"/>
          <w:rFonts w:cs="Calibri"/>
          <w:sz w:val="24"/>
          <w:szCs w:val="24"/>
        </w:rPr>
        <w:footnoteReference w:id="47"/>
      </w:r>
      <w:r w:rsidR="00C97E95" w:rsidRPr="00AB1493">
        <w:rPr>
          <w:rFonts w:cs="Calibri"/>
          <w:sz w:val="24"/>
          <w:szCs w:val="24"/>
        </w:rPr>
        <w:t xml:space="preserve"> </w:t>
      </w:r>
      <w:r w:rsidRPr="00AB1493">
        <w:rPr>
          <w:rFonts w:cs="Calibri"/>
          <w:sz w:val="24"/>
          <w:szCs w:val="24"/>
        </w:rPr>
        <w:t>In part, this was revelatory in character: “female and male deities residing in levels of the heavens … began descending and speaking to a few select individuals”.</w:t>
      </w:r>
      <w:r w:rsidRPr="00AB1493">
        <w:rPr>
          <w:rStyle w:val="FootnoteReference"/>
          <w:rFonts w:cs="Calibri"/>
          <w:sz w:val="24"/>
          <w:szCs w:val="24"/>
        </w:rPr>
        <w:footnoteReference w:id="48"/>
      </w:r>
      <w:r w:rsidRPr="00AB1493">
        <w:rPr>
          <w:rFonts w:cs="Calibri"/>
          <w:sz w:val="24"/>
          <w:szCs w:val="24"/>
        </w:rPr>
        <w:t xml:space="preserve"> Additionally, “the adept could hope to travel in spirit to the highest heavens and to the farthest reaches of the earth…otherworlds that were by nature fantastic and glorious”. Buddhist otherworlds were strongly dualist: the Pure Land of Amitabha had bejewelled trees and fragrant streams but there were also “fiery hells where sinners are hammered on anvils and barbecued by grinning devils”.</w:t>
      </w:r>
      <w:r w:rsidRPr="00AB1493">
        <w:rPr>
          <w:rStyle w:val="FootnoteReference"/>
          <w:rFonts w:cs="Calibri"/>
          <w:sz w:val="24"/>
          <w:szCs w:val="24"/>
        </w:rPr>
        <w:footnoteReference w:id="49"/>
      </w:r>
      <w:r w:rsidRPr="00AB1493">
        <w:rPr>
          <w:rFonts w:cs="Calibri"/>
          <w:sz w:val="24"/>
          <w:szCs w:val="24"/>
        </w:rPr>
        <w:t xml:space="preserve"> </w:t>
      </w:r>
    </w:p>
    <w:p w14:paraId="398318FE" w14:textId="77777777" w:rsidR="006D4FB8" w:rsidRPr="00AB1493" w:rsidRDefault="006D4FB8" w:rsidP="00EA1AE2">
      <w:pPr>
        <w:spacing w:after="0" w:line="480" w:lineRule="auto"/>
        <w:rPr>
          <w:rFonts w:cs="Calibri"/>
          <w:sz w:val="24"/>
          <w:szCs w:val="24"/>
        </w:rPr>
      </w:pPr>
    </w:p>
    <w:p w14:paraId="7B12430C" w14:textId="6ECDE0EE" w:rsidR="00ED44EF" w:rsidRPr="00AB1493" w:rsidRDefault="006D4FB8" w:rsidP="00EA1AE2">
      <w:pPr>
        <w:spacing w:after="0" w:line="480" w:lineRule="auto"/>
        <w:rPr>
          <w:rFonts w:cs="Calibri"/>
          <w:sz w:val="24"/>
          <w:szCs w:val="24"/>
        </w:rPr>
      </w:pPr>
      <w:r w:rsidRPr="00AB1493">
        <w:rPr>
          <w:rFonts w:cs="Calibri"/>
          <w:sz w:val="24"/>
          <w:szCs w:val="24"/>
        </w:rPr>
        <w:t>The theme of dismemberment (and bodily reconstruction) is commonplace is shamanic literature</w:t>
      </w:r>
      <w:r w:rsidR="005161F1">
        <w:rPr>
          <w:rFonts w:cs="Calibri"/>
          <w:sz w:val="24"/>
          <w:szCs w:val="24"/>
        </w:rPr>
        <w:t>.</w:t>
      </w:r>
      <w:r w:rsidR="005161F1">
        <w:rPr>
          <w:rStyle w:val="FootnoteReference"/>
          <w:rFonts w:cs="Calibri"/>
          <w:sz w:val="24"/>
          <w:szCs w:val="24"/>
        </w:rPr>
        <w:footnoteReference w:id="50"/>
      </w:r>
      <w:r w:rsidRPr="00AB1493">
        <w:rPr>
          <w:rFonts w:cs="Calibri"/>
          <w:sz w:val="24"/>
          <w:szCs w:val="24"/>
        </w:rPr>
        <w:t xml:space="preserve"> </w:t>
      </w:r>
      <w:r w:rsidR="00ED44EF" w:rsidRPr="00AB1493">
        <w:rPr>
          <w:rFonts w:cs="Calibri"/>
          <w:sz w:val="24"/>
          <w:szCs w:val="24"/>
        </w:rPr>
        <w:t>Thompson argues that prior to Buddhism, the notion of post-mortem punishment was absent in China.</w:t>
      </w:r>
      <w:r w:rsidR="00ED44EF" w:rsidRPr="00AB1493">
        <w:rPr>
          <w:rStyle w:val="FootnoteReference"/>
          <w:rFonts w:cs="Calibri"/>
          <w:sz w:val="24"/>
          <w:szCs w:val="24"/>
        </w:rPr>
        <w:footnoteReference w:id="51"/>
      </w:r>
      <w:r w:rsidR="00ED44EF" w:rsidRPr="00AB1493">
        <w:rPr>
          <w:rFonts w:cs="Calibri"/>
          <w:sz w:val="24"/>
          <w:szCs w:val="24"/>
        </w:rPr>
        <w:t xml:space="preserve"> Buddhism seems to have effected a shift in afterlife conceptions</w:t>
      </w:r>
      <w:r w:rsidR="005161F1">
        <w:rPr>
          <w:rFonts w:cs="Calibri"/>
          <w:sz w:val="24"/>
          <w:szCs w:val="24"/>
        </w:rPr>
        <w:t>: it</w:t>
      </w:r>
      <w:r w:rsidR="00ED44EF" w:rsidRPr="00AB1493">
        <w:rPr>
          <w:rFonts w:cs="Calibri"/>
          <w:sz w:val="24"/>
          <w:szCs w:val="24"/>
        </w:rPr>
        <w:t xml:space="preserve"> </w:t>
      </w:r>
      <w:r w:rsidRPr="00AB1493">
        <w:rPr>
          <w:rFonts w:cs="Calibri"/>
          <w:sz w:val="24"/>
          <w:szCs w:val="24"/>
        </w:rPr>
        <w:t>appropriat</w:t>
      </w:r>
      <w:r w:rsidR="005161F1">
        <w:rPr>
          <w:rFonts w:cs="Calibri"/>
          <w:sz w:val="24"/>
          <w:szCs w:val="24"/>
        </w:rPr>
        <w:t xml:space="preserve">ed </w:t>
      </w:r>
      <w:r w:rsidR="00ED44EF" w:rsidRPr="00AB1493">
        <w:rPr>
          <w:rFonts w:cs="Calibri"/>
          <w:sz w:val="24"/>
          <w:szCs w:val="24"/>
        </w:rPr>
        <w:t xml:space="preserve">the idea of dismemberment </w:t>
      </w:r>
      <w:r w:rsidRPr="00AB1493">
        <w:rPr>
          <w:rFonts w:cs="Calibri"/>
          <w:sz w:val="24"/>
          <w:szCs w:val="24"/>
        </w:rPr>
        <w:t>but misunderstood the process as one of punishment for ‘sin’.</w:t>
      </w:r>
      <w:r w:rsidRPr="00AB1493">
        <w:rPr>
          <w:rStyle w:val="FootnoteReference"/>
          <w:rFonts w:cs="Calibri"/>
          <w:sz w:val="24"/>
          <w:szCs w:val="24"/>
        </w:rPr>
        <w:footnoteReference w:id="52"/>
      </w:r>
      <w:r w:rsidR="00743B20" w:rsidRPr="00AB1493">
        <w:rPr>
          <w:rFonts w:cs="Calibri"/>
          <w:sz w:val="24"/>
          <w:szCs w:val="24"/>
        </w:rPr>
        <w:t xml:space="preserve"> T</w:t>
      </w:r>
      <w:r w:rsidRPr="00AB1493">
        <w:rPr>
          <w:rFonts w:cs="Calibri"/>
          <w:sz w:val="24"/>
          <w:szCs w:val="24"/>
        </w:rPr>
        <w:t xml:space="preserve">he </w:t>
      </w:r>
      <w:r w:rsidR="00743B20" w:rsidRPr="00AB1493">
        <w:rPr>
          <w:rFonts w:cs="Calibri"/>
          <w:sz w:val="24"/>
          <w:szCs w:val="24"/>
        </w:rPr>
        <w:t xml:space="preserve">NDE </w:t>
      </w:r>
      <w:r w:rsidR="002B45C4" w:rsidRPr="00AB1493">
        <w:rPr>
          <w:rFonts w:cs="Calibri"/>
          <w:sz w:val="24"/>
          <w:szCs w:val="24"/>
        </w:rPr>
        <w:t xml:space="preserve">story of Yuan </w:t>
      </w:r>
      <w:proofErr w:type="spellStart"/>
      <w:r w:rsidR="002B45C4" w:rsidRPr="00AB1493">
        <w:rPr>
          <w:rFonts w:cs="Calibri"/>
          <w:sz w:val="24"/>
          <w:szCs w:val="24"/>
        </w:rPr>
        <w:t>Zhizong</w:t>
      </w:r>
      <w:proofErr w:type="spellEnd"/>
      <w:r w:rsidR="002B45C4" w:rsidRPr="00AB1493">
        <w:rPr>
          <w:rFonts w:cs="Calibri"/>
          <w:sz w:val="24"/>
          <w:szCs w:val="24"/>
        </w:rPr>
        <w:t xml:space="preserve"> </w:t>
      </w:r>
      <w:r w:rsidR="00743B20" w:rsidRPr="00AB1493">
        <w:rPr>
          <w:rFonts w:cs="Calibri"/>
          <w:sz w:val="24"/>
          <w:szCs w:val="24"/>
        </w:rPr>
        <w:t xml:space="preserve">falls exactly into this trope: </w:t>
      </w:r>
      <w:r w:rsidR="002B45C4" w:rsidRPr="00AB1493">
        <w:rPr>
          <w:rFonts w:cs="Calibri"/>
          <w:sz w:val="24"/>
          <w:szCs w:val="24"/>
        </w:rPr>
        <w:t xml:space="preserve">he </w:t>
      </w:r>
      <w:r w:rsidR="002B45C4" w:rsidRPr="00AB1493">
        <w:rPr>
          <w:rFonts w:cs="Calibri"/>
          <w:sz w:val="24"/>
          <w:szCs w:val="24"/>
        </w:rPr>
        <w:lastRenderedPageBreak/>
        <w:t>is ‘sliced into thin cuts’, ‘thrown into a cauldron</w:t>
      </w:r>
      <w:r w:rsidR="00ED44EF" w:rsidRPr="00AB1493">
        <w:rPr>
          <w:rFonts w:cs="Calibri"/>
          <w:sz w:val="24"/>
          <w:szCs w:val="24"/>
        </w:rPr>
        <w:t>’</w:t>
      </w:r>
      <w:r w:rsidR="002B45C4" w:rsidRPr="00AB1493">
        <w:rPr>
          <w:rFonts w:cs="Calibri"/>
          <w:sz w:val="24"/>
          <w:szCs w:val="24"/>
        </w:rPr>
        <w:t xml:space="preserve">, </w:t>
      </w:r>
      <w:r w:rsidR="00ED44EF" w:rsidRPr="00AB1493">
        <w:rPr>
          <w:rFonts w:cs="Calibri"/>
          <w:sz w:val="24"/>
          <w:szCs w:val="24"/>
        </w:rPr>
        <w:t xml:space="preserve">three times </w:t>
      </w:r>
      <w:r w:rsidR="002B45C4" w:rsidRPr="00AB1493">
        <w:rPr>
          <w:rFonts w:cs="Calibri"/>
          <w:sz w:val="24"/>
          <w:szCs w:val="24"/>
        </w:rPr>
        <w:t>cooked down and turned over.</w:t>
      </w:r>
      <w:r w:rsidRPr="00AB1493">
        <w:rPr>
          <w:rStyle w:val="FootnoteReference"/>
          <w:rFonts w:cs="Calibri"/>
          <w:sz w:val="24"/>
          <w:szCs w:val="24"/>
        </w:rPr>
        <w:footnoteReference w:id="53"/>
      </w:r>
      <w:r w:rsidR="002B45C4" w:rsidRPr="00AB1493">
        <w:rPr>
          <w:rFonts w:cs="Calibri"/>
          <w:sz w:val="24"/>
          <w:szCs w:val="24"/>
        </w:rPr>
        <w:t xml:space="preserve"> </w:t>
      </w:r>
      <w:r w:rsidR="00ED44EF" w:rsidRPr="00AB1493">
        <w:rPr>
          <w:rFonts w:cs="Calibri"/>
          <w:sz w:val="24"/>
          <w:szCs w:val="24"/>
          <w:lang w:val="en"/>
        </w:rPr>
        <w:t xml:space="preserve">The </w:t>
      </w:r>
      <w:r w:rsidR="00ED44EF" w:rsidRPr="00AB1493">
        <w:rPr>
          <w:rFonts w:cs="Calibri"/>
          <w:sz w:val="24"/>
          <w:szCs w:val="24"/>
        </w:rPr>
        <w:t>location of punitive underworlds seem definitely subterranean, for which earlier stories give little ‘geography’, whereas Buddhist tradition as it takes form in China has a highly developed concept of ‘Ten Hells’, each with its own type of horrible cruelty, and governed by its own King.</w:t>
      </w:r>
      <w:r w:rsidR="00ED44EF" w:rsidRPr="00AB1493">
        <w:rPr>
          <w:rStyle w:val="FootnoteReference"/>
          <w:rFonts w:cs="Calibri"/>
          <w:sz w:val="24"/>
          <w:szCs w:val="24"/>
        </w:rPr>
        <w:footnoteReference w:id="54"/>
      </w:r>
      <w:r w:rsidR="00A7129E">
        <w:rPr>
          <w:rFonts w:cs="Calibri"/>
          <w:sz w:val="24"/>
          <w:szCs w:val="24"/>
        </w:rPr>
        <w:t xml:space="preserve"> Teiser argues that pictorial representations of these ‘hells’ are “far richer and far more complex” than canonical texts.</w:t>
      </w:r>
      <w:r w:rsidR="00A7129E">
        <w:rPr>
          <w:rStyle w:val="FootnoteReference"/>
          <w:rFonts w:cs="Calibri"/>
          <w:sz w:val="24"/>
          <w:szCs w:val="24"/>
        </w:rPr>
        <w:footnoteReference w:id="55"/>
      </w:r>
    </w:p>
    <w:p w14:paraId="35F7CD9E" w14:textId="77777777" w:rsidR="007A2D5A" w:rsidRPr="00AB1493" w:rsidRDefault="007A2D5A" w:rsidP="00EA1AE2">
      <w:pPr>
        <w:spacing w:after="0" w:line="480" w:lineRule="auto"/>
        <w:rPr>
          <w:rFonts w:cs="Calibri"/>
          <w:sz w:val="24"/>
          <w:szCs w:val="24"/>
        </w:rPr>
      </w:pPr>
    </w:p>
    <w:p w14:paraId="4298E629" w14:textId="4911E486" w:rsidR="00CF30EB" w:rsidRPr="00AB1493" w:rsidRDefault="006D4FB8" w:rsidP="00EA1AE2">
      <w:pPr>
        <w:spacing w:after="0" w:line="480" w:lineRule="auto"/>
        <w:rPr>
          <w:rFonts w:cs="Calibri"/>
          <w:sz w:val="24"/>
          <w:szCs w:val="24"/>
          <w:lang w:val="en"/>
        </w:rPr>
      </w:pPr>
      <w:r w:rsidRPr="00AB1493">
        <w:rPr>
          <w:rFonts w:cs="Calibri"/>
          <w:sz w:val="24"/>
          <w:szCs w:val="24"/>
        </w:rPr>
        <w:t xml:space="preserve">The story of </w:t>
      </w:r>
      <w:proofErr w:type="spellStart"/>
      <w:r w:rsidRPr="00AB1493">
        <w:rPr>
          <w:rFonts w:cs="Calibri"/>
          <w:sz w:val="24"/>
          <w:szCs w:val="24"/>
        </w:rPr>
        <w:t>Mulian</w:t>
      </w:r>
      <w:proofErr w:type="spellEnd"/>
      <w:r w:rsidRPr="00AB1493">
        <w:rPr>
          <w:rFonts w:cs="Calibri"/>
          <w:sz w:val="24"/>
          <w:szCs w:val="24"/>
        </w:rPr>
        <w:t xml:space="preserve"> differs from the return-from-death narratives in that the descent to the underworld is explicitly voluntary. </w:t>
      </w:r>
      <w:r w:rsidR="00E7567D">
        <w:rPr>
          <w:rFonts w:cs="Calibri"/>
          <w:sz w:val="24"/>
          <w:szCs w:val="24"/>
        </w:rPr>
        <w:t>I</w:t>
      </w:r>
      <w:r w:rsidRPr="00AB1493">
        <w:rPr>
          <w:rFonts w:cs="Calibri"/>
          <w:sz w:val="24"/>
          <w:szCs w:val="24"/>
        </w:rPr>
        <w:t xml:space="preserve">n its current form </w:t>
      </w:r>
      <w:r w:rsidR="00E7567D">
        <w:rPr>
          <w:rFonts w:cs="Calibri"/>
          <w:sz w:val="24"/>
          <w:szCs w:val="24"/>
        </w:rPr>
        <w:t xml:space="preserve">this </w:t>
      </w:r>
      <w:r w:rsidRPr="00AB1493">
        <w:rPr>
          <w:rFonts w:cs="Calibri"/>
          <w:sz w:val="24"/>
          <w:szCs w:val="24"/>
        </w:rPr>
        <w:t>dates from the 9</w:t>
      </w:r>
      <w:r w:rsidRPr="00AB1493">
        <w:rPr>
          <w:rFonts w:cs="Calibri"/>
          <w:sz w:val="24"/>
          <w:szCs w:val="24"/>
          <w:vertAlign w:val="superscript"/>
        </w:rPr>
        <w:t>th</w:t>
      </w:r>
      <w:r w:rsidRPr="00AB1493">
        <w:rPr>
          <w:rFonts w:cs="Calibri"/>
          <w:sz w:val="24"/>
          <w:szCs w:val="24"/>
        </w:rPr>
        <w:t xml:space="preserve"> century CE, but derives from the earlier </w:t>
      </w:r>
      <w:proofErr w:type="spellStart"/>
      <w:r w:rsidRPr="00E43E0F">
        <w:rPr>
          <w:rFonts w:cs="Calibri"/>
          <w:i/>
          <w:iCs/>
          <w:sz w:val="24"/>
          <w:szCs w:val="24"/>
        </w:rPr>
        <w:t>Yulanpen</w:t>
      </w:r>
      <w:proofErr w:type="spellEnd"/>
      <w:r w:rsidRPr="00E43E0F">
        <w:rPr>
          <w:rFonts w:cs="Calibri"/>
          <w:i/>
          <w:iCs/>
          <w:sz w:val="24"/>
          <w:szCs w:val="24"/>
        </w:rPr>
        <w:t xml:space="preserve"> Sutra</w:t>
      </w:r>
      <w:r w:rsidR="00880CE5">
        <w:rPr>
          <w:rFonts w:cs="Calibri"/>
          <w:sz w:val="24"/>
          <w:szCs w:val="24"/>
        </w:rPr>
        <w:t>.</w:t>
      </w:r>
      <w:r w:rsidR="00880CE5">
        <w:rPr>
          <w:rStyle w:val="FootnoteReference"/>
          <w:rFonts w:cs="Calibri"/>
          <w:sz w:val="24"/>
          <w:szCs w:val="24"/>
        </w:rPr>
        <w:footnoteReference w:id="56"/>
      </w:r>
      <w:r w:rsidR="00880CE5">
        <w:rPr>
          <w:rFonts w:cs="Calibri"/>
          <w:sz w:val="24"/>
          <w:szCs w:val="24"/>
        </w:rPr>
        <w:t xml:space="preserve"> P</w:t>
      </w:r>
      <w:r w:rsidRPr="00AB1493">
        <w:rPr>
          <w:rFonts w:cs="Calibri"/>
          <w:sz w:val="24"/>
          <w:szCs w:val="24"/>
        </w:rPr>
        <w:t xml:space="preserve">resented entirely in Buddhist context </w:t>
      </w:r>
      <w:proofErr w:type="spellStart"/>
      <w:r w:rsidRPr="00AB1493">
        <w:rPr>
          <w:rFonts w:cs="Calibri"/>
          <w:sz w:val="24"/>
          <w:szCs w:val="24"/>
        </w:rPr>
        <w:t>Mulian</w:t>
      </w:r>
      <w:proofErr w:type="spellEnd"/>
      <w:r w:rsidRPr="00AB1493">
        <w:rPr>
          <w:rFonts w:cs="Calibri"/>
          <w:sz w:val="24"/>
          <w:szCs w:val="24"/>
        </w:rPr>
        <w:t xml:space="preserve"> </w:t>
      </w:r>
      <w:r w:rsidR="00E7567D">
        <w:rPr>
          <w:rFonts w:cs="Calibri"/>
          <w:sz w:val="24"/>
          <w:szCs w:val="24"/>
        </w:rPr>
        <w:t xml:space="preserve">is </w:t>
      </w:r>
      <w:r w:rsidR="00880CE5">
        <w:rPr>
          <w:rFonts w:cs="Calibri"/>
          <w:sz w:val="24"/>
          <w:szCs w:val="24"/>
        </w:rPr>
        <w:t xml:space="preserve">consequently called </w:t>
      </w:r>
      <w:r w:rsidRPr="00AB1493">
        <w:rPr>
          <w:rFonts w:cs="Calibri"/>
          <w:sz w:val="24"/>
          <w:szCs w:val="24"/>
        </w:rPr>
        <w:t>a monk rather than a shaman.</w:t>
      </w:r>
      <w:r w:rsidRPr="00AB1493">
        <w:rPr>
          <w:rStyle w:val="FootnoteReference"/>
          <w:rFonts w:cs="Calibri"/>
          <w:sz w:val="24"/>
          <w:szCs w:val="24"/>
        </w:rPr>
        <w:footnoteReference w:id="57"/>
      </w:r>
      <w:r w:rsidRPr="00AB1493">
        <w:rPr>
          <w:rFonts w:cs="Calibri"/>
          <w:sz w:val="24"/>
          <w:szCs w:val="24"/>
        </w:rPr>
        <w:t xml:space="preserve"> </w:t>
      </w:r>
      <w:proofErr w:type="spellStart"/>
      <w:r w:rsidRPr="00AB1493">
        <w:rPr>
          <w:rFonts w:cs="Calibri"/>
          <w:sz w:val="24"/>
          <w:szCs w:val="24"/>
        </w:rPr>
        <w:t>Mulian</w:t>
      </w:r>
      <w:proofErr w:type="spellEnd"/>
      <w:r w:rsidRPr="00AB1493">
        <w:rPr>
          <w:rFonts w:cs="Calibri"/>
          <w:sz w:val="24"/>
          <w:szCs w:val="24"/>
        </w:rPr>
        <w:t xml:space="preserve"> achieves ‘</w:t>
      </w:r>
      <w:proofErr w:type="spellStart"/>
      <w:r w:rsidRPr="00AB1493">
        <w:rPr>
          <w:rFonts w:cs="Calibri"/>
          <w:i/>
          <w:iCs/>
          <w:sz w:val="24"/>
          <w:szCs w:val="24"/>
          <w:lang w:val="en"/>
        </w:rPr>
        <w:t>Abhijñā</w:t>
      </w:r>
      <w:proofErr w:type="spellEnd"/>
      <w:r w:rsidRPr="00AB1493">
        <w:rPr>
          <w:rFonts w:cs="Calibri"/>
          <w:sz w:val="24"/>
          <w:szCs w:val="24"/>
          <w:lang w:val="en"/>
        </w:rPr>
        <w:t>  ("supernormal knowledge"), by which ‘powers’ he is able to travel, exactly as a shaman</w:t>
      </w:r>
      <w:r w:rsidR="00F57555">
        <w:rPr>
          <w:rFonts w:cs="Calibri"/>
          <w:sz w:val="24"/>
          <w:szCs w:val="24"/>
          <w:lang w:val="en"/>
        </w:rPr>
        <w:t>: “he hurled his begging bowl and leapt into space”.</w:t>
      </w:r>
      <w:r w:rsidR="00F57555">
        <w:rPr>
          <w:rStyle w:val="FootnoteReference"/>
          <w:rFonts w:cs="Calibri"/>
          <w:sz w:val="24"/>
          <w:szCs w:val="24"/>
          <w:lang w:val="en"/>
        </w:rPr>
        <w:footnoteReference w:id="58"/>
      </w:r>
      <w:r w:rsidR="00F57555">
        <w:rPr>
          <w:rFonts w:cs="Calibri"/>
          <w:sz w:val="24"/>
          <w:szCs w:val="24"/>
          <w:lang w:val="en"/>
        </w:rPr>
        <w:t xml:space="preserve"> He travels first </w:t>
      </w:r>
      <w:r w:rsidRPr="00AB1493">
        <w:rPr>
          <w:rFonts w:cs="Calibri"/>
          <w:sz w:val="24"/>
          <w:szCs w:val="24"/>
          <w:lang w:val="en"/>
        </w:rPr>
        <w:t>to the upper world to meet his father</w:t>
      </w:r>
      <w:r w:rsidR="00F57555">
        <w:rPr>
          <w:rFonts w:cs="Calibri"/>
          <w:sz w:val="24"/>
          <w:szCs w:val="24"/>
          <w:lang w:val="en"/>
        </w:rPr>
        <w:t xml:space="preserve">. He </w:t>
      </w:r>
      <w:r w:rsidRPr="00AB1493">
        <w:rPr>
          <w:rFonts w:cs="Calibri"/>
          <w:sz w:val="24"/>
          <w:szCs w:val="24"/>
          <w:lang w:val="en"/>
        </w:rPr>
        <w:t xml:space="preserve">then </w:t>
      </w:r>
      <w:r w:rsidR="00F57555">
        <w:rPr>
          <w:rFonts w:cs="Calibri"/>
          <w:sz w:val="24"/>
          <w:szCs w:val="24"/>
          <w:lang w:val="en"/>
        </w:rPr>
        <w:t xml:space="preserve">‘flexes his body’ and travels </w:t>
      </w:r>
      <w:r w:rsidRPr="00AB1493">
        <w:rPr>
          <w:rFonts w:cs="Calibri"/>
          <w:sz w:val="24"/>
          <w:szCs w:val="24"/>
          <w:lang w:val="en"/>
        </w:rPr>
        <w:t xml:space="preserve">to the lower world </w:t>
      </w:r>
      <w:r w:rsidR="00F57555">
        <w:rPr>
          <w:rFonts w:cs="Calibri"/>
          <w:sz w:val="24"/>
          <w:szCs w:val="24"/>
          <w:lang w:val="en"/>
        </w:rPr>
        <w:t>“as swiftly as a winged arrow”.</w:t>
      </w:r>
      <w:r w:rsidR="00F57555">
        <w:rPr>
          <w:rStyle w:val="FootnoteReference"/>
          <w:rFonts w:cs="Calibri"/>
          <w:sz w:val="24"/>
          <w:szCs w:val="24"/>
          <w:lang w:val="en"/>
        </w:rPr>
        <w:footnoteReference w:id="59"/>
      </w:r>
      <w:r w:rsidR="00F57555">
        <w:rPr>
          <w:rFonts w:cs="Calibri"/>
          <w:sz w:val="24"/>
          <w:szCs w:val="24"/>
          <w:lang w:val="en"/>
        </w:rPr>
        <w:t xml:space="preserve"> His destination is ‘</w:t>
      </w:r>
      <w:proofErr w:type="spellStart"/>
      <w:r w:rsidR="00F57555">
        <w:rPr>
          <w:rFonts w:cs="Calibri"/>
          <w:sz w:val="24"/>
          <w:szCs w:val="24"/>
          <w:lang w:val="en"/>
        </w:rPr>
        <w:t>Avici</w:t>
      </w:r>
      <w:proofErr w:type="spellEnd"/>
      <w:r w:rsidR="00F57555">
        <w:rPr>
          <w:rFonts w:cs="Calibri"/>
          <w:sz w:val="24"/>
          <w:szCs w:val="24"/>
          <w:lang w:val="en"/>
        </w:rPr>
        <w:t xml:space="preserve">’ </w:t>
      </w:r>
      <w:r w:rsidRPr="00AB1493">
        <w:rPr>
          <w:rFonts w:cs="Calibri"/>
          <w:sz w:val="24"/>
          <w:szCs w:val="24"/>
          <w:lang w:val="en"/>
        </w:rPr>
        <w:t xml:space="preserve">where his mother </w:t>
      </w:r>
      <w:r w:rsidR="002E0A1E">
        <w:rPr>
          <w:rFonts w:cs="Calibri"/>
          <w:sz w:val="24"/>
          <w:szCs w:val="24"/>
          <w:lang w:val="en"/>
        </w:rPr>
        <w:t xml:space="preserve">is </w:t>
      </w:r>
      <w:r w:rsidRPr="00AB1493">
        <w:rPr>
          <w:rFonts w:cs="Calibri"/>
          <w:sz w:val="24"/>
          <w:szCs w:val="24"/>
          <w:lang w:val="en"/>
        </w:rPr>
        <w:t xml:space="preserve">being subjected to </w:t>
      </w:r>
      <w:r w:rsidR="00ED44EF" w:rsidRPr="00AB1493">
        <w:rPr>
          <w:rFonts w:cs="Calibri"/>
          <w:sz w:val="24"/>
          <w:szCs w:val="24"/>
          <w:lang w:val="en"/>
        </w:rPr>
        <w:t xml:space="preserve">sundry </w:t>
      </w:r>
      <w:r w:rsidR="00ED44EF" w:rsidRPr="00AB1493">
        <w:rPr>
          <w:rFonts w:cs="Calibri"/>
          <w:sz w:val="24"/>
          <w:szCs w:val="24"/>
          <w:lang w:val="en"/>
        </w:rPr>
        <w:lastRenderedPageBreak/>
        <w:t>tortures</w:t>
      </w:r>
      <w:r w:rsidRPr="00AB1493">
        <w:rPr>
          <w:rFonts w:cs="Calibri"/>
          <w:sz w:val="24"/>
          <w:szCs w:val="24"/>
          <w:lang w:val="en"/>
        </w:rPr>
        <w:t>.</w:t>
      </w:r>
      <w:r w:rsidR="002E0A1E">
        <w:rPr>
          <w:rStyle w:val="FootnoteReference"/>
          <w:rFonts w:cs="Calibri"/>
          <w:sz w:val="24"/>
          <w:szCs w:val="24"/>
          <w:lang w:val="en"/>
        </w:rPr>
        <w:footnoteReference w:id="60"/>
      </w:r>
      <w:r w:rsidRPr="00AB1493">
        <w:rPr>
          <w:rFonts w:cs="Calibri"/>
          <w:sz w:val="24"/>
          <w:szCs w:val="24"/>
          <w:lang w:val="en"/>
        </w:rPr>
        <w:t xml:space="preserve"> He </w:t>
      </w:r>
      <w:r w:rsidR="00F57555">
        <w:rPr>
          <w:rFonts w:cs="Calibri"/>
          <w:sz w:val="24"/>
          <w:szCs w:val="24"/>
          <w:lang w:val="en"/>
        </w:rPr>
        <w:t xml:space="preserve">borrows </w:t>
      </w:r>
      <w:r w:rsidR="00FF697A">
        <w:rPr>
          <w:rFonts w:cs="Calibri"/>
          <w:sz w:val="24"/>
          <w:szCs w:val="24"/>
          <w:lang w:val="en"/>
        </w:rPr>
        <w:t xml:space="preserve">the Buddha’s own </w:t>
      </w:r>
      <w:r w:rsidRPr="00AB1493">
        <w:rPr>
          <w:rFonts w:cs="Calibri"/>
          <w:sz w:val="24"/>
          <w:szCs w:val="24"/>
          <w:lang w:val="en"/>
        </w:rPr>
        <w:t>shamanic staff named ‘Chasan’</w:t>
      </w:r>
      <w:r w:rsidR="00D03698" w:rsidRPr="00AB1493">
        <w:rPr>
          <w:rFonts w:cs="Calibri"/>
          <w:sz w:val="24"/>
          <w:szCs w:val="24"/>
          <w:lang w:val="en"/>
        </w:rPr>
        <w:t xml:space="preserve">: </w:t>
      </w:r>
      <w:r w:rsidRPr="00AB1493">
        <w:rPr>
          <w:rFonts w:cs="Calibri"/>
          <w:sz w:val="24"/>
          <w:szCs w:val="24"/>
          <w:lang w:val="en"/>
        </w:rPr>
        <w:t xml:space="preserve">embodying the World Tree or axis mundi, this allows him to </w:t>
      </w:r>
      <w:r w:rsidR="00FF697A">
        <w:rPr>
          <w:rFonts w:cs="Calibri"/>
          <w:sz w:val="24"/>
          <w:szCs w:val="24"/>
          <w:lang w:val="en"/>
        </w:rPr>
        <w:t xml:space="preserve">break </w:t>
      </w:r>
      <w:r w:rsidRPr="00AB1493">
        <w:rPr>
          <w:rFonts w:cs="Calibri"/>
          <w:sz w:val="24"/>
          <w:szCs w:val="24"/>
          <w:lang w:val="en"/>
        </w:rPr>
        <w:t>open the doors of the underworld.</w:t>
      </w:r>
      <w:r w:rsidRPr="00AB1493">
        <w:rPr>
          <w:rStyle w:val="FootnoteReference"/>
          <w:rFonts w:cs="Calibri"/>
          <w:sz w:val="24"/>
          <w:szCs w:val="24"/>
          <w:lang w:val="en"/>
        </w:rPr>
        <w:t xml:space="preserve"> </w:t>
      </w:r>
      <w:r w:rsidRPr="00AB1493">
        <w:rPr>
          <w:rStyle w:val="FootnoteReference"/>
          <w:rFonts w:cs="Calibri"/>
          <w:sz w:val="24"/>
          <w:szCs w:val="24"/>
          <w:lang w:val="en"/>
        </w:rPr>
        <w:footnoteReference w:id="61"/>
      </w:r>
      <w:r w:rsidR="009E43D2" w:rsidRPr="00AB1493">
        <w:rPr>
          <w:rStyle w:val="FootnoteReference"/>
          <w:rFonts w:cs="Calibri"/>
          <w:sz w:val="24"/>
          <w:szCs w:val="24"/>
          <w:lang w:val="en"/>
        </w:rPr>
        <w:t xml:space="preserve"> </w:t>
      </w:r>
      <w:r w:rsidR="00CF30EB" w:rsidRPr="00AB1493">
        <w:rPr>
          <w:rFonts w:cs="Calibri"/>
          <w:sz w:val="24"/>
          <w:szCs w:val="24"/>
          <w:lang w:val="en"/>
        </w:rPr>
        <w:t xml:space="preserve"> </w:t>
      </w:r>
      <w:r w:rsidR="00E81CCF">
        <w:rPr>
          <w:rFonts w:cs="Calibri"/>
          <w:sz w:val="24"/>
          <w:szCs w:val="24"/>
        </w:rPr>
        <w:t>The story is closely linked to the popular Hungry Ghost Festival, considered to have been established by Mulian’s offerings.</w:t>
      </w:r>
      <w:r w:rsidR="00E81CCF">
        <w:rPr>
          <w:rStyle w:val="FootnoteReference"/>
          <w:rFonts w:cs="Calibri"/>
          <w:sz w:val="24"/>
          <w:szCs w:val="24"/>
        </w:rPr>
        <w:footnoteReference w:id="62"/>
      </w:r>
      <w:r w:rsidR="00E81CCF" w:rsidRPr="00AB1493">
        <w:rPr>
          <w:rFonts w:cs="Calibri"/>
          <w:sz w:val="24"/>
          <w:szCs w:val="24"/>
        </w:rPr>
        <w:t xml:space="preserve"> </w:t>
      </w:r>
      <w:r w:rsidR="00CF30EB" w:rsidRPr="00AB1493">
        <w:rPr>
          <w:rFonts w:cs="Calibri"/>
          <w:sz w:val="24"/>
          <w:szCs w:val="24"/>
          <w:lang w:val="en"/>
        </w:rPr>
        <w:t xml:space="preserve">The later </w:t>
      </w:r>
      <w:r w:rsidR="00FC022C" w:rsidRPr="00AB1493">
        <w:rPr>
          <w:rFonts w:cs="Calibri"/>
          <w:sz w:val="24"/>
          <w:szCs w:val="24"/>
          <w:lang w:val="en"/>
        </w:rPr>
        <w:t xml:space="preserve">hagiographic </w:t>
      </w:r>
      <w:r w:rsidR="00CF30EB" w:rsidRPr="00AB1493">
        <w:rPr>
          <w:rFonts w:cs="Calibri"/>
          <w:sz w:val="24"/>
          <w:szCs w:val="24"/>
          <w:lang w:val="en"/>
        </w:rPr>
        <w:t>stor</w:t>
      </w:r>
      <w:r w:rsidR="00FC022C" w:rsidRPr="00AB1493">
        <w:rPr>
          <w:rFonts w:cs="Calibri"/>
          <w:sz w:val="24"/>
          <w:szCs w:val="24"/>
          <w:lang w:val="en"/>
        </w:rPr>
        <w:t xml:space="preserve">ies of Sa </w:t>
      </w:r>
      <w:proofErr w:type="spellStart"/>
      <w:r w:rsidR="00FC022C" w:rsidRPr="00AB1493">
        <w:rPr>
          <w:rFonts w:cs="Calibri"/>
          <w:sz w:val="24"/>
          <w:szCs w:val="24"/>
          <w:lang w:val="en"/>
        </w:rPr>
        <w:t>Shoujian</w:t>
      </w:r>
      <w:proofErr w:type="spellEnd"/>
      <w:r w:rsidR="00FC022C" w:rsidRPr="00AB1493">
        <w:rPr>
          <w:rFonts w:cs="Calibri"/>
          <w:sz w:val="24"/>
          <w:szCs w:val="24"/>
          <w:lang w:val="en"/>
        </w:rPr>
        <w:t xml:space="preserve"> are also voluntary descent, but in this case, his liberation of suffering souls provides for his own celestial ascent.</w:t>
      </w:r>
      <w:r w:rsidR="00FC022C" w:rsidRPr="00AB1493">
        <w:rPr>
          <w:rStyle w:val="FootnoteReference"/>
          <w:rFonts w:cs="Calibri"/>
          <w:sz w:val="24"/>
          <w:szCs w:val="24"/>
          <w:lang w:val="en"/>
        </w:rPr>
        <w:footnoteReference w:id="63"/>
      </w:r>
      <w:r w:rsidR="00FC022C" w:rsidRPr="00AB1493">
        <w:rPr>
          <w:rFonts w:cs="Calibri"/>
          <w:sz w:val="24"/>
          <w:szCs w:val="24"/>
          <w:lang w:val="en"/>
        </w:rPr>
        <w:t xml:space="preserve"> </w:t>
      </w:r>
    </w:p>
    <w:p w14:paraId="09CE8C44" w14:textId="77777777" w:rsidR="00CF30EB" w:rsidRPr="00AB1493" w:rsidRDefault="00CF30EB" w:rsidP="00EA1AE2">
      <w:pPr>
        <w:spacing w:after="0" w:line="480" w:lineRule="auto"/>
        <w:rPr>
          <w:rFonts w:cs="Calibri"/>
          <w:sz w:val="24"/>
          <w:szCs w:val="24"/>
          <w:lang w:val="en"/>
        </w:rPr>
      </w:pPr>
    </w:p>
    <w:p w14:paraId="7676594B" w14:textId="53F547AD" w:rsidR="00CA1CC7" w:rsidRPr="00AB1493" w:rsidRDefault="00CA1CC7" w:rsidP="00EA1AE2">
      <w:pPr>
        <w:spacing w:after="0" w:line="480" w:lineRule="auto"/>
        <w:rPr>
          <w:rFonts w:cs="Calibri"/>
          <w:sz w:val="24"/>
          <w:szCs w:val="24"/>
        </w:rPr>
      </w:pPr>
      <w:r w:rsidRPr="00AB1493">
        <w:rPr>
          <w:rFonts w:cs="Calibri"/>
          <w:sz w:val="24"/>
          <w:szCs w:val="24"/>
        </w:rPr>
        <w:t>Return-from-death narratives are generally somewhat minimal, focusing more on underworld bureaucracy than any geography. The story of Cui Wei from the Tang dynasty provides a rather longer underworld journey.</w:t>
      </w:r>
      <w:r w:rsidRPr="00AB1493">
        <w:rPr>
          <w:rStyle w:val="FootnoteReference"/>
          <w:rFonts w:cs="Calibri"/>
          <w:sz w:val="24"/>
          <w:szCs w:val="24"/>
        </w:rPr>
        <w:footnoteReference w:id="64"/>
      </w:r>
      <w:r w:rsidRPr="00AB1493">
        <w:rPr>
          <w:rFonts w:cs="Calibri"/>
          <w:sz w:val="24"/>
          <w:szCs w:val="24"/>
        </w:rPr>
        <w:t xml:space="preserve"> Having behaved kindly, Wei receives a gift of tumour-healing mugwort. He enters the underworld via falling into a well – a standard access route, from which a large cave opens out.</w:t>
      </w:r>
      <w:r w:rsidR="00C124B5" w:rsidRPr="00AB1493">
        <w:rPr>
          <w:rStyle w:val="FootnoteReference"/>
          <w:rFonts w:cs="Calibri"/>
          <w:sz w:val="24"/>
          <w:szCs w:val="24"/>
        </w:rPr>
        <w:t xml:space="preserve"> </w:t>
      </w:r>
      <w:r w:rsidR="00C124B5" w:rsidRPr="00AB1493">
        <w:rPr>
          <w:rStyle w:val="FootnoteReference"/>
          <w:rFonts w:cs="Calibri"/>
          <w:sz w:val="24"/>
          <w:szCs w:val="24"/>
        </w:rPr>
        <w:footnoteReference w:id="65"/>
      </w:r>
      <w:r w:rsidRPr="00AB1493">
        <w:rPr>
          <w:rFonts w:cs="Calibri"/>
          <w:sz w:val="24"/>
          <w:szCs w:val="24"/>
        </w:rPr>
        <w:t xml:space="preserve"> He cures a great white serpent (whom he addresses as ‘Dragon King’ then rides upon it to the ‘Unfathomable Palace of the Emperor’ where he is greeted by ladies dressed in ‘antique style’. On his return he is gifted with the ‘Sun Bonfire Pearl’ (buried over a thousand years previously). Later, he is visited by Lady Tian (long deceased, but who now does not ‘even know what time this is’) who </w:t>
      </w:r>
      <w:r w:rsidRPr="00AB1493">
        <w:rPr>
          <w:rFonts w:cs="Calibri"/>
          <w:sz w:val="24"/>
          <w:szCs w:val="24"/>
        </w:rPr>
        <w:lastRenderedPageBreak/>
        <w:t>becomes his wife. The two eventually retire, Wei perhaps immortal having “drunk the dragon’s leftover foam”, to Luo-</w:t>
      </w:r>
      <w:r w:rsidR="00EB5B51">
        <w:rPr>
          <w:rFonts w:cs="Calibri"/>
          <w:sz w:val="24"/>
          <w:szCs w:val="24"/>
        </w:rPr>
        <w:t xml:space="preserve">fu </w:t>
      </w:r>
      <w:r w:rsidRPr="00AB1493">
        <w:rPr>
          <w:rFonts w:cs="Calibri"/>
          <w:sz w:val="24"/>
          <w:szCs w:val="24"/>
        </w:rPr>
        <w:t>mountain.</w:t>
      </w:r>
    </w:p>
    <w:p w14:paraId="53E2C703" w14:textId="77777777" w:rsidR="007A2D5A" w:rsidRPr="00AB1493" w:rsidRDefault="007A2D5A" w:rsidP="00EA1AE2">
      <w:pPr>
        <w:spacing w:after="0" w:line="480" w:lineRule="auto"/>
        <w:rPr>
          <w:rFonts w:cs="Calibri"/>
          <w:sz w:val="24"/>
          <w:szCs w:val="24"/>
        </w:rPr>
      </w:pPr>
    </w:p>
    <w:p w14:paraId="3DF9AEC8" w14:textId="265E1114" w:rsidR="007A2D5A" w:rsidRPr="00AB1493" w:rsidRDefault="002B45C4" w:rsidP="00EA1AE2">
      <w:pPr>
        <w:spacing w:after="0" w:line="480" w:lineRule="auto"/>
        <w:rPr>
          <w:rFonts w:cs="Calibri"/>
          <w:sz w:val="24"/>
          <w:szCs w:val="24"/>
        </w:rPr>
      </w:pPr>
      <w:r w:rsidRPr="00AB1493">
        <w:rPr>
          <w:rFonts w:cs="Calibri"/>
          <w:sz w:val="24"/>
          <w:szCs w:val="24"/>
        </w:rPr>
        <w:t>Punitive underworlds are by no means the only destination for NDE / return-from-death experiences</w:t>
      </w:r>
      <w:r w:rsidR="008953C2" w:rsidRPr="00AB1493">
        <w:rPr>
          <w:rFonts w:cs="Calibri"/>
          <w:sz w:val="24"/>
          <w:szCs w:val="24"/>
        </w:rPr>
        <w:t xml:space="preserve">: </w:t>
      </w:r>
      <w:r w:rsidRPr="00AB1493">
        <w:rPr>
          <w:rFonts w:cs="Calibri"/>
          <w:sz w:val="24"/>
          <w:szCs w:val="24"/>
        </w:rPr>
        <w:t xml:space="preserve">upperworld locations </w:t>
      </w:r>
      <w:r w:rsidR="008953C2" w:rsidRPr="00AB1493">
        <w:rPr>
          <w:rFonts w:cs="Calibri"/>
          <w:sz w:val="24"/>
          <w:szCs w:val="24"/>
        </w:rPr>
        <w:t xml:space="preserve">seem </w:t>
      </w:r>
      <w:r w:rsidRPr="00AB1493">
        <w:rPr>
          <w:rFonts w:cs="Calibri"/>
          <w:sz w:val="24"/>
          <w:szCs w:val="24"/>
        </w:rPr>
        <w:t xml:space="preserve">better defined. Mount Tai (Taishan), location of the </w:t>
      </w:r>
      <w:r w:rsidRPr="00E43E0F">
        <w:rPr>
          <w:rFonts w:cs="Calibri"/>
          <w:i/>
          <w:iCs/>
          <w:sz w:val="24"/>
          <w:szCs w:val="24"/>
        </w:rPr>
        <w:t xml:space="preserve">feng / </w:t>
      </w:r>
      <w:proofErr w:type="spellStart"/>
      <w:r w:rsidRPr="00E43E0F">
        <w:rPr>
          <w:rFonts w:cs="Calibri"/>
          <w:i/>
          <w:iCs/>
          <w:sz w:val="24"/>
          <w:szCs w:val="24"/>
        </w:rPr>
        <w:t>shan</w:t>
      </w:r>
      <w:proofErr w:type="spellEnd"/>
      <w:r w:rsidRPr="00AB1493">
        <w:rPr>
          <w:rFonts w:cs="Calibri"/>
          <w:sz w:val="24"/>
          <w:szCs w:val="24"/>
        </w:rPr>
        <w:t xml:space="preserve"> ‘sacrifices’ that ritualise the presence of the ‘Mandate of Heaven’ for a dynasty, is mentioned often.</w:t>
      </w:r>
      <w:r w:rsidR="00FA1128" w:rsidRPr="00AB1493">
        <w:rPr>
          <w:rStyle w:val="FootnoteReference"/>
          <w:rFonts w:cs="Calibri"/>
          <w:sz w:val="24"/>
          <w:szCs w:val="24"/>
        </w:rPr>
        <w:footnoteReference w:id="66"/>
      </w:r>
      <w:r w:rsidRPr="00AB1493">
        <w:rPr>
          <w:rFonts w:cs="Calibri"/>
          <w:sz w:val="24"/>
          <w:szCs w:val="24"/>
        </w:rPr>
        <w:t xml:space="preserve"> The mountain may be the location of a ‘bureau’ that allots lifespans. It appears understood not only as a place, but also as an individual deity ‘Grandson of Heaven’ with a significant role: “it is in charge of summoning the </w:t>
      </w:r>
      <w:proofErr w:type="spellStart"/>
      <w:r w:rsidRPr="00AB1493">
        <w:rPr>
          <w:rFonts w:cs="Calibri"/>
          <w:i/>
          <w:iCs/>
          <w:sz w:val="24"/>
          <w:szCs w:val="24"/>
        </w:rPr>
        <w:t>hun</w:t>
      </w:r>
      <w:proofErr w:type="spellEnd"/>
      <w:r w:rsidRPr="00AB1493">
        <w:rPr>
          <w:rFonts w:cs="Calibri"/>
          <w:sz w:val="24"/>
          <w:szCs w:val="24"/>
        </w:rPr>
        <w:t xml:space="preserve">- and </w:t>
      </w:r>
      <w:r w:rsidRPr="00AB1493">
        <w:rPr>
          <w:rFonts w:cs="Calibri"/>
          <w:i/>
          <w:iCs/>
          <w:sz w:val="24"/>
          <w:szCs w:val="24"/>
        </w:rPr>
        <w:t>po</w:t>
      </w:r>
      <w:r w:rsidRPr="00AB1493">
        <w:rPr>
          <w:rFonts w:cs="Calibri"/>
          <w:sz w:val="24"/>
          <w:szCs w:val="24"/>
        </w:rPr>
        <w:t>- souls of people…knows the length or brevity of people’s lives”.</w:t>
      </w:r>
      <w:r w:rsidRPr="00AB1493">
        <w:rPr>
          <w:rStyle w:val="FootnoteReference"/>
          <w:rFonts w:cs="Calibri"/>
          <w:sz w:val="24"/>
          <w:szCs w:val="24"/>
        </w:rPr>
        <w:footnoteReference w:id="67"/>
      </w:r>
      <w:r w:rsidRPr="00AB1493">
        <w:rPr>
          <w:rFonts w:cs="Calibri"/>
          <w:sz w:val="24"/>
          <w:szCs w:val="24"/>
        </w:rPr>
        <w:t xml:space="preserve">  Later Daoism shifts from a ‘real’ location to place Six Heavens at Mount Luo</w:t>
      </w:r>
      <w:r w:rsidR="0088354A">
        <w:rPr>
          <w:rFonts w:cs="Calibri"/>
          <w:sz w:val="24"/>
          <w:szCs w:val="24"/>
        </w:rPr>
        <w:t>-</w:t>
      </w:r>
      <w:r w:rsidRPr="00AB1493">
        <w:rPr>
          <w:rFonts w:cs="Calibri"/>
          <w:sz w:val="24"/>
          <w:szCs w:val="24"/>
        </w:rPr>
        <w:t>feng, apparently much more remote “in the midst of the Northe</w:t>
      </w:r>
      <w:r w:rsidR="0088354A">
        <w:rPr>
          <w:rFonts w:cs="Calibri"/>
          <w:sz w:val="24"/>
          <w:szCs w:val="24"/>
        </w:rPr>
        <w:t>r</w:t>
      </w:r>
      <w:r w:rsidRPr="00AB1493">
        <w:rPr>
          <w:rFonts w:cs="Calibri"/>
          <w:sz w:val="24"/>
          <w:szCs w:val="24"/>
        </w:rPr>
        <w:t>n Sea”.</w:t>
      </w:r>
      <w:r w:rsidRPr="00AB1493">
        <w:rPr>
          <w:rStyle w:val="FootnoteReference"/>
          <w:rFonts w:cs="Calibri"/>
          <w:sz w:val="24"/>
          <w:szCs w:val="24"/>
        </w:rPr>
        <w:footnoteReference w:id="68"/>
      </w:r>
      <w:r w:rsidRPr="00AB1493">
        <w:rPr>
          <w:rFonts w:cs="Calibri"/>
          <w:sz w:val="24"/>
          <w:szCs w:val="24"/>
        </w:rPr>
        <w:t xml:space="preserve"> </w:t>
      </w:r>
    </w:p>
    <w:p w14:paraId="2EB30FB1" w14:textId="77777777" w:rsidR="007A2D5A" w:rsidRPr="00AB1493" w:rsidRDefault="007A2D5A" w:rsidP="00EA1AE2">
      <w:pPr>
        <w:spacing w:after="0" w:line="480" w:lineRule="auto"/>
        <w:rPr>
          <w:rFonts w:cs="Calibri"/>
          <w:sz w:val="24"/>
          <w:szCs w:val="24"/>
        </w:rPr>
      </w:pPr>
    </w:p>
    <w:p w14:paraId="1FB4F393" w14:textId="0FFEFB8A" w:rsidR="00D03698" w:rsidRDefault="002B45C4" w:rsidP="00EA1AE2">
      <w:pPr>
        <w:spacing w:after="0" w:line="480" w:lineRule="auto"/>
        <w:rPr>
          <w:rFonts w:cs="Calibri"/>
          <w:sz w:val="24"/>
          <w:szCs w:val="24"/>
        </w:rPr>
      </w:pPr>
      <w:r w:rsidRPr="00AB1493">
        <w:rPr>
          <w:rFonts w:cs="Calibri"/>
          <w:sz w:val="24"/>
          <w:szCs w:val="24"/>
        </w:rPr>
        <w:t>Another ‘identifiable’ upperworld location is the Northern Dipper (Ursa Major), an asterism that also serves as celestial clock.</w:t>
      </w:r>
      <w:r w:rsidRPr="00AB1493">
        <w:rPr>
          <w:rStyle w:val="FootnoteReference"/>
          <w:rFonts w:cs="Calibri"/>
          <w:sz w:val="24"/>
          <w:szCs w:val="24"/>
        </w:rPr>
        <w:footnoteReference w:id="69"/>
      </w:r>
      <w:r w:rsidRPr="00AB1493">
        <w:rPr>
          <w:rFonts w:cs="Calibri"/>
          <w:sz w:val="24"/>
          <w:szCs w:val="24"/>
        </w:rPr>
        <w:t xml:space="preserve"> </w:t>
      </w:r>
      <w:r w:rsidR="00F86A54" w:rsidRPr="00AB1493">
        <w:rPr>
          <w:rFonts w:cs="Calibri"/>
          <w:sz w:val="24"/>
          <w:szCs w:val="24"/>
        </w:rPr>
        <w:t>A return-from-death story from the Wu period has an ‘old woman’ taken to an audience with its Lord.</w:t>
      </w:r>
      <w:r w:rsidR="00F86A54" w:rsidRPr="00AB1493">
        <w:rPr>
          <w:rStyle w:val="FootnoteReference"/>
          <w:rFonts w:cs="Calibri"/>
          <w:sz w:val="24"/>
          <w:szCs w:val="24"/>
        </w:rPr>
        <w:footnoteReference w:id="70"/>
      </w:r>
      <w:r w:rsidR="00F86A54" w:rsidRPr="00AB1493">
        <w:rPr>
          <w:rFonts w:cs="Calibri"/>
          <w:sz w:val="24"/>
          <w:szCs w:val="24"/>
        </w:rPr>
        <w:t xml:space="preserve"> </w:t>
      </w:r>
      <w:r w:rsidRPr="00AB1493">
        <w:rPr>
          <w:rFonts w:cs="Calibri"/>
          <w:sz w:val="24"/>
          <w:szCs w:val="24"/>
        </w:rPr>
        <w:t>An Eastern Han tomb panel has the Dipper as carriage for the Supernal Lord.</w:t>
      </w:r>
      <w:r w:rsidRPr="00AB1493">
        <w:rPr>
          <w:rStyle w:val="FootnoteReference"/>
          <w:rFonts w:cs="Calibri"/>
          <w:sz w:val="24"/>
          <w:szCs w:val="24"/>
        </w:rPr>
        <w:footnoteReference w:id="71"/>
      </w:r>
      <w:r w:rsidRPr="00AB1493">
        <w:rPr>
          <w:rFonts w:cs="Calibri"/>
          <w:sz w:val="24"/>
          <w:szCs w:val="24"/>
        </w:rPr>
        <w:t xml:space="preserve"> Liu Yiqing, author of </w:t>
      </w:r>
      <w:proofErr w:type="spellStart"/>
      <w:r w:rsidRPr="00E43E0F">
        <w:rPr>
          <w:rFonts w:cs="Calibri"/>
          <w:i/>
          <w:iCs/>
          <w:sz w:val="24"/>
          <w:szCs w:val="24"/>
        </w:rPr>
        <w:t>Youming</w:t>
      </w:r>
      <w:proofErr w:type="spellEnd"/>
      <w:r w:rsidRPr="00E43E0F">
        <w:rPr>
          <w:rFonts w:cs="Calibri"/>
          <w:i/>
          <w:iCs/>
          <w:sz w:val="24"/>
          <w:szCs w:val="24"/>
        </w:rPr>
        <w:t xml:space="preserve"> Lu</w:t>
      </w:r>
      <w:r w:rsidRPr="00AB1493">
        <w:rPr>
          <w:rFonts w:cs="Calibri"/>
          <w:sz w:val="24"/>
          <w:szCs w:val="24"/>
        </w:rPr>
        <w:t xml:space="preserve">, establishes its deity as </w:t>
      </w:r>
      <w:r w:rsidRPr="00AB1493">
        <w:rPr>
          <w:rFonts w:cs="Calibri"/>
          <w:sz w:val="24"/>
          <w:szCs w:val="24"/>
        </w:rPr>
        <w:lastRenderedPageBreak/>
        <w:t xml:space="preserve">judge of the dead. The Daoist </w:t>
      </w:r>
      <w:proofErr w:type="spellStart"/>
      <w:r w:rsidRPr="00E43E0F">
        <w:rPr>
          <w:rFonts w:cs="Calibri"/>
          <w:i/>
          <w:iCs/>
          <w:sz w:val="24"/>
          <w:szCs w:val="24"/>
        </w:rPr>
        <w:t>Shangqing</w:t>
      </w:r>
      <w:proofErr w:type="spellEnd"/>
      <w:r w:rsidRPr="00AB1493">
        <w:rPr>
          <w:rFonts w:cs="Calibri"/>
          <w:sz w:val="24"/>
          <w:szCs w:val="24"/>
        </w:rPr>
        <w:t xml:space="preserve"> scriptures </w:t>
      </w:r>
      <w:r w:rsidR="009C63E3">
        <w:rPr>
          <w:rFonts w:cs="Calibri"/>
          <w:sz w:val="24"/>
          <w:szCs w:val="24"/>
        </w:rPr>
        <w:t>have the Lord of the Northern Dipper “Spirit Officer of the Palace of the Fourth heaven”,</w:t>
      </w:r>
      <w:r w:rsidRPr="00AB1493">
        <w:rPr>
          <w:rFonts w:cs="Calibri"/>
          <w:sz w:val="24"/>
          <w:szCs w:val="24"/>
        </w:rPr>
        <w:t xml:space="preserve"> petitioned for longevity of the faithful.</w:t>
      </w:r>
      <w:r w:rsidR="009C63E3">
        <w:rPr>
          <w:rStyle w:val="FootnoteReference"/>
          <w:rFonts w:cs="Calibri"/>
          <w:sz w:val="24"/>
          <w:szCs w:val="24"/>
        </w:rPr>
        <w:footnoteReference w:id="72"/>
      </w:r>
      <w:r w:rsidRPr="00AB1493">
        <w:rPr>
          <w:rFonts w:cs="Calibri"/>
          <w:sz w:val="24"/>
          <w:szCs w:val="24"/>
        </w:rPr>
        <w:t xml:space="preserve"> </w:t>
      </w:r>
    </w:p>
    <w:p w14:paraId="00DB8370" w14:textId="77777777" w:rsidR="00380211" w:rsidRPr="00AB1493" w:rsidRDefault="00380211" w:rsidP="00EA1AE2">
      <w:pPr>
        <w:spacing w:after="0" w:line="480" w:lineRule="auto"/>
        <w:rPr>
          <w:rFonts w:cs="Calibri"/>
          <w:sz w:val="24"/>
          <w:szCs w:val="24"/>
        </w:rPr>
      </w:pPr>
    </w:p>
    <w:p w14:paraId="7C9A1ACD" w14:textId="4C36896B" w:rsidR="007A2D5A" w:rsidRDefault="002B45C4" w:rsidP="00EA1AE2">
      <w:pPr>
        <w:spacing w:after="0" w:line="480" w:lineRule="auto"/>
        <w:rPr>
          <w:rFonts w:cs="Calibri"/>
          <w:sz w:val="24"/>
          <w:szCs w:val="24"/>
        </w:rPr>
      </w:pPr>
      <w:r w:rsidRPr="00AB1493">
        <w:rPr>
          <w:rFonts w:cs="Calibri"/>
          <w:sz w:val="24"/>
          <w:szCs w:val="24"/>
        </w:rPr>
        <w:t>The most important upperworld flora appears to be the mulberry tree (</w:t>
      </w:r>
      <w:proofErr w:type="spellStart"/>
      <w:r w:rsidRPr="00AB1493">
        <w:rPr>
          <w:rFonts w:cs="Calibri"/>
          <w:sz w:val="24"/>
          <w:szCs w:val="24"/>
        </w:rPr>
        <w:t>fusang</w:t>
      </w:r>
      <w:proofErr w:type="spellEnd"/>
      <w:r w:rsidRPr="00AB1493">
        <w:rPr>
          <w:rFonts w:cs="Calibri"/>
          <w:sz w:val="24"/>
          <w:szCs w:val="24"/>
        </w:rPr>
        <w:t>), its leaves favourite food of the silkworm larva: in Shanhaijing the Supporting (Mulberry) Tree is said to have a trunk of 300 li (150 km), effectively making it the World-Tree / Axis Mundi.</w:t>
      </w:r>
      <w:r w:rsidRPr="00AB1493">
        <w:rPr>
          <w:rStyle w:val="FootnoteReference"/>
          <w:rFonts w:cs="Calibri"/>
          <w:sz w:val="24"/>
          <w:szCs w:val="24"/>
        </w:rPr>
        <w:footnoteReference w:id="73"/>
      </w:r>
      <w:r w:rsidRPr="00AB1493">
        <w:rPr>
          <w:rFonts w:cs="Calibri"/>
          <w:sz w:val="24"/>
          <w:szCs w:val="24"/>
        </w:rPr>
        <w:t xml:space="preserve"> Similarly to the underworld journey, those to upperworld</w:t>
      </w:r>
      <w:r w:rsidR="0088354A">
        <w:rPr>
          <w:rFonts w:cs="Calibri"/>
          <w:sz w:val="24"/>
          <w:szCs w:val="24"/>
        </w:rPr>
        <w:t>s</w:t>
      </w:r>
      <w:r w:rsidRPr="00AB1493">
        <w:rPr>
          <w:rFonts w:cs="Calibri"/>
          <w:sz w:val="24"/>
          <w:szCs w:val="24"/>
        </w:rPr>
        <w:t xml:space="preserve"> are also corroborated by subsequent occurrence of predicted events or by interaction, for example with a spirit girl: in Zhang Boyuan’s story, she revives also and subsequently becomes his concubine.</w:t>
      </w:r>
      <w:r w:rsidRPr="00AB1493">
        <w:rPr>
          <w:rStyle w:val="FootnoteReference"/>
          <w:rFonts w:cs="Calibri"/>
          <w:sz w:val="24"/>
          <w:szCs w:val="24"/>
        </w:rPr>
        <w:footnoteReference w:id="74"/>
      </w:r>
      <w:r w:rsidRPr="00AB1493">
        <w:rPr>
          <w:rFonts w:cs="Calibri"/>
          <w:sz w:val="24"/>
          <w:szCs w:val="24"/>
        </w:rPr>
        <w:t xml:space="preserve"> Perhaps the most bizarre of confirmations is the story of a nameless soldier from the reign of Emperor Yuan of the Jin dynasty, who exchanges a foot with a ‘Hu barbarian’ in order to return to mortal life (unlike his own, it is matted with hair and has a ‘Hu odour’).</w:t>
      </w:r>
      <w:r w:rsidRPr="00AB1493">
        <w:rPr>
          <w:rStyle w:val="FootnoteReference"/>
          <w:rFonts w:cs="Calibri"/>
          <w:sz w:val="24"/>
          <w:szCs w:val="24"/>
        </w:rPr>
        <w:footnoteReference w:id="75"/>
      </w:r>
      <w:r w:rsidR="00934C5C">
        <w:rPr>
          <w:rFonts w:cs="Calibri"/>
          <w:sz w:val="24"/>
          <w:szCs w:val="24"/>
        </w:rPr>
        <w:t xml:space="preserve"> </w:t>
      </w:r>
    </w:p>
    <w:p w14:paraId="0D6856F8" w14:textId="77777777" w:rsidR="00934C5C" w:rsidRPr="00AB1493" w:rsidRDefault="00934C5C" w:rsidP="00EA1AE2">
      <w:pPr>
        <w:spacing w:after="0" w:line="480" w:lineRule="auto"/>
        <w:rPr>
          <w:rFonts w:cs="Calibri"/>
          <w:sz w:val="24"/>
          <w:szCs w:val="24"/>
        </w:rPr>
      </w:pPr>
    </w:p>
    <w:p w14:paraId="20F8482E" w14:textId="1E5E4AC9" w:rsidR="00936D26" w:rsidRPr="00AB1493" w:rsidRDefault="002B45C4" w:rsidP="00EA1AE2">
      <w:pPr>
        <w:spacing w:after="0" w:line="480" w:lineRule="auto"/>
        <w:rPr>
          <w:rFonts w:cs="Calibri"/>
          <w:sz w:val="24"/>
          <w:szCs w:val="24"/>
        </w:rPr>
      </w:pPr>
      <w:r w:rsidRPr="00AB1493">
        <w:rPr>
          <w:rFonts w:cs="Calibri"/>
          <w:sz w:val="24"/>
          <w:szCs w:val="24"/>
        </w:rPr>
        <w:t xml:space="preserve">Accounts of otherworld experiences </w:t>
      </w:r>
      <w:r w:rsidR="0088354A">
        <w:rPr>
          <w:rFonts w:cs="Calibri"/>
          <w:sz w:val="24"/>
          <w:szCs w:val="24"/>
        </w:rPr>
        <w:t xml:space="preserve">(including </w:t>
      </w:r>
      <w:r w:rsidR="0088354A" w:rsidRPr="00AB1493">
        <w:rPr>
          <w:rFonts w:cs="Calibri"/>
          <w:sz w:val="24"/>
          <w:szCs w:val="24"/>
        </w:rPr>
        <w:t>– return-from-death narratives as above</w:t>
      </w:r>
      <w:r w:rsidR="0088354A">
        <w:rPr>
          <w:rFonts w:cs="Calibri"/>
          <w:sz w:val="24"/>
          <w:szCs w:val="24"/>
        </w:rPr>
        <w:t>)</w:t>
      </w:r>
      <w:r w:rsidR="0088354A" w:rsidRPr="00AB1493">
        <w:rPr>
          <w:rFonts w:cs="Calibri"/>
          <w:sz w:val="24"/>
          <w:szCs w:val="24"/>
        </w:rPr>
        <w:t xml:space="preserve"> </w:t>
      </w:r>
      <w:r w:rsidRPr="00AB1493">
        <w:rPr>
          <w:rFonts w:cs="Calibri"/>
          <w:sz w:val="24"/>
          <w:szCs w:val="24"/>
        </w:rPr>
        <w:t xml:space="preserve">are often collected in texts known as </w:t>
      </w:r>
      <w:r w:rsidRPr="00AB1493">
        <w:rPr>
          <w:rFonts w:cs="Calibri"/>
          <w:i/>
          <w:iCs/>
          <w:sz w:val="24"/>
          <w:szCs w:val="24"/>
        </w:rPr>
        <w:t>zhiguai</w:t>
      </w:r>
      <w:r w:rsidRPr="00AB1493">
        <w:rPr>
          <w:rFonts w:cs="Calibri"/>
          <w:sz w:val="24"/>
          <w:szCs w:val="24"/>
        </w:rPr>
        <w:t xml:space="preserve"> (accounts of the strange)</w:t>
      </w:r>
      <w:r w:rsidR="0088354A">
        <w:rPr>
          <w:rFonts w:cs="Calibri"/>
          <w:sz w:val="24"/>
          <w:szCs w:val="24"/>
        </w:rPr>
        <w:t>.</w:t>
      </w:r>
      <w:r w:rsidRPr="00AB1493">
        <w:rPr>
          <w:rStyle w:val="FootnoteReference"/>
          <w:rFonts w:cs="Calibri"/>
          <w:sz w:val="24"/>
          <w:szCs w:val="24"/>
        </w:rPr>
        <w:footnoteReference w:id="76"/>
      </w:r>
      <w:r w:rsidRPr="00AB1493">
        <w:rPr>
          <w:rFonts w:cs="Calibri"/>
          <w:sz w:val="24"/>
          <w:szCs w:val="24"/>
        </w:rPr>
        <w:t xml:space="preserve"> Campany argues that these are an attempt, by writers not otherwise religiously aligned, to come to terms with </w:t>
      </w:r>
      <w:r w:rsidRPr="00AB1493">
        <w:rPr>
          <w:rFonts w:cs="Calibri"/>
          <w:sz w:val="24"/>
          <w:szCs w:val="24"/>
        </w:rPr>
        <w:lastRenderedPageBreak/>
        <w:t>matters not previously explored, and typically are a transformation, often ‘embellished’, from the oral traditions of non-literate people.</w:t>
      </w:r>
      <w:r w:rsidRPr="00AB1493">
        <w:rPr>
          <w:rStyle w:val="FootnoteReference"/>
          <w:rFonts w:cs="Calibri"/>
          <w:sz w:val="24"/>
          <w:szCs w:val="24"/>
        </w:rPr>
        <w:footnoteReference w:id="77"/>
      </w:r>
      <w:r w:rsidRPr="00AB1493">
        <w:rPr>
          <w:rFonts w:cs="Calibri"/>
          <w:sz w:val="24"/>
          <w:szCs w:val="24"/>
        </w:rPr>
        <w:t xml:space="preserve"> These stories do not passively reflect popular notions, nor are they ‘literary fancies’ but rather present “both models </w:t>
      </w:r>
      <w:r w:rsidRPr="00AB1493">
        <w:rPr>
          <w:rFonts w:cs="Calibri"/>
          <w:i/>
          <w:iCs/>
          <w:sz w:val="24"/>
          <w:szCs w:val="24"/>
        </w:rPr>
        <w:t>of</w:t>
      </w:r>
      <w:r w:rsidRPr="00AB1493">
        <w:rPr>
          <w:rFonts w:cs="Calibri"/>
          <w:sz w:val="24"/>
          <w:szCs w:val="24"/>
        </w:rPr>
        <w:t xml:space="preserve"> and models </w:t>
      </w:r>
      <w:r w:rsidRPr="00AB1493">
        <w:rPr>
          <w:rFonts w:cs="Calibri"/>
          <w:i/>
          <w:iCs/>
          <w:sz w:val="24"/>
          <w:szCs w:val="24"/>
        </w:rPr>
        <w:t>for</w:t>
      </w:r>
      <w:r w:rsidRPr="00AB1493">
        <w:rPr>
          <w:rFonts w:cs="Calibri"/>
          <w:sz w:val="24"/>
          <w:szCs w:val="24"/>
        </w:rPr>
        <w:t xml:space="preserve"> the shape of the afterlife”.</w:t>
      </w:r>
      <w:r w:rsidRPr="00AB1493">
        <w:rPr>
          <w:rStyle w:val="FootnoteReference"/>
          <w:rFonts w:cs="Calibri"/>
          <w:sz w:val="24"/>
          <w:szCs w:val="24"/>
        </w:rPr>
        <w:footnoteReference w:id="78"/>
      </w:r>
      <w:r w:rsidRPr="00AB1493">
        <w:rPr>
          <w:rFonts w:cs="Calibri"/>
          <w:sz w:val="24"/>
          <w:szCs w:val="24"/>
        </w:rPr>
        <w:t xml:space="preserve"> Sadly, up to 80% of a once ‘gargantuan’ quantity of such works written pre-Tang have been lost.</w:t>
      </w:r>
      <w:r w:rsidRPr="00AB1493">
        <w:rPr>
          <w:rStyle w:val="FootnoteReference"/>
          <w:rFonts w:cs="Calibri"/>
          <w:sz w:val="24"/>
          <w:szCs w:val="24"/>
        </w:rPr>
        <w:footnoteReference w:id="79"/>
      </w:r>
      <w:r w:rsidR="008D48A2" w:rsidRPr="00AB1493">
        <w:rPr>
          <w:rFonts w:cs="Calibri"/>
          <w:sz w:val="24"/>
          <w:szCs w:val="24"/>
        </w:rPr>
        <w:t xml:space="preserve"> </w:t>
      </w:r>
      <w:r w:rsidRPr="00AB1493">
        <w:rPr>
          <w:rFonts w:cs="Calibri"/>
          <w:sz w:val="24"/>
          <w:szCs w:val="24"/>
        </w:rPr>
        <w:t xml:space="preserve">The </w:t>
      </w:r>
      <w:r w:rsidRPr="00AB1493">
        <w:rPr>
          <w:rFonts w:cs="Calibri"/>
          <w:i/>
          <w:iCs/>
          <w:sz w:val="24"/>
          <w:szCs w:val="24"/>
        </w:rPr>
        <w:t>zhiguai</w:t>
      </w:r>
      <w:r w:rsidRPr="00AB1493">
        <w:rPr>
          <w:rFonts w:cs="Calibri"/>
          <w:sz w:val="24"/>
          <w:szCs w:val="24"/>
        </w:rPr>
        <w:t xml:space="preserve"> do not </w:t>
      </w:r>
      <w:r w:rsidR="009F60FC">
        <w:rPr>
          <w:rFonts w:cs="Calibri"/>
          <w:sz w:val="24"/>
          <w:szCs w:val="24"/>
        </w:rPr>
        <w:t xml:space="preserve">generally </w:t>
      </w:r>
      <w:r w:rsidRPr="00AB1493">
        <w:rPr>
          <w:rFonts w:cs="Calibri"/>
          <w:sz w:val="24"/>
          <w:szCs w:val="24"/>
        </w:rPr>
        <w:t xml:space="preserve">present their protagonists as shamans. </w:t>
      </w:r>
      <w:r w:rsidR="00936D26" w:rsidRPr="00AB1493">
        <w:rPr>
          <w:rFonts w:cs="Calibri"/>
          <w:sz w:val="24"/>
          <w:szCs w:val="24"/>
        </w:rPr>
        <w:t>The shamanic nature of some of the stories is nonetheless obvious: for example</w:t>
      </w:r>
      <w:r w:rsidR="0088354A">
        <w:rPr>
          <w:rFonts w:cs="Calibri"/>
          <w:sz w:val="24"/>
          <w:szCs w:val="24"/>
        </w:rPr>
        <w:t>,</w:t>
      </w:r>
      <w:r w:rsidR="00936D26" w:rsidRPr="00AB1493">
        <w:rPr>
          <w:rFonts w:cs="Calibri"/>
          <w:sz w:val="24"/>
          <w:szCs w:val="24"/>
        </w:rPr>
        <w:t xml:space="preserve"> that of Shi Jun, who, buried alive with his staff, pushes out the staff after </w:t>
      </w:r>
      <w:r w:rsidR="0088354A">
        <w:rPr>
          <w:rFonts w:cs="Calibri"/>
          <w:sz w:val="24"/>
          <w:szCs w:val="24"/>
        </w:rPr>
        <w:t>seven</w:t>
      </w:r>
      <w:r w:rsidR="00936D26" w:rsidRPr="00AB1493">
        <w:rPr>
          <w:rFonts w:cs="Calibri"/>
          <w:sz w:val="24"/>
          <w:szCs w:val="24"/>
        </w:rPr>
        <w:t xml:space="preserve"> days and emerges.</w:t>
      </w:r>
      <w:r w:rsidR="00936D26" w:rsidRPr="00AB1493">
        <w:rPr>
          <w:rStyle w:val="FootnoteReference"/>
          <w:rFonts w:cs="Calibri"/>
          <w:sz w:val="24"/>
          <w:szCs w:val="24"/>
        </w:rPr>
        <w:footnoteReference w:id="80"/>
      </w:r>
      <w:r w:rsidR="00936D26" w:rsidRPr="00AB1493">
        <w:rPr>
          <w:rFonts w:cs="Calibri"/>
          <w:sz w:val="24"/>
          <w:szCs w:val="24"/>
        </w:rPr>
        <w:t xml:space="preserve"> </w:t>
      </w:r>
      <w:r w:rsidR="00123BCC">
        <w:rPr>
          <w:rFonts w:cs="Calibri"/>
          <w:sz w:val="24"/>
          <w:szCs w:val="24"/>
        </w:rPr>
        <w:t xml:space="preserve">Another burial-survival story is in Gan Bao’s </w:t>
      </w:r>
      <w:proofErr w:type="spellStart"/>
      <w:r w:rsidR="00123BCC" w:rsidRPr="00123BCC">
        <w:rPr>
          <w:rFonts w:cs="Calibri"/>
          <w:i/>
          <w:iCs/>
          <w:sz w:val="24"/>
          <w:szCs w:val="24"/>
        </w:rPr>
        <w:t>Soushen</w:t>
      </w:r>
      <w:proofErr w:type="spellEnd"/>
      <w:r w:rsidR="00123BCC" w:rsidRPr="00123BCC">
        <w:rPr>
          <w:rFonts w:cs="Calibri"/>
          <w:i/>
          <w:iCs/>
          <w:sz w:val="24"/>
          <w:szCs w:val="24"/>
        </w:rPr>
        <w:t xml:space="preserve"> ji</w:t>
      </w:r>
      <w:r w:rsidR="00123BCC">
        <w:rPr>
          <w:rFonts w:cs="Calibri"/>
          <w:sz w:val="24"/>
          <w:szCs w:val="24"/>
        </w:rPr>
        <w:t>.</w:t>
      </w:r>
      <w:r w:rsidR="00123BCC">
        <w:rPr>
          <w:rStyle w:val="FootnoteReference"/>
          <w:rFonts w:cs="Calibri"/>
          <w:sz w:val="24"/>
          <w:szCs w:val="24"/>
        </w:rPr>
        <w:footnoteReference w:id="81"/>
      </w:r>
      <w:r w:rsidR="00123BCC">
        <w:rPr>
          <w:rFonts w:cs="Calibri"/>
          <w:sz w:val="24"/>
          <w:szCs w:val="24"/>
        </w:rPr>
        <w:t xml:space="preserve"> </w:t>
      </w:r>
      <w:r w:rsidR="00936D26" w:rsidRPr="00AB1493">
        <w:rPr>
          <w:rFonts w:cs="Calibri"/>
          <w:sz w:val="24"/>
          <w:szCs w:val="24"/>
        </w:rPr>
        <w:t>Initiation via a burial rite is well-known in traditional and modern shamanism.</w:t>
      </w:r>
      <w:r w:rsidR="00936D26" w:rsidRPr="00AB1493">
        <w:rPr>
          <w:rStyle w:val="FootnoteReference"/>
          <w:rFonts w:cs="Calibri"/>
          <w:sz w:val="24"/>
          <w:szCs w:val="24"/>
        </w:rPr>
        <w:footnoteReference w:id="82"/>
      </w:r>
      <w:r w:rsidR="00936D26" w:rsidRPr="00AB1493">
        <w:rPr>
          <w:rFonts w:cs="Calibri"/>
          <w:sz w:val="24"/>
          <w:szCs w:val="24"/>
        </w:rPr>
        <w:t xml:space="preserve"> </w:t>
      </w:r>
    </w:p>
    <w:p w14:paraId="16821563" w14:textId="77777777" w:rsidR="008953C2" w:rsidRPr="00AB1493" w:rsidRDefault="008953C2" w:rsidP="00EA1AE2">
      <w:pPr>
        <w:spacing w:after="0" w:line="480" w:lineRule="auto"/>
        <w:rPr>
          <w:rFonts w:cs="Calibri"/>
          <w:sz w:val="24"/>
          <w:szCs w:val="24"/>
        </w:rPr>
      </w:pPr>
    </w:p>
    <w:p w14:paraId="7F146EE4" w14:textId="1CE6016B" w:rsidR="00B9439B" w:rsidRPr="00AB1493" w:rsidRDefault="002B45C4" w:rsidP="00EA1AE2">
      <w:pPr>
        <w:spacing w:after="0" w:line="480" w:lineRule="auto"/>
        <w:rPr>
          <w:rFonts w:cs="Calibri"/>
          <w:sz w:val="24"/>
          <w:szCs w:val="24"/>
        </w:rPr>
      </w:pPr>
      <w:r w:rsidRPr="00AB1493">
        <w:rPr>
          <w:rFonts w:cs="Calibri"/>
          <w:sz w:val="24"/>
          <w:szCs w:val="24"/>
        </w:rPr>
        <w:t xml:space="preserve">A major feature of the Chinese otherworlds is that they </w:t>
      </w:r>
      <w:r w:rsidR="00625F10" w:rsidRPr="00AB1493">
        <w:rPr>
          <w:rFonts w:cs="Calibri"/>
          <w:sz w:val="24"/>
          <w:szCs w:val="24"/>
        </w:rPr>
        <w:t xml:space="preserve">often </w:t>
      </w:r>
      <w:r w:rsidRPr="00AB1493">
        <w:rPr>
          <w:rFonts w:cs="Calibri"/>
          <w:sz w:val="24"/>
          <w:szCs w:val="24"/>
        </w:rPr>
        <w:t>appear coterminous with ordinary reality: they are not even unusual or ‘supernatural’ in the typical European sense; becom</w:t>
      </w:r>
      <w:r w:rsidR="00816C2F" w:rsidRPr="00AB1493">
        <w:rPr>
          <w:rFonts w:cs="Calibri"/>
          <w:sz w:val="24"/>
          <w:szCs w:val="24"/>
        </w:rPr>
        <w:t xml:space="preserve">ing </w:t>
      </w:r>
      <w:r w:rsidRPr="00AB1493">
        <w:rPr>
          <w:rFonts w:cs="Calibri"/>
          <w:sz w:val="24"/>
          <w:szCs w:val="24"/>
        </w:rPr>
        <w:t>perceptible at any moment</w:t>
      </w:r>
      <w:r w:rsidR="008953C2" w:rsidRPr="00AB1493">
        <w:rPr>
          <w:rFonts w:cs="Calibri"/>
          <w:sz w:val="24"/>
          <w:szCs w:val="24"/>
        </w:rPr>
        <w:t>, requiring minimal ‘travel’</w:t>
      </w:r>
      <w:r w:rsidRPr="00AB1493">
        <w:rPr>
          <w:rFonts w:cs="Calibri"/>
          <w:sz w:val="24"/>
          <w:szCs w:val="24"/>
        </w:rPr>
        <w:t>.</w:t>
      </w:r>
      <w:r w:rsidRPr="00AB1493">
        <w:rPr>
          <w:rStyle w:val="FootnoteReference"/>
          <w:rFonts w:cs="Calibri"/>
          <w:sz w:val="24"/>
          <w:szCs w:val="24"/>
        </w:rPr>
        <w:footnoteReference w:id="83"/>
      </w:r>
      <w:r w:rsidRPr="00AB1493">
        <w:rPr>
          <w:rFonts w:cs="Calibri"/>
          <w:sz w:val="24"/>
          <w:szCs w:val="24"/>
        </w:rPr>
        <w:t xml:space="preserve"> For example, in the story of Lu Chong, he shifts worlds without realising, through what he later </w:t>
      </w:r>
      <w:r w:rsidR="008953C2" w:rsidRPr="00AB1493">
        <w:rPr>
          <w:rFonts w:cs="Calibri"/>
          <w:sz w:val="24"/>
          <w:szCs w:val="24"/>
        </w:rPr>
        <w:t xml:space="preserve">discovers </w:t>
      </w:r>
      <w:r w:rsidRPr="00AB1493">
        <w:rPr>
          <w:rFonts w:cs="Calibri"/>
          <w:sz w:val="24"/>
          <w:szCs w:val="24"/>
        </w:rPr>
        <w:t xml:space="preserve">is the entrance to the tomb of Cui. As with the corroboration related of NDEs discussed above, his experience is by no means ‘purely imaginary’: he acquires an otherworld wife (actually </w:t>
      </w:r>
      <w:r w:rsidRPr="00AB1493">
        <w:rPr>
          <w:rFonts w:cs="Calibri"/>
          <w:sz w:val="24"/>
          <w:szCs w:val="24"/>
        </w:rPr>
        <w:lastRenderedPageBreak/>
        <w:t>deceased), who four years later, after his return to the mortal world, briefly visits and deposits with him their son, who grows up normally.</w:t>
      </w:r>
      <w:r w:rsidRPr="00AB1493">
        <w:rPr>
          <w:rStyle w:val="FootnoteReference"/>
          <w:rFonts w:cs="Calibri"/>
          <w:sz w:val="24"/>
          <w:szCs w:val="24"/>
        </w:rPr>
        <w:footnoteReference w:id="84"/>
      </w:r>
      <w:r w:rsidR="00B9439B" w:rsidRPr="00AB1493">
        <w:rPr>
          <w:rFonts w:cs="Calibri"/>
          <w:sz w:val="24"/>
          <w:szCs w:val="24"/>
        </w:rPr>
        <w:t xml:space="preserve"> It appears that although in ordinary reality, tombs may be no more than a dumping-ground for the corpse, in non-ordinary reality, they </w:t>
      </w:r>
      <w:r w:rsidR="00AA275D" w:rsidRPr="00AB1493">
        <w:rPr>
          <w:rFonts w:cs="Calibri"/>
          <w:sz w:val="24"/>
          <w:szCs w:val="24"/>
        </w:rPr>
        <w:t xml:space="preserve">can be </w:t>
      </w:r>
      <w:r w:rsidR="00B9439B" w:rsidRPr="00AB1493">
        <w:rPr>
          <w:rFonts w:cs="Calibri"/>
          <w:sz w:val="24"/>
          <w:szCs w:val="24"/>
        </w:rPr>
        <w:t>definite residences for the dead, “active vital homes”.</w:t>
      </w:r>
      <w:r w:rsidR="00B9439B" w:rsidRPr="00AB1493">
        <w:rPr>
          <w:rStyle w:val="FootnoteReference"/>
          <w:rFonts w:cs="Calibri"/>
          <w:sz w:val="24"/>
          <w:szCs w:val="24"/>
        </w:rPr>
        <w:footnoteReference w:id="85"/>
      </w:r>
      <w:r w:rsidR="00B9439B" w:rsidRPr="00AB1493">
        <w:rPr>
          <w:rFonts w:cs="Calibri"/>
          <w:sz w:val="24"/>
          <w:szCs w:val="24"/>
        </w:rPr>
        <w:t xml:space="preserve"> </w:t>
      </w:r>
      <w:r w:rsidR="00C03B41">
        <w:rPr>
          <w:rFonts w:cs="Calibri"/>
          <w:sz w:val="24"/>
          <w:szCs w:val="24"/>
        </w:rPr>
        <w:t xml:space="preserve">Lai argues </w:t>
      </w:r>
      <w:r w:rsidR="0088354A">
        <w:rPr>
          <w:rFonts w:cs="Calibri"/>
          <w:sz w:val="24"/>
          <w:szCs w:val="24"/>
        </w:rPr>
        <w:t xml:space="preserve">however </w:t>
      </w:r>
      <w:r w:rsidR="00C03B41">
        <w:rPr>
          <w:rFonts w:cs="Calibri"/>
          <w:sz w:val="24"/>
          <w:szCs w:val="24"/>
        </w:rPr>
        <w:t xml:space="preserve">for a shift of perspective, at about the end of the Warring States period, from that of </w:t>
      </w:r>
      <w:r w:rsidR="0088354A">
        <w:rPr>
          <w:rFonts w:cs="Calibri"/>
          <w:sz w:val="24"/>
          <w:szCs w:val="24"/>
        </w:rPr>
        <w:t xml:space="preserve">the tomb as </w:t>
      </w:r>
      <w:r w:rsidR="00C03B41">
        <w:rPr>
          <w:rFonts w:cs="Calibri"/>
          <w:sz w:val="24"/>
          <w:szCs w:val="24"/>
        </w:rPr>
        <w:t xml:space="preserve">“happy home” of the dead to a novel vision of the afterlife as an otherworldly journey, in particular to Mount </w:t>
      </w:r>
      <w:proofErr w:type="spellStart"/>
      <w:r w:rsidR="00C03B41">
        <w:rPr>
          <w:rFonts w:cs="Calibri"/>
          <w:sz w:val="24"/>
          <w:szCs w:val="24"/>
        </w:rPr>
        <w:t>Buzhou</w:t>
      </w:r>
      <w:proofErr w:type="spellEnd"/>
      <w:r w:rsidR="00C03B41">
        <w:rPr>
          <w:rFonts w:cs="Calibri"/>
          <w:sz w:val="24"/>
          <w:szCs w:val="24"/>
        </w:rPr>
        <w:t xml:space="preserve"> in the far northwest.</w:t>
      </w:r>
      <w:r w:rsidR="00C03B41">
        <w:rPr>
          <w:rStyle w:val="FootnoteReference"/>
          <w:rFonts w:cs="Calibri"/>
          <w:sz w:val="24"/>
          <w:szCs w:val="24"/>
        </w:rPr>
        <w:footnoteReference w:id="86"/>
      </w:r>
    </w:p>
    <w:p w14:paraId="6F91399E" w14:textId="77777777" w:rsidR="00AA275D" w:rsidRPr="00AB1493" w:rsidRDefault="00AA275D" w:rsidP="00EA1AE2">
      <w:pPr>
        <w:spacing w:after="0" w:line="480" w:lineRule="auto"/>
        <w:rPr>
          <w:rFonts w:cs="Calibri"/>
          <w:sz w:val="24"/>
          <w:szCs w:val="24"/>
        </w:rPr>
      </w:pPr>
    </w:p>
    <w:p w14:paraId="3E764EB2" w14:textId="576BC734" w:rsidR="008953C2" w:rsidRPr="00AB1493" w:rsidRDefault="008953C2" w:rsidP="00EA1AE2">
      <w:pPr>
        <w:spacing w:after="0" w:line="480" w:lineRule="auto"/>
        <w:rPr>
          <w:rFonts w:cs="Calibri"/>
          <w:sz w:val="24"/>
          <w:szCs w:val="24"/>
        </w:rPr>
      </w:pPr>
      <w:r w:rsidRPr="00AB1493">
        <w:rPr>
          <w:rFonts w:cs="Calibri"/>
          <w:sz w:val="24"/>
          <w:szCs w:val="24"/>
        </w:rPr>
        <w:t xml:space="preserve">Mountains </w:t>
      </w:r>
      <w:r w:rsidR="005367DA" w:rsidRPr="00AB1493">
        <w:rPr>
          <w:rFonts w:cs="Calibri"/>
          <w:sz w:val="24"/>
          <w:szCs w:val="24"/>
        </w:rPr>
        <w:t>generally have a resident deity, by no means always benign, though in Buddhist texts easily subdued by the pious.</w:t>
      </w:r>
      <w:r w:rsidR="005367DA" w:rsidRPr="00AB1493">
        <w:rPr>
          <w:rStyle w:val="FootnoteReference"/>
          <w:rFonts w:cs="Calibri"/>
          <w:sz w:val="24"/>
          <w:szCs w:val="24"/>
        </w:rPr>
        <w:footnoteReference w:id="87"/>
      </w:r>
      <w:r w:rsidR="005367DA" w:rsidRPr="00AB1493">
        <w:rPr>
          <w:rFonts w:cs="Calibri"/>
          <w:sz w:val="24"/>
          <w:szCs w:val="24"/>
        </w:rPr>
        <w:t xml:space="preserve"> Frequently they </w:t>
      </w:r>
      <w:r w:rsidRPr="00AB1493">
        <w:rPr>
          <w:rFonts w:cs="Calibri"/>
          <w:sz w:val="24"/>
          <w:szCs w:val="24"/>
        </w:rPr>
        <w:t>are liminal with respect to otherworld experience</w:t>
      </w:r>
      <w:r w:rsidR="005367DA" w:rsidRPr="00AB1493">
        <w:rPr>
          <w:rFonts w:cs="Calibri"/>
          <w:sz w:val="24"/>
          <w:szCs w:val="24"/>
        </w:rPr>
        <w:t xml:space="preserve">, passage is very easy: their </w:t>
      </w:r>
      <w:r w:rsidRPr="00AB1493">
        <w:rPr>
          <w:rFonts w:cs="Calibri"/>
          <w:sz w:val="24"/>
          <w:szCs w:val="24"/>
        </w:rPr>
        <w:t>denizens warn of violation or take revenge at unfulfilled promises</w:t>
      </w:r>
      <w:r w:rsidR="005367DA" w:rsidRPr="00AB1493">
        <w:rPr>
          <w:rFonts w:cs="Calibri"/>
          <w:sz w:val="24"/>
          <w:szCs w:val="24"/>
        </w:rPr>
        <w:t>.</w:t>
      </w:r>
      <w:r w:rsidR="005367DA" w:rsidRPr="00AB1493">
        <w:rPr>
          <w:rStyle w:val="FootnoteReference"/>
          <w:rFonts w:cs="Calibri"/>
          <w:sz w:val="24"/>
          <w:szCs w:val="24"/>
        </w:rPr>
        <w:footnoteReference w:id="88"/>
      </w:r>
      <w:r w:rsidR="005367DA" w:rsidRPr="00AB1493">
        <w:rPr>
          <w:rFonts w:cs="Calibri"/>
          <w:sz w:val="24"/>
          <w:szCs w:val="24"/>
        </w:rPr>
        <w:t xml:space="preserve"> Peaches are especially dangerous</w:t>
      </w:r>
      <w:r w:rsidR="004A30A9">
        <w:rPr>
          <w:rFonts w:cs="Calibri"/>
          <w:sz w:val="24"/>
          <w:szCs w:val="24"/>
        </w:rPr>
        <w:t xml:space="preserve">, their </w:t>
      </w:r>
      <w:r w:rsidR="004A30A9" w:rsidRPr="00AB1493">
        <w:rPr>
          <w:rFonts w:cs="Calibri"/>
          <w:sz w:val="24"/>
          <w:szCs w:val="24"/>
        </w:rPr>
        <w:t>consumption serves to effect the opening of an otherworld gateway</w:t>
      </w:r>
      <w:r w:rsidR="004A30A9">
        <w:rPr>
          <w:rFonts w:cs="Calibri"/>
          <w:sz w:val="24"/>
          <w:szCs w:val="24"/>
        </w:rPr>
        <w:t>, often described as</w:t>
      </w:r>
      <w:r w:rsidR="005367DA" w:rsidRPr="00AB1493">
        <w:rPr>
          <w:rFonts w:cs="Calibri"/>
          <w:sz w:val="24"/>
          <w:szCs w:val="24"/>
        </w:rPr>
        <w:t xml:space="preserve"> the fruit of ‘immortality’, dispensed by Mountain Mother of the West, Xiwangmu</w:t>
      </w:r>
      <w:r w:rsidR="004A30A9">
        <w:rPr>
          <w:rFonts w:cs="Calibri"/>
          <w:sz w:val="24"/>
          <w:szCs w:val="24"/>
        </w:rPr>
        <w:t>.</w:t>
      </w:r>
      <w:r w:rsidR="005367DA" w:rsidRPr="00AB1493">
        <w:rPr>
          <w:rStyle w:val="FootnoteReference"/>
          <w:rFonts w:cs="Calibri"/>
          <w:sz w:val="24"/>
          <w:szCs w:val="24"/>
        </w:rPr>
        <w:footnoteReference w:id="89"/>
      </w:r>
      <w:r w:rsidR="00922743" w:rsidRPr="00AB1493">
        <w:rPr>
          <w:rFonts w:cs="Calibri"/>
          <w:sz w:val="24"/>
          <w:szCs w:val="24"/>
        </w:rPr>
        <w:t xml:space="preserve"> P</w:t>
      </w:r>
      <w:r w:rsidRPr="00AB1493">
        <w:rPr>
          <w:rFonts w:cs="Calibri"/>
          <w:sz w:val="24"/>
          <w:szCs w:val="24"/>
        </w:rPr>
        <w:t xml:space="preserve">assage of time on otherworld </w:t>
      </w:r>
      <w:r w:rsidRPr="00AB1493">
        <w:rPr>
          <w:rFonts w:cs="Calibri"/>
          <w:sz w:val="24"/>
          <w:szCs w:val="24"/>
        </w:rPr>
        <w:lastRenderedPageBreak/>
        <w:t>mountains does not match that of the everyday world.</w:t>
      </w:r>
      <w:r w:rsidRPr="00AB1493">
        <w:rPr>
          <w:rStyle w:val="FootnoteReference"/>
          <w:rFonts w:cs="Calibri"/>
          <w:sz w:val="24"/>
          <w:szCs w:val="24"/>
        </w:rPr>
        <w:footnoteReference w:id="90"/>
      </w:r>
      <w:r w:rsidRPr="00AB1493">
        <w:rPr>
          <w:rFonts w:cs="Calibri"/>
          <w:sz w:val="24"/>
          <w:szCs w:val="24"/>
        </w:rPr>
        <w:t xml:space="preserve"> In a story set in the reign of the Han Emperor Ming Liu Chen and Ruan Zhao are lost in the </w:t>
      </w:r>
      <w:proofErr w:type="spellStart"/>
      <w:r w:rsidRPr="00AB1493">
        <w:rPr>
          <w:rFonts w:cs="Calibri"/>
          <w:sz w:val="24"/>
          <w:szCs w:val="24"/>
        </w:rPr>
        <w:t>Tiantai</w:t>
      </w:r>
      <w:proofErr w:type="spellEnd"/>
      <w:r w:rsidRPr="00AB1493">
        <w:rPr>
          <w:rFonts w:cs="Calibri"/>
          <w:sz w:val="24"/>
          <w:szCs w:val="24"/>
        </w:rPr>
        <w:t xml:space="preserve"> Mountains and at the point of starvation they find a peach tree and eat several of the fruit.</w:t>
      </w:r>
      <w:r w:rsidRPr="00AB1493">
        <w:rPr>
          <w:rStyle w:val="FootnoteReference"/>
          <w:rFonts w:cs="Calibri"/>
          <w:sz w:val="24"/>
          <w:szCs w:val="24"/>
        </w:rPr>
        <w:footnoteReference w:id="91"/>
      </w:r>
      <w:r w:rsidRPr="00AB1493">
        <w:rPr>
          <w:rFonts w:cs="Calibri"/>
          <w:sz w:val="24"/>
          <w:szCs w:val="24"/>
        </w:rPr>
        <w:t xml:space="preserve"> Subsequently, “two young women of surpassing beauty” appear, with whom the</w:t>
      </w:r>
      <w:r w:rsidR="00D03698" w:rsidRPr="00AB1493">
        <w:rPr>
          <w:rFonts w:cs="Calibri"/>
          <w:sz w:val="24"/>
          <w:szCs w:val="24"/>
        </w:rPr>
        <w:t xml:space="preserve"> men </w:t>
      </w:r>
      <w:r w:rsidRPr="00AB1493">
        <w:rPr>
          <w:rFonts w:cs="Calibri"/>
          <w:sz w:val="24"/>
          <w:szCs w:val="24"/>
        </w:rPr>
        <w:t>cohabit for more than six months. Eventually, homesick, they return home but find their village “already fallen to ruin ten generations a-gone”.</w:t>
      </w:r>
    </w:p>
    <w:p w14:paraId="0445773B" w14:textId="77777777" w:rsidR="00922743" w:rsidRPr="00AB1493" w:rsidRDefault="00922743" w:rsidP="00EA1AE2">
      <w:pPr>
        <w:spacing w:after="0" w:line="480" w:lineRule="auto"/>
        <w:rPr>
          <w:rFonts w:cs="Calibri"/>
          <w:sz w:val="24"/>
          <w:szCs w:val="24"/>
        </w:rPr>
      </w:pPr>
    </w:p>
    <w:p w14:paraId="0B853A21" w14:textId="55D91EAD" w:rsidR="00922743" w:rsidRPr="00AB1493" w:rsidRDefault="00922743" w:rsidP="00EA1AE2">
      <w:pPr>
        <w:spacing w:after="0" w:line="480" w:lineRule="auto"/>
        <w:rPr>
          <w:rFonts w:cs="Calibri"/>
          <w:sz w:val="24"/>
          <w:szCs w:val="24"/>
        </w:rPr>
      </w:pPr>
      <w:r w:rsidRPr="00AB1493">
        <w:rPr>
          <w:rFonts w:cs="Calibri"/>
          <w:sz w:val="24"/>
          <w:szCs w:val="24"/>
        </w:rPr>
        <w:t>Lakes and rivers are also very much potentially, if not always, otherworld locations</w:t>
      </w:r>
      <w:r w:rsidR="009356AF">
        <w:rPr>
          <w:rFonts w:cs="Calibri"/>
          <w:sz w:val="24"/>
          <w:szCs w:val="24"/>
        </w:rPr>
        <w:t xml:space="preserve"> – lakes upon mountains especially liminal - again</w:t>
      </w:r>
      <w:r w:rsidRPr="00AB1493">
        <w:rPr>
          <w:rFonts w:cs="Calibri"/>
          <w:sz w:val="24"/>
          <w:szCs w:val="24"/>
        </w:rPr>
        <w:t xml:space="preserve"> with their own deities or resident spirit beings. Stories nearly always have male protagonists, so it is the female spirits who are described as either amorous or in need of husbands. A tale of Lake Shang has a man fall asleep in the water. Awaking to an otherworld reality, he gains a bride and generous gifts including medical prescriptions, but is ejected after four days, with reunion promised after ten years, even though the bride weeps as they part. The experience is transformative, the man becoming a </w:t>
      </w:r>
      <w:r w:rsidR="00EB5B51">
        <w:rPr>
          <w:rFonts w:cs="Calibri"/>
          <w:sz w:val="24"/>
          <w:szCs w:val="24"/>
        </w:rPr>
        <w:t>D</w:t>
      </w:r>
      <w:r w:rsidRPr="00AB1493">
        <w:rPr>
          <w:rFonts w:cs="Calibri"/>
          <w:sz w:val="24"/>
          <w:szCs w:val="24"/>
        </w:rPr>
        <w:t>aoist.</w:t>
      </w:r>
      <w:r w:rsidRPr="00AB1493">
        <w:rPr>
          <w:rStyle w:val="FootnoteReference"/>
          <w:rFonts w:cs="Calibri"/>
          <w:sz w:val="24"/>
          <w:szCs w:val="24"/>
        </w:rPr>
        <w:footnoteReference w:id="92"/>
      </w:r>
      <w:r w:rsidRPr="00AB1493">
        <w:rPr>
          <w:rFonts w:cs="Calibri"/>
          <w:sz w:val="24"/>
          <w:szCs w:val="24"/>
        </w:rPr>
        <w:t xml:space="preserve"> A story of Ou Ming has him regularly crossing a lake, throwing in a little of his goods each time. One day, a ‘great highway’ suddenly appears, and ‘much human activity’. The Lord of the Dark Flood rewards him, firstly with his serving maid, and on return his wishes come to be.</w:t>
      </w:r>
      <w:r w:rsidRPr="00AB1493">
        <w:rPr>
          <w:rStyle w:val="FootnoteReference"/>
          <w:rFonts w:cs="Calibri"/>
          <w:sz w:val="24"/>
          <w:szCs w:val="24"/>
        </w:rPr>
        <w:footnoteReference w:id="93"/>
      </w:r>
      <w:r w:rsidRPr="00AB1493">
        <w:rPr>
          <w:rFonts w:cs="Calibri"/>
          <w:sz w:val="24"/>
          <w:szCs w:val="24"/>
        </w:rPr>
        <w:t xml:space="preserve">  </w:t>
      </w:r>
    </w:p>
    <w:p w14:paraId="4B9ED1D9" w14:textId="77777777" w:rsidR="0088354A" w:rsidRPr="00AB1493" w:rsidRDefault="0088354A" w:rsidP="00EA1AE2">
      <w:pPr>
        <w:spacing w:after="0" w:line="480" w:lineRule="auto"/>
        <w:rPr>
          <w:rFonts w:cs="Calibri"/>
          <w:sz w:val="24"/>
          <w:szCs w:val="24"/>
        </w:rPr>
      </w:pPr>
    </w:p>
    <w:p w14:paraId="1113CD0C" w14:textId="4B36F2B7" w:rsidR="00922743" w:rsidRPr="00AB1493" w:rsidRDefault="00922743" w:rsidP="00EA1AE2">
      <w:pPr>
        <w:spacing w:after="0" w:line="480" w:lineRule="auto"/>
        <w:rPr>
          <w:rFonts w:cs="Calibri"/>
          <w:sz w:val="24"/>
          <w:szCs w:val="24"/>
        </w:rPr>
      </w:pPr>
      <w:r w:rsidRPr="00AB1493">
        <w:rPr>
          <w:rFonts w:cs="Calibri"/>
          <w:sz w:val="24"/>
          <w:szCs w:val="24"/>
        </w:rPr>
        <w:lastRenderedPageBreak/>
        <w:t>A more cautionary tale is of Hu-mu Pan travelling at the foot of Tai-</w:t>
      </w:r>
      <w:proofErr w:type="spellStart"/>
      <w:r w:rsidRPr="00AB1493">
        <w:rPr>
          <w:rFonts w:cs="Calibri"/>
          <w:sz w:val="24"/>
          <w:szCs w:val="24"/>
        </w:rPr>
        <w:t>shan</w:t>
      </w:r>
      <w:proofErr w:type="spellEnd"/>
      <w:r w:rsidRPr="00AB1493">
        <w:rPr>
          <w:rFonts w:cs="Calibri"/>
          <w:sz w:val="24"/>
          <w:szCs w:val="24"/>
        </w:rPr>
        <w:t>, serving as intermediary with the Lord of Tai-</w:t>
      </w:r>
      <w:proofErr w:type="spellStart"/>
      <w:r w:rsidRPr="00AB1493">
        <w:rPr>
          <w:rFonts w:cs="Calibri"/>
          <w:sz w:val="24"/>
          <w:szCs w:val="24"/>
        </w:rPr>
        <w:t>shan’s</w:t>
      </w:r>
      <w:proofErr w:type="spellEnd"/>
      <w:r w:rsidRPr="00AB1493">
        <w:rPr>
          <w:rFonts w:cs="Calibri"/>
          <w:sz w:val="24"/>
          <w:szCs w:val="24"/>
        </w:rPr>
        <w:t xml:space="preserve"> daughter, who is wife of the Yellow River god. In the process. He finds his own deceased father ‘in manacles doing convict labour’, and </w:t>
      </w:r>
      <w:proofErr w:type="gramStart"/>
      <w:r w:rsidRPr="00AB1493">
        <w:rPr>
          <w:rFonts w:cs="Calibri"/>
          <w:sz w:val="24"/>
          <w:szCs w:val="24"/>
        </w:rPr>
        <w:t>is able to</w:t>
      </w:r>
      <w:proofErr w:type="gramEnd"/>
      <w:r w:rsidRPr="00AB1493">
        <w:rPr>
          <w:rFonts w:cs="Calibri"/>
          <w:sz w:val="24"/>
          <w:szCs w:val="24"/>
        </w:rPr>
        <w:t xml:space="preserve"> plead for his release. However, this results in the death of Hu-mu’s </w:t>
      </w:r>
      <w:r w:rsidR="00E43E0F" w:rsidRPr="00AB1493">
        <w:rPr>
          <w:rFonts w:cs="Calibri"/>
          <w:sz w:val="24"/>
          <w:szCs w:val="24"/>
        </w:rPr>
        <w:t>sons,</w:t>
      </w:r>
      <w:r w:rsidRPr="00AB1493">
        <w:rPr>
          <w:rFonts w:cs="Calibri"/>
          <w:sz w:val="24"/>
          <w:szCs w:val="24"/>
        </w:rPr>
        <w:t xml:space="preserve"> and he is subsequently told by Tai-</w:t>
      </w:r>
      <w:proofErr w:type="spellStart"/>
      <w:r w:rsidRPr="00AB1493">
        <w:rPr>
          <w:rFonts w:cs="Calibri"/>
          <w:sz w:val="24"/>
          <w:szCs w:val="24"/>
        </w:rPr>
        <w:t>shan</w:t>
      </w:r>
      <w:proofErr w:type="spellEnd"/>
      <w:r w:rsidRPr="00AB1493">
        <w:rPr>
          <w:rFonts w:cs="Calibri"/>
          <w:sz w:val="24"/>
          <w:szCs w:val="24"/>
        </w:rPr>
        <w:t xml:space="preserve"> that “the ways of the living and the dead are separate and cannot be brought together”.</w:t>
      </w:r>
      <w:r w:rsidRPr="00AB1493">
        <w:rPr>
          <w:rStyle w:val="FootnoteReference"/>
          <w:rFonts w:cs="Calibri"/>
          <w:sz w:val="24"/>
          <w:szCs w:val="24"/>
        </w:rPr>
        <w:footnoteReference w:id="94"/>
      </w:r>
    </w:p>
    <w:p w14:paraId="05E85E4C" w14:textId="77777777" w:rsidR="008953C2" w:rsidRPr="00AB1493" w:rsidRDefault="008953C2" w:rsidP="00EA1AE2">
      <w:pPr>
        <w:spacing w:after="0" w:line="480" w:lineRule="auto"/>
        <w:rPr>
          <w:rFonts w:cs="Calibri"/>
          <w:sz w:val="24"/>
          <w:szCs w:val="24"/>
        </w:rPr>
      </w:pPr>
    </w:p>
    <w:p w14:paraId="0ED94493" w14:textId="1E28191C" w:rsidR="007A2D5A" w:rsidRPr="00AB1493" w:rsidRDefault="00B9439B" w:rsidP="00EA1AE2">
      <w:pPr>
        <w:spacing w:after="0" w:line="480" w:lineRule="auto"/>
        <w:rPr>
          <w:rFonts w:cs="Calibri"/>
          <w:sz w:val="24"/>
          <w:szCs w:val="24"/>
        </w:rPr>
      </w:pPr>
      <w:r w:rsidRPr="00AB1493">
        <w:rPr>
          <w:rFonts w:cs="Calibri"/>
          <w:sz w:val="24"/>
          <w:szCs w:val="24"/>
        </w:rPr>
        <w:t>Academic discussions of shamanism are aware of the ubiquity of a three-level-universe: travels are understood to be to ‘</w:t>
      </w:r>
      <w:r w:rsidR="00625F10" w:rsidRPr="00AB1493">
        <w:rPr>
          <w:rFonts w:cs="Calibri"/>
          <w:sz w:val="24"/>
          <w:szCs w:val="24"/>
        </w:rPr>
        <w:t>Lower</w:t>
      </w:r>
      <w:r w:rsidRPr="00AB1493">
        <w:rPr>
          <w:rFonts w:cs="Calibri"/>
          <w:sz w:val="24"/>
          <w:szCs w:val="24"/>
        </w:rPr>
        <w:t>world’ and ‘</w:t>
      </w:r>
      <w:r w:rsidR="00625F10" w:rsidRPr="00AB1493">
        <w:rPr>
          <w:rFonts w:cs="Calibri"/>
          <w:sz w:val="24"/>
          <w:szCs w:val="24"/>
        </w:rPr>
        <w:t>U</w:t>
      </w:r>
      <w:r w:rsidRPr="00AB1493">
        <w:rPr>
          <w:rFonts w:cs="Calibri"/>
          <w:sz w:val="24"/>
          <w:szCs w:val="24"/>
        </w:rPr>
        <w:t xml:space="preserve">pperworld’, but the ‘middle world’ is usually taken as ordinary reality, the world we all know. Modern shamanic practice however considers </w:t>
      </w:r>
      <w:r w:rsidR="00625F10" w:rsidRPr="00AB1493">
        <w:rPr>
          <w:rFonts w:cs="Calibri"/>
          <w:sz w:val="24"/>
          <w:szCs w:val="24"/>
        </w:rPr>
        <w:t>‘</w:t>
      </w:r>
      <w:r w:rsidRPr="00AB1493">
        <w:rPr>
          <w:rFonts w:cs="Calibri"/>
          <w:sz w:val="24"/>
          <w:szCs w:val="24"/>
        </w:rPr>
        <w:t>Middleworld</w:t>
      </w:r>
      <w:r w:rsidR="00625F10" w:rsidRPr="00AB1493">
        <w:rPr>
          <w:rFonts w:cs="Calibri"/>
          <w:sz w:val="24"/>
          <w:szCs w:val="24"/>
        </w:rPr>
        <w:t>’</w:t>
      </w:r>
      <w:r w:rsidRPr="00AB1493">
        <w:rPr>
          <w:rFonts w:cs="Calibri"/>
          <w:sz w:val="24"/>
          <w:szCs w:val="24"/>
        </w:rPr>
        <w:t xml:space="preserve"> in a more complex sense as a non-ordinary analogue of the everyday world: amongst other features, it is a location for deceased spirits who have not properly transitioned due to trauma and those otherwise lost.</w:t>
      </w:r>
      <w:r w:rsidRPr="00AB1493">
        <w:rPr>
          <w:rStyle w:val="FootnoteReference"/>
          <w:rFonts w:cs="Calibri"/>
          <w:sz w:val="24"/>
          <w:szCs w:val="24"/>
        </w:rPr>
        <w:footnoteReference w:id="95"/>
      </w:r>
      <w:r w:rsidRPr="00AB1493">
        <w:rPr>
          <w:rFonts w:cs="Calibri"/>
          <w:sz w:val="24"/>
          <w:szCs w:val="24"/>
        </w:rPr>
        <w:t xml:space="preserve"> Harner notes that there is always a barrier to be passed between Middleworld and Upper or Lower worlds</w:t>
      </w:r>
      <w:r w:rsidRPr="00AB1493">
        <w:rPr>
          <w:rStyle w:val="FootnoteReference"/>
          <w:rFonts w:cs="Calibri"/>
          <w:sz w:val="24"/>
          <w:szCs w:val="24"/>
        </w:rPr>
        <w:footnoteReference w:id="96"/>
      </w:r>
      <w:r w:rsidRPr="00AB1493">
        <w:rPr>
          <w:rFonts w:cs="Calibri"/>
          <w:sz w:val="24"/>
          <w:szCs w:val="24"/>
        </w:rPr>
        <w:t xml:space="preserve"> – the absence of such in stories such as th</w:t>
      </w:r>
      <w:r w:rsidR="00625F10" w:rsidRPr="00AB1493">
        <w:rPr>
          <w:rFonts w:cs="Calibri"/>
          <w:sz w:val="24"/>
          <w:szCs w:val="24"/>
        </w:rPr>
        <w:t xml:space="preserve">at of Lu Chong </w:t>
      </w:r>
      <w:r w:rsidRPr="00AB1493">
        <w:rPr>
          <w:rFonts w:cs="Calibri"/>
          <w:sz w:val="24"/>
          <w:szCs w:val="24"/>
        </w:rPr>
        <w:t>above suggest</w:t>
      </w:r>
      <w:r w:rsidR="00625F10" w:rsidRPr="00AB1493">
        <w:rPr>
          <w:rFonts w:cs="Calibri"/>
          <w:sz w:val="24"/>
          <w:szCs w:val="24"/>
        </w:rPr>
        <w:t>s</w:t>
      </w:r>
      <w:r w:rsidRPr="00AB1493">
        <w:rPr>
          <w:rFonts w:cs="Calibri"/>
          <w:sz w:val="24"/>
          <w:szCs w:val="24"/>
        </w:rPr>
        <w:t xml:space="preserve"> that they </w:t>
      </w:r>
      <w:r w:rsidR="00AA275D" w:rsidRPr="00AB1493">
        <w:rPr>
          <w:rFonts w:cs="Calibri"/>
          <w:sz w:val="24"/>
          <w:szCs w:val="24"/>
        </w:rPr>
        <w:t xml:space="preserve">should be considered </w:t>
      </w:r>
      <w:r w:rsidRPr="00AB1493">
        <w:rPr>
          <w:rFonts w:cs="Calibri"/>
          <w:sz w:val="24"/>
          <w:szCs w:val="24"/>
        </w:rPr>
        <w:t xml:space="preserve">Middleworld reality, not </w:t>
      </w:r>
      <w:r w:rsidR="00625F10" w:rsidRPr="00AB1493">
        <w:rPr>
          <w:rFonts w:cs="Calibri"/>
          <w:sz w:val="24"/>
          <w:szCs w:val="24"/>
        </w:rPr>
        <w:t>Lower</w:t>
      </w:r>
      <w:r w:rsidRPr="00AB1493">
        <w:rPr>
          <w:rFonts w:cs="Calibri"/>
          <w:sz w:val="24"/>
          <w:szCs w:val="24"/>
        </w:rPr>
        <w:t xml:space="preserve">world. </w:t>
      </w:r>
    </w:p>
    <w:p w14:paraId="5CF5632C" w14:textId="77777777" w:rsidR="00B9439B" w:rsidRPr="00AB1493" w:rsidRDefault="00B9439B" w:rsidP="00EA1AE2">
      <w:pPr>
        <w:spacing w:after="0" w:line="480" w:lineRule="auto"/>
        <w:rPr>
          <w:rFonts w:cs="Calibri"/>
          <w:sz w:val="24"/>
          <w:szCs w:val="24"/>
        </w:rPr>
      </w:pPr>
    </w:p>
    <w:p w14:paraId="55BE67B1" w14:textId="6B5766D4" w:rsidR="00BC5BDB" w:rsidRPr="00AB1493" w:rsidRDefault="006E7D15" w:rsidP="00EA1AE2">
      <w:pPr>
        <w:spacing w:after="0" w:line="480" w:lineRule="auto"/>
        <w:rPr>
          <w:rFonts w:cs="Calibri"/>
          <w:sz w:val="24"/>
          <w:szCs w:val="24"/>
        </w:rPr>
      </w:pPr>
      <w:r w:rsidRPr="00AB1493">
        <w:rPr>
          <w:rFonts w:cs="Calibri"/>
          <w:sz w:val="24"/>
          <w:szCs w:val="24"/>
        </w:rPr>
        <w:t xml:space="preserve">A further mode of otherworld journeying is found throughout the </w:t>
      </w:r>
      <w:r w:rsidRPr="00AB1493">
        <w:rPr>
          <w:rFonts w:cs="Calibri"/>
          <w:i/>
          <w:iCs/>
          <w:sz w:val="24"/>
          <w:szCs w:val="24"/>
        </w:rPr>
        <w:t>Chuci</w:t>
      </w:r>
      <w:r w:rsidRPr="00AB1493">
        <w:rPr>
          <w:rFonts w:cs="Calibri"/>
          <w:sz w:val="24"/>
          <w:szCs w:val="24"/>
        </w:rPr>
        <w:t xml:space="preserve"> (Songs of the South), originating in the one-time kingdom of Chu, (later incorporated into the Han empire) collected into the traditional version in the second century CE.</w:t>
      </w:r>
      <w:r w:rsidRPr="00AB1493">
        <w:rPr>
          <w:rStyle w:val="FootnoteReference"/>
          <w:rFonts w:cs="Calibri"/>
          <w:sz w:val="24"/>
          <w:szCs w:val="24"/>
        </w:rPr>
        <w:footnoteReference w:id="97"/>
      </w:r>
      <w:r w:rsidR="00C07092" w:rsidRPr="00AB1493">
        <w:rPr>
          <w:rFonts w:cs="Calibri"/>
          <w:sz w:val="24"/>
          <w:szCs w:val="24"/>
        </w:rPr>
        <w:t xml:space="preserve"> The </w:t>
      </w:r>
      <w:r w:rsidR="00C07092" w:rsidRPr="00AB1493">
        <w:rPr>
          <w:rFonts w:cs="Calibri"/>
          <w:i/>
          <w:iCs/>
          <w:sz w:val="24"/>
          <w:szCs w:val="24"/>
        </w:rPr>
        <w:t>Chuci</w:t>
      </w:r>
      <w:r w:rsidR="00C07092" w:rsidRPr="00AB1493">
        <w:rPr>
          <w:rFonts w:cs="Calibri"/>
          <w:sz w:val="24"/>
          <w:szCs w:val="24"/>
        </w:rPr>
        <w:t xml:space="preserve"> are poems of </w:t>
      </w:r>
      <w:r w:rsidR="00C07092" w:rsidRPr="00AB1493">
        <w:rPr>
          <w:rFonts w:cs="Calibri"/>
          <w:sz w:val="24"/>
          <w:szCs w:val="24"/>
        </w:rPr>
        <w:lastRenderedPageBreak/>
        <w:t xml:space="preserve">considerable quality, going beyond simple narratives of first-hand experience, </w:t>
      </w:r>
      <w:r w:rsidR="004D52BB" w:rsidRPr="00AB1493">
        <w:rPr>
          <w:rFonts w:cs="Calibri"/>
          <w:sz w:val="24"/>
          <w:szCs w:val="24"/>
        </w:rPr>
        <w:t>‘obviously</w:t>
      </w:r>
      <w:r w:rsidR="00BB4E92" w:rsidRPr="00AB1493">
        <w:rPr>
          <w:rFonts w:cs="Calibri"/>
          <w:sz w:val="24"/>
          <w:szCs w:val="24"/>
        </w:rPr>
        <w:t>’</w:t>
      </w:r>
      <w:r w:rsidR="004D52BB" w:rsidRPr="00AB1493">
        <w:rPr>
          <w:rFonts w:cs="Calibri"/>
          <w:sz w:val="24"/>
          <w:szCs w:val="24"/>
        </w:rPr>
        <w:t xml:space="preserve"> </w:t>
      </w:r>
      <w:r w:rsidR="00C07092" w:rsidRPr="00AB1493">
        <w:rPr>
          <w:rFonts w:cs="Calibri"/>
          <w:sz w:val="24"/>
          <w:szCs w:val="24"/>
        </w:rPr>
        <w:t xml:space="preserve">intended for dramatic </w:t>
      </w:r>
      <w:r w:rsidR="004D52BB" w:rsidRPr="00AB1493">
        <w:rPr>
          <w:rFonts w:cs="Calibri"/>
          <w:sz w:val="24"/>
          <w:szCs w:val="24"/>
        </w:rPr>
        <w:t xml:space="preserve">performance </w:t>
      </w:r>
      <w:r w:rsidR="00C07092" w:rsidRPr="00AB1493">
        <w:rPr>
          <w:rFonts w:cs="Calibri"/>
          <w:sz w:val="24"/>
          <w:szCs w:val="24"/>
        </w:rPr>
        <w:t xml:space="preserve">and </w:t>
      </w:r>
      <w:r w:rsidR="004D52BB" w:rsidRPr="00AB1493">
        <w:rPr>
          <w:rFonts w:cs="Calibri"/>
          <w:sz w:val="24"/>
          <w:szCs w:val="24"/>
        </w:rPr>
        <w:t>to be sung</w:t>
      </w:r>
      <w:r w:rsidR="00C07092" w:rsidRPr="00AB1493">
        <w:rPr>
          <w:rFonts w:cs="Calibri"/>
          <w:sz w:val="24"/>
          <w:szCs w:val="24"/>
        </w:rPr>
        <w:t>.</w:t>
      </w:r>
      <w:r w:rsidR="00C07092" w:rsidRPr="00AB1493">
        <w:rPr>
          <w:rStyle w:val="FootnoteReference"/>
          <w:rFonts w:cs="Calibri"/>
          <w:sz w:val="24"/>
          <w:szCs w:val="24"/>
        </w:rPr>
        <w:footnoteReference w:id="98"/>
      </w:r>
      <w:r w:rsidR="00BC5BDB" w:rsidRPr="00AB1493">
        <w:rPr>
          <w:rFonts w:cs="Calibri"/>
          <w:sz w:val="24"/>
          <w:szCs w:val="24"/>
        </w:rPr>
        <w:t xml:space="preserve"> Waley argues that in the ‘Nine Songs’ shamanism takes a particular form not known in the classic model – the shaman’s relationship with the Spirits more like “a kind of love-affair”.</w:t>
      </w:r>
      <w:r w:rsidR="00BC5BDB" w:rsidRPr="00AB1493">
        <w:rPr>
          <w:rStyle w:val="FootnoteReference"/>
          <w:rFonts w:cs="Calibri"/>
          <w:sz w:val="24"/>
          <w:szCs w:val="24"/>
        </w:rPr>
        <w:footnoteReference w:id="99"/>
      </w:r>
      <w:r w:rsidR="00BC5BDB" w:rsidRPr="00AB1493">
        <w:rPr>
          <w:rFonts w:cs="Calibri"/>
          <w:sz w:val="24"/>
          <w:szCs w:val="24"/>
        </w:rPr>
        <w:t xml:space="preserve"> </w:t>
      </w:r>
      <w:r w:rsidR="00164E6B" w:rsidRPr="00AB1493">
        <w:rPr>
          <w:rFonts w:cs="Calibri"/>
          <w:sz w:val="24"/>
          <w:szCs w:val="24"/>
        </w:rPr>
        <w:t>Erotic encounters with otherworld beings are a shamanic standard.</w:t>
      </w:r>
      <w:r w:rsidR="00164E6B" w:rsidRPr="00AB1493">
        <w:rPr>
          <w:rStyle w:val="FootnoteReference"/>
          <w:rFonts w:cs="Calibri"/>
          <w:sz w:val="24"/>
          <w:szCs w:val="24"/>
        </w:rPr>
        <w:footnoteReference w:id="100"/>
      </w:r>
      <w:r w:rsidR="00C07092" w:rsidRPr="00AB1493">
        <w:rPr>
          <w:rFonts w:cs="Calibri"/>
          <w:sz w:val="24"/>
          <w:szCs w:val="24"/>
        </w:rPr>
        <w:t xml:space="preserve">Otherworld </w:t>
      </w:r>
      <w:r w:rsidR="00716BA1" w:rsidRPr="00AB1493">
        <w:rPr>
          <w:rFonts w:cs="Calibri"/>
          <w:sz w:val="24"/>
          <w:szCs w:val="24"/>
        </w:rPr>
        <w:t xml:space="preserve">spirit </w:t>
      </w:r>
      <w:r w:rsidR="00C07092" w:rsidRPr="00AB1493">
        <w:rPr>
          <w:rFonts w:cs="Calibri"/>
          <w:sz w:val="24"/>
          <w:szCs w:val="24"/>
        </w:rPr>
        <w:t>travel is basic to the</w:t>
      </w:r>
      <w:r w:rsidR="009356AF">
        <w:rPr>
          <w:rFonts w:cs="Calibri"/>
          <w:sz w:val="24"/>
          <w:szCs w:val="24"/>
        </w:rPr>
        <w:t xml:space="preserve"> </w:t>
      </w:r>
      <w:r w:rsidR="009356AF" w:rsidRPr="009356AF">
        <w:rPr>
          <w:rFonts w:cs="Calibri"/>
          <w:i/>
          <w:iCs/>
          <w:sz w:val="24"/>
          <w:szCs w:val="24"/>
        </w:rPr>
        <w:t>Chuci</w:t>
      </w:r>
      <w:r w:rsidR="00BB4E92" w:rsidRPr="00AB1493">
        <w:rPr>
          <w:rFonts w:cs="Calibri"/>
          <w:sz w:val="24"/>
          <w:szCs w:val="24"/>
        </w:rPr>
        <w:t xml:space="preserve"> poems </w:t>
      </w:r>
      <w:r w:rsidR="00C07092" w:rsidRPr="00AB1493">
        <w:rPr>
          <w:rFonts w:cs="Calibri"/>
          <w:sz w:val="24"/>
          <w:szCs w:val="24"/>
        </w:rPr>
        <w:t>: for example, in ‘The River God’, the female narrator rides in a dragon-drawn chariot, from the Yellow River delta to Kunlun.</w:t>
      </w:r>
      <w:r w:rsidR="00E1792B" w:rsidRPr="00AB1493">
        <w:rPr>
          <w:rStyle w:val="FootnoteReference"/>
          <w:rFonts w:cs="Calibri"/>
          <w:sz w:val="24"/>
          <w:szCs w:val="24"/>
        </w:rPr>
        <w:footnoteReference w:id="101"/>
      </w:r>
      <w:r w:rsidR="00C07092" w:rsidRPr="00AB1493">
        <w:rPr>
          <w:rFonts w:cs="Calibri"/>
          <w:sz w:val="24"/>
          <w:szCs w:val="24"/>
        </w:rPr>
        <w:t xml:space="preserve"> </w:t>
      </w:r>
      <w:r w:rsidR="00F23D79" w:rsidRPr="00AB1493">
        <w:rPr>
          <w:rFonts w:cs="Calibri"/>
          <w:sz w:val="24"/>
          <w:szCs w:val="24"/>
        </w:rPr>
        <w:t xml:space="preserve">Prominent in </w:t>
      </w:r>
      <w:r w:rsidR="00760D51" w:rsidRPr="00AB1493">
        <w:rPr>
          <w:rFonts w:cs="Calibri"/>
          <w:sz w:val="24"/>
          <w:szCs w:val="24"/>
        </w:rPr>
        <w:t xml:space="preserve">the </w:t>
      </w:r>
      <w:r w:rsidR="00760D51" w:rsidRPr="00AB1493">
        <w:rPr>
          <w:rFonts w:cs="Calibri"/>
          <w:i/>
          <w:iCs/>
          <w:sz w:val="24"/>
          <w:szCs w:val="24"/>
        </w:rPr>
        <w:t>Chuci</w:t>
      </w:r>
      <w:r w:rsidR="00760D51" w:rsidRPr="00AB1493">
        <w:rPr>
          <w:rFonts w:cs="Calibri"/>
          <w:sz w:val="24"/>
          <w:szCs w:val="24"/>
        </w:rPr>
        <w:t xml:space="preserve"> </w:t>
      </w:r>
      <w:r w:rsidR="000E3CE6" w:rsidRPr="00AB1493">
        <w:rPr>
          <w:rFonts w:cs="Calibri"/>
          <w:sz w:val="24"/>
          <w:szCs w:val="24"/>
        </w:rPr>
        <w:t xml:space="preserve">are </w:t>
      </w:r>
      <w:r w:rsidR="00F23D79" w:rsidRPr="00AB1493">
        <w:rPr>
          <w:rFonts w:cs="Calibri"/>
          <w:sz w:val="24"/>
          <w:szCs w:val="24"/>
        </w:rPr>
        <w:t xml:space="preserve">two </w:t>
      </w:r>
      <w:r w:rsidR="000E3CE6" w:rsidRPr="00AB1493">
        <w:rPr>
          <w:rFonts w:cs="Calibri"/>
          <w:sz w:val="24"/>
          <w:szCs w:val="24"/>
        </w:rPr>
        <w:t xml:space="preserve">‘Soul Summons’, seeking to call back a soul </w:t>
      </w:r>
      <w:r w:rsidR="008F2BC9" w:rsidRPr="00AB1493">
        <w:rPr>
          <w:rFonts w:cs="Calibri"/>
          <w:sz w:val="24"/>
          <w:szCs w:val="24"/>
        </w:rPr>
        <w:t xml:space="preserve">– perhaps that of a king - </w:t>
      </w:r>
      <w:r w:rsidR="000E3CE6" w:rsidRPr="00AB1493">
        <w:rPr>
          <w:rFonts w:cs="Calibri"/>
          <w:sz w:val="24"/>
          <w:szCs w:val="24"/>
        </w:rPr>
        <w:t xml:space="preserve">journeying </w:t>
      </w:r>
      <w:r w:rsidR="00BB4E92" w:rsidRPr="00AB1493">
        <w:rPr>
          <w:rFonts w:cs="Calibri"/>
          <w:sz w:val="24"/>
          <w:szCs w:val="24"/>
        </w:rPr>
        <w:t xml:space="preserve">(but lost) </w:t>
      </w:r>
      <w:r w:rsidR="000E3CE6" w:rsidRPr="00AB1493">
        <w:rPr>
          <w:rFonts w:cs="Calibri"/>
          <w:sz w:val="24"/>
          <w:szCs w:val="24"/>
        </w:rPr>
        <w:t>in otherworld wastelands.</w:t>
      </w:r>
      <w:r w:rsidR="00BC5BDB" w:rsidRPr="00AB1493">
        <w:rPr>
          <w:rStyle w:val="FootnoteReference"/>
          <w:rFonts w:cs="Calibri"/>
          <w:sz w:val="24"/>
          <w:szCs w:val="24"/>
        </w:rPr>
        <w:footnoteReference w:id="102"/>
      </w:r>
      <w:r w:rsidR="000E3CE6" w:rsidRPr="00AB1493">
        <w:rPr>
          <w:rFonts w:cs="Calibri"/>
          <w:sz w:val="24"/>
          <w:szCs w:val="24"/>
        </w:rPr>
        <w:t xml:space="preserve"> </w:t>
      </w:r>
      <w:r w:rsidR="00BC5BDB" w:rsidRPr="00AB1493">
        <w:rPr>
          <w:rFonts w:cs="Calibri"/>
          <w:sz w:val="24"/>
          <w:szCs w:val="24"/>
        </w:rPr>
        <w:t xml:space="preserve">In later Han China a rite known as </w:t>
      </w:r>
      <w:r w:rsidR="00BC5BDB" w:rsidRPr="00AB1493">
        <w:rPr>
          <w:rFonts w:cs="Calibri"/>
          <w:i/>
          <w:iCs/>
          <w:sz w:val="24"/>
          <w:szCs w:val="24"/>
        </w:rPr>
        <w:t>fu</w:t>
      </w:r>
      <w:r w:rsidR="00BC5BDB" w:rsidRPr="00AB1493">
        <w:rPr>
          <w:rFonts w:cs="Calibri"/>
          <w:sz w:val="24"/>
          <w:szCs w:val="24"/>
        </w:rPr>
        <w:t xml:space="preserve"> involved a ‘summoner’, calling similarly from the house roof. </w:t>
      </w:r>
      <w:r w:rsidR="00BC5BDB" w:rsidRPr="00AB1493">
        <w:rPr>
          <w:rStyle w:val="FootnoteReference"/>
          <w:rFonts w:cs="Calibri"/>
          <w:sz w:val="24"/>
          <w:szCs w:val="24"/>
        </w:rPr>
        <w:footnoteReference w:id="103"/>
      </w:r>
      <w:r w:rsidR="00BC5BDB" w:rsidRPr="00AB1493">
        <w:rPr>
          <w:rFonts w:cs="Calibri"/>
          <w:sz w:val="24"/>
          <w:szCs w:val="24"/>
        </w:rPr>
        <w:t xml:space="preserve"> </w:t>
      </w:r>
    </w:p>
    <w:p w14:paraId="35DE2E2B" w14:textId="77777777" w:rsidR="00BB4E92" w:rsidRPr="00AB1493" w:rsidRDefault="00BB4E92" w:rsidP="00EA1AE2">
      <w:pPr>
        <w:spacing w:after="0" w:line="480" w:lineRule="auto"/>
        <w:rPr>
          <w:rFonts w:cs="Calibri"/>
          <w:sz w:val="24"/>
          <w:szCs w:val="24"/>
        </w:rPr>
      </w:pPr>
    </w:p>
    <w:p w14:paraId="4365FC9A" w14:textId="5C4024B7" w:rsidR="00FB6CB9" w:rsidRPr="00AB1493" w:rsidRDefault="003457A1" w:rsidP="00EA1AE2">
      <w:pPr>
        <w:spacing w:after="0" w:line="480" w:lineRule="auto"/>
        <w:rPr>
          <w:rFonts w:cs="Calibri"/>
          <w:sz w:val="24"/>
          <w:szCs w:val="24"/>
        </w:rPr>
      </w:pPr>
      <w:r w:rsidRPr="00AB1493">
        <w:rPr>
          <w:rFonts w:cs="Calibri"/>
          <w:sz w:val="24"/>
          <w:szCs w:val="24"/>
        </w:rPr>
        <w:t xml:space="preserve">By the time of the </w:t>
      </w:r>
      <w:r w:rsidRPr="00AB1493">
        <w:rPr>
          <w:rFonts w:cs="Calibri"/>
          <w:i/>
          <w:iCs/>
          <w:sz w:val="24"/>
          <w:szCs w:val="24"/>
        </w:rPr>
        <w:t>Chuci</w:t>
      </w:r>
      <w:r w:rsidRPr="00AB1493">
        <w:rPr>
          <w:rFonts w:cs="Calibri"/>
          <w:sz w:val="24"/>
          <w:szCs w:val="24"/>
        </w:rPr>
        <w:t xml:space="preserve">, the shamanic </w:t>
      </w:r>
      <w:r w:rsidR="00F365ED" w:rsidRPr="00AB1493">
        <w:rPr>
          <w:rFonts w:cs="Calibri"/>
          <w:sz w:val="24"/>
          <w:szCs w:val="24"/>
        </w:rPr>
        <w:t xml:space="preserve">otherworld </w:t>
      </w:r>
      <w:r w:rsidRPr="00AB1493">
        <w:rPr>
          <w:rFonts w:cs="Calibri"/>
          <w:sz w:val="24"/>
          <w:szCs w:val="24"/>
        </w:rPr>
        <w:t xml:space="preserve">journey is not necessarily only dutiful, but can also be fun, or perhaps over-absorbing: at the end of the </w:t>
      </w:r>
      <w:r w:rsidRPr="00AB1493">
        <w:rPr>
          <w:rFonts w:cs="Calibri"/>
          <w:i/>
          <w:iCs/>
          <w:sz w:val="24"/>
          <w:szCs w:val="24"/>
        </w:rPr>
        <w:t xml:space="preserve">Li </w:t>
      </w:r>
      <w:proofErr w:type="spellStart"/>
      <w:r w:rsidRPr="00AB1493">
        <w:rPr>
          <w:rFonts w:cs="Calibri"/>
          <w:i/>
          <w:iCs/>
          <w:sz w:val="24"/>
          <w:szCs w:val="24"/>
        </w:rPr>
        <w:t>sao</w:t>
      </w:r>
      <w:proofErr w:type="spellEnd"/>
      <w:r w:rsidRPr="00AB1493">
        <w:rPr>
          <w:rFonts w:cs="Calibri"/>
          <w:sz w:val="24"/>
          <w:szCs w:val="24"/>
        </w:rPr>
        <w:t xml:space="preserve"> (On encountering trouble) the narrator</w:t>
      </w:r>
      <w:r w:rsidR="00FB6CB9" w:rsidRPr="00AB1493">
        <w:rPr>
          <w:rFonts w:cs="Calibri"/>
          <w:sz w:val="24"/>
          <w:szCs w:val="24"/>
        </w:rPr>
        <w:t xml:space="preserve"> only returns when he</w:t>
      </w:r>
      <w:r w:rsidRPr="00AB1493">
        <w:rPr>
          <w:rFonts w:cs="Calibri"/>
          <w:sz w:val="24"/>
          <w:szCs w:val="24"/>
        </w:rPr>
        <w:t xml:space="preserve"> suddenly becomes homesick.</w:t>
      </w:r>
      <w:r w:rsidR="00834B40" w:rsidRPr="00AB1493">
        <w:rPr>
          <w:rFonts w:cs="Calibri"/>
          <w:sz w:val="24"/>
          <w:szCs w:val="24"/>
        </w:rPr>
        <w:t xml:space="preserve"> Similarly, in Shan </w:t>
      </w:r>
      <w:proofErr w:type="spellStart"/>
      <w:r w:rsidR="00834B40" w:rsidRPr="00AB1493">
        <w:rPr>
          <w:rFonts w:cs="Calibri"/>
          <w:sz w:val="24"/>
          <w:szCs w:val="24"/>
        </w:rPr>
        <w:lastRenderedPageBreak/>
        <w:t>gui</w:t>
      </w:r>
      <w:proofErr w:type="spellEnd"/>
      <w:r w:rsidR="00834B40" w:rsidRPr="00AB1493">
        <w:rPr>
          <w:rFonts w:cs="Calibri"/>
          <w:sz w:val="24"/>
          <w:szCs w:val="24"/>
        </w:rPr>
        <w:t>, “I forget about returning…I forget that I must go”.</w:t>
      </w:r>
      <w:r w:rsidR="00834B40" w:rsidRPr="00AB1493">
        <w:rPr>
          <w:rStyle w:val="FootnoteReference"/>
          <w:rFonts w:cs="Calibri"/>
          <w:sz w:val="24"/>
          <w:szCs w:val="24"/>
        </w:rPr>
        <w:footnoteReference w:id="104"/>
      </w:r>
      <w:r w:rsidRPr="00AB1493">
        <w:rPr>
          <w:rFonts w:cs="Calibri"/>
          <w:sz w:val="24"/>
          <w:szCs w:val="24"/>
        </w:rPr>
        <w:t xml:space="preserve"> </w:t>
      </w:r>
      <w:r w:rsidR="00FB6CB9" w:rsidRPr="00AB1493">
        <w:rPr>
          <w:rFonts w:cs="Calibri"/>
          <w:sz w:val="24"/>
          <w:szCs w:val="24"/>
        </w:rPr>
        <w:t>It may be noted that shamanic travel is not always made whilst physically immobile in cataleptic trance.</w:t>
      </w:r>
      <w:r w:rsidR="00FB6CB9" w:rsidRPr="00AB1493">
        <w:rPr>
          <w:rStyle w:val="FootnoteReference"/>
          <w:rFonts w:cs="Calibri"/>
          <w:sz w:val="24"/>
          <w:szCs w:val="24"/>
        </w:rPr>
        <w:footnoteReference w:id="105"/>
      </w:r>
      <w:r w:rsidR="00FB6CB9" w:rsidRPr="00AB1493">
        <w:rPr>
          <w:rFonts w:cs="Calibri"/>
          <w:sz w:val="24"/>
          <w:szCs w:val="24"/>
        </w:rPr>
        <w:t xml:space="preserve"> </w:t>
      </w:r>
      <w:r w:rsidR="00BB4E92" w:rsidRPr="00AB1493">
        <w:rPr>
          <w:rFonts w:cs="Calibri"/>
          <w:sz w:val="24"/>
          <w:szCs w:val="24"/>
        </w:rPr>
        <w:t>Hawkes argues that magically travelling a ritual circuit for the purpose of acquiring power appears in many Chinese contexts</w:t>
      </w:r>
      <w:r w:rsidR="00E1792B" w:rsidRPr="00AB1493">
        <w:rPr>
          <w:rFonts w:cs="Calibri"/>
          <w:sz w:val="24"/>
          <w:szCs w:val="24"/>
        </w:rPr>
        <w:t xml:space="preserve"> –</w:t>
      </w:r>
      <w:r w:rsidR="00E1792B" w:rsidRPr="00AB1493">
        <w:rPr>
          <w:rFonts w:cs="Calibri"/>
          <w:i/>
          <w:iCs/>
          <w:sz w:val="24"/>
          <w:szCs w:val="24"/>
        </w:rPr>
        <w:t xml:space="preserve">Li </w:t>
      </w:r>
      <w:proofErr w:type="spellStart"/>
      <w:r w:rsidR="00E1792B" w:rsidRPr="00AB1493">
        <w:rPr>
          <w:rFonts w:cs="Calibri"/>
          <w:i/>
          <w:iCs/>
          <w:sz w:val="24"/>
          <w:szCs w:val="24"/>
        </w:rPr>
        <w:t>sao</w:t>
      </w:r>
      <w:proofErr w:type="spellEnd"/>
      <w:r w:rsidR="00E1792B" w:rsidRPr="00AB1493">
        <w:rPr>
          <w:rFonts w:cs="Calibri"/>
          <w:sz w:val="24"/>
          <w:szCs w:val="24"/>
        </w:rPr>
        <w:t xml:space="preserve"> lines 233-4 has the shaman saying “I looked around over the earth’s four quarters, circling the heavens”</w:t>
      </w:r>
      <w:r w:rsidR="00BB4E92" w:rsidRPr="00AB1493">
        <w:rPr>
          <w:rFonts w:cs="Calibri"/>
          <w:sz w:val="24"/>
          <w:szCs w:val="24"/>
        </w:rPr>
        <w:t>.</w:t>
      </w:r>
      <w:r w:rsidR="00BB4E92" w:rsidRPr="00AB1493">
        <w:rPr>
          <w:rStyle w:val="FootnoteReference"/>
          <w:rFonts w:cs="Calibri"/>
          <w:sz w:val="24"/>
          <w:szCs w:val="24"/>
        </w:rPr>
        <w:footnoteReference w:id="106"/>
      </w:r>
      <w:r w:rsidR="00BB4E92" w:rsidRPr="00AB1493">
        <w:rPr>
          <w:rFonts w:cs="Calibri"/>
          <w:sz w:val="24"/>
          <w:szCs w:val="24"/>
        </w:rPr>
        <w:t xml:space="preserve"> </w:t>
      </w:r>
      <w:r w:rsidR="00FB6CB9" w:rsidRPr="00AB1493">
        <w:rPr>
          <w:rFonts w:cs="Calibri"/>
          <w:sz w:val="24"/>
          <w:szCs w:val="24"/>
        </w:rPr>
        <w:t xml:space="preserve">Hawkes suggests that this power was originally for rain-making, noting how the character for </w:t>
      </w:r>
      <w:r w:rsidR="00FB6CB9" w:rsidRPr="00AB1493">
        <w:rPr>
          <w:rFonts w:cs="Calibri"/>
          <w:i/>
          <w:iCs/>
          <w:sz w:val="24"/>
          <w:szCs w:val="24"/>
        </w:rPr>
        <w:t>ling</w:t>
      </w:r>
      <w:r w:rsidR="00FB6CB9" w:rsidRPr="00AB1493">
        <w:rPr>
          <w:rFonts w:cs="Calibri"/>
          <w:sz w:val="24"/>
          <w:szCs w:val="24"/>
        </w:rPr>
        <w:t xml:space="preserve"> (‘sacred’) is made from symbols for rain and the shamanic </w:t>
      </w:r>
      <w:r w:rsidR="00FB6CB9" w:rsidRPr="00AB1493">
        <w:rPr>
          <w:rFonts w:cs="Calibri"/>
          <w:i/>
          <w:iCs/>
          <w:sz w:val="24"/>
          <w:szCs w:val="24"/>
        </w:rPr>
        <w:t>wu</w:t>
      </w:r>
      <w:r w:rsidR="00FB6CB9" w:rsidRPr="00AB1493">
        <w:rPr>
          <w:rFonts w:cs="Calibri"/>
          <w:sz w:val="24"/>
          <w:szCs w:val="24"/>
        </w:rPr>
        <w:t xml:space="preserve">. </w:t>
      </w:r>
      <w:r w:rsidR="00F365ED" w:rsidRPr="00AB1493">
        <w:rPr>
          <w:rFonts w:cs="Calibri"/>
          <w:sz w:val="24"/>
          <w:szCs w:val="24"/>
        </w:rPr>
        <w:t>Waley suggests that though the poems may describe a ‘mantic honeymoon’, the shaman also “pleaded with he Spirit for good harvests, immunity from floods and diseases, and so on.”</w:t>
      </w:r>
      <w:r w:rsidR="00F365ED" w:rsidRPr="00AB1493">
        <w:rPr>
          <w:rStyle w:val="FootnoteReference"/>
          <w:rFonts w:cs="Calibri"/>
          <w:sz w:val="24"/>
          <w:szCs w:val="24"/>
        </w:rPr>
        <w:footnoteReference w:id="107"/>
      </w:r>
    </w:p>
    <w:p w14:paraId="7188B61C" w14:textId="77777777" w:rsidR="00BB4E92" w:rsidRPr="00AB1493" w:rsidRDefault="00BB4E92" w:rsidP="00EA1AE2">
      <w:pPr>
        <w:spacing w:after="0" w:line="480" w:lineRule="auto"/>
        <w:rPr>
          <w:rFonts w:cs="Calibri"/>
          <w:sz w:val="24"/>
          <w:szCs w:val="24"/>
        </w:rPr>
      </w:pPr>
    </w:p>
    <w:p w14:paraId="790AAF6F" w14:textId="77777777" w:rsidR="007A2D5A" w:rsidRPr="00AB1493" w:rsidRDefault="002B45C4" w:rsidP="00EA1AE2">
      <w:pPr>
        <w:spacing w:after="0" w:line="480" w:lineRule="auto"/>
        <w:rPr>
          <w:rFonts w:cs="Calibri"/>
          <w:sz w:val="24"/>
          <w:szCs w:val="24"/>
        </w:rPr>
      </w:pPr>
      <w:r w:rsidRPr="00AB1493">
        <w:rPr>
          <w:rFonts w:cs="Calibri"/>
          <w:sz w:val="24"/>
          <w:szCs w:val="24"/>
        </w:rPr>
        <w:t xml:space="preserve">A quite different form of otherworld journeying is presented in the </w:t>
      </w:r>
      <w:r w:rsidRPr="00AB1493">
        <w:rPr>
          <w:rFonts w:cs="Calibri"/>
          <w:i/>
          <w:iCs/>
          <w:sz w:val="24"/>
          <w:szCs w:val="24"/>
        </w:rPr>
        <w:t>Shanhaijing</w:t>
      </w:r>
      <w:r w:rsidRPr="00AB1493">
        <w:rPr>
          <w:rFonts w:cs="Calibri"/>
          <w:sz w:val="24"/>
          <w:szCs w:val="24"/>
        </w:rPr>
        <w:t xml:space="preserve"> (Classic of Mountains and Seas), one of the oldest works of Chinese literature. Thought to have been compiled by many different authors from the Warring States period to the Western Han, presented to Emperor Ming of the Western Han dynasty in 6 BCE it was already regarded as a compendium of lost knowledge.</w:t>
      </w:r>
      <w:r w:rsidRPr="00AB1493">
        <w:rPr>
          <w:rStyle w:val="FootnoteReference"/>
          <w:rFonts w:cs="Calibri"/>
          <w:sz w:val="24"/>
          <w:szCs w:val="24"/>
        </w:rPr>
        <w:footnoteReference w:id="108"/>
      </w:r>
      <w:r w:rsidRPr="00AB1493">
        <w:rPr>
          <w:rFonts w:cs="Calibri"/>
          <w:sz w:val="24"/>
          <w:szCs w:val="24"/>
        </w:rPr>
        <w:t xml:space="preserve"> A traditional attribution is to the primal deluge-</w:t>
      </w:r>
      <w:r w:rsidRPr="00AB1493">
        <w:rPr>
          <w:rFonts w:cs="Calibri"/>
          <w:sz w:val="24"/>
          <w:szCs w:val="24"/>
        </w:rPr>
        <w:lastRenderedPageBreak/>
        <w:t>conquering hero-deity Yu, assigned around 2000 BCE, “particularly revered by mediums, shamans and other occult practitioners”.</w:t>
      </w:r>
      <w:r w:rsidRPr="00AB1493">
        <w:rPr>
          <w:rStyle w:val="FootnoteReference"/>
          <w:rFonts w:cs="Calibri"/>
          <w:sz w:val="24"/>
          <w:szCs w:val="24"/>
        </w:rPr>
        <w:footnoteReference w:id="109"/>
      </w:r>
      <w:r w:rsidRPr="00AB1493">
        <w:rPr>
          <w:rFonts w:cs="Calibri"/>
          <w:sz w:val="24"/>
          <w:szCs w:val="24"/>
        </w:rPr>
        <w:t xml:space="preserve"> </w:t>
      </w:r>
    </w:p>
    <w:p w14:paraId="6CAB94B7" w14:textId="77777777" w:rsidR="00F365ED" w:rsidRPr="00AB1493" w:rsidRDefault="00F365ED" w:rsidP="00EA1AE2">
      <w:pPr>
        <w:spacing w:after="0" w:line="480" w:lineRule="auto"/>
        <w:rPr>
          <w:rFonts w:cs="Calibri"/>
          <w:i/>
          <w:iCs/>
          <w:sz w:val="24"/>
          <w:szCs w:val="24"/>
        </w:rPr>
      </w:pPr>
    </w:p>
    <w:p w14:paraId="29F93EAB" w14:textId="11D6BDCB" w:rsidR="007A2D5A" w:rsidRPr="00AB1493" w:rsidRDefault="002B45C4" w:rsidP="00EA1AE2">
      <w:pPr>
        <w:spacing w:after="0" w:line="480" w:lineRule="auto"/>
        <w:rPr>
          <w:rFonts w:cs="Calibri"/>
          <w:sz w:val="24"/>
          <w:szCs w:val="24"/>
        </w:rPr>
      </w:pPr>
      <w:r w:rsidRPr="00AB1493">
        <w:rPr>
          <w:rFonts w:cs="Calibri"/>
          <w:i/>
          <w:iCs/>
          <w:sz w:val="24"/>
          <w:szCs w:val="24"/>
        </w:rPr>
        <w:t>Shanhaijing</w:t>
      </w:r>
      <w:r w:rsidRPr="00AB1493">
        <w:rPr>
          <w:rFonts w:cs="Calibri"/>
          <w:sz w:val="24"/>
          <w:szCs w:val="24"/>
        </w:rPr>
        <w:t xml:space="preserve"> is full of </w:t>
      </w:r>
      <w:r w:rsidRPr="00AA6446">
        <w:rPr>
          <w:rFonts w:cs="Calibri"/>
          <w:i/>
          <w:iCs/>
          <w:sz w:val="24"/>
          <w:szCs w:val="24"/>
        </w:rPr>
        <w:t>guaiwu</w:t>
      </w:r>
      <w:r w:rsidRPr="00AB1493">
        <w:rPr>
          <w:rFonts w:cs="Calibri"/>
          <w:sz w:val="24"/>
          <w:szCs w:val="24"/>
        </w:rPr>
        <w:t xml:space="preserve"> (‘strange creatures)– more than 500 described - the term </w:t>
      </w:r>
      <w:r w:rsidRPr="00AB1493">
        <w:rPr>
          <w:rFonts w:cs="Calibri"/>
          <w:i/>
          <w:iCs/>
          <w:sz w:val="24"/>
          <w:szCs w:val="24"/>
        </w:rPr>
        <w:t>guai</w:t>
      </w:r>
      <w:r w:rsidRPr="00AB1493">
        <w:rPr>
          <w:rFonts w:cs="Calibri"/>
          <w:sz w:val="24"/>
          <w:szCs w:val="24"/>
        </w:rPr>
        <w:t xml:space="preserve"> broadly denoted ‘nonnormative, superhuman phenomena’.</w:t>
      </w:r>
      <w:r w:rsidRPr="00AB1493">
        <w:rPr>
          <w:rStyle w:val="FootnoteReference"/>
          <w:rFonts w:cs="Calibri"/>
          <w:sz w:val="24"/>
          <w:szCs w:val="24"/>
        </w:rPr>
        <w:footnoteReference w:id="110"/>
      </w:r>
      <w:r w:rsidRPr="00AB1493">
        <w:rPr>
          <w:rFonts w:cs="Calibri"/>
          <w:sz w:val="24"/>
          <w:szCs w:val="24"/>
        </w:rPr>
        <w:t xml:space="preserve"> As with the </w:t>
      </w:r>
      <w:r w:rsidRPr="00AB1493">
        <w:rPr>
          <w:rFonts w:cs="Calibri"/>
          <w:i/>
          <w:iCs/>
          <w:sz w:val="24"/>
          <w:szCs w:val="24"/>
        </w:rPr>
        <w:t>zhiguai</w:t>
      </w:r>
      <w:r w:rsidRPr="00AB1493">
        <w:rPr>
          <w:rFonts w:cs="Calibri"/>
          <w:sz w:val="24"/>
          <w:szCs w:val="24"/>
        </w:rPr>
        <w:t xml:space="preserve"> stories, the beings and ‘anomalies’ are not ‘supernatural’ in the European / ‘scientific’ sense but “an intimate part of the natural environment” and “part of the ecology within the cosmos of heaven and earth”.</w:t>
      </w:r>
      <w:r w:rsidRPr="00AB1493">
        <w:rPr>
          <w:rStyle w:val="FootnoteReference"/>
          <w:rFonts w:cs="Calibri"/>
          <w:sz w:val="24"/>
          <w:szCs w:val="24"/>
        </w:rPr>
        <w:footnoteReference w:id="111"/>
      </w:r>
      <w:r w:rsidRPr="00AB1493">
        <w:rPr>
          <w:rFonts w:cs="Calibri"/>
          <w:sz w:val="24"/>
          <w:szCs w:val="24"/>
        </w:rPr>
        <w:t xml:space="preserve"> </w:t>
      </w:r>
      <w:r w:rsidRPr="00AB1493">
        <w:rPr>
          <w:rFonts w:cs="Calibri"/>
          <w:i/>
          <w:iCs/>
          <w:sz w:val="24"/>
          <w:szCs w:val="24"/>
        </w:rPr>
        <w:t>Shan</w:t>
      </w:r>
      <w:r w:rsidR="00E43E0F">
        <w:rPr>
          <w:rFonts w:cs="Calibri"/>
          <w:i/>
          <w:iCs/>
          <w:sz w:val="24"/>
          <w:szCs w:val="24"/>
        </w:rPr>
        <w:t>h</w:t>
      </w:r>
      <w:r w:rsidRPr="00AB1493">
        <w:rPr>
          <w:rFonts w:cs="Calibri"/>
          <w:i/>
          <w:iCs/>
          <w:sz w:val="24"/>
          <w:szCs w:val="24"/>
        </w:rPr>
        <w:t>aijing</w:t>
      </w:r>
      <w:r w:rsidRPr="00AB1493">
        <w:rPr>
          <w:rFonts w:cs="Calibri"/>
          <w:sz w:val="24"/>
          <w:szCs w:val="24"/>
        </w:rPr>
        <w:t xml:space="preserve"> is certainly “one of the treasures of Chinese mythology”: almost every location described – some 550 mountains, 300 rivers - has </w:t>
      </w:r>
      <w:r w:rsidR="009F60FC">
        <w:rPr>
          <w:rFonts w:cs="Calibri"/>
          <w:sz w:val="24"/>
          <w:szCs w:val="24"/>
        </w:rPr>
        <w:t xml:space="preserve">its specific </w:t>
      </w:r>
      <w:r w:rsidRPr="00AB1493">
        <w:rPr>
          <w:rFonts w:cs="Calibri"/>
          <w:sz w:val="24"/>
          <w:szCs w:val="24"/>
        </w:rPr>
        <w:t>deity, many not otherwise known in later literature.</w:t>
      </w:r>
      <w:r w:rsidRPr="00AB1493">
        <w:rPr>
          <w:rStyle w:val="FootnoteReference"/>
          <w:rFonts w:cs="Calibri"/>
          <w:sz w:val="24"/>
          <w:szCs w:val="24"/>
        </w:rPr>
        <w:footnoteReference w:id="112"/>
      </w:r>
      <w:r w:rsidRPr="00AB1493">
        <w:rPr>
          <w:rFonts w:cs="Calibri"/>
          <w:sz w:val="24"/>
          <w:szCs w:val="24"/>
        </w:rPr>
        <w:t xml:space="preserve"> </w:t>
      </w:r>
    </w:p>
    <w:p w14:paraId="785B5CC3" w14:textId="77777777" w:rsidR="00F365ED" w:rsidRPr="00AB1493" w:rsidRDefault="00F365ED" w:rsidP="00EA1AE2">
      <w:pPr>
        <w:spacing w:after="0" w:line="480" w:lineRule="auto"/>
        <w:rPr>
          <w:rFonts w:cs="Calibri"/>
          <w:sz w:val="24"/>
          <w:szCs w:val="24"/>
        </w:rPr>
      </w:pPr>
    </w:p>
    <w:p w14:paraId="59E5FE03" w14:textId="4F9A0DD6" w:rsidR="007A2D5A" w:rsidRPr="00AB1493" w:rsidRDefault="002B45C4" w:rsidP="00EA1AE2">
      <w:pPr>
        <w:spacing w:after="0" w:line="480" w:lineRule="auto"/>
        <w:rPr>
          <w:rFonts w:cs="Calibri"/>
          <w:sz w:val="24"/>
          <w:szCs w:val="24"/>
        </w:rPr>
      </w:pPr>
      <w:r w:rsidRPr="00AB1493">
        <w:rPr>
          <w:rFonts w:cs="Calibri"/>
          <w:sz w:val="24"/>
          <w:szCs w:val="24"/>
        </w:rPr>
        <w:t xml:space="preserve">It appears that scholars greatly dispute the nature of </w:t>
      </w:r>
      <w:r w:rsidRPr="00AB1493">
        <w:rPr>
          <w:rFonts w:cs="Calibri"/>
          <w:i/>
          <w:iCs/>
          <w:sz w:val="24"/>
          <w:szCs w:val="24"/>
        </w:rPr>
        <w:t>Shanhaijing</w:t>
      </w:r>
      <w:r w:rsidRPr="00AB1493">
        <w:rPr>
          <w:rFonts w:cs="Calibri"/>
          <w:sz w:val="24"/>
          <w:szCs w:val="24"/>
        </w:rPr>
        <w:t>: many arguing for a primarily geographic interpretation; some for calendrical rites.</w:t>
      </w:r>
      <w:r w:rsidRPr="00AB1493">
        <w:rPr>
          <w:rStyle w:val="FootnoteReference"/>
          <w:rFonts w:cs="Calibri"/>
          <w:sz w:val="24"/>
          <w:szCs w:val="24"/>
        </w:rPr>
        <w:footnoteReference w:id="113"/>
      </w:r>
      <w:r w:rsidRPr="00AB1493">
        <w:rPr>
          <w:rFonts w:cs="Calibri"/>
          <w:sz w:val="24"/>
          <w:szCs w:val="24"/>
        </w:rPr>
        <w:t xml:space="preserve">  A general academic incomprehension is apparent: one terms it “a frightful </w:t>
      </w:r>
      <w:proofErr w:type="spellStart"/>
      <w:r w:rsidRPr="00AB1493">
        <w:rPr>
          <w:rFonts w:cs="Calibri"/>
          <w:i/>
          <w:iCs/>
          <w:sz w:val="24"/>
          <w:szCs w:val="24"/>
        </w:rPr>
        <w:t>mixtum</w:t>
      </w:r>
      <w:proofErr w:type="spellEnd"/>
      <w:r w:rsidRPr="00AB1493">
        <w:rPr>
          <w:rFonts w:cs="Calibri"/>
          <w:i/>
          <w:iCs/>
          <w:sz w:val="24"/>
          <w:szCs w:val="24"/>
        </w:rPr>
        <w:t xml:space="preserve"> compositum</w:t>
      </w:r>
      <w:r w:rsidRPr="00AB1493">
        <w:rPr>
          <w:rFonts w:cs="Calibri"/>
          <w:sz w:val="24"/>
          <w:szCs w:val="24"/>
        </w:rPr>
        <w:t>”, another as “protoscientific , magico-religious and mythological notions”.</w:t>
      </w:r>
      <w:r w:rsidRPr="00AB1493">
        <w:rPr>
          <w:rStyle w:val="FootnoteReference"/>
          <w:rFonts w:cs="Calibri"/>
          <w:sz w:val="24"/>
          <w:szCs w:val="24"/>
        </w:rPr>
        <w:footnoteReference w:id="114"/>
      </w:r>
      <w:r w:rsidRPr="00AB1493">
        <w:rPr>
          <w:rFonts w:cs="Calibri"/>
          <w:sz w:val="24"/>
          <w:szCs w:val="24"/>
        </w:rPr>
        <w:t xml:space="preserve"> Some appear to take the work as if it were a travelogue similar to those known from the Song dynasty more than a thousand years later: it is termed “an ancient geography book” and “a travel guide for the upper classes”.</w:t>
      </w:r>
      <w:r w:rsidRPr="00AB1493">
        <w:rPr>
          <w:rStyle w:val="FootnoteReference"/>
          <w:rFonts w:cs="Calibri"/>
          <w:sz w:val="24"/>
          <w:szCs w:val="24"/>
        </w:rPr>
        <w:footnoteReference w:id="115"/>
      </w:r>
      <w:r w:rsidRPr="00AB1493">
        <w:rPr>
          <w:rFonts w:cs="Calibri"/>
          <w:sz w:val="24"/>
          <w:szCs w:val="24"/>
        </w:rPr>
        <w:t xml:space="preserve"> Mu-chou Poo writes that the Classic was "a geographical survey of elusive </w:t>
      </w:r>
      <w:r w:rsidRPr="00AB1493">
        <w:rPr>
          <w:rFonts w:cs="Calibri"/>
          <w:sz w:val="24"/>
          <w:szCs w:val="24"/>
        </w:rPr>
        <w:lastRenderedPageBreak/>
        <w:t>places” , “</w:t>
      </w:r>
      <w:r w:rsidRPr="00AB1493">
        <w:rPr>
          <w:rFonts w:cs="Calibri"/>
          <w:i/>
          <w:iCs/>
          <w:sz w:val="24"/>
          <w:szCs w:val="24"/>
        </w:rPr>
        <w:t>probably</w:t>
      </w:r>
      <w:r w:rsidRPr="00AB1493">
        <w:rPr>
          <w:rFonts w:cs="Calibri"/>
          <w:sz w:val="24"/>
          <w:szCs w:val="24"/>
        </w:rPr>
        <w:t xml:space="preserve"> a handbook for travellers”.</w:t>
      </w:r>
      <w:r w:rsidRPr="00AB1493">
        <w:rPr>
          <w:rStyle w:val="FootnoteReference"/>
          <w:rFonts w:cs="Calibri"/>
          <w:sz w:val="24"/>
          <w:szCs w:val="24"/>
        </w:rPr>
        <w:footnoteReference w:id="116"/>
      </w:r>
      <w:r w:rsidRPr="00AB1493">
        <w:rPr>
          <w:rFonts w:cs="Calibri"/>
          <w:sz w:val="24"/>
          <w:szCs w:val="24"/>
        </w:rPr>
        <w:t xml:space="preserve"> Yet shortly afterwards, Poo hedges that it is “unlikely that the book was ever used in a practical sense</w:t>
      </w:r>
      <w:r w:rsidR="009E09D7" w:rsidRPr="00AB1493">
        <w:rPr>
          <w:rFonts w:cs="Calibri"/>
          <w:sz w:val="24"/>
          <w:szCs w:val="24"/>
        </w:rPr>
        <w:t>.</w:t>
      </w:r>
      <w:r w:rsidRPr="00AB1493">
        <w:rPr>
          <w:rStyle w:val="FootnoteReference"/>
          <w:rFonts w:cs="Calibri"/>
          <w:sz w:val="24"/>
          <w:szCs w:val="24"/>
        </w:rPr>
        <w:footnoteReference w:id="117"/>
      </w:r>
    </w:p>
    <w:p w14:paraId="50E7B255" w14:textId="77777777" w:rsidR="00F365ED" w:rsidRPr="00AB1493" w:rsidRDefault="00F365ED" w:rsidP="00EA1AE2">
      <w:pPr>
        <w:spacing w:after="0" w:line="480" w:lineRule="auto"/>
        <w:rPr>
          <w:rFonts w:cs="Calibri"/>
          <w:sz w:val="24"/>
          <w:szCs w:val="24"/>
        </w:rPr>
      </w:pPr>
    </w:p>
    <w:p w14:paraId="2AD023B9" w14:textId="66DEBFF4" w:rsidR="0061614B" w:rsidRPr="00AB1493" w:rsidRDefault="002B45C4" w:rsidP="00EA1AE2">
      <w:pPr>
        <w:spacing w:after="0" w:line="480" w:lineRule="auto"/>
        <w:rPr>
          <w:rFonts w:cs="Calibri"/>
          <w:sz w:val="24"/>
          <w:szCs w:val="24"/>
        </w:rPr>
      </w:pPr>
      <w:r w:rsidRPr="00AB1493">
        <w:rPr>
          <w:rFonts w:cs="Calibri"/>
          <w:sz w:val="24"/>
          <w:szCs w:val="24"/>
        </w:rPr>
        <w:t xml:space="preserve">It is very clear that from entry #2, the </w:t>
      </w:r>
      <w:proofErr w:type="spellStart"/>
      <w:r w:rsidRPr="00AB1493">
        <w:rPr>
          <w:rFonts w:cs="Calibri"/>
          <w:sz w:val="24"/>
          <w:szCs w:val="24"/>
        </w:rPr>
        <w:t>Xingxing</w:t>
      </w:r>
      <w:proofErr w:type="spellEnd"/>
      <w:r w:rsidR="00B4439B">
        <w:rPr>
          <w:rFonts w:cs="Calibri"/>
          <w:sz w:val="24"/>
          <w:szCs w:val="24"/>
        </w:rPr>
        <w:t>,</w:t>
      </w:r>
      <w:r w:rsidRPr="00AB1493">
        <w:rPr>
          <w:rFonts w:cs="Calibri"/>
          <w:sz w:val="24"/>
          <w:szCs w:val="24"/>
        </w:rPr>
        <w:t xml:space="preserve"> to entry #344, the </w:t>
      </w:r>
      <w:proofErr w:type="spellStart"/>
      <w:r w:rsidRPr="00AB1493">
        <w:rPr>
          <w:rFonts w:cs="Calibri"/>
          <w:sz w:val="24"/>
          <w:szCs w:val="24"/>
        </w:rPr>
        <w:t>Dingling</w:t>
      </w:r>
      <w:proofErr w:type="spellEnd"/>
      <w:r w:rsidRPr="00AB1493">
        <w:rPr>
          <w:rFonts w:cs="Calibri"/>
          <w:sz w:val="24"/>
          <w:szCs w:val="24"/>
        </w:rPr>
        <w:t xml:space="preserve"> People, that no one ever encountered these beings in ‘ordinary reality’. Neither the one-winged </w:t>
      </w:r>
      <w:proofErr w:type="spellStart"/>
      <w:r w:rsidRPr="00AB1493">
        <w:rPr>
          <w:rFonts w:cs="Calibri"/>
          <w:sz w:val="24"/>
          <w:szCs w:val="24"/>
        </w:rPr>
        <w:t>Manman</w:t>
      </w:r>
      <w:proofErr w:type="spellEnd"/>
      <w:r w:rsidRPr="00AB1493">
        <w:rPr>
          <w:rFonts w:cs="Calibri"/>
          <w:sz w:val="24"/>
          <w:szCs w:val="24"/>
        </w:rPr>
        <w:t xml:space="preserve"> bird (#54) nor the three-bodied Chi bird (#72) fly in the skies seen by ordinary mortals</w:t>
      </w:r>
      <w:r w:rsidR="00572FE7" w:rsidRPr="00AB1493">
        <w:rPr>
          <w:rFonts w:cs="Calibri"/>
          <w:sz w:val="24"/>
          <w:szCs w:val="24"/>
        </w:rPr>
        <w:t>: the Hairy People (#258) are not a record of an Ainu-ethnic group</w:t>
      </w:r>
      <w:r w:rsidRPr="00AB1493">
        <w:rPr>
          <w:rFonts w:cs="Calibri"/>
          <w:sz w:val="24"/>
          <w:szCs w:val="24"/>
        </w:rPr>
        <w:t>. Nor can the ‘geography’ be traversed</w:t>
      </w:r>
      <w:r w:rsidR="00EA571D">
        <w:rPr>
          <w:rFonts w:cs="Calibri"/>
          <w:sz w:val="24"/>
          <w:szCs w:val="24"/>
        </w:rPr>
        <w:t>.</w:t>
      </w:r>
      <w:r w:rsidR="00EA571D">
        <w:rPr>
          <w:rStyle w:val="FootnoteReference"/>
          <w:rFonts w:cs="Calibri"/>
          <w:sz w:val="24"/>
          <w:szCs w:val="24"/>
        </w:rPr>
        <w:footnoteReference w:id="118"/>
      </w:r>
      <w:r w:rsidRPr="00AB1493">
        <w:rPr>
          <w:rFonts w:cs="Calibri"/>
          <w:sz w:val="24"/>
          <w:szCs w:val="24"/>
        </w:rPr>
        <w:t xml:space="preserve"> </w:t>
      </w:r>
      <w:r w:rsidR="00EA571D">
        <w:rPr>
          <w:rFonts w:cs="Calibri"/>
          <w:sz w:val="24"/>
          <w:szCs w:val="24"/>
        </w:rPr>
        <w:t>T</w:t>
      </w:r>
      <w:r w:rsidR="00AB1493">
        <w:rPr>
          <w:rFonts w:cs="Calibri"/>
          <w:sz w:val="24"/>
          <w:szCs w:val="24"/>
        </w:rPr>
        <w:t xml:space="preserve">he unity of each section is religious, “much depending on the spiritual vision of the </w:t>
      </w:r>
      <w:proofErr w:type="spellStart"/>
      <w:r w:rsidR="00AB1493">
        <w:rPr>
          <w:rFonts w:cs="Calibri"/>
          <w:sz w:val="24"/>
          <w:szCs w:val="24"/>
        </w:rPr>
        <w:t>traveler</w:t>
      </w:r>
      <w:proofErr w:type="spellEnd"/>
      <w:r w:rsidR="00AB1493">
        <w:rPr>
          <w:rFonts w:cs="Calibri"/>
          <w:sz w:val="24"/>
          <w:szCs w:val="24"/>
        </w:rPr>
        <w:t>”.</w:t>
      </w:r>
      <w:r w:rsidR="00AB1493">
        <w:rPr>
          <w:rStyle w:val="FootnoteReference"/>
          <w:rFonts w:cs="Calibri"/>
          <w:sz w:val="24"/>
          <w:szCs w:val="24"/>
        </w:rPr>
        <w:footnoteReference w:id="119"/>
      </w:r>
      <w:r w:rsidRPr="00AB1493">
        <w:rPr>
          <w:rFonts w:cs="Calibri"/>
          <w:sz w:val="24"/>
          <w:szCs w:val="24"/>
        </w:rPr>
        <w:t xml:space="preserve"> Strassberg cites Lu Xun’s view that the work is “an ancient book of the shamans”, which seems to this writer the only reasonable perspective.</w:t>
      </w:r>
      <w:r w:rsidRPr="00AB1493">
        <w:rPr>
          <w:rStyle w:val="FootnoteReference"/>
          <w:rFonts w:cs="Calibri"/>
          <w:sz w:val="24"/>
          <w:szCs w:val="24"/>
        </w:rPr>
        <w:footnoteReference w:id="120"/>
      </w:r>
      <w:r w:rsidRPr="00AB1493">
        <w:rPr>
          <w:rFonts w:cs="Calibri"/>
          <w:sz w:val="24"/>
          <w:szCs w:val="24"/>
        </w:rPr>
        <w:t xml:space="preserve"> </w:t>
      </w:r>
      <w:r w:rsidRPr="00AB1493">
        <w:rPr>
          <w:rFonts w:cs="Calibri"/>
          <w:i/>
          <w:iCs/>
          <w:sz w:val="24"/>
          <w:szCs w:val="24"/>
        </w:rPr>
        <w:t>Shanhaijing</w:t>
      </w:r>
      <w:r w:rsidRPr="00AB1493">
        <w:rPr>
          <w:rFonts w:cs="Calibri"/>
          <w:sz w:val="24"/>
          <w:szCs w:val="24"/>
        </w:rPr>
        <w:t xml:space="preserve"> may indeed be considered a ‘guidebook’, but it is one for shamans travelling in non-ordinary reality.</w:t>
      </w:r>
      <w:r w:rsidRPr="00AB1493">
        <w:rPr>
          <w:rStyle w:val="FootnoteReference"/>
          <w:rFonts w:cs="Calibri"/>
          <w:sz w:val="24"/>
          <w:szCs w:val="24"/>
        </w:rPr>
        <w:footnoteReference w:id="121"/>
      </w:r>
      <w:r w:rsidRPr="00AB1493">
        <w:rPr>
          <w:rFonts w:cs="Calibri"/>
          <w:sz w:val="24"/>
          <w:szCs w:val="24"/>
        </w:rPr>
        <w:t xml:space="preserve"> The most fundamental characteristic of shamanism </w:t>
      </w:r>
      <w:r w:rsidR="009E09D7" w:rsidRPr="00AB1493">
        <w:rPr>
          <w:rFonts w:cs="Calibri"/>
          <w:sz w:val="24"/>
          <w:szCs w:val="24"/>
        </w:rPr>
        <w:t xml:space="preserve">- </w:t>
      </w:r>
      <w:r w:rsidRPr="00AB1493">
        <w:rPr>
          <w:rFonts w:cs="Calibri"/>
          <w:sz w:val="24"/>
          <w:szCs w:val="24"/>
        </w:rPr>
        <w:t>that of spirit-travel</w:t>
      </w:r>
      <w:r w:rsidR="00892472" w:rsidRPr="00AB1493">
        <w:rPr>
          <w:rFonts w:cs="Calibri"/>
          <w:sz w:val="24"/>
          <w:szCs w:val="24"/>
        </w:rPr>
        <w:t xml:space="preserve"> - is</w:t>
      </w:r>
      <w:r w:rsidRPr="00AB1493">
        <w:rPr>
          <w:rFonts w:cs="Calibri"/>
          <w:sz w:val="24"/>
          <w:szCs w:val="24"/>
        </w:rPr>
        <w:t xml:space="preserve"> surely the mode of movement in </w:t>
      </w:r>
      <w:r w:rsidRPr="00AB1493">
        <w:rPr>
          <w:rFonts w:cs="Calibri"/>
          <w:i/>
          <w:iCs/>
          <w:sz w:val="24"/>
          <w:szCs w:val="24"/>
        </w:rPr>
        <w:t>Shanhaijing</w:t>
      </w:r>
      <w:r w:rsidRPr="00AB1493">
        <w:rPr>
          <w:rFonts w:cs="Calibri"/>
          <w:sz w:val="24"/>
          <w:szCs w:val="24"/>
        </w:rPr>
        <w:t xml:space="preserve"> in which the vast distances between entries are travelled effortlessly, without remark.</w:t>
      </w:r>
      <w:r w:rsidRPr="00AB1493">
        <w:rPr>
          <w:rStyle w:val="FootnoteReference"/>
          <w:rFonts w:cs="Calibri"/>
          <w:sz w:val="24"/>
          <w:szCs w:val="24"/>
        </w:rPr>
        <w:footnoteReference w:id="122"/>
      </w:r>
      <w:r w:rsidRPr="00AB1493">
        <w:rPr>
          <w:rFonts w:cs="Calibri"/>
          <w:sz w:val="24"/>
          <w:szCs w:val="24"/>
        </w:rPr>
        <w:t xml:space="preserve"> </w:t>
      </w:r>
      <w:r w:rsidR="00934C5C" w:rsidRPr="00AB1493">
        <w:rPr>
          <w:rFonts w:cs="Calibri"/>
          <w:sz w:val="24"/>
          <w:szCs w:val="24"/>
        </w:rPr>
        <w:t xml:space="preserve">It is suggested that the lands described in </w:t>
      </w:r>
      <w:r w:rsidR="00934C5C" w:rsidRPr="00AB1493">
        <w:rPr>
          <w:rFonts w:cs="Calibri"/>
          <w:sz w:val="24"/>
          <w:szCs w:val="24"/>
        </w:rPr>
        <w:lastRenderedPageBreak/>
        <w:t xml:space="preserve">Shanhaijing be considered as Middleworld </w:t>
      </w:r>
      <w:r w:rsidR="00934C5C">
        <w:rPr>
          <w:rFonts w:cs="Calibri"/>
          <w:sz w:val="24"/>
          <w:szCs w:val="24"/>
        </w:rPr>
        <w:t xml:space="preserve">as discussed above </w:t>
      </w:r>
      <w:r w:rsidR="00934C5C" w:rsidRPr="00AB1493">
        <w:rPr>
          <w:rFonts w:cs="Calibri"/>
          <w:sz w:val="24"/>
          <w:szCs w:val="24"/>
        </w:rPr>
        <w:t>- they have ‘normal’ world characteristics, and ‘ascent to heaven’ from them, for example in a chariot drawn by two dragons, is described multiple times.</w:t>
      </w:r>
      <w:r w:rsidR="00934C5C" w:rsidRPr="00AB1493">
        <w:rPr>
          <w:rStyle w:val="FootnoteReference"/>
          <w:rFonts w:cs="Calibri"/>
          <w:sz w:val="24"/>
          <w:szCs w:val="24"/>
        </w:rPr>
        <w:footnoteReference w:id="123"/>
      </w:r>
      <w:r w:rsidR="00934C5C" w:rsidRPr="00AB1493">
        <w:rPr>
          <w:rFonts w:cs="Calibri"/>
          <w:sz w:val="24"/>
          <w:szCs w:val="24"/>
        </w:rPr>
        <w:t xml:space="preserve"> Mapping of upper and lower worlds may well be performed via a Middleworld reference.</w:t>
      </w:r>
      <w:r w:rsidR="00934C5C" w:rsidRPr="00AB1493">
        <w:rPr>
          <w:rStyle w:val="FootnoteReference"/>
          <w:rFonts w:cs="Calibri"/>
          <w:sz w:val="24"/>
          <w:szCs w:val="24"/>
        </w:rPr>
        <w:footnoteReference w:id="124"/>
      </w:r>
      <w:r w:rsidR="00934C5C">
        <w:rPr>
          <w:rFonts w:cs="Calibri"/>
          <w:sz w:val="24"/>
          <w:szCs w:val="24"/>
        </w:rPr>
        <w:t xml:space="preserve"> </w:t>
      </w:r>
      <w:r w:rsidRPr="00AB1493">
        <w:rPr>
          <w:rFonts w:cs="Calibri"/>
          <w:sz w:val="24"/>
          <w:szCs w:val="24"/>
        </w:rPr>
        <w:t xml:space="preserve">Whereas ‘classic’ shamanism belongs to non-literate cultures, and is transmitted by oral tradition prior to the arrival of anthropologists and ethnologists, it is argued here that Shanhaijing </w:t>
      </w:r>
      <w:r w:rsidR="00892472" w:rsidRPr="00AB1493">
        <w:rPr>
          <w:rFonts w:cs="Calibri"/>
          <w:sz w:val="24"/>
          <w:szCs w:val="24"/>
        </w:rPr>
        <w:t xml:space="preserve">is an example of how </w:t>
      </w:r>
      <w:r w:rsidRPr="00AB1493">
        <w:rPr>
          <w:rFonts w:cs="Calibri"/>
          <w:sz w:val="24"/>
          <w:szCs w:val="24"/>
        </w:rPr>
        <w:t xml:space="preserve">shamanism </w:t>
      </w:r>
      <w:r w:rsidR="00892472" w:rsidRPr="00AB1493">
        <w:rPr>
          <w:rFonts w:cs="Calibri"/>
          <w:sz w:val="24"/>
          <w:szCs w:val="24"/>
        </w:rPr>
        <w:t xml:space="preserve">exists </w:t>
      </w:r>
      <w:r w:rsidRPr="00AB1493">
        <w:rPr>
          <w:rFonts w:cs="Calibri"/>
          <w:sz w:val="24"/>
          <w:szCs w:val="24"/>
        </w:rPr>
        <w:t>in literate culture. The places that can be visited in shamanic travel are by no means chaotic or derived from individual psychosis, but rather are considered objective enough to be worth description for others. This shift of shamanism from oral mode into the literate should be considered a revolution in spiritual practice.</w:t>
      </w:r>
      <w:r w:rsidRPr="00AB1493">
        <w:rPr>
          <w:rStyle w:val="FootnoteReference"/>
          <w:rFonts w:cs="Calibri"/>
          <w:sz w:val="24"/>
          <w:szCs w:val="24"/>
        </w:rPr>
        <w:footnoteReference w:id="125"/>
      </w:r>
      <w:r w:rsidRPr="00AB1493">
        <w:rPr>
          <w:rFonts w:cs="Calibri"/>
          <w:sz w:val="24"/>
          <w:szCs w:val="24"/>
        </w:rPr>
        <w:t xml:space="preserve"> </w:t>
      </w:r>
    </w:p>
    <w:p w14:paraId="6347FB60" w14:textId="77777777" w:rsidR="0061614B" w:rsidRPr="00AB1493" w:rsidRDefault="0061614B" w:rsidP="00EA1AE2">
      <w:pPr>
        <w:spacing w:after="0" w:line="480" w:lineRule="auto"/>
        <w:rPr>
          <w:rFonts w:cs="Calibri"/>
          <w:sz w:val="24"/>
          <w:szCs w:val="24"/>
        </w:rPr>
      </w:pPr>
    </w:p>
    <w:p w14:paraId="7BE76906" w14:textId="22F19987" w:rsidR="00E22D26" w:rsidRPr="00AB1493" w:rsidRDefault="0061614B" w:rsidP="00EA1AE2">
      <w:pPr>
        <w:spacing w:after="0" w:line="480" w:lineRule="auto"/>
        <w:rPr>
          <w:rFonts w:cs="Calibri"/>
          <w:sz w:val="24"/>
          <w:szCs w:val="24"/>
        </w:rPr>
      </w:pPr>
      <w:r w:rsidRPr="00AB1493">
        <w:rPr>
          <w:rFonts w:cs="Calibri"/>
          <w:sz w:val="24"/>
          <w:szCs w:val="24"/>
        </w:rPr>
        <w:t>At the same time, the academically</w:t>
      </w:r>
      <w:r w:rsidR="00B4439B">
        <w:rPr>
          <w:rFonts w:cs="Calibri"/>
          <w:sz w:val="24"/>
          <w:szCs w:val="24"/>
        </w:rPr>
        <w:t>-</w:t>
      </w:r>
      <w:r w:rsidRPr="00AB1493">
        <w:rPr>
          <w:rFonts w:cs="Calibri"/>
          <w:sz w:val="24"/>
          <w:szCs w:val="24"/>
        </w:rPr>
        <w:t xml:space="preserve">elevated significance of literacy may be questioned: </w:t>
      </w:r>
      <w:r w:rsidR="00D66596" w:rsidRPr="00AB1493">
        <w:rPr>
          <w:rFonts w:cs="Calibri"/>
          <w:sz w:val="24"/>
          <w:szCs w:val="24"/>
        </w:rPr>
        <w:t xml:space="preserve">during the Tang period </w:t>
      </w:r>
      <w:proofErr w:type="spellStart"/>
      <w:r w:rsidR="00D66596" w:rsidRPr="00AB1493">
        <w:rPr>
          <w:rFonts w:cs="Calibri"/>
          <w:i/>
          <w:iCs/>
          <w:sz w:val="24"/>
          <w:szCs w:val="24"/>
        </w:rPr>
        <w:t>pien</w:t>
      </w:r>
      <w:proofErr w:type="spellEnd"/>
      <w:r w:rsidR="00D66596" w:rsidRPr="00AB1493">
        <w:rPr>
          <w:rFonts w:cs="Calibri"/>
          <w:i/>
          <w:iCs/>
          <w:sz w:val="24"/>
          <w:szCs w:val="24"/>
        </w:rPr>
        <w:t>-wen</w:t>
      </w:r>
      <w:r w:rsidR="00D66596" w:rsidRPr="00AB1493">
        <w:rPr>
          <w:rFonts w:cs="Calibri"/>
          <w:sz w:val="24"/>
          <w:szCs w:val="24"/>
        </w:rPr>
        <w:t xml:space="preserve"> ‘transformation texts’ were “performed using illustrative paintings”</w:t>
      </w:r>
      <w:r w:rsidR="00A3533E" w:rsidRPr="00AB1493">
        <w:rPr>
          <w:rFonts w:cs="Calibri"/>
          <w:sz w:val="24"/>
          <w:szCs w:val="24"/>
        </w:rPr>
        <w:t>.</w:t>
      </w:r>
      <w:r w:rsidR="00A3533E" w:rsidRPr="00AB1493">
        <w:rPr>
          <w:rStyle w:val="FootnoteReference"/>
          <w:rFonts w:cs="Calibri"/>
          <w:sz w:val="24"/>
          <w:szCs w:val="24"/>
        </w:rPr>
        <w:footnoteReference w:id="126"/>
      </w:r>
      <w:r w:rsidR="00A3533E" w:rsidRPr="00AB1493">
        <w:rPr>
          <w:rFonts w:cs="Calibri"/>
          <w:sz w:val="24"/>
          <w:szCs w:val="24"/>
        </w:rPr>
        <w:t xml:space="preserve"> Further, “picture scrolls were an important part of the performance</w:t>
      </w:r>
      <w:r w:rsidR="00B4439B">
        <w:rPr>
          <w:rFonts w:cs="Calibri"/>
          <w:sz w:val="24"/>
          <w:szCs w:val="24"/>
        </w:rPr>
        <w:t>”</w:t>
      </w:r>
      <w:r w:rsidR="00D66596" w:rsidRPr="00AB1493">
        <w:rPr>
          <w:rFonts w:cs="Calibri"/>
          <w:sz w:val="24"/>
          <w:szCs w:val="24"/>
        </w:rPr>
        <w:t>.</w:t>
      </w:r>
      <w:r w:rsidR="00D66596" w:rsidRPr="00AB1493">
        <w:rPr>
          <w:rStyle w:val="FootnoteReference"/>
          <w:rFonts w:cs="Calibri"/>
          <w:sz w:val="24"/>
          <w:szCs w:val="24"/>
        </w:rPr>
        <w:footnoteReference w:id="127"/>
      </w:r>
      <w:r w:rsidR="00D66596" w:rsidRPr="00AB1493">
        <w:rPr>
          <w:rFonts w:cs="Calibri"/>
          <w:sz w:val="24"/>
          <w:szCs w:val="24"/>
        </w:rPr>
        <w:t xml:space="preserve"> Although </w:t>
      </w:r>
      <w:r w:rsidR="00AB1493">
        <w:rPr>
          <w:rFonts w:cs="Calibri"/>
          <w:sz w:val="24"/>
          <w:szCs w:val="24"/>
        </w:rPr>
        <w:t xml:space="preserve">its </w:t>
      </w:r>
      <w:r w:rsidR="00D66596" w:rsidRPr="00AB1493">
        <w:rPr>
          <w:rFonts w:cs="Calibri"/>
          <w:sz w:val="24"/>
          <w:szCs w:val="24"/>
        </w:rPr>
        <w:t xml:space="preserve">illustrations currently available </w:t>
      </w:r>
      <w:r w:rsidRPr="00AB1493">
        <w:rPr>
          <w:rFonts w:cs="Calibri"/>
          <w:sz w:val="24"/>
          <w:szCs w:val="24"/>
        </w:rPr>
        <w:t>date from no earlier than 1597</w:t>
      </w:r>
      <w:r w:rsidR="00D66596" w:rsidRPr="00AB1493">
        <w:rPr>
          <w:rFonts w:cs="Calibri"/>
          <w:sz w:val="24"/>
          <w:szCs w:val="24"/>
        </w:rPr>
        <w:t xml:space="preserve">, it is reasonable to speculate that material from </w:t>
      </w:r>
      <w:r w:rsidR="00D66596" w:rsidRPr="00AB1493">
        <w:rPr>
          <w:rFonts w:cs="Calibri"/>
          <w:i/>
          <w:iCs/>
          <w:sz w:val="24"/>
          <w:szCs w:val="24"/>
        </w:rPr>
        <w:t>Shanhaijing</w:t>
      </w:r>
      <w:r w:rsidR="00D66596" w:rsidRPr="00AB1493">
        <w:rPr>
          <w:rFonts w:cs="Calibri"/>
          <w:sz w:val="24"/>
          <w:szCs w:val="24"/>
        </w:rPr>
        <w:t xml:space="preserve">, and similarly from other shamanic stories, was </w:t>
      </w:r>
      <w:r w:rsidR="00A3533E" w:rsidRPr="00AB1493">
        <w:rPr>
          <w:rFonts w:cs="Calibri"/>
          <w:sz w:val="24"/>
          <w:szCs w:val="24"/>
        </w:rPr>
        <w:lastRenderedPageBreak/>
        <w:t xml:space="preserve">initially </w:t>
      </w:r>
      <w:r w:rsidR="00D66596" w:rsidRPr="00AB1493">
        <w:rPr>
          <w:rFonts w:cs="Calibri"/>
          <w:sz w:val="24"/>
          <w:szCs w:val="24"/>
        </w:rPr>
        <w:t>communicated via pictorial media</w:t>
      </w:r>
      <w:r w:rsidR="00EA571D">
        <w:rPr>
          <w:rFonts w:cs="Calibri"/>
          <w:sz w:val="24"/>
          <w:szCs w:val="24"/>
        </w:rPr>
        <w:t xml:space="preserve"> –</w:t>
      </w:r>
      <w:r w:rsidR="00934C5C">
        <w:rPr>
          <w:rFonts w:cs="Calibri"/>
          <w:sz w:val="24"/>
          <w:szCs w:val="24"/>
        </w:rPr>
        <w:t xml:space="preserve">it has </w:t>
      </w:r>
      <w:r w:rsidR="00EA571D">
        <w:rPr>
          <w:rFonts w:cs="Calibri"/>
          <w:sz w:val="24"/>
          <w:szCs w:val="24"/>
        </w:rPr>
        <w:t>no continuous narrative, just ‘description’</w:t>
      </w:r>
      <w:r w:rsidR="00D66596" w:rsidRPr="00AB1493">
        <w:rPr>
          <w:rFonts w:cs="Calibri"/>
          <w:sz w:val="24"/>
          <w:szCs w:val="24"/>
        </w:rPr>
        <w:t xml:space="preserve">. </w:t>
      </w:r>
      <w:r w:rsidR="00E22D26" w:rsidRPr="00AB1493">
        <w:rPr>
          <w:rFonts w:cs="Calibri"/>
          <w:sz w:val="24"/>
          <w:szCs w:val="24"/>
        </w:rPr>
        <w:t xml:space="preserve">It is plausible that subsequent literary versions </w:t>
      </w:r>
      <w:r w:rsidR="003350D6" w:rsidRPr="00AB1493">
        <w:rPr>
          <w:rFonts w:cs="Calibri"/>
          <w:sz w:val="24"/>
          <w:szCs w:val="24"/>
        </w:rPr>
        <w:t>were</w:t>
      </w:r>
      <w:r w:rsidR="00E22D26" w:rsidRPr="00AB1493">
        <w:rPr>
          <w:rFonts w:cs="Calibri"/>
          <w:sz w:val="24"/>
          <w:szCs w:val="24"/>
        </w:rPr>
        <w:t xml:space="preserve"> produced via sceptical or rationalising literati, so that the received text has reduced ‘spiritual’ content.</w:t>
      </w:r>
      <w:r w:rsidR="00843345" w:rsidRPr="00AB1493">
        <w:rPr>
          <w:rStyle w:val="FootnoteReference"/>
          <w:rFonts w:cs="Calibri"/>
          <w:sz w:val="24"/>
          <w:szCs w:val="24"/>
        </w:rPr>
        <w:footnoteReference w:id="128"/>
      </w:r>
    </w:p>
    <w:p w14:paraId="71A54621" w14:textId="77B5054F" w:rsidR="007A2D5A" w:rsidRPr="00AB1493" w:rsidRDefault="007A2D5A" w:rsidP="00EA1AE2">
      <w:pPr>
        <w:spacing w:after="0" w:line="480" w:lineRule="auto"/>
        <w:rPr>
          <w:rFonts w:cs="Calibri"/>
          <w:sz w:val="24"/>
          <w:szCs w:val="24"/>
        </w:rPr>
      </w:pPr>
    </w:p>
    <w:p w14:paraId="60F087A9" w14:textId="77777777" w:rsidR="00CD77F1" w:rsidRPr="00AB1493" w:rsidRDefault="00CD77F1" w:rsidP="00EA1AE2">
      <w:pPr>
        <w:spacing w:after="0" w:line="480" w:lineRule="auto"/>
        <w:rPr>
          <w:rFonts w:cs="Calibri"/>
          <w:sz w:val="24"/>
          <w:szCs w:val="24"/>
        </w:rPr>
      </w:pPr>
    </w:p>
    <w:p w14:paraId="55F64333" w14:textId="5269D443" w:rsidR="007A2D5A" w:rsidRDefault="002B45C4" w:rsidP="00EA1AE2">
      <w:pPr>
        <w:spacing w:after="0" w:line="480" w:lineRule="auto"/>
        <w:rPr>
          <w:rFonts w:cs="Calibri"/>
          <w:sz w:val="24"/>
          <w:szCs w:val="24"/>
        </w:rPr>
      </w:pPr>
      <w:r w:rsidRPr="00AB1493">
        <w:rPr>
          <w:rFonts w:cs="Calibri"/>
          <w:sz w:val="24"/>
          <w:szCs w:val="24"/>
        </w:rPr>
        <w:t>How the Shanhaijing relates to ‘popular religion’ must be a questionable matter – in general, correlation between ‘mythology’ (as stories) and ‘religion’ should not be assumed.</w:t>
      </w:r>
      <w:r w:rsidR="003350D6" w:rsidRPr="00AB1493">
        <w:rPr>
          <w:rStyle w:val="FootnoteReference"/>
          <w:rFonts w:cs="Calibri"/>
          <w:sz w:val="24"/>
          <w:szCs w:val="24"/>
        </w:rPr>
        <w:footnoteReference w:id="129"/>
      </w:r>
      <w:r w:rsidRPr="00AB1493">
        <w:rPr>
          <w:rFonts w:cs="Calibri"/>
          <w:sz w:val="24"/>
          <w:szCs w:val="24"/>
        </w:rPr>
        <w:t xml:space="preserve"> Nonetheless, it is only to be expected that shamans would tell stories of the deities and other beings that they encountered in their own territory, and when these corresponded with their understanding of the </w:t>
      </w:r>
      <w:r w:rsidRPr="00AB1493">
        <w:rPr>
          <w:rFonts w:cs="Calibri"/>
          <w:i/>
          <w:iCs/>
          <w:sz w:val="24"/>
          <w:szCs w:val="24"/>
        </w:rPr>
        <w:t>Sha</w:t>
      </w:r>
      <w:r w:rsidR="00E43E0F">
        <w:rPr>
          <w:rFonts w:cs="Calibri"/>
          <w:i/>
          <w:iCs/>
          <w:sz w:val="24"/>
          <w:szCs w:val="24"/>
        </w:rPr>
        <w:t>n</w:t>
      </w:r>
      <w:r w:rsidRPr="00AB1493">
        <w:rPr>
          <w:rFonts w:cs="Calibri"/>
          <w:i/>
          <w:iCs/>
          <w:sz w:val="24"/>
          <w:szCs w:val="24"/>
        </w:rPr>
        <w:t>haijing</w:t>
      </w:r>
      <w:r w:rsidRPr="00AB1493">
        <w:rPr>
          <w:rFonts w:cs="Calibri"/>
          <w:sz w:val="24"/>
          <w:szCs w:val="24"/>
        </w:rPr>
        <w:t xml:space="preserve"> (or its precursors, oral or written) would presumably offer ‘sacrifices’ or other rites as prescribed.</w:t>
      </w:r>
      <w:r w:rsidRPr="00AB1493">
        <w:rPr>
          <w:rStyle w:val="FootnoteReference"/>
          <w:rFonts w:cs="Calibri"/>
          <w:sz w:val="24"/>
          <w:szCs w:val="24"/>
        </w:rPr>
        <w:footnoteReference w:id="130"/>
      </w:r>
      <w:r w:rsidRPr="00AB1493">
        <w:rPr>
          <w:rFonts w:cs="Calibri"/>
          <w:sz w:val="24"/>
          <w:szCs w:val="24"/>
        </w:rPr>
        <w:t xml:space="preserve"> In the absence of explicitly shamanic comment from earlier times, the wider understanding of Shanhaijing would be enhanced were modern Chinese shamans to contribute to the academic discussion.</w:t>
      </w:r>
      <w:r w:rsidR="00AA6446">
        <w:rPr>
          <w:rFonts w:cs="Calibri"/>
          <w:sz w:val="24"/>
          <w:szCs w:val="24"/>
        </w:rPr>
        <w:t xml:space="preserve"> </w:t>
      </w:r>
      <w:r w:rsidRPr="00AB1493">
        <w:rPr>
          <w:rFonts w:cs="Calibri"/>
          <w:sz w:val="24"/>
          <w:szCs w:val="24"/>
        </w:rPr>
        <w:t xml:space="preserve">Strassberg </w:t>
      </w:r>
      <w:r w:rsidR="00AA6446">
        <w:rPr>
          <w:rFonts w:cs="Calibri"/>
          <w:sz w:val="24"/>
          <w:szCs w:val="24"/>
        </w:rPr>
        <w:t xml:space="preserve">further </w:t>
      </w:r>
      <w:r w:rsidRPr="00AB1493">
        <w:rPr>
          <w:rFonts w:cs="Calibri"/>
          <w:sz w:val="24"/>
          <w:szCs w:val="24"/>
        </w:rPr>
        <w:t xml:space="preserve">suggests that the </w:t>
      </w:r>
      <w:r w:rsidRPr="00AA6446">
        <w:rPr>
          <w:rFonts w:cs="Calibri"/>
          <w:i/>
          <w:iCs/>
          <w:sz w:val="24"/>
          <w:szCs w:val="24"/>
        </w:rPr>
        <w:t>wu</w:t>
      </w:r>
      <w:r w:rsidRPr="00AB1493">
        <w:rPr>
          <w:rFonts w:cs="Calibri"/>
          <w:sz w:val="24"/>
          <w:szCs w:val="24"/>
        </w:rPr>
        <w:t xml:space="preserve">-shamans not only performed various public rites, but also had a ‘cult’ of their own </w:t>
      </w:r>
      <w:r w:rsidR="005410DB">
        <w:rPr>
          <w:rFonts w:cs="Calibri"/>
          <w:sz w:val="24"/>
          <w:szCs w:val="24"/>
        </w:rPr>
        <w:t xml:space="preserve">relating to </w:t>
      </w:r>
      <w:r w:rsidRPr="00AB1493">
        <w:rPr>
          <w:rFonts w:cs="Calibri"/>
          <w:sz w:val="24"/>
          <w:szCs w:val="24"/>
        </w:rPr>
        <w:t>divi</w:t>
      </w:r>
      <w:r w:rsidR="00AA6446">
        <w:rPr>
          <w:rFonts w:cs="Calibri"/>
          <w:sz w:val="24"/>
          <w:szCs w:val="24"/>
        </w:rPr>
        <w:t>n</w:t>
      </w:r>
      <w:r w:rsidRPr="00AB1493">
        <w:rPr>
          <w:rFonts w:cs="Calibri"/>
          <w:sz w:val="24"/>
          <w:szCs w:val="24"/>
        </w:rPr>
        <w:t xml:space="preserve">e shamans </w:t>
      </w:r>
      <w:r w:rsidR="005410DB">
        <w:rPr>
          <w:rFonts w:cs="Calibri"/>
          <w:sz w:val="24"/>
          <w:szCs w:val="24"/>
        </w:rPr>
        <w:t xml:space="preserve">such as </w:t>
      </w:r>
      <w:r w:rsidR="00AA6446">
        <w:rPr>
          <w:rFonts w:cs="Calibri"/>
          <w:sz w:val="24"/>
          <w:szCs w:val="24"/>
        </w:rPr>
        <w:t xml:space="preserve">Xian the primary ancestral god, dwelling at Mount </w:t>
      </w:r>
      <w:proofErr w:type="spellStart"/>
      <w:r w:rsidR="00AA6446">
        <w:rPr>
          <w:rFonts w:cs="Calibri"/>
          <w:sz w:val="24"/>
          <w:szCs w:val="24"/>
        </w:rPr>
        <w:t>Dengbao</w:t>
      </w:r>
      <w:proofErr w:type="spellEnd"/>
      <w:r w:rsidR="00AA6446">
        <w:rPr>
          <w:rFonts w:cs="Calibri"/>
          <w:sz w:val="24"/>
          <w:szCs w:val="24"/>
        </w:rPr>
        <w:t>, in seas beyond the west.</w:t>
      </w:r>
      <w:r w:rsidR="00AA6446">
        <w:rPr>
          <w:rStyle w:val="FootnoteReference"/>
          <w:rFonts w:cs="Calibri"/>
          <w:sz w:val="24"/>
          <w:szCs w:val="24"/>
        </w:rPr>
        <w:footnoteReference w:id="131"/>
      </w:r>
      <w:r w:rsidR="00AA6446">
        <w:rPr>
          <w:rFonts w:cs="Calibri"/>
          <w:sz w:val="24"/>
          <w:szCs w:val="24"/>
        </w:rPr>
        <w:t xml:space="preserve"> In this sense, </w:t>
      </w:r>
      <w:r w:rsidR="00AA6446" w:rsidRPr="00AA6446">
        <w:rPr>
          <w:rFonts w:cs="Calibri"/>
          <w:i/>
          <w:iCs/>
          <w:sz w:val="24"/>
          <w:szCs w:val="24"/>
        </w:rPr>
        <w:t>Shanhaijing</w:t>
      </w:r>
      <w:r w:rsidR="00AA6446">
        <w:rPr>
          <w:rFonts w:cs="Calibri"/>
          <w:sz w:val="24"/>
          <w:szCs w:val="24"/>
        </w:rPr>
        <w:t xml:space="preserve"> might also be considered as a unifying religious text, even if only </w:t>
      </w:r>
      <w:r w:rsidR="00AA6446">
        <w:rPr>
          <w:rFonts w:cs="Calibri"/>
          <w:sz w:val="24"/>
          <w:szCs w:val="24"/>
        </w:rPr>
        <w:lastRenderedPageBreak/>
        <w:t>appreciated by the shamans, in comparison to the highly localised forms of ‘popular religion’.</w:t>
      </w:r>
    </w:p>
    <w:p w14:paraId="6AF25858" w14:textId="77777777" w:rsidR="00AA6446" w:rsidRPr="00AB1493" w:rsidRDefault="00AA6446" w:rsidP="00EA1AE2">
      <w:pPr>
        <w:spacing w:after="0" w:line="480" w:lineRule="auto"/>
        <w:rPr>
          <w:rFonts w:cs="Calibri"/>
          <w:sz w:val="24"/>
          <w:szCs w:val="24"/>
        </w:rPr>
      </w:pPr>
    </w:p>
    <w:p w14:paraId="4763C947" w14:textId="41C10B69" w:rsidR="00892472" w:rsidRPr="00AB1493" w:rsidRDefault="00892472" w:rsidP="00EA1AE2">
      <w:pPr>
        <w:spacing w:after="0" w:line="480" w:lineRule="auto"/>
        <w:rPr>
          <w:rFonts w:cs="Calibri"/>
          <w:sz w:val="24"/>
          <w:szCs w:val="24"/>
        </w:rPr>
      </w:pPr>
      <w:r w:rsidRPr="00AB1493">
        <w:rPr>
          <w:rFonts w:cs="Calibri"/>
          <w:sz w:val="24"/>
          <w:szCs w:val="24"/>
        </w:rPr>
        <w:t>The most extreme form of otherworld travel is surely to ‘outer space’</w:t>
      </w:r>
      <w:r w:rsidR="001341A8" w:rsidRPr="00AB1493">
        <w:rPr>
          <w:rFonts w:cs="Calibri"/>
          <w:sz w:val="24"/>
          <w:szCs w:val="24"/>
        </w:rPr>
        <w:t xml:space="preserve">. </w:t>
      </w:r>
      <w:r w:rsidR="00054E86" w:rsidRPr="00AB1493">
        <w:rPr>
          <w:rFonts w:cs="Calibri"/>
          <w:sz w:val="24"/>
          <w:szCs w:val="24"/>
        </w:rPr>
        <w:t>E</w:t>
      </w:r>
      <w:r w:rsidR="001341A8" w:rsidRPr="00AB1493">
        <w:rPr>
          <w:rFonts w:cs="Calibri"/>
          <w:sz w:val="24"/>
          <w:szCs w:val="24"/>
        </w:rPr>
        <w:t xml:space="preserve">rkes </w:t>
      </w:r>
      <w:r w:rsidR="00054E86" w:rsidRPr="00AB1493">
        <w:rPr>
          <w:rFonts w:cs="Calibri"/>
          <w:sz w:val="24"/>
          <w:szCs w:val="24"/>
        </w:rPr>
        <w:t>quotes a Chinese shamaness</w:t>
      </w:r>
      <w:r w:rsidR="001341A8" w:rsidRPr="00AB1493">
        <w:rPr>
          <w:rFonts w:cs="Calibri"/>
          <w:sz w:val="24"/>
          <w:szCs w:val="24"/>
        </w:rPr>
        <w:t xml:space="preserve"> ‘mounting the carriage of a god’</w:t>
      </w:r>
      <w:r w:rsidR="00572CFF" w:rsidRPr="00AB1493">
        <w:rPr>
          <w:rFonts w:cs="Calibri"/>
          <w:sz w:val="24"/>
          <w:szCs w:val="24"/>
        </w:rPr>
        <w:t xml:space="preserve"> saying </w:t>
      </w:r>
      <w:r w:rsidR="001341A8" w:rsidRPr="00AB1493">
        <w:rPr>
          <w:rFonts w:cs="Calibri"/>
          <w:sz w:val="24"/>
          <w:szCs w:val="24"/>
        </w:rPr>
        <w:t>:</w:t>
      </w:r>
      <w:r w:rsidR="00054E86" w:rsidRPr="00AB1493">
        <w:rPr>
          <w:rFonts w:cs="Calibri"/>
          <w:sz w:val="24"/>
          <w:szCs w:val="24"/>
        </w:rPr>
        <w:t xml:space="preserve"> “We rise to heaven and brush away the comets”.</w:t>
      </w:r>
      <w:r w:rsidR="00054E86" w:rsidRPr="00AB1493">
        <w:rPr>
          <w:rStyle w:val="FootnoteReference"/>
          <w:rFonts w:cs="Calibri"/>
          <w:sz w:val="24"/>
          <w:szCs w:val="24"/>
        </w:rPr>
        <w:footnoteReference w:id="132"/>
      </w:r>
      <w:r w:rsidR="00054E86" w:rsidRPr="00AB1493">
        <w:rPr>
          <w:rFonts w:cs="Calibri"/>
          <w:sz w:val="24"/>
          <w:szCs w:val="24"/>
        </w:rPr>
        <w:t xml:space="preserve"> </w:t>
      </w:r>
      <w:r w:rsidRPr="00AB1493">
        <w:rPr>
          <w:rFonts w:cs="Calibri"/>
          <w:sz w:val="24"/>
          <w:szCs w:val="24"/>
        </w:rPr>
        <w:t xml:space="preserve">Schafer describes </w:t>
      </w:r>
      <w:r w:rsidR="001341A8" w:rsidRPr="00AB1493">
        <w:rPr>
          <w:rFonts w:cs="Calibri"/>
          <w:sz w:val="24"/>
          <w:szCs w:val="24"/>
        </w:rPr>
        <w:t xml:space="preserve">such journeys </w:t>
      </w:r>
      <w:r w:rsidRPr="00AB1493">
        <w:rPr>
          <w:rFonts w:cs="Calibri"/>
          <w:sz w:val="24"/>
          <w:szCs w:val="24"/>
        </w:rPr>
        <w:t>as “ a commonplace of ancient China”</w:t>
      </w:r>
      <w:r w:rsidR="009E7605">
        <w:rPr>
          <w:rFonts w:cs="Calibri"/>
          <w:sz w:val="24"/>
          <w:szCs w:val="24"/>
        </w:rPr>
        <w:t xml:space="preserve"> and apparently </w:t>
      </w:r>
      <w:r w:rsidRPr="00AB1493">
        <w:rPr>
          <w:rFonts w:cs="Calibri"/>
          <w:sz w:val="24"/>
          <w:szCs w:val="24"/>
        </w:rPr>
        <w:t xml:space="preserve">a </w:t>
      </w:r>
      <w:r w:rsidR="00054E86" w:rsidRPr="00AB1493">
        <w:rPr>
          <w:rFonts w:cs="Calibri"/>
          <w:sz w:val="24"/>
          <w:szCs w:val="24"/>
        </w:rPr>
        <w:t xml:space="preserve">popular </w:t>
      </w:r>
      <w:r w:rsidRPr="00AB1493">
        <w:rPr>
          <w:rFonts w:cs="Calibri"/>
          <w:sz w:val="24"/>
          <w:szCs w:val="24"/>
        </w:rPr>
        <w:t>Daoist technique, especially the school of Mao-</w:t>
      </w:r>
      <w:proofErr w:type="spellStart"/>
      <w:r w:rsidRPr="00AB1493">
        <w:rPr>
          <w:rFonts w:cs="Calibri"/>
          <w:sz w:val="24"/>
          <w:szCs w:val="24"/>
        </w:rPr>
        <w:t>shan</w:t>
      </w:r>
      <w:proofErr w:type="spellEnd"/>
      <w:r w:rsidR="004A7397">
        <w:rPr>
          <w:rFonts w:cs="Calibri"/>
          <w:sz w:val="24"/>
          <w:szCs w:val="24"/>
        </w:rPr>
        <w:t>.</w:t>
      </w:r>
      <w:r w:rsidR="009E7605" w:rsidRPr="00AB1493">
        <w:rPr>
          <w:rStyle w:val="FootnoteReference"/>
          <w:rFonts w:cs="Calibri"/>
          <w:sz w:val="24"/>
          <w:szCs w:val="24"/>
        </w:rPr>
        <w:footnoteReference w:id="133"/>
      </w:r>
      <w:r w:rsidR="009E7605">
        <w:rPr>
          <w:rFonts w:cs="Calibri"/>
          <w:sz w:val="24"/>
          <w:szCs w:val="24"/>
        </w:rPr>
        <w:t xml:space="preserve"> </w:t>
      </w:r>
      <w:r w:rsidR="004A7397">
        <w:rPr>
          <w:rFonts w:cs="Calibri"/>
          <w:sz w:val="24"/>
          <w:szCs w:val="24"/>
        </w:rPr>
        <w:t>The polar deity known as ‘Grand Unity’ could be summoned by “</w:t>
      </w:r>
      <w:r w:rsidRPr="00AB1493">
        <w:rPr>
          <w:rFonts w:cs="Calibri"/>
          <w:sz w:val="24"/>
          <w:szCs w:val="24"/>
        </w:rPr>
        <w:t>pacing the road of the Nine Stars</w:t>
      </w:r>
      <w:r w:rsidR="004A7397">
        <w:rPr>
          <w:rFonts w:cs="Calibri"/>
          <w:sz w:val="24"/>
          <w:szCs w:val="24"/>
        </w:rPr>
        <w:t>”</w:t>
      </w:r>
      <w:r w:rsidRPr="00AB1493">
        <w:rPr>
          <w:rFonts w:cs="Calibri"/>
          <w:sz w:val="24"/>
          <w:szCs w:val="24"/>
        </w:rPr>
        <w:t xml:space="preserve"> (</w:t>
      </w:r>
      <w:r w:rsidR="004A7397">
        <w:rPr>
          <w:rFonts w:cs="Calibri"/>
          <w:sz w:val="24"/>
          <w:szCs w:val="24"/>
        </w:rPr>
        <w:t>U</w:t>
      </w:r>
      <w:r w:rsidRPr="00AB1493">
        <w:rPr>
          <w:rFonts w:cs="Calibri"/>
          <w:sz w:val="24"/>
          <w:szCs w:val="24"/>
        </w:rPr>
        <w:t xml:space="preserve">rsa </w:t>
      </w:r>
      <w:r w:rsidR="004A7397">
        <w:rPr>
          <w:rFonts w:cs="Calibri"/>
          <w:sz w:val="24"/>
          <w:szCs w:val="24"/>
        </w:rPr>
        <w:t>M</w:t>
      </w:r>
      <w:r w:rsidRPr="00AB1493">
        <w:rPr>
          <w:rFonts w:cs="Calibri"/>
          <w:sz w:val="24"/>
          <w:szCs w:val="24"/>
        </w:rPr>
        <w:t>ajor / Northern Dipper).</w:t>
      </w:r>
      <w:r w:rsidR="004A7397">
        <w:rPr>
          <w:rStyle w:val="FootnoteReference"/>
          <w:rFonts w:cs="Calibri"/>
          <w:sz w:val="24"/>
          <w:szCs w:val="24"/>
        </w:rPr>
        <w:footnoteReference w:id="134"/>
      </w:r>
      <w:r w:rsidRPr="00AB1493">
        <w:rPr>
          <w:rFonts w:cs="Calibri"/>
          <w:sz w:val="24"/>
          <w:szCs w:val="24"/>
        </w:rPr>
        <w:t xml:space="preserve"> Schafer suggests Daoist travellers were even aware of an invisible black hole in th</w:t>
      </w:r>
      <w:r w:rsidR="00B4439B">
        <w:rPr>
          <w:rFonts w:cs="Calibri"/>
          <w:sz w:val="24"/>
          <w:szCs w:val="24"/>
        </w:rPr>
        <w:t>at</w:t>
      </w:r>
      <w:r w:rsidRPr="00AB1493">
        <w:rPr>
          <w:rFonts w:cs="Calibri"/>
          <w:sz w:val="24"/>
          <w:szCs w:val="24"/>
        </w:rPr>
        <w:t xml:space="preserve"> constellation</w:t>
      </w:r>
      <w:r w:rsidR="00B4439B">
        <w:rPr>
          <w:rFonts w:cs="Calibri"/>
          <w:sz w:val="24"/>
          <w:szCs w:val="24"/>
        </w:rPr>
        <w:t>.</w:t>
      </w:r>
      <w:r w:rsidRPr="00AB1493">
        <w:rPr>
          <w:rStyle w:val="FootnoteReference"/>
          <w:rFonts w:cs="Calibri"/>
          <w:sz w:val="24"/>
          <w:szCs w:val="24"/>
        </w:rPr>
        <w:footnoteReference w:id="135"/>
      </w:r>
      <w:r w:rsidRPr="00AB1493">
        <w:rPr>
          <w:rFonts w:cs="Calibri"/>
          <w:sz w:val="24"/>
          <w:szCs w:val="24"/>
        </w:rPr>
        <w:t xml:space="preserve"> </w:t>
      </w:r>
      <w:r w:rsidR="00B4439B">
        <w:rPr>
          <w:rFonts w:cs="Calibri"/>
          <w:sz w:val="24"/>
          <w:szCs w:val="24"/>
        </w:rPr>
        <w:t xml:space="preserve">Other </w:t>
      </w:r>
      <w:r w:rsidRPr="00AB1493">
        <w:rPr>
          <w:rFonts w:cs="Calibri"/>
          <w:sz w:val="24"/>
          <w:szCs w:val="24"/>
        </w:rPr>
        <w:t xml:space="preserve">reports from ‘space travel’ </w:t>
      </w:r>
      <w:r w:rsidR="00B4439B">
        <w:rPr>
          <w:rFonts w:cs="Calibri"/>
          <w:sz w:val="24"/>
          <w:szCs w:val="24"/>
        </w:rPr>
        <w:t xml:space="preserve">do </w:t>
      </w:r>
      <w:r w:rsidRPr="00AB1493">
        <w:rPr>
          <w:rFonts w:cs="Calibri"/>
          <w:sz w:val="24"/>
          <w:szCs w:val="24"/>
        </w:rPr>
        <w:t>indicate that they are in non-ordinary reality – one tells of a cinnamon tree on the moon.</w:t>
      </w:r>
      <w:r w:rsidRPr="00AB1493">
        <w:rPr>
          <w:rStyle w:val="FootnoteReference"/>
          <w:rFonts w:cs="Calibri"/>
          <w:sz w:val="24"/>
          <w:szCs w:val="24"/>
        </w:rPr>
        <w:footnoteReference w:id="136"/>
      </w:r>
    </w:p>
    <w:p w14:paraId="7664A2C6" w14:textId="77777777" w:rsidR="00954370" w:rsidRPr="00AB1493" w:rsidRDefault="00954370" w:rsidP="00EA1AE2">
      <w:pPr>
        <w:spacing w:after="0" w:line="480" w:lineRule="auto"/>
        <w:rPr>
          <w:rFonts w:cs="Calibri"/>
          <w:sz w:val="24"/>
          <w:szCs w:val="24"/>
        </w:rPr>
      </w:pPr>
    </w:p>
    <w:p w14:paraId="412C167B" w14:textId="7DC80B19" w:rsidR="00645F51" w:rsidRPr="00AB1493" w:rsidRDefault="00954370" w:rsidP="00EA1AE2">
      <w:pPr>
        <w:spacing w:after="0" w:line="480" w:lineRule="auto"/>
        <w:rPr>
          <w:rFonts w:cs="Calibri"/>
          <w:sz w:val="24"/>
          <w:szCs w:val="24"/>
        </w:rPr>
      </w:pPr>
      <w:r w:rsidRPr="00AB1493">
        <w:rPr>
          <w:rFonts w:cs="Calibri"/>
          <w:sz w:val="24"/>
          <w:szCs w:val="24"/>
        </w:rPr>
        <w:t>Abrahamic religions have a mon</w:t>
      </w:r>
      <w:r w:rsidR="00595AFC" w:rsidRPr="00AB1493">
        <w:rPr>
          <w:rFonts w:cs="Calibri"/>
          <w:sz w:val="24"/>
          <w:szCs w:val="24"/>
        </w:rPr>
        <w:t xml:space="preserve">istic </w:t>
      </w:r>
      <w:r w:rsidRPr="00AB1493">
        <w:rPr>
          <w:rFonts w:cs="Calibri"/>
          <w:sz w:val="24"/>
          <w:szCs w:val="24"/>
        </w:rPr>
        <w:t>notion of ‘soul’, permitting but one destination – the very different view, that the ‘soul’ has multiple parts / layers or</w:t>
      </w:r>
      <w:r w:rsidR="00B63030" w:rsidRPr="00AB1493">
        <w:rPr>
          <w:rFonts w:cs="Calibri"/>
          <w:sz w:val="24"/>
          <w:szCs w:val="24"/>
        </w:rPr>
        <w:t xml:space="preserve"> otherwise polymorphic </w:t>
      </w:r>
      <w:r w:rsidRPr="00AB1493">
        <w:rPr>
          <w:rFonts w:cs="Calibri"/>
          <w:sz w:val="24"/>
          <w:szCs w:val="24"/>
        </w:rPr>
        <w:t>may be more standard.</w:t>
      </w:r>
      <w:r w:rsidRPr="00AB1493">
        <w:rPr>
          <w:rStyle w:val="FootnoteReference"/>
          <w:rFonts w:cs="Calibri"/>
          <w:sz w:val="24"/>
          <w:szCs w:val="24"/>
        </w:rPr>
        <w:footnoteReference w:id="137"/>
      </w:r>
      <w:r w:rsidRPr="00AB1493">
        <w:rPr>
          <w:rFonts w:cs="Calibri"/>
          <w:sz w:val="24"/>
          <w:szCs w:val="24"/>
        </w:rPr>
        <w:t xml:space="preserve"> </w:t>
      </w:r>
      <w:r w:rsidR="00ED44EF" w:rsidRPr="00AB1493">
        <w:rPr>
          <w:rFonts w:cs="Calibri"/>
          <w:sz w:val="24"/>
          <w:szCs w:val="24"/>
        </w:rPr>
        <w:t>The concept of otherworld journeys must pose the question of “what travels?”, not necessarily identical to what survives death.</w:t>
      </w:r>
      <w:r w:rsidR="00ED44EF" w:rsidRPr="00AB1493">
        <w:rPr>
          <w:rStyle w:val="FootnoteReference"/>
          <w:rFonts w:cs="Calibri"/>
          <w:sz w:val="24"/>
          <w:szCs w:val="24"/>
        </w:rPr>
        <w:footnoteReference w:id="138"/>
      </w:r>
      <w:r w:rsidR="00ED44EF" w:rsidRPr="00AB1493">
        <w:rPr>
          <w:rFonts w:cs="Calibri"/>
          <w:sz w:val="24"/>
          <w:szCs w:val="24"/>
        </w:rPr>
        <w:t xml:space="preserve"> It is said that “Buddhism denies the soul” but there must be ‘something’ punished or purged in the ‘Hells’ traversed </w:t>
      </w:r>
      <w:r w:rsidR="00ED44EF" w:rsidRPr="00AB1493">
        <w:rPr>
          <w:rFonts w:cs="Calibri"/>
          <w:sz w:val="24"/>
          <w:szCs w:val="24"/>
        </w:rPr>
        <w:lastRenderedPageBreak/>
        <w:t xml:space="preserve">by </w:t>
      </w:r>
      <w:proofErr w:type="spellStart"/>
      <w:r w:rsidR="00ED44EF" w:rsidRPr="00AB1493">
        <w:rPr>
          <w:rFonts w:cs="Calibri"/>
          <w:sz w:val="24"/>
          <w:szCs w:val="24"/>
        </w:rPr>
        <w:t>Mulian</w:t>
      </w:r>
      <w:proofErr w:type="spellEnd"/>
      <w:r w:rsidR="00ED44EF" w:rsidRPr="00AB1493">
        <w:rPr>
          <w:rFonts w:cs="Calibri"/>
          <w:sz w:val="24"/>
          <w:szCs w:val="24"/>
        </w:rPr>
        <w:t>.</w:t>
      </w:r>
      <w:r w:rsidR="00ED44EF" w:rsidRPr="00AB1493">
        <w:rPr>
          <w:rStyle w:val="FootnoteReference"/>
          <w:rFonts w:cs="Calibri"/>
          <w:sz w:val="24"/>
          <w:szCs w:val="24"/>
        </w:rPr>
        <w:footnoteReference w:id="139"/>
      </w:r>
      <w:r w:rsidR="00FB6CB9" w:rsidRPr="00AB1493">
        <w:rPr>
          <w:rFonts w:cs="Calibri"/>
          <w:sz w:val="24"/>
          <w:szCs w:val="24"/>
        </w:rPr>
        <w:t xml:space="preserve"> This essay endorses the view that concepts of ‘soul’ derive from the experiences of ‘Altered States of </w:t>
      </w:r>
      <w:r w:rsidR="00E43E0F" w:rsidRPr="00AB1493">
        <w:rPr>
          <w:rFonts w:cs="Calibri"/>
          <w:sz w:val="24"/>
          <w:szCs w:val="24"/>
        </w:rPr>
        <w:t>Consciousness</w:t>
      </w:r>
      <w:r w:rsidR="00FB6CB9" w:rsidRPr="00AB1493">
        <w:rPr>
          <w:rFonts w:cs="Calibri"/>
          <w:sz w:val="24"/>
          <w:szCs w:val="24"/>
        </w:rPr>
        <w:t>’ (ASC), which are universal and primal for human beings.</w:t>
      </w:r>
      <w:r w:rsidR="00FB6CB9" w:rsidRPr="00AB1493">
        <w:rPr>
          <w:rStyle w:val="FootnoteReference"/>
          <w:rFonts w:cs="Calibri"/>
          <w:sz w:val="24"/>
          <w:szCs w:val="24"/>
        </w:rPr>
        <w:footnoteReference w:id="140"/>
      </w:r>
      <w:r w:rsidR="00FB6CB9" w:rsidRPr="00AB1493">
        <w:rPr>
          <w:rFonts w:cs="Calibri"/>
          <w:sz w:val="24"/>
          <w:szCs w:val="24"/>
        </w:rPr>
        <w:t xml:space="preserve"> </w:t>
      </w:r>
      <w:r w:rsidRPr="00AB1493">
        <w:rPr>
          <w:rFonts w:cs="Calibri"/>
          <w:sz w:val="24"/>
          <w:szCs w:val="24"/>
        </w:rPr>
        <w:t xml:space="preserve">In China, </w:t>
      </w:r>
      <w:r w:rsidR="00BF1C74" w:rsidRPr="00AB1493">
        <w:rPr>
          <w:rFonts w:cs="Calibri"/>
          <w:sz w:val="24"/>
          <w:szCs w:val="24"/>
        </w:rPr>
        <w:t xml:space="preserve">the </w:t>
      </w:r>
      <w:r w:rsidR="00B63030" w:rsidRPr="00AB1493">
        <w:rPr>
          <w:rFonts w:cs="Calibri"/>
          <w:sz w:val="24"/>
          <w:szCs w:val="24"/>
        </w:rPr>
        <w:t xml:space="preserve">binary </w:t>
      </w:r>
      <w:r w:rsidR="00BF1C74" w:rsidRPr="00AB1493">
        <w:rPr>
          <w:rFonts w:cs="Calibri"/>
          <w:sz w:val="24"/>
          <w:szCs w:val="24"/>
        </w:rPr>
        <w:t xml:space="preserve">concept of the </w:t>
      </w:r>
      <w:r w:rsidR="00BF1C74" w:rsidRPr="00AB1493">
        <w:rPr>
          <w:rFonts w:cs="Calibri"/>
          <w:i/>
          <w:iCs/>
          <w:sz w:val="24"/>
          <w:szCs w:val="24"/>
        </w:rPr>
        <w:t>po</w:t>
      </w:r>
      <w:r w:rsidR="00BF1C74" w:rsidRPr="00AB1493">
        <w:rPr>
          <w:rFonts w:cs="Calibri"/>
          <w:sz w:val="24"/>
          <w:szCs w:val="24"/>
        </w:rPr>
        <w:t xml:space="preserve">-soul and the </w:t>
      </w:r>
      <w:proofErr w:type="spellStart"/>
      <w:r w:rsidR="00BF1C74" w:rsidRPr="00AB1493">
        <w:rPr>
          <w:rFonts w:cs="Calibri"/>
          <w:i/>
          <w:iCs/>
          <w:sz w:val="24"/>
          <w:szCs w:val="24"/>
        </w:rPr>
        <w:t>hun</w:t>
      </w:r>
      <w:proofErr w:type="spellEnd"/>
      <w:r w:rsidR="00BF1C74" w:rsidRPr="00AB1493">
        <w:rPr>
          <w:rFonts w:cs="Calibri"/>
          <w:sz w:val="24"/>
          <w:szCs w:val="24"/>
        </w:rPr>
        <w:t xml:space="preserve">-soul is </w:t>
      </w:r>
      <w:r w:rsidR="00C23B4A" w:rsidRPr="00AB1493">
        <w:rPr>
          <w:rFonts w:cs="Calibri"/>
          <w:sz w:val="24"/>
          <w:szCs w:val="24"/>
        </w:rPr>
        <w:t xml:space="preserve">earliest </w:t>
      </w:r>
      <w:r w:rsidR="00BF1C74" w:rsidRPr="00AB1493">
        <w:rPr>
          <w:rFonts w:cs="Calibri"/>
          <w:sz w:val="24"/>
          <w:szCs w:val="24"/>
        </w:rPr>
        <w:t>documented</w:t>
      </w:r>
      <w:r w:rsidR="00C23B4A" w:rsidRPr="00AB1493">
        <w:rPr>
          <w:rFonts w:cs="Calibri"/>
          <w:sz w:val="24"/>
          <w:szCs w:val="24"/>
        </w:rPr>
        <w:t xml:space="preserve"> </w:t>
      </w:r>
      <w:r w:rsidR="00C23B4A" w:rsidRPr="005410DB">
        <w:rPr>
          <w:rFonts w:cs="Calibri"/>
          <w:sz w:val="24"/>
          <w:szCs w:val="24"/>
        </w:rPr>
        <w:t>from the sixth century BCE.</w:t>
      </w:r>
      <w:r w:rsidR="00B63030" w:rsidRPr="005410DB">
        <w:rPr>
          <w:rFonts w:cs="Calibri"/>
          <w:sz w:val="24"/>
          <w:szCs w:val="24"/>
        </w:rPr>
        <w:t>, though by no means clearly articulated.</w:t>
      </w:r>
      <w:r w:rsidR="00C23B4A" w:rsidRPr="005410DB">
        <w:rPr>
          <w:rStyle w:val="FootnoteReference"/>
          <w:rFonts w:cs="Calibri"/>
          <w:sz w:val="24"/>
          <w:szCs w:val="24"/>
        </w:rPr>
        <w:footnoteReference w:id="141"/>
      </w:r>
      <w:r w:rsidR="00BF1C74" w:rsidRPr="005410DB">
        <w:rPr>
          <w:rFonts w:cs="Calibri"/>
          <w:sz w:val="24"/>
          <w:szCs w:val="24"/>
        </w:rPr>
        <w:t xml:space="preserve"> </w:t>
      </w:r>
      <w:r w:rsidR="00942F2C" w:rsidRPr="005410DB">
        <w:rPr>
          <w:rFonts w:cs="Calibri"/>
          <w:sz w:val="24"/>
          <w:szCs w:val="24"/>
        </w:rPr>
        <w:t xml:space="preserve">In some accounts the </w:t>
      </w:r>
      <w:r w:rsidR="00942F2C" w:rsidRPr="005410DB">
        <w:rPr>
          <w:rFonts w:cs="Calibri"/>
          <w:i/>
          <w:iCs/>
          <w:sz w:val="24"/>
          <w:szCs w:val="24"/>
        </w:rPr>
        <w:t>po</w:t>
      </w:r>
      <w:r w:rsidR="00942F2C" w:rsidRPr="005410DB">
        <w:rPr>
          <w:rFonts w:cs="Calibri"/>
          <w:sz w:val="24"/>
          <w:szCs w:val="24"/>
        </w:rPr>
        <w:t xml:space="preserve">-soul was thought to travel to deep under the earth, a location known as the Yellow Springs, whilst the </w:t>
      </w:r>
      <w:proofErr w:type="spellStart"/>
      <w:r w:rsidR="00942F2C" w:rsidRPr="005410DB">
        <w:rPr>
          <w:rFonts w:cs="Calibri"/>
          <w:i/>
          <w:iCs/>
          <w:sz w:val="24"/>
          <w:szCs w:val="24"/>
        </w:rPr>
        <w:t>hun</w:t>
      </w:r>
      <w:proofErr w:type="spellEnd"/>
      <w:r w:rsidR="00942F2C" w:rsidRPr="005410DB">
        <w:rPr>
          <w:rFonts w:cs="Calibri"/>
          <w:sz w:val="24"/>
          <w:szCs w:val="24"/>
        </w:rPr>
        <w:t>-soul could ascend.</w:t>
      </w:r>
      <w:r w:rsidR="00942F2C" w:rsidRPr="005410DB">
        <w:rPr>
          <w:rStyle w:val="FootnoteReference"/>
          <w:rFonts w:cs="Calibri"/>
          <w:sz w:val="24"/>
          <w:szCs w:val="24"/>
        </w:rPr>
        <w:t xml:space="preserve"> </w:t>
      </w:r>
      <w:r w:rsidR="00942F2C" w:rsidRPr="005410DB">
        <w:rPr>
          <w:rStyle w:val="FootnoteReference"/>
          <w:rFonts w:cs="Calibri"/>
          <w:sz w:val="24"/>
          <w:szCs w:val="24"/>
        </w:rPr>
        <w:footnoteReference w:id="142"/>
      </w:r>
      <w:r w:rsidR="00942F2C" w:rsidRPr="005410DB">
        <w:rPr>
          <w:rFonts w:cs="Calibri"/>
          <w:sz w:val="24"/>
          <w:szCs w:val="24"/>
        </w:rPr>
        <w:t xml:space="preserve"> However, t</w:t>
      </w:r>
      <w:r w:rsidR="00B4439B" w:rsidRPr="005410DB">
        <w:rPr>
          <w:sz w:val="24"/>
          <w:szCs w:val="24"/>
        </w:rPr>
        <w:t xml:space="preserve">he Buddhist purgatorial punishment of a soul would seem to require a unitary concept </w:t>
      </w:r>
      <w:r w:rsidR="005410DB">
        <w:rPr>
          <w:sz w:val="24"/>
          <w:szCs w:val="24"/>
        </w:rPr>
        <w:t>in order that</w:t>
      </w:r>
      <w:r w:rsidR="00B4439B" w:rsidRPr="005410DB">
        <w:rPr>
          <w:sz w:val="24"/>
          <w:szCs w:val="24"/>
        </w:rPr>
        <w:t xml:space="preserve"> the purged entity could eventually ascend</w:t>
      </w:r>
      <w:r w:rsidR="00B4439B" w:rsidRPr="005410DB">
        <w:rPr>
          <w:rFonts w:cs="Calibri"/>
          <w:sz w:val="24"/>
          <w:szCs w:val="24"/>
        </w:rPr>
        <w:t xml:space="preserve"> – there seems no evidence of </w:t>
      </w:r>
      <w:r w:rsidR="00B4439B" w:rsidRPr="005410DB">
        <w:rPr>
          <w:rFonts w:cs="Calibri"/>
          <w:i/>
          <w:iCs/>
          <w:sz w:val="24"/>
          <w:szCs w:val="24"/>
        </w:rPr>
        <w:t>po</w:t>
      </w:r>
      <w:r w:rsidR="00942F2C" w:rsidRPr="005410DB">
        <w:rPr>
          <w:rFonts w:cs="Calibri"/>
          <w:i/>
          <w:iCs/>
          <w:sz w:val="24"/>
          <w:szCs w:val="24"/>
        </w:rPr>
        <w:t xml:space="preserve"> / </w:t>
      </w:r>
      <w:proofErr w:type="spellStart"/>
      <w:r w:rsidR="00B4439B" w:rsidRPr="005410DB">
        <w:rPr>
          <w:rFonts w:cs="Calibri"/>
          <w:i/>
          <w:iCs/>
          <w:sz w:val="24"/>
          <w:szCs w:val="24"/>
        </w:rPr>
        <w:t>hun</w:t>
      </w:r>
      <w:proofErr w:type="spellEnd"/>
      <w:r w:rsidR="00B4439B" w:rsidRPr="005410DB">
        <w:rPr>
          <w:rFonts w:cs="Calibri"/>
          <w:sz w:val="24"/>
          <w:szCs w:val="24"/>
        </w:rPr>
        <w:t xml:space="preserve"> dualism in the NDE texts. </w:t>
      </w:r>
      <w:r w:rsidR="00BF1C74" w:rsidRPr="005410DB">
        <w:rPr>
          <w:rFonts w:cs="Calibri"/>
          <w:sz w:val="24"/>
          <w:szCs w:val="24"/>
        </w:rPr>
        <w:t>Later Daoist doctrine elaborated further divi</w:t>
      </w:r>
      <w:r w:rsidR="0084024D" w:rsidRPr="005410DB">
        <w:rPr>
          <w:rFonts w:cs="Calibri"/>
          <w:sz w:val="24"/>
          <w:szCs w:val="24"/>
        </w:rPr>
        <w:t>sion</w:t>
      </w:r>
      <w:r w:rsidR="00BF1C74" w:rsidRPr="005410DB">
        <w:rPr>
          <w:rFonts w:cs="Calibri"/>
          <w:sz w:val="24"/>
          <w:szCs w:val="24"/>
        </w:rPr>
        <w:t xml:space="preserve">, totalling seven </w:t>
      </w:r>
      <w:r w:rsidR="00BF1C74" w:rsidRPr="005410DB">
        <w:rPr>
          <w:rFonts w:cs="Calibri"/>
          <w:i/>
          <w:iCs/>
          <w:sz w:val="24"/>
          <w:szCs w:val="24"/>
        </w:rPr>
        <w:t>po</w:t>
      </w:r>
      <w:r w:rsidR="00BF1C74" w:rsidRPr="005410DB">
        <w:rPr>
          <w:rFonts w:cs="Calibri"/>
          <w:sz w:val="24"/>
          <w:szCs w:val="24"/>
        </w:rPr>
        <w:t xml:space="preserve">- and three </w:t>
      </w:r>
      <w:proofErr w:type="spellStart"/>
      <w:r w:rsidR="00BF1C74" w:rsidRPr="005410DB">
        <w:rPr>
          <w:rFonts w:cs="Calibri"/>
          <w:i/>
          <w:iCs/>
          <w:sz w:val="24"/>
          <w:szCs w:val="24"/>
        </w:rPr>
        <w:t>hun</w:t>
      </w:r>
      <w:proofErr w:type="spellEnd"/>
      <w:r w:rsidR="00BF1C74" w:rsidRPr="005410DB">
        <w:rPr>
          <w:rFonts w:cs="Calibri"/>
          <w:sz w:val="24"/>
          <w:szCs w:val="24"/>
        </w:rPr>
        <w:t>- souls</w:t>
      </w:r>
      <w:r w:rsidR="00933F21">
        <w:rPr>
          <w:rFonts w:cs="Calibri"/>
          <w:sz w:val="24"/>
          <w:szCs w:val="24"/>
        </w:rPr>
        <w:t>: it is plausible that this multiplicity is a shamanic achievement</w:t>
      </w:r>
      <w:r w:rsidR="00C23B4A" w:rsidRPr="005410DB">
        <w:rPr>
          <w:rFonts w:cs="Calibri"/>
          <w:sz w:val="24"/>
          <w:szCs w:val="24"/>
        </w:rPr>
        <w:t>.</w:t>
      </w:r>
      <w:r w:rsidR="00933F21">
        <w:rPr>
          <w:rStyle w:val="FootnoteReference"/>
          <w:rFonts w:cs="Calibri"/>
          <w:sz w:val="24"/>
          <w:szCs w:val="24"/>
        </w:rPr>
        <w:footnoteReference w:id="143"/>
      </w:r>
      <w:r w:rsidR="00C23B4A" w:rsidRPr="005410DB">
        <w:rPr>
          <w:rFonts w:cs="Calibri"/>
          <w:sz w:val="24"/>
          <w:szCs w:val="24"/>
        </w:rPr>
        <w:t xml:space="preserve"> </w:t>
      </w:r>
      <w:r w:rsidR="0084257B" w:rsidRPr="005410DB">
        <w:rPr>
          <w:rFonts w:cs="Calibri"/>
          <w:sz w:val="24"/>
          <w:szCs w:val="24"/>
        </w:rPr>
        <w:t xml:space="preserve">Prior to this point, only the </w:t>
      </w:r>
      <w:r w:rsidR="0084257B" w:rsidRPr="005410DB">
        <w:rPr>
          <w:rFonts w:cs="Calibri"/>
          <w:i/>
          <w:iCs/>
          <w:sz w:val="24"/>
          <w:szCs w:val="24"/>
        </w:rPr>
        <w:t>po</w:t>
      </w:r>
      <w:r w:rsidR="0084257B" w:rsidRPr="005410DB">
        <w:rPr>
          <w:rFonts w:cs="Calibri"/>
          <w:sz w:val="24"/>
          <w:szCs w:val="24"/>
        </w:rPr>
        <w:t>-soul seems defined, the term related to ‘white light’.</w:t>
      </w:r>
      <w:r w:rsidR="0084257B" w:rsidRPr="005410DB">
        <w:rPr>
          <w:rStyle w:val="FootnoteReference"/>
          <w:rFonts w:cs="Calibri"/>
          <w:sz w:val="24"/>
          <w:szCs w:val="24"/>
        </w:rPr>
        <w:footnoteReference w:id="144"/>
      </w:r>
      <w:r w:rsidR="0084257B" w:rsidRPr="00AB1493">
        <w:rPr>
          <w:rFonts w:cs="Calibri"/>
          <w:sz w:val="24"/>
          <w:szCs w:val="24"/>
        </w:rPr>
        <w:t xml:space="preserve"> </w:t>
      </w:r>
      <w:r w:rsidR="0084024D" w:rsidRPr="00AB1493">
        <w:rPr>
          <w:rFonts w:cs="Calibri"/>
          <w:sz w:val="24"/>
          <w:szCs w:val="24"/>
        </w:rPr>
        <w:t xml:space="preserve">Souls are usually envisioned as </w:t>
      </w:r>
      <w:proofErr w:type="spellStart"/>
      <w:r w:rsidR="00C9649E" w:rsidRPr="00AB1493">
        <w:rPr>
          <w:rFonts w:cs="Calibri"/>
          <w:sz w:val="24"/>
          <w:szCs w:val="24"/>
        </w:rPr>
        <w:t>somatomorphi</w:t>
      </w:r>
      <w:r w:rsidR="00C23B4A" w:rsidRPr="00AB1493">
        <w:rPr>
          <w:rFonts w:cs="Calibri"/>
          <w:sz w:val="24"/>
          <w:szCs w:val="24"/>
        </w:rPr>
        <w:t>c</w:t>
      </w:r>
      <w:proofErr w:type="spellEnd"/>
      <w:r w:rsidR="00C9649E" w:rsidRPr="00AB1493">
        <w:rPr>
          <w:rFonts w:cs="Calibri"/>
          <w:sz w:val="24"/>
          <w:szCs w:val="24"/>
        </w:rPr>
        <w:t xml:space="preserve"> -  having the forms and appearance of the body.</w:t>
      </w:r>
      <w:r w:rsidR="00C9649E" w:rsidRPr="00AB1493">
        <w:rPr>
          <w:rStyle w:val="FootnoteReference"/>
          <w:rFonts w:cs="Calibri"/>
          <w:sz w:val="24"/>
          <w:szCs w:val="24"/>
        </w:rPr>
        <w:footnoteReference w:id="145"/>
      </w:r>
      <w:r w:rsidR="00C9649E" w:rsidRPr="00AB1493">
        <w:rPr>
          <w:rFonts w:cs="Calibri"/>
          <w:sz w:val="24"/>
          <w:szCs w:val="24"/>
        </w:rPr>
        <w:t xml:space="preserve"> </w:t>
      </w:r>
      <w:r w:rsidR="003D509C" w:rsidRPr="00AB1493">
        <w:rPr>
          <w:rFonts w:cs="Calibri"/>
          <w:sz w:val="24"/>
          <w:szCs w:val="24"/>
        </w:rPr>
        <w:t>A classic illustration of the </w:t>
      </w:r>
      <w:proofErr w:type="spellStart"/>
      <w:r w:rsidR="005410DB" w:rsidRPr="005410DB">
        <w:rPr>
          <w:rFonts w:cs="Calibri"/>
          <w:i/>
          <w:iCs/>
          <w:sz w:val="24"/>
          <w:szCs w:val="24"/>
        </w:rPr>
        <w:t>h</w:t>
      </w:r>
      <w:r w:rsidR="003D509C" w:rsidRPr="005410DB">
        <w:rPr>
          <w:rFonts w:cs="Calibri"/>
          <w:i/>
          <w:iCs/>
          <w:sz w:val="24"/>
          <w:szCs w:val="24"/>
        </w:rPr>
        <w:t>un</w:t>
      </w:r>
      <w:proofErr w:type="spellEnd"/>
      <w:r w:rsidR="003D509C" w:rsidRPr="00AB1493">
        <w:rPr>
          <w:rFonts w:cs="Calibri"/>
          <w:sz w:val="24"/>
          <w:szCs w:val="24"/>
        </w:rPr>
        <w:t> and </w:t>
      </w:r>
      <w:r w:rsidR="005410DB" w:rsidRPr="005410DB">
        <w:rPr>
          <w:rFonts w:cs="Calibri"/>
          <w:i/>
          <w:iCs/>
          <w:sz w:val="24"/>
          <w:szCs w:val="24"/>
        </w:rPr>
        <w:t>p</w:t>
      </w:r>
      <w:r w:rsidR="003D509C" w:rsidRPr="005410DB">
        <w:rPr>
          <w:rFonts w:cs="Calibri"/>
          <w:i/>
          <w:iCs/>
          <w:sz w:val="24"/>
          <w:szCs w:val="24"/>
        </w:rPr>
        <w:t>o</w:t>
      </w:r>
      <w:r w:rsidR="003D509C" w:rsidRPr="00AB1493">
        <w:rPr>
          <w:rFonts w:cs="Calibri"/>
          <w:sz w:val="24"/>
          <w:szCs w:val="24"/>
        </w:rPr>
        <w:t> Souls, all of identical appearance, can be found in the 1615</w:t>
      </w:r>
      <w:r w:rsidR="005410DB">
        <w:rPr>
          <w:rFonts w:cs="Calibri"/>
          <w:sz w:val="24"/>
          <w:szCs w:val="24"/>
        </w:rPr>
        <w:t xml:space="preserve"> </w:t>
      </w:r>
      <w:r w:rsidR="005410DB">
        <w:rPr>
          <w:rFonts w:cs="Calibri"/>
          <w:sz w:val="24"/>
          <w:szCs w:val="24"/>
        </w:rPr>
        <w:lastRenderedPageBreak/>
        <w:t xml:space="preserve">CE </w:t>
      </w:r>
      <w:r w:rsidR="003D509C" w:rsidRPr="00AB1493">
        <w:rPr>
          <w:rFonts w:cs="Calibri"/>
          <w:sz w:val="24"/>
          <w:szCs w:val="24"/>
        </w:rPr>
        <w:t> </w:t>
      </w:r>
      <w:proofErr w:type="spellStart"/>
      <w:r w:rsidR="003D509C" w:rsidRPr="00AB1493">
        <w:rPr>
          <w:rFonts w:cs="Calibri"/>
          <w:i/>
          <w:iCs/>
          <w:sz w:val="24"/>
          <w:szCs w:val="24"/>
        </w:rPr>
        <w:t>Xingming</w:t>
      </w:r>
      <w:proofErr w:type="spellEnd"/>
      <w:r w:rsidR="003D509C" w:rsidRPr="00AB1493">
        <w:rPr>
          <w:rFonts w:cs="Calibri"/>
          <w:i/>
          <w:iCs/>
          <w:sz w:val="24"/>
          <w:szCs w:val="24"/>
        </w:rPr>
        <w:t xml:space="preserve"> </w:t>
      </w:r>
      <w:proofErr w:type="spellStart"/>
      <w:r w:rsidR="003D509C" w:rsidRPr="00AB1493">
        <w:rPr>
          <w:rFonts w:cs="Calibri"/>
          <w:i/>
          <w:iCs/>
          <w:sz w:val="24"/>
          <w:szCs w:val="24"/>
        </w:rPr>
        <w:t>guizhi</w:t>
      </w:r>
      <w:proofErr w:type="spellEnd"/>
      <w:r w:rsidR="003D509C" w:rsidRPr="00AB1493">
        <w:rPr>
          <w:rFonts w:cs="Calibri"/>
          <w:sz w:val="24"/>
          <w:szCs w:val="24"/>
        </w:rPr>
        <w:t>.</w:t>
      </w:r>
      <w:r w:rsidR="00267718" w:rsidRPr="00AB1493">
        <w:rPr>
          <w:rStyle w:val="FootnoteReference"/>
          <w:rFonts w:cs="Calibri"/>
          <w:sz w:val="24"/>
          <w:szCs w:val="24"/>
        </w:rPr>
        <w:footnoteReference w:id="146"/>
      </w:r>
      <w:r w:rsidR="003D509C" w:rsidRPr="00AB1493">
        <w:rPr>
          <w:rFonts w:cs="Calibri"/>
          <w:sz w:val="24"/>
          <w:szCs w:val="24"/>
        </w:rPr>
        <w:t xml:space="preserve"> </w:t>
      </w:r>
      <w:r w:rsidR="0084257B" w:rsidRPr="00AB1493">
        <w:rPr>
          <w:rFonts w:cs="Calibri"/>
          <w:sz w:val="24"/>
          <w:szCs w:val="24"/>
        </w:rPr>
        <w:t>A silk painting from the Mawangdui tombs is interpreted as depicting the two souls departing in opposite directions.</w:t>
      </w:r>
      <w:r w:rsidR="0084257B" w:rsidRPr="00AB1493">
        <w:rPr>
          <w:rStyle w:val="FootnoteReference"/>
          <w:rFonts w:cs="Calibri"/>
          <w:sz w:val="24"/>
          <w:szCs w:val="24"/>
        </w:rPr>
        <w:footnoteReference w:id="147"/>
      </w:r>
    </w:p>
    <w:p w14:paraId="4BB3D324" w14:textId="77777777" w:rsidR="00793DD1" w:rsidRPr="00AB1493" w:rsidRDefault="00793DD1" w:rsidP="00EA1AE2">
      <w:pPr>
        <w:spacing w:after="0" w:line="480" w:lineRule="auto"/>
        <w:rPr>
          <w:rFonts w:cs="Calibri"/>
          <w:sz w:val="24"/>
          <w:szCs w:val="24"/>
        </w:rPr>
      </w:pPr>
    </w:p>
    <w:p w14:paraId="35E16C3F" w14:textId="689DDC24" w:rsidR="00BF1C74" w:rsidRPr="00AB1493" w:rsidRDefault="00BF1C74" w:rsidP="00EA1AE2">
      <w:pPr>
        <w:spacing w:after="0" w:line="480" w:lineRule="auto"/>
        <w:rPr>
          <w:rFonts w:cs="Calibri"/>
          <w:sz w:val="24"/>
          <w:szCs w:val="24"/>
        </w:rPr>
      </w:pPr>
      <w:r w:rsidRPr="00AB1493">
        <w:rPr>
          <w:rFonts w:cs="Calibri"/>
          <w:sz w:val="24"/>
          <w:szCs w:val="24"/>
        </w:rPr>
        <w:t>Th</w:t>
      </w:r>
      <w:r w:rsidR="00C23B4A" w:rsidRPr="00AB1493">
        <w:rPr>
          <w:rFonts w:cs="Calibri"/>
          <w:sz w:val="24"/>
          <w:szCs w:val="24"/>
        </w:rPr>
        <w:t xml:space="preserve">e basic </w:t>
      </w:r>
      <w:r w:rsidRPr="00AB1493">
        <w:rPr>
          <w:rFonts w:cs="Calibri"/>
          <w:i/>
          <w:iCs/>
          <w:sz w:val="24"/>
          <w:szCs w:val="24"/>
        </w:rPr>
        <w:t xml:space="preserve">po / </w:t>
      </w:r>
      <w:proofErr w:type="spellStart"/>
      <w:r w:rsidRPr="00AB1493">
        <w:rPr>
          <w:rFonts w:cs="Calibri"/>
          <w:i/>
          <w:iCs/>
          <w:sz w:val="24"/>
          <w:szCs w:val="24"/>
        </w:rPr>
        <w:t>hun</w:t>
      </w:r>
      <w:proofErr w:type="spellEnd"/>
      <w:r w:rsidRPr="00AB1493">
        <w:rPr>
          <w:rFonts w:cs="Calibri"/>
          <w:sz w:val="24"/>
          <w:szCs w:val="24"/>
        </w:rPr>
        <w:t xml:space="preserve"> dualism </w:t>
      </w:r>
      <w:r w:rsidR="00595AFC" w:rsidRPr="00AB1493">
        <w:rPr>
          <w:rFonts w:cs="Calibri"/>
          <w:sz w:val="24"/>
          <w:szCs w:val="24"/>
        </w:rPr>
        <w:t xml:space="preserve">is often </w:t>
      </w:r>
      <w:r w:rsidRPr="00AB1493">
        <w:rPr>
          <w:rFonts w:cs="Calibri"/>
          <w:sz w:val="24"/>
          <w:szCs w:val="24"/>
        </w:rPr>
        <w:t>inevitably linked to that of Yin and Yang</w:t>
      </w:r>
      <w:r w:rsidR="00595AFC" w:rsidRPr="00AB1493">
        <w:rPr>
          <w:rFonts w:cs="Calibri"/>
          <w:sz w:val="24"/>
          <w:szCs w:val="24"/>
        </w:rPr>
        <w:t>: this may however be a misunderstanding</w:t>
      </w:r>
      <w:r w:rsidR="00645F51" w:rsidRPr="00AB1493">
        <w:rPr>
          <w:rFonts w:cs="Calibri"/>
          <w:sz w:val="24"/>
          <w:szCs w:val="24"/>
        </w:rPr>
        <w:t>.</w:t>
      </w:r>
      <w:r w:rsidR="00595AFC" w:rsidRPr="00AB1493">
        <w:rPr>
          <w:rStyle w:val="FootnoteReference"/>
          <w:rFonts w:cs="Calibri"/>
          <w:sz w:val="24"/>
          <w:szCs w:val="24"/>
        </w:rPr>
        <w:footnoteReference w:id="148"/>
      </w:r>
      <w:r w:rsidRPr="00AB1493">
        <w:rPr>
          <w:rFonts w:cs="Calibri"/>
          <w:sz w:val="24"/>
          <w:szCs w:val="24"/>
        </w:rPr>
        <w:t xml:space="preserve">. </w:t>
      </w:r>
      <w:r w:rsidR="004E63F7" w:rsidRPr="00AB1493">
        <w:rPr>
          <w:rFonts w:cs="Calibri"/>
          <w:sz w:val="24"/>
          <w:szCs w:val="24"/>
        </w:rPr>
        <w:t xml:space="preserve">A better </w:t>
      </w:r>
      <w:r w:rsidR="0084024D" w:rsidRPr="00AB1493">
        <w:rPr>
          <w:rFonts w:cs="Calibri"/>
          <w:sz w:val="24"/>
          <w:szCs w:val="24"/>
        </w:rPr>
        <w:t xml:space="preserve">explanation may </w:t>
      </w:r>
      <w:r w:rsidR="004E63F7" w:rsidRPr="00AB1493">
        <w:rPr>
          <w:rFonts w:cs="Calibri"/>
          <w:sz w:val="24"/>
          <w:szCs w:val="24"/>
        </w:rPr>
        <w:t xml:space="preserve">therefore </w:t>
      </w:r>
      <w:r w:rsidR="00140721" w:rsidRPr="00AB1493">
        <w:rPr>
          <w:rFonts w:cs="Calibri"/>
          <w:sz w:val="24"/>
          <w:szCs w:val="24"/>
        </w:rPr>
        <w:t xml:space="preserve">be </w:t>
      </w:r>
      <w:r w:rsidR="004E63F7" w:rsidRPr="00AB1493">
        <w:rPr>
          <w:rFonts w:cs="Calibri"/>
          <w:sz w:val="24"/>
          <w:szCs w:val="24"/>
        </w:rPr>
        <w:t>similar</w:t>
      </w:r>
      <w:r w:rsidR="00140721" w:rsidRPr="00AB1493">
        <w:rPr>
          <w:rFonts w:cs="Calibri"/>
          <w:sz w:val="24"/>
          <w:szCs w:val="24"/>
        </w:rPr>
        <w:t xml:space="preserve"> </w:t>
      </w:r>
      <w:r w:rsidR="004E63F7" w:rsidRPr="00AB1493">
        <w:rPr>
          <w:rFonts w:cs="Calibri"/>
          <w:sz w:val="24"/>
          <w:szCs w:val="24"/>
        </w:rPr>
        <w:t xml:space="preserve">to the concept of </w:t>
      </w:r>
      <w:r w:rsidR="00B63030" w:rsidRPr="00AB1493">
        <w:rPr>
          <w:rFonts w:cs="Calibri"/>
          <w:sz w:val="24"/>
          <w:szCs w:val="24"/>
        </w:rPr>
        <w:t xml:space="preserve">‘dualistic pluralism’, that is, of </w:t>
      </w:r>
      <w:r w:rsidR="004E63F7" w:rsidRPr="00AB1493">
        <w:rPr>
          <w:rFonts w:cs="Calibri"/>
          <w:sz w:val="24"/>
          <w:szCs w:val="24"/>
        </w:rPr>
        <w:t>‘body</w:t>
      </w:r>
      <w:r w:rsidR="00140721" w:rsidRPr="00AB1493">
        <w:rPr>
          <w:rFonts w:cs="Calibri"/>
          <w:sz w:val="24"/>
          <w:szCs w:val="24"/>
        </w:rPr>
        <w:t xml:space="preserve"> </w:t>
      </w:r>
      <w:r w:rsidR="004E63F7" w:rsidRPr="00AB1493">
        <w:rPr>
          <w:rFonts w:cs="Calibri"/>
          <w:sz w:val="24"/>
          <w:szCs w:val="24"/>
        </w:rPr>
        <w:t>soul</w:t>
      </w:r>
      <w:r w:rsidR="00595AFC" w:rsidRPr="00AB1493">
        <w:rPr>
          <w:rFonts w:cs="Calibri"/>
          <w:sz w:val="24"/>
          <w:szCs w:val="24"/>
        </w:rPr>
        <w:t>s</w:t>
      </w:r>
      <w:r w:rsidR="004E63F7" w:rsidRPr="00AB1493">
        <w:rPr>
          <w:rFonts w:cs="Calibri"/>
          <w:sz w:val="24"/>
          <w:szCs w:val="24"/>
        </w:rPr>
        <w:t>’</w:t>
      </w:r>
      <w:r w:rsidR="00140721" w:rsidRPr="00AB1493">
        <w:rPr>
          <w:rFonts w:cs="Calibri"/>
          <w:sz w:val="24"/>
          <w:szCs w:val="24"/>
        </w:rPr>
        <w:t xml:space="preserve"> and ‘free souls</w:t>
      </w:r>
      <w:r w:rsidR="004E63F7" w:rsidRPr="00AB1493">
        <w:rPr>
          <w:rFonts w:cs="Calibri"/>
          <w:sz w:val="24"/>
          <w:szCs w:val="24"/>
        </w:rPr>
        <w:t>.</w:t>
      </w:r>
      <w:r w:rsidR="003D509C" w:rsidRPr="00AB1493">
        <w:rPr>
          <w:rStyle w:val="FootnoteReference"/>
          <w:rFonts w:cs="Calibri"/>
          <w:sz w:val="24"/>
          <w:szCs w:val="24"/>
        </w:rPr>
        <w:footnoteReference w:id="149"/>
      </w:r>
      <w:r w:rsidR="004E63F7" w:rsidRPr="00AB1493">
        <w:rPr>
          <w:rFonts w:cs="Calibri"/>
          <w:sz w:val="24"/>
          <w:szCs w:val="24"/>
        </w:rPr>
        <w:t xml:space="preserve"> A modern Daoist perspective</w:t>
      </w:r>
      <w:r w:rsidR="003D509C" w:rsidRPr="00AB1493">
        <w:rPr>
          <w:rFonts w:cs="Calibri"/>
          <w:sz w:val="24"/>
          <w:szCs w:val="24"/>
        </w:rPr>
        <w:t xml:space="preserve">, citing the </w:t>
      </w:r>
      <w:proofErr w:type="spellStart"/>
      <w:r w:rsidR="003D509C" w:rsidRPr="00AB1493">
        <w:rPr>
          <w:rFonts w:cs="Calibri"/>
          <w:i/>
          <w:iCs/>
          <w:sz w:val="24"/>
          <w:szCs w:val="24"/>
        </w:rPr>
        <w:t>Yunj</w:t>
      </w:r>
      <w:r w:rsidR="00140721" w:rsidRPr="00AB1493">
        <w:rPr>
          <w:rFonts w:cs="Calibri"/>
          <w:i/>
          <w:iCs/>
          <w:sz w:val="24"/>
          <w:szCs w:val="24"/>
        </w:rPr>
        <w:t>i</w:t>
      </w:r>
      <w:proofErr w:type="spellEnd"/>
      <w:r w:rsidR="003D509C" w:rsidRPr="00AB1493">
        <w:rPr>
          <w:rFonts w:cs="Calibri"/>
          <w:i/>
          <w:iCs/>
          <w:sz w:val="24"/>
          <w:szCs w:val="24"/>
        </w:rPr>
        <w:t xml:space="preserve"> </w:t>
      </w:r>
      <w:proofErr w:type="spellStart"/>
      <w:r w:rsidR="003D509C" w:rsidRPr="00AB1493">
        <w:rPr>
          <w:rFonts w:cs="Calibri"/>
          <w:i/>
          <w:iCs/>
          <w:sz w:val="24"/>
          <w:szCs w:val="24"/>
        </w:rPr>
        <w:t>Qiqian</w:t>
      </w:r>
      <w:proofErr w:type="spellEnd"/>
      <w:r w:rsidR="003D509C" w:rsidRPr="00AB1493">
        <w:rPr>
          <w:rFonts w:cs="Calibri"/>
          <w:sz w:val="24"/>
          <w:szCs w:val="24"/>
        </w:rPr>
        <w:t xml:space="preserve"> of the Daoist canon, </w:t>
      </w:r>
      <w:r w:rsidR="004E63F7" w:rsidRPr="00AB1493">
        <w:rPr>
          <w:rFonts w:cs="Calibri"/>
          <w:sz w:val="24"/>
          <w:szCs w:val="24"/>
        </w:rPr>
        <w:t xml:space="preserve">writes of the </w:t>
      </w:r>
      <w:r w:rsidR="004E63F7" w:rsidRPr="00AB1493">
        <w:rPr>
          <w:rFonts w:cs="Calibri"/>
          <w:i/>
          <w:iCs/>
          <w:sz w:val="24"/>
          <w:szCs w:val="24"/>
        </w:rPr>
        <w:t>po</w:t>
      </w:r>
      <w:r w:rsidR="004E63F7" w:rsidRPr="00AB1493">
        <w:rPr>
          <w:rFonts w:cs="Calibri"/>
          <w:sz w:val="24"/>
          <w:szCs w:val="24"/>
        </w:rPr>
        <w:t xml:space="preserve">-soul as ‘Corporeal’ and the </w:t>
      </w:r>
      <w:proofErr w:type="spellStart"/>
      <w:r w:rsidR="004E63F7" w:rsidRPr="00AB1493">
        <w:rPr>
          <w:rFonts w:cs="Calibri"/>
          <w:i/>
          <w:iCs/>
          <w:sz w:val="24"/>
          <w:szCs w:val="24"/>
        </w:rPr>
        <w:t>hun</w:t>
      </w:r>
      <w:proofErr w:type="spellEnd"/>
      <w:r w:rsidR="004E63F7" w:rsidRPr="00AB1493">
        <w:rPr>
          <w:rFonts w:cs="Calibri"/>
          <w:sz w:val="24"/>
          <w:szCs w:val="24"/>
        </w:rPr>
        <w:t>-soul as ‘Ethereal</w:t>
      </w:r>
      <w:r w:rsidR="00C9649E" w:rsidRPr="00AB1493">
        <w:rPr>
          <w:rFonts w:cs="Calibri"/>
          <w:sz w:val="24"/>
          <w:szCs w:val="24"/>
        </w:rPr>
        <w:t>’, in which</w:t>
      </w:r>
      <w:r w:rsidR="004E63F7" w:rsidRPr="00AB1493">
        <w:rPr>
          <w:rFonts w:cs="Calibri"/>
          <w:sz w:val="24"/>
          <w:szCs w:val="24"/>
        </w:rPr>
        <w:t xml:space="preserve"> the yin / yang dualism </w:t>
      </w:r>
      <w:r w:rsidR="00C9649E" w:rsidRPr="00AB1493">
        <w:rPr>
          <w:rFonts w:cs="Calibri"/>
          <w:sz w:val="24"/>
          <w:szCs w:val="24"/>
        </w:rPr>
        <w:t xml:space="preserve">belongs entirely in the latter </w:t>
      </w:r>
      <w:r w:rsidR="004E63F7" w:rsidRPr="00AB1493">
        <w:rPr>
          <w:rFonts w:cs="Calibri"/>
          <w:sz w:val="24"/>
          <w:szCs w:val="24"/>
        </w:rPr>
        <w:t xml:space="preserve">- the three </w:t>
      </w:r>
      <w:proofErr w:type="spellStart"/>
      <w:r w:rsidR="004E63F7" w:rsidRPr="00AB1493">
        <w:rPr>
          <w:rFonts w:cs="Calibri"/>
          <w:i/>
          <w:iCs/>
          <w:sz w:val="24"/>
          <w:szCs w:val="24"/>
        </w:rPr>
        <w:t>hun</w:t>
      </w:r>
      <w:proofErr w:type="spellEnd"/>
      <w:r w:rsidR="004E63F7" w:rsidRPr="00AB1493">
        <w:rPr>
          <w:rFonts w:cs="Calibri"/>
          <w:sz w:val="24"/>
          <w:szCs w:val="24"/>
        </w:rPr>
        <w:t>-souls are named ‘Original Spirit’, ‘Yang Spirit’ and ‘Yin Spirit’.</w:t>
      </w:r>
      <w:r w:rsidR="003D509C" w:rsidRPr="00AB1493">
        <w:rPr>
          <w:rStyle w:val="FootnoteReference"/>
          <w:rFonts w:cs="Calibri"/>
          <w:sz w:val="24"/>
          <w:szCs w:val="24"/>
        </w:rPr>
        <w:footnoteReference w:id="150"/>
      </w:r>
      <w:r w:rsidR="004E63F7" w:rsidRPr="00AB1493">
        <w:rPr>
          <w:rFonts w:cs="Calibri"/>
          <w:sz w:val="24"/>
          <w:szCs w:val="24"/>
        </w:rPr>
        <w:t xml:space="preserve"> </w:t>
      </w:r>
    </w:p>
    <w:p w14:paraId="2D8C705B" w14:textId="77777777" w:rsidR="00267718" w:rsidRPr="00AB1493" w:rsidRDefault="00267718" w:rsidP="00EA1AE2">
      <w:pPr>
        <w:spacing w:after="0" w:line="480" w:lineRule="auto"/>
        <w:rPr>
          <w:rFonts w:cs="Calibri"/>
          <w:sz w:val="24"/>
          <w:szCs w:val="24"/>
        </w:rPr>
      </w:pPr>
    </w:p>
    <w:p w14:paraId="2D495567" w14:textId="5C37A112" w:rsidR="00D63AAC" w:rsidRPr="00AB1493" w:rsidRDefault="00960C1A" w:rsidP="00EA1AE2">
      <w:pPr>
        <w:spacing w:after="0" w:line="480" w:lineRule="auto"/>
        <w:rPr>
          <w:rFonts w:cs="Calibri"/>
          <w:sz w:val="24"/>
          <w:szCs w:val="24"/>
        </w:rPr>
      </w:pPr>
      <w:r w:rsidRPr="00AB1493">
        <w:rPr>
          <w:rFonts w:cs="Calibri"/>
          <w:sz w:val="24"/>
          <w:szCs w:val="24"/>
        </w:rPr>
        <w:t>This essay is focused on otherworld ‘travel’ rather than, for example, simple meetings with ‘ghosts’ or unexpected visits from discarnate beings</w:t>
      </w:r>
      <w:r w:rsidR="00942F2C">
        <w:rPr>
          <w:rFonts w:cs="Calibri"/>
          <w:sz w:val="24"/>
          <w:szCs w:val="24"/>
        </w:rPr>
        <w:t>, whether malign, benign or amorous</w:t>
      </w:r>
      <w:r w:rsidRPr="00AB1493">
        <w:rPr>
          <w:rFonts w:cs="Calibri"/>
          <w:sz w:val="24"/>
          <w:szCs w:val="24"/>
        </w:rPr>
        <w:t>. Excluded also from the scope of this essay are the non-journeying ‘deathbed visions’ that seem to have been specifically cultivated in the Buddhist Pure Land tradition.</w:t>
      </w:r>
      <w:r w:rsidRPr="00AB1493">
        <w:rPr>
          <w:rStyle w:val="FootnoteReference"/>
          <w:rFonts w:cs="Calibri"/>
          <w:sz w:val="24"/>
          <w:szCs w:val="24"/>
        </w:rPr>
        <w:footnoteReference w:id="151"/>
      </w:r>
      <w:r w:rsidRPr="00AB1493">
        <w:rPr>
          <w:rFonts w:cs="Calibri"/>
          <w:sz w:val="24"/>
          <w:szCs w:val="24"/>
        </w:rPr>
        <w:t xml:space="preserve"> Only travel by humans has been considered, since deities can traverse the cosmos as a matter of </w:t>
      </w:r>
      <w:r w:rsidRPr="00AB1493">
        <w:rPr>
          <w:rFonts w:cs="Calibri"/>
          <w:sz w:val="24"/>
          <w:szCs w:val="24"/>
        </w:rPr>
        <w:lastRenderedPageBreak/>
        <w:t>course.</w:t>
      </w:r>
      <w:r w:rsidRPr="00AB1493">
        <w:rPr>
          <w:rStyle w:val="FootnoteReference"/>
          <w:rFonts w:cs="Calibri"/>
          <w:sz w:val="24"/>
          <w:szCs w:val="24"/>
        </w:rPr>
        <w:footnoteReference w:id="152"/>
      </w:r>
      <w:r w:rsidR="00FB6CB9" w:rsidRPr="00AB1493">
        <w:rPr>
          <w:rFonts w:cs="Calibri"/>
          <w:sz w:val="24"/>
          <w:szCs w:val="24"/>
        </w:rPr>
        <w:t xml:space="preserve"> </w:t>
      </w:r>
      <w:r w:rsidR="00942F2C">
        <w:rPr>
          <w:rFonts w:cs="Calibri"/>
          <w:sz w:val="24"/>
          <w:szCs w:val="24"/>
        </w:rPr>
        <w:t>Bodhisattvas</w:t>
      </w:r>
      <w:r w:rsidR="009F60FC">
        <w:rPr>
          <w:rFonts w:cs="Calibri"/>
          <w:sz w:val="24"/>
          <w:szCs w:val="24"/>
        </w:rPr>
        <w:t xml:space="preserve"> </w:t>
      </w:r>
      <w:r w:rsidR="00793DD1" w:rsidRPr="00AB1493">
        <w:rPr>
          <w:rFonts w:cs="Calibri"/>
          <w:sz w:val="24"/>
          <w:szCs w:val="24"/>
        </w:rPr>
        <w:t>such as Guanyin prove their soteriological status precisely by delivering souls.</w:t>
      </w:r>
      <w:r w:rsidR="00793DD1" w:rsidRPr="00AB1493">
        <w:rPr>
          <w:rStyle w:val="FootnoteReference"/>
          <w:rFonts w:cs="Calibri"/>
          <w:sz w:val="24"/>
          <w:szCs w:val="24"/>
        </w:rPr>
        <w:footnoteReference w:id="153"/>
      </w:r>
      <w:r w:rsidR="00793DD1" w:rsidRPr="00AB1493">
        <w:rPr>
          <w:rFonts w:cs="Calibri"/>
          <w:sz w:val="24"/>
          <w:szCs w:val="24"/>
        </w:rPr>
        <w:t xml:space="preserve"> </w:t>
      </w:r>
    </w:p>
    <w:p w14:paraId="44AA7619" w14:textId="77777777" w:rsidR="00D63AAC" w:rsidRPr="00AB1493" w:rsidRDefault="00D63AAC" w:rsidP="00EA1AE2">
      <w:pPr>
        <w:spacing w:after="0" w:line="480" w:lineRule="auto"/>
        <w:rPr>
          <w:rFonts w:cs="Calibri"/>
          <w:sz w:val="24"/>
          <w:szCs w:val="24"/>
        </w:rPr>
      </w:pPr>
    </w:p>
    <w:p w14:paraId="49050331" w14:textId="5D2B1285" w:rsidR="00D63AAC" w:rsidRPr="00AB1493" w:rsidRDefault="00A00C93" w:rsidP="00EA1AE2">
      <w:pPr>
        <w:spacing w:after="0" w:line="480" w:lineRule="auto"/>
        <w:rPr>
          <w:rFonts w:cs="Calibri"/>
          <w:sz w:val="24"/>
          <w:szCs w:val="24"/>
        </w:rPr>
      </w:pPr>
      <w:r w:rsidRPr="00AB1493">
        <w:rPr>
          <w:rFonts w:cs="Calibri"/>
          <w:sz w:val="24"/>
          <w:szCs w:val="24"/>
        </w:rPr>
        <w:t xml:space="preserve">Otherworld experiences – both encounter and travel </w:t>
      </w:r>
      <w:r w:rsidR="00FF7D5F" w:rsidRPr="00AB1493">
        <w:rPr>
          <w:rFonts w:cs="Calibri"/>
          <w:sz w:val="24"/>
          <w:szCs w:val="24"/>
        </w:rPr>
        <w:t xml:space="preserve">– should be seen as in constant interaction with more formalised </w:t>
      </w:r>
      <w:r w:rsidR="00FB6CB9" w:rsidRPr="00AB1493">
        <w:rPr>
          <w:rFonts w:cs="Calibri"/>
          <w:sz w:val="24"/>
          <w:szCs w:val="24"/>
        </w:rPr>
        <w:t xml:space="preserve">and written </w:t>
      </w:r>
      <w:r w:rsidR="00FF7D5F" w:rsidRPr="00AB1493">
        <w:rPr>
          <w:rFonts w:cs="Calibri"/>
          <w:sz w:val="24"/>
          <w:szCs w:val="24"/>
        </w:rPr>
        <w:t>religious concepts.</w:t>
      </w:r>
      <w:r w:rsidR="00D63AAC" w:rsidRPr="00AB1493">
        <w:rPr>
          <w:rFonts w:cs="Calibri"/>
          <w:sz w:val="24"/>
          <w:szCs w:val="24"/>
        </w:rPr>
        <w:t xml:space="preserve"> The reality of otherworlds seems always to have been fundamental to Chinese religion. Occasionally indeed, the otherworld irrupts spontaneously and dramatically into ‘normality’: during the later Shu dynasty, “suddenly one morning the water [river </w:t>
      </w:r>
      <w:proofErr w:type="spellStart"/>
      <w:r w:rsidR="00D63AAC" w:rsidRPr="00AB1493">
        <w:rPr>
          <w:rFonts w:cs="Calibri"/>
          <w:sz w:val="24"/>
          <w:szCs w:val="24"/>
        </w:rPr>
        <w:t>Xunhe</w:t>
      </w:r>
      <w:proofErr w:type="spellEnd"/>
      <w:r w:rsidR="00D63AAC" w:rsidRPr="00AB1493">
        <w:rPr>
          <w:rFonts w:cs="Calibri"/>
          <w:sz w:val="24"/>
          <w:szCs w:val="24"/>
        </w:rPr>
        <w:t>] broke into ripples and a flock of dragons emerged above the water…large and small, fifty of them…travelling in formation… for three days”.</w:t>
      </w:r>
      <w:r w:rsidR="00D63AAC" w:rsidRPr="00AB1493">
        <w:rPr>
          <w:rStyle w:val="FootnoteReference"/>
          <w:rFonts w:cs="Calibri"/>
          <w:sz w:val="24"/>
          <w:szCs w:val="24"/>
        </w:rPr>
        <w:footnoteReference w:id="154"/>
      </w:r>
      <w:r w:rsidR="00D63AAC" w:rsidRPr="00AB1493">
        <w:rPr>
          <w:rFonts w:cs="Calibri"/>
          <w:sz w:val="24"/>
          <w:szCs w:val="24"/>
        </w:rPr>
        <w:t xml:space="preserve"> Otherworld events and experiences could happen to anyone, not just to ‘</w:t>
      </w:r>
      <w:proofErr w:type="gramStart"/>
      <w:r w:rsidR="00D63AAC" w:rsidRPr="00AB1493">
        <w:rPr>
          <w:rFonts w:cs="Calibri"/>
          <w:sz w:val="24"/>
          <w:szCs w:val="24"/>
        </w:rPr>
        <w:t>heroes’</w:t>
      </w:r>
      <w:proofErr w:type="gramEnd"/>
      <w:r w:rsidR="00D63AAC" w:rsidRPr="00AB1493">
        <w:rPr>
          <w:rFonts w:cs="Calibri"/>
          <w:sz w:val="24"/>
          <w:szCs w:val="24"/>
        </w:rPr>
        <w:t xml:space="preserve">. The connection between the worlds of the living and the dead is not just very close – the worlds interact, the deceased are recognisable, personal relationships can continue, and tangible corroborative proof of the </w:t>
      </w:r>
      <w:r w:rsidR="00380211">
        <w:rPr>
          <w:rFonts w:cs="Calibri"/>
          <w:sz w:val="24"/>
          <w:szCs w:val="24"/>
        </w:rPr>
        <w:t>other</w:t>
      </w:r>
      <w:r w:rsidR="00D63AAC" w:rsidRPr="00AB1493">
        <w:rPr>
          <w:rFonts w:cs="Calibri"/>
          <w:sz w:val="24"/>
          <w:szCs w:val="24"/>
        </w:rPr>
        <w:t xml:space="preserve">world visit is possible. </w:t>
      </w:r>
    </w:p>
    <w:p w14:paraId="785FDCB3" w14:textId="60584E08" w:rsidR="00A30BB0" w:rsidRPr="00AB1493" w:rsidRDefault="00A30BB0" w:rsidP="00EA1AE2">
      <w:pPr>
        <w:spacing w:after="0" w:line="480" w:lineRule="auto"/>
        <w:rPr>
          <w:rFonts w:cs="Calibri"/>
          <w:sz w:val="24"/>
          <w:szCs w:val="24"/>
        </w:rPr>
      </w:pPr>
    </w:p>
    <w:p w14:paraId="1E957F45" w14:textId="4AAF9F5D" w:rsidR="00AA2604" w:rsidRPr="00AB1493" w:rsidRDefault="00D63AAC" w:rsidP="00EA1AE2">
      <w:pPr>
        <w:spacing w:after="0" w:line="480" w:lineRule="auto"/>
        <w:rPr>
          <w:rFonts w:cs="Calibri"/>
          <w:sz w:val="24"/>
          <w:szCs w:val="24"/>
        </w:rPr>
      </w:pPr>
      <w:r w:rsidRPr="00AB1493">
        <w:rPr>
          <w:rFonts w:cs="Calibri"/>
          <w:sz w:val="24"/>
          <w:szCs w:val="24"/>
        </w:rPr>
        <w:t>Over the past few decades, the concept of the ‘Near Death Experience’ (NDE) has become commonplace in (Western) popular ideology, no longer ‘occult’ or ‘paranormal’, providing a dramatic challenge to the ‘conventional’ notions of what happens at death.</w:t>
      </w:r>
      <w:r w:rsidRPr="00AB1493">
        <w:rPr>
          <w:rStyle w:val="FootnoteReference"/>
          <w:rFonts w:cs="Calibri"/>
          <w:sz w:val="24"/>
          <w:szCs w:val="24"/>
        </w:rPr>
        <w:footnoteReference w:id="155"/>
      </w:r>
      <w:r w:rsidRPr="00AB1493">
        <w:rPr>
          <w:rFonts w:cs="Calibri"/>
          <w:sz w:val="24"/>
          <w:szCs w:val="24"/>
        </w:rPr>
        <w:t xml:space="preserve"> Whereas </w:t>
      </w:r>
      <w:r w:rsidRPr="00AB1493">
        <w:rPr>
          <w:rFonts w:cs="Calibri"/>
          <w:sz w:val="24"/>
          <w:szCs w:val="24"/>
        </w:rPr>
        <w:lastRenderedPageBreak/>
        <w:t xml:space="preserve">ancient European reports that resemble NDEs are few, often disparaged or tucked away in collections of ‘folklore’, those of China are numerous and </w:t>
      </w:r>
      <w:r w:rsidR="009E7605" w:rsidRPr="00AB1493">
        <w:rPr>
          <w:rFonts w:cs="Calibri"/>
          <w:sz w:val="24"/>
          <w:szCs w:val="24"/>
        </w:rPr>
        <w:t>widely known</w:t>
      </w:r>
      <w:r w:rsidR="00942F2C">
        <w:rPr>
          <w:rFonts w:cs="Calibri"/>
          <w:sz w:val="24"/>
          <w:szCs w:val="24"/>
        </w:rPr>
        <w:t>.</w:t>
      </w:r>
      <w:r w:rsidRPr="00AB1493">
        <w:rPr>
          <w:rStyle w:val="FootnoteReference"/>
          <w:rFonts w:cs="Calibri"/>
          <w:sz w:val="24"/>
          <w:szCs w:val="24"/>
        </w:rPr>
        <w:footnoteReference w:id="156"/>
      </w:r>
      <w:r w:rsidRPr="00AB1493">
        <w:rPr>
          <w:rFonts w:cs="Calibri"/>
          <w:sz w:val="24"/>
          <w:szCs w:val="24"/>
        </w:rPr>
        <w:t xml:space="preserve"> The validity of otherworld experience is in no way invalidated by its correspondences with ordinary reality: Freud’s comments on the ‘paranormal’ argue that all such experiences are necessarily processed by the ‘unconscious’.</w:t>
      </w:r>
      <w:r w:rsidRPr="00AB1493">
        <w:rPr>
          <w:rStyle w:val="FootnoteReference"/>
          <w:rFonts w:cs="Calibri"/>
          <w:sz w:val="24"/>
          <w:szCs w:val="24"/>
        </w:rPr>
        <w:footnoteReference w:id="157"/>
      </w:r>
      <w:r w:rsidRPr="00AB1493">
        <w:rPr>
          <w:rFonts w:cs="Calibri"/>
          <w:sz w:val="24"/>
          <w:szCs w:val="24"/>
        </w:rPr>
        <w:t xml:space="preserve"> Kellehear argues that “NDEs appear to follow social and psychological phenomenology shaped by the religious cosmology of the period and place”.</w:t>
      </w:r>
      <w:r w:rsidRPr="00AB1493">
        <w:rPr>
          <w:rStyle w:val="FootnoteReference"/>
          <w:rFonts w:cs="Calibri"/>
          <w:sz w:val="24"/>
          <w:szCs w:val="24"/>
        </w:rPr>
        <w:footnoteReference w:id="158"/>
      </w:r>
      <w:r w:rsidRPr="00AB1493">
        <w:rPr>
          <w:rFonts w:cs="Calibri"/>
          <w:sz w:val="24"/>
          <w:szCs w:val="24"/>
        </w:rPr>
        <w:t xml:space="preserve"> </w:t>
      </w:r>
      <w:r w:rsidR="00AA2604" w:rsidRPr="00AB1493">
        <w:rPr>
          <w:rFonts w:cs="Calibri"/>
          <w:sz w:val="24"/>
          <w:szCs w:val="24"/>
        </w:rPr>
        <w:t>Hayao Kawai claims that “people of that time</w:t>
      </w:r>
      <w:r w:rsidR="00E36F82">
        <w:rPr>
          <w:rFonts w:cs="Calibri"/>
          <w:sz w:val="24"/>
          <w:szCs w:val="24"/>
        </w:rPr>
        <w:t>…</w:t>
      </w:r>
      <w:r w:rsidR="00AA2604" w:rsidRPr="00AB1493">
        <w:rPr>
          <w:rFonts w:cs="Calibri"/>
          <w:sz w:val="24"/>
          <w:szCs w:val="24"/>
        </w:rPr>
        <w:t>believed that reality had many layers, and that its appearance differed greatly according to the layer being seen”.</w:t>
      </w:r>
      <w:r w:rsidR="00AA2604" w:rsidRPr="00AB1493">
        <w:rPr>
          <w:rStyle w:val="FootnoteReference"/>
          <w:rFonts w:cs="Calibri"/>
          <w:sz w:val="24"/>
          <w:szCs w:val="24"/>
        </w:rPr>
        <w:footnoteReference w:id="159"/>
      </w:r>
      <w:r w:rsidR="00AA2604" w:rsidRPr="00AB1493">
        <w:rPr>
          <w:rFonts w:cs="Calibri"/>
          <w:sz w:val="24"/>
          <w:szCs w:val="24"/>
        </w:rPr>
        <w:t xml:space="preserve"> </w:t>
      </w:r>
    </w:p>
    <w:p w14:paraId="27257B25" w14:textId="77777777" w:rsidR="008A7EFC" w:rsidRDefault="008A7EFC" w:rsidP="00EA1AE2">
      <w:pPr>
        <w:spacing w:after="0" w:line="480" w:lineRule="auto"/>
        <w:rPr>
          <w:rFonts w:cs="Calibri"/>
          <w:sz w:val="24"/>
          <w:szCs w:val="24"/>
        </w:rPr>
      </w:pPr>
    </w:p>
    <w:p w14:paraId="7EC08541" w14:textId="3BD31C8A" w:rsidR="001F37C5" w:rsidRDefault="009E7605" w:rsidP="00EA1AE2">
      <w:pPr>
        <w:spacing w:after="0" w:line="480" w:lineRule="auto"/>
        <w:rPr>
          <w:rFonts w:cs="Calibri"/>
          <w:sz w:val="24"/>
          <w:szCs w:val="24"/>
        </w:rPr>
      </w:pPr>
      <w:r w:rsidRPr="00AB1493">
        <w:rPr>
          <w:rFonts w:cs="Calibri"/>
          <w:sz w:val="24"/>
          <w:szCs w:val="24"/>
        </w:rPr>
        <w:t xml:space="preserve">It is </w:t>
      </w:r>
      <w:r>
        <w:rPr>
          <w:rFonts w:cs="Calibri"/>
          <w:sz w:val="24"/>
          <w:szCs w:val="24"/>
        </w:rPr>
        <w:t xml:space="preserve">widely argued </w:t>
      </w:r>
      <w:r w:rsidRPr="00AB1493">
        <w:rPr>
          <w:rFonts w:cs="Calibri"/>
          <w:sz w:val="24"/>
          <w:szCs w:val="24"/>
        </w:rPr>
        <w:t xml:space="preserve">that during the </w:t>
      </w:r>
      <w:r w:rsidR="00E36F82">
        <w:rPr>
          <w:rFonts w:cs="Calibri"/>
          <w:sz w:val="24"/>
          <w:szCs w:val="24"/>
        </w:rPr>
        <w:t xml:space="preserve">Xia and </w:t>
      </w:r>
      <w:r w:rsidRPr="00AB1493">
        <w:rPr>
          <w:rFonts w:cs="Calibri"/>
          <w:sz w:val="24"/>
          <w:szCs w:val="24"/>
        </w:rPr>
        <w:t>Shang dynast</w:t>
      </w:r>
      <w:r w:rsidR="00E36F82">
        <w:rPr>
          <w:rFonts w:cs="Calibri"/>
          <w:sz w:val="24"/>
          <w:szCs w:val="24"/>
        </w:rPr>
        <w:t>ies</w:t>
      </w:r>
      <w:r w:rsidRPr="00AB1493">
        <w:rPr>
          <w:rFonts w:cs="Calibri"/>
          <w:sz w:val="24"/>
          <w:szCs w:val="24"/>
        </w:rPr>
        <w:t xml:space="preserve"> shamanism played a major role</w:t>
      </w:r>
      <w:r w:rsidR="009F60FC">
        <w:rPr>
          <w:rFonts w:cs="Calibri"/>
          <w:sz w:val="24"/>
          <w:szCs w:val="24"/>
        </w:rPr>
        <w:t xml:space="preserve"> </w:t>
      </w:r>
      <w:r w:rsidRPr="00AB1493">
        <w:rPr>
          <w:rFonts w:cs="Calibri"/>
          <w:sz w:val="24"/>
          <w:szCs w:val="24"/>
        </w:rPr>
        <w:t>with the king himself acting as principal shaman, but that subsequently the practices of shamanism were downgraded.</w:t>
      </w:r>
      <w:r w:rsidR="00E36F82">
        <w:rPr>
          <w:rStyle w:val="FootnoteReference"/>
          <w:rFonts w:cs="Calibri"/>
          <w:sz w:val="24"/>
          <w:szCs w:val="24"/>
        </w:rPr>
        <w:footnoteReference w:id="160"/>
      </w:r>
      <w:r w:rsidRPr="00AB1493">
        <w:rPr>
          <w:rFonts w:cs="Calibri"/>
          <w:sz w:val="24"/>
          <w:szCs w:val="24"/>
        </w:rPr>
        <w:t xml:space="preserve"> This may have been a misogynistic process – the term </w:t>
      </w:r>
      <w:r w:rsidRPr="009E7605">
        <w:rPr>
          <w:rFonts w:cs="Calibri"/>
          <w:i/>
          <w:iCs/>
          <w:sz w:val="24"/>
          <w:szCs w:val="24"/>
        </w:rPr>
        <w:t>wu</w:t>
      </w:r>
      <w:r w:rsidRPr="00AB1493">
        <w:rPr>
          <w:rFonts w:cs="Calibri"/>
          <w:sz w:val="24"/>
          <w:szCs w:val="24"/>
        </w:rPr>
        <w:t xml:space="preserve"> often used specifically to refer to females.</w:t>
      </w:r>
      <w:r w:rsidR="00E36F82">
        <w:rPr>
          <w:rStyle w:val="FootnoteReference"/>
          <w:rFonts w:cs="Calibri"/>
          <w:sz w:val="24"/>
          <w:szCs w:val="24"/>
        </w:rPr>
        <w:footnoteReference w:id="161"/>
      </w:r>
      <w:r w:rsidRPr="00AB1493">
        <w:rPr>
          <w:rFonts w:cs="Calibri"/>
          <w:sz w:val="24"/>
          <w:szCs w:val="24"/>
        </w:rPr>
        <w:t xml:space="preserve"> </w:t>
      </w:r>
      <w:r w:rsidR="002F2E52">
        <w:rPr>
          <w:rFonts w:cs="Calibri"/>
          <w:sz w:val="24"/>
          <w:szCs w:val="24"/>
        </w:rPr>
        <w:t xml:space="preserve">Strassberg describes </w:t>
      </w:r>
      <w:r w:rsidRPr="00AB1493">
        <w:rPr>
          <w:rFonts w:cs="Calibri"/>
          <w:sz w:val="24"/>
          <w:szCs w:val="24"/>
        </w:rPr>
        <w:t xml:space="preserve">Sima Qian </w:t>
      </w:r>
      <w:r w:rsidR="002F2E52">
        <w:rPr>
          <w:rFonts w:cs="Calibri"/>
          <w:sz w:val="24"/>
          <w:szCs w:val="24"/>
        </w:rPr>
        <w:t xml:space="preserve">as </w:t>
      </w:r>
      <w:r w:rsidRPr="00AB1493">
        <w:rPr>
          <w:rFonts w:cs="Calibri"/>
          <w:sz w:val="24"/>
          <w:szCs w:val="24"/>
        </w:rPr>
        <w:t xml:space="preserve">‘notably opposed to the influence of </w:t>
      </w:r>
      <w:r w:rsidRPr="002F2E52">
        <w:rPr>
          <w:rFonts w:cs="Calibri"/>
          <w:i/>
          <w:iCs/>
          <w:sz w:val="24"/>
          <w:szCs w:val="24"/>
        </w:rPr>
        <w:t>wu</w:t>
      </w:r>
      <w:r w:rsidRPr="00AB1493">
        <w:rPr>
          <w:rFonts w:cs="Calibri"/>
          <w:sz w:val="24"/>
          <w:szCs w:val="24"/>
        </w:rPr>
        <w:t>-shamans and their culture’</w:t>
      </w:r>
      <w:r w:rsidR="002F2E52">
        <w:rPr>
          <w:rFonts w:cs="Calibri"/>
          <w:sz w:val="24"/>
          <w:szCs w:val="24"/>
        </w:rPr>
        <w:t xml:space="preserve">, indicating that they continued </w:t>
      </w:r>
      <w:r w:rsidR="002F2E52">
        <w:rPr>
          <w:rFonts w:cs="Calibri"/>
          <w:sz w:val="24"/>
          <w:szCs w:val="24"/>
        </w:rPr>
        <w:lastRenderedPageBreak/>
        <w:t xml:space="preserve">to function in his time, even if replaced in the offices of state by more ‘bureaucratic’ </w:t>
      </w:r>
      <w:r w:rsidR="00E36F82">
        <w:rPr>
          <w:rFonts w:cs="Calibri"/>
          <w:sz w:val="24"/>
          <w:szCs w:val="24"/>
        </w:rPr>
        <w:t xml:space="preserve">male </w:t>
      </w:r>
      <w:r w:rsidR="002F2E52">
        <w:rPr>
          <w:rFonts w:cs="Calibri"/>
          <w:sz w:val="24"/>
          <w:szCs w:val="24"/>
        </w:rPr>
        <w:t>officers.</w:t>
      </w:r>
      <w:r w:rsidR="002F2E52">
        <w:rPr>
          <w:rStyle w:val="FootnoteReference"/>
          <w:rFonts w:cs="Calibri"/>
          <w:sz w:val="24"/>
          <w:szCs w:val="24"/>
        </w:rPr>
        <w:footnoteReference w:id="162"/>
      </w:r>
      <w:r w:rsidR="002F2E52">
        <w:rPr>
          <w:rFonts w:cs="Calibri"/>
          <w:sz w:val="24"/>
          <w:szCs w:val="24"/>
        </w:rPr>
        <w:t xml:space="preserve"> The role of otherworld travel in religion was disparaged: historian Ban Gu (</w:t>
      </w:r>
      <w:r w:rsidR="002F2E52" w:rsidRPr="002F2E52">
        <w:rPr>
          <w:rFonts w:cs="Calibri"/>
          <w:sz w:val="24"/>
          <w:szCs w:val="24"/>
        </w:rPr>
        <w:t>32–92</w:t>
      </w:r>
      <w:r w:rsidR="002F2E52">
        <w:rPr>
          <w:rFonts w:cs="Calibri"/>
          <w:sz w:val="24"/>
          <w:szCs w:val="24"/>
        </w:rPr>
        <w:t xml:space="preserve"> CE</w:t>
      </w:r>
      <w:r w:rsidR="002F2E52" w:rsidRPr="002F2E52">
        <w:rPr>
          <w:rFonts w:cs="Calibri"/>
          <w:sz w:val="24"/>
          <w:szCs w:val="24"/>
        </w:rPr>
        <w:t>)</w:t>
      </w:r>
      <w:r w:rsidR="002F2E52">
        <w:rPr>
          <w:rFonts w:cs="Calibri"/>
          <w:sz w:val="24"/>
          <w:szCs w:val="24"/>
        </w:rPr>
        <w:t xml:space="preserve">, wrote </w:t>
      </w:r>
      <w:r w:rsidR="002F2E52" w:rsidRPr="00AB1493">
        <w:rPr>
          <w:rFonts w:cs="Calibri"/>
          <w:sz w:val="24"/>
          <w:szCs w:val="24"/>
        </w:rPr>
        <w:t xml:space="preserve">that the Chu </w:t>
      </w:r>
      <w:r w:rsidR="00E36F82">
        <w:rPr>
          <w:rFonts w:cs="Calibri"/>
          <w:sz w:val="24"/>
          <w:szCs w:val="24"/>
        </w:rPr>
        <w:t>“</w:t>
      </w:r>
      <w:r w:rsidR="002F2E52" w:rsidRPr="00AB1493">
        <w:rPr>
          <w:rFonts w:cs="Calibri"/>
          <w:sz w:val="24"/>
          <w:szCs w:val="24"/>
        </w:rPr>
        <w:t>believe in shamans and spirits and are much addicted to lewd religious rites”</w:t>
      </w:r>
      <w:r w:rsidR="005A483B">
        <w:rPr>
          <w:rFonts w:cs="Calibri"/>
          <w:sz w:val="24"/>
          <w:szCs w:val="24"/>
        </w:rPr>
        <w:t>.</w:t>
      </w:r>
      <w:r w:rsidR="005A483B">
        <w:rPr>
          <w:rStyle w:val="FootnoteReference"/>
          <w:rFonts w:cs="Calibri"/>
          <w:sz w:val="24"/>
          <w:szCs w:val="24"/>
        </w:rPr>
        <w:footnoteReference w:id="163"/>
      </w:r>
      <w:r w:rsidR="002F2E52">
        <w:rPr>
          <w:rFonts w:cs="Calibri"/>
          <w:sz w:val="24"/>
          <w:szCs w:val="24"/>
        </w:rPr>
        <w:t xml:space="preserve"> </w:t>
      </w:r>
      <w:r w:rsidR="002F2E52" w:rsidRPr="00AB1493">
        <w:rPr>
          <w:rFonts w:cs="Calibri"/>
          <w:sz w:val="24"/>
          <w:szCs w:val="24"/>
        </w:rPr>
        <w:t>Hawkes</w:t>
      </w:r>
      <w:r w:rsidR="005A483B">
        <w:rPr>
          <w:rFonts w:cs="Calibri"/>
          <w:sz w:val="24"/>
          <w:szCs w:val="24"/>
        </w:rPr>
        <w:t xml:space="preserve"> claims that “</w:t>
      </w:r>
      <w:r w:rsidR="002F2E52" w:rsidRPr="00AB1493">
        <w:rPr>
          <w:rFonts w:cs="Calibri"/>
          <w:sz w:val="24"/>
          <w:szCs w:val="24"/>
        </w:rPr>
        <w:t>suppression of shamans and destruction of their holy places were part of the ‘c</w:t>
      </w:r>
      <w:r w:rsidR="005A483B">
        <w:rPr>
          <w:rFonts w:cs="Calibri"/>
          <w:sz w:val="24"/>
          <w:szCs w:val="24"/>
        </w:rPr>
        <w:t>iv</w:t>
      </w:r>
      <w:r w:rsidR="002F2E52" w:rsidRPr="00AB1493">
        <w:rPr>
          <w:rFonts w:cs="Calibri"/>
          <w:sz w:val="24"/>
          <w:szCs w:val="24"/>
        </w:rPr>
        <w:t xml:space="preserve">ilising’ policy vigorously prosecuted by Confucian administrators </w:t>
      </w:r>
      <w:r w:rsidR="005A483B">
        <w:rPr>
          <w:rFonts w:cs="Calibri"/>
          <w:sz w:val="24"/>
          <w:szCs w:val="24"/>
        </w:rPr>
        <w:t>…in</w:t>
      </w:r>
      <w:r w:rsidR="002F2E52" w:rsidRPr="00AB1493">
        <w:rPr>
          <w:rFonts w:cs="Calibri"/>
          <w:sz w:val="24"/>
          <w:szCs w:val="24"/>
        </w:rPr>
        <w:t xml:space="preserve"> the early years of the Tang dynasty”</w:t>
      </w:r>
      <w:r w:rsidR="005A483B">
        <w:rPr>
          <w:rFonts w:cs="Calibri"/>
          <w:sz w:val="24"/>
          <w:szCs w:val="24"/>
        </w:rPr>
        <w:t xml:space="preserve">. </w:t>
      </w:r>
      <w:r w:rsidR="008051EA" w:rsidRPr="00AB1493">
        <w:rPr>
          <w:rFonts w:cs="Calibri"/>
          <w:sz w:val="24"/>
          <w:szCs w:val="24"/>
        </w:rPr>
        <w:t xml:space="preserve">A major exemplar of </w:t>
      </w:r>
      <w:r w:rsidR="001F37C5">
        <w:rPr>
          <w:rFonts w:cs="Calibri"/>
          <w:sz w:val="24"/>
          <w:szCs w:val="24"/>
        </w:rPr>
        <w:t xml:space="preserve">Confucian scepticism </w:t>
      </w:r>
      <w:proofErr w:type="gramStart"/>
      <w:r w:rsidR="001F37C5" w:rsidRPr="00AB1493">
        <w:rPr>
          <w:rFonts w:cs="Calibri"/>
          <w:sz w:val="24"/>
          <w:szCs w:val="24"/>
        </w:rPr>
        <w:t>with regard to</w:t>
      </w:r>
      <w:proofErr w:type="gramEnd"/>
      <w:r w:rsidR="001F37C5" w:rsidRPr="00AB1493">
        <w:rPr>
          <w:rFonts w:cs="Calibri"/>
          <w:sz w:val="24"/>
          <w:szCs w:val="24"/>
        </w:rPr>
        <w:t xml:space="preserve"> the ideas of soul-survival </w:t>
      </w:r>
      <w:r w:rsidR="001F37C5">
        <w:rPr>
          <w:rFonts w:cs="Calibri"/>
          <w:sz w:val="24"/>
          <w:szCs w:val="24"/>
        </w:rPr>
        <w:t xml:space="preserve">and spirit worlds </w:t>
      </w:r>
      <w:r w:rsidR="008051EA" w:rsidRPr="00AB1493">
        <w:rPr>
          <w:rFonts w:cs="Calibri"/>
          <w:sz w:val="24"/>
          <w:szCs w:val="24"/>
        </w:rPr>
        <w:t>was the 1</w:t>
      </w:r>
      <w:r w:rsidR="008051EA" w:rsidRPr="00AB1493">
        <w:rPr>
          <w:rFonts w:cs="Calibri"/>
          <w:sz w:val="24"/>
          <w:szCs w:val="24"/>
          <w:vertAlign w:val="superscript"/>
        </w:rPr>
        <w:t>st</w:t>
      </w:r>
      <w:r w:rsidR="008051EA" w:rsidRPr="00AB1493">
        <w:rPr>
          <w:rFonts w:cs="Calibri"/>
          <w:sz w:val="24"/>
          <w:szCs w:val="24"/>
        </w:rPr>
        <w:t xml:space="preserve"> century CE writer Wang Chong</w:t>
      </w:r>
      <w:r w:rsidR="0084785A">
        <w:rPr>
          <w:rFonts w:cs="Calibri"/>
          <w:sz w:val="24"/>
          <w:szCs w:val="24"/>
        </w:rPr>
        <w:t xml:space="preserve"> who </w:t>
      </w:r>
      <w:r w:rsidR="0084785A" w:rsidRPr="00DE5BCE">
        <w:rPr>
          <w:rFonts w:cs="Calibri"/>
        </w:rPr>
        <w:t>accepted that NDEs occurred, but denied them any reality</w:t>
      </w:r>
      <w:r w:rsidR="008051EA" w:rsidRPr="00AB1493">
        <w:rPr>
          <w:rFonts w:cs="Calibri"/>
          <w:sz w:val="24"/>
          <w:szCs w:val="24"/>
        </w:rPr>
        <w:t>.</w:t>
      </w:r>
      <w:r w:rsidR="008051EA" w:rsidRPr="00AB1493">
        <w:rPr>
          <w:rStyle w:val="FootnoteReference"/>
          <w:rFonts w:cs="Calibri"/>
          <w:sz w:val="24"/>
          <w:szCs w:val="24"/>
        </w:rPr>
        <w:footnoteReference w:id="164"/>
      </w:r>
      <w:r w:rsidR="008051EA" w:rsidRPr="00AB1493">
        <w:rPr>
          <w:rFonts w:cs="Calibri"/>
          <w:sz w:val="24"/>
          <w:szCs w:val="24"/>
        </w:rPr>
        <w:t xml:space="preserve"> Other Confucian scholars seem to have had a programme of ‘rectifying’ aberrant narratives,</w:t>
      </w:r>
      <w:r w:rsidR="008051EA" w:rsidRPr="00AB1493">
        <w:rPr>
          <w:rStyle w:val="FootnoteReference"/>
          <w:rFonts w:cs="Calibri"/>
          <w:sz w:val="24"/>
          <w:szCs w:val="24"/>
        </w:rPr>
        <w:footnoteReference w:id="165"/>
      </w:r>
      <w:r w:rsidR="008051EA" w:rsidRPr="00AB1493">
        <w:rPr>
          <w:rFonts w:cs="Calibri"/>
          <w:sz w:val="24"/>
          <w:szCs w:val="24"/>
        </w:rPr>
        <w:t xml:space="preserve"> or alternatively, an attitude of “studied avoidance”.</w:t>
      </w:r>
      <w:r w:rsidR="008051EA" w:rsidRPr="00AB1493">
        <w:rPr>
          <w:rStyle w:val="FootnoteReference"/>
          <w:rFonts w:cs="Calibri"/>
          <w:sz w:val="24"/>
          <w:szCs w:val="24"/>
        </w:rPr>
        <w:footnoteReference w:id="166"/>
      </w:r>
      <w:r w:rsidR="008051EA" w:rsidRPr="00AB1493">
        <w:rPr>
          <w:rFonts w:cs="Calibri"/>
          <w:sz w:val="24"/>
          <w:szCs w:val="24"/>
        </w:rPr>
        <w:t xml:space="preserve"> </w:t>
      </w:r>
    </w:p>
    <w:p w14:paraId="35FB6C7B" w14:textId="77777777" w:rsidR="001F37C5" w:rsidRDefault="001F37C5" w:rsidP="00EA1AE2">
      <w:pPr>
        <w:spacing w:after="0" w:line="480" w:lineRule="auto"/>
        <w:rPr>
          <w:rFonts w:cs="Calibri"/>
          <w:sz w:val="24"/>
          <w:szCs w:val="24"/>
        </w:rPr>
      </w:pPr>
    </w:p>
    <w:p w14:paraId="4A28A990" w14:textId="201978A1" w:rsidR="00E41426" w:rsidRPr="00AB1493" w:rsidRDefault="001F37C5" w:rsidP="00EA1AE2">
      <w:pPr>
        <w:spacing w:after="0" w:line="480" w:lineRule="auto"/>
        <w:rPr>
          <w:rFonts w:cs="Calibri"/>
          <w:sz w:val="24"/>
          <w:szCs w:val="24"/>
        </w:rPr>
      </w:pPr>
      <w:r>
        <w:rPr>
          <w:rFonts w:cs="Calibri"/>
          <w:sz w:val="24"/>
          <w:szCs w:val="24"/>
        </w:rPr>
        <w:t>It is argued nonetheless that these</w:t>
      </w:r>
      <w:r w:rsidR="00E41426" w:rsidRPr="00AB1493">
        <w:rPr>
          <w:rFonts w:cs="Calibri"/>
          <w:sz w:val="24"/>
          <w:szCs w:val="24"/>
        </w:rPr>
        <w:t xml:space="preserve"> attitudes </w:t>
      </w:r>
      <w:r>
        <w:rPr>
          <w:rFonts w:cs="Calibri"/>
          <w:sz w:val="24"/>
          <w:szCs w:val="24"/>
        </w:rPr>
        <w:t xml:space="preserve">had </w:t>
      </w:r>
      <w:r w:rsidR="00E41426" w:rsidRPr="00AB1493">
        <w:rPr>
          <w:rFonts w:cs="Calibri"/>
          <w:sz w:val="24"/>
          <w:szCs w:val="24"/>
        </w:rPr>
        <w:t>not much effect</w:t>
      </w:r>
      <w:r w:rsidR="00BE5B65">
        <w:rPr>
          <w:rFonts w:cs="Calibri"/>
          <w:sz w:val="24"/>
          <w:szCs w:val="24"/>
        </w:rPr>
        <w:t xml:space="preserve"> upon popular understanding of otherworlds</w:t>
      </w:r>
      <w:r w:rsidR="00E41426" w:rsidRPr="00AB1493">
        <w:rPr>
          <w:rFonts w:cs="Calibri"/>
          <w:sz w:val="24"/>
          <w:szCs w:val="24"/>
        </w:rPr>
        <w:t xml:space="preserve">. </w:t>
      </w:r>
      <w:r>
        <w:rPr>
          <w:rFonts w:cs="Calibri"/>
          <w:sz w:val="24"/>
          <w:szCs w:val="24"/>
        </w:rPr>
        <w:t xml:space="preserve">Despite outward scorn for the </w:t>
      </w:r>
      <w:r w:rsidRPr="001F37C5">
        <w:rPr>
          <w:rFonts w:cs="Calibri"/>
          <w:i/>
          <w:iCs/>
          <w:sz w:val="24"/>
          <w:szCs w:val="24"/>
          <w:u w:val="single"/>
        </w:rPr>
        <w:t>wu</w:t>
      </w:r>
      <w:r>
        <w:rPr>
          <w:rFonts w:cs="Calibri"/>
          <w:sz w:val="24"/>
          <w:szCs w:val="24"/>
        </w:rPr>
        <w:t xml:space="preserve"> (especially if female) both </w:t>
      </w:r>
      <w:r w:rsidR="00E41426" w:rsidRPr="00AB1493">
        <w:rPr>
          <w:rFonts w:cs="Calibri"/>
          <w:sz w:val="24"/>
          <w:szCs w:val="24"/>
        </w:rPr>
        <w:t xml:space="preserve">Buddhist and </w:t>
      </w:r>
      <w:r>
        <w:rPr>
          <w:rFonts w:cs="Calibri"/>
          <w:sz w:val="24"/>
          <w:szCs w:val="24"/>
        </w:rPr>
        <w:t xml:space="preserve">Daoist traditions cultivated adept ‘powers’ indistinguishable from those of the shamans, travelling to worlds even more </w:t>
      </w:r>
      <w:r w:rsidR="00BE5B65">
        <w:rPr>
          <w:rFonts w:cs="Calibri"/>
          <w:sz w:val="24"/>
          <w:szCs w:val="24"/>
        </w:rPr>
        <w:t>elaborate</w:t>
      </w:r>
      <w:r>
        <w:rPr>
          <w:rFonts w:cs="Calibri"/>
          <w:sz w:val="24"/>
          <w:szCs w:val="24"/>
        </w:rPr>
        <w:t>.</w:t>
      </w:r>
      <w:r w:rsidR="00F25FB0">
        <w:rPr>
          <w:rStyle w:val="FootnoteReference"/>
          <w:rFonts w:cs="Calibri"/>
          <w:sz w:val="24"/>
          <w:szCs w:val="24"/>
        </w:rPr>
        <w:footnoteReference w:id="167"/>
      </w:r>
      <w:r w:rsidR="00E41426" w:rsidRPr="00AB1493">
        <w:rPr>
          <w:rFonts w:cs="Calibri"/>
          <w:sz w:val="24"/>
          <w:szCs w:val="24"/>
        </w:rPr>
        <w:t xml:space="preserve"> </w:t>
      </w:r>
      <w:r>
        <w:rPr>
          <w:rFonts w:cs="Calibri"/>
          <w:sz w:val="24"/>
          <w:szCs w:val="24"/>
        </w:rPr>
        <w:t>D</w:t>
      </w:r>
      <w:r w:rsidR="00E41426" w:rsidRPr="00AB1493">
        <w:rPr>
          <w:rFonts w:cs="Calibri"/>
          <w:sz w:val="24"/>
          <w:szCs w:val="24"/>
        </w:rPr>
        <w:t xml:space="preserve">aoism </w:t>
      </w:r>
      <w:r>
        <w:rPr>
          <w:rFonts w:cs="Calibri"/>
          <w:sz w:val="24"/>
          <w:szCs w:val="24"/>
        </w:rPr>
        <w:t xml:space="preserve">seems in many ways </w:t>
      </w:r>
      <w:r w:rsidR="00E41426" w:rsidRPr="00AB1493">
        <w:rPr>
          <w:rFonts w:cs="Calibri"/>
          <w:sz w:val="24"/>
          <w:szCs w:val="24"/>
        </w:rPr>
        <w:t xml:space="preserve">continuous with older shamanism, but in ‘literate’ form, appropriate for complex </w:t>
      </w:r>
      <w:r w:rsidR="00E41426" w:rsidRPr="00AB1493">
        <w:rPr>
          <w:rFonts w:cs="Calibri"/>
          <w:sz w:val="24"/>
          <w:szCs w:val="24"/>
        </w:rPr>
        <w:lastRenderedPageBreak/>
        <w:t>societies.</w:t>
      </w:r>
      <w:r w:rsidR="00FF697A">
        <w:rPr>
          <w:rStyle w:val="FootnoteReference"/>
          <w:rFonts w:cs="Calibri"/>
          <w:sz w:val="24"/>
          <w:szCs w:val="24"/>
        </w:rPr>
        <w:footnoteReference w:id="168"/>
      </w:r>
      <w:r w:rsidR="00E41426" w:rsidRPr="00AB1493">
        <w:rPr>
          <w:rFonts w:cs="Calibri"/>
          <w:sz w:val="24"/>
          <w:szCs w:val="24"/>
        </w:rPr>
        <w:t xml:space="preserve"> </w:t>
      </w:r>
      <w:r w:rsidR="00BE5B65">
        <w:rPr>
          <w:rFonts w:cs="Calibri"/>
          <w:sz w:val="24"/>
          <w:szCs w:val="24"/>
        </w:rPr>
        <w:t>The</w:t>
      </w:r>
      <w:r w:rsidR="00BE5B65" w:rsidRPr="00AB1493">
        <w:rPr>
          <w:rFonts w:cs="Calibri"/>
          <w:sz w:val="24"/>
          <w:szCs w:val="24"/>
        </w:rPr>
        <w:t xml:space="preserve"> essential mark of the holy man was the ability to take flight, fueled by alchemical elixirs or special breathing methods, and wander freely through enchanted islands, sacred mountains or </w:t>
      </w:r>
      <w:r w:rsidR="00EE12EC">
        <w:rPr>
          <w:rFonts w:cs="Calibri"/>
          <w:sz w:val="24"/>
          <w:szCs w:val="24"/>
        </w:rPr>
        <w:t>c</w:t>
      </w:r>
      <w:r w:rsidR="00BE5B65" w:rsidRPr="00AB1493">
        <w:rPr>
          <w:rFonts w:cs="Calibri"/>
          <w:sz w:val="24"/>
          <w:szCs w:val="24"/>
        </w:rPr>
        <w:t>elestial spheres</w:t>
      </w:r>
      <w:r w:rsidR="00EE12EC">
        <w:rPr>
          <w:rFonts w:cs="Calibri"/>
          <w:sz w:val="24"/>
          <w:szCs w:val="24"/>
        </w:rPr>
        <w:t>.</w:t>
      </w:r>
      <w:r w:rsidR="00E36F82">
        <w:rPr>
          <w:rStyle w:val="FootnoteReference"/>
          <w:rFonts w:cs="Calibri"/>
          <w:sz w:val="24"/>
          <w:szCs w:val="24"/>
        </w:rPr>
        <w:footnoteReference w:id="169"/>
      </w:r>
      <w:r w:rsidR="00EE12EC">
        <w:rPr>
          <w:rFonts w:cs="Calibri"/>
          <w:sz w:val="24"/>
          <w:szCs w:val="24"/>
        </w:rPr>
        <w:t xml:space="preserve"> </w:t>
      </w:r>
      <w:r w:rsidR="00EE12EC" w:rsidRPr="00AB1493">
        <w:rPr>
          <w:rFonts w:cs="Calibri"/>
          <w:sz w:val="24"/>
          <w:szCs w:val="24"/>
        </w:rPr>
        <w:t>Lao</w:t>
      </w:r>
      <w:r w:rsidR="00EE12EC">
        <w:rPr>
          <w:rFonts w:cs="Calibri"/>
          <w:sz w:val="24"/>
          <w:szCs w:val="24"/>
        </w:rPr>
        <w:t>zi himself “</w:t>
      </w:r>
      <w:r w:rsidR="00EE12EC" w:rsidRPr="00AB1493">
        <w:rPr>
          <w:rFonts w:cs="Calibri"/>
          <w:sz w:val="24"/>
          <w:szCs w:val="24"/>
        </w:rPr>
        <w:t xml:space="preserve">is said to have left his body inert and lifeless in order to </w:t>
      </w:r>
      <w:r w:rsidR="00EE12EC">
        <w:rPr>
          <w:rFonts w:cs="Calibri"/>
          <w:sz w:val="24"/>
          <w:szCs w:val="24"/>
        </w:rPr>
        <w:t>g</w:t>
      </w:r>
      <w:r w:rsidR="00EE12EC" w:rsidRPr="00AB1493">
        <w:rPr>
          <w:rFonts w:cs="Calibri"/>
          <w:sz w:val="24"/>
          <w:szCs w:val="24"/>
        </w:rPr>
        <w:t xml:space="preserve">o </w:t>
      </w:r>
      <w:r w:rsidR="00EE12EC">
        <w:rPr>
          <w:rFonts w:cs="Calibri"/>
          <w:sz w:val="24"/>
          <w:szCs w:val="24"/>
        </w:rPr>
        <w:t>‘</w:t>
      </w:r>
      <w:r w:rsidR="00EE12EC" w:rsidRPr="00AB1493">
        <w:rPr>
          <w:rFonts w:cs="Calibri"/>
          <w:sz w:val="24"/>
          <w:szCs w:val="24"/>
        </w:rPr>
        <w:t>for a stroll at the origin of things</w:t>
      </w:r>
      <w:r w:rsidR="00EE12EC">
        <w:rPr>
          <w:rFonts w:cs="Calibri"/>
          <w:sz w:val="24"/>
          <w:szCs w:val="24"/>
        </w:rPr>
        <w:t>’</w:t>
      </w:r>
      <w:r w:rsidR="00EE12EC" w:rsidRPr="00AB1493">
        <w:rPr>
          <w:rFonts w:cs="Calibri"/>
          <w:sz w:val="24"/>
          <w:szCs w:val="24"/>
        </w:rPr>
        <w:t>”</w:t>
      </w:r>
      <w:r w:rsidR="00EE12EC">
        <w:rPr>
          <w:rStyle w:val="FootnoteReference"/>
          <w:rFonts w:cs="Calibri"/>
          <w:sz w:val="24"/>
          <w:szCs w:val="24"/>
        </w:rPr>
        <w:footnoteReference w:id="170"/>
      </w:r>
      <w:r w:rsidR="00EE12EC">
        <w:rPr>
          <w:rFonts w:cs="Calibri"/>
          <w:sz w:val="24"/>
          <w:szCs w:val="24"/>
        </w:rPr>
        <w:t xml:space="preserve"> </w:t>
      </w:r>
      <w:r w:rsidR="00E41426" w:rsidRPr="00AB1493">
        <w:rPr>
          <w:rFonts w:cs="Calibri"/>
          <w:sz w:val="24"/>
          <w:szCs w:val="24"/>
        </w:rPr>
        <w:t xml:space="preserve">Kohn argues that “the great man of the </w:t>
      </w:r>
      <w:r w:rsidR="00E41426" w:rsidRPr="001F37C5">
        <w:rPr>
          <w:rFonts w:cs="Calibri"/>
          <w:i/>
          <w:iCs/>
          <w:sz w:val="24"/>
          <w:szCs w:val="24"/>
        </w:rPr>
        <w:t>Yijing</w:t>
      </w:r>
      <w:r w:rsidR="00E41426" w:rsidRPr="00AB1493">
        <w:rPr>
          <w:rFonts w:cs="Calibri"/>
          <w:sz w:val="24"/>
          <w:szCs w:val="24"/>
        </w:rPr>
        <w:t xml:space="preserve"> takes up the Shang-dynasty role of the king as head shaman</w:t>
      </w:r>
      <w:r>
        <w:rPr>
          <w:rFonts w:cs="Calibri"/>
          <w:sz w:val="24"/>
          <w:szCs w:val="24"/>
        </w:rPr>
        <w:t>”</w:t>
      </w:r>
      <w:r w:rsidR="00BE5B65">
        <w:rPr>
          <w:rFonts w:cs="Calibri"/>
          <w:sz w:val="24"/>
          <w:szCs w:val="24"/>
        </w:rPr>
        <w:t xml:space="preserve"> </w:t>
      </w:r>
      <w:r w:rsidR="00BE5B65" w:rsidRPr="00AB1493">
        <w:rPr>
          <w:rFonts w:cs="Calibri"/>
          <w:sz w:val="24"/>
          <w:szCs w:val="24"/>
        </w:rPr>
        <w:t>achiev</w:t>
      </w:r>
      <w:r w:rsidR="00BE5B65">
        <w:rPr>
          <w:rFonts w:cs="Calibri"/>
          <w:sz w:val="24"/>
          <w:szCs w:val="24"/>
        </w:rPr>
        <w:t xml:space="preserve">ing </w:t>
      </w:r>
      <w:r w:rsidR="00BE5B65" w:rsidRPr="00AB1493">
        <w:rPr>
          <w:rFonts w:cs="Calibri"/>
          <w:sz w:val="24"/>
          <w:szCs w:val="24"/>
        </w:rPr>
        <w:t>the ‘free and easy wandering’ of Zhuangzi</w:t>
      </w:r>
      <w:r w:rsidR="00E41426" w:rsidRPr="00AB1493">
        <w:rPr>
          <w:rFonts w:cs="Calibri"/>
          <w:sz w:val="24"/>
          <w:szCs w:val="24"/>
        </w:rPr>
        <w:t>.</w:t>
      </w:r>
      <w:r>
        <w:rPr>
          <w:rStyle w:val="FootnoteReference"/>
          <w:rFonts w:cs="Calibri"/>
          <w:sz w:val="24"/>
          <w:szCs w:val="24"/>
        </w:rPr>
        <w:footnoteReference w:id="171"/>
      </w:r>
      <w:r w:rsidR="00BE5B65">
        <w:rPr>
          <w:rFonts w:cs="Calibri"/>
          <w:sz w:val="24"/>
          <w:szCs w:val="24"/>
        </w:rPr>
        <w:t xml:space="preserve"> </w:t>
      </w:r>
    </w:p>
    <w:p w14:paraId="3B074777" w14:textId="77777777" w:rsidR="00EE12EC" w:rsidRDefault="00EE12EC" w:rsidP="00EA1AE2">
      <w:pPr>
        <w:spacing w:after="0" w:line="480" w:lineRule="auto"/>
        <w:rPr>
          <w:rFonts w:cs="Calibri"/>
          <w:sz w:val="24"/>
          <w:szCs w:val="24"/>
        </w:rPr>
      </w:pPr>
    </w:p>
    <w:p w14:paraId="0DC1E0E1" w14:textId="42655FF7" w:rsidR="001743CF" w:rsidRDefault="001743CF" w:rsidP="00EA1AE2">
      <w:pPr>
        <w:spacing w:after="0" w:line="480" w:lineRule="auto"/>
        <w:rPr>
          <w:rFonts w:cs="Calibri"/>
          <w:sz w:val="24"/>
          <w:szCs w:val="24"/>
        </w:rPr>
      </w:pPr>
      <w:r w:rsidRPr="00AB1493">
        <w:rPr>
          <w:rFonts w:cs="Calibri"/>
          <w:sz w:val="24"/>
          <w:szCs w:val="24"/>
        </w:rPr>
        <w:t xml:space="preserve">The </w:t>
      </w:r>
      <w:r w:rsidR="00E36F82">
        <w:rPr>
          <w:rFonts w:cs="Calibri"/>
          <w:sz w:val="24"/>
          <w:szCs w:val="24"/>
        </w:rPr>
        <w:t>importance</w:t>
      </w:r>
      <w:r w:rsidRPr="00AB1493">
        <w:rPr>
          <w:rFonts w:cs="Calibri"/>
          <w:sz w:val="24"/>
          <w:szCs w:val="24"/>
        </w:rPr>
        <w:t xml:space="preserve"> of </w:t>
      </w:r>
      <w:r w:rsidR="00E36F82">
        <w:rPr>
          <w:rFonts w:cs="Calibri"/>
          <w:sz w:val="24"/>
          <w:szCs w:val="24"/>
        </w:rPr>
        <w:t xml:space="preserve">otherworld travel </w:t>
      </w:r>
      <w:r w:rsidRPr="00AB1493">
        <w:rPr>
          <w:rFonts w:cs="Calibri"/>
          <w:sz w:val="24"/>
          <w:szCs w:val="24"/>
        </w:rPr>
        <w:t>continued through later Chinese culture:</w:t>
      </w:r>
      <w:r>
        <w:rPr>
          <w:rFonts w:cs="Calibri"/>
          <w:sz w:val="24"/>
          <w:szCs w:val="24"/>
        </w:rPr>
        <w:t xml:space="preserve"> ”</w:t>
      </w:r>
      <w:r w:rsidRPr="00AB1493">
        <w:rPr>
          <w:rFonts w:cs="Calibri"/>
          <w:sz w:val="24"/>
          <w:szCs w:val="24"/>
        </w:rPr>
        <w:t>popular fascination with the world of the dead reached unprecedented heights in the late Ming</w:t>
      </w:r>
      <w:r>
        <w:rPr>
          <w:rFonts w:cs="Calibri"/>
          <w:sz w:val="24"/>
          <w:szCs w:val="24"/>
        </w:rPr>
        <w:t>”.</w:t>
      </w:r>
      <w:r>
        <w:rPr>
          <w:rStyle w:val="FootnoteReference"/>
          <w:rFonts w:cs="Calibri"/>
          <w:sz w:val="24"/>
          <w:szCs w:val="24"/>
        </w:rPr>
        <w:footnoteReference w:id="172"/>
      </w:r>
      <w:r>
        <w:rPr>
          <w:rFonts w:cs="Calibri"/>
          <w:sz w:val="24"/>
          <w:szCs w:val="24"/>
        </w:rPr>
        <w:t xml:space="preserve"> Chinese literature continues to be </w:t>
      </w:r>
      <w:r w:rsidR="00E36F82">
        <w:rPr>
          <w:rFonts w:cs="Calibri"/>
          <w:sz w:val="24"/>
          <w:szCs w:val="24"/>
        </w:rPr>
        <w:t xml:space="preserve">so </w:t>
      </w:r>
      <w:r>
        <w:rPr>
          <w:rFonts w:cs="Calibri"/>
          <w:sz w:val="24"/>
          <w:szCs w:val="24"/>
        </w:rPr>
        <w:t xml:space="preserve">inspired– a </w:t>
      </w:r>
      <w:r w:rsidR="00E36F82">
        <w:rPr>
          <w:rFonts w:cs="Calibri"/>
          <w:sz w:val="24"/>
          <w:szCs w:val="24"/>
        </w:rPr>
        <w:t xml:space="preserve">celebrated </w:t>
      </w:r>
      <w:r>
        <w:rPr>
          <w:rFonts w:cs="Calibri"/>
          <w:sz w:val="24"/>
          <w:szCs w:val="24"/>
        </w:rPr>
        <w:t>modern novel is presented as</w:t>
      </w:r>
      <w:r w:rsidR="00E36F82">
        <w:rPr>
          <w:rFonts w:cs="Calibri"/>
          <w:sz w:val="24"/>
          <w:szCs w:val="24"/>
        </w:rPr>
        <w:t xml:space="preserve">, on one level, </w:t>
      </w:r>
      <w:r>
        <w:rPr>
          <w:rFonts w:cs="Calibri"/>
          <w:sz w:val="24"/>
          <w:szCs w:val="24"/>
        </w:rPr>
        <w:t xml:space="preserve">a journey to find the </w:t>
      </w:r>
      <w:r w:rsidRPr="00DB1922">
        <w:rPr>
          <w:rFonts w:cs="Calibri"/>
          <w:sz w:val="24"/>
          <w:szCs w:val="24"/>
        </w:rPr>
        <w:t>fabled mountain</w:t>
      </w:r>
      <w:r>
        <w:rPr>
          <w:rFonts w:cs="Calibri"/>
          <w:sz w:val="24"/>
          <w:szCs w:val="24"/>
        </w:rPr>
        <w:t xml:space="preserve"> </w:t>
      </w:r>
      <w:proofErr w:type="spellStart"/>
      <w:r w:rsidRPr="00DB1922">
        <w:rPr>
          <w:rFonts w:cs="Calibri"/>
          <w:sz w:val="24"/>
          <w:szCs w:val="24"/>
        </w:rPr>
        <w:t>Lingshan</w:t>
      </w:r>
      <w:proofErr w:type="spellEnd"/>
      <w:r w:rsidR="00E36F82">
        <w:rPr>
          <w:rFonts w:cs="Calibri"/>
          <w:sz w:val="24"/>
          <w:szCs w:val="24"/>
        </w:rPr>
        <w:t>.</w:t>
      </w:r>
      <w:r>
        <w:rPr>
          <w:rStyle w:val="FootnoteReference"/>
          <w:rFonts w:cs="Calibri"/>
          <w:sz w:val="24"/>
          <w:szCs w:val="24"/>
        </w:rPr>
        <w:footnoteReference w:id="173"/>
      </w:r>
      <w:r w:rsidRPr="00DB1922">
        <w:rPr>
          <w:rFonts w:cs="Calibri"/>
          <w:sz w:val="24"/>
          <w:szCs w:val="24"/>
        </w:rPr>
        <w:t xml:space="preserve"> </w:t>
      </w:r>
      <w:r w:rsidR="00DB1922">
        <w:rPr>
          <w:rFonts w:cs="Calibri"/>
          <w:sz w:val="24"/>
          <w:szCs w:val="24"/>
        </w:rPr>
        <w:t>McClenon</w:t>
      </w:r>
      <w:r>
        <w:rPr>
          <w:rFonts w:cs="Calibri"/>
          <w:sz w:val="24"/>
          <w:szCs w:val="24"/>
        </w:rPr>
        <w:t xml:space="preserve"> argues that “anomalous and paranormal perceptions generate belief in souls, spirits, life after death”.</w:t>
      </w:r>
      <w:r>
        <w:rPr>
          <w:rStyle w:val="FootnoteReference"/>
          <w:rFonts w:cs="Calibri"/>
          <w:sz w:val="24"/>
          <w:szCs w:val="24"/>
        </w:rPr>
        <w:footnoteReference w:id="174"/>
      </w:r>
      <w:r>
        <w:rPr>
          <w:rFonts w:cs="Calibri"/>
          <w:sz w:val="24"/>
          <w:szCs w:val="24"/>
        </w:rPr>
        <w:t xml:space="preserve"> </w:t>
      </w:r>
      <w:r w:rsidR="00566453">
        <w:rPr>
          <w:rFonts w:cs="Calibri"/>
          <w:sz w:val="24"/>
          <w:szCs w:val="24"/>
        </w:rPr>
        <w:t xml:space="preserve">Chinese </w:t>
      </w:r>
      <w:r w:rsidR="00566453">
        <w:rPr>
          <w:rFonts w:cs="Calibri"/>
          <w:sz w:val="24"/>
          <w:szCs w:val="24"/>
        </w:rPr>
        <w:t>‘ancestor worship’</w:t>
      </w:r>
      <w:r w:rsidR="00566453">
        <w:rPr>
          <w:rFonts w:cs="Calibri"/>
          <w:sz w:val="24"/>
          <w:szCs w:val="24"/>
        </w:rPr>
        <w:t xml:space="preserve"> should not therefore be considered only a matter of ‘piety’: rather, </w:t>
      </w:r>
      <w:r w:rsidR="00E43E0F">
        <w:rPr>
          <w:rFonts w:cs="Calibri"/>
          <w:sz w:val="24"/>
          <w:szCs w:val="24"/>
        </w:rPr>
        <w:t xml:space="preserve">it is </w:t>
      </w:r>
      <w:r w:rsidR="00566453">
        <w:rPr>
          <w:rFonts w:cs="Calibri"/>
          <w:sz w:val="24"/>
          <w:szCs w:val="24"/>
        </w:rPr>
        <w:t>o</w:t>
      </w:r>
      <w:r>
        <w:rPr>
          <w:rFonts w:cs="Calibri"/>
          <w:sz w:val="24"/>
          <w:szCs w:val="24"/>
        </w:rPr>
        <w:t xml:space="preserve">therworld travel experiences </w:t>
      </w:r>
      <w:r w:rsidR="00E43E0F">
        <w:rPr>
          <w:rFonts w:cs="Calibri"/>
          <w:sz w:val="24"/>
          <w:szCs w:val="24"/>
        </w:rPr>
        <w:t xml:space="preserve">that are </w:t>
      </w:r>
      <w:r>
        <w:rPr>
          <w:rFonts w:cs="Calibri"/>
          <w:sz w:val="24"/>
          <w:szCs w:val="24"/>
        </w:rPr>
        <w:t>the primary basis of Chinese religion, from earliest times to the present.</w:t>
      </w:r>
      <w:r>
        <w:rPr>
          <w:rStyle w:val="FootnoteReference"/>
          <w:rFonts w:cs="Calibri"/>
          <w:sz w:val="24"/>
          <w:szCs w:val="24"/>
        </w:rPr>
        <w:footnoteReference w:id="175"/>
      </w:r>
      <w:r>
        <w:rPr>
          <w:rFonts w:cs="Calibri"/>
          <w:sz w:val="24"/>
          <w:szCs w:val="24"/>
        </w:rPr>
        <w:t xml:space="preserve"> The continuing popularity of </w:t>
      </w:r>
      <w:r w:rsidRPr="001743CF">
        <w:rPr>
          <w:rFonts w:cs="Calibri"/>
          <w:sz w:val="24"/>
          <w:szCs w:val="24"/>
        </w:rPr>
        <w:t xml:space="preserve">the ‘Hungry Ghost </w:t>
      </w:r>
      <w:r w:rsidRPr="001743CF">
        <w:rPr>
          <w:rFonts w:cs="Calibri"/>
          <w:sz w:val="24"/>
          <w:szCs w:val="24"/>
        </w:rPr>
        <w:lastRenderedPageBreak/>
        <w:t>Festival’, inclusive both of Buddhism and Daoism, demonstrates how otherworlds remain present in modern Chinese spirituality.</w:t>
      </w:r>
      <w:r w:rsidR="00566453">
        <w:rPr>
          <w:rStyle w:val="FootnoteReference"/>
          <w:rFonts w:cs="Calibri"/>
          <w:sz w:val="24"/>
          <w:szCs w:val="24"/>
        </w:rPr>
        <w:footnoteReference w:id="176"/>
      </w:r>
      <w:r w:rsidRPr="001743CF">
        <w:rPr>
          <w:rFonts w:cs="Calibri"/>
          <w:sz w:val="24"/>
          <w:szCs w:val="24"/>
        </w:rPr>
        <w:t xml:space="preserve"> </w:t>
      </w:r>
    </w:p>
    <w:p w14:paraId="717974E7" w14:textId="56A2768F" w:rsidR="001743CF" w:rsidRDefault="001743CF">
      <w:pPr>
        <w:suppressAutoHyphens w:val="0"/>
        <w:rPr>
          <w:rFonts w:cs="Calibri"/>
          <w:sz w:val="24"/>
          <w:szCs w:val="24"/>
        </w:rPr>
      </w:pPr>
    </w:p>
    <w:p w14:paraId="11002397" w14:textId="77777777" w:rsidR="00566453" w:rsidRDefault="00566453">
      <w:pPr>
        <w:suppressAutoHyphens w:val="0"/>
        <w:rPr>
          <w:rFonts w:cs="Calibri"/>
          <w:sz w:val="24"/>
          <w:szCs w:val="24"/>
        </w:rPr>
      </w:pPr>
    </w:p>
    <w:p w14:paraId="2A446B27" w14:textId="77777777" w:rsidR="00566453" w:rsidRDefault="00566453">
      <w:pPr>
        <w:suppressAutoHyphens w:val="0"/>
        <w:rPr>
          <w:rFonts w:cs="Calibri"/>
          <w:sz w:val="24"/>
          <w:szCs w:val="24"/>
        </w:rPr>
      </w:pPr>
    </w:p>
    <w:p w14:paraId="0EF0B66A" w14:textId="0BEA8A99" w:rsidR="00267718" w:rsidRDefault="001743CF" w:rsidP="008051EA">
      <w:pPr>
        <w:rPr>
          <w:rFonts w:cs="Calibri"/>
          <w:sz w:val="24"/>
          <w:szCs w:val="24"/>
          <w:u w:val="single"/>
        </w:rPr>
      </w:pPr>
      <w:r w:rsidRPr="0037123E">
        <w:rPr>
          <w:rFonts w:cs="Calibri"/>
          <w:sz w:val="24"/>
          <w:szCs w:val="24"/>
          <w:u w:val="single"/>
        </w:rPr>
        <w:t>Works Cited</w:t>
      </w:r>
    </w:p>
    <w:p w14:paraId="37B96752" w14:textId="77777777" w:rsidR="0002529F" w:rsidRPr="0002529F" w:rsidRDefault="0002529F" w:rsidP="0002529F">
      <w:pPr>
        <w:spacing w:after="120" w:line="240" w:lineRule="auto"/>
        <w:rPr>
          <w:rFonts w:cs="Calibri"/>
          <w:sz w:val="24"/>
          <w:szCs w:val="24"/>
        </w:rPr>
      </w:pPr>
      <w:r w:rsidRPr="0002529F">
        <w:rPr>
          <w:rFonts w:cs="Calibri"/>
          <w:sz w:val="24"/>
          <w:szCs w:val="24"/>
        </w:rPr>
        <w:t>BECKER, C.B., 1981. The Centrality of Near-Death Experiences in Chinese Pure Land Buddhism. </w:t>
      </w:r>
      <w:proofErr w:type="spellStart"/>
      <w:r w:rsidRPr="0002529F">
        <w:rPr>
          <w:rFonts w:cs="Calibri"/>
          <w:i/>
          <w:iCs/>
          <w:sz w:val="24"/>
          <w:szCs w:val="24"/>
        </w:rPr>
        <w:t>Anabiosis</w:t>
      </w:r>
      <w:proofErr w:type="spellEnd"/>
      <w:r w:rsidRPr="0002529F">
        <w:rPr>
          <w:rFonts w:cs="Calibri"/>
          <w:i/>
          <w:iCs/>
          <w:sz w:val="24"/>
          <w:szCs w:val="24"/>
        </w:rPr>
        <w:t xml:space="preserve"> - The Journal of Near Death Studies, </w:t>
      </w:r>
      <w:r w:rsidRPr="0002529F">
        <w:rPr>
          <w:rFonts w:cs="Calibri"/>
          <w:sz w:val="24"/>
          <w:szCs w:val="24"/>
        </w:rPr>
        <w:t>.</w:t>
      </w:r>
    </w:p>
    <w:p w14:paraId="5EBD8BA1" w14:textId="77777777" w:rsidR="0002529F" w:rsidRPr="0002529F" w:rsidRDefault="0002529F" w:rsidP="0002529F">
      <w:pPr>
        <w:spacing w:after="120" w:line="240" w:lineRule="auto"/>
        <w:rPr>
          <w:rFonts w:cs="Calibri"/>
          <w:sz w:val="24"/>
          <w:szCs w:val="24"/>
        </w:rPr>
      </w:pPr>
      <w:r w:rsidRPr="0002529F">
        <w:rPr>
          <w:rFonts w:cs="Calibri"/>
          <w:sz w:val="24"/>
          <w:szCs w:val="24"/>
        </w:rPr>
        <w:t>BIRRELL, A., 1999. </w:t>
      </w:r>
      <w:r w:rsidRPr="0002529F">
        <w:rPr>
          <w:rFonts w:cs="Calibri"/>
          <w:i/>
          <w:iCs/>
          <w:sz w:val="24"/>
          <w:szCs w:val="24"/>
        </w:rPr>
        <w:t>Chinese mythology : an introduction. </w:t>
      </w:r>
      <w:r w:rsidRPr="0002529F">
        <w:rPr>
          <w:rFonts w:cs="Calibri"/>
          <w:sz w:val="24"/>
          <w:szCs w:val="24"/>
        </w:rPr>
        <w:t>Baltimore ;: Johns Hopkins University Press.</w:t>
      </w:r>
    </w:p>
    <w:p w14:paraId="28A28D56" w14:textId="77777777" w:rsidR="0002529F" w:rsidRPr="0002529F" w:rsidRDefault="0002529F" w:rsidP="0002529F">
      <w:pPr>
        <w:spacing w:after="120" w:line="240" w:lineRule="auto"/>
        <w:rPr>
          <w:rFonts w:cs="Calibri"/>
          <w:sz w:val="24"/>
          <w:szCs w:val="24"/>
        </w:rPr>
      </w:pPr>
      <w:r w:rsidRPr="0002529F">
        <w:rPr>
          <w:rFonts w:cs="Calibri"/>
          <w:sz w:val="24"/>
          <w:szCs w:val="24"/>
        </w:rPr>
        <w:t>BOILEAU, G., 2002. Wu and shaman. </w:t>
      </w:r>
      <w:r w:rsidRPr="0002529F">
        <w:rPr>
          <w:rFonts w:cs="Calibri"/>
          <w:i/>
          <w:iCs/>
          <w:sz w:val="24"/>
          <w:szCs w:val="24"/>
        </w:rPr>
        <w:t>Bulletin of the School of Oriental and African Studies, </w:t>
      </w:r>
      <w:r w:rsidRPr="0002529F">
        <w:rPr>
          <w:rFonts w:cs="Calibri"/>
          <w:sz w:val="24"/>
          <w:szCs w:val="24"/>
        </w:rPr>
        <w:t>65(2), pp. 350–378.</w:t>
      </w:r>
    </w:p>
    <w:p w14:paraId="7F14DAA7" w14:textId="77777777" w:rsidR="0002529F" w:rsidRPr="0002529F" w:rsidRDefault="0002529F" w:rsidP="0002529F">
      <w:pPr>
        <w:spacing w:after="120" w:line="240" w:lineRule="auto"/>
        <w:rPr>
          <w:rFonts w:cs="Calibri"/>
          <w:sz w:val="24"/>
          <w:szCs w:val="24"/>
        </w:rPr>
      </w:pPr>
      <w:r w:rsidRPr="0002529F">
        <w:rPr>
          <w:rFonts w:cs="Calibri"/>
          <w:sz w:val="24"/>
          <w:szCs w:val="24"/>
        </w:rPr>
        <w:t>CAHILL, S.E., 1992. Sublimation in Medieval China: The Case of the Mysterious Woman of the Nine Heavens. </w:t>
      </w:r>
      <w:r w:rsidRPr="0002529F">
        <w:rPr>
          <w:rFonts w:cs="Calibri"/>
          <w:i/>
          <w:iCs/>
          <w:sz w:val="24"/>
          <w:szCs w:val="24"/>
        </w:rPr>
        <w:t>Journal of Chinese religions, </w:t>
      </w:r>
      <w:r w:rsidRPr="0002529F">
        <w:rPr>
          <w:rFonts w:cs="Calibri"/>
          <w:sz w:val="24"/>
          <w:szCs w:val="24"/>
        </w:rPr>
        <w:t>20(1), pp. 91–102.</w:t>
      </w:r>
    </w:p>
    <w:p w14:paraId="5E1544A2" w14:textId="77777777" w:rsidR="0002529F" w:rsidRPr="0002529F" w:rsidRDefault="0002529F" w:rsidP="0002529F">
      <w:pPr>
        <w:spacing w:after="120" w:line="240" w:lineRule="auto"/>
        <w:rPr>
          <w:rFonts w:cs="Calibri"/>
          <w:sz w:val="24"/>
          <w:szCs w:val="24"/>
        </w:rPr>
      </w:pPr>
      <w:r w:rsidRPr="0002529F">
        <w:rPr>
          <w:rFonts w:cs="Calibri"/>
          <w:sz w:val="24"/>
          <w:szCs w:val="24"/>
        </w:rPr>
        <w:t>CAMPANY, R.F., 2015. </w:t>
      </w:r>
      <w:r w:rsidRPr="0002529F">
        <w:rPr>
          <w:rFonts w:cs="Calibri"/>
          <w:i/>
          <w:iCs/>
          <w:sz w:val="24"/>
          <w:szCs w:val="24"/>
        </w:rPr>
        <w:t>A Garden of Marvels: Tales of Wonder from Early Medieval China. </w:t>
      </w:r>
      <w:r w:rsidRPr="0002529F">
        <w:rPr>
          <w:rFonts w:cs="Calibri"/>
          <w:sz w:val="24"/>
          <w:szCs w:val="24"/>
        </w:rPr>
        <w:t>Honolulu: University of Hawai'i Press.</w:t>
      </w:r>
    </w:p>
    <w:p w14:paraId="70F6E060" w14:textId="77777777" w:rsidR="0002529F" w:rsidRPr="0002529F" w:rsidRDefault="0002529F" w:rsidP="0002529F">
      <w:pPr>
        <w:spacing w:after="120" w:line="240" w:lineRule="auto"/>
        <w:rPr>
          <w:rFonts w:cs="Calibri"/>
          <w:sz w:val="24"/>
          <w:szCs w:val="24"/>
        </w:rPr>
      </w:pPr>
      <w:r w:rsidRPr="0002529F">
        <w:rPr>
          <w:rFonts w:cs="Calibri"/>
          <w:sz w:val="24"/>
          <w:szCs w:val="24"/>
        </w:rPr>
        <w:t>CAMPANY, R.F., 1996. </w:t>
      </w:r>
      <w:r w:rsidRPr="0002529F">
        <w:rPr>
          <w:rFonts w:cs="Calibri"/>
          <w:i/>
          <w:iCs/>
          <w:sz w:val="24"/>
          <w:szCs w:val="24"/>
        </w:rPr>
        <w:t>Strange writing : anomaly accounts in early medieval China. </w:t>
      </w:r>
      <w:r w:rsidRPr="0002529F">
        <w:rPr>
          <w:rFonts w:cs="Calibri"/>
          <w:sz w:val="24"/>
          <w:szCs w:val="24"/>
        </w:rPr>
        <w:t>Albany, N.Y: State University of New York Press.</w:t>
      </w:r>
    </w:p>
    <w:p w14:paraId="4A0AC7CC" w14:textId="77777777" w:rsidR="0002529F" w:rsidRPr="0002529F" w:rsidRDefault="0002529F" w:rsidP="0002529F">
      <w:pPr>
        <w:spacing w:after="120" w:line="240" w:lineRule="auto"/>
        <w:rPr>
          <w:rFonts w:cs="Calibri"/>
          <w:sz w:val="24"/>
          <w:szCs w:val="24"/>
        </w:rPr>
      </w:pPr>
      <w:r w:rsidRPr="0002529F">
        <w:rPr>
          <w:rFonts w:cs="Calibri"/>
          <w:sz w:val="24"/>
          <w:szCs w:val="24"/>
        </w:rPr>
        <w:t>CAMPANY, R.F., 1995. To hell and back: Death, Near-Death and Other Worldly Journeys in Early Medieval China. In: J.J.&amp;.F. COLLINS M, ed, </w:t>
      </w:r>
      <w:r w:rsidRPr="0002529F">
        <w:rPr>
          <w:rFonts w:cs="Calibri"/>
          <w:i/>
          <w:iCs/>
          <w:sz w:val="24"/>
          <w:szCs w:val="24"/>
        </w:rPr>
        <w:t>Death, Ecstasy, and Other Worldly Journeys. </w:t>
      </w:r>
      <w:r w:rsidRPr="0002529F">
        <w:rPr>
          <w:rFonts w:cs="Calibri"/>
          <w:sz w:val="24"/>
          <w:szCs w:val="24"/>
        </w:rPr>
        <w:t>Albany: State University of New York Press, pp. 343–360.</w:t>
      </w:r>
    </w:p>
    <w:p w14:paraId="1A9FBFF1" w14:textId="77777777" w:rsidR="0002529F" w:rsidRDefault="0002529F" w:rsidP="0002529F">
      <w:pPr>
        <w:spacing w:after="120" w:line="240" w:lineRule="auto"/>
        <w:rPr>
          <w:rFonts w:cs="Calibri"/>
          <w:sz w:val="24"/>
          <w:szCs w:val="24"/>
        </w:rPr>
      </w:pPr>
      <w:r w:rsidRPr="0002529F">
        <w:rPr>
          <w:rFonts w:cs="Calibri"/>
          <w:sz w:val="24"/>
          <w:szCs w:val="24"/>
        </w:rPr>
        <w:t>CAMPANY, R.F., 1990. Return-From-Death Narratives in Early Medieval China. </w:t>
      </w:r>
      <w:r w:rsidRPr="0002529F">
        <w:rPr>
          <w:rFonts w:cs="Calibri"/>
          <w:i/>
          <w:iCs/>
          <w:sz w:val="24"/>
          <w:szCs w:val="24"/>
        </w:rPr>
        <w:t>Journal of Chinese religions, </w:t>
      </w:r>
      <w:r w:rsidRPr="0002529F">
        <w:rPr>
          <w:rFonts w:cs="Calibri"/>
          <w:sz w:val="24"/>
          <w:szCs w:val="24"/>
        </w:rPr>
        <w:t>18(1), pp. 91–125.</w:t>
      </w:r>
    </w:p>
    <w:p w14:paraId="46F98F15" w14:textId="0868F696" w:rsidR="004F4A03" w:rsidRPr="0002529F" w:rsidRDefault="004F4A03" w:rsidP="0002529F">
      <w:pPr>
        <w:spacing w:after="120" w:line="240" w:lineRule="auto"/>
        <w:rPr>
          <w:rFonts w:cs="Calibri"/>
          <w:sz w:val="24"/>
          <w:szCs w:val="24"/>
        </w:rPr>
      </w:pPr>
      <w:r w:rsidRPr="004F4A03">
        <w:rPr>
          <w:rFonts w:cs="Calibri"/>
          <w:sz w:val="24"/>
          <w:szCs w:val="24"/>
        </w:rPr>
        <w:t>CAMPANY, R.F., CHOO, J.J.C., LU, Y. and SWARTZ, W., 2014. </w:t>
      </w:r>
      <w:r w:rsidRPr="004F4A03">
        <w:rPr>
          <w:rFonts w:cs="Calibri"/>
          <w:i/>
          <w:iCs/>
          <w:sz w:val="24"/>
          <w:szCs w:val="24"/>
        </w:rPr>
        <w:t>Early medieval China : a sourcebook. </w:t>
      </w:r>
      <w:r w:rsidRPr="004F4A03">
        <w:rPr>
          <w:rFonts w:cs="Calibri"/>
          <w:sz w:val="24"/>
          <w:szCs w:val="24"/>
        </w:rPr>
        <w:t>New York: Columbia University Press.</w:t>
      </w:r>
    </w:p>
    <w:p w14:paraId="7D934A6D" w14:textId="77777777" w:rsidR="0002529F" w:rsidRPr="0002529F" w:rsidRDefault="0002529F" w:rsidP="0002529F">
      <w:pPr>
        <w:spacing w:after="120" w:line="240" w:lineRule="auto"/>
        <w:rPr>
          <w:rFonts w:cs="Calibri"/>
          <w:sz w:val="24"/>
          <w:szCs w:val="24"/>
        </w:rPr>
      </w:pPr>
      <w:r w:rsidRPr="0002529F">
        <w:rPr>
          <w:rFonts w:cs="Calibri"/>
          <w:sz w:val="24"/>
          <w:szCs w:val="24"/>
        </w:rPr>
        <w:t>CAREY, C.D., 2000. </w:t>
      </w:r>
      <w:r w:rsidRPr="0002529F">
        <w:rPr>
          <w:rFonts w:cs="Calibri"/>
          <w:i/>
          <w:iCs/>
          <w:sz w:val="24"/>
          <w:szCs w:val="24"/>
        </w:rPr>
        <w:t>In Hell the One Without Sin Is Lord: Sino-Japanese Tales of Descent into the Underworld. </w:t>
      </w:r>
      <w:r w:rsidRPr="0002529F">
        <w:rPr>
          <w:rFonts w:cs="Calibri"/>
          <w:sz w:val="24"/>
          <w:szCs w:val="24"/>
        </w:rPr>
        <w:t>Philadelphia: Department of East Asian Languages and Civilisations, University of Pennsylvania.</w:t>
      </w:r>
    </w:p>
    <w:p w14:paraId="169B3B8D" w14:textId="77777777" w:rsidR="0002529F" w:rsidRPr="0002529F" w:rsidRDefault="0002529F" w:rsidP="0002529F">
      <w:pPr>
        <w:spacing w:after="120" w:line="240" w:lineRule="auto"/>
        <w:rPr>
          <w:rFonts w:cs="Calibri"/>
          <w:sz w:val="24"/>
          <w:szCs w:val="24"/>
        </w:rPr>
      </w:pPr>
      <w:r w:rsidRPr="0002529F">
        <w:rPr>
          <w:rFonts w:cs="Calibri"/>
          <w:sz w:val="24"/>
          <w:szCs w:val="24"/>
        </w:rPr>
        <w:t>CHING, J., 1997. </w:t>
      </w:r>
      <w:r w:rsidRPr="0002529F">
        <w:rPr>
          <w:rFonts w:cs="Calibri"/>
          <w:i/>
          <w:iCs/>
          <w:sz w:val="24"/>
          <w:szCs w:val="24"/>
        </w:rPr>
        <w:t>Mysticism and kingship in China : the heart of Chinese wisdom. </w:t>
      </w:r>
      <w:r w:rsidRPr="0002529F">
        <w:rPr>
          <w:rFonts w:cs="Calibri"/>
          <w:sz w:val="24"/>
          <w:szCs w:val="24"/>
        </w:rPr>
        <w:t>Cambridge: Cambridge University Press.</w:t>
      </w:r>
    </w:p>
    <w:p w14:paraId="5C483EC0" w14:textId="77777777" w:rsidR="0002529F" w:rsidRPr="0002529F" w:rsidRDefault="0002529F" w:rsidP="0002529F">
      <w:pPr>
        <w:spacing w:after="120" w:line="240" w:lineRule="auto"/>
        <w:rPr>
          <w:rFonts w:cs="Calibri"/>
          <w:sz w:val="24"/>
          <w:szCs w:val="24"/>
        </w:rPr>
      </w:pPr>
      <w:r w:rsidRPr="0002529F">
        <w:rPr>
          <w:rFonts w:cs="Calibri"/>
          <w:sz w:val="24"/>
          <w:szCs w:val="24"/>
        </w:rPr>
        <w:t>CRAWFORD, R., 2011. </w:t>
      </w:r>
      <w:r w:rsidRPr="0002529F">
        <w:rPr>
          <w:rFonts w:cs="Calibri"/>
          <w:i/>
          <w:iCs/>
          <w:sz w:val="24"/>
          <w:szCs w:val="24"/>
        </w:rPr>
        <w:t>The battle for the soul: a comparative analysis in an age of doubt. </w:t>
      </w:r>
      <w:r w:rsidRPr="0002529F">
        <w:rPr>
          <w:rFonts w:cs="Calibri"/>
          <w:sz w:val="24"/>
          <w:szCs w:val="24"/>
        </w:rPr>
        <w:t>Palgrave Macmillan.</w:t>
      </w:r>
    </w:p>
    <w:p w14:paraId="5A9C443C" w14:textId="77777777" w:rsidR="0002529F" w:rsidRDefault="0002529F" w:rsidP="0002529F">
      <w:pPr>
        <w:spacing w:after="120" w:line="240" w:lineRule="auto"/>
        <w:rPr>
          <w:rFonts w:cs="Calibri"/>
          <w:sz w:val="24"/>
          <w:szCs w:val="24"/>
        </w:rPr>
      </w:pPr>
      <w:r w:rsidRPr="0002529F">
        <w:rPr>
          <w:rFonts w:cs="Calibri"/>
          <w:sz w:val="24"/>
          <w:szCs w:val="24"/>
        </w:rPr>
        <w:t>DEWOSKIN, K.J.&amp;.C., J.I, 1996. </w:t>
      </w:r>
      <w:r w:rsidRPr="0002529F">
        <w:rPr>
          <w:rFonts w:cs="Calibri"/>
          <w:i/>
          <w:iCs/>
          <w:sz w:val="24"/>
          <w:szCs w:val="24"/>
        </w:rPr>
        <w:t>In Search of the Supernatural: The Written Record. </w:t>
      </w:r>
      <w:r w:rsidRPr="0002529F">
        <w:rPr>
          <w:rFonts w:cs="Calibri"/>
          <w:sz w:val="24"/>
          <w:szCs w:val="24"/>
        </w:rPr>
        <w:t>Stanford, California: Stanford University Press.</w:t>
      </w:r>
    </w:p>
    <w:p w14:paraId="238C9E03" w14:textId="4564C438" w:rsidR="00EA571D" w:rsidRPr="0002529F" w:rsidRDefault="00EA571D" w:rsidP="0002529F">
      <w:pPr>
        <w:spacing w:after="120" w:line="240" w:lineRule="auto"/>
        <w:rPr>
          <w:rFonts w:cs="Calibri"/>
          <w:sz w:val="24"/>
          <w:szCs w:val="24"/>
        </w:rPr>
      </w:pPr>
      <w:r w:rsidRPr="00EA571D">
        <w:rPr>
          <w:rFonts w:cs="Calibri"/>
          <w:sz w:val="24"/>
          <w:szCs w:val="24"/>
        </w:rPr>
        <w:lastRenderedPageBreak/>
        <w:t>DOROFEEVA-LICHTMANN, V., 2003. Mapping a "Spiritual" Landscape: Representation of Terrestrial Space in the </w:t>
      </w:r>
      <w:r w:rsidRPr="00EA571D">
        <w:rPr>
          <w:rFonts w:cs="Calibri"/>
          <w:i/>
          <w:iCs/>
          <w:sz w:val="24"/>
          <w:szCs w:val="24"/>
        </w:rPr>
        <w:t>Shanhaijing</w:t>
      </w:r>
      <w:r w:rsidRPr="00EA571D">
        <w:rPr>
          <w:rFonts w:cs="Calibri"/>
          <w:sz w:val="24"/>
          <w:szCs w:val="24"/>
        </w:rPr>
        <w:t>. In: N.&amp;. DI COSMO and D.J. WYATT, eds, </w:t>
      </w:r>
      <w:r w:rsidRPr="00EA571D">
        <w:rPr>
          <w:rFonts w:cs="Calibri"/>
          <w:i/>
          <w:iCs/>
          <w:sz w:val="24"/>
          <w:szCs w:val="24"/>
        </w:rPr>
        <w:t>Political frontiers, ethnic boundaries, and human geographies in Chinese history. </w:t>
      </w:r>
      <w:r w:rsidRPr="00EA571D">
        <w:rPr>
          <w:rFonts w:cs="Calibri"/>
          <w:sz w:val="24"/>
          <w:szCs w:val="24"/>
        </w:rPr>
        <w:t>London: Routledge</w:t>
      </w:r>
      <w:r w:rsidR="00AD0B42">
        <w:rPr>
          <w:rFonts w:cs="Calibri"/>
          <w:sz w:val="24"/>
          <w:szCs w:val="24"/>
        </w:rPr>
        <w:t xml:space="preserve"> </w:t>
      </w:r>
      <w:r w:rsidRPr="00EA571D">
        <w:rPr>
          <w:rFonts w:cs="Calibri"/>
          <w:sz w:val="24"/>
          <w:szCs w:val="24"/>
        </w:rPr>
        <w:t>Curzon, pp. 35–79.</w:t>
      </w:r>
    </w:p>
    <w:p w14:paraId="37F28EA2" w14:textId="77777777" w:rsidR="0002529F" w:rsidRPr="0002529F" w:rsidRDefault="0002529F" w:rsidP="0002529F">
      <w:pPr>
        <w:spacing w:after="120" w:line="240" w:lineRule="auto"/>
        <w:rPr>
          <w:rFonts w:cs="Calibri"/>
          <w:sz w:val="24"/>
          <w:szCs w:val="24"/>
        </w:rPr>
      </w:pPr>
      <w:r w:rsidRPr="0002529F">
        <w:rPr>
          <w:rFonts w:cs="Calibri"/>
          <w:sz w:val="24"/>
          <w:szCs w:val="24"/>
        </w:rPr>
        <w:t>DROBIN, U., 2016a. Afterword. In: P. JACKSON, ed, </w:t>
      </w:r>
      <w:r w:rsidRPr="0002529F">
        <w:rPr>
          <w:rFonts w:cs="Calibri"/>
          <w:i/>
          <w:iCs/>
          <w:sz w:val="24"/>
          <w:szCs w:val="24"/>
        </w:rPr>
        <w:t>Horizons of Shamanism : a Triangular Approach To The History and Anthropology of Ecstatic Techniques. </w:t>
      </w:r>
      <w:r w:rsidRPr="0002529F">
        <w:rPr>
          <w:rFonts w:cs="Calibri"/>
          <w:sz w:val="24"/>
          <w:szCs w:val="24"/>
        </w:rPr>
        <w:t>Stockholm, Sweden: Stockholm University Press, pp. 79–88.</w:t>
      </w:r>
    </w:p>
    <w:p w14:paraId="6F56B8B6" w14:textId="77777777" w:rsidR="0002529F" w:rsidRPr="0002529F" w:rsidRDefault="0002529F" w:rsidP="0002529F">
      <w:pPr>
        <w:spacing w:after="120" w:line="240" w:lineRule="auto"/>
        <w:rPr>
          <w:rFonts w:cs="Calibri"/>
          <w:sz w:val="24"/>
          <w:szCs w:val="24"/>
        </w:rPr>
      </w:pPr>
      <w:r w:rsidRPr="0002529F">
        <w:rPr>
          <w:rFonts w:cs="Calibri"/>
          <w:sz w:val="24"/>
          <w:szCs w:val="24"/>
        </w:rPr>
        <w:t>DROBIN, U., 2016b. Introduction. In: P. JACKSON, ed, </w:t>
      </w:r>
      <w:r w:rsidRPr="0002529F">
        <w:rPr>
          <w:rFonts w:cs="Calibri"/>
          <w:i/>
          <w:iCs/>
          <w:sz w:val="24"/>
          <w:szCs w:val="24"/>
        </w:rPr>
        <w:t>Horizons of Shamanism : a Triangular Approach To The History and Anthropology of Ecstatic Techniques. </w:t>
      </w:r>
      <w:r w:rsidRPr="0002529F">
        <w:rPr>
          <w:rFonts w:cs="Calibri"/>
          <w:sz w:val="24"/>
          <w:szCs w:val="24"/>
        </w:rPr>
        <w:t>Stockholm, Sweden: Stockholm University Press, pp. xi–xx.</w:t>
      </w:r>
    </w:p>
    <w:p w14:paraId="2A46D5F9" w14:textId="37C5703F" w:rsidR="0002529F" w:rsidRPr="0002529F" w:rsidRDefault="0002529F" w:rsidP="0002529F">
      <w:pPr>
        <w:spacing w:after="120" w:line="240" w:lineRule="auto"/>
        <w:rPr>
          <w:rFonts w:cs="Calibri"/>
          <w:sz w:val="24"/>
          <w:szCs w:val="24"/>
        </w:rPr>
      </w:pPr>
      <w:r w:rsidRPr="0002529F">
        <w:rPr>
          <w:rFonts w:cs="Calibri"/>
          <w:sz w:val="24"/>
          <w:szCs w:val="24"/>
        </w:rPr>
        <w:t>ELIADE, M., 2004. </w:t>
      </w:r>
      <w:r w:rsidRPr="0002529F">
        <w:rPr>
          <w:rFonts w:cs="Calibri"/>
          <w:i/>
          <w:iCs/>
          <w:sz w:val="24"/>
          <w:szCs w:val="24"/>
        </w:rPr>
        <w:t>Shamanism: archaic techniques of ecstasy. </w:t>
      </w:r>
      <w:r w:rsidRPr="0002529F">
        <w:rPr>
          <w:rFonts w:cs="Calibri"/>
          <w:sz w:val="24"/>
          <w:szCs w:val="24"/>
        </w:rPr>
        <w:t>Revised edition, foreword by Wendy Doniger edn. Princeton, N.J: Princeton University Press.</w:t>
      </w:r>
    </w:p>
    <w:p w14:paraId="7A8B6A79" w14:textId="77777777" w:rsidR="0002529F" w:rsidRPr="0002529F" w:rsidRDefault="0002529F" w:rsidP="0002529F">
      <w:pPr>
        <w:spacing w:after="120" w:line="240" w:lineRule="auto"/>
        <w:rPr>
          <w:rFonts w:cs="Calibri"/>
          <w:sz w:val="24"/>
          <w:szCs w:val="24"/>
        </w:rPr>
      </w:pPr>
      <w:r w:rsidRPr="0002529F">
        <w:rPr>
          <w:rFonts w:cs="Calibri"/>
          <w:sz w:val="24"/>
          <w:szCs w:val="24"/>
        </w:rPr>
        <w:t>ERKES, E., 1939. The God of Death in Ancient China. </w:t>
      </w:r>
      <w:proofErr w:type="spellStart"/>
      <w:r w:rsidRPr="0002529F">
        <w:rPr>
          <w:rFonts w:cs="Calibri"/>
          <w:i/>
          <w:iCs/>
          <w:sz w:val="24"/>
          <w:szCs w:val="24"/>
        </w:rPr>
        <w:t>T'oung</w:t>
      </w:r>
      <w:proofErr w:type="spellEnd"/>
      <w:r w:rsidRPr="0002529F">
        <w:rPr>
          <w:rFonts w:cs="Calibri"/>
          <w:i/>
          <w:iCs/>
          <w:sz w:val="24"/>
          <w:szCs w:val="24"/>
        </w:rPr>
        <w:t xml:space="preserve"> pao, </w:t>
      </w:r>
      <w:r w:rsidRPr="0002529F">
        <w:rPr>
          <w:rFonts w:cs="Calibri"/>
          <w:sz w:val="24"/>
          <w:szCs w:val="24"/>
        </w:rPr>
        <w:t>35(1), pp. 185–210.</w:t>
      </w:r>
    </w:p>
    <w:p w14:paraId="52F5E8C3" w14:textId="649877AE" w:rsidR="006568AF" w:rsidRDefault="006568AF" w:rsidP="0002529F">
      <w:pPr>
        <w:spacing w:after="120" w:line="240" w:lineRule="auto"/>
        <w:rPr>
          <w:rFonts w:cs="Calibri"/>
          <w:sz w:val="24"/>
          <w:szCs w:val="24"/>
        </w:rPr>
      </w:pPr>
      <w:r w:rsidRPr="006568AF">
        <w:rPr>
          <w:rFonts w:cs="Calibri"/>
          <w:sz w:val="24"/>
          <w:szCs w:val="24"/>
        </w:rPr>
        <w:t>FREUD, S., 1933. </w:t>
      </w:r>
      <w:r w:rsidRPr="006568AF">
        <w:rPr>
          <w:rFonts w:cs="Calibri"/>
          <w:i/>
          <w:iCs/>
          <w:sz w:val="24"/>
          <w:szCs w:val="24"/>
        </w:rPr>
        <w:t xml:space="preserve">New introductory lectures on </w:t>
      </w:r>
      <w:r w:rsidR="00880CE5">
        <w:rPr>
          <w:rFonts w:cs="Calibri"/>
          <w:i/>
          <w:iCs/>
          <w:sz w:val="24"/>
          <w:szCs w:val="24"/>
        </w:rPr>
        <w:t>P</w:t>
      </w:r>
      <w:r w:rsidRPr="006568AF">
        <w:rPr>
          <w:rFonts w:cs="Calibri"/>
          <w:i/>
          <w:iCs/>
          <w:sz w:val="24"/>
          <w:szCs w:val="24"/>
        </w:rPr>
        <w:t>sychoanalysis. </w:t>
      </w:r>
      <w:r w:rsidRPr="006568AF">
        <w:rPr>
          <w:rFonts w:cs="Calibri"/>
          <w:sz w:val="24"/>
          <w:szCs w:val="24"/>
        </w:rPr>
        <w:t>3 edn. New York: Carlton House.</w:t>
      </w:r>
    </w:p>
    <w:p w14:paraId="5180ACED" w14:textId="53893CFF" w:rsidR="0002529F" w:rsidRPr="0002529F" w:rsidRDefault="0002529F" w:rsidP="0002529F">
      <w:pPr>
        <w:spacing w:after="120" w:line="240" w:lineRule="auto"/>
        <w:rPr>
          <w:rFonts w:cs="Calibri"/>
          <w:sz w:val="24"/>
          <w:szCs w:val="24"/>
        </w:rPr>
      </w:pPr>
      <w:r w:rsidRPr="0002529F">
        <w:rPr>
          <w:rFonts w:cs="Calibri"/>
          <w:sz w:val="24"/>
          <w:szCs w:val="24"/>
        </w:rPr>
        <w:t>GANANY, N., 2021. Journeys Through the Netherworld in Late-Ming Hagiographic Narratives. </w:t>
      </w:r>
      <w:r w:rsidRPr="0002529F">
        <w:rPr>
          <w:rFonts w:cs="Calibri"/>
          <w:i/>
          <w:iCs/>
          <w:sz w:val="24"/>
          <w:szCs w:val="24"/>
        </w:rPr>
        <w:t>Late imperial China, </w:t>
      </w:r>
      <w:r w:rsidRPr="0002529F">
        <w:rPr>
          <w:rFonts w:cs="Calibri"/>
          <w:sz w:val="24"/>
          <w:szCs w:val="24"/>
        </w:rPr>
        <w:t>42(2), pp. 137–178.</w:t>
      </w:r>
    </w:p>
    <w:p w14:paraId="5076DB6F" w14:textId="77777777" w:rsidR="0002529F" w:rsidRPr="0002529F" w:rsidRDefault="0002529F" w:rsidP="0002529F">
      <w:pPr>
        <w:spacing w:after="120" w:line="240" w:lineRule="auto"/>
        <w:rPr>
          <w:rFonts w:cs="Calibri"/>
          <w:sz w:val="24"/>
          <w:szCs w:val="24"/>
        </w:rPr>
      </w:pPr>
      <w:r w:rsidRPr="0002529F">
        <w:rPr>
          <w:rFonts w:cs="Calibri"/>
          <w:sz w:val="24"/>
          <w:szCs w:val="24"/>
        </w:rPr>
        <w:t>GOOSSAERT, V., 2022. </w:t>
      </w:r>
      <w:r w:rsidRPr="0002529F">
        <w:rPr>
          <w:rFonts w:cs="Calibri"/>
          <w:i/>
          <w:iCs/>
          <w:sz w:val="24"/>
          <w:szCs w:val="24"/>
        </w:rPr>
        <w:t>Making the Gods Speak: The Ritual Production of Revelation in Chinese Religious History. </w:t>
      </w:r>
      <w:r w:rsidRPr="0002529F">
        <w:rPr>
          <w:rFonts w:cs="Calibri"/>
          <w:sz w:val="24"/>
          <w:szCs w:val="24"/>
        </w:rPr>
        <w:t>Cambridge, Massachusetts: Harvard University Asia Center.</w:t>
      </w:r>
    </w:p>
    <w:p w14:paraId="7ACD1B45" w14:textId="77777777" w:rsidR="0002529F" w:rsidRPr="0002529F" w:rsidRDefault="0002529F" w:rsidP="0002529F">
      <w:pPr>
        <w:spacing w:after="120" w:line="240" w:lineRule="auto"/>
        <w:rPr>
          <w:rFonts w:cs="Calibri"/>
          <w:sz w:val="24"/>
          <w:szCs w:val="24"/>
        </w:rPr>
      </w:pPr>
      <w:r w:rsidRPr="0002529F">
        <w:rPr>
          <w:rFonts w:cs="Calibri"/>
          <w:sz w:val="24"/>
          <w:szCs w:val="24"/>
        </w:rPr>
        <w:t>GOOSSAERT, V., 2005. The Concept of Religion in China and the West. </w:t>
      </w:r>
      <w:r w:rsidRPr="0002529F">
        <w:rPr>
          <w:rFonts w:cs="Calibri"/>
          <w:i/>
          <w:iCs/>
          <w:sz w:val="24"/>
          <w:szCs w:val="24"/>
        </w:rPr>
        <w:t>Diogenes, </w:t>
      </w:r>
      <w:r w:rsidRPr="0002529F">
        <w:rPr>
          <w:rFonts w:cs="Calibri"/>
          <w:sz w:val="24"/>
          <w:szCs w:val="24"/>
        </w:rPr>
        <w:t>(205), pp. 13–20.</w:t>
      </w:r>
    </w:p>
    <w:p w14:paraId="299C2020" w14:textId="77777777" w:rsidR="0002529F" w:rsidRPr="0002529F" w:rsidRDefault="0002529F" w:rsidP="0002529F">
      <w:pPr>
        <w:spacing w:after="120" w:line="240" w:lineRule="auto"/>
        <w:rPr>
          <w:rFonts w:cs="Calibri"/>
          <w:sz w:val="24"/>
          <w:szCs w:val="24"/>
        </w:rPr>
      </w:pPr>
      <w:r w:rsidRPr="0002529F">
        <w:rPr>
          <w:rFonts w:cs="Calibri"/>
          <w:sz w:val="24"/>
          <w:szCs w:val="24"/>
        </w:rPr>
        <w:t>HARNER, M., 2013. </w:t>
      </w:r>
      <w:r w:rsidRPr="0002529F">
        <w:rPr>
          <w:rFonts w:cs="Calibri"/>
          <w:i/>
          <w:iCs/>
          <w:sz w:val="24"/>
          <w:szCs w:val="24"/>
        </w:rPr>
        <w:t>Cave and Cosmos: Shamanic Encounters with Another Reality. </w:t>
      </w:r>
      <w:r w:rsidRPr="0002529F">
        <w:rPr>
          <w:rFonts w:cs="Calibri"/>
          <w:sz w:val="24"/>
          <w:szCs w:val="24"/>
        </w:rPr>
        <w:t>Berkeley: North Atlantic Books.</w:t>
      </w:r>
    </w:p>
    <w:p w14:paraId="6589416A" w14:textId="77777777" w:rsidR="0002529F" w:rsidRPr="0002529F" w:rsidRDefault="0002529F" w:rsidP="0002529F">
      <w:pPr>
        <w:spacing w:after="120" w:line="240" w:lineRule="auto"/>
        <w:rPr>
          <w:rFonts w:cs="Calibri"/>
          <w:sz w:val="24"/>
          <w:szCs w:val="24"/>
        </w:rPr>
      </w:pPr>
      <w:r w:rsidRPr="0002529F">
        <w:rPr>
          <w:rFonts w:cs="Calibri"/>
          <w:sz w:val="24"/>
          <w:szCs w:val="24"/>
        </w:rPr>
        <w:t>HAWKES, D., 1985. </w:t>
      </w:r>
      <w:r w:rsidRPr="0002529F">
        <w:rPr>
          <w:rFonts w:cs="Calibri"/>
          <w:i/>
          <w:iCs/>
          <w:sz w:val="24"/>
          <w:szCs w:val="24"/>
        </w:rPr>
        <w:t>The Songs of the South. </w:t>
      </w:r>
      <w:r w:rsidRPr="0002529F">
        <w:rPr>
          <w:rFonts w:cs="Calibri"/>
          <w:sz w:val="24"/>
          <w:szCs w:val="24"/>
        </w:rPr>
        <w:t>Harmondsworth: Penguin Books.</w:t>
      </w:r>
    </w:p>
    <w:p w14:paraId="5D9F7EE2" w14:textId="77777777" w:rsidR="0002529F" w:rsidRPr="0002529F" w:rsidRDefault="0002529F" w:rsidP="0002529F">
      <w:pPr>
        <w:spacing w:after="120" w:line="240" w:lineRule="auto"/>
        <w:rPr>
          <w:rFonts w:cs="Calibri"/>
          <w:sz w:val="24"/>
          <w:szCs w:val="24"/>
        </w:rPr>
      </w:pPr>
      <w:r w:rsidRPr="0002529F">
        <w:rPr>
          <w:rFonts w:cs="Calibri"/>
          <w:sz w:val="24"/>
          <w:szCs w:val="24"/>
        </w:rPr>
        <w:t>HAWKES, D., 1974. The Quest of the Goddess. In: C. BIRCH, ed, </w:t>
      </w:r>
      <w:r w:rsidRPr="0002529F">
        <w:rPr>
          <w:rFonts w:cs="Calibri"/>
          <w:i/>
          <w:iCs/>
          <w:sz w:val="24"/>
          <w:szCs w:val="24"/>
        </w:rPr>
        <w:t>Studies in Chinese Literary Genre. </w:t>
      </w:r>
      <w:r w:rsidRPr="0002529F">
        <w:rPr>
          <w:rFonts w:cs="Calibri"/>
          <w:sz w:val="24"/>
          <w:szCs w:val="24"/>
        </w:rPr>
        <w:t>University of California Press, pp. 42–68.</w:t>
      </w:r>
    </w:p>
    <w:p w14:paraId="4AD39C36" w14:textId="77777777" w:rsidR="0002529F" w:rsidRPr="0002529F" w:rsidRDefault="0002529F" w:rsidP="0002529F">
      <w:pPr>
        <w:spacing w:after="120" w:line="240" w:lineRule="auto"/>
        <w:rPr>
          <w:rFonts w:cs="Calibri"/>
          <w:sz w:val="24"/>
          <w:szCs w:val="24"/>
        </w:rPr>
      </w:pPr>
      <w:r w:rsidRPr="0002529F">
        <w:rPr>
          <w:rFonts w:cs="Calibri"/>
          <w:sz w:val="24"/>
          <w:szCs w:val="24"/>
        </w:rPr>
        <w:t xml:space="preserve">JIANG, X., 2022. </w:t>
      </w:r>
      <w:proofErr w:type="spellStart"/>
      <w:r w:rsidRPr="0002529F">
        <w:rPr>
          <w:rFonts w:cs="Calibri"/>
          <w:sz w:val="24"/>
          <w:szCs w:val="24"/>
        </w:rPr>
        <w:t>Dizang</w:t>
      </w:r>
      <w:proofErr w:type="spellEnd"/>
      <w:r w:rsidRPr="0002529F">
        <w:rPr>
          <w:rFonts w:cs="Calibri"/>
          <w:sz w:val="24"/>
          <w:szCs w:val="24"/>
        </w:rPr>
        <w:t xml:space="preserve"> and the Three Kings: Constructing Buddhist Hell by Imitating the Bureaucratic System in the Tang Dynasty. </w:t>
      </w:r>
      <w:r w:rsidRPr="0002529F">
        <w:rPr>
          <w:rFonts w:cs="Calibri"/>
          <w:i/>
          <w:iCs/>
          <w:sz w:val="24"/>
          <w:szCs w:val="24"/>
        </w:rPr>
        <w:t>Religions (Basel, Switzerland ), </w:t>
      </w:r>
      <w:r w:rsidRPr="0002529F">
        <w:rPr>
          <w:rFonts w:cs="Calibri"/>
          <w:sz w:val="24"/>
          <w:szCs w:val="24"/>
        </w:rPr>
        <w:t>13(4), pp. 317.</w:t>
      </w:r>
    </w:p>
    <w:p w14:paraId="331CA3FA" w14:textId="77777777" w:rsidR="0002529F" w:rsidRPr="0002529F" w:rsidRDefault="0002529F" w:rsidP="0002529F">
      <w:pPr>
        <w:spacing w:after="120" w:line="240" w:lineRule="auto"/>
        <w:rPr>
          <w:rFonts w:cs="Calibri"/>
          <w:sz w:val="24"/>
          <w:szCs w:val="24"/>
        </w:rPr>
      </w:pPr>
      <w:r w:rsidRPr="0002529F">
        <w:rPr>
          <w:rFonts w:cs="Calibri"/>
          <w:sz w:val="24"/>
          <w:szCs w:val="24"/>
        </w:rPr>
        <w:t>KALDERA, R., 2006. </w:t>
      </w:r>
      <w:r w:rsidRPr="0002529F">
        <w:rPr>
          <w:rFonts w:cs="Calibri"/>
          <w:i/>
          <w:iCs/>
          <w:sz w:val="24"/>
          <w:szCs w:val="24"/>
        </w:rPr>
        <w:t xml:space="preserve">The </w:t>
      </w:r>
      <w:proofErr w:type="spellStart"/>
      <w:r w:rsidRPr="0002529F">
        <w:rPr>
          <w:rFonts w:cs="Calibri"/>
          <w:i/>
          <w:iCs/>
          <w:sz w:val="24"/>
          <w:szCs w:val="24"/>
        </w:rPr>
        <w:t>Pathworker's</w:t>
      </w:r>
      <w:proofErr w:type="spellEnd"/>
      <w:r w:rsidRPr="0002529F">
        <w:rPr>
          <w:rFonts w:cs="Calibri"/>
          <w:i/>
          <w:iCs/>
          <w:sz w:val="24"/>
          <w:szCs w:val="24"/>
        </w:rPr>
        <w:t xml:space="preserve"> Guide to the Nine Worlds. </w:t>
      </w:r>
      <w:r w:rsidRPr="0002529F">
        <w:rPr>
          <w:rFonts w:cs="Calibri"/>
          <w:sz w:val="24"/>
          <w:szCs w:val="24"/>
        </w:rPr>
        <w:t>Hubbardston, Massachusetts: Asphodel Press.</w:t>
      </w:r>
    </w:p>
    <w:p w14:paraId="6CCB77EC" w14:textId="77777777" w:rsidR="0002529F" w:rsidRPr="0002529F" w:rsidRDefault="0002529F" w:rsidP="0002529F">
      <w:pPr>
        <w:spacing w:after="120" w:line="240" w:lineRule="auto"/>
        <w:rPr>
          <w:rFonts w:cs="Calibri"/>
          <w:sz w:val="24"/>
          <w:szCs w:val="24"/>
        </w:rPr>
      </w:pPr>
      <w:r w:rsidRPr="0002529F">
        <w:rPr>
          <w:rFonts w:cs="Calibri"/>
          <w:sz w:val="24"/>
          <w:szCs w:val="24"/>
        </w:rPr>
        <w:t>KAO, K.S.Y., 1985. </w:t>
      </w:r>
      <w:r w:rsidRPr="0002529F">
        <w:rPr>
          <w:rFonts w:cs="Calibri"/>
          <w:i/>
          <w:iCs/>
          <w:sz w:val="24"/>
          <w:szCs w:val="24"/>
        </w:rPr>
        <w:t>Classical Chinese Tales of the Supernatural and the Fantastic: Selections from the Third to the Tenth Century. </w:t>
      </w:r>
      <w:r w:rsidRPr="0002529F">
        <w:rPr>
          <w:rFonts w:cs="Calibri"/>
          <w:sz w:val="24"/>
          <w:szCs w:val="24"/>
        </w:rPr>
        <w:t>Indiana University Press.</w:t>
      </w:r>
    </w:p>
    <w:p w14:paraId="54C48B39" w14:textId="77777777" w:rsidR="0002529F" w:rsidRPr="0002529F" w:rsidRDefault="0002529F" w:rsidP="0002529F">
      <w:pPr>
        <w:spacing w:after="120" w:line="240" w:lineRule="auto"/>
        <w:rPr>
          <w:rFonts w:cs="Calibri"/>
          <w:sz w:val="24"/>
          <w:szCs w:val="24"/>
        </w:rPr>
      </w:pPr>
      <w:r w:rsidRPr="0002529F">
        <w:rPr>
          <w:rFonts w:cs="Calibri"/>
          <w:sz w:val="24"/>
          <w:szCs w:val="24"/>
        </w:rPr>
        <w:t xml:space="preserve">KELLEHEAR, A., 2001. </w:t>
      </w:r>
      <w:proofErr w:type="gramStart"/>
      <w:r w:rsidRPr="0002529F">
        <w:rPr>
          <w:rFonts w:cs="Calibri"/>
          <w:sz w:val="24"/>
          <w:szCs w:val="24"/>
        </w:rPr>
        <w:t>An</w:t>
      </w:r>
      <w:proofErr w:type="gramEnd"/>
      <w:r w:rsidRPr="0002529F">
        <w:rPr>
          <w:rFonts w:cs="Calibri"/>
          <w:sz w:val="24"/>
          <w:szCs w:val="24"/>
        </w:rPr>
        <w:t xml:space="preserve"> Hawaiian Near-Death Experience.</w:t>
      </w:r>
    </w:p>
    <w:p w14:paraId="131DF887" w14:textId="77777777" w:rsidR="0002529F" w:rsidRPr="0002529F" w:rsidRDefault="0002529F" w:rsidP="0002529F">
      <w:pPr>
        <w:spacing w:after="120" w:line="240" w:lineRule="auto"/>
        <w:rPr>
          <w:rFonts w:cs="Calibri"/>
          <w:sz w:val="24"/>
          <w:szCs w:val="24"/>
        </w:rPr>
      </w:pPr>
      <w:r w:rsidRPr="0002529F">
        <w:rPr>
          <w:rFonts w:cs="Calibri"/>
          <w:sz w:val="24"/>
          <w:szCs w:val="24"/>
        </w:rPr>
        <w:t>KOHN, L., 2020. </w:t>
      </w:r>
      <w:r w:rsidRPr="0002529F">
        <w:rPr>
          <w:rFonts w:cs="Calibri"/>
          <w:i/>
          <w:iCs/>
          <w:sz w:val="24"/>
          <w:szCs w:val="24"/>
        </w:rPr>
        <w:t>Early Chinese Mysticism: Philosophy and Soteriology in the Taoist Tradition. </w:t>
      </w:r>
      <w:r w:rsidRPr="0002529F">
        <w:rPr>
          <w:rFonts w:cs="Calibri"/>
          <w:sz w:val="24"/>
          <w:szCs w:val="24"/>
        </w:rPr>
        <w:t>Princeton University Press.</w:t>
      </w:r>
    </w:p>
    <w:p w14:paraId="7FD41F51" w14:textId="77777777" w:rsidR="0002529F" w:rsidRPr="0002529F" w:rsidRDefault="0002529F" w:rsidP="0002529F">
      <w:pPr>
        <w:spacing w:after="120" w:line="240" w:lineRule="auto"/>
        <w:rPr>
          <w:rFonts w:cs="Calibri"/>
          <w:sz w:val="24"/>
          <w:szCs w:val="24"/>
        </w:rPr>
      </w:pPr>
      <w:r w:rsidRPr="0002529F">
        <w:rPr>
          <w:rFonts w:cs="Calibri"/>
          <w:sz w:val="24"/>
          <w:szCs w:val="24"/>
        </w:rPr>
        <w:t>LAI, G., 2015. </w:t>
      </w:r>
      <w:r w:rsidRPr="0002529F">
        <w:rPr>
          <w:rFonts w:cs="Calibri"/>
          <w:i/>
          <w:iCs/>
          <w:sz w:val="24"/>
          <w:szCs w:val="24"/>
        </w:rPr>
        <w:t>Excavating the Afterlife: The Archaeology of Early Chinese Religion. </w:t>
      </w:r>
      <w:r w:rsidRPr="0002529F">
        <w:rPr>
          <w:rFonts w:cs="Calibri"/>
          <w:sz w:val="24"/>
          <w:szCs w:val="24"/>
        </w:rPr>
        <w:t>Seattle: University of Washington Press.</w:t>
      </w:r>
    </w:p>
    <w:p w14:paraId="07C2632F" w14:textId="77777777" w:rsidR="0002529F" w:rsidRPr="0002529F" w:rsidRDefault="0002529F" w:rsidP="0002529F">
      <w:pPr>
        <w:spacing w:after="120" w:line="240" w:lineRule="auto"/>
        <w:rPr>
          <w:rFonts w:cs="Calibri"/>
          <w:sz w:val="24"/>
          <w:szCs w:val="24"/>
        </w:rPr>
      </w:pPr>
      <w:r w:rsidRPr="0002529F">
        <w:rPr>
          <w:rFonts w:cs="Calibri"/>
          <w:sz w:val="24"/>
          <w:szCs w:val="24"/>
        </w:rPr>
        <w:t>LEWIS-WILLIAMS, J., 2004. </w:t>
      </w:r>
      <w:r w:rsidRPr="0002529F">
        <w:rPr>
          <w:rFonts w:cs="Calibri"/>
          <w:i/>
          <w:iCs/>
          <w:sz w:val="24"/>
          <w:szCs w:val="24"/>
        </w:rPr>
        <w:t>The mind in the cave : consciousness and the origins of art. </w:t>
      </w:r>
      <w:r w:rsidRPr="0002529F">
        <w:rPr>
          <w:rFonts w:cs="Calibri"/>
          <w:sz w:val="24"/>
          <w:szCs w:val="24"/>
        </w:rPr>
        <w:t>1 edn. London: Thames &amp; Hudson.</w:t>
      </w:r>
    </w:p>
    <w:p w14:paraId="4763C62F" w14:textId="77777777" w:rsidR="0002529F" w:rsidRPr="0002529F" w:rsidRDefault="0002529F" w:rsidP="0002529F">
      <w:pPr>
        <w:spacing w:after="120" w:line="240" w:lineRule="auto"/>
        <w:rPr>
          <w:rFonts w:cs="Calibri"/>
          <w:sz w:val="24"/>
          <w:szCs w:val="24"/>
        </w:rPr>
      </w:pPr>
      <w:r w:rsidRPr="0002529F">
        <w:rPr>
          <w:rFonts w:cs="Calibri"/>
          <w:sz w:val="24"/>
          <w:szCs w:val="24"/>
        </w:rPr>
        <w:lastRenderedPageBreak/>
        <w:t>MCCLENON, J., 1997. Shamanic Healing, Human Evolution, and the Origin of Religion. </w:t>
      </w:r>
      <w:r w:rsidRPr="0002529F">
        <w:rPr>
          <w:rFonts w:cs="Calibri"/>
          <w:i/>
          <w:iCs/>
          <w:sz w:val="24"/>
          <w:szCs w:val="24"/>
        </w:rPr>
        <w:t>Journal for the scientific study of religion, </w:t>
      </w:r>
      <w:r w:rsidRPr="0002529F">
        <w:rPr>
          <w:rFonts w:cs="Calibri"/>
          <w:sz w:val="24"/>
          <w:szCs w:val="24"/>
        </w:rPr>
        <w:t>36(3), pp. 345–354.</w:t>
      </w:r>
    </w:p>
    <w:p w14:paraId="59B6D72F" w14:textId="77777777" w:rsidR="0002529F" w:rsidRDefault="0002529F" w:rsidP="0002529F">
      <w:pPr>
        <w:spacing w:after="120" w:line="240" w:lineRule="auto"/>
        <w:rPr>
          <w:rFonts w:cs="Calibri"/>
          <w:sz w:val="24"/>
          <w:szCs w:val="24"/>
        </w:rPr>
      </w:pPr>
      <w:r w:rsidRPr="0002529F">
        <w:rPr>
          <w:rFonts w:cs="Calibri"/>
          <w:sz w:val="24"/>
          <w:szCs w:val="24"/>
        </w:rPr>
        <w:t>MCCLENON, J., 1991. Near-Death Folklore in Medieval China and Japan: A Comparative Analysis. </w:t>
      </w:r>
      <w:r w:rsidRPr="0002529F">
        <w:rPr>
          <w:rFonts w:cs="Calibri"/>
          <w:i/>
          <w:iCs/>
          <w:sz w:val="24"/>
          <w:szCs w:val="24"/>
        </w:rPr>
        <w:t>Asian folklore studies, </w:t>
      </w:r>
      <w:r w:rsidRPr="0002529F">
        <w:rPr>
          <w:rFonts w:cs="Calibri"/>
          <w:sz w:val="24"/>
          <w:szCs w:val="24"/>
        </w:rPr>
        <w:t>50(2), pp. 319–342.</w:t>
      </w:r>
    </w:p>
    <w:p w14:paraId="70D42890" w14:textId="41DEDC12" w:rsidR="00880CE5" w:rsidRPr="00880CE5" w:rsidRDefault="00880CE5" w:rsidP="00880CE5">
      <w:pPr>
        <w:spacing w:after="120" w:line="240" w:lineRule="auto"/>
        <w:rPr>
          <w:rFonts w:cs="Calibri"/>
          <w:sz w:val="24"/>
          <w:szCs w:val="24"/>
        </w:rPr>
      </w:pPr>
      <w:r w:rsidRPr="00880CE5">
        <w:rPr>
          <w:rFonts w:cs="Calibri"/>
          <w:sz w:val="24"/>
          <w:szCs w:val="24"/>
        </w:rPr>
        <w:t>MAIR, V.H., 1983. </w:t>
      </w:r>
      <w:r w:rsidRPr="00880CE5">
        <w:rPr>
          <w:rFonts w:cs="Calibri"/>
          <w:i/>
          <w:iCs/>
          <w:sz w:val="24"/>
          <w:szCs w:val="24"/>
        </w:rPr>
        <w:t>Tun-</w:t>
      </w:r>
      <w:proofErr w:type="spellStart"/>
      <w:r w:rsidRPr="00880CE5">
        <w:rPr>
          <w:rFonts w:cs="Calibri"/>
          <w:i/>
          <w:iCs/>
          <w:sz w:val="24"/>
          <w:szCs w:val="24"/>
        </w:rPr>
        <w:t>huang</w:t>
      </w:r>
      <w:proofErr w:type="spellEnd"/>
      <w:r w:rsidRPr="00880CE5">
        <w:rPr>
          <w:rFonts w:cs="Calibri"/>
          <w:i/>
          <w:iCs/>
          <w:sz w:val="24"/>
          <w:szCs w:val="24"/>
        </w:rPr>
        <w:t xml:space="preserve"> popular narratives</w:t>
      </w:r>
      <w:r w:rsidR="00E43E0F">
        <w:rPr>
          <w:rFonts w:cs="Calibri"/>
          <w:i/>
          <w:iCs/>
          <w:sz w:val="24"/>
          <w:szCs w:val="24"/>
        </w:rPr>
        <w:t xml:space="preserve">. </w:t>
      </w:r>
      <w:r w:rsidRPr="00880CE5">
        <w:rPr>
          <w:rFonts w:cs="Calibri"/>
          <w:sz w:val="24"/>
          <w:szCs w:val="24"/>
        </w:rPr>
        <w:t>Cambridge University Press.</w:t>
      </w:r>
    </w:p>
    <w:p w14:paraId="566A054F" w14:textId="77777777" w:rsidR="0002529F" w:rsidRPr="0002529F" w:rsidRDefault="0002529F" w:rsidP="0002529F">
      <w:pPr>
        <w:spacing w:after="120" w:line="240" w:lineRule="auto"/>
        <w:rPr>
          <w:rFonts w:cs="Calibri"/>
          <w:sz w:val="24"/>
          <w:szCs w:val="24"/>
        </w:rPr>
      </w:pPr>
      <w:r w:rsidRPr="0002529F">
        <w:rPr>
          <w:rFonts w:cs="Calibri"/>
          <w:sz w:val="24"/>
          <w:szCs w:val="24"/>
        </w:rPr>
        <w:t>POO, M., 1998. </w:t>
      </w:r>
      <w:r w:rsidRPr="0002529F">
        <w:rPr>
          <w:rFonts w:cs="Calibri"/>
          <w:i/>
          <w:iCs/>
          <w:sz w:val="24"/>
          <w:szCs w:val="24"/>
        </w:rPr>
        <w:t>In search of personal welfare : a view of ancient Chinese religion. </w:t>
      </w:r>
      <w:r w:rsidRPr="0002529F">
        <w:rPr>
          <w:rFonts w:cs="Calibri"/>
          <w:sz w:val="24"/>
          <w:szCs w:val="24"/>
        </w:rPr>
        <w:t>Albany, NY: State University of New York Press.</w:t>
      </w:r>
    </w:p>
    <w:p w14:paraId="3C5A7C5E" w14:textId="6508338F" w:rsidR="0002529F" w:rsidRPr="0002529F" w:rsidRDefault="0002529F" w:rsidP="0002529F">
      <w:pPr>
        <w:spacing w:after="120" w:line="240" w:lineRule="auto"/>
        <w:rPr>
          <w:rFonts w:cs="Calibri"/>
          <w:sz w:val="24"/>
          <w:szCs w:val="24"/>
        </w:rPr>
      </w:pPr>
      <w:r w:rsidRPr="0002529F">
        <w:rPr>
          <w:rFonts w:cs="Calibri"/>
          <w:sz w:val="24"/>
          <w:szCs w:val="24"/>
        </w:rPr>
        <w:t>PURPLE CLOUD INSTITUTE, 2019-last update, The Three Ethereal Souls &amp; the Seven Corporeal Souls. Available: https://purplecloudinstitute.com/the-three-ethereal-souls-the-seven-corporeal-souls-part-1/ [December 28th, 2024].</w:t>
      </w:r>
    </w:p>
    <w:p w14:paraId="766205BA" w14:textId="77777777" w:rsidR="0002529F" w:rsidRPr="0002529F" w:rsidRDefault="0002529F" w:rsidP="0002529F">
      <w:pPr>
        <w:spacing w:after="120" w:line="240" w:lineRule="auto"/>
        <w:rPr>
          <w:rFonts w:cs="Calibri"/>
          <w:sz w:val="24"/>
          <w:szCs w:val="24"/>
        </w:rPr>
      </w:pPr>
      <w:r w:rsidRPr="0002529F">
        <w:rPr>
          <w:rFonts w:cs="Calibri"/>
          <w:sz w:val="24"/>
          <w:szCs w:val="24"/>
        </w:rPr>
        <w:t>RICHARDSON, M., 2019. Revelations from Near-Death Experiences of Two Ancient Coma Patients. </w:t>
      </w:r>
      <w:r w:rsidRPr="0002529F">
        <w:rPr>
          <w:rFonts w:cs="Calibri"/>
          <w:i/>
          <w:iCs/>
          <w:sz w:val="24"/>
          <w:szCs w:val="24"/>
        </w:rPr>
        <w:t>Journal of Near-Death Studies, </w:t>
      </w:r>
      <w:r w:rsidRPr="0002529F">
        <w:rPr>
          <w:rFonts w:cs="Calibri"/>
          <w:sz w:val="24"/>
          <w:szCs w:val="24"/>
        </w:rPr>
        <w:t>37(1), pp. 5–26.</w:t>
      </w:r>
    </w:p>
    <w:p w14:paraId="298299C5" w14:textId="77777777" w:rsidR="0002529F" w:rsidRPr="0002529F" w:rsidRDefault="0002529F" w:rsidP="0002529F">
      <w:pPr>
        <w:spacing w:after="120" w:line="240" w:lineRule="auto"/>
        <w:rPr>
          <w:rFonts w:cs="Calibri"/>
          <w:sz w:val="24"/>
          <w:szCs w:val="24"/>
        </w:rPr>
      </w:pPr>
      <w:r w:rsidRPr="0002529F">
        <w:rPr>
          <w:rFonts w:cs="Calibri"/>
          <w:sz w:val="24"/>
          <w:szCs w:val="24"/>
        </w:rPr>
        <w:t>ROCKWELL, D., 1991. </w:t>
      </w:r>
      <w:r w:rsidRPr="0002529F">
        <w:rPr>
          <w:rFonts w:cs="Calibri"/>
          <w:i/>
          <w:iCs/>
          <w:sz w:val="24"/>
          <w:szCs w:val="24"/>
        </w:rPr>
        <w:t>Giving Voice to Bear: North American Indian Myths, Rituals and Images of the Bear. </w:t>
      </w:r>
      <w:r w:rsidRPr="0002529F">
        <w:rPr>
          <w:rFonts w:cs="Calibri"/>
          <w:sz w:val="24"/>
          <w:szCs w:val="24"/>
        </w:rPr>
        <w:t>Niwot, Colorado: Roberts Rinehart.</w:t>
      </w:r>
    </w:p>
    <w:p w14:paraId="1251F54F" w14:textId="77777777" w:rsidR="0002529F" w:rsidRPr="0002529F" w:rsidRDefault="0002529F" w:rsidP="0002529F">
      <w:pPr>
        <w:spacing w:after="120" w:line="240" w:lineRule="auto"/>
        <w:rPr>
          <w:rFonts w:cs="Calibri"/>
          <w:sz w:val="24"/>
          <w:szCs w:val="24"/>
        </w:rPr>
      </w:pPr>
      <w:r w:rsidRPr="0002529F">
        <w:rPr>
          <w:rFonts w:cs="Calibri"/>
          <w:sz w:val="24"/>
          <w:szCs w:val="24"/>
        </w:rPr>
        <w:t>SCHAFER, E.H., 1976. A Trip to the Moon. </w:t>
      </w:r>
      <w:r w:rsidRPr="0002529F">
        <w:rPr>
          <w:rFonts w:cs="Calibri"/>
          <w:i/>
          <w:iCs/>
          <w:sz w:val="24"/>
          <w:szCs w:val="24"/>
        </w:rPr>
        <w:t>Journal of the American Oriental Society, </w:t>
      </w:r>
      <w:r w:rsidRPr="0002529F">
        <w:rPr>
          <w:rFonts w:cs="Calibri"/>
          <w:sz w:val="24"/>
          <w:szCs w:val="24"/>
        </w:rPr>
        <w:t>96(1), pp. 27–37.</w:t>
      </w:r>
    </w:p>
    <w:p w14:paraId="6D3C89E6" w14:textId="77777777" w:rsidR="0002529F" w:rsidRPr="0002529F" w:rsidRDefault="0002529F" w:rsidP="0002529F">
      <w:pPr>
        <w:spacing w:after="120" w:line="240" w:lineRule="auto"/>
        <w:rPr>
          <w:rFonts w:cs="Calibri"/>
          <w:sz w:val="24"/>
          <w:szCs w:val="24"/>
        </w:rPr>
      </w:pPr>
      <w:r w:rsidRPr="0002529F">
        <w:rPr>
          <w:rFonts w:cs="Calibri"/>
          <w:sz w:val="24"/>
          <w:szCs w:val="24"/>
        </w:rPr>
        <w:t xml:space="preserve">SEDANA, I.N. and FOLEY, K., 2018. Ancestral Deliverance and Puppet Performance: </w:t>
      </w:r>
      <w:proofErr w:type="spellStart"/>
      <w:r w:rsidRPr="0002529F">
        <w:rPr>
          <w:rFonts w:cs="Calibri"/>
          <w:sz w:val="24"/>
          <w:szCs w:val="24"/>
        </w:rPr>
        <w:t>Mulian</w:t>
      </w:r>
      <w:proofErr w:type="spellEnd"/>
      <w:r w:rsidRPr="0002529F">
        <w:rPr>
          <w:rFonts w:cs="Calibri"/>
          <w:sz w:val="24"/>
          <w:szCs w:val="24"/>
        </w:rPr>
        <w:t xml:space="preserve"> Rescues his Mother and Bima Goes to Heaven. </w:t>
      </w:r>
      <w:r w:rsidRPr="0002529F">
        <w:rPr>
          <w:rFonts w:cs="Calibri"/>
          <w:i/>
          <w:iCs/>
          <w:sz w:val="24"/>
          <w:szCs w:val="24"/>
        </w:rPr>
        <w:t>Asian theatre journal, </w:t>
      </w:r>
      <w:r w:rsidRPr="0002529F">
        <w:rPr>
          <w:rFonts w:cs="Calibri"/>
          <w:sz w:val="24"/>
          <w:szCs w:val="24"/>
        </w:rPr>
        <w:t>35(1), pp. 85–98.</w:t>
      </w:r>
    </w:p>
    <w:p w14:paraId="32040424" w14:textId="77777777" w:rsidR="0002529F" w:rsidRPr="0002529F" w:rsidRDefault="0002529F" w:rsidP="0002529F">
      <w:pPr>
        <w:spacing w:after="120" w:line="240" w:lineRule="auto"/>
        <w:rPr>
          <w:rFonts w:cs="Calibri"/>
          <w:sz w:val="24"/>
          <w:szCs w:val="24"/>
        </w:rPr>
      </w:pPr>
      <w:r w:rsidRPr="0002529F">
        <w:rPr>
          <w:rFonts w:cs="Calibri"/>
          <w:sz w:val="24"/>
          <w:szCs w:val="24"/>
        </w:rPr>
        <w:t>SO, B.H., 2018. The Staff as a Symbol of Spiritual Guidance for Individuation. </w:t>
      </w:r>
      <w:r w:rsidRPr="0002529F">
        <w:rPr>
          <w:rFonts w:cs="Calibri"/>
          <w:i/>
          <w:iCs/>
          <w:sz w:val="24"/>
          <w:szCs w:val="24"/>
        </w:rPr>
        <w:t xml:space="preserve">Journal of Symbols and </w:t>
      </w:r>
      <w:proofErr w:type="spellStart"/>
      <w:r w:rsidRPr="0002529F">
        <w:rPr>
          <w:rFonts w:cs="Calibri"/>
          <w:i/>
          <w:iCs/>
          <w:sz w:val="24"/>
          <w:szCs w:val="24"/>
        </w:rPr>
        <w:t>Sandplay</w:t>
      </w:r>
      <w:proofErr w:type="spellEnd"/>
      <w:r w:rsidRPr="0002529F">
        <w:rPr>
          <w:rFonts w:cs="Calibri"/>
          <w:i/>
          <w:iCs/>
          <w:sz w:val="24"/>
          <w:szCs w:val="24"/>
        </w:rPr>
        <w:t xml:space="preserve"> Therapy, </w:t>
      </w:r>
      <w:r w:rsidRPr="0002529F">
        <w:rPr>
          <w:rFonts w:cs="Calibri"/>
          <w:sz w:val="24"/>
          <w:szCs w:val="24"/>
        </w:rPr>
        <w:t>9(2), pp. 49–68.</w:t>
      </w:r>
    </w:p>
    <w:p w14:paraId="5F1FA7E7" w14:textId="77777777" w:rsidR="0002529F" w:rsidRDefault="0002529F" w:rsidP="0002529F">
      <w:pPr>
        <w:spacing w:after="120" w:line="240" w:lineRule="auto"/>
        <w:rPr>
          <w:rFonts w:cs="Calibri"/>
          <w:sz w:val="24"/>
          <w:szCs w:val="24"/>
        </w:rPr>
      </w:pPr>
      <w:r w:rsidRPr="0002529F">
        <w:rPr>
          <w:rFonts w:cs="Calibri"/>
          <w:sz w:val="24"/>
          <w:szCs w:val="24"/>
        </w:rPr>
        <w:t>STRASSBERG, R.E., 2002. </w:t>
      </w:r>
      <w:r w:rsidRPr="0002529F">
        <w:rPr>
          <w:rFonts w:cs="Calibri"/>
          <w:i/>
          <w:iCs/>
          <w:sz w:val="24"/>
          <w:szCs w:val="24"/>
        </w:rPr>
        <w:t>A Chinese Bestiary: Strange Creatures from the Guideways Through Mountains and Seas. </w:t>
      </w:r>
      <w:r w:rsidRPr="0002529F">
        <w:rPr>
          <w:rFonts w:cs="Calibri"/>
          <w:sz w:val="24"/>
          <w:szCs w:val="24"/>
        </w:rPr>
        <w:t>Berkeley: University of California Press.</w:t>
      </w:r>
    </w:p>
    <w:p w14:paraId="704C965D" w14:textId="290FFFBF" w:rsidR="00A7129E" w:rsidRDefault="00A7129E" w:rsidP="0002529F">
      <w:pPr>
        <w:spacing w:after="120" w:line="240" w:lineRule="auto"/>
        <w:rPr>
          <w:rFonts w:cs="Calibri"/>
          <w:sz w:val="24"/>
          <w:szCs w:val="24"/>
        </w:rPr>
      </w:pPr>
      <w:r w:rsidRPr="00A7129E">
        <w:rPr>
          <w:rFonts w:cs="Calibri"/>
          <w:sz w:val="24"/>
          <w:szCs w:val="24"/>
        </w:rPr>
        <w:t>TEISER, S.F., 1988. "Having Once Died and Returned to Life": Representations of Hell in Medieval China. </w:t>
      </w:r>
      <w:r w:rsidRPr="00A7129E">
        <w:rPr>
          <w:rFonts w:cs="Calibri"/>
          <w:i/>
          <w:iCs/>
          <w:sz w:val="24"/>
          <w:szCs w:val="24"/>
        </w:rPr>
        <w:t>Harvard journal of Asiatic studies, </w:t>
      </w:r>
      <w:r w:rsidRPr="00A7129E">
        <w:rPr>
          <w:rFonts w:cs="Calibri"/>
          <w:sz w:val="24"/>
          <w:szCs w:val="24"/>
        </w:rPr>
        <w:t>48(2), pp. 433–464.</w:t>
      </w:r>
    </w:p>
    <w:p w14:paraId="106E755F" w14:textId="77777777" w:rsidR="00880CE5" w:rsidRPr="00880CE5" w:rsidRDefault="00880CE5" w:rsidP="00880CE5">
      <w:pPr>
        <w:spacing w:after="120" w:line="240" w:lineRule="auto"/>
        <w:rPr>
          <w:rFonts w:cs="Calibri"/>
          <w:sz w:val="24"/>
          <w:szCs w:val="24"/>
        </w:rPr>
      </w:pPr>
      <w:r w:rsidRPr="00880CE5">
        <w:rPr>
          <w:rFonts w:cs="Calibri"/>
          <w:sz w:val="24"/>
          <w:szCs w:val="24"/>
        </w:rPr>
        <w:t>TEISER, S.F., 1996. </w:t>
      </w:r>
      <w:r w:rsidRPr="00880CE5">
        <w:rPr>
          <w:rFonts w:cs="Calibri"/>
          <w:i/>
          <w:iCs/>
          <w:sz w:val="24"/>
          <w:szCs w:val="24"/>
        </w:rPr>
        <w:t>The ghost festival in medieval China. </w:t>
      </w:r>
      <w:r w:rsidRPr="00880CE5">
        <w:rPr>
          <w:rFonts w:cs="Calibri"/>
          <w:sz w:val="24"/>
          <w:szCs w:val="24"/>
        </w:rPr>
        <w:t>Princeton, N.J: Princeton University Press.</w:t>
      </w:r>
    </w:p>
    <w:p w14:paraId="5C79260D" w14:textId="77777777" w:rsidR="0002529F" w:rsidRPr="0002529F" w:rsidRDefault="0002529F" w:rsidP="0002529F">
      <w:pPr>
        <w:spacing w:after="120" w:line="240" w:lineRule="auto"/>
        <w:rPr>
          <w:rFonts w:cs="Calibri"/>
          <w:sz w:val="24"/>
          <w:szCs w:val="24"/>
        </w:rPr>
      </w:pPr>
      <w:r w:rsidRPr="0002529F">
        <w:rPr>
          <w:rFonts w:cs="Calibri"/>
          <w:sz w:val="24"/>
          <w:szCs w:val="24"/>
        </w:rPr>
        <w:t>TER HAAR, B.J., 2018. Shaman, Mediums, and Chinese Buddhism: A Brief Reconnaissance. </w:t>
      </w:r>
      <w:proofErr w:type="spellStart"/>
      <w:r w:rsidRPr="0002529F">
        <w:rPr>
          <w:rFonts w:cs="Calibri"/>
          <w:i/>
          <w:iCs/>
          <w:sz w:val="24"/>
          <w:szCs w:val="24"/>
        </w:rPr>
        <w:t>Hualin</w:t>
      </w:r>
      <w:proofErr w:type="spellEnd"/>
      <w:r w:rsidRPr="0002529F">
        <w:rPr>
          <w:rFonts w:cs="Calibri"/>
          <w:i/>
          <w:iCs/>
          <w:sz w:val="24"/>
          <w:szCs w:val="24"/>
        </w:rPr>
        <w:t xml:space="preserve"> International Journal of Buddhist Studies, </w:t>
      </w:r>
      <w:r w:rsidRPr="0002529F">
        <w:rPr>
          <w:rFonts w:cs="Calibri"/>
          <w:sz w:val="24"/>
          <w:szCs w:val="24"/>
        </w:rPr>
        <w:t>1(2), pp. 202–230.</w:t>
      </w:r>
    </w:p>
    <w:p w14:paraId="2EB5B876" w14:textId="77777777" w:rsidR="0002529F" w:rsidRPr="0002529F" w:rsidRDefault="0002529F" w:rsidP="0002529F">
      <w:pPr>
        <w:spacing w:after="120" w:line="240" w:lineRule="auto"/>
        <w:rPr>
          <w:rFonts w:cs="Calibri"/>
          <w:sz w:val="24"/>
          <w:szCs w:val="24"/>
        </w:rPr>
      </w:pPr>
      <w:r w:rsidRPr="0002529F">
        <w:rPr>
          <w:rFonts w:cs="Calibri"/>
          <w:sz w:val="24"/>
          <w:szCs w:val="24"/>
        </w:rPr>
        <w:t>THOMPSON, L.G., 1989. On the Prehistory of Hell in China. </w:t>
      </w:r>
      <w:r w:rsidRPr="0002529F">
        <w:rPr>
          <w:rFonts w:cs="Calibri"/>
          <w:i/>
          <w:iCs/>
          <w:sz w:val="24"/>
          <w:szCs w:val="24"/>
        </w:rPr>
        <w:t>Journal of Chinese religions, </w:t>
      </w:r>
      <w:r w:rsidRPr="0002529F">
        <w:rPr>
          <w:rFonts w:cs="Calibri"/>
          <w:sz w:val="24"/>
          <w:szCs w:val="24"/>
        </w:rPr>
        <w:t>17(1), pp. 27–41.</w:t>
      </w:r>
    </w:p>
    <w:p w14:paraId="0C724463" w14:textId="6320146D" w:rsidR="0002529F" w:rsidRPr="0002529F" w:rsidRDefault="0002529F" w:rsidP="0002529F">
      <w:pPr>
        <w:spacing w:after="120" w:line="240" w:lineRule="auto"/>
        <w:rPr>
          <w:rFonts w:cs="Calibri"/>
          <w:sz w:val="24"/>
          <w:szCs w:val="24"/>
        </w:rPr>
      </w:pPr>
      <w:r w:rsidRPr="0002529F">
        <w:rPr>
          <w:rFonts w:cs="Calibri"/>
          <w:sz w:val="24"/>
          <w:szCs w:val="24"/>
        </w:rPr>
        <w:t>TRAINER, C., 2007-last update, Treason To Truth: The Myths Of Plato. Available: https://philosophynow.org/issues/62/Treason_To_Truth_The_Myths_Of_Plato [December 7th, 2024].</w:t>
      </w:r>
    </w:p>
    <w:p w14:paraId="16B64250" w14:textId="77777777" w:rsidR="0002529F" w:rsidRPr="0002529F" w:rsidRDefault="0002529F" w:rsidP="0002529F">
      <w:pPr>
        <w:spacing w:after="120" w:line="240" w:lineRule="auto"/>
        <w:rPr>
          <w:rFonts w:cs="Calibri"/>
          <w:sz w:val="24"/>
          <w:szCs w:val="24"/>
        </w:rPr>
      </w:pPr>
      <w:r w:rsidRPr="0002529F">
        <w:rPr>
          <w:rFonts w:cs="Calibri"/>
          <w:sz w:val="24"/>
          <w:szCs w:val="24"/>
        </w:rPr>
        <w:t>WALEY, A., 1973. </w:t>
      </w:r>
      <w:r w:rsidRPr="0002529F">
        <w:rPr>
          <w:rFonts w:cs="Calibri"/>
          <w:i/>
          <w:iCs/>
          <w:sz w:val="24"/>
          <w:szCs w:val="24"/>
        </w:rPr>
        <w:t>The Nine Songs: A Study Of Shamanism In Ancient China. </w:t>
      </w:r>
      <w:r w:rsidRPr="0002529F">
        <w:rPr>
          <w:rFonts w:cs="Calibri"/>
          <w:sz w:val="24"/>
          <w:szCs w:val="24"/>
        </w:rPr>
        <w:t>San Francisco: City Lights Books.</w:t>
      </w:r>
    </w:p>
    <w:p w14:paraId="691AC150" w14:textId="77777777" w:rsidR="0002529F" w:rsidRDefault="0002529F" w:rsidP="0002529F">
      <w:pPr>
        <w:spacing w:after="120" w:line="240" w:lineRule="auto"/>
        <w:rPr>
          <w:rFonts w:cs="Calibri"/>
          <w:sz w:val="24"/>
          <w:szCs w:val="24"/>
        </w:rPr>
      </w:pPr>
      <w:r w:rsidRPr="0002529F">
        <w:rPr>
          <w:rFonts w:cs="Calibri"/>
          <w:sz w:val="24"/>
          <w:szCs w:val="24"/>
        </w:rPr>
        <w:t>WATSON, B., 2013. </w:t>
      </w:r>
      <w:r w:rsidRPr="0002529F">
        <w:rPr>
          <w:rFonts w:cs="Calibri"/>
          <w:i/>
          <w:iCs/>
          <w:sz w:val="24"/>
          <w:szCs w:val="24"/>
        </w:rPr>
        <w:t>The Complete Works of Zhuangzi. </w:t>
      </w:r>
      <w:r w:rsidRPr="0002529F">
        <w:rPr>
          <w:rFonts w:cs="Calibri"/>
          <w:sz w:val="24"/>
          <w:szCs w:val="24"/>
        </w:rPr>
        <w:t>New York: Columbia University Press.</w:t>
      </w:r>
    </w:p>
    <w:p w14:paraId="1109D0AB" w14:textId="77777777" w:rsidR="008723A3" w:rsidRPr="00EA1654" w:rsidRDefault="008723A3" w:rsidP="008723A3">
      <w:pPr>
        <w:spacing w:after="120" w:line="240" w:lineRule="auto"/>
        <w:rPr>
          <w:rFonts w:cs="Calibri"/>
          <w:sz w:val="24"/>
          <w:szCs w:val="24"/>
        </w:rPr>
      </w:pPr>
      <w:r w:rsidRPr="00EA1654">
        <w:rPr>
          <w:rFonts w:cs="Calibri"/>
          <w:sz w:val="24"/>
          <w:szCs w:val="24"/>
        </w:rPr>
        <w:t>YÜ, Y</w:t>
      </w:r>
      <w:r>
        <w:rPr>
          <w:rFonts w:cs="Calibri"/>
          <w:sz w:val="24"/>
          <w:szCs w:val="24"/>
        </w:rPr>
        <w:t>ing-shih</w:t>
      </w:r>
      <w:r w:rsidRPr="00EA1654">
        <w:rPr>
          <w:rFonts w:cs="Calibri"/>
          <w:sz w:val="24"/>
          <w:szCs w:val="24"/>
        </w:rPr>
        <w:t>, 1981. New Evidence on the Early Chinese Conception of Afterlife—A Review Article. </w:t>
      </w:r>
      <w:r w:rsidRPr="00EA1654">
        <w:rPr>
          <w:rFonts w:cs="Calibri"/>
          <w:i/>
          <w:iCs/>
          <w:sz w:val="24"/>
          <w:szCs w:val="24"/>
        </w:rPr>
        <w:t>The Journal of Asian Studies, </w:t>
      </w:r>
      <w:r w:rsidRPr="00EA1654">
        <w:rPr>
          <w:rFonts w:cs="Calibri"/>
          <w:sz w:val="24"/>
          <w:szCs w:val="24"/>
        </w:rPr>
        <w:t>41(1), pp. 81–85.</w:t>
      </w:r>
    </w:p>
    <w:p w14:paraId="6839A617" w14:textId="0D2530FC" w:rsidR="00EA1654" w:rsidRPr="00EA1654" w:rsidRDefault="00EA1654" w:rsidP="00EA1654">
      <w:pPr>
        <w:spacing w:after="120" w:line="240" w:lineRule="auto"/>
        <w:rPr>
          <w:rFonts w:cs="Calibri"/>
          <w:sz w:val="24"/>
          <w:szCs w:val="24"/>
        </w:rPr>
      </w:pPr>
      <w:r w:rsidRPr="00EA1654">
        <w:rPr>
          <w:rFonts w:cs="Calibri"/>
          <w:sz w:val="24"/>
          <w:szCs w:val="24"/>
        </w:rPr>
        <w:lastRenderedPageBreak/>
        <w:t>YÜ, Y</w:t>
      </w:r>
      <w:r w:rsidR="008723A3">
        <w:rPr>
          <w:rFonts w:cs="Calibri"/>
          <w:sz w:val="24"/>
          <w:szCs w:val="24"/>
        </w:rPr>
        <w:t>ing-shih</w:t>
      </w:r>
      <w:r w:rsidRPr="00EA1654">
        <w:rPr>
          <w:rFonts w:cs="Calibri"/>
          <w:sz w:val="24"/>
          <w:szCs w:val="24"/>
        </w:rPr>
        <w:t>, 1987. "O Soul, Come Back!" A Study in The Changing Conceptions of The Soul and Afterlife in Pre-Buddhist China. </w:t>
      </w:r>
      <w:r w:rsidRPr="00EA1654">
        <w:rPr>
          <w:rFonts w:cs="Calibri"/>
          <w:i/>
          <w:iCs/>
          <w:sz w:val="24"/>
          <w:szCs w:val="24"/>
        </w:rPr>
        <w:t>Harvard Journal of Asiatic studies, </w:t>
      </w:r>
      <w:r w:rsidRPr="00EA1654">
        <w:rPr>
          <w:rFonts w:cs="Calibri"/>
          <w:sz w:val="24"/>
          <w:szCs w:val="24"/>
        </w:rPr>
        <w:t>47(2), pp. 363–395.</w:t>
      </w:r>
    </w:p>
    <w:p w14:paraId="42771A7D" w14:textId="77777777" w:rsidR="0002529F" w:rsidRPr="0002529F" w:rsidRDefault="0002529F" w:rsidP="0002529F">
      <w:pPr>
        <w:spacing w:after="120" w:line="240" w:lineRule="auto"/>
        <w:rPr>
          <w:rFonts w:cs="Calibri"/>
          <w:sz w:val="24"/>
          <w:szCs w:val="24"/>
        </w:rPr>
      </w:pPr>
      <w:r w:rsidRPr="0002529F">
        <w:rPr>
          <w:rFonts w:cs="Calibri"/>
          <w:sz w:val="24"/>
          <w:szCs w:val="24"/>
        </w:rPr>
        <w:t>ZALESKI, C., 1995. Death, and near-Death, today. In: J.J.&amp;.F. COLLINS Michael, ed, Albany: State University of New York Press, pp. 379–404.</w:t>
      </w:r>
    </w:p>
    <w:p w14:paraId="6E4013FC" w14:textId="77777777" w:rsidR="0002529F" w:rsidRPr="0002529F" w:rsidRDefault="0002529F" w:rsidP="0002529F">
      <w:pPr>
        <w:spacing w:after="120" w:line="240" w:lineRule="auto"/>
        <w:rPr>
          <w:rFonts w:cs="Calibri"/>
          <w:sz w:val="24"/>
          <w:szCs w:val="24"/>
        </w:rPr>
      </w:pPr>
      <w:r w:rsidRPr="0002529F">
        <w:rPr>
          <w:rFonts w:cs="Calibri"/>
          <w:sz w:val="24"/>
          <w:szCs w:val="24"/>
        </w:rPr>
        <w:t>ZALESKI, C., 1987. </w:t>
      </w:r>
      <w:r w:rsidRPr="0002529F">
        <w:rPr>
          <w:rFonts w:cs="Calibri"/>
          <w:i/>
          <w:iCs/>
          <w:sz w:val="24"/>
          <w:szCs w:val="24"/>
        </w:rPr>
        <w:t>Otherworld Journeys: Accounts of Near-Death Experience in Medieval and Modern Times. </w:t>
      </w:r>
      <w:r w:rsidRPr="0002529F">
        <w:rPr>
          <w:rFonts w:cs="Calibri"/>
          <w:sz w:val="24"/>
          <w:szCs w:val="24"/>
        </w:rPr>
        <w:t>Oxford: Oxford University Press.</w:t>
      </w:r>
    </w:p>
    <w:p w14:paraId="2B4B9DF0" w14:textId="77777777" w:rsidR="0002529F" w:rsidRPr="0002529F" w:rsidRDefault="0002529F" w:rsidP="0002529F">
      <w:pPr>
        <w:spacing w:after="120" w:line="240" w:lineRule="auto"/>
        <w:rPr>
          <w:rFonts w:cs="Calibri"/>
          <w:sz w:val="24"/>
          <w:szCs w:val="24"/>
        </w:rPr>
      </w:pPr>
      <w:r w:rsidRPr="0002529F">
        <w:rPr>
          <w:rFonts w:cs="Calibri"/>
          <w:sz w:val="24"/>
          <w:szCs w:val="24"/>
        </w:rPr>
        <w:t>ZHANG, Z., 2014. </w:t>
      </w:r>
      <w:r w:rsidRPr="0002529F">
        <w:rPr>
          <w:rFonts w:cs="Calibri"/>
          <w:i/>
          <w:iCs/>
          <w:sz w:val="24"/>
          <w:szCs w:val="24"/>
        </w:rPr>
        <w:t xml:space="preserve">Buddhism and tales of the supernatural in early medieval China : a study of Liu Yiqing's (403-444) </w:t>
      </w:r>
      <w:proofErr w:type="spellStart"/>
      <w:r w:rsidRPr="0002529F">
        <w:rPr>
          <w:rFonts w:cs="Calibri"/>
          <w:i/>
          <w:iCs/>
          <w:sz w:val="24"/>
          <w:szCs w:val="24"/>
        </w:rPr>
        <w:t>Youming</w:t>
      </w:r>
      <w:proofErr w:type="spellEnd"/>
      <w:r w:rsidRPr="0002529F">
        <w:rPr>
          <w:rFonts w:cs="Calibri"/>
          <w:i/>
          <w:iCs/>
          <w:sz w:val="24"/>
          <w:szCs w:val="24"/>
        </w:rPr>
        <w:t xml:space="preserve"> </w:t>
      </w:r>
      <w:proofErr w:type="spellStart"/>
      <w:r w:rsidRPr="0002529F">
        <w:rPr>
          <w:rFonts w:cs="Calibri"/>
          <w:i/>
          <w:iCs/>
          <w:sz w:val="24"/>
          <w:szCs w:val="24"/>
        </w:rPr>
        <w:t>lu</w:t>
      </w:r>
      <w:proofErr w:type="spellEnd"/>
      <w:r w:rsidRPr="0002529F">
        <w:rPr>
          <w:rFonts w:cs="Calibri"/>
          <w:i/>
          <w:iCs/>
          <w:sz w:val="24"/>
          <w:szCs w:val="24"/>
        </w:rPr>
        <w:t>. </w:t>
      </w:r>
      <w:r w:rsidRPr="0002529F">
        <w:rPr>
          <w:rFonts w:cs="Calibri"/>
          <w:sz w:val="24"/>
          <w:szCs w:val="24"/>
        </w:rPr>
        <w:t>Leiden, Netherlands: Brill.</w:t>
      </w:r>
    </w:p>
    <w:sectPr w:rsidR="0002529F" w:rsidRPr="0002529F">
      <w:footerReference w:type="default" r:id="rId1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1736F" w14:textId="77777777" w:rsidR="00155D84" w:rsidRDefault="00155D84">
      <w:pPr>
        <w:spacing w:after="0" w:line="240" w:lineRule="auto"/>
      </w:pPr>
      <w:r>
        <w:separator/>
      </w:r>
    </w:p>
  </w:endnote>
  <w:endnote w:type="continuationSeparator" w:id="0">
    <w:p w14:paraId="3CA8AF04" w14:textId="77777777" w:rsidR="00155D84" w:rsidRDefault="00155D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Aptos Display">
    <w:charset w:val="00"/>
    <w:family w:val="roman"/>
    <w:pitch w:val="default"/>
  </w:font>
  <w:font w:name="Aptos">
    <w:altName w:val="Calibri"/>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0278699"/>
      <w:docPartObj>
        <w:docPartGallery w:val="Page Numbers (Bottom of Page)"/>
        <w:docPartUnique/>
      </w:docPartObj>
    </w:sdtPr>
    <w:sdtContent>
      <w:sdt>
        <w:sdtPr>
          <w:id w:val="-1705238520"/>
          <w:docPartObj>
            <w:docPartGallery w:val="Page Numbers (Top of Page)"/>
            <w:docPartUnique/>
          </w:docPartObj>
        </w:sdtPr>
        <w:sdtContent>
          <w:p w14:paraId="6862EB94" w14:textId="4A689B13" w:rsidR="00BB1E1D" w:rsidRDefault="00BB1E1D">
            <w:pPr>
              <w:pStyle w:val="Footer"/>
            </w:pPr>
            <w:r>
              <w:t>HPAH7017 – 2024</w:t>
            </w:r>
            <w:r w:rsidR="00256E42">
              <w:t>- Essay 2</w:t>
            </w:r>
            <w:r w:rsidR="00256E42">
              <w:tab/>
              <w:t>2310535</w:t>
            </w:r>
            <w:r w:rsidR="00256E42">
              <w:tab/>
              <w:t>P</w:t>
            </w:r>
            <w:r>
              <w:t xml:space="preserve">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9675F14" w14:textId="77777777" w:rsidR="00BB1E1D" w:rsidRDefault="00BB1E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E875D8" w14:textId="77777777" w:rsidR="00155D84" w:rsidRDefault="00155D84">
      <w:pPr>
        <w:spacing w:after="0" w:line="240" w:lineRule="auto"/>
      </w:pPr>
      <w:r>
        <w:rPr>
          <w:color w:val="000000"/>
        </w:rPr>
        <w:separator/>
      </w:r>
    </w:p>
  </w:footnote>
  <w:footnote w:type="continuationSeparator" w:id="0">
    <w:p w14:paraId="215873BB" w14:textId="77777777" w:rsidR="00155D84" w:rsidRDefault="00155D84">
      <w:pPr>
        <w:spacing w:after="0" w:line="240" w:lineRule="auto"/>
      </w:pPr>
      <w:r>
        <w:continuationSeparator/>
      </w:r>
    </w:p>
  </w:footnote>
  <w:footnote w:id="1">
    <w:p w14:paraId="172F8052" w14:textId="0963A607" w:rsidR="003C300F" w:rsidRPr="0036581B" w:rsidRDefault="003C300F" w:rsidP="0036581B">
      <w:pPr>
        <w:spacing w:after="120" w:line="240" w:lineRule="auto"/>
      </w:pPr>
      <w:r w:rsidRPr="0036581B">
        <w:rPr>
          <w:rStyle w:val="FootnoteReference"/>
        </w:rPr>
        <w:footnoteRef/>
      </w:r>
      <w:r w:rsidRPr="0036581B">
        <w:t xml:space="preserve"> Where sources use Wade-Giles transliteration, attempts have been made to convert to </w:t>
      </w:r>
      <w:r w:rsidRPr="0036581B">
        <w:rPr>
          <w:rFonts w:cs="Calibri"/>
        </w:rPr>
        <w:t xml:space="preserve">pinyin. Accuracy in this cannot be guaranteed. </w:t>
      </w:r>
    </w:p>
  </w:footnote>
  <w:footnote w:id="2">
    <w:p w14:paraId="67AD7CFA" w14:textId="18A3B8DB" w:rsidR="00DE473C" w:rsidRPr="0036581B" w:rsidRDefault="00DE473C" w:rsidP="0036581B">
      <w:pPr>
        <w:pStyle w:val="FootnoteText"/>
        <w:spacing w:after="120"/>
        <w:rPr>
          <w:sz w:val="22"/>
          <w:szCs w:val="22"/>
        </w:rPr>
      </w:pPr>
      <w:r w:rsidRPr="0036581B">
        <w:rPr>
          <w:rStyle w:val="FootnoteReference"/>
          <w:sz w:val="22"/>
          <w:szCs w:val="22"/>
        </w:rPr>
        <w:footnoteRef/>
      </w:r>
      <w:r w:rsidRPr="0036581B">
        <w:rPr>
          <w:sz w:val="22"/>
          <w:szCs w:val="22"/>
        </w:rPr>
        <w:t xml:space="preserve"> Zaleski, 1987, p. 3.</w:t>
      </w:r>
    </w:p>
  </w:footnote>
  <w:footnote w:id="3">
    <w:p w14:paraId="2A67C505" w14:textId="721C2168" w:rsidR="00922743" w:rsidRPr="0036581B" w:rsidRDefault="00922743" w:rsidP="0036581B">
      <w:pPr>
        <w:pStyle w:val="FootnoteText"/>
        <w:spacing w:after="120"/>
        <w:rPr>
          <w:sz w:val="22"/>
          <w:szCs w:val="22"/>
        </w:rPr>
      </w:pPr>
      <w:r w:rsidRPr="0036581B">
        <w:rPr>
          <w:rStyle w:val="FootnoteReference"/>
          <w:sz w:val="22"/>
          <w:szCs w:val="22"/>
        </w:rPr>
        <w:footnoteRef/>
      </w:r>
      <w:r w:rsidRPr="0036581B">
        <w:rPr>
          <w:sz w:val="22"/>
          <w:szCs w:val="22"/>
        </w:rPr>
        <w:t xml:space="preserve"> </w:t>
      </w:r>
      <w:r w:rsidRPr="0036581B">
        <w:rPr>
          <w:rFonts w:cs="Calibri"/>
          <w:sz w:val="22"/>
          <w:szCs w:val="22"/>
        </w:rPr>
        <w:t>Goossaert, 2005, describes how the application in China of the paradigms of Christianity and other Abrahamic religions led to a deeply harmful conceptual dichotomy between ‘religion’ and ‘superstition’ – ‘anomalies’ and all Chinese traditional / popular spiritual / religious practice assigned to the latter</w:t>
      </w:r>
      <w:r w:rsidR="00EA571D">
        <w:rPr>
          <w:rFonts w:cs="Calibri"/>
          <w:sz w:val="22"/>
          <w:szCs w:val="22"/>
        </w:rPr>
        <w:t>.</w:t>
      </w:r>
    </w:p>
  </w:footnote>
  <w:footnote w:id="4">
    <w:p w14:paraId="7A1FB200" w14:textId="1CB5AA0C" w:rsidR="00FE3822" w:rsidRPr="0036581B" w:rsidRDefault="00FE3822" w:rsidP="0036581B">
      <w:pPr>
        <w:pStyle w:val="FootnoteText"/>
        <w:spacing w:after="120"/>
        <w:rPr>
          <w:sz w:val="22"/>
          <w:szCs w:val="22"/>
        </w:rPr>
      </w:pPr>
      <w:r w:rsidRPr="0036581B">
        <w:rPr>
          <w:rStyle w:val="FootnoteReference"/>
          <w:sz w:val="22"/>
          <w:szCs w:val="22"/>
        </w:rPr>
        <w:footnoteRef/>
      </w:r>
      <w:r w:rsidRPr="0036581B">
        <w:rPr>
          <w:sz w:val="22"/>
          <w:szCs w:val="22"/>
        </w:rPr>
        <w:t xml:space="preserve"> Campany, 1996, p. 395.</w:t>
      </w:r>
    </w:p>
  </w:footnote>
  <w:footnote w:id="5">
    <w:p w14:paraId="5B1AD697" w14:textId="549D4FBD" w:rsidR="00922743" w:rsidRPr="0036581B" w:rsidRDefault="00FE3822" w:rsidP="0036581B">
      <w:pPr>
        <w:pStyle w:val="FootnoteText"/>
        <w:spacing w:after="120"/>
        <w:rPr>
          <w:sz w:val="22"/>
          <w:szCs w:val="22"/>
        </w:rPr>
      </w:pPr>
      <w:r w:rsidRPr="0036581B">
        <w:rPr>
          <w:rStyle w:val="FootnoteReference"/>
          <w:sz w:val="22"/>
          <w:szCs w:val="22"/>
        </w:rPr>
        <w:footnoteRef/>
      </w:r>
      <w:r w:rsidRPr="0036581B">
        <w:rPr>
          <w:sz w:val="22"/>
          <w:szCs w:val="22"/>
        </w:rPr>
        <w:t xml:space="preserve"> Campany, 1996, p. 27.</w:t>
      </w:r>
    </w:p>
  </w:footnote>
  <w:footnote w:id="6">
    <w:p w14:paraId="79665E86" w14:textId="4B42B127" w:rsidR="0036581B" w:rsidRPr="0036581B" w:rsidRDefault="0036581B" w:rsidP="00AD0B42">
      <w:pPr>
        <w:pStyle w:val="FootnoteText"/>
        <w:spacing w:after="120"/>
        <w:rPr>
          <w:sz w:val="22"/>
          <w:szCs w:val="22"/>
        </w:rPr>
      </w:pPr>
      <w:r w:rsidRPr="0036581B">
        <w:rPr>
          <w:rStyle w:val="FootnoteReference"/>
          <w:sz w:val="22"/>
          <w:szCs w:val="22"/>
        </w:rPr>
        <w:footnoteRef/>
      </w:r>
      <w:r w:rsidRPr="0036581B">
        <w:rPr>
          <w:sz w:val="22"/>
          <w:szCs w:val="22"/>
        </w:rPr>
        <w:t xml:space="preserve"> </w:t>
      </w:r>
      <w:r w:rsidRPr="0036581B">
        <w:rPr>
          <w:rFonts w:cs="Calibri"/>
          <w:sz w:val="22"/>
          <w:szCs w:val="22"/>
        </w:rPr>
        <w:t>DeWoskin, 1996, p. xxviii (note 7) comments that underlying most contemporary theories of historiography in the West… is the assumption that all historical narratives are largely imagined…claims of …connection between events and written histories of them are baseless.</w:t>
      </w:r>
      <w:r w:rsidR="00AD0B42">
        <w:rPr>
          <w:rFonts w:cs="Calibri"/>
        </w:rPr>
        <w:t xml:space="preserve"> </w:t>
      </w:r>
      <w:r w:rsidR="00AD0B42">
        <w:rPr>
          <w:sz w:val="22"/>
          <w:szCs w:val="22"/>
        </w:rPr>
        <w:t>Goossaert (2022, p. 1) by contrast writes of revelatory experiences being “found in overwhelming numbers throughout Chinese religious history” and of the different modes in which revelation occurs.</w:t>
      </w:r>
    </w:p>
  </w:footnote>
  <w:footnote w:id="7">
    <w:p w14:paraId="7EA283C2" w14:textId="3C3A7FCD" w:rsidR="0036581B" w:rsidRPr="0036581B" w:rsidRDefault="0036581B" w:rsidP="0036581B">
      <w:pPr>
        <w:pStyle w:val="FootnoteText"/>
        <w:spacing w:after="120"/>
        <w:rPr>
          <w:sz w:val="22"/>
          <w:szCs w:val="22"/>
        </w:rPr>
      </w:pPr>
      <w:r w:rsidRPr="0036581B">
        <w:rPr>
          <w:rStyle w:val="FootnoteReference"/>
          <w:sz w:val="22"/>
          <w:szCs w:val="22"/>
        </w:rPr>
        <w:footnoteRef/>
      </w:r>
      <w:r w:rsidRPr="0036581B">
        <w:rPr>
          <w:sz w:val="22"/>
          <w:szCs w:val="22"/>
        </w:rPr>
        <w:t xml:space="preserve"> This term apparently coined by Castaneda, meaning something that exists outside of and parallel to the linear time-space arena of ordinary awareness, but nonetheless is ‘real’</w:t>
      </w:r>
      <w:r w:rsidR="00EA571D">
        <w:rPr>
          <w:sz w:val="22"/>
          <w:szCs w:val="22"/>
        </w:rPr>
        <w:t>.</w:t>
      </w:r>
    </w:p>
  </w:footnote>
  <w:footnote w:id="8">
    <w:p w14:paraId="1806B131" w14:textId="6376AEAF" w:rsidR="008946AF" w:rsidRPr="0036581B" w:rsidRDefault="008946AF" w:rsidP="0036581B">
      <w:pPr>
        <w:pStyle w:val="FootnoteText"/>
        <w:spacing w:after="120"/>
        <w:rPr>
          <w:sz w:val="22"/>
          <w:szCs w:val="22"/>
        </w:rPr>
      </w:pPr>
      <w:r w:rsidRPr="0036581B">
        <w:rPr>
          <w:rStyle w:val="FootnoteReference"/>
          <w:sz w:val="22"/>
          <w:szCs w:val="22"/>
        </w:rPr>
        <w:footnoteRef/>
      </w:r>
      <w:r w:rsidRPr="0036581B">
        <w:rPr>
          <w:sz w:val="22"/>
          <w:szCs w:val="22"/>
        </w:rPr>
        <w:t xml:space="preserve"> Zaleski, 1987, p. 3. Her concept of ‘initiation’ remains, however, entirely sociological and psychological</w:t>
      </w:r>
      <w:r w:rsidR="00CE2249" w:rsidRPr="0036581B">
        <w:rPr>
          <w:sz w:val="22"/>
          <w:szCs w:val="22"/>
        </w:rPr>
        <w:t xml:space="preserve">: </w:t>
      </w:r>
      <w:r w:rsidR="00DE473C" w:rsidRPr="0036581B">
        <w:rPr>
          <w:sz w:val="22"/>
          <w:szCs w:val="22"/>
        </w:rPr>
        <w:t xml:space="preserve">for example, </w:t>
      </w:r>
      <w:r w:rsidR="00CE2249" w:rsidRPr="0036581B">
        <w:rPr>
          <w:sz w:val="22"/>
          <w:szCs w:val="22"/>
        </w:rPr>
        <w:t xml:space="preserve">shamanism is not mentioned after the first two pages, with </w:t>
      </w:r>
      <w:r w:rsidRPr="0036581B">
        <w:rPr>
          <w:sz w:val="22"/>
          <w:szCs w:val="22"/>
        </w:rPr>
        <w:t>no index entry.</w:t>
      </w:r>
    </w:p>
  </w:footnote>
  <w:footnote w:id="9">
    <w:p w14:paraId="3A493813" w14:textId="0AD3CD76" w:rsidR="008946AF" w:rsidRPr="0036581B" w:rsidRDefault="008946AF" w:rsidP="0036581B">
      <w:pPr>
        <w:pStyle w:val="FootnoteText"/>
        <w:spacing w:after="120"/>
        <w:rPr>
          <w:sz w:val="22"/>
          <w:szCs w:val="22"/>
        </w:rPr>
      </w:pPr>
      <w:r w:rsidRPr="0036581B">
        <w:rPr>
          <w:rStyle w:val="FootnoteReference"/>
          <w:sz w:val="22"/>
          <w:szCs w:val="22"/>
        </w:rPr>
        <w:footnoteRef/>
      </w:r>
      <w:r w:rsidRPr="0036581B">
        <w:rPr>
          <w:sz w:val="22"/>
          <w:szCs w:val="22"/>
        </w:rPr>
        <w:t xml:space="preserve"> Zaleski, 1987, p. 3. Her actual phrasing includes “imaginatively act out or imitate”, denying any reality to the experience.</w:t>
      </w:r>
    </w:p>
  </w:footnote>
  <w:footnote w:id="10">
    <w:p w14:paraId="7CADE1F4" w14:textId="300D9D32" w:rsidR="0070640B" w:rsidRPr="00091875" w:rsidRDefault="0070640B" w:rsidP="00091875">
      <w:pPr>
        <w:pStyle w:val="FootnoteText"/>
        <w:spacing w:after="120"/>
        <w:rPr>
          <w:sz w:val="22"/>
          <w:szCs w:val="22"/>
        </w:rPr>
      </w:pPr>
      <w:r w:rsidRPr="00091875">
        <w:rPr>
          <w:rStyle w:val="FootnoteReference"/>
          <w:sz w:val="22"/>
          <w:szCs w:val="22"/>
        </w:rPr>
        <w:footnoteRef/>
      </w:r>
      <w:r w:rsidRPr="00091875">
        <w:rPr>
          <w:sz w:val="22"/>
          <w:szCs w:val="22"/>
        </w:rPr>
        <w:t xml:space="preserve"> Zaleski, 1987, p. 4.</w:t>
      </w:r>
    </w:p>
  </w:footnote>
  <w:footnote w:id="11">
    <w:p w14:paraId="43A9FE2F" w14:textId="0FA57D53" w:rsidR="00DF3255" w:rsidRPr="00091875" w:rsidRDefault="00DF3255" w:rsidP="00091875">
      <w:pPr>
        <w:spacing w:after="120" w:line="240" w:lineRule="auto"/>
      </w:pPr>
      <w:r w:rsidRPr="00091875">
        <w:rPr>
          <w:rStyle w:val="FootnoteReference"/>
        </w:rPr>
        <w:footnoteRef/>
      </w:r>
      <w:r w:rsidRPr="00091875">
        <w:t xml:space="preserve"> McClenon, 1991, p. 320. After Durkheim, the cultural source theory “assumes that all anomalous experiences are products, in totality, of the narrator’s culture.”</w:t>
      </w:r>
      <w:r w:rsidR="00A308D0" w:rsidRPr="00091875">
        <w:t xml:space="preserve"> </w:t>
      </w:r>
      <w:r w:rsidR="00A308D0" w:rsidRPr="00091875">
        <w:rPr>
          <w:rFonts w:cs="Calibri"/>
        </w:rPr>
        <w:t>McClenon argues that his study ‘tends to support’ the ‘experiential source theory’, as opposed to ‘cultural source theory’ or ‘cultural diffusion’ (p. 339)</w:t>
      </w:r>
      <w:r w:rsidR="00A308D0" w:rsidRPr="00091875">
        <w:t xml:space="preserve"> – perhaps the hint of academic acknowledgement that experiences might relate to a reality.</w:t>
      </w:r>
    </w:p>
  </w:footnote>
  <w:footnote w:id="12">
    <w:p w14:paraId="439921BA" w14:textId="7BA7EF5A" w:rsidR="00566453" w:rsidRPr="00566453" w:rsidRDefault="00566453" w:rsidP="00566453">
      <w:pPr>
        <w:pStyle w:val="FootnoteText"/>
        <w:spacing w:after="120"/>
        <w:rPr>
          <w:sz w:val="22"/>
          <w:szCs w:val="22"/>
        </w:rPr>
      </w:pPr>
      <w:r w:rsidRPr="00566453">
        <w:rPr>
          <w:rStyle w:val="FootnoteReference"/>
          <w:sz w:val="22"/>
          <w:szCs w:val="22"/>
        </w:rPr>
        <w:footnoteRef/>
      </w:r>
      <w:r w:rsidRPr="00566453">
        <w:rPr>
          <w:sz w:val="22"/>
          <w:szCs w:val="22"/>
        </w:rPr>
        <w:t xml:space="preserve"> Teiser, 1996, p. 140, describes shamanism as “one of the most important forms of indigenous Chinese religion”</w:t>
      </w:r>
    </w:p>
  </w:footnote>
  <w:footnote w:id="13">
    <w:p w14:paraId="4CBF29B2" w14:textId="5DDBD51F" w:rsidR="009E09D7" w:rsidRPr="00091875" w:rsidRDefault="009E09D7" w:rsidP="00566453">
      <w:pPr>
        <w:pStyle w:val="FootnoteText"/>
        <w:spacing w:after="120"/>
        <w:rPr>
          <w:sz w:val="22"/>
          <w:szCs w:val="22"/>
        </w:rPr>
      </w:pPr>
      <w:r w:rsidRPr="00566453">
        <w:rPr>
          <w:rStyle w:val="FootnoteReference"/>
          <w:sz w:val="22"/>
          <w:szCs w:val="22"/>
        </w:rPr>
        <w:footnoteRef/>
      </w:r>
      <w:r w:rsidRPr="00566453">
        <w:rPr>
          <w:sz w:val="22"/>
          <w:szCs w:val="22"/>
        </w:rPr>
        <w:t xml:space="preserve"> Eliade</w:t>
      </w:r>
      <w:r w:rsidRPr="00091875">
        <w:rPr>
          <w:sz w:val="22"/>
          <w:szCs w:val="22"/>
        </w:rPr>
        <w:t>, 2004, p. 5.</w:t>
      </w:r>
    </w:p>
  </w:footnote>
  <w:footnote w:id="14">
    <w:p w14:paraId="2C2DF603" w14:textId="7AB88D21" w:rsidR="00C27701" w:rsidRPr="00091875" w:rsidRDefault="00C27701" w:rsidP="00091875">
      <w:pPr>
        <w:pStyle w:val="FootnoteText"/>
        <w:spacing w:after="120"/>
        <w:rPr>
          <w:sz w:val="22"/>
          <w:szCs w:val="22"/>
        </w:rPr>
      </w:pPr>
      <w:r w:rsidRPr="00091875">
        <w:rPr>
          <w:rStyle w:val="FootnoteReference"/>
          <w:sz w:val="22"/>
          <w:szCs w:val="22"/>
        </w:rPr>
        <w:footnoteRef/>
      </w:r>
      <w:r w:rsidRPr="00091875">
        <w:rPr>
          <w:sz w:val="22"/>
          <w:szCs w:val="22"/>
        </w:rPr>
        <w:t xml:space="preserve"> Eliade, 2004, p. 448. The term ‘ecstasy’ as used by Eliade and other writers of past decades means to be ‘outside oneself’, as per the Greek etymology. Unfortunately, the term has taken on a modern / popular meaning of ‘intense pleasure’ (Britannica Online Dictionary does not even include the older usage.) The phrase ‘Out Of Body Experience’ (OOBE) is arguably </w:t>
      </w:r>
      <w:r w:rsidR="00091875">
        <w:rPr>
          <w:sz w:val="22"/>
          <w:szCs w:val="22"/>
        </w:rPr>
        <w:t xml:space="preserve">the nearest </w:t>
      </w:r>
      <w:r w:rsidRPr="00091875">
        <w:rPr>
          <w:sz w:val="22"/>
          <w:szCs w:val="22"/>
        </w:rPr>
        <w:t>modern equivalent.</w:t>
      </w:r>
    </w:p>
  </w:footnote>
  <w:footnote w:id="15">
    <w:p w14:paraId="127F1BED" w14:textId="446225D1" w:rsidR="00F122DD" w:rsidRPr="00091875" w:rsidRDefault="00F122DD" w:rsidP="00091875">
      <w:pPr>
        <w:pStyle w:val="FootnoteText"/>
        <w:spacing w:after="120"/>
        <w:rPr>
          <w:sz w:val="22"/>
          <w:szCs w:val="22"/>
        </w:rPr>
      </w:pPr>
      <w:r w:rsidRPr="00091875">
        <w:rPr>
          <w:rStyle w:val="FootnoteReference"/>
          <w:sz w:val="22"/>
          <w:szCs w:val="22"/>
        </w:rPr>
        <w:footnoteRef/>
      </w:r>
      <w:r w:rsidRPr="00091875">
        <w:rPr>
          <w:sz w:val="22"/>
          <w:szCs w:val="22"/>
        </w:rPr>
        <w:t xml:space="preserve"> Boileau, 2002, seems to take precisely this approach</w:t>
      </w:r>
      <w:r w:rsidR="00BD32EB" w:rsidRPr="00091875">
        <w:rPr>
          <w:sz w:val="22"/>
          <w:szCs w:val="22"/>
        </w:rPr>
        <w:t>.</w:t>
      </w:r>
      <w:r w:rsidR="00F438B1" w:rsidRPr="00091875">
        <w:rPr>
          <w:sz w:val="22"/>
          <w:szCs w:val="22"/>
        </w:rPr>
        <w:t xml:space="preserve"> </w:t>
      </w:r>
      <w:r w:rsidR="00BD32EB" w:rsidRPr="00091875">
        <w:rPr>
          <w:sz w:val="22"/>
          <w:szCs w:val="22"/>
        </w:rPr>
        <w:t>Drobin, 2016</w:t>
      </w:r>
      <w:r w:rsidR="008A2381">
        <w:rPr>
          <w:sz w:val="22"/>
          <w:szCs w:val="22"/>
        </w:rPr>
        <w:t>a</w:t>
      </w:r>
      <w:r w:rsidR="00BD32EB" w:rsidRPr="00091875">
        <w:rPr>
          <w:sz w:val="22"/>
          <w:szCs w:val="22"/>
        </w:rPr>
        <w:t>, p. 84, however, suggests “shamanism’s core area…[not] as the source of shamanism, but rather the space that has retained it through historical coincidences”.</w:t>
      </w:r>
    </w:p>
  </w:footnote>
  <w:footnote w:id="16">
    <w:p w14:paraId="66F04B3F" w14:textId="0D1F36DE" w:rsidR="00BD32EB" w:rsidRPr="00091875" w:rsidRDefault="00BD32EB" w:rsidP="00091875">
      <w:pPr>
        <w:pStyle w:val="FootnoteText"/>
        <w:spacing w:after="120"/>
        <w:rPr>
          <w:sz w:val="22"/>
          <w:szCs w:val="22"/>
        </w:rPr>
      </w:pPr>
      <w:r w:rsidRPr="00091875">
        <w:rPr>
          <w:rStyle w:val="FootnoteReference"/>
          <w:sz w:val="22"/>
          <w:szCs w:val="22"/>
        </w:rPr>
        <w:footnoteRef/>
      </w:r>
      <w:r w:rsidRPr="00091875">
        <w:rPr>
          <w:sz w:val="22"/>
          <w:szCs w:val="22"/>
        </w:rPr>
        <w:t xml:space="preserve"> Hawkes, 1985, p. 43, writes of the term’s application to a “rather wide range of religious beliefs and practices for which old-fashioned terms like ‘animism’ and ‘sorcery’ are felt to be inadequate or unsuitably patronising”. Usage in this essay is potentially wider than that of Eliade, for example, including mediumistic and divinatory practice. </w:t>
      </w:r>
    </w:p>
  </w:footnote>
  <w:footnote w:id="17">
    <w:p w14:paraId="7EE4ECDC" w14:textId="0AD08A83" w:rsidR="00BD32EB" w:rsidRDefault="00BD32EB" w:rsidP="00091875">
      <w:pPr>
        <w:pStyle w:val="FootnoteText"/>
        <w:spacing w:after="120"/>
      </w:pPr>
      <w:r w:rsidRPr="00091875">
        <w:rPr>
          <w:rStyle w:val="FootnoteReference"/>
          <w:sz w:val="22"/>
          <w:szCs w:val="22"/>
        </w:rPr>
        <w:footnoteRef/>
      </w:r>
      <w:r w:rsidRPr="00091875">
        <w:rPr>
          <w:sz w:val="22"/>
          <w:szCs w:val="22"/>
        </w:rPr>
        <w:t xml:space="preserve"> The academic debate relating shamanism to Chinese religion appears vast, far beyond the scope of this essay.</w:t>
      </w:r>
      <w:r>
        <w:t xml:space="preserve"> </w:t>
      </w:r>
    </w:p>
  </w:footnote>
  <w:footnote w:id="18">
    <w:p w14:paraId="326B8DBC" w14:textId="3496EDAE" w:rsidR="007A2D5A" w:rsidRPr="00F21D43" w:rsidRDefault="002B45C4" w:rsidP="00F21D43">
      <w:pPr>
        <w:pStyle w:val="FootnoteText"/>
        <w:spacing w:after="120"/>
        <w:rPr>
          <w:sz w:val="22"/>
          <w:szCs w:val="22"/>
        </w:rPr>
      </w:pPr>
      <w:r w:rsidRPr="00F21D43">
        <w:rPr>
          <w:rStyle w:val="FootnoteReference"/>
          <w:sz w:val="22"/>
          <w:szCs w:val="22"/>
        </w:rPr>
        <w:footnoteRef/>
      </w:r>
      <w:r w:rsidRPr="00F21D43">
        <w:rPr>
          <w:sz w:val="22"/>
          <w:szCs w:val="22"/>
        </w:rPr>
        <w:t xml:space="preserve"> Campany, 2015, p. 22 (#24) citing the </w:t>
      </w:r>
      <w:r w:rsidRPr="00F21D43">
        <w:rPr>
          <w:i/>
          <w:iCs/>
          <w:sz w:val="22"/>
          <w:szCs w:val="22"/>
        </w:rPr>
        <w:t>Luyi zhuan</w:t>
      </w:r>
      <w:r w:rsidRPr="00F21D43">
        <w:rPr>
          <w:sz w:val="22"/>
          <w:szCs w:val="22"/>
        </w:rPr>
        <w:t xml:space="preserve"> (A Record of Anomalies, Compiler unknown). The story appears repeated (p. 49, #66) in the </w:t>
      </w:r>
      <w:r w:rsidRPr="00091875">
        <w:rPr>
          <w:i/>
          <w:iCs/>
          <w:sz w:val="22"/>
          <w:szCs w:val="22"/>
        </w:rPr>
        <w:t>Shuyi ji</w:t>
      </w:r>
      <w:r w:rsidRPr="00F21D43">
        <w:rPr>
          <w:sz w:val="22"/>
          <w:szCs w:val="22"/>
        </w:rPr>
        <w:t xml:space="preserve"> (Records of Strange Things, compiled by Zu </w:t>
      </w:r>
      <w:proofErr w:type="spellStart"/>
      <w:r w:rsidRPr="00F21D43">
        <w:rPr>
          <w:sz w:val="22"/>
          <w:szCs w:val="22"/>
        </w:rPr>
        <w:t>Chongzhi</w:t>
      </w:r>
      <w:proofErr w:type="spellEnd"/>
      <w:r w:rsidRPr="00F21D43">
        <w:rPr>
          <w:sz w:val="22"/>
          <w:szCs w:val="22"/>
        </w:rPr>
        <w:t>, 429-500)</w:t>
      </w:r>
      <w:r w:rsidR="008A2381">
        <w:rPr>
          <w:sz w:val="22"/>
          <w:szCs w:val="22"/>
        </w:rPr>
        <w:t>.</w:t>
      </w:r>
    </w:p>
  </w:footnote>
  <w:footnote w:id="19">
    <w:p w14:paraId="6329341F" w14:textId="77777777" w:rsidR="007A2D5A" w:rsidRPr="00EA1AE2" w:rsidRDefault="002B45C4" w:rsidP="00EA1AE2">
      <w:pPr>
        <w:pStyle w:val="FootnoteText"/>
        <w:spacing w:after="120"/>
        <w:rPr>
          <w:sz w:val="22"/>
          <w:szCs w:val="22"/>
        </w:rPr>
      </w:pPr>
      <w:r w:rsidRPr="00EA1AE2">
        <w:rPr>
          <w:rStyle w:val="FootnoteReference"/>
          <w:sz w:val="22"/>
          <w:szCs w:val="22"/>
        </w:rPr>
        <w:footnoteRef/>
      </w:r>
      <w:r w:rsidRPr="00EA1AE2">
        <w:rPr>
          <w:sz w:val="22"/>
          <w:szCs w:val="22"/>
        </w:rPr>
        <w:t xml:space="preserve"> Campany, 1995, p. 352. This story is within Buddhist tradition, in which meditation on the decay of the body is a standard. It appears Li Qing’s body subsequently recovers normal health.</w:t>
      </w:r>
    </w:p>
  </w:footnote>
  <w:footnote w:id="20">
    <w:p w14:paraId="3EC16666" w14:textId="27CBF79C" w:rsidR="007A2D5A" w:rsidRPr="00EA1AE2" w:rsidRDefault="002B45C4" w:rsidP="00EA1AE2">
      <w:pPr>
        <w:pStyle w:val="FootnoteText"/>
        <w:spacing w:after="120"/>
        <w:rPr>
          <w:sz w:val="22"/>
          <w:szCs w:val="22"/>
        </w:rPr>
      </w:pPr>
      <w:r w:rsidRPr="00EA1AE2">
        <w:rPr>
          <w:rStyle w:val="FootnoteReference"/>
          <w:sz w:val="22"/>
          <w:szCs w:val="22"/>
        </w:rPr>
        <w:footnoteRef/>
      </w:r>
      <w:r w:rsidRPr="00EA1AE2">
        <w:rPr>
          <w:sz w:val="22"/>
          <w:szCs w:val="22"/>
        </w:rPr>
        <w:t xml:space="preserve"> Campany, 1990, p. 101.</w:t>
      </w:r>
      <w:r w:rsidR="006008E5" w:rsidRPr="00EA1AE2">
        <w:rPr>
          <w:sz w:val="22"/>
          <w:szCs w:val="22"/>
        </w:rPr>
        <w:t xml:space="preserve"> Similarly to Li Qing, </w:t>
      </w:r>
      <w:r w:rsidR="006008E5" w:rsidRPr="00EA1AE2">
        <w:rPr>
          <w:rFonts w:cs="Calibri"/>
          <w:sz w:val="22"/>
          <w:szCs w:val="22"/>
        </w:rPr>
        <w:t>after seven days he does revive and recover fully.</w:t>
      </w:r>
    </w:p>
  </w:footnote>
  <w:footnote w:id="21">
    <w:p w14:paraId="60FB725C" w14:textId="62588B7B" w:rsidR="00F21D43" w:rsidRPr="00EA1AE2" w:rsidRDefault="00F21D43" w:rsidP="00EA1AE2">
      <w:pPr>
        <w:pStyle w:val="FootnoteText"/>
        <w:spacing w:after="120"/>
        <w:rPr>
          <w:sz w:val="22"/>
          <w:szCs w:val="22"/>
        </w:rPr>
      </w:pPr>
      <w:r w:rsidRPr="00EA1AE2">
        <w:rPr>
          <w:rStyle w:val="FootnoteReference"/>
          <w:sz w:val="22"/>
          <w:szCs w:val="22"/>
        </w:rPr>
        <w:footnoteRef/>
      </w:r>
      <w:r w:rsidRPr="00EA1AE2">
        <w:rPr>
          <w:sz w:val="22"/>
          <w:szCs w:val="22"/>
        </w:rPr>
        <w:t xml:space="preserve"> Richardson cites the source as Historical Records, chapter 105 – vol IX, pp. 2786-2787</w:t>
      </w:r>
      <w:r w:rsidR="00091875" w:rsidRPr="00EA1AE2">
        <w:rPr>
          <w:sz w:val="22"/>
          <w:szCs w:val="22"/>
        </w:rPr>
        <w:t>.</w:t>
      </w:r>
      <w:r w:rsidRPr="00EA1AE2">
        <w:rPr>
          <w:sz w:val="22"/>
          <w:szCs w:val="22"/>
        </w:rPr>
        <w:t xml:space="preserve"> </w:t>
      </w:r>
    </w:p>
  </w:footnote>
  <w:footnote w:id="22">
    <w:p w14:paraId="3F84EC48" w14:textId="77777777" w:rsidR="0092796C" w:rsidRPr="00EA1AE2" w:rsidRDefault="0092796C" w:rsidP="00EA1AE2">
      <w:pPr>
        <w:pStyle w:val="FootnoteText"/>
        <w:spacing w:after="120"/>
        <w:rPr>
          <w:sz w:val="22"/>
          <w:szCs w:val="22"/>
        </w:rPr>
      </w:pPr>
      <w:r w:rsidRPr="00EA1AE2">
        <w:rPr>
          <w:rStyle w:val="FootnoteReference"/>
          <w:sz w:val="22"/>
          <w:szCs w:val="22"/>
        </w:rPr>
        <w:footnoteRef/>
      </w:r>
      <w:r w:rsidRPr="00EA1AE2">
        <w:rPr>
          <w:sz w:val="22"/>
          <w:szCs w:val="22"/>
        </w:rPr>
        <w:t xml:space="preserve"> Richardson, 2019, p. 5.</w:t>
      </w:r>
    </w:p>
  </w:footnote>
  <w:footnote w:id="23">
    <w:p w14:paraId="4B0AA4B0" w14:textId="56FC6FB7" w:rsidR="008A2381" w:rsidRPr="00EA1AE2" w:rsidRDefault="008A2381" w:rsidP="00EA1AE2">
      <w:pPr>
        <w:spacing w:after="120"/>
      </w:pPr>
      <w:r w:rsidRPr="00EA1AE2">
        <w:rPr>
          <w:rStyle w:val="FootnoteReference"/>
        </w:rPr>
        <w:footnoteRef/>
      </w:r>
      <w:r w:rsidRPr="00EA1AE2">
        <w:t xml:space="preserve"> </w:t>
      </w:r>
      <w:r w:rsidRPr="00EA1AE2">
        <w:rPr>
          <w:rFonts w:cs="Calibri"/>
        </w:rPr>
        <w:t>The second-hand account of Duke Mu is phrased very similarly.</w:t>
      </w:r>
    </w:p>
  </w:footnote>
  <w:footnote w:id="24">
    <w:p w14:paraId="4E4F8835" w14:textId="1BBFE5F3" w:rsidR="00EA1AE2" w:rsidRPr="00EA1AE2" w:rsidRDefault="00EA1AE2" w:rsidP="00EA1AE2">
      <w:pPr>
        <w:pStyle w:val="FootnoteText"/>
        <w:spacing w:after="120"/>
        <w:rPr>
          <w:sz w:val="22"/>
          <w:szCs w:val="22"/>
        </w:rPr>
      </w:pPr>
      <w:r w:rsidRPr="00EA1AE2">
        <w:rPr>
          <w:rStyle w:val="FootnoteReference"/>
          <w:sz w:val="22"/>
          <w:szCs w:val="22"/>
        </w:rPr>
        <w:footnoteRef/>
      </w:r>
      <w:r w:rsidRPr="00EA1AE2">
        <w:rPr>
          <w:sz w:val="22"/>
          <w:szCs w:val="22"/>
        </w:rPr>
        <w:t xml:space="preserve"> Richardson, 2019, p. 8.</w:t>
      </w:r>
    </w:p>
  </w:footnote>
  <w:footnote w:id="25">
    <w:p w14:paraId="40B47C2E" w14:textId="77777777" w:rsidR="00F21D43" w:rsidRPr="00EA1AE2" w:rsidRDefault="00F21D43" w:rsidP="00EA1AE2">
      <w:pPr>
        <w:pStyle w:val="FootnoteText"/>
        <w:spacing w:after="120"/>
        <w:rPr>
          <w:sz w:val="22"/>
          <w:szCs w:val="22"/>
        </w:rPr>
      </w:pPr>
      <w:r w:rsidRPr="00EA1AE2">
        <w:rPr>
          <w:rStyle w:val="FootnoteReference"/>
          <w:sz w:val="22"/>
          <w:szCs w:val="22"/>
        </w:rPr>
        <w:footnoteRef/>
      </w:r>
      <w:r w:rsidRPr="00EA1AE2">
        <w:rPr>
          <w:sz w:val="22"/>
          <w:szCs w:val="22"/>
        </w:rPr>
        <w:t xml:space="preserve"> Eliade, 2004, p. 142, mentions a similar conversation with the Supreme Being, followed by the killing of a bear.</w:t>
      </w:r>
    </w:p>
  </w:footnote>
  <w:footnote w:id="26">
    <w:p w14:paraId="6836E667" w14:textId="77777777" w:rsidR="002E02E5" w:rsidRPr="00EA1AE2" w:rsidRDefault="002E02E5" w:rsidP="002E02E5">
      <w:pPr>
        <w:pStyle w:val="FootnoteText"/>
        <w:spacing w:after="120"/>
        <w:rPr>
          <w:sz w:val="22"/>
          <w:szCs w:val="22"/>
        </w:rPr>
      </w:pPr>
      <w:r w:rsidRPr="00EA1AE2">
        <w:rPr>
          <w:rStyle w:val="FootnoteReference"/>
          <w:sz w:val="22"/>
          <w:szCs w:val="22"/>
        </w:rPr>
        <w:footnoteRef/>
      </w:r>
      <w:r w:rsidRPr="00EA1AE2">
        <w:rPr>
          <w:sz w:val="22"/>
          <w:szCs w:val="22"/>
        </w:rPr>
        <w:t xml:space="preserve"> Rockwell, 1991, pp. 75-89. </w:t>
      </w:r>
    </w:p>
  </w:footnote>
  <w:footnote w:id="27">
    <w:p w14:paraId="0BC2E0ED" w14:textId="0929B256" w:rsidR="00EF2AE7" w:rsidRPr="00EA1AE2" w:rsidRDefault="00EF2AE7" w:rsidP="00EA1AE2">
      <w:pPr>
        <w:pStyle w:val="FootnoteText"/>
        <w:spacing w:after="120"/>
        <w:rPr>
          <w:sz w:val="22"/>
          <w:szCs w:val="22"/>
        </w:rPr>
      </w:pPr>
      <w:r w:rsidRPr="00EA1AE2">
        <w:rPr>
          <w:rStyle w:val="FootnoteReference"/>
          <w:sz w:val="22"/>
          <w:szCs w:val="22"/>
        </w:rPr>
        <w:footnoteRef/>
      </w:r>
      <w:r w:rsidRPr="00EA1AE2">
        <w:rPr>
          <w:sz w:val="22"/>
          <w:szCs w:val="22"/>
        </w:rPr>
        <w:t xml:space="preserve"> Richardson</w:t>
      </w:r>
      <w:r w:rsidR="00E31ECD" w:rsidRPr="00EA1AE2">
        <w:rPr>
          <w:sz w:val="22"/>
          <w:szCs w:val="22"/>
        </w:rPr>
        <w:t xml:space="preserve">, 2019, p. 24-25, </w:t>
      </w:r>
      <w:r w:rsidRPr="00EA1AE2">
        <w:rPr>
          <w:sz w:val="22"/>
          <w:szCs w:val="22"/>
        </w:rPr>
        <w:t xml:space="preserve">considers the </w:t>
      </w:r>
      <w:r w:rsidR="005244A8" w:rsidRPr="00EA1AE2">
        <w:rPr>
          <w:sz w:val="22"/>
          <w:szCs w:val="22"/>
        </w:rPr>
        <w:t xml:space="preserve">early date and provenance of the </w:t>
      </w:r>
      <w:r w:rsidRPr="00EA1AE2">
        <w:rPr>
          <w:sz w:val="22"/>
          <w:szCs w:val="22"/>
        </w:rPr>
        <w:t>account as particularly significant.</w:t>
      </w:r>
    </w:p>
  </w:footnote>
  <w:footnote w:id="28">
    <w:p w14:paraId="0843C152" w14:textId="77777777" w:rsidR="00F21D43" w:rsidRPr="00EA1AE2" w:rsidRDefault="00F21D43" w:rsidP="00EA1AE2">
      <w:pPr>
        <w:pStyle w:val="FootnoteText"/>
        <w:spacing w:after="120"/>
        <w:rPr>
          <w:sz w:val="22"/>
          <w:szCs w:val="22"/>
        </w:rPr>
      </w:pPr>
      <w:r w:rsidRPr="00EA1AE2">
        <w:rPr>
          <w:rStyle w:val="FootnoteReference"/>
          <w:sz w:val="22"/>
          <w:szCs w:val="22"/>
        </w:rPr>
        <w:footnoteRef/>
      </w:r>
      <w:r w:rsidRPr="00EA1AE2">
        <w:rPr>
          <w:sz w:val="22"/>
          <w:szCs w:val="22"/>
        </w:rPr>
        <w:t xml:space="preserve"> Poo, 1998, p. 66.</w:t>
      </w:r>
    </w:p>
  </w:footnote>
  <w:footnote w:id="29">
    <w:p w14:paraId="30441AED" w14:textId="77777777" w:rsidR="00F21D43" w:rsidRPr="00EA1AE2" w:rsidRDefault="00F21D43" w:rsidP="00EA1AE2">
      <w:pPr>
        <w:pStyle w:val="FootnoteText"/>
        <w:spacing w:after="120"/>
        <w:rPr>
          <w:sz w:val="22"/>
          <w:szCs w:val="22"/>
        </w:rPr>
      </w:pPr>
      <w:r w:rsidRPr="00EA1AE2">
        <w:rPr>
          <w:rStyle w:val="FootnoteReference"/>
          <w:sz w:val="22"/>
          <w:szCs w:val="22"/>
        </w:rPr>
        <w:footnoteRef/>
      </w:r>
      <w:r w:rsidRPr="00EA1AE2">
        <w:rPr>
          <w:sz w:val="22"/>
          <w:szCs w:val="22"/>
        </w:rPr>
        <w:t xml:space="preserve"> Campany, 1990, pp. 100-101.</w:t>
      </w:r>
    </w:p>
  </w:footnote>
  <w:footnote w:id="30">
    <w:p w14:paraId="3FC9CA9E" w14:textId="77777777" w:rsidR="00F21D43" w:rsidRPr="00EA1AE2" w:rsidRDefault="00F21D43" w:rsidP="00EA1AE2">
      <w:pPr>
        <w:pStyle w:val="FootnoteText"/>
        <w:spacing w:after="120"/>
        <w:rPr>
          <w:sz w:val="22"/>
          <w:szCs w:val="22"/>
        </w:rPr>
      </w:pPr>
      <w:r w:rsidRPr="00EA1AE2">
        <w:rPr>
          <w:rStyle w:val="FootnoteReference"/>
          <w:sz w:val="22"/>
          <w:szCs w:val="22"/>
        </w:rPr>
        <w:footnoteRef/>
      </w:r>
      <w:r w:rsidRPr="00EA1AE2">
        <w:rPr>
          <w:sz w:val="22"/>
          <w:szCs w:val="22"/>
        </w:rPr>
        <w:t xml:space="preserve"> Campany, 1990, pp. 101-102.</w:t>
      </w:r>
    </w:p>
  </w:footnote>
  <w:footnote w:id="31">
    <w:p w14:paraId="3B6EE50B" w14:textId="6B521442" w:rsidR="00F21D43" w:rsidRPr="00EA1AE2" w:rsidRDefault="00F21D43" w:rsidP="00EA1AE2">
      <w:pPr>
        <w:pStyle w:val="FootnoteText"/>
        <w:spacing w:after="120"/>
        <w:rPr>
          <w:sz w:val="22"/>
          <w:szCs w:val="22"/>
        </w:rPr>
      </w:pPr>
      <w:r w:rsidRPr="00EA1AE2">
        <w:rPr>
          <w:rStyle w:val="FootnoteReference"/>
          <w:sz w:val="22"/>
          <w:szCs w:val="22"/>
        </w:rPr>
        <w:footnoteRef/>
      </w:r>
      <w:r w:rsidRPr="00EA1AE2">
        <w:rPr>
          <w:sz w:val="22"/>
          <w:szCs w:val="22"/>
        </w:rPr>
        <w:t xml:space="preserve"> The Christian terms </w:t>
      </w:r>
      <w:r w:rsidRPr="00EA1AE2">
        <w:rPr>
          <w:rFonts w:cs="Calibri"/>
          <w:sz w:val="22"/>
          <w:szCs w:val="22"/>
        </w:rPr>
        <w:t xml:space="preserve">‘purgatory’ and ‘hell’ are used by most writers for these different places. </w:t>
      </w:r>
      <w:r w:rsidR="008A2381" w:rsidRPr="00EA1AE2">
        <w:rPr>
          <w:sz w:val="22"/>
          <w:szCs w:val="22"/>
        </w:rPr>
        <w:t xml:space="preserve">This essay attempts to eschew </w:t>
      </w:r>
      <w:r w:rsidR="008A2381" w:rsidRPr="00EA1AE2">
        <w:rPr>
          <w:rFonts w:cs="Calibri"/>
          <w:sz w:val="22"/>
          <w:szCs w:val="22"/>
        </w:rPr>
        <w:t>the term ‘hell’ other than in direct quotation– it is specifically a Christian notion but not ‘authentically’ so - the term derives from the Norse Goddess Hel(a) and Her realm of Helheimr. She is certainly implacable and Helheimr may be gloomy, but it is in no way punitive. Some alternative neologism for ‘punitive underworld’ would be desirable. Chinese tradition seems to have more than 20 names for the realm of the dead, many incorporating the word ‘</w:t>
      </w:r>
      <w:proofErr w:type="spellStart"/>
      <w:r w:rsidR="008A2381" w:rsidRPr="00E43E0F">
        <w:rPr>
          <w:rFonts w:cs="Calibri"/>
          <w:i/>
          <w:iCs/>
          <w:sz w:val="22"/>
          <w:szCs w:val="22"/>
        </w:rPr>
        <w:t>yu</w:t>
      </w:r>
      <w:proofErr w:type="spellEnd"/>
      <w:r w:rsidR="008A2381" w:rsidRPr="00E43E0F">
        <w:rPr>
          <w:rFonts w:cs="Calibri"/>
          <w:i/>
          <w:iCs/>
          <w:sz w:val="22"/>
          <w:szCs w:val="22"/>
        </w:rPr>
        <w:t>’</w:t>
      </w:r>
      <w:r w:rsidR="008A2381" w:rsidRPr="00EA1AE2">
        <w:rPr>
          <w:rFonts w:cs="Calibri"/>
          <w:sz w:val="22"/>
          <w:szCs w:val="22"/>
        </w:rPr>
        <w:t xml:space="preserve"> (‘hidden’), such as </w:t>
      </w:r>
      <w:proofErr w:type="spellStart"/>
      <w:r w:rsidR="008A2381" w:rsidRPr="00E43E0F">
        <w:rPr>
          <w:rFonts w:cs="Calibri"/>
          <w:i/>
          <w:iCs/>
          <w:sz w:val="22"/>
          <w:szCs w:val="22"/>
        </w:rPr>
        <w:t>yu-chieh</w:t>
      </w:r>
      <w:proofErr w:type="spellEnd"/>
      <w:r w:rsidR="008A2381" w:rsidRPr="00EA1AE2">
        <w:rPr>
          <w:rFonts w:cs="Calibri"/>
          <w:sz w:val="22"/>
          <w:szCs w:val="22"/>
        </w:rPr>
        <w:t xml:space="preserve"> (‘Dark Dwelling’) (Thompson, pp. 30-31.</w:t>
      </w:r>
    </w:p>
  </w:footnote>
  <w:footnote w:id="32">
    <w:p w14:paraId="1C82286E" w14:textId="77777777" w:rsidR="007A2D5A" w:rsidRPr="00EA1AE2" w:rsidRDefault="002B45C4" w:rsidP="00EA1AE2">
      <w:pPr>
        <w:pStyle w:val="FootnoteText"/>
        <w:spacing w:after="120"/>
        <w:rPr>
          <w:sz w:val="22"/>
          <w:szCs w:val="22"/>
        </w:rPr>
      </w:pPr>
      <w:r w:rsidRPr="00EA1AE2">
        <w:rPr>
          <w:rStyle w:val="FootnoteReference"/>
          <w:sz w:val="22"/>
          <w:szCs w:val="22"/>
        </w:rPr>
        <w:footnoteRef/>
      </w:r>
      <w:r w:rsidRPr="00EA1AE2">
        <w:rPr>
          <w:sz w:val="22"/>
          <w:szCs w:val="22"/>
        </w:rPr>
        <w:t xml:space="preserve"> Campany, 1995, p. 348.</w:t>
      </w:r>
    </w:p>
  </w:footnote>
  <w:footnote w:id="33">
    <w:p w14:paraId="4855C17A" w14:textId="77777777" w:rsidR="007A2D5A" w:rsidRPr="00EA1AE2" w:rsidRDefault="002B45C4" w:rsidP="00EA1AE2">
      <w:pPr>
        <w:pStyle w:val="FootnoteText"/>
        <w:spacing w:after="120"/>
        <w:rPr>
          <w:sz w:val="22"/>
          <w:szCs w:val="22"/>
        </w:rPr>
      </w:pPr>
      <w:r w:rsidRPr="00EA1AE2">
        <w:rPr>
          <w:rStyle w:val="FootnoteReference"/>
          <w:sz w:val="22"/>
          <w:szCs w:val="22"/>
        </w:rPr>
        <w:footnoteRef/>
      </w:r>
      <w:r w:rsidRPr="00EA1AE2">
        <w:rPr>
          <w:sz w:val="22"/>
          <w:szCs w:val="22"/>
        </w:rPr>
        <w:t xml:space="preserve"> Campany, 1995, p. 346 – Wang </w:t>
      </w:r>
      <w:proofErr w:type="spellStart"/>
      <w:r w:rsidRPr="00EA1AE2">
        <w:rPr>
          <w:sz w:val="22"/>
          <w:szCs w:val="22"/>
        </w:rPr>
        <w:t>Wendu</w:t>
      </w:r>
      <w:proofErr w:type="spellEnd"/>
      <w:r w:rsidRPr="00EA1AE2">
        <w:rPr>
          <w:sz w:val="22"/>
          <w:szCs w:val="22"/>
        </w:rPr>
        <w:t xml:space="preserve"> is the unfortunate.</w:t>
      </w:r>
    </w:p>
  </w:footnote>
  <w:footnote w:id="34">
    <w:p w14:paraId="1905CC62" w14:textId="77777777" w:rsidR="0092796C" w:rsidRPr="00EA1AE2" w:rsidRDefault="0092796C" w:rsidP="00EA1AE2">
      <w:pPr>
        <w:pStyle w:val="FootnoteText"/>
        <w:spacing w:after="120"/>
        <w:rPr>
          <w:sz w:val="22"/>
          <w:szCs w:val="22"/>
        </w:rPr>
      </w:pPr>
      <w:r w:rsidRPr="00EA1AE2">
        <w:rPr>
          <w:rStyle w:val="FootnoteReference"/>
          <w:sz w:val="22"/>
          <w:szCs w:val="22"/>
        </w:rPr>
        <w:footnoteRef/>
      </w:r>
      <w:r w:rsidRPr="00EA1AE2">
        <w:rPr>
          <w:sz w:val="22"/>
          <w:szCs w:val="22"/>
        </w:rPr>
        <w:t xml:space="preserve"> Campany, 2015, p.3. From the collection known as </w:t>
      </w:r>
      <w:proofErr w:type="spellStart"/>
      <w:r w:rsidRPr="00EA1AE2">
        <w:rPr>
          <w:i/>
          <w:iCs/>
          <w:sz w:val="22"/>
          <w:szCs w:val="22"/>
        </w:rPr>
        <w:t>Jiling</w:t>
      </w:r>
      <w:proofErr w:type="spellEnd"/>
      <w:r w:rsidRPr="00EA1AE2">
        <w:rPr>
          <w:i/>
          <w:iCs/>
          <w:sz w:val="22"/>
          <w:szCs w:val="22"/>
        </w:rPr>
        <w:t xml:space="preserve"> ji</w:t>
      </w:r>
      <w:r w:rsidRPr="00EA1AE2">
        <w:rPr>
          <w:sz w:val="22"/>
          <w:szCs w:val="22"/>
        </w:rPr>
        <w:t xml:space="preserve"> (Collected Records of Numinous Phenomena) compiled by Yan </w:t>
      </w:r>
      <w:proofErr w:type="spellStart"/>
      <w:r w:rsidRPr="00EA1AE2">
        <w:rPr>
          <w:sz w:val="22"/>
          <w:szCs w:val="22"/>
        </w:rPr>
        <w:t>Zhitui</w:t>
      </w:r>
      <w:proofErr w:type="spellEnd"/>
      <w:r w:rsidRPr="00EA1AE2">
        <w:rPr>
          <w:sz w:val="22"/>
          <w:szCs w:val="22"/>
        </w:rPr>
        <w:t xml:space="preserve"> (531-591 CE).</w:t>
      </w:r>
    </w:p>
  </w:footnote>
  <w:footnote w:id="35">
    <w:p w14:paraId="644B6E98" w14:textId="77777777" w:rsidR="007A2D5A" w:rsidRPr="00EA1AE2" w:rsidRDefault="002B45C4" w:rsidP="00EA1AE2">
      <w:pPr>
        <w:pStyle w:val="FootnoteText"/>
        <w:spacing w:after="120"/>
        <w:rPr>
          <w:sz w:val="22"/>
          <w:szCs w:val="22"/>
        </w:rPr>
      </w:pPr>
      <w:r w:rsidRPr="00EA1AE2">
        <w:rPr>
          <w:rStyle w:val="FootnoteReference"/>
          <w:sz w:val="22"/>
          <w:szCs w:val="22"/>
        </w:rPr>
        <w:footnoteRef/>
      </w:r>
      <w:r w:rsidRPr="00EA1AE2">
        <w:rPr>
          <w:sz w:val="22"/>
          <w:szCs w:val="22"/>
        </w:rPr>
        <w:t xml:space="preserve"> The term ‘bureaucracy’ is arguably an overworked trope with respect to China, firmly established by Max Weber, but perhaps deriving as much from Christian missionaries and European merchants irritated by organised restraint on their activities. Whether the Chinese empire was ‘really’ more bureaucratic than European states may deserve reconsideration.</w:t>
      </w:r>
    </w:p>
  </w:footnote>
  <w:footnote w:id="36">
    <w:p w14:paraId="62BE6444" w14:textId="586CFEBA" w:rsidR="00064353" w:rsidRPr="00EA1AE2" w:rsidRDefault="00064353" w:rsidP="00EA1AE2">
      <w:pPr>
        <w:pStyle w:val="FootnoteText"/>
        <w:spacing w:after="120"/>
        <w:rPr>
          <w:sz w:val="22"/>
          <w:szCs w:val="22"/>
        </w:rPr>
      </w:pPr>
      <w:r w:rsidRPr="00EA1AE2">
        <w:rPr>
          <w:rStyle w:val="FootnoteReference"/>
          <w:sz w:val="22"/>
          <w:szCs w:val="22"/>
        </w:rPr>
        <w:footnoteRef/>
      </w:r>
      <w:r w:rsidRPr="00EA1AE2">
        <w:rPr>
          <w:sz w:val="22"/>
          <w:szCs w:val="22"/>
        </w:rPr>
        <w:t xml:space="preserve"> Campany, 1990, pp. 96-97.</w:t>
      </w:r>
    </w:p>
  </w:footnote>
  <w:footnote w:id="37">
    <w:p w14:paraId="53B3FDA8" w14:textId="3D176404" w:rsidR="00AD0B42" w:rsidRPr="00EA1AE2" w:rsidRDefault="00AD0B42" w:rsidP="00EA1AE2">
      <w:pPr>
        <w:pStyle w:val="FootnoteText"/>
        <w:spacing w:after="120"/>
        <w:rPr>
          <w:sz w:val="22"/>
          <w:szCs w:val="22"/>
        </w:rPr>
      </w:pPr>
      <w:r w:rsidRPr="00EA1AE2">
        <w:rPr>
          <w:rStyle w:val="FootnoteReference"/>
          <w:sz w:val="22"/>
          <w:szCs w:val="22"/>
        </w:rPr>
        <w:footnoteRef/>
      </w:r>
      <w:r w:rsidRPr="00EA1AE2">
        <w:rPr>
          <w:sz w:val="22"/>
          <w:szCs w:val="22"/>
        </w:rPr>
        <w:t xml:space="preserve"> Cahill, 1992.</w:t>
      </w:r>
    </w:p>
  </w:footnote>
  <w:footnote w:id="38">
    <w:p w14:paraId="6FCFE92B" w14:textId="77777777" w:rsidR="00D03698" w:rsidRPr="00EA1AE2" w:rsidRDefault="00D03698" w:rsidP="00EA1AE2">
      <w:pPr>
        <w:pStyle w:val="FootnoteText"/>
        <w:spacing w:after="120"/>
        <w:rPr>
          <w:sz w:val="22"/>
          <w:szCs w:val="22"/>
        </w:rPr>
      </w:pPr>
      <w:r w:rsidRPr="00EA1AE2">
        <w:rPr>
          <w:rStyle w:val="FootnoteReference"/>
          <w:sz w:val="22"/>
          <w:szCs w:val="22"/>
        </w:rPr>
        <w:footnoteRef/>
      </w:r>
      <w:r w:rsidRPr="00EA1AE2">
        <w:rPr>
          <w:sz w:val="22"/>
          <w:szCs w:val="22"/>
        </w:rPr>
        <w:t xml:space="preserve"> Campany, 1990, p. 103.</w:t>
      </w:r>
    </w:p>
  </w:footnote>
  <w:footnote w:id="39">
    <w:p w14:paraId="16310225" w14:textId="04BCD934" w:rsidR="00D03698" w:rsidRPr="00EA1AE2" w:rsidRDefault="00D03698" w:rsidP="00EA1AE2">
      <w:pPr>
        <w:pStyle w:val="FootnoteText"/>
        <w:spacing w:after="120"/>
        <w:rPr>
          <w:sz w:val="22"/>
          <w:szCs w:val="22"/>
        </w:rPr>
      </w:pPr>
      <w:r w:rsidRPr="00EA1AE2">
        <w:rPr>
          <w:rStyle w:val="FootnoteReference"/>
          <w:sz w:val="22"/>
          <w:szCs w:val="22"/>
        </w:rPr>
        <w:footnoteRef/>
      </w:r>
      <w:r w:rsidRPr="00EA1AE2">
        <w:rPr>
          <w:sz w:val="22"/>
          <w:szCs w:val="22"/>
        </w:rPr>
        <w:t xml:space="preserve"> Campany, 1990, p. 105.</w:t>
      </w:r>
      <w:r w:rsidR="00064353" w:rsidRPr="00EA1AE2">
        <w:rPr>
          <w:sz w:val="22"/>
          <w:szCs w:val="22"/>
        </w:rPr>
        <w:t xml:space="preserve"> </w:t>
      </w:r>
      <w:r w:rsidR="00064353" w:rsidRPr="00EA1AE2">
        <w:rPr>
          <w:rFonts w:cs="Calibri"/>
          <w:sz w:val="22"/>
          <w:szCs w:val="22"/>
        </w:rPr>
        <w:t xml:space="preserve">Yu is too ‘short’ to get achieve the higher of available statuses but still, after revival, has ‘earth gods kneeling down beside the road as he passed’. </w:t>
      </w:r>
    </w:p>
  </w:footnote>
  <w:footnote w:id="40">
    <w:p w14:paraId="3115D2F8" w14:textId="03A15302" w:rsidR="00F23D79" w:rsidRPr="00EA1AE2" w:rsidRDefault="00F23D79" w:rsidP="00EA1AE2">
      <w:pPr>
        <w:pStyle w:val="FootnoteText"/>
        <w:spacing w:after="120"/>
        <w:rPr>
          <w:sz w:val="22"/>
          <w:szCs w:val="22"/>
        </w:rPr>
      </w:pPr>
      <w:r w:rsidRPr="00EA1AE2">
        <w:rPr>
          <w:rStyle w:val="FootnoteReference"/>
          <w:sz w:val="22"/>
          <w:szCs w:val="22"/>
        </w:rPr>
        <w:footnoteRef/>
      </w:r>
      <w:r w:rsidRPr="00EA1AE2">
        <w:rPr>
          <w:sz w:val="22"/>
          <w:szCs w:val="22"/>
        </w:rPr>
        <w:t xml:space="preserve"> The Egyptian concept of Osirian judgement with 42 rules to have been observed could also be, though typically is not, termed ‘bureaucratic’.</w:t>
      </w:r>
    </w:p>
  </w:footnote>
  <w:footnote w:id="41">
    <w:p w14:paraId="6C206AF0" w14:textId="77777777" w:rsidR="007A2D5A" w:rsidRPr="00EA1AE2" w:rsidRDefault="002B45C4" w:rsidP="00EA1AE2">
      <w:pPr>
        <w:pStyle w:val="FootnoteText"/>
        <w:spacing w:after="120"/>
        <w:rPr>
          <w:sz w:val="22"/>
          <w:szCs w:val="22"/>
        </w:rPr>
      </w:pPr>
      <w:r w:rsidRPr="00EA1AE2">
        <w:rPr>
          <w:rStyle w:val="FootnoteReference"/>
          <w:sz w:val="22"/>
          <w:szCs w:val="22"/>
        </w:rPr>
        <w:footnoteRef/>
      </w:r>
      <w:r w:rsidRPr="00EA1AE2">
        <w:rPr>
          <w:sz w:val="22"/>
          <w:szCs w:val="22"/>
        </w:rPr>
        <w:t xml:space="preserve"> This last notion has been popular since introduced by Blavatsky in the 19</w:t>
      </w:r>
      <w:r w:rsidRPr="00EA1AE2">
        <w:rPr>
          <w:sz w:val="22"/>
          <w:szCs w:val="22"/>
          <w:vertAlign w:val="superscript"/>
        </w:rPr>
        <w:t>th</w:t>
      </w:r>
      <w:r w:rsidRPr="00EA1AE2">
        <w:rPr>
          <w:sz w:val="22"/>
          <w:szCs w:val="22"/>
        </w:rPr>
        <w:t xml:space="preserve"> century, certainly ‘influenced by’ but not directly derived from Asian / Buddhist concepts.</w:t>
      </w:r>
    </w:p>
  </w:footnote>
  <w:footnote w:id="42">
    <w:p w14:paraId="150019B5" w14:textId="257557A8" w:rsidR="00FA1128" w:rsidRPr="00EA1AE2" w:rsidRDefault="00FA1128" w:rsidP="00EA1AE2">
      <w:pPr>
        <w:pStyle w:val="FootnoteText"/>
        <w:spacing w:after="120"/>
        <w:rPr>
          <w:sz w:val="22"/>
          <w:szCs w:val="22"/>
        </w:rPr>
      </w:pPr>
      <w:r w:rsidRPr="00EA1AE2">
        <w:rPr>
          <w:rStyle w:val="FootnoteReference"/>
          <w:sz w:val="22"/>
          <w:szCs w:val="22"/>
        </w:rPr>
        <w:footnoteRef/>
      </w:r>
      <w:r w:rsidRPr="00EA1AE2">
        <w:rPr>
          <w:sz w:val="22"/>
          <w:szCs w:val="22"/>
        </w:rPr>
        <w:t xml:space="preserve"> For example, the </w:t>
      </w:r>
      <w:proofErr w:type="spellStart"/>
      <w:r w:rsidRPr="00EA1AE2">
        <w:rPr>
          <w:sz w:val="22"/>
          <w:szCs w:val="22"/>
        </w:rPr>
        <w:t>Yuoming</w:t>
      </w:r>
      <w:proofErr w:type="spellEnd"/>
      <w:r w:rsidRPr="00EA1AE2">
        <w:rPr>
          <w:sz w:val="22"/>
          <w:szCs w:val="22"/>
        </w:rPr>
        <w:t xml:space="preserve"> </w:t>
      </w:r>
      <w:proofErr w:type="spellStart"/>
      <w:r w:rsidRPr="00EA1AE2">
        <w:rPr>
          <w:sz w:val="22"/>
          <w:szCs w:val="22"/>
        </w:rPr>
        <w:t>lu</w:t>
      </w:r>
      <w:proofErr w:type="spellEnd"/>
      <w:r w:rsidRPr="00EA1AE2">
        <w:rPr>
          <w:sz w:val="22"/>
          <w:szCs w:val="22"/>
        </w:rPr>
        <w:t xml:space="preserve"> contains more than ten such stories ( Zhang, 2014, p. 108).</w:t>
      </w:r>
    </w:p>
  </w:footnote>
  <w:footnote w:id="43">
    <w:p w14:paraId="29B80E3A" w14:textId="64942C50" w:rsidR="00FA1128" w:rsidRPr="00EA1AE2" w:rsidRDefault="00FA1128" w:rsidP="00EA1AE2">
      <w:pPr>
        <w:pStyle w:val="FootnoteText"/>
        <w:spacing w:after="120"/>
        <w:rPr>
          <w:sz w:val="22"/>
          <w:szCs w:val="22"/>
        </w:rPr>
      </w:pPr>
      <w:r w:rsidRPr="00EA1AE2">
        <w:rPr>
          <w:rStyle w:val="FootnoteReference"/>
          <w:sz w:val="22"/>
          <w:szCs w:val="22"/>
        </w:rPr>
        <w:footnoteRef/>
      </w:r>
      <w:r w:rsidRPr="00EA1AE2">
        <w:rPr>
          <w:sz w:val="22"/>
          <w:szCs w:val="22"/>
        </w:rPr>
        <w:t xml:space="preserve"> Zhang, 2014, p. 106, claims that “fiction” played an important role” in the development of Chinese concepts of the netherworld, but fails to define ‘fiction’ or its identity as a genre at the appropriate early date.</w:t>
      </w:r>
    </w:p>
  </w:footnote>
  <w:footnote w:id="44">
    <w:p w14:paraId="39ED14B6" w14:textId="03CF9934" w:rsidR="005161F1" w:rsidRPr="00EA1AE2" w:rsidRDefault="005161F1" w:rsidP="00EA1AE2">
      <w:pPr>
        <w:pStyle w:val="FootnoteText"/>
        <w:spacing w:after="120"/>
        <w:rPr>
          <w:sz w:val="22"/>
          <w:szCs w:val="22"/>
        </w:rPr>
      </w:pPr>
      <w:r w:rsidRPr="00EA1AE2">
        <w:rPr>
          <w:rStyle w:val="FootnoteReference"/>
          <w:sz w:val="22"/>
          <w:szCs w:val="22"/>
        </w:rPr>
        <w:footnoteRef/>
      </w:r>
      <w:r w:rsidRPr="00EA1AE2">
        <w:rPr>
          <w:sz w:val="22"/>
          <w:szCs w:val="22"/>
        </w:rPr>
        <w:t xml:space="preserve"> Eliade, 2004, pp. 34-38.</w:t>
      </w:r>
    </w:p>
  </w:footnote>
  <w:footnote w:id="45">
    <w:p w14:paraId="6CFA2761" w14:textId="183F1C8B" w:rsidR="00E710BE" w:rsidRPr="00EA1AE2" w:rsidRDefault="00E710BE" w:rsidP="00EA1AE2">
      <w:pPr>
        <w:pStyle w:val="FootnoteText"/>
        <w:spacing w:after="120"/>
        <w:rPr>
          <w:sz w:val="22"/>
          <w:szCs w:val="22"/>
        </w:rPr>
      </w:pPr>
      <w:r w:rsidRPr="00EA1AE2">
        <w:rPr>
          <w:rStyle w:val="FootnoteReference"/>
          <w:sz w:val="22"/>
          <w:szCs w:val="22"/>
        </w:rPr>
        <w:footnoteRef/>
      </w:r>
      <w:r w:rsidRPr="00EA1AE2">
        <w:rPr>
          <w:sz w:val="22"/>
          <w:szCs w:val="22"/>
        </w:rPr>
        <w:t xml:space="preserve"> Ganany, 2021, p. 138.</w:t>
      </w:r>
    </w:p>
  </w:footnote>
  <w:footnote w:id="46">
    <w:p w14:paraId="37C25151" w14:textId="77777777" w:rsidR="006D4FB8" w:rsidRPr="00EA1AE2" w:rsidRDefault="006D4FB8" w:rsidP="00EA1AE2">
      <w:pPr>
        <w:pStyle w:val="FootnoteText"/>
        <w:spacing w:after="120"/>
        <w:rPr>
          <w:sz w:val="22"/>
          <w:szCs w:val="22"/>
        </w:rPr>
      </w:pPr>
      <w:r w:rsidRPr="00EA1AE2">
        <w:rPr>
          <w:rStyle w:val="FootnoteReference"/>
          <w:sz w:val="22"/>
          <w:szCs w:val="22"/>
        </w:rPr>
        <w:footnoteRef/>
      </w:r>
      <w:r w:rsidRPr="00EA1AE2">
        <w:rPr>
          <w:sz w:val="22"/>
          <w:szCs w:val="22"/>
        </w:rPr>
        <w:t xml:space="preserve"> Campany, 1995, p. 344.</w:t>
      </w:r>
    </w:p>
  </w:footnote>
  <w:footnote w:id="47">
    <w:p w14:paraId="63E4CB76" w14:textId="3E281674" w:rsidR="009E43D2" w:rsidRPr="00EA1AE2" w:rsidRDefault="009E43D2" w:rsidP="00EA1AE2">
      <w:pPr>
        <w:pStyle w:val="FootnoteText"/>
        <w:spacing w:after="120"/>
        <w:rPr>
          <w:sz w:val="22"/>
          <w:szCs w:val="22"/>
        </w:rPr>
      </w:pPr>
      <w:r w:rsidRPr="00EA1AE2">
        <w:rPr>
          <w:rStyle w:val="FootnoteReference"/>
          <w:sz w:val="22"/>
          <w:szCs w:val="22"/>
        </w:rPr>
        <w:footnoteRef/>
      </w:r>
      <w:r w:rsidRPr="00EA1AE2">
        <w:rPr>
          <w:sz w:val="22"/>
          <w:szCs w:val="22"/>
        </w:rPr>
        <w:t xml:space="preserve"> Ter Haar, 2018, pp. 202-203.</w:t>
      </w:r>
    </w:p>
  </w:footnote>
  <w:footnote w:id="48">
    <w:p w14:paraId="34B65656" w14:textId="77777777" w:rsidR="006D4FB8" w:rsidRPr="00EA1AE2" w:rsidRDefault="006D4FB8" w:rsidP="00EA1AE2">
      <w:pPr>
        <w:pStyle w:val="FootnoteText"/>
        <w:spacing w:after="120"/>
        <w:rPr>
          <w:sz w:val="22"/>
          <w:szCs w:val="22"/>
        </w:rPr>
      </w:pPr>
      <w:r w:rsidRPr="00EA1AE2">
        <w:rPr>
          <w:rStyle w:val="FootnoteReference"/>
          <w:sz w:val="22"/>
          <w:szCs w:val="22"/>
        </w:rPr>
        <w:footnoteRef/>
      </w:r>
      <w:r w:rsidRPr="00EA1AE2">
        <w:rPr>
          <w:sz w:val="22"/>
          <w:szCs w:val="22"/>
        </w:rPr>
        <w:t xml:space="preserve"> Campany, 1995, p. 344.</w:t>
      </w:r>
    </w:p>
  </w:footnote>
  <w:footnote w:id="49">
    <w:p w14:paraId="521AE6C6" w14:textId="03811053" w:rsidR="006D4FB8" w:rsidRPr="00EA1AE2" w:rsidRDefault="006D4FB8" w:rsidP="00EA1AE2">
      <w:pPr>
        <w:pStyle w:val="FootnoteText"/>
        <w:spacing w:after="120"/>
        <w:rPr>
          <w:sz w:val="22"/>
          <w:szCs w:val="22"/>
        </w:rPr>
      </w:pPr>
      <w:r w:rsidRPr="00EA1AE2">
        <w:rPr>
          <w:rStyle w:val="FootnoteReference"/>
          <w:sz w:val="22"/>
          <w:szCs w:val="22"/>
        </w:rPr>
        <w:footnoteRef/>
      </w:r>
      <w:r w:rsidRPr="00EA1AE2">
        <w:rPr>
          <w:sz w:val="22"/>
          <w:szCs w:val="22"/>
        </w:rPr>
        <w:t xml:space="preserve"> Zaleski, 1987, p. 24. </w:t>
      </w:r>
      <w:r w:rsidR="009E43D2" w:rsidRPr="00EA1AE2">
        <w:rPr>
          <w:sz w:val="22"/>
          <w:szCs w:val="22"/>
        </w:rPr>
        <w:t>The Pure Land does not seem so different from the Kunlun Paradise of Xiwangmu.</w:t>
      </w:r>
    </w:p>
  </w:footnote>
  <w:footnote w:id="50">
    <w:p w14:paraId="2764A942" w14:textId="4D1289FC" w:rsidR="005161F1" w:rsidRPr="00EA1AE2" w:rsidRDefault="005161F1" w:rsidP="00EA1AE2">
      <w:pPr>
        <w:pStyle w:val="FootnoteText"/>
        <w:spacing w:after="120"/>
        <w:rPr>
          <w:sz w:val="22"/>
          <w:szCs w:val="22"/>
        </w:rPr>
      </w:pPr>
      <w:r w:rsidRPr="00EA1AE2">
        <w:rPr>
          <w:rStyle w:val="FootnoteReference"/>
          <w:sz w:val="22"/>
          <w:szCs w:val="22"/>
        </w:rPr>
        <w:footnoteRef/>
      </w:r>
      <w:r w:rsidRPr="00EA1AE2">
        <w:rPr>
          <w:sz w:val="22"/>
          <w:szCs w:val="22"/>
        </w:rPr>
        <w:t xml:space="preserve"> Eliade, 2004, p. 44. Many further references.</w:t>
      </w:r>
    </w:p>
  </w:footnote>
  <w:footnote w:id="51">
    <w:p w14:paraId="401FF650" w14:textId="77777777" w:rsidR="00ED44EF" w:rsidRPr="00EA1AE2" w:rsidRDefault="00ED44EF" w:rsidP="00EA1AE2">
      <w:pPr>
        <w:pStyle w:val="FootnoteText"/>
        <w:spacing w:after="120"/>
        <w:rPr>
          <w:sz w:val="22"/>
          <w:szCs w:val="22"/>
        </w:rPr>
      </w:pPr>
      <w:r w:rsidRPr="00EA1AE2">
        <w:rPr>
          <w:rStyle w:val="FootnoteReference"/>
          <w:sz w:val="22"/>
          <w:szCs w:val="22"/>
        </w:rPr>
        <w:footnoteRef/>
      </w:r>
      <w:r w:rsidRPr="00EA1AE2">
        <w:rPr>
          <w:sz w:val="22"/>
          <w:szCs w:val="22"/>
        </w:rPr>
        <w:t xml:space="preserve"> </w:t>
      </w:r>
      <w:r w:rsidRPr="00EA1AE2">
        <w:rPr>
          <w:rFonts w:cs="Calibri"/>
          <w:sz w:val="22"/>
          <w:szCs w:val="22"/>
        </w:rPr>
        <w:t>Thompson, 1989, p. 28. However, his idea (p. 33) that the afterlife was ‘grim’ or that “the soul encounters nothing but misery” would seem contradicted by the account of Jian Zi above. Zhang however argues that a concept of bao (retribution) was always present, at least for ghosts to take revenge on murderers. (Zhang, 2014, p. 88).</w:t>
      </w:r>
    </w:p>
  </w:footnote>
  <w:footnote w:id="52">
    <w:p w14:paraId="6DD047DF" w14:textId="7A05C9C0" w:rsidR="006D4FB8" w:rsidRPr="00EA1AE2" w:rsidRDefault="006D4FB8" w:rsidP="00EA1AE2">
      <w:pPr>
        <w:pStyle w:val="FootnoteText"/>
        <w:spacing w:after="120"/>
        <w:rPr>
          <w:sz w:val="22"/>
          <w:szCs w:val="22"/>
        </w:rPr>
      </w:pPr>
      <w:r w:rsidRPr="00EA1AE2">
        <w:rPr>
          <w:rStyle w:val="FootnoteReference"/>
          <w:sz w:val="22"/>
          <w:szCs w:val="22"/>
        </w:rPr>
        <w:footnoteRef/>
      </w:r>
      <w:r w:rsidRPr="00EA1AE2">
        <w:rPr>
          <w:sz w:val="22"/>
          <w:szCs w:val="22"/>
        </w:rPr>
        <w:t xml:space="preserve"> It is unclear why such punishment should be required alongside the Buddhist concept of karma and rebirth.</w:t>
      </w:r>
      <w:r w:rsidR="00CF5998" w:rsidRPr="00EA1AE2">
        <w:rPr>
          <w:sz w:val="22"/>
          <w:szCs w:val="22"/>
        </w:rPr>
        <w:t xml:space="preserve"> However, by </w:t>
      </w:r>
      <w:r w:rsidR="00C124B5" w:rsidRPr="00EA1AE2">
        <w:rPr>
          <w:sz w:val="22"/>
          <w:szCs w:val="22"/>
        </w:rPr>
        <w:t xml:space="preserve">the time of the </w:t>
      </w:r>
      <w:r w:rsidR="00CF5998" w:rsidRPr="00EA1AE2">
        <w:rPr>
          <w:sz w:val="22"/>
          <w:szCs w:val="22"/>
        </w:rPr>
        <w:t>Ming dynasty, the ‘originally Buddhist’ Guanyin wholly subverts the ‘punitive logic’ by offering instant salvation</w:t>
      </w:r>
      <w:r w:rsidR="00FC022C" w:rsidRPr="00EA1AE2">
        <w:rPr>
          <w:sz w:val="22"/>
          <w:szCs w:val="22"/>
        </w:rPr>
        <w:t xml:space="preserve"> </w:t>
      </w:r>
      <w:r w:rsidR="00C124B5" w:rsidRPr="00EA1AE2">
        <w:rPr>
          <w:sz w:val="22"/>
          <w:szCs w:val="22"/>
        </w:rPr>
        <w:t>and emptying the ‘</w:t>
      </w:r>
      <w:proofErr w:type="gramStart"/>
      <w:r w:rsidR="00C124B5" w:rsidRPr="00EA1AE2">
        <w:rPr>
          <w:sz w:val="22"/>
          <w:szCs w:val="22"/>
        </w:rPr>
        <w:t>hells’</w:t>
      </w:r>
      <w:proofErr w:type="gramEnd"/>
      <w:r w:rsidR="00C124B5" w:rsidRPr="00EA1AE2">
        <w:rPr>
          <w:sz w:val="22"/>
          <w:szCs w:val="22"/>
        </w:rPr>
        <w:t>.</w:t>
      </w:r>
      <w:r w:rsidR="00CF5998" w:rsidRPr="00EA1AE2">
        <w:rPr>
          <w:sz w:val="22"/>
          <w:szCs w:val="22"/>
        </w:rPr>
        <w:t xml:space="preserve"> (Ganany, 2021, p. 15</w:t>
      </w:r>
      <w:r w:rsidR="00C124B5" w:rsidRPr="00EA1AE2">
        <w:rPr>
          <w:sz w:val="22"/>
          <w:szCs w:val="22"/>
        </w:rPr>
        <w:t>4-159</w:t>
      </w:r>
      <w:r w:rsidR="00CF5998" w:rsidRPr="00EA1AE2">
        <w:rPr>
          <w:sz w:val="22"/>
          <w:szCs w:val="22"/>
        </w:rPr>
        <w:t>).</w:t>
      </w:r>
    </w:p>
  </w:footnote>
  <w:footnote w:id="53">
    <w:p w14:paraId="1AC07D42" w14:textId="3E1707CE" w:rsidR="006D4FB8" w:rsidRPr="007F57AE" w:rsidRDefault="006D4FB8" w:rsidP="00FC022C">
      <w:pPr>
        <w:pStyle w:val="FootnoteText"/>
        <w:spacing w:after="120"/>
        <w:rPr>
          <w:sz w:val="22"/>
          <w:szCs w:val="22"/>
        </w:rPr>
      </w:pPr>
      <w:r w:rsidRPr="007F57AE">
        <w:rPr>
          <w:rStyle w:val="FootnoteReference"/>
          <w:sz w:val="22"/>
          <w:szCs w:val="22"/>
        </w:rPr>
        <w:footnoteRef/>
      </w:r>
      <w:r w:rsidRPr="007F57AE">
        <w:rPr>
          <w:sz w:val="22"/>
          <w:szCs w:val="22"/>
        </w:rPr>
        <w:t xml:space="preserve"> Campany, 1990, p. 119.</w:t>
      </w:r>
      <w:r w:rsidR="005161F1" w:rsidRPr="007F57AE">
        <w:rPr>
          <w:sz w:val="22"/>
          <w:szCs w:val="22"/>
        </w:rPr>
        <w:t xml:space="preserve"> S</w:t>
      </w:r>
      <w:r w:rsidR="005161F1" w:rsidRPr="007F57AE">
        <w:rPr>
          <w:rFonts w:cs="Calibri"/>
          <w:sz w:val="22"/>
          <w:szCs w:val="22"/>
        </w:rPr>
        <w:t xml:space="preserve">aid to be of the Song period, 420-479 CE. Eliade, 2004, </w:t>
      </w:r>
      <w:r w:rsidR="00E7567D" w:rsidRPr="007F57AE">
        <w:rPr>
          <w:rFonts w:cs="Calibri"/>
          <w:sz w:val="22"/>
          <w:szCs w:val="22"/>
        </w:rPr>
        <w:t>p. 44, has precisely a story of ‘cooking in a pot’.</w:t>
      </w:r>
    </w:p>
  </w:footnote>
  <w:footnote w:id="54">
    <w:p w14:paraId="3ADD458B" w14:textId="05E4ECF5" w:rsidR="00ED44EF" w:rsidRPr="007F57AE" w:rsidRDefault="00ED44EF" w:rsidP="00ED44EF">
      <w:pPr>
        <w:pStyle w:val="FootnoteText"/>
        <w:spacing w:after="120"/>
        <w:rPr>
          <w:sz w:val="22"/>
          <w:szCs w:val="22"/>
        </w:rPr>
      </w:pPr>
      <w:r w:rsidRPr="007F57AE">
        <w:rPr>
          <w:rStyle w:val="FootnoteReference"/>
          <w:sz w:val="22"/>
          <w:szCs w:val="22"/>
        </w:rPr>
        <w:footnoteRef/>
      </w:r>
      <w:r w:rsidRPr="007F57AE">
        <w:rPr>
          <w:sz w:val="22"/>
          <w:szCs w:val="22"/>
        </w:rPr>
        <w:t xml:space="preserve"> The concept is less than precise – </w:t>
      </w:r>
      <w:r w:rsidR="00A7129E">
        <w:rPr>
          <w:sz w:val="22"/>
          <w:szCs w:val="22"/>
        </w:rPr>
        <w:t>Teiser, 1988, p. 436, suggests numbers are variously 8, 10, 18, 30 or 64. Teiser, 1988, pp. 433-434, gives the names of ten kings.</w:t>
      </w:r>
      <w:r w:rsidRPr="007F57AE">
        <w:rPr>
          <w:sz w:val="22"/>
          <w:szCs w:val="22"/>
        </w:rPr>
        <w:t xml:space="preserve"> The Lord of Mount Tai has been assigned one of the ten kingships.(</w:t>
      </w:r>
      <w:r w:rsidRPr="007F57AE">
        <w:rPr>
          <w:rFonts w:ascii="Helvetica" w:hAnsi="Helvetica"/>
          <w:color w:val="53565A"/>
          <w:sz w:val="22"/>
          <w:szCs w:val="22"/>
          <w:shd w:val="clear" w:color="auto" w:fill="FFFFFF"/>
        </w:rPr>
        <w:t xml:space="preserve"> </w:t>
      </w:r>
      <w:proofErr w:type="spellStart"/>
      <w:r w:rsidRPr="007F57AE">
        <w:rPr>
          <w:sz w:val="22"/>
          <w:szCs w:val="22"/>
        </w:rPr>
        <w:t>Yü</w:t>
      </w:r>
      <w:proofErr w:type="spellEnd"/>
      <w:r w:rsidRPr="007F57AE">
        <w:rPr>
          <w:sz w:val="22"/>
          <w:szCs w:val="22"/>
        </w:rPr>
        <w:t xml:space="preserve">, 1987, p. 395) A description of the ten </w:t>
      </w:r>
      <w:r w:rsidR="00A7129E">
        <w:rPr>
          <w:sz w:val="22"/>
          <w:szCs w:val="22"/>
        </w:rPr>
        <w:t xml:space="preserve">locations </w:t>
      </w:r>
      <w:r w:rsidRPr="007F57AE">
        <w:rPr>
          <w:sz w:val="22"/>
          <w:szCs w:val="22"/>
        </w:rPr>
        <w:t>is in Yuan, 1987 [</w:t>
      </w:r>
      <w:proofErr w:type="spellStart"/>
      <w:r w:rsidRPr="007F57AE">
        <w:rPr>
          <w:sz w:val="22"/>
          <w:szCs w:val="22"/>
        </w:rPr>
        <w:t>nb</w:t>
      </w:r>
      <w:proofErr w:type="spellEnd"/>
      <w:r w:rsidRPr="007F57AE">
        <w:rPr>
          <w:sz w:val="22"/>
          <w:szCs w:val="22"/>
        </w:rPr>
        <w:t>, it has not been possible to verify the 11</w:t>
      </w:r>
      <w:r w:rsidRPr="007F57AE">
        <w:rPr>
          <w:sz w:val="22"/>
          <w:szCs w:val="22"/>
          <w:vertAlign w:val="superscript"/>
        </w:rPr>
        <w:t>th</w:t>
      </w:r>
      <w:r w:rsidRPr="007F57AE">
        <w:rPr>
          <w:sz w:val="22"/>
          <w:szCs w:val="22"/>
        </w:rPr>
        <w:t xml:space="preserve"> century CE source].</w:t>
      </w:r>
    </w:p>
  </w:footnote>
  <w:footnote w:id="55">
    <w:p w14:paraId="6B3AFE26" w14:textId="53DF456F" w:rsidR="00A7129E" w:rsidRPr="00A7129E" w:rsidRDefault="00A7129E" w:rsidP="00A7129E">
      <w:pPr>
        <w:pStyle w:val="FootnoteText"/>
        <w:spacing w:after="120"/>
        <w:rPr>
          <w:sz w:val="22"/>
          <w:szCs w:val="22"/>
        </w:rPr>
      </w:pPr>
      <w:r w:rsidRPr="00A7129E">
        <w:rPr>
          <w:rStyle w:val="FootnoteReference"/>
          <w:sz w:val="22"/>
          <w:szCs w:val="22"/>
        </w:rPr>
        <w:footnoteRef/>
      </w:r>
      <w:r w:rsidRPr="00A7129E">
        <w:rPr>
          <w:sz w:val="22"/>
          <w:szCs w:val="22"/>
        </w:rPr>
        <w:t xml:space="preserve"> Teiser, 1988, p. 459.</w:t>
      </w:r>
    </w:p>
  </w:footnote>
  <w:footnote w:id="56">
    <w:p w14:paraId="6AB4949B" w14:textId="6E156264" w:rsidR="00880CE5" w:rsidRPr="00566453" w:rsidRDefault="00880CE5" w:rsidP="00566453">
      <w:pPr>
        <w:pStyle w:val="FootnoteText"/>
        <w:spacing w:after="120"/>
        <w:rPr>
          <w:sz w:val="22"/>
          <w:szCs w:val="22"/>
        </w:rPr>
      </w:pPr>
      <w:r w:rsidRPr="00566453">
        <w:rPr>
          <w:rStyle w:val="FootnoteReference"/>
          <w:sz w:val="22"/>
          <w:szCs w:val="22"/>
        </w:rPr>
        <w:footnoteRef/>
      </w:r>
      <w:r w:rsidRPr="00566453">
        <w:rPr>
          <w:sz w:val="22"/>
          <w:szCs w:val="22"/>
        </w:rPr>
        <w:t xml:space="preserve"> Mair, 1983, pp. 87-121, provides a complete translation of the ‘transformation text’.</w:t>
      </w:r>
    </w:p>
  </w:footnote>
  <w:footnote w:id="57">
    <w:p w14:paraId="06913830" w14:textId="77777777" w:rsidR="006D4FB8" w:rsidRPr="007F57AE" w:rsidRDefault="006D4FB8" w:rsidP="00A7129E">
      <w:pPr>
        <w:pStyle w:val="FootnoteText"/>
        <w:spacing w:after="120"/>
        <w:rPr>
          <w:sz w:val="22"/>
          <w:szCs w:val="22"/>
        </w:rPr>
      </w:pPr>
      <w:r w:rsidRPr="00A7129E">
        <w:rPr>
          <w:rStyle w:val="FootnoteReference"/>
          <w:sz w:val="22"/>
          <w:szCs w:val="22"/>
        </w:rPr>
        <w:footnoteRef/>
      </w:r>
      <w:r w:rsidRPr="00A7129E">
        <w:rPr>
          <w:sz w:val="22"/>
          <w:szCs w:val="22"/>
        </w:rPr>
        <w:t xml:space="preserve"> He is named </w:t>
      </w:r>
      <w:proofErr w:type="spellStart"/>
      <w:r w:rsidRPr="00A7129E">
        <w:rPr>
          <w:sz w:val="22"/>
          <w:szCs w:val="22"/>
        </w:rPr>
        <w:t>Maudgalyayana</w:t>
      </w:r>
      <w:proofErr w:type="spellEnd"/>
      <w:r w:rsidRPr="007F57AE">
        <w:rPr>
          <w:sz w:val="22"/>
          <w:szCs w:val="22"/>
        </w:rPr>
        <w:t xml:space="preserve"> in earlier presumably Indian versions, the story repeatedly adapted with multiple variants, </w:t>
      </w:r>
      <w:proofErr w:type="gramStart"/>
      <w:r w:rsidRPr="007F57AE">
        <w:rPr>
          <w:sz w:val="22"/>
          <w:szCs w:val="22"/>
        </w:rPr>
        <w:t>and also</w:t>
      </w:r>
      <w:proofErr w:type="gramEnd"/>
      <w:r w:rsidRPr="007F57AE">
        <w:rPr>
          <w:sz w:val="22"/>
          <w:szCs w:val="22"/>
        </w:rPr>
        <w:t xml:space="preserve"> taken to Japan (Carey, 2000, p. 36).</w:t>
      </w:r>
    </w:p>
  </w:footnote>
  <w:footnote w:id="58">
    <w:p w14:paraId="51FB83DC" w14:textId="4FFFBDF7" w:rsidR="00F57555" w:rsidRPr="00F57555" w:rsidRDefault="00F57555" w:rsidP="00F57555">
      <w:pPr>
        <w:pStyle w:val="FootnoteText"/>
        <w:spacing w:after="120"/>
        <w:rPr>
          <w:sz w:val="22"/>
          <w:szCs w:val="22"/>
        </w:rPr>
      </w:pPr>
      <w:r w:rsidRPr="00F57555">
        <w:rPr>
          <w:rStyle w:val="FootnoteReference"/>
          <w:sz w:val="22"/>
          <w:szCs w:val="22"/>
        </w:rPr>
        <w:footnoteRef/>
      </w:r>
      <w:r w:rsidRPr="00F57555">
        <w:rPr>
          <w:sz w:val="22"/>
          <w:szCs w:val="22"/>
        </w:rPr>
        <w:t xml:space="preserve"> Mair, 1983, p. 91.</w:t>
      </w:r>
    </w:p>
  </w:footnote>
  <w:footnote w:id="59">
    <w:p w14:paraId="2F4080A5" w14:textId="74464818" w:rsidR="00F57555" w:rsidRPr="00F57555" w:rsidRDefault="00F57555" w:rsidP="00F57555">
      <w:pPr>
        <w:pStyle w:val="FootnoteText"/>
        <w:spacing w:after="120"/>
        <w:rPr>
          <w:sz w:val="22"/>
          <w:szCs w:val="22"/>
        </w:rPr>
      </w:pPr>
      <w:r w:rsidRPr="00F57555">
        <w:rPr>
          <w:rStyle w:val="FootnoteReference"/>
          <w:sz w:val="22"/>
          <w:szCs w:val="22"/>
        </w:rPr>
        <w:footnoteRef/>
      </w:r>
      <w:r w:rsidRPr="00F57555">
        <w:rPr>
          <w:sz w:val="22"/>
          <w:szCs w:val="22"/>
        </w:rPr>
        <w:t xml:space="preserve"> Mair, 1983, p. 106.</w:t>
      </w:r>
    </w:p>
  </w:footnote>
  <w:footnote w:id="60">
    <w:p w14:paraId="2123AAAC" w14:textId="5AB1565F" w:rsidR="002E0A1E" w:rsidRPr="00F57555" w:rsidRDefault="002E0A1E" w:rsidP="00F57555">
      <w:pPr>
        <w:pStyle w:val="FootnoteText"/>
        <w:spacing w:after="120"/>
        <w:rPr>
          <w:sz w:val="22"/>
          <w:szCs w:val="22"/>
        </w:rPr>
      </w:pPr>
      <w:r w:rsidRPr="00F57555">
        <w:rPr>
          <w:rStyle w:val="FootnoteReference"/>
          <w:sz w:val="22"/>
          <w:szCs w:val="22"/>
        </w:rPr>
        <w:footnoteRef/>
      </w:r>
      <w:r w:rsidRPr="00F57555">
        <w:rPr>
          <w:sz w:val="22"/>
          <w:szCs w:val="22"/>
        </w:rPr>
        <w:t xml:space="preserve"> Teiser, 1996, 150-154, describes the successive process of meditative states by which the ‘factors of consciousness’ are ‘stripped away’ into what Harner would call the Shamanic State of Consciousness. </w:t>
      </w:r>
    </w:p>
  </w:footnote>
  <w:footnote w:id="61">
    <w:p w14:paraId="0C84A456" w14:textId="77777777" w:rsidR="006D4FB8" w:rsidRPr="00FC022C" w:rsidRDefault="006D4FB8" w:rsidP="00FC022C">
      <w:pPr>
        <w:pStyle w:val="FootnoteText"/>
        <w:spacing w:after="120"/>
        <w:rPr>
          <w:sz w:val="22"/>
          <w:szCs w:val="22"/>
        </w:rPr>
      </w:pPr>
      <w:r w:rsidRPr="007F57AE">
        <w:rPr>
          <w:rStyle w:val="FootnoteReference"/>
          <w:sz w:val="22"/>
          <w:szCs w:val="22"/>
        </w:rPr>
        <w:footnoteRef/>
      </w:r>
      <w:r w:rsidRPr="007F57AE">
        <w:rPr>
          <w:sz w:val="22"/>
          <w:szCs w:val="22"/>
        </w:rPr>
        <w:t xml:space="preserve"> </w:t>
      </w:r>
      <w:proofErr w:type="spellStart"/>
      <w:r w:rsidRPr="007F57AE">
        <w:rPr>
          <w:sz w:val="22"/>
          <w:szCs w:val="22"/>
        </w:rPr>
        <w:t>Sedana</w:t>
      </w:r>
      <w:proofErr w:type="spellEnd"/>
      <w:r w:rsidRPr="007F57AE">
        <w:rPr>
          <w:sz w:val="22"/>
          <w:szCs w:val="22"/>
        </w:rPr>
        <w:t>, 2018, p. 90. Eliade, 2004, pp. 128, 347, mentions the staff. See also So, 2018.</w:t>
      </w:r>
      <w:r w:rsidRPr="00FC022C">
        <w:rPr>
          <w:sz w:val="22"/>
          <w:szCs w:val="22"/>
        </w:rPr>
        <w:t xml:space="preserve"> </w:t>
      </w:r>
    </w:p>
  </w:footnote>
  <w:footnote w:id="62">
    <w:p w14:paraId="621B3A3F" w14:textId="4B126AF5" w:rsidR="00E81CCF" w:rsidRPr="004F4A03" w:rsidRDefault="00E81CCF" w:rsidP="00E43E0F">
      <w:pPr>
        <w:pStyle w:val="FootnoteText"/>
        <w:spacing w:after="120"/>
        <w:rPr>
          <w:sz w:val="22"/>
          <w:szCs w:val="22"/>
        </w:rPr>
      </w:pPr>
      <w:r w:rsidRPr="004F4A03">
        <w:rPr>
          <w:rStyle w:val="FootnoteReference"/>
          <w:sz w:val="22"/>
          <w:szCs w:val="22"/>
        </w:rPr>
        <w:footnoteRef/>
      </w:r>
      <w:r w:rsidRPr="004F4A03">
        <w:rPr>
          <w:sz w:val="22"/>
          <w:szCs w:val="22"/>
        </w:rPr>
        <w:t xml:space="preserve"> </w:t>
      </w:r>
      <w:r w:rsidR="004F4A03" w:rsidRPr="004F4A03">
        <w:rPr>
          <w:sz w:val="22"/>
          <w:szCs w:val="22"/>
        </w:rPr>
        <w:t xml:space="preserve">Campany, et.al., 2014, pp. 480-481. </w:t>
      </w:r>
      <w:r w:rsidRPr="004F4A03">
        <w:rPr>
          <w:sz w:val="22"/>
          <w:szCs w:val="22"/>
        </w:rPr>
        <w:t>R</w:t>
      </w:r>
      <w:r w:rsidRPr="004F4A03">
        <w:rPr>
          <w:rFonts w:cs="Calibri"/>
          <w:sz w:val="22"/>
          <w:szCs w:val="22"/>
        </w:rPr>
        <w:t xml:space="preserve">escue is not direct but requires substantial offering and some further incarnations. It is suggested that in this story Buddhism </w:t>
      </w:r>
      <w:proofErr w:type="gramStart"/>
      <w:r w:rsidRPr="004F4A03">
        <w:rPr>
          <w:rFonts w:cs="Calibri"/>
          <w:sz w:val="22"/>
          <w:szCs w:val="22"/>
        </w:rPr>
        <w:t>is able to</w:t>
      </w:r>
      <w:proofErr w:type="gramEnd"/>
      <w:r w:rsidRPr="004F4A03">
        <w:rPr>
          <w:rFonts w:cs="Calibri"/>
          <w:sz w:val="22"/>
          <w:szCs w:val="22"/>
        </w:rPr>
        <w:t xml:space="preserve"> appropriate the Confucian principle of filial devotion</w:t>
      </w:r>
    </w:p>
  </w:footnote>
  <w:footnote w:id="63">
    <w:p w14:paraId="79A02C21" w14:textId="589D7530" w:rsidR="00FC022C" w:rsidRPr="007F57AE" w:rsidRDefault="00FC022C" w:rsidP="007F57AE">
      <w:pPr>
        <w:pStyle w:val="FootnoteText"/>
        <w:spacing w:after="120"/>
        <w:rPr>
          <w:sz w:val="22"/>
          <w:szCs w:val="22"/>
        </w:rPr>
      </w:pPr>
      <w:r w:rsidRPr="007F57AE">
        <w:rPr>
          <w:rStyle w:val="FootnoteReference"/>
          <w:sz w:val="22"/>
          <w:szCs w:val="22"/>
        </w:rPr>
        <w:footnoteRef/>
      </w:r>
      <w:r w:rsidRPr="007F57AE">
        <w:rPr>
          <w:sz w:val="22"/>
          <w:szCs w:val="22"/>
        </w:rPr>
        <w:t xml:space="preserve"> Ganany, 2021, pp. 161-167. The stories date from the </w:t>
      </w:r>
      <w:r w:rsidRPr="007F57AE">
        <w:rPr>
          <w:rFonts w:cs="Calibri"/>
          <w:sz w:val="22"/>
          <w:szCs w:val="22"/>
          <w:lang w:val="en"/>
        </w:rPr>
        <w:t xml:space="preserve">Song &amp; Ming dynasties. </w:t>
      </w:r>
    </w:p>
  </w:footnote>
  <w:footnote w:id="64">
    <w:p w14:paraId="5719663F" w14:textId="1C730431" w:rsidR="00CA1CC7" w:rsidRPr="007F57AE" w:rsidRDefault="00CA1CC7" w:rsidP="007F57AE">
      <w:pPr>
        <w:pStyle w:val="FootnoteText"/>
        <w:spacing w:after="120"/>
        <w:rPr>
          <w:sz w:val="22"/>
          <w:szCs w:val="22"/>
        </w:rPr>
      </w:pPr>
      <w:r w:rsidRPr="007F57AE">
        <w:rPr>
          <w:rStyle w:val="FootnoteReference"/>
          <w:sz w:val="22"/>
          <w:szCs w:val="22"/>
        </w:rPr>
        <w:footnoteRef/>
      </w:r>
      <w:r w:rsidRPr="007F57AE">
        <w:rPr>
          <w:sz w:val="22"/>
          <w:szCs w:val="22"/>
        </w:rPr>
        <w:t xml:space="preserve"> Kao,1985, pp. 321-321 (#92) [</w:t>
      </w:r>
      <w:proofErr w:type="spellStart"/>
      <w:r w:rsidRPr="007F57AE">
        <w:rPr>
          <w:sz w:val="22"/>
          <w:szCs w:val="22"/>
        </w:rPr>
        <w:t>nb</w:t>
      </w:r>
      <w:proofErr w:type="spellEnd"/>
      <w:r w:rsidRPr="007F57AE">
        <w:rPr>
          <w:sz w:val="22"/>
          <w:szCs w:val="22"/>
        </w:rPr>
        <w:t xml:space="preserve">, pagination from converted </w:t>
      </w:r>
      <w:proofErr w:type="spellStart"/>
      <w:r w:rsidRPr="007F57AE">
        <w:rPr>
          <w:sz w:val="22"/>
          <w:szCs w:val="22"/>
        </w:rPr>
        <w:t>epub</w:t>
      </w:r>
      <w:proofErr w:type="spellEnd"/>
      <w:r w:rsidRPr="007F57AE">
        <w:rPr>
          <w:sz w:val="22"/>
          <w:szCs w:val="22"/>
        </w:rPr>
        <w:t xml:space="preserve"> to pdf file, not in source]. </w:t>
      </w:r>
      <w:r w:rsidR="00683ED9" w:rsidRPr="007F57AE">
        <w:rPr>
          <w:sz w:val="22"/>
          <w:szCs w:val="22"/>
        </w:rPr>
        <w:t>Story a</w:t>
      </w:r>
      <w:r w:rsidRPr="007F57AE">
        <w:rPr>
          <w:sz w:val="22"/>
          <w:szCs w:val="22"/>
        </w:rPr>
        <w:t xml:space="preserve">ttributed to Pei Xing, </w:t>
      </w:r>
      <w:r w:rsidRPr="007F57AE">
        <w:rPr>
          <w:i/>
          <w:iCs/>
          <w:sz w:val="22"/>
          <w:szCs w:val="22"/>
        </w:rPr>
        <w:t>Chuan Qi.</w:t>
      </w:r>
    </w:p>
  </w:footnote>
  <w:footnote w:id="65">
    <w:p w14:paraId="229049C7" w14:textId="3165EC23" w:rsidR="00C124B5" w:rsidRPr="007F57AE" w:rsidRDefault="00C124B5" w:rsidP="007F57AE">
      <w:pPr>
        <w:pStyle w:val="FootnoteText"/>
        <w:spacing w:after="120"/>
        <w:rPr>
          <w:sz w:val="22"/>
          <w:szCs w:val="22"/>
        </w:rPr>
      </w:pPr>
      <w:r w:rsidRPr="007F57AE">
        <w:rPr>
          <w:rStyle w:val="FootnoteReference"/>
          <w:sz w:val="22"/>
          <w:szCs w:val="22"/>
        </w:rPr>
        <w:footnoteRef/>
      </w:r>
      <w:r w:rsidRPr="007F57AE">
        <w:rPr>
          <w:sz w:val="22"/>
          <w:szCs w:val="22"/>
        </w:rPr>
        <w:t xml:space="preserve"> The German story of Mother Holle has its protagonist using this </w:t>
      </w:r>
      <w:r w:rsidR="00EB5B51" w:rsidRPr="007F57AE">
        <w:rPr>
          <w:sz w:val="22"/>
          <w:szCs w:val="22"/>
        </w:rPr>
        <w:t xml:space="preserve">access </w:t>
      </w:r>
      <w:r w:rsidRPr="007F57AE">
        <w:rPr>
          <w:sz w:val="22"/>
          <w:szCs w:val="22"/>
        </w:rPr>
        <w:t xml:space="preserve">route to the underworld. </w:t>
      </w:r>
    </w:p>
  </w:footnote>
  <w:footnote w:id="66">
    <w:p w14:paraId="0FAF0027" w14:textId="5615DF4C" w:rsidR="00FA1128" w:rsidRPr="007F57AE" w:rsidRDefault="00FA1128" w:rsidP="007F57AE">
      <w:pPr>
        <w:pStyle w:val="FootnoteText"/>
        <w:spacing w:after="120"/>
        <w:rPr>
          <w:sz w:val="22"/>
          <w:szCs w:val="22"/>
        </w:rPr>
      </w:pPr>
      <w:r w:rsidRPr="007F57AE">
        <w:rPr>
          <w:rStyle w:val="FootnoteReference"/>
          <w:sz w:val="22"/>
          <w:szCs w:val="22"/>
        </w:rPr>
        <w:footnoteRef/>
      </w:r>
      <w:r w:rsidRPr="007F57AE">
        <w:rPr>
          <w:sz w:val="22"/>
          <w:szCs w:val="22"/>
        </w:rPr>
        <w:t xml:space="preserve"> Zhang, 2014, p. 110 suggests Mount Tai as location of the netherworld from about 1</w:t>
      </w:r>
      <w:r w:rsidRPr="007F57AE">
        <w:rPr>
          <w:sz w:val="22"/>
          <w:szCs w:val="22"/>
          <w:vertAlign w:val="superscript"/>
        </w:rPr>
        <w:t>st</w:t>
      </w:r>
      <w:r w:rsidRPr="007F57AE">
        <w:rPr>
          <w:sz w:val="22"/>
          <w:szCs w:val="22"/>
        </w:rPr>
        <w:t xml:space="preserve"> century BCE.</w:t>
      </w:r>
    </w:p>
  </w:footnote>
  <w:footnote w:id="67">
    <w:p w14:paraId="32B37AAA" w14:textId="77777777" w:rsidR="007A2D5A" w:rsidRPr="007F57AE" w:rsidRDefault="002B45C4" w:rsidP="007F57AE">
      <w:pPr>
        <w:pStyle w:val="FootnoteText"/>
        <w:spacing w:after="120"/>
        <w:rPr>
          <w:sz w:val="22"/>
          <w:szCs w:val="22"/>
        </w:rPr>
      </w:pPr>
      <w:r w:rsidRPr="007F57AE">
        <w:rPr>
          <w:rStyle w:val="FootnoteReference"/>
          <w:sz w:val="22"/>
          <w:szCs w:val="22"/>
        </w:rPr>
        <w:footnoteRef/>
      </w:r>
      <w:r w:rsidRPr="007F57AE">
        <w:rPr>
          <w:sz w:val="22"/>
          <w:szCs w:val="22"/>
        </w:rPr>
        <w:t xml:space="preserve"> Campany, 1990, p. 107, citing Zhang Hua (*232-300).</w:t>
      </w:r>
    </w:p>
  </w:footnote>
  <w:footnote w:id="68">
    <w:p w14:paraId="2A75A0CE" w14:textId="7E4387C0" w:rsidR="007A2D5A" w:rsidRPr="007F57AE" w:rsidRDefault="002B45C4" w:rsidP="007F57AE">
      <w:pPr>
        <w:pStyle w:val="FootnoteText"/>
        <w:spacing w:after="120"/>
        <w:rPr>
          <w:sz w:val="22"/>
          <w:szCs w:val="22"/>
        </w:rPr>
      </w:pPr>
      <w:r w:rsidRPr="007F57AE">
        <w:rPr>
          <w:rStyle w:val="FootnoteReference"/>
          <w:sz w:val="22"/>
          <w:szCs w:val="22"/>
        </w:rPr>
        <w:footnoteRef/>
      </w:r>
      <w:r w:rsidRPr="007F57AE">
        <w:rPr>
          <w:sz w:val="22"/>
          <w:szCs w:val="22"/>
        </w:rPr>
        <w:t xml:space="preserve"> Campany, 1990, pp. 110-111 citing Tao </w:t>
      </w:r>
      <w:proofErr w:type="spellStart"/>
      <w:r w:rsidRPr="007F57AE">
        <w:rPr>
          <w:sz w:val="22"/>
          <w:szCs w:val="22"/>
        </w:rPr>
        <w:t>Hongjing</w:t>
      </w:r>
      <w:proofErr w:type="spellEnd"/>
      <w:r w:rsidRPr="007F57AE">
        <w:rPr>
          <w:sz w:val="22"/>
          <w:szCs w:val="22"/>
        </w:rPr>
        <w:t>.</w:t>
      </w:r>
      <w:r w:rsidR="0088354A" w:rsidRPr="007F57AE">
        <w:rPr>
          <w:sz w:val="22"/>
          <w:szCs w:val="22"/>
        </w:rPr>
        <w:t xml:space="preserve"> Thompson, pp. 38-39, cites the </w:t>
      </w:r>
      <w:r w:rsidR="0088354A" w:rsidRPr="007F57AE">
        <w:rPr>
          <w:i/>
          <w:iCs/>
          <w:sz w:val="22"/>
          <w:szCs w:val="22"/>
        </w:rPr>
        <w:t>Chen Kao</w:t>
      </w:r>
      <w:r w:rsidR="0088354A" w:rsidRPr="007F57AE">
        <w:rPr>
          <w:sz w:val="22"/>
          <w:szCs w:val="22"/>
        </w:rPr>
        <w:t xml:space="preserve"> (Declarations of the  Perfected) that describes </w:t>
      </w:r>
      <w:r w:rsidR="0088354A" w:rsidRPr="007F57AE">
        <w:rPr>
          <w:rFonts w:cs="Calibri"/>
          <w:sz w:val="22"/>
          <w:szCs w:val="22"/>
        </w:rPr>
        <w:t xml:space="preserve">Mount Luo-feng as located in the </w:t>
      </w:r>
      <w:proofErr w:type="spellStart"/>
      <w:r w:rsidR="0088354A" w:rsidRPr="007F57AE">
        <w:rPr>
          <w:rFonts w:cs="Calibri"/>
          <w:i/>
          <w:iCs/>
          <w:sz w:val="22"/>
          <w:szCs w:val="22"/>
        </w:rPr>
        <w:t>kuei</w:t>
      </w:r>
      <w:proofErr w:type="spellEnd"/>
      <w:r w:rsidR="0088354A" w:rsidRPr="007F57AE">
        <w:rPr>
          <w:rFonts w:cs="Calibri"/>
          <w:sz w:val="22"/>
          <w:szCs w:val="22"/>
        </w:rPr>
        <w:t>-region, absurdly large (2,600 leagues high and that human footprints have never reached it.</w:t>
      </w:r>
    </w:p>
  </w:footnote>
  <w:footnote w:id="69">
    <w:p w14:paraId="7DA6B887" w14:textId="53C4C425" w:rsidR="007A2D5A" w:rsidRPr="007F57AE" w:rsidRDefault="002B45C4" w:rsidP="007F57AE">
      <w:pPr>
        <w:spacing w:after="120" w:line="240" w:lineRule="auto"/>
        <w:rPr>
          <w:rFonts w:cs="Calibri"/>
        </w:rPr>
      </w:pPr>
      <w:r w:rsidRPr="007F57AE">
        <w:rPr>
          <w:rStyle w:val="FootnoteReference"/>
        </w:rPr>
        <w:footnoteRef/>
      </w:r>
      <w:r w:rsidRPr="007F57AE">
        <w:t xml:space="preserve"> Pankenier, 2013, p. 92</w:t>
      </w:r>
      <w:r w:rsidR="008953C2" w:rsidRPr="007F57AE">
        <w:t xml:space="preserve">. </w:t>
      </w:r>
    </w:p>
  </w:footnote>
  <w:footnote w:id="70">
    <w:p w14:paraId="172A30A9" w14:textId="37D3E263" w:rsidR="00F86A54" w:rsidRPr="007F57AE" w:rsidRDefault="00F86A54" w:rsidP="007F57AE">
      <w:pPr>
        <w:pStyle w:val="FootnoteText"/>
        <w:spacing w:after="120"/>
        <w:rPr>
          <w:sz w:val="22"/>
          <w:szCs w:val="22"/>
        </w:rPr>
      </w:pPr>
      <w:r w:rsidRPr="007F57AE">
        <w:rPr>
          <w:rStyle w:val="FootnoteReference"/>
          <w:sz w:val="22"/>
          <w:szCs w:val="22"/>
        </w:rPr>
        <w:footnoteRef/>
      </w:r>
      <w:r w:rsidRPr="007F57AE">
        <w:rPr>
          <w:sz w:val="22"/>
          <w:szCs w:val="22"/>
        </w:rPr>
        <w:t xml:space="preserve"> Zhang, 2014, p. 111.</w:t>
      </w:r>
    </w:p>
  </w:footnote>
  <w:footnote w:id="71">
    <w:p w14:paraId="00020E01" w14:textId="77777777" w:rsidR="007A2D5A" w:rsidRPr="007F57AE" w:rsidRDefault="002B45C4" w:rsidP="007F57AE">
      <w:pPr>
        <w:pStyle w:val="FootnoteText"/>
        <w:spacing w:after="120"/>
        <w:rPr>
          <w:sz w:val="22"/>
          <w:szCs w:val="22"/>
        </w:rPr>
      </w:pPr>
      <w:r w:rsidRPr="007F57AE">
        <w:rPr>
          <w:rStyle w:val="FootnoteReference"/>
          <w:sz w:val="22"/>
          <w:szCs w:val="22"/>
        </w:rPr>
        <w:footnoteRef/>
      </w:r>
      <w:r w:rsidRPr="007F57AE">
        <w:rPr>
          <w:sz w:val="22"/>
          <w:szCs w:val="22"/>
        </w:rPr>
        <w:t xml:space="preserve"> Pankenier, 2013, p. 93,</w:t>
      </w:r>
    </w:p>
  </w:footnote>
  <w:footnote w:id="72">
    <w:p w14:paraId="1C4DFD9D" w14:textId="64E79588" w:rsidR="009C63E3" w:rsidRPr="007F57AE" w:rsidRDefault="009C63E3" w:rsidP="007F57AE">
      <w:pPr>
        <w:pStyle w:val="FootnoteText"/>
        <w:spacing w:after="120"/>
        <w:rPr>
          <w:sz w:val="22"/>
          <w:szCs w:val="22"/>
        </w:rPr>
      </w:pPr>
      <w:r w:rsidRPr="007F57AE">
        <w:rPr>
          <w:rStyle w:val="FootnoteReference"/>
          <w:sz w:val="22"/>
          <w:szCs w:val="22"/>
        </w:rPr>
        <w:footnoteRef/>
      </w:r>
      <w:r w:rsidRPr="007F57AE">
        <w:rPr>
          <w:sz w:val="22"/>
          <w:szCs w:val="22"/>
        </w:rPr>
        <w:t xml:space="preserve"> Campany, 1990, p. 113.</w:t>
      </w:r>
    </w:p>
  </w:footnote>
  <w:footnote w:id="73">
    <w:p w14:paraId="4D965D64" w14:textId="696502FD" w:rsidR="007A2D5A" w:rsidRPr="007F57AE" w:rsidRDefault="002B45C4" w:rsidP="007F57AE">
      <w:pPr>
        <w:pStyle w:val="FootnoteText"/>
        <w:spacing w:after="120"/>
        <w:rPr>
          <w:sz w:val="22"/>
          <w:szCs w:val="22"/>
        </w:rPr>
      </w:pPr>
      <w:r w:rsidRPr="007F57AE">
        <w:rPr>
          <w:rStyle w:val="FootnoteReference"/>
          <w:sz w:val="22"/>
          <w:szCs w:val="22"/>
        </w:rPr>
        <w:footnoteRef/>
      </w:r>
      <w:r w:rsidRPr="007F57AE">
        <w:rPr>
          <w:sz w:val="22"/>
          <w:szCs w:val="22"/>
        </w:rPr>
        <w:t xml:space="preserve"> Strassberg, 2002, p. 209 (#301).</w:t>
      </w:r>
      <w:r w:rsidR="008D48A2" w:rsidRPr="007F57AE">
        <w:rPr>
          <w:sz w:val="22"/>
          <w:szCs w:val="22"/>
        </w:rPr>
        <w:t xml:space="preserve"> </w:t>
      </w:r>
      <w:r w:rsidR="00091875" w:rsidRPr="007F57AE">
        <w:rPr>
          <w:rFonts w:cs="Calibri"/>
          <w:sz w:val="22"/>
          <w:szCs w:val="22"/>
        </w:rPr>
        <w:t xml:space="preserve">A return-from-death story involving a child is told in </w:t>
      </w:r>
      <w:proofErr w:type="spellStart"/>
      <w:r w:rsidR="00091875" w:rsidRPr="00E43E0F">
        <w:rPr>
          <w:rFonts w:cs="Calibri"/>
          <w:i/>
          <w:iCs/>
          <w:sz w:val="22"/>
          <w:szCs w:val="22"/>
        </w:rPr>
        <w:t>Zhenyi</w:t>
      </w:r>
      <w:proofErr w:type="spellEnd"/>
      <w:r w:rsidR="00091875" w:rsidRPr="00E43E0F">
        <w:rPr>
          <w:rFonts w:cs="Calibri"/>
          <w:i/>
          <w:iCs/>
          <w:sz w:val="22"/>
          <w:szCs w:val="22"/>
        </w:rPr>
        <w:t xml:space="preserve"> zhuan</w:t>
      </w:r>
      <w:r w:rsidR="00091875" w:rsidRPr="007F57AE">
        <w:rPr>
          <w:rFonts w:cs="Calibri"/>
          <w:sz w:val="22"/>
          <w:szCs w:val="22"/>
        </w:rPr>
        <w:t>.</w:t>
      </w:r>
      <w:r w:rsidR="00064353" w:rsidRPr="007F57AE">
        <w:rPr>
          <w:rFonts w:cs="Calibri"/>
          <w:sz w:val="22"/>
          <w:szCs w:val="22"/>
        </w:rPr>
        <w:t>(</w:t>
      </w:r>
      <w:r w:rsidR="00064353" w:rsidRPr="007F57AE">
        <w:rPr>
          <w:sz w:val="22"/>
          <w:szCs w:val="22"/>
        </w:rPr>
        <w:t>Campany, Marvels, 2015, pp. 122-123, #214).</w:t>
      </w:r>
      <w:r w:rsidR="00091875" w:rsidRPr="007F57AE">
        <w:rPr>
          <w:rFonts w:cs="Calibri"/>
          <w:sz w:val="22"/>
          <w:szCs w:val="22"/>
        </w:rPr>
        <w:t xml:space="preserve"> Zhang Boyuan ‘dies’ aged eight. He finds himself at the foot of a mountain, and joins other children pushing a large wagon. When a violent dust storm arises, Boyuan clings to a mulberry branch after which he returns to life. Dust in his hair corroborates the experience. In adult life he sees the mulberry tree near Mount Tai.</w:t>
      </w:r>
    </w:p>
  </w:footnote>
  <w:footnote w:id="74">
    <w:p w14:paraId="64C91C05" w14:textId="77777777" w:rsidR="007A2D5A" w:rsidRPr="008D48A2" w:rsidRDefault="002B45C4" w:rsidP="008D48A2">
      <w:pPr>
        <w:pStyle w:val="FootnoteText"/>
        <w:spacing w:after="120"/>
        <w:rPr>
          <w:sz w:val="22"/>
          <w:szCs w:val="22"/>
        </w:rPr>
      </w:pPr>
      <w:r w:rsidRPr="008D48A2">
        <w:rPr>
          <w:rStyle w:val="FootnoteReference"/>
          <w:sz w:val="22"/>
          <w:szCs w:val="22"/>
        </w:rPr>
        <w:footnoteRef/>
      </w:r>
      <w:r w:rsidRPr="008D48A2">
        <w:rPr>
          <w:sz w:val="22"/>
          <w:szCs w:val="22"/>
        </w:rPr>
        <w:t xml:space="preserve"> Campany, 1990, p. 109</w:t>
      </w:r>
    </w:p>
  </w:footnote>
  <w:footnote w:id="75">
    <w:p w14:paraId="1244C702" w14:textId="77777777" w:rsidR="007A2D5A" w:rsidRPr="008D48A2" w:rsidRDefault="002B45C4" w:rsidP="008D48A2">
      <w:pPr>
        <w:pStyle w:val="FootnoteText"/>
        <w:spacing w:after="120"/>
        <w:rPr>
          <w:sz w:val="22"/>
          <w:szCs w:val="22"/>
        </w:rPr>
      </w:pPr>
      <w:r w:rsidRPr="008D48A2">
        <w:rPr>
          <w:rStyle w:val="FootnoteReference"/>
          <w:sz w:val="22"/>
          <w:szCs w:val="22"/>
        </w:rPr>
        <w:footnoteRef/>
      </w:r>
      <w:r w:rsidRPr="008D48A2">
        <w:rPr>
          <w:sz w:val="22"/>
          <w:szCs w:val="22"/>
        </w:rPr>
        <w:t xml:space="preserve"> Campany, 1990, p. 116.</w:t>
      </w:r>
    </w:p>
  </w:footnote>
  <w:footnote w:id="76">
    <w:p w14:paraId="73934D5F" w14:textId="77777777" w:rsidR="007A2D5A" w:rsidRPr="008D48A2" w:rsidRDefault="002B45C4" w:rsidP="008D48A2">
      <w:pPr>
        <w:pStyle w:val="FootnoteText"/>
        <w:spacing w:after="120"/>
        <w:rPr>
          <w:sz w:val="22"/>
          <w:szCs w:val="22"/>
        </w:rPr>
      </w:pPr>
      <w:r w:rsidRPr="008D48A2">
        <w:rPr>
          <w:rStyle w:val="FootnoteReference"/>
          <w:sz w:val="22"/>
          <w:szCs w:val="22"/>
        </w:rPr>
        <w:footnoteRef/>
      </w:r>
      <w:r w:rsidRPr="008D48A2">
        <w:rPr>
          <w:sz w:val="22"/>
          <w:szCs w:val="22"/>
        </w:rPr>
        <w:t xml:space="preserve"> Campany, 1990, p. 91. The term </w:t>
      </w:r>
      <w:proofErr w:type="spellStart"/>
      <w:r w:rsidRPr="008D48A2">
        <w:rPr>
          <w:i/>
          <w:iCs/>
          <w:sz w:val="22"/>
          <w:szCs w:val="22"/>
        </w:rPr>
        <w:t>xiaoshuo</w:t>
      </w:r>
      <w:proofErr w:type="spellEnd"/>
      <w:r w:rsidRPr="008D48A2">
        <w:rPr>
          <w:sz w:val="22"/>
          <w:szCs w:val="22"/>
        </w:rPr>
        <w:t xml:space="preserve">, more recently considered as equivalent to ‘fiction’ might also be used. (Campany, 2015, p. xx.) Campany argues the concept of ‘fiction’ anachronistic with respect to this material and that </w:t>
      </w:r>
      <w:r w:rsidRPr="008D48A2">
        <w:rPr>
          <w:i/>
          <w:iCs/>
          <w:sz w:val="22"/>
          <w:szCs w:val="22"/>
        </w:rPr>
        <w:t>zhiguai</w:t>
      </w:r>
      <w:r w:rsidRPr="008D48A2">
        <w:rPr>
          <w:sz w:val="22"/>
          <w:szCs w:val="22"/>
        </w:rPr>
        <w:t xml:space="preserve"> compilers saw their work as a branch of history (2015, p. xxiv). Further, many of the stories are noted as having circulated for some time previously (Campany, 2015, pp. xxvii-xxvii).</w:t>
      </w:r>
    </w:p>
  </w:footnote>
  <w:footnote w:id="77">
    <w:p w14:paraId="750C37CF" w14:textId="77777777" w:rsidR="007A2D5A" w:rsidRPr="008D48A2" w:rsidRDefault="002B45C4" w:rsidP="008D48A2">
      <w:pPr>
        <w:pStyle w:val="FootnoteText"/>
        <w:spacing w:after="120"/>
        <w:rPr>
          <w:sz w:val="22"/>
          <w:szCs w:val="22"/>
        </w:rPr>
      </w:pPr>
      <w:r w:rsidRPr="008D48A2">
        <w:rPr>
          <w:rStyle w:val="FootnoteReference"/>
          <w:sz w:val="22"/>
          <w:szCs w:val="22"/>
        </w:rPr>
        <w:footnoteRef/>
      </w:r>
      <w:r w:rsidRPr="008D48A2">
        <w:rPr>
          <w:sz w:val="22"/>
          <w:szCs w:val="22"/>
        </w:rPr>
        <w:t xml:space="preserve"> Campany, 1990, p. 92.</w:t>
      </w:r>
    </w:p>
  </w:footnote>
  <w:footnote w:id="78">
    <w:p w14:paraId="70C5FB9A" w14:textId="3A1CF199" w:rsidR="007A2D5A" w:rsidRPr="00AA275D" w:rsidRDefault="002B45C4" w:rsidP="00AA275D">
      <w:pPr>
        <w:pStyle w:val="FootnoteText"/>
        <w:spacing w:after="120"/>
        <w:rPr>
          <w:sz w:val="22"/>
          <w:szCs w:val="22"/>
        </w:rPr>
      </w:pPr>
      <w:r w:rsidRPr="00AA275D">
        <w:rPr>
          <w:rStyle w:val="FootnoteReference"/>
          <w:sz w:val="22"/>
          <w:szCs w:val="22"/>
        </w:rPr>
        <w:footnoteRef/>
      </w:r>
      <w:r w:rsidRPr="00AA275D">
        <w:rPr>
          <w:sz w:val="22"/>
          <w:szCs w:val="22"/>
        </w:rPr>
        <w:t xml:space="preserve"> Company, 1990, p. 93. (His emphas</w:t>
      </w:r>
      <w:r w:rsidR="009F60FC">
        <w:rPr>
          <w:sz w:val="22"/>
          <w:szCs w:val="22"/>
        </w:rPr>
        <w:t>i</w:t>
      </w:r>
      <w:r w:rsidRPr="00AA275D">
        <w:rPr>
          <w:sz w:val="22"/>
          <w:szCs w:val="22"/>
        </w:rPr>
        <w:t>s.)</w:t>
      </w:r>
      <w:r w:rsidR="009F60FC">
        <w:rPr>
          <w:sz w:val="22"/>
          <w:szCs w:val="22"/>
        </w:rPr>
        <w:t xml:space="preserve"> By contrast, however, 1990, p. 125, (his emphases) he argues NDE stories as rare instances of </w:t>
      </w:r>
      <w:r w:rsidR="009F60FC" w:rsidRPr="009F60FC">
        <w:rPr>
          <w:i/>
          <w:iCs/>
          <w:sz w:val="22"/>
          <w:szCs w:val="22"/>
        </w:rPr>
        <w:t>exceptions</w:t>
      </w:r>
      <w:r w:rsidR="009F60FC">
        <w:rPr>
          <w:sz w:val="22"/>
          <w:szCs w:val="22"/>
        </w:rPr>
        <w:t xml:space="preserve"> to and </w:t>
      </w:r>
      <w:r w:rsidR="009F60FC" w:rsidRPr="009F60FC">
        <w:rPr>
          <w:i/>
          <w:iCs/>
          <w:sz w:val="22"/>
          <w:szCs w:val="22"/>
        </w:rPr>
        <w:t>deviations</w:t>
      </w:r>
      <w:r w:rsidR="009F60FC">
        <w:rPr>
          <w:sz w:val="22"/>
          <w:szCs w:val="22"/>
        </w:rPr>
        <w:t xml:space="preserve"> from the otherwise normal workings of the process of death.</w:t>
      </w:r>
    </w:p>
  </w:footnote>
  <w:footnote w:id="79">
    <w:p w14:paraId="76524970" w14:textId="77777777" w:rsidR="007A2D5A" w:rsidRPr="00AA275D" w:rsidRDefault="002B45C4" w:rsidP="00AA275D">
      <w:pPr>
        <w:pStyle w:val="FootnoteText"/>
        <w:spacing w:after="120"/>
        <w:rPr>
          <w:sz w:val="22"/>
          <w:szCs w:val="22"/>
        </w:rPr>
      </w:pPr>
      <w:r w:rsidRPr="00AA275D">
        <w:rPr>
          <w:rStyle w:val="FootnoteReference"/>
          <w:sz w:val="22"/>
          <w:szCs w:val="22"/>
        </w:rPr>
        <w:footnoteRef/>
      </w:r>
      <w:r w:rsidRPr="00AA275D">
        <w:rPr>
          <w:sz w:val="22"/>
          <w:szCs w:val="22"/>
        </w:rPr>
        <w:t xml:space="preserve"> Campany, 2015, p. xx.</w:t>
      </w:r>
    </w:p>
  </w:footnote>
  <w:footnote w:id="80">
    <w:p w14:paraId="15B873D9" w14:textId="77777777" w:rsidR="00936D26" w:rsidRPr="007F57AE" w:rsidRDefault="00936D26" w:rsidP="007F57AE">
      <w:pPr>
        <w:pStyle w:val="FootnoteText"/>
        <w:spacing w:after="120"/>
        <w:rPr>
          <w:sz w:val="22"/>
          <w:szCs w:val="22"/>
        </w:rPr>
      </w:pPr>
      <w:r w:rsidRPr="007F57AE">
        <w:rPr>
          <w:rStyle w:val="FootnoteReference"/>
          <w:sz w:val="22"/>
          <w:szCs w:val="22"/>
        </w:rPr>
        <w:footnoteRef/>
      </w:r>
      <w:r w:rsidRPr="007F57AE">
        <w:rPr>
          <w:sz w:val="22"/>
          <w:szCs w:val="22"/>
        </w:rPr>
        <w:t xml:space="preserve"> Campany, 2015, p. 7 (#17).</w:t>
      </w:r>
    </w:p>
  </w:footnote>
  <w:footnote w:id="81">
    <w:p w14:paraId="2267CA3A" w14:textId="5C91C50A" w:rsidR="00123BCC" w:rsidRPr="007F57AE" w:rsidRDefault="00123BCC" w:rsidP="007F57AE">
      <w:pPr>
        <w:pStyle w:val="FootnoteText"/>
        <w:spacing w:after="120"/>
        <w:rPr>
          <w:sz w:val="22"/>
          <w:szCs w:val="22"/>
        </w:rPr>
      </w:pPr>
      <w:r w:rsidRPr="007F57AE">
        <w:rPr>
          <w:rStyle w:val="FootnoteReference"/>
          <w:sz w:val="22"/>
          <w:szCs w:val="22"/>
        </w:rPr>
        <w:footnoteRef/>
      </w:r>
      <w:r w:rsidRPr="007F57AE">
        <w:rPr>
          <w:sz w:val="22"/>
          <w:szCs w:val="22"/>
        </w:rPr>
        <w:t xml:space="preserve"> Campany, 2015, </w:t>
      </w:r>
      <w:r w:rsidR="0001599F" w:rsidRPr="007F57AE">
        <w:rPr>
          <w:sz w:val="22"/>
          <w:szCs w:val="22"/>
        </w:rPr>
        <w:t xml:space="preserve">p. 12. </w:t>
      </w:r>
      <w:r w:rsidRPr="007F57AE">
        <w:rPr>
          <w:sz w:val="22"/>
          <w:szCs w:val="22"/>
        </w:rPr>
        <w:t xml:space="preserve">Gan Bao, d. 336 CE. </w:t>
      </w:r>
      <w:r w:rsidRPr="007F57AE">
        <w:rPr>
          <w:i/>
          <w:iCs/>
          <w:sz w:val="22"/>
          <w:szCs w:val="22"/>
        </w:rPr>
        <w:t>Records of an Inquest into the Spirit Realm</w:t>
      </w:r>
      <w:r w:rsidRPr="007F57AE">
        <w:rPr>
          <w:sz w:val="22"/>
          <w:szCs w:val="22"/>
        </w:rPr>
        <w:t xml:space="preserve">. Campany, 2015, p. xliii, describes this as “probably the most celebrated of early medieval </w:t>
      </w:r>
      <w:proofErr w:type="spellStart"/>
      <w:r w:rsidRPr="007F57AE">
        <w:rPr>
          <w:i/>
          <w:iCs/>
          <w:sz w:val="22"/>
          <w:szCs w:val="22"/>
        </w:rPr>
        <w:t>zhigui</w:t>
      </w:r>
      <w:proofErr w:type="spellEnd"/>
      <w:r w:rsidRPr="007F57AE">
        <w:rPr>
          <w:sz w:val="22"/>
          <w:szCs w:val="22"/>
        </w:rPr>
        <w:t xml:space="preserve"> compilations”.</w:t>
      </w:r>
    </w:p>
  </w:footnote>
  <w:footnote w:id="82">
    <w:p w14:paraId="13BC489E" w14:textId="65505DCD" w:rsidR="00936D26" w:rsidRPr="007F57AE" w:rsidRDefault="00936D26" w:rsidP="007F57AE">
      <w:pPr>
        <w:pStyle w:val="FootnoteText"/>
        <w:spacing w:after="120"/>
        <w:rPr>
          <w:sz w:val="22"/>
          <w:szCs w:val="22"/>
        </w:rPr>
      </w:pPr>
      <w:r w:rsidRPr="007F57AE">
        <w:rPr>
          <w:rStyle w:val="FootnoteReference"/>
          <w:sz w:val="22"/>
          <w:szCs w:val="22"/>
        </w:rPr>
        <w:footnoteRef/>
      </w:r>
      <w:r w:rsidRPr="007F57AE">
        <w:rPr>
          <w:sz w:val="22"/>
          <w:szCs w:val="22"/>
        </w:rPr>
        <w:t xml:space="preserve"> Eliade, </w:t>
      </w:r>
      <w:r w:rsidR="00625F10" w:rsidRPr="007F57AE">
        <w:rPr>
          <w:sz w:val="22"/>
          <w:szCs w:val="22"/>
        </w:rPr>
        <w:t xml:space="preserve">2004, pp. 64, 343. Accounts of modern practice are widespread, for example, from the </w:t>
      </w:r>
      <w:r w:rsidR="00625F10" w:rsidRPr="007F57AE">
        <w:rPr>
          <w:i/>
          <w:iCs/>
          <w:sz w:val="22"/>
          <w:szCs w:val="22"/>
        </w:rPr>
        <w:t>Guardian</w:t>
      </w:r>
      <w:r w:rsidR="00625F10" w:rsidRPr="007F57AE">
        <w:rPr>
          <w:sz w:val="22"/>
          <w:szCs w:val="22"/>
        </w:rPr>
        <w:t xml:space="preserve"> newspaper: https://www.theguardian.com/lifeandstyle/2009/aug/06/nicholas-taylor-buried-alive</w:t>
      </w:r>
      <w:r w:rsidR="0088354A" w:rsidRPr="007F57AE">
        <w:rPr>
          <w:sz w:val="22"/>
          <w:szCs w:val="22"/>
        </w:rPr>
        <w:t>.</w:t>
      </w:r>
      <w:r w:rsidR="00625F10" w:rsidRPr="007F57AE">
        <w:rPr>
          <w:sz w:val="22"/>
          <w:szCs w:val="22"/>
        </w:rPr>
        <w:t xml:space="preserve"> </w:t>
      </w:r>
    </w:p>
  </w:footnote>
  <w:footnote w:id="83">
    <w:p w14:paraId="4DD84FB0" w14:textId="77777777" w:rsidR="007A2D5A" w:rsidRPr="007F57AE" w:rsidRDefault="002B45C4" w:rsidP="007F57AE">
      <w:pPr>
        <w:pStyle w:val="FootnoteText"/>
        <w:spacing w:after="120"/>
        <w:rPr>
          <w:sz w:val="22"/>
          <w:szCs w:val="22"/>
        </w:rPr>
      </w:pPr>
      <w:r w:rsidRPr="007F57AE">
        <w:rPr>
          <w:rStyle w:val="FootnoteReference"/>
          <w:sz w:val="22"/>
          <w:szCs w:val="22"/>
        </w:rPr>
        <w:footnoteRef/>
      </w:r>
      <w:r w:rsidRPr="007F57AE">
        <w:rPr>
          <w:sz w:val="22"/>
          <w:szCs w:val="22"/>
        </w:rPr>
        <w:t xml:space="preserve"> </w:t>
      </w:r>
      <w:r w:rsidRPr="007F57AE">
        <w:rPr>
          <w:rFonts w:cs="Calibri"/>
          <w:sz w:val="22"/>
          <w:szCs w:val="22"/>
        </w:rPr>
        <w:t>Campany 2015 xxxvii.</w:t>
      </w:r>
    </w:p>
  </w:footnote>
  <w:footnote w:id="84">
    <w:p w14:paraId="7E75F278" w14:textId="77777777" w:rsidR="007A2D5A" w:rsidRPr="007F57AE" w:rsidRDefault="002B45C4" w:rsidP="007F57AE">
      <w:pPr>
        <w:pStyle w:val="FootnoteText"/>
        <w:spacing w:after="120"/>
        <w:rPr>
          <w:sz w:val="22"/>
          <w:szCs w:val="22"/>
        </w:rPr>
      </w:pPr>
      <w:r w:rsidRPr="007F57AE">
        <w:rPr>
          <w:rStyle w:val="FootnoteReference"/>
          <w:sz w:val="22"/>
          <w:szCs w:val="22"/>
        </w:rPr>
        <w:footnoteRef/>
      </w:r>
      <w:r w:rsidRPr="007F57AE">
        <w:rPr>
          <w:sz w:val="22"/>
          <w:szCs w:val="22"/>
        </w:rPr>
        <w:t xml:space="preserve"> Campany, 2015, pp. 9-12. From the collection known as </w:t>
      </w:r>
      <w:proofErr w:type="spellStart"/>
      <w:r w:rsidRPr="007F57AE">
        <w:rPr>
          <w:i/>
          <w:iCs/>
          <w:sz w:val="22"/>
          <w:szCs w:val="22"/>
        </w:rPr>
        <w:t>Kongshi</w:t>
      </w:r>
      <w:proofErr w:type="spellEnd"/>
      <w:r w:rsidRPr="007F57AE">
        <w:rPr>
          <w:i/>
          <w:iCs/>
          <w:sz w:val="22"/>
          <w:szCs w:val="22"/>
        </w:rPr>
        <w:t xml:space="preserve"> </w:t>
      </w:r>
      <w:proofErr w:type="spellStart"/>
      <w:r w:rsidRPr="007F57AE">
        <w:rPr>
          <w:i/>
          <w:iCs/>
          <w:sz w:val="22"/>
          <w:szCs w:val="22"/>
        </w:rPr>
        <w:t>zhigui</w:t>
      </w:r>
      <w:proofErr w:type="spellEnd"/>
      <w:r w:rsidRPr="007F57AE">
        <w:rPr>
          <w:sz w:val="22"/>
          <w:szCs w:val="22"/>
        </w:rPr>
        <w:t xml:space="preserve"> (Accounts of Anomalies by Mr. Kong) thought to be compiled by Kong Yue (4</w:t>
      </w:r>
      <w:r w:rsidRPr="007F57AE">
        <w:rPr>
          <w:sz w:val="22"/>
          <w:szCs w:val="22"/>
          <w:vertAlign w:val="superscript"/>
        </w:rPr>
        <w:t>th</w:t>
      </w:r>
      <w:r w:rsidRPr="007F57AE">
        <w:rPr>
          <w:sz w:val="22"/>
          <w:szCs w:val="22"/>
        </w:rPr>
        <w:t xml:space="preserve"> – 5</w:t>
      </w:r>
      <w:r w:rsidRPr="007F57AE">
        <w:rPr>
          <w:sz w:val="22"/>
          <w:szCs w:val="22"/>
          <w:vertAlign w:val="superscript"/>
        </w:rPr>
        <w:t>th</w:t>
      </w:r>
      <w:r w:rsidRPr="007F57AE">
        <w:rPr>
          <w:sz w:val="22"/>
          <w:szCs w:val="22"/>
        </w:rPr>
        <w:t xml:space="preserve"> centuries CE).</w:t>
      </w:r>
    </w:p>
  </w:footnote>
  <w:footnote w:id="85">
    <w:p w14:paraId="4A51DD76" w14:textId="51DE6E8F" w:rsidR="00B9439B" w:rsidRPr="007F57AE" w:rsidRDefault="00B9439B" w:rsidP="007F57AE">
      <w:pPr>
        <w:pStyle w:val="FootnoteText"/>
        <w:spacing w:after="120"/>
        <w:rPr>
          <w:sz w:val="22"/>
          <w:szCs w:val="22"/>
        </w:rPr>
      </w:pPr>
      <w:r w:rsidRPr="007F57AE">
        <w:rPr>
          <w:rStyle w:val="FootnoteReference"/>
          <w:sz w:val="22"/>
          <w:szCs w:val="22"/>
        </w:rPr>
        <w:footnoteRef/>
      </w:r>
      <w:r w:rsidRPr="007F57AE">
        <w:rPr>
          <w:sz w:val="22"/>
          <w:szCs w:val="22"/>
        </w:rPr>
        <w:t xml:space="preserve"> Campany, 1996, p. 379.</w:t>
      </w:r>
    </w:p>
  </w:footnote>
  <w:footnote w:id="86">
    <w:p w14:paraId="19441CA1" w14:textId="215A0F47" w:rsidR="00C03B41" w:rsidRPr="007F57AE" w:rsidRDefault="00C03B41" w:rsidP="007F57AE">
      <w:pPr>
        <w:pStyle w:val="FootnoteText"/>
        <w:spacing w:after="120"/>
        <w:rPr>
          <w:sz w:val="22"/>
          <w:szCs w:val="22"/>
        </w:rPr>
      </w:pPr>
      <w:r w:rsidRPr="007F57AE">
        <w:rPr>
          <w:rStyle w:val="FootnoteReference"/>
          <w:sz w:val="22"/>
          <w:szCs w:val="22"/>
        </w:rPr>
        <w:footnoteRef/>
      </w:r>
      <w:r w:rsidRPr="007F57AE">
        <w:rPr>
          <w:sz w:val="22"/>
          <w:szCs w:val="22"/>
        </w:rPr>
        <w:t xml:space="preserve"> Lai, 2015,p. 161. As an archaeologist, he refers to it as an </w:t>
      </w:r>
      <w:r w:rsidRPr="007F57AE">
        <w:rPr>
          <w:i/>
          <w:iCs/>
          <w:sz w:val="22"/>
          <w:szCs w:val="22"/>
        </w:rPr>
        <w:t>imaginary</w:t>
      </w:r>
      <w:r w:rsidRPr="007F57AE">
        <w:rPr>
          <w:sz w:val="22"/>
          <w:szCs w:val="22"/>
        </w:rPr>
        <w:t xml:space="preserve"> journey. (p. 167, my emphasis).</w:t>
      </w:r>
    </w:p>
  </w:footnote>
  <w:footnote w:id="87">
    <w:p w14:paraId="313841F3" w14:textId="3F28D44A" w:rsidR="005367DA" w:rsidRPr="007F57AE" w:rsidRDefault="005367DA" w:rsidP="007F57AE">
      <w:pPr>
        <w:pStyle w:val="FootnoteText"/>
        <w:spacing w:after="120"/>
        <w:rPr>
          <w:sz w:val="22"/>
          <w:szCs w:val="22"/>
        </w:rPr>
      </w:pPr>
      <w:r w:rsidRPr="007F57AE">
        <w:rPr>
          <w:rStyle w:val="FootnoteReference"/>
          <w:sz w:val="22"/>
          <w:szCs w:val="22"/>
        </w:rPr>
        <w:footnoteRef/>
      </w:r>
      <w:r w:rsidRPr="007F57AE">
        <w:rPr>
          <w:sz w:val="22"/>
          <w:szCs w:val="22"/>
        </w:rPr>
        <w:t xml:space="preserve"> Campany, 2015, p. 5 (#3).</w:t>
      </w:r>
      <w:r w:rsidR="00AB1493" w:rsidRPr="007F57AE">
        <w:rPr>
          <w:sz w:val="22"/>
          <w:szCs w:val="22"/>
        </w:rPr>
        <w:t xml:space="preserve"> Strassberg, p. 16. Cites Ge Hong (283-343) “All mountains, whether large or small, contain gods and powers…To enter the mountains without the proper recipe is to be certain of anxiety or harm.”</w:t>
      </w:r>
    </w:p>
  </w:footnote>
  <w:footnote w:id="88">
    <w:p w14:paraId="5FDCC2CF" w14:textId="12421D99" w:rsidR="005367DA" w:rsidRPr="007F57AE" w:rsidRDefault="005367DA" w:rsidP="007F57AE">
      <w:pPr>
        <w:pStyle w:val="FootnoteText"/>
        <w:spacing w:after="120"/>
        <w:rPr>
          <w:sz w:val="22"/>
          <w:szCs w:val="22"/>
        </w:rPr>
      </w:pPr>
      <w:r w:rsidRPr="007F57AE">
        <w:rPr>
          <w:rStyle w:val="FootnoteReference"/>
          <w:sz w:val="22"/>
          <w:szCs w:val="22"/>
        </w:rPr>
        <w:footnoteRef/>
      </w:r>
      <w:r w:rsidRPr="007F57AE">
        <w:rPr>
          <w:sz w:val="22"/>
          <w:szCs w:val="22"/>
        </w:rPr>
        <w:t xml:space="preserve"> Campany, 2015, p. 35 (</w:t>
      </w:r>
      <w:r w:rsidRPr="007F57AE">
        <w:rPr>
          <w:rFonts w:cs="Calibri"/>
          <w:sz w:val="22"/>
          <w:szCs w:val="22"/>
        </w:rPr>
        <w:t>#47), p. 37 (#50), p. 55 (#78).</w:t>
      </w:r>
    </w:p>
  </w:footnote>
  <w:footnote w:id="89">
    <w:p w14:paraId="38982576" w14:textId="7D8CA073" w:rsidR="005367DA" w:rsidRPr="007F57AE" w:rsidRDefault="005367DA" w:rsidP="007F57AE">
      <w:pPr>
        <w:spacing w:after="120" w:line="240" w:lineRule="auto"/>
      </w:pPr>
      <w:r w:rsidRPr="007F57AE">
        <w:rPr>
          <w:rStyle w:val="FootnoteReference"/>
        </w:rPr>
        <w:footnoteRef/>
      </w:r>
      <w:r w:rsidRPr="007F57AE">
        <w:t xml:space="preserve"> Yang &amp; An, 2005, pp. 221-222. The idea </w:t>
      </w:r>
      <w:r w:rsidRPr="007F57AE">
        <w:rPr>
          <w:rFonts w:cs="Calibri"/>
        </w:rPr>
        <w:t xml:space="preserve">of ‘immortality’ often seems confused between physical immortality in this world – something manifestly never achieved - and spiritual immortality beyond. It is unclear whether the latter avoids some eventual perishing of the soul or alternatively is an escape from samsara (reincarnation and rebirth) in Buddhist usage. Kohn, p. 98, comments on a shift in the meaning of ‘immortality’ in the Sima Qian’s </w:t>
      </w:r>
      <w:proofErr w:type="spellStart"/>
      <w:r w:rsidRPr="007F57AE">
        <w:rPr>
          <w:rFonts w:cs="Calibri"/>
          <w:i/>
          <w:iCs/>
        </w:rPr>
        <w:t>Shiji</w:t>
      </w:r>
      <w:proofErr w:type="spellEnd"/>
      <w:r w:rsidRPr="007F57AE">
        <w:rPr>
          <w:rFonts w:cs="Calibri"/>
          <w:i/>
          <w:iCs/>
        </w:rPr>
        <w:t>.</w:t>
      </w:r>
      <w:r w:rsidRPr="007F57AE">
        <w:rPr>
          <w:rFonts w:cs="Calibri"/>
        </w:rPr>
        <w:t xml:space="preserve"> </w:t>
      </w:r>
      <w:r w:rsidR="0088354A" w:rsidRPr="007F57AE">
        <w:rPr>
          <w:rFonts w:cs="Calibri"/>
        </w:rPr>
        <w:t xml:space="preserve">The </w:t>
      </w:r>
      <w:r w:rsidR="004A30A9" w:rsidRPr="007F57AE">
        <w:rPr>
          <w:rFonts w:cs="Calibri"/>
        </w:rPr>
        <w:t xml:space="preserve">notion </w:t>
      </w:r>
      <w:r w:rsidR="0088354A" w:rsidRPr="007F57AE">
        <w:rPr>
          <w:rFonts w:cs="Calibri"/>
        </w:rPr>
        <w:t xml:space="preserve">of physical immortality, </w:t>
      </w:r>
      <w:r w:rsidR="004A30A9" w:rsidRPr="007F57AE">
        <w:rPr>
          <w:rFonts w:cs="Calibri"/>
        </w:rPr>
        <w:t>with which the ruler of Qin dynasty, Qin Shi Huang was notoriously obsessed, plausibly derives from a ’literalization’ of shamanic stories as if ordinary reality.</w:t>
      </w:r>
    </w:p>
  </w:footnote>
  <w:footnote w:id="90">
    <w:p w14:paraId="67D0F573" w14:textId="77777777" w:rsidR="008953C2" w:rsidRPr="007F57AE" w:rsidRDefault="008953C2" w:rsidP="007F57AE">
      <w:pPr>
        <w:pStyle w:val="FootnoteText"/>
        <w:spacing w:after="120"/>
        <w:rPr>
          <w:sz w:val="22"/>
          <w:szCs w:val="22"/>
        </w:rPr>
      </w:pPr>
      <w:r w:rsidRPr="007F57AE">
        <w:rPr>
          <w:rStyle w:val="FootnoteReference"/>
          <w:sz w:val="22"/>
          <w:szCs w:val="22"/>
        </w:rPr>
        <w:footnoteRef/>
      </w:r>
      <w:r w:rsidRPr="007F57AE">
        <w:rPr>
          <w:sz w:val="22"/>
          <w:szCs w:val="22"/>
        </w:rPr>
        <w:t xml:space="preserve"> This is a standard theme worldwide, the story of Rip van Winkle perhaps the most famous example, the Scottish story of Thomas the Rhymer is another.</w:t>
      </w:r>
    </w:p>
  </w:footnote>
  <w:footnote w:id="91">
    <w:p w14:paraId="56653CAE" w14:textId="77777777" w:rsidR="008953C2" w:rsidRPr="007F57AE" w:rsidRDefault="008953C2" w:rsidP="007F57AE">
      <w:pPr>
        <w:spacing w:after="120" w:line="240" w:lineRule="auto"/>
      </w:pPr>
      <w:r w:rsidRPr="007F57AE">
        <w:rPr>
          <w:rStyle w:val="FootnoteReference"/>
        </w:rPr>
        <w:footnoteRef/>
      </w:r>
      <w:r w:rsidRPr="007F57AE">
        <w:t xml:space="preserve"> Campany, 2015, </w:t>
      </w:r>
      <w:r w:rsidRPr="007F57AE">
        <w:rPr>
          <w:rFonts w:cs="Calibri"/>
        </w:rPr>
        <w:t xml:space="preserve">pp. 108-109 (#186). From </w:t>
      </w:r>
      <w:proofErr w:type="spellStart"/>
      <w:r w:rsidRPr="007F57AE">
        <w:rPr>
          <w:rFonts w:cs="Calibri"/>
          <w:i/>
          <w:iCs/>
        </w:rPr>
        <w:t>Youming</w:t>
      </w:r>
      <w:proofErr w:type="spellEnd"/>
      <w:r w:rsidRPr="007F57AE">
        <w:rPr>
          <w:rFonts w:cs="Calibri"/>
          <w:i/>
          <w:iCs/>
        </w:rPr>
        <w:t xml:space="preserve"> </w:t>
      </w:r>
      <w:proofErr w:type="spellStart"/>
      <w:r w:rsidRPr="007F57AE">
        <w:rPr>
          <w:rFonts w:cs="Calibri"/>
          <w:i/>
          <w:iCs/>
        </w:rPr>
        <w:t>lu</w:t>
      </w:r>
      <w:proofErr w:type="spellEnd"/>
      <w:r w:rsidRPr="007F57AE">
        <w:rPr>
          <w:rFonts w:cs="Calibri"/>
        </w:rPr>
        <w:t xml:space="preserve"> (Records of the Hidden and Visible Worlds) attributed to Liu Yiqing (403-444).</w:t>
      </w:r>
    </w:p>
  </w:footnote>
  <w:footnote w:id="92">
    <w:p w14:paraId="3FADFCA8" w14:textId="77777777" w:rsidR="00922743" w:rsidRPr="00AB1493" w:rsidRDefault="00922743" w:rsidP="00AB1493">
      <w:pPr>
        <w:pStyle w:val="FootnoteText"/>
        <w:spacing w:after="120"/>
        <w:rPr>
          <w:sz w:val="22"/>
          <w:szCs w:val="22"/>
        </w:rPr>
      </w:pPr>
      <w:r w:rsidRPr="00AB1493">
        <w:rPr>
          <w:rStyle w:val="FootnoteReference"/>
          <w:sz w:val="22"/>
          <w:szCs w:val="22"/>
        </w:rPr>
        <w:footnoteRef/>
      </w:r>
      <w:r w:rsidRPr="00AB1493">
        <w:rPr>
          <w:sz w:val="22"/>
          <w:szCs w:val="22"/>
        </w:rPr>
        <w:t xml:space="preserve"> DeWoskin, 1996, pp. 45-46 (#4,76).</w:t>
      </w:r>
    </w:p>
  </w:footnote>
  <w:footnote w:id="93">
    <w:p w14:paraId="10C294D2" w14:textId="057AC2B8" w:rsidR="00922743" w:rsidRPr="00AB1493" w:rsidRDefault="00922743" w:rsidP="00AB1493">
      <w:pPr>
        <w:pStyle w:val="FootnoteText"/>
        <w:spacing w:after="120"/>
        <w:rPr>
          <w:sz w:val="22"/>
          <w:szCs w:val="22"/>
        </w:rPr>
      </w:pPr>
      <w:r w:rsidRPr="00AB1493">
        <w:rPr>
          <w:rStyle w:val="FootnoteReference"/>
          <w:sz w:val="22"/>
          <w:szCs w:val="22"/>
        </w:rPr>
        <w:footnoteRef/>
      </w:r>
      <w:r w:rsidRPr="00AB1493">
        <w:rPr>
          <w:sz w:val="22"/>
          <w:szCs w:val="22"/>
        </w:rPr>
        <w:t xml:space="preserve"> DeWoskin, 1996, pp. 47-48 (#4, 78). There is a play on words with the maid’s name “As-you-like-it”, whether she returns to ordinary reality with Ou </w:t>
      </w:r>
      <w:r w:rsidR="009356AF">
        <w:rPr>
          <w:sz w:val="22"/>
          <w:szCs w:val="22"/>
        </w:rPr>
        <w:t>M</w:t>
      </w:r>
      <w:r w:rsidRPr="00AB1493">
        <w:rPr>
          <w:sz w:val="22"/>
          <w:szCs w:val="22"/>
        </w:rPr>
        <w:t>ing is unclear.</w:t>
      </w:r>
    </w:p>
  </w:footnote>
  <w:footnote w:id="94">
    <w:p w14:paraId="13D40353" w14:textId="77777777" w:rsidR="00922743" w:rsidRPr="00164E6B" w:rsidRDefault="00922743" w:rsidP="00164E6B">
      <w:pPr>
        <w:pStyle w:val="FootnoteText"/>
        <w:spacing w:after="120"/>
        <w:rPr>
          <w:sz w:val="22"/>
          <w:szCs w:val="22"/>
        </w:rPr>
      </w:pPr>
      <w:r w:rsidRPr="00164E6B">
        <w:rPr>
          <w:rStyle w:val="FootnoteReference"/>
          <w:sz w:val="22"/>
          <w:szCs w:val="22"/>
        </w:rPr>
        <w:footnoteRef/>
      </w:r>
      <w:r w:rsidRPr="00164E6B">
        <w:rPr>
          <w:sz w:val="22"/>
          <w:szCs w:val="22"/>
        </w:rPr>
        <w:t xml:space="preserve"> DeWoskin, 1996, pp. 43-45 (#4, 74). </w:t>
      </w:r>
    </w:p>
  </w:footnote>
  <w:footnote w:id="95">
    <w:p w14:paraId="6DB8CC65" w14:textId="77777777" w:rsidR="00B9439B" w:rsidRPr="00164E6B" w:rsidRDefault="00B9439B" w:rsidP="00164E6B">
      <w:pPr>
        <w:pStyle w:val="FootnoteText"/>
        <w:spacing w:after="120"/>
        <w:rPr>
          <w:sz w:val="22"/>
          <w:szCs w:val="22"/>
        </w:rPr>
      </w:pPr>
      <w:r w:rsidRPr="00164E6B">
        <w:rPr>
          <w:rStyle w:val="FootnoteReference"/>
          <w:sz w:val="22"/>
          <w:szCs w:val="22"/>
        </w:rPr>
        <w:footnoteRef/>
      </w:r>
      <w:r w:rsidRPr="00164E6B">
        <w:rPr>
          <w:sz w:val="22"/>
          <w:szCs w:val="22"/>
        </w:rPr>
        <w:t xml:space="preserve"> Harner, 2013, pp. 59-65.</w:t>
      </w:r>
    </w:p>
  </w:footnote>
  <w:footnote w:id="96">
    <w:p w14:paraId="4533DA2A" w14:textId="264631FB" w:rsidR="00B9439B" w:rsidRPr="00164E6B" w:rsidRDefault="00B9439B" w:rsidP="00164E6B">
      <w:pPr>
        <w:pStyle w:val="FootnoteText"/>
        <w:spacing w:after="120"/>
        <w:rPr>
          <w:sz w:val="22"/>
          <w:szCs w:val="22"/>
        </w:rPr>
      </w:pPr>
      <w:r w:rsidRPr="00164E6B">
        <w:rPr>
          <w:rStyle w:val="FootnoteReference"/>
          <w:sz w:val="22"/>
          <w:szCs w:val="22"/>
        </w:rPr>
        <w:footnoteRef/>
      </w:r>
      <w:r w:rsidRPr="00164E6B">
        <w:rPr>
          <w:sz w:val="22"/>
          <w:szCs w:val="22"/>
        </w:rPr>
        <w:t xml:space="preserve"> Harner, 2013, p. 228.</w:t>
      </w:r>
    </w:p>
  </w:footnote>
  <w:footnote w:id="97">
    <w:p w14:paraId="503129C1" w14:textId="70766639" w:rsidR="006E7D15" w:rsidRPr="00164E6B" w:rsidRDefault="006E7D15" w:rsidP="00164E6B">
      <w:pPr>
        <w:pStyle w:val="FootnoteText"/>
        <w:spacing w:after="120"/>
        <w:rPr>
          <w:sz w:val="22"/>
          <w:szCs w:val="22"/>
        </w:rPr>
      </w:pPr>
      <w:r w:rsidRPr="00164E6B">
        <w:rPr>
          <w:rStyle w:val="FootnoteReference"/>
          <w:sz w:val="22"/>
          <w:szCs w:val="22"/>
        </w:rPr>
        <w:footnoteRef/>
      </w:r>
      <w:r w:rsidRPr="00164E6B">
        <w:rPr>
          <w:sz w:val="22"/>
          <w:szCs w:val="22"/>
        </w:rPr>
        <w:t xml:space="preserve"> </w:t>
      </w:r>
      <w:r w:rsidR="00A308D0" w:rsidRPr="00164E6B">
        <w:rPr>
          <w:sz w:val="22"/>
          <w:szCs w:val="22"/>
        </w:rPr>
        <w:t xml:space="preserve">Also known as </w:t>
      </w:r>
      <w:r w:rsidR="00A308D0" w:rsidRPr="00164E6B">
        <w:rPr>
          <w:rFonts w:cs="Calibri"/>
          <w:i/>
          <w:iCs/>
          <w:sz w:val="22"/>
          <w:szCs w:val="22"/>
        </w:rPr>
        <w:t xml:space="preserve">Ch’u </w:t>
      </w:r>
      <w:proofErr w:type="spellStart"/>
      <w:r w:rsidR="00A308D0" w:rsidRPr="00164E6B">
        <w:rPr>
          <w:rFonts w:cs="Calibri"/>
          <w:i/>
          <w:iCs/>
          <w:sz w:val="22"/>
          <w:szCs w:val="22"/>
        </w:rPr>
        <w:t>Tz’u</w:t>
      </w:r>
      <w:proofErr w:type="spellEnd"/>
      <w:r w:rsidR="00A308D0" w:rsidRPr="00164E6B">
        <w:rPr>
          <w:rFonts w:cs="Calibri"/>
          <w:i/>
          <w:iCs/>
          <w:sz w:val="22"/>
          <w:szCs w:val="22"/>
        </w:rPr>
        <w:t>.</w:t>
      </w:r>
      <w:r w:rsidR="00A308D0" w:rsidRPr="00164E6B">
        <w:rPr>
          <w:sz w:val="22"/>
          <w:szCs w:val="22"/>
        </w:rPr>
        <w:t xml:space="preserve"> </w:t>
      </w:r>
      <w:r w:rsidRPr="00164E6B">
        <w:rPr>
          <w:sz w:val="22"/>
          <w:szCs w:val="22"/>
        </w:rPr>
        <w:t xml:space="preserve">The collator, Wang </w:t>
      </w:r>
      <w:r w:rsidR="00C124B5" w:rsidRPr="00164E6B">
        <w:rPr>
          <w:sz w:val="22"/>
          <w:szCs w:val="22"/>
        </w:rPr>
        <w:t>Yi</w:t>
      </w:r>
      <w:r w:rsidRPr="00164E6B">
        <w:rPr>
          <w:sz w:val="22"/>
          <w:szCs w:val="22"/>
        </w:rPr>
        <w:t>, claimed to have used an earlier anthology by Liu Hsian</w:t>
      </w:r>
      <w:r w:rsidR="00C124B5" w:rsidRPr="00164E6B">
        <w:rPr>
          <w:sz w:val="22"/>
          <w:szCs w:val="22"/>
        </w:rPr>
        <w:t>g</w:t>
      </w:r>
      <w:r w:rsidRPr="00164E6B">
        <w:rPr>
          <w:sz w:val="22"/>
          <w:szCs w:val="22"/>
        </w:rPr>
        <w:t xml:space="preserve"> (77-6 BCE) (Hawkes, 1959, p. 2). Authorship of the poems is often attributed to Qu Yuan of the earlier Warring States period – modern scholarship seems both to argue for multiple authors and to want to retain the tradition (Hawkes, 1959, pp. 10-11, following with Sima Qian’s biography of Qu Yuan.)</w:t>
      </w:r>
    </w:p>
  </w:footnote>
  <w:footnote w:id="98">
    <w:p w14:paraId="0EBC2943" w14:textId="5585DD2F" w:rsidR="00C07092" w:rsidRPr="00164E6B" w:rsidRDefault="00C07092" w:rsidP="00164E6B">
      <w:pPr>
        <w:pStyle w:val="FootnoteText"/>
        <w:spacing w:after="120"/>
        <w:rPr>
          <w:sz w:val="22"/>
          <w:szCs w:val="22"/>
        </w:rPr>
      </w:pPr>
      <w:r w:rsidRPr="00164E6B">
        <w:rPr>
          <w:rStyle w:val="FootnoteReference"/>
          <w:sz w:val="22"/>
          <w:szCs w:val="22"/>
        </w:rPr>
        <w:footnoteRef/>
      </w:r>
      <w:r w:rsidRPr="00164E6B">
        <w:rPr>
          <w:sz w:val="22"/>
          <w:szCs w:val="22"/>
        </w:rPr>
        <w:t xml:space="preserve"> Hawkes, 1985, pp. 95-96.</w:t>
      </w:r>
    </w:p>
  </w:footnote>
  <w:footnote w:id="99">
    <w:p w14:paraId="2357E4CE" w14:textId="04E4D22F" w:rsidR="00BC5BDB" w:rsidRPr="00164E6B" w:rsidRDefault="00BC5BDB" w:rsidP="00164E6B">
      <w:pPr>
        <w:pStyle w:val="FootnoteText"/>
        <w:spacing w:after="120"/>
        <w:rPr>
          <w:sz w:val="22"/>
          <w:szCs w:val="22"/>
        </w:rPr>
      </w:pPr>
      <w:r w:rsidRPr="00164E6B">
        <w:rPr>
          <w:rStyle w:val="FootnoteReference"/>
          <w:sz w:val="22"/>
          <w:szCs w:val="22"/>
        </w:rPr>
        <w:footnoteRef/>
      </w:r>
      <w:r w:rsidRPr="00164E6B">
        <w:rPr>
          <w:sz w:val="22"/>
          <w:szCs w:val="22"/>
        </w:rPr>
        <w:t xml:space="preserve"> Waley, 1973, p. 13.</w:t>
      </w:r>
    </w:p>
  </w:footnote>
  <w:footnote w:id="100">
    <w:p w14:paraId="73D85340" w14:textId="233F40D7" w:rsidR="00164E6B" w:rsidRPr="00164E6B" w:rsidRDefault="00164E6B" w:rsidP="00164E6B">
      <w:pPr>
        <w:pStyle w:val="FootnoteText"/>
        <w:spacing w:after="120"/>
        <w:rPr>
          <w:sz w:val="22"/>
          <w:szCs w:val="22"/>
        </w:rPr>
      </w:pPr>
      <w:r w:rsidRPr="00164E6B">
        <w:rPr>
          <w:rStyle w:val="FootnoteReference"/>
          <w:sz w:val="22"/>
          <w:szCs w:val="22"/>
        </w:rPr>
        <w:footnoteRef/>
      </w:r>
      <w:r w:rsidRPr="00164E6B">
        <w:rPr>
          <w:sz w:val="22"/>
          <w:szCs w:val="22"/>
        </w:rPr>
        <w:t xml:space="preserve"> Eliade, 2004, p.74 (many more references).</w:t>
      </w:r>
    </w:p>
  </w:footnote>
  <w:footnote w:id="101">
    <w:p w14:paraId="0D5C3A1D" w14:textId="5D5620FB" w:rsidR="00E1792B" w:rsidRPr="00164E6B" w:rsidRDefault="00E1792B" w:rsidP="00164E6B">
      <w:pPr>
        <w:pStyle w:val="FootnoteText"/>
        <w:spacing w:after="120"/>
        <w:rPr>
          <w:sz w:val="22"/>
          <w:szCs w:val="22"/>
        </w:rPr>
      </w:pPr>
      <w:r w:rsidRPr="00164E6B">
        <w:rPr>
          <w:rStyle w:val="FootnoteReference"/>
          <w:sz w:val="22"/>
          <w:szCs w:val="22"/>
        </w:rPr>
        <w:footnoteRef/>
      </w:r>
      <w:r w:rsidRPr="00164E6B">
        <w:rPr>
          <w:sz w:val="22"/>
          <w:szCs w:val="22"/>
        </w:rPr>
        <w:t xml:space="preserve"> The same vast distance is traversed in </w:t>
      </w:r>
      <w:r w:rsidRPr="00164E6B">
        <w:rPr>
          <w:i/>
          <w:iCs/>
          <w:sz w:val="22"/>
          <w:szCs w:val="22"/>
        </w:rPr>
        <w:t xml:space="preserve">Jiu </w:t>
      </w:r>
      <w:proofErr w:type="spellStart"/>
      <w:r w:rsidRPr="00164E6B">
        <w:rPr>
          <w:i/>
          <w:iCs/>
          <w:sz w:val="22"/>
          <w:szCs w:val="22"/>
        </w:rPr>
        <w:t>zhang</w:t>
      </w:r>
      <w:proofErr w:type="spellEnd"/>
      <w:r w:rsidRPr="00164E6B">
        <w:rPr>
          <w:sz w:val="22"/>
          <w:szCs w:val="22"/>
        </w:rPr>
        <w:t xml:space="preserve"> IX (</w:t>
      </w:r>
      <w:r w:rsidR="00FB6CB9" w:rsidRPr="00164E6B">
        <w:rPr>
          <w:sz w:val="22"/>
          <w:szCs w:val="22"/>
        </w:rPr>
        <w:t xml:space="preserve">Nine pieces - </w:t>
      </w:r>
      <w:r w:rsidR="00FB6CB9" w:rsidRPr="00164E6B">
        <w:rPr>
          <w:i/>
          <w:iCs/>
          <w:sz w:val="22"/>
          <w:szCs w:val="22"/>
        </w:rPr>
        <w:t>Bei hui feng</w:t>
      </w:r>
      <w:r w:rsidR="00FB6CB9" w:rsidRPr="00164E6B">
        <w:rPr>
          <w:sz w:val="22"/>
          <w:szCs w:val="22"/>
        </w:rPr>
        <w:t xml:space="preserve"> - </w:t>
      </w:r>
      <w:r w:rsidRPr="00164E6B">
        <w:rPr>
          <w:sz w:val="22"/>
          <w:szCs w:val="22"/>
        </w:rPr>
        <w:t xml:space="preserve">Grieving </w:t>
      </w:r>
      <w:r w:rsidR="00FB6CB9" w:rsidRPr="00164E6B">
        <w:rPr>
          <w:sz w:val="22"/>
          <w:szCs w:val="22"/>
        </w:rPr>
        <w:t>at the Eddying Wind).</w:t>
      </w:r>
    </w:p>
  </w:footnote>
  <w:footnote w:id="102">
    <w:p w14:paraId="5423C5F8" w14:textId="40BBB82F" w:rsidR="00BC5BDB" w:rsidRPr="00164E6B" w:rsidRDefault="00BC5BDB" w:rsidP="00164E6B">
      <w:pPr>
        <w:pStyle w:val="FootnoteText"/>
        <w:spacing w:after="120"/>
        <w:rPr>
          <w:sz w:val="22"/>
          <w:szCs w:val="22"/>
        </w:rPr>
      </w:pPr>
      <w:r w:rsidRPr="00164E6B">
        <w:rPr>
          <w:rStyle w:val="FootnoteReference"/>
          <w:sz w:val="22"/>
          <w:szCs w:val="22"/>
        </w:rPr>
        <w:footnoteRef/>
      </w:r>
      <w:r w:rsidRPr="00164E6B">
        <w:rPr>
          <w:sz w:val="22"/>
          <w:szCs w:val="22"/>
        </w:rPr>
        <w:t xml:space="preserve"> Hawkes, 1985, pp. 219-238.</w:t>
      </w:r>
    </w:p>
  </w:footnote>
  <w:footnote w:id="103">
    <w:p w14:paraId="4A91B4CC" w14:textId="4FCFA9F2" w:rsidR="00BC5BDB" w:rsidRPr="00164E6B" w:rsidRDefault="00BC5BDB" w:rsidP="00164E6B">
      <w:pPr>
        <w:pStyle w:val="FootnoteText"/>
        <w:spacing w:after="120"/>
        <w:rPr>
          <w:sz w:val="22"/>
          <w:szCs w:val="22"/>
        </w:rPr>
      </w:pPr>
      <w:r w:rsidRPr="00164E6B">
        <w:rPr>
          <w:rStyle w:val="FootnoteReference"/>
          <w:sz w:val="22"/>
          <w:szCs w:val="22"/>
        </w:rPr>
        <w:footnoteRef/>
      </w:r>
      <w:r w:rsidRPr="00164E6B">
        <w:rPr>
          <w:sz w:val="22"/>
          <w:szCs w:val="22"/>
        </w:rPr>
        <w:t xml:space="preserve"> </w:t>
      </w:r>
      <w:proofErr w:type="spellStart"/>
      <w:r w:rsidRPr="00164E6B">
        <w:rPr>
          <w:sz w:val="22"/>
          <w:szCs w:val="22"/>
        </w:rPr>
        <w:t>Yü</w:t>
      </w:r>
      <w:proofErr w:type="spellEnd"/>
      <w:r w:rsidRPr="00164E6B">
        <w:rPr>
          <w:sz w:val="22"/>
          <w:szCs w:val="22"/>
        </w:rPr>
        <w:t xml:space="preserve">, 1987, p. 365. Hawkes, 1985, p. 219, quotes a description from the </w:t>
      </w:r>
      <w:r w:rsidRPr="00164E6B">
        <w:rPr>
          <w:i/>
          <w:iCs/>
          <w:sz w:val="22"/>
          <w:szCs w:val="22"/>
        </w:rPr>
        <w:t>Yi li</w:t>
      </w:r>
      <w:r w:rsidRPr="00164E6B">
        <w:rPr>
          <w:sz w:val="22"/>
          <w:szCs w:val="22"/>
        </w:rPr>
        <w:t xml:space="preserve">. </w:t>
      </w:r>
      <w:proofErr w:type="spellStart"/>
      <w:r w:rsidRPr="00164E6B">
        <w:rPr>
          <w:sz w:val="22"/>
          <w:szCs w:val="22"/>
        </w:rPr>
        <w:t>Yü</w:t>
      </w:r>
      <w:proofErr w:type="spellEnd"/>
      <w:r w:rsidRPr="00164E6B">
        <w:rPr>
          <w:sz w:val="22"/>
          <w:szCs w:val="22"/>
        </w:rPr>
        <w:t xml:space="preserve">, 1987, p. 369, claims the fu rite is ‘based on a belief’ that the </w:t>
      </w:r>
      <w:proofErr w:type="spellStart"/>
      <w:r w:rsidRPr="00164E6B">
        <w:rPr>
          <w:i/>
          <w:iCs/>
          <w:sz w:val="22"/>
          <w:szCs w:val="22"/>
        </w:rPr>
        <w:t>hun</w:t>
      </w:r>
      <w:proofErr w:type="spellEnd"/>
      <w:r w:rsidRPr="00164E6B">
        <w:rPr>
          <w:sz w:val="22"/>
          <w:szCs w:val="22"/>
        </w:rPr>
        <w:t xml:space="preserve">-soul can be reunited with the </w:t>
      </w:r>
      <w:r w:rsidRPr="00164E6B">
        <w:rPr>
          <w:i/>
          <w:iCs/>
          <w:sz w:val="22"/>
          <w:szCs w:val="22"/>
        </w:rPr>
        <w:t>po</w:t>
      </w:r>
      <w:r w:rsidRPr="00164E6B">
        <w:rPr>
          <w:sz w:val="22"/>
          <w:szCs w:val="22"/>
        </w:rPr>
        <w:t xml:space="preserve">-soul – effectively a reversal of death since that is basically defined as the separation of the souls. This writer suggests that the </w:t>
      </w:r>
      <w:r w:rsidRPr="00164E6B">
        <w:rPr>
          <w:i/>
          <w:iCs/>
          <w:sz w:val="22"/>
          <w:szCs w:val="22"/>
        </w:rPr>
        <w:t>fu</w:t>
      </w:r>
      <w:r w:rsidRPr="00164E6B">
        <w:rPr>
          <w:sz w:val="22"/>
          <w:szCs w:val="22"/>
        </w:rPr>
        <w:t xml:space="preserve"> rite is rather more a sentimentalised formality, a ‘survival’, rather than continuing to have shamanic meaning. A shaman might be able to back the soul of a still-living person, but once ‘actually dead’, their role would be as psychopomp. </w:t>
      </w:r>
      <w:proofErr w:type="spellStart"/>
      <w:r w:rsidRPr="00164E6B">
        <w:rPr>
          <w:sz w:val="22"/>
          <w:szCs w:val="22"/>
        </w:rPr>
        <w:t>Yü</w:t>
      </w:r>
      <w:proofErr w:type="spellEnd"/>
      <w:r w:rsidRPr="00164E6B">
        <w:rPr>
          <w:sz w:val="22"/>
          <w:szCs w:val="22"/>
        </w:rPr>
        <w:t xml:space="preserve"> has only a psychological explanation.</w:t>
      </w:r>
    </w:p>
  </w:footnote>
  <w:footnote w:id="104">
    <w:p w14:paraId="3FD4F840" w14:textId="11BC7A6C" w:rsidR="00834B40" w:rsidRPr="00F365ED" w:rsidRDefault="00834B40" w:rsidP="00F365ED">
      <w:pPr>
        <w:pStyle w:val="FootnoteText"/>
        <w:spacing w:after="120"/>
        <w:rPr>
          <w:sz w:val="22"/>
          <w:szCs w:val="22"/>
        </w:rPr>
      </w:pPr>
      <w:r w:rsidRPr="00F365ED">
        <w:rPr>
          <w:rStyle w:val="FootnoteReference"/>
          <w:sz w:val="22"/>
          <w:szCs w:val="22"/>
        </w:rPr>
        <w:footnoteRef/>
      </w:r>
      <w:r w:rsidRPr="00F365ED">
        <w:rPr>
          <w:sz w:val="22"/>
          <w:szCs w:val="22"/>
        </w:rPr>
        <w:t xml:space="preserve"> Hawkes, 1974, p. 116</w:t>
      </w:r>
      <w:r w:rsidRPr="00F365ED">
        <w:rPr>
          <w:i/>
          <w:iCs/>
          <w:sz w:val="22"/>
          <w:szCs w:val="22"/>
        </w:rPr>
        <w:t xml:space="preserve">. Shan </w:t>
      </w:r>
      <w:proofErr w:type="spellStart"/>
      <w:r w:rsidRPr="00F365ED">
        <w:rPr>
          <w:i/>
          <w:iCs/>
          <w:sz w:val="22"/>
          <w:szCs w:val="22"/>
        </w:rPr>
        <w:t>gui</w:t>
      </w:r>
      <w:proofErr w:type="spellEnd"/>
      <w:r w:rsidRPr="00F365ED">
        <w:rPr>
          <w:sz w:val="22"/>
          <w:szCs w:val="22"/>
        </w:rPr>
        <w:t xml:space="preserve"> (The |Mountain Spirit) </w:t>
      </w:r>
      <w:r w:rsidRPr="00F365ED">
        <w:rPr>
          <w:i/>
          <w:iCs/>
          <w:sz w:val="22"/>
          <w:szCs w:val="22"/>
        </w:rPr>
        <w:t xml:space="preserve">Jiu </w:t>
      </w:r>
      <w:proofErr w:type="spellStart"/>
      <w:r w:rsidRPr="00F365ED">
        <w:rPr>
          <w:i/>
          <w:iCs/>
          <w:sz w:val="22"/>
          <w:szCs w:val="22"/>
        </w:rPr>
        <w:t>ge</w:t>
      </w:r>
      <w:proofErr w:type="spellEnd"/>
      <w:r w:rsidRPr="00F365ED">
        <w:rPr>
          <w:sz w:val="22"/>
          <w:szCs w:val="22"/>
        </w:rPr>
        <w:t xml:space="preserve"> (Nine songs, IX).</w:t>
      </w:r>
    </w:p>
  </w:footnote>
  <w:footnote w:id="105">
    <w:p w14:paraId="5661EB4A" w14:textId="77777777" w:rsidR="00FB6CB9" w:rsidRPr="00F365ED" w:rsidRDefault="00FB6CB9" w:rsidP="00F365ED">
      <w:pPr>
        <w:pStyle w:val="FootnoteText"/>
        <w:spacing w:after="120"/>
        <w:rPr>
          <w:sz w:val="22"/>
          <w:szCs w:val="22"/>
        </w:rPr>
      </w:pPr>
      <w:r w:rsidRPr="00F365ED">
        <w:rPr>
          <w:rStyle w:val="FootnoteReference"/>
          <w:sz w:val="22"/>
          <w:szCs w:val="22"/>
        </w:rPr>
        <w:footnoteRef/>
      </w:r>
      <w:r w:rsidRPr="00F365ED">
        <w:rPr>
          <w:sz w:val="22"/>
          <w:szCs w:val="22"/>
        </w:rPr>
        <w:t xml:space="preserve"> Within shamanism, an alternative possibility is that of ‘</w:t>
      </w:r>
      <w:proofErr w:type="spellStart"/>
      <w:r w:rsidRPr="00F365ED">
        <w:rPr>
          <w:sz w:val="22"/>
          <w:szCs w:val="22"/>
        </w:rPr>
        <w:t>worldwalking</w:t>
      </w:r>
      <w:proofErr w:type="spellEnd"/>
      <w:r w:rsidRPr="00F365ED">
        <w:rPr>
          <w:sz w:val="22"/>
          <w:szCs w:val="22"/>
        </w:rPr>
        <w:t>’, that is moving physically around a physically limited area, experiencing non-ordinary reality whilst otherwise ‘conscious’. (</w:t>
      </w:r>
      <w:proofErr w:type="spellStart"/>
      <w:r w:rsidRPr="00F365ED">
        <w:rPr>
          <w:sz w:val="22"/>
          <w:szCs w:val="22"/>
        </w:rPr>
        <w:t>Kaldera</w:t>
      </w:r>
      <w:proofErr w:type="spellEnd"/>
      <w:r w:rsidRPr="00F365ED">
        <w:rPr>
          <w:sz w:val="22"/>
          <w:szCs w:val="22"/>
        </w:rPr>
        <w:t>, 2006). This practice may also relate to physical river journeys that Hawkes discusses (1974, p. 42)</w:t>
      </w:r>
    </w:p>
  </w:footnote>
  <w:footnote w:id="106">
    <w:p w14:paraId="24BF394C" w14:textId="231627D2" w:rsidR="00BB4E92" w:rsidRPr="00F365ED" w:rsidRDefault="00BB4E92" w:rsidP="00F365ED">
      <w:pPr>
        <w:pStyle w:val="FootnoteText"/>
        <w:spacing w:after="120"/>
        <w:rPr>
          <w:sz w:val="22"/>
          <w:szCs w:val="22"/>
        </w:rPr>
      </w:pPr>
      <w:r w:rsidRPr="00F365ED">
        <w:rPr>
          <w:rStyle w:val="FootnoteReference"/>
          <w:sz w:val="22"/>
          <w:szCs w:val="22"/>
        </w:rPr>
        <w:footnoteRef/>
      </w:r>
      <w:r w:rsidRPr="00F365ED">
        <w:rPr>
          <w:sz w:val="22"/>
          <w:szCs w:val="22"/>
        </w:rPr>
        <w:t xml:space="preserve"> Hawkes, 1974, p. 47-48. For a monarch to travel a circuit physically (over somewhat smaller area) is well-known  - in China the theoretical circuit was defined by the Five Holy Mountains, but was never accomplished. </w:t>
      </w:r>
      <w:r w:rsidR="00E1792B" w:rsidRPr="00F365ED">
        <w:rPr>
          <w:sz w:val="22"/>
          <w:szCs w:val="22"/>
        </w:rPr>
        <w:t xml:space="preserve">Hawkes thinks the journey in </w:t>
      </w:r>
      <w:r w:rsidR="00E1792B" w:rsidRPr="00F365ED">
        <w:rPr>
          <w:i/>
          <w:iCs/>
          <w:sz w:val="22"/>
          <w:szCs w:val="22"/>
        </w:rPr>
        <w:t xml:space="preserve">Li </w:t>
      </w:r>
      <w:proofErr w:type="spellStart"/>
      <w:r w:rsidR="00E1792B" w:rsidRPr="00F365ED">
        <w:rPr>
          <w:i/>
          <w:iCs/>
          <w:sz w:val="22"/>
          <w:szCs w:val="22"/>
        </w:rPr>
        <w:t>sao</w:t>
      </w:r>
      <w:proofErr w:type="spellEnd"/>
      <w:r w:rsidR="00E1792B" w:rsidRPr="00F365ED">
        <w:rPr>
          <w:sz w:val="22"/>
          <w:szCs w:val="22"/>
        </w:rPr>
        <w:t xml:space="preserve"> is an ‘allegory’.</w:t>
      </w:r>
    </w:p>
  </w:footnote>
  <w:footnote w:id="107">
    <w:p w14:paraId="23CD749F" w14:textId="4BA3B592" w:rsidR="00F365ED" w:rsidRPr="00F365ED" w:rsidRDefault="00F365ED" w:rsidP="00F365ED">
      <w:pPr>
        <w:pStyle w:val="FootnoteText"/>
        <w:spacing w:after="120"/>
        <w:rPr>
          <w:sz w:val="22"/>
          <w:szCs w:val="22"/>
        </w:rPr>
      </w:pPr>
      <w:r w:rsidRPr="00F365ED">
        <w:rPr>
          <w:rStyle w:val="FootnoteReference"/>
          <w:sz w:val="22"/>
          <w:szCs w:val="22"/>
        </w:rPr>
        <w:footnoteRef/>
      </w:r>
      <w:r w:rsidRPr="00F365ED">
        <w:rPr>
          <w:sz w:val="22"/>
          <w:szCs w:val="22"/>
        </w:rPr>
        <w:t xml:space="preserve"> Waley, 1973, p. 15.</w:t>
      </w:r>
    </w:p>
  </w:footnote>
  <w:footnote w:id="108">
    <w:p w14:paraId="403A7F1B" w14:textId="4D4AE3C8" w:rsidR="007A2D5A" w:rsidRPr="00F365ED" w:rsidRDefault="002B45C4" w:rsidP="00F365ED">
      <w:pPr>
        <w:spacing w:after="120" w:line="240" w:lineRule="auto"/>
      </w:pPr>
      <w:r w:rsidRPr="00F365ED">
        <w:rPr>
          <w:rStyle w:val="FootnoteReference"/>
        </w:rPr>
        <w:footnoteRef/>
      </w:r>
      <w:r w:rsidRPr="00F365ED">
        <w:t xml:space="preserve"> It is noted that </w:t>
      </w:r>
      <w:r w:rsidRPr="00F365ED">
        <w:rPr>
          <w:rFonts w:cs="Calibri"/>
        </w:rPr>
        <w:t xml:space="preserve">Strassberg titles his edition a ‘bestiary’, a term associated with the quaint and fanciful, “collected for purposes of …curiosity and delight”. (2002, </w:t>
      </w:r>
      <w:proofErr w:type="spellStart"/>
      <w:r w:rsidRPr="00F365ED">
        <w:rPr>
          <w:rFonts w:cs="Calibri"/>
        </w:rPr>
        <w:t>p.xiii</w:t>
      </w:r>
      <w:proofErr w:type="spellEnd"/>
      <w:r w:rsidRPr="00F365ED">
        <w:rPr>
          <w:rFonts w:cs="Calibri"/>
        </w:rPr>
        <w:t xml:space="preserve">, p. 4). Most of previous literature was lost in the Qin burnings. </w:t>
      </w:r>
      <w:r w:rsidRPr="00F365ED">
        <w:t xml:space="preserve">Re multiple authorship, it is notable that </w:t>
      </w:r>
      <w:proofErr w:type="gramStart"/>
      <w:r w:rsidRPr="00F365ED">
        <w:t>a number of</w:t>
      </w:r>
      <w:proofErr w:type="gramEnd"/>
      <w:r w:rsidRPr="00F365ED">
        <w:t xml:space="preserve"> the entries are duplicated</w:t>
      </w:r>
      <w:r w:rsidR="00572FE7" w:rsidRPr="00F365ED">
        <w:t>.</w:t>
      </w:r>
    </w:p>
  </w:footnote>
  <w:footnote w:id="109">
    <w:p w14:paraId="1F2AFD43" w14:textId="77777777" w:rsidR="007A2D5A" w:rsidRPr="00F365ED" w:rsidRDefault="002B45C4" w:rsidP="00F365ED">
      <w:pPr>
        <w:pStyle w:val="FootnoteText"/>
        <w:spacing w:after="120"/>
        <w:rPr>
          <w:sz w:val="22"/>
          <w:szCs w:val="22"/>
        </w:rPr>
      </w:pPr>
      <w:r w:rsidRPr="00F365ED">
        <w:rPr>
          <w:rStyle w:val="FootnoteReference"/>
          <w:sz w:val="22"/>
          <w:szCs w:val="22"/>
        </w:rPr>
        <w:footnoteRef/>
      </w:r>
      <w:r w:rsidRPr="00F365ED">
        <w:rPr>
          <w:sz w:val="22"/>
          <w:szCs w:val="22"/>
        </w:rPr>
        <w:t xml:space="preserve"> Strassberg, 2002, p. 4.</w:t>
      </w:r>
    </w:p>
  </w:footnote>
  <w:footnote w:id="110">
    <w:p w14:paraId="4F42ADA2" w14:textId="77777777" w:rsidR="007A2D5A" w:rsidRPr="00F365ED" w:rsidRDefault="002B45C4" w:rsidP="00F365ED">
      <w:pPr>
        <w:pStyle w:val="FootnoteText"/>
        <w:spacing w:after="120"/>
        <w:rPr>
          <w:sz w:val="22"/>
          <w:szCs w:val="22"/>
        </w:rPr>
      </w:pPr>
      <w:r w:rsidRPr="00F365ED">
        <w:rPr>
          <w:rStyle w:val="FootnoteReference"/>
          <w:sz w:val="22"/>
          <w:szCs w:val="22"/>
        </w:rPr>
        <w:footnoteRef/>
      </w:r>
      <w:r w:rsidRPr="00F365ED">
        <w:rPr>
          <w:sz w:val="22"/>
          <w:szCs w:val="22"/>
        </w:rPr>
        <w:t xml:space="preserve"> Strassberg, 2002, p. 1.</w:t>
      </w:r>
    </w:p>
  </w:footnote>
  <w:footnote w:id="111">
    <w:p w14:paraId="4C0C05D4" w14:textId="77777777" w:rsidR="007A2D5A" w:rsidRPr="007F57AE" w:rsidRDefault="002B45C4" w:rsidP="007F57AE">
      <w:pPr>
        <w:pStyle w:val="FootnoteText"/>
        <w:spacing w:after="120"/>
        <w:rPr>
          <w:sz w:val="22"/>
          <w:szCs w:val="22"/>
        </w:rPr>
      </w:pPr>
      <w:r w:rsidRPr="007F57AE">
        <w:rPr>
          <w:rStyle w:val="FootnoteReference"/>
          <w:sz w:val="22"/>
          <w:szCs w:val="22"/>
        </w:rPr>
        <w:footnoteRef/>
      </w:r>
      <w:r w:rsidRPr="007F57AE">
        <w:rPr>
          <w:sz w:val="22"/>
          <w:szCs w:val="22"/>
        </w:rPr>
        <w:t xml:space="preserve"> Strassberg, 2002</w:t>
      </w:r>
      <w:r w:rsidRPr="007F57AE">
        <w:rPr>
          <w:rFonts w:cs="Calibri"/>
          <w:sz w:val="22"/>
          <w:szCs w:val="22"/>
        </w:rPr>
        <w:t xml:space="preserve"> , p xiii, p. 2.</w:t>
      </w:r>
    </w:p>
  </w:footnote>
  <w:footnote w:id="112">
    <w:p w14:paraId="04487807" w14:textId="77777777" w:rsidR="007A2D5A" w:rsidRPr="007F57AE" w:rsidRDefault="002B45C4" w:rsidP="007F57AE">
      <w:pPr>
        <w:pStyle w:val="FootnoteText"/>
        <w:spacing w:after="120"/>
        <w:rPr>
          <w:sz w:val="22"/>
          <w:szCs w:val="22"/>
        </w:rPr>
      </w:pPr>
      <w:r w:rsidRPr="007F57AE">
        <w:rPr>
          <w:rStyle w:val="FootnoteReference"/>
          <w:sz w:val="22"/>
          <w:szCs w:val="22"/>
        </w:rPr>
        <w:footnoteRef/>
      </w:r>
      <w:r w:rsidRPr="007F57AE">
        <w:rPr>
          <w:sz w:val="22"/>
          <w:szCs w:val="22"/>
        </w:rPr>
        <w:t xml:space="preserve"> Yang &amp; An, 2005, p. 7. At least half of their themed entries refer to the Shanhaijing.</w:t>
      </w:r>
    </w:p>
  </w:footnote>
  <w:footnote w:id="113">
    <w:p w14:paraId="6B314822" w14:textId="77777777" w:rsidR="007A2D5A" w:rsidRPr="007F57AE" w:rsidRDefault="002B45C4" w:rsidP="007F57AE">
      <w:pPr>
        <w:pStyle w:val="FootnoteText"/>
        <w:spacing w:after="120"/>
        <w:rPr>
          <w:sz w:val="22"/>
          <w:szCs w:val="22"/>
        </w:rPr>
      </w:pPr>
      <w:r w:rsidRPr="007F57AE">
        <w:rPr>
          <w:rStyle w:val="FootnoteReference"/>
          <w:sz w:val="22"/>
          <w:szCs w:val="22"/>
        </w:rPr>
        <w:footnoteRef/>
      </w:r>
      <w:r w:rsidRPr="007F57AE">
        <w:rPr>
          <w:sz w:val="22"/>
          <w:szCs w:val="22"/>
        </w:rPr>
        <w:t xml:space="preserve"> Yang &amp; An, 2005, p. 7 &amp; p. 57, </w:t>
      </w:r>
      <w:proofErr w:type="spellStart"/>
      <w:r w:rsidRPr="007F57AE">
        <w:rPr>
          <w:sz w:val="22"/>
          <w:szCs w:val="22"/>
        </w:rPr>
        <w:t>nn</w:t>
      </w:r>
      <w:proofErr w:type="spellEnd"/>
      <w:r w:rsidRPr="007F57AE">
        <w:rPr>
          <w:sz w:val="22"/>
          <w:szCs w:val="22"/>
        </w:rPr>
        <w:t>. 11-14, provide further references.</w:t>
      </w:r>
    </w:p>
  </w:footnote>
  <w:footnote w:id="114">
    <w:p w14:paraId="5CA924E7" w14:textId="77777777" w:rsidR="007A2D5A" w:rsidRPr="007F57AE" w:rsidRDefault="002B45C4" w:rsidP="007F57AE">
      <w:pPr>
        <w:pStyle w:val="FootnoteText"/>
        <w:spacing w:after="120"/>
        <w:rPr>
          <w:sz w:val="22"/>
          <w:szCs w:val="22"/>
        </w:rPr>
      </w:pPr>
      <w:r w:rsidRPr="007F57AE">
        <w:rPr>
          <w:rStyle w:val="FootnoteReference"/>
          <w:sz w:val="22"/>
          <w:szCs w:val="22"/>
        </w:rPr>
        <w:footnoteRef/>
      </w:r>
      <w:r w:rsidRPr="007F57AE">
        <w:rPr>
          <w:sz w:val="22"/>
          <w:szCs w:val="22"/>
        </w:rPr>
        <w:t xml:space="preserve"> Strassberg, 2002, p. 3. He provides sundry further wildly varying views. </w:t>
      </w:r>
    </w:p>
  </w:footnote>
  <w:footnote w:id="115">
    <w:p w14:paraId="5FF9A921" w14:textId="77777777" w:rsidR="007A2D5A" w:rsidRPr="007F57AE" w:rsidRDefault="002B45C4" w:rsidP="007F57AE">
      <w:pPr>
        <w:pStyle w:val="FootnoteText"/>
        <w:spacing w:after="120"/>
        <w:rPr>
          <w:sz w:val="22"/>
          <w:szCs w:val="22"/>
        </w:rPr>
      </w:pPr>
      <w:r w:rsidRPr="007F57AE">
        <w:rPr>
          <w:rStyle w:val="FootnoteReference"/>
          <w:sz w:val="22"/>
          <w:szCs w:val="22"/>
        </w:rPr>
        <w:footnoteRef/>
      </w:r>
      <w:r w:rsidRPr="007F57AE">
        <w:rPr>
          <w:sz w:val="22"/>
          <w:szCs w:val="22"/>
        </w:rPr>
        <w:t xml:space="preserve"> Strassberg, 2002, p. 3.</w:t>
      </w:r>
    </w:p>
  </w:footnote>
  <w:footnote w:id="116">
    <w:p w14:paraId="07DA3075" w14:textId="632F82DB" w:rsidR="007A2D5A" w:rsidRPr="007F57AE" w:rsidRDefault="002B45C4" w:rsidP="007F57AE">
      <w:pPr>
        <w:spacing w:after="120" w:line="240" w:lineRule="auto"/>
      </w:pPr>
      <w:r w:rsidRPr="007F57AE">
        <w:rPr>
          <w:rStyle w:val="FootnoteReference"/>
        </w:rPr>
        <w:footnoteRef/>
      </w:r>
      <w:r w:rsidRPr="007F57AE">
        <w:t xml:space="preserve"> Poo, 1998, </w:t>
      </w:r>
      <w:r w:rsidRPr="007F57AE">
        <w:rPr>
          <w:rFonts w:cs="Calibri"/>
        </w:rPr>
        <w:t xml:space="preserve">p. 97, my emphasis. Poo engages in the usual academic misuse of probabilism to express opinion rather than knowledge. </w:t>
      </w:r>
      <w:r w:rsidR="00AA275D" w:rsidRPr="007F57AE">
        <w:rPr>
          <w:rFonts w:cs="Calibri"/>
        </w:rPr>
        <w:t>For a critique of probabilism</w:t>
      </w:r>
      <w:r w:rsidR="000C4666" w:rsidRPr="007F57AE">
        <w:rPr>
          <w:rFonts w:cs="Calibri"/>
        </w:rPr>
        <w:t xml:space="preserve"> (not academically referenced) </w:t>
      </w:r>
      <w:r w:rsidR="00AA275D" w:rsidRPr="007F57AE">
        <w:rPr>
          <w:rFonts w:cs="Calibri"/>
        </w:rPr>
        <w:t xml:space="preserve">see </w:t>
      </w:r>
      <w:r w:rsidR="000C4666" w:rsidRPr="007F57AE">
        <w:rPr>
          <w:rFonts w:cs="Calibri"/>
        </w:rPr>
        <w:t xml:space="preserve">https://pandorasjar.org/probably-rubbish. </w:t>
      </w:r>
    </w:p>
  </w:footnote>
  <w:footnote w:id="117">
    <w:p w14:paraId="5881A755" w14:textId="77777777" w:rsidR="007A2D5A" w:rsidRPr="007F57AE" w:rsidRDefault="002B45C4" w:rsidP="007F57AE">
      <w:pPr>
        <w:pStyle w:val="FootnoteText"/>
        <w:spacing w:after="120"/>
        <w:rPr>
          <w:sz w:val="22"/>
          <w:szCs w:val="22"/>
        </w:rPr>
      </w:pPr>
      <w:r w:rsidRPr="007F57AE">
        <w:rPr>
          <w:rStyle w:val="FootnoteReference"/>
          <w:sz w:val="22"/>
          <w:szCs w:val="22"/>
        </w:rPr>
        <w:footnoteRef/>
      </w:r>
      <w:r w:rsidRPr="007F57AE">
        <w:rPr>
          <w:sz w:val="22"/>
          <w:szCs w:val="22"/>
        </w:rPr>
        <w:t xml:space="preserve"> Poo, 1998, p. 99. In the same paragraph he repeats the notion of a travellers’ guide. He further acknowledge</w:t>
      </w:r>
      <w:r w:rsidRPr="007F57AE">
        <w:rPr>
          <w:rFonts w:cs="Calibri"/>
          <w:sz w:val="22"/>
          <w:szCs w:val="22"/>
        </w:rPr>
        <w:t xml:space="preserve">, that “we can not determine however why many of the places are unidentifiable” hence acknowledging that it is not a physical geography, but ignoring that it is </w:t>
      </w:r>
      <w:proofErr w:type="gramStart"/>
      <w:r w:rsidRPr="007F57AE">
        <w:rPr>
          <w:rFonts w:cs="Calibri"/>
          <w:sz w:val="22"/>
          <w:szCs w:val="22"/>
        </w:rPr>
        <w:t>actually a</w:t>
      </w:r>
      <w:proofErr w:type="gramEnd"/>
      <w:r w:rsidRPr="007F57AE">
        <w:rPr>
          <w:rFonts w:cs="Calibri"/>
          <w:sz w:val="22"/>
          <w:szCs w:val="22"/>
        </w:rPr>
        <w:t xml:space="preserve"> spiritual text.</w:t>
      </w:r>
    </w:p>
  </w:footnote>
  <w:footnote w:id="118">
    <w:p w14:paraId="63000FE3" w14:textId="34A29AF3" w:rsidR="00EA571D" w:rsidRPr="007F57AE" w:rsidRDefault="00EA571D" w:rsidP="007F57AE">
      <w:pPr>
        <w:pStyle w:val="FootnoteText"/>
        <w:spacing w:after="120"/>
        <w:rPr>
          <w:sz w:val="22"/>
          <w:szCs w:val="22"/>
        </w:rPr>
      </w:pPr>
      <w:r w:rsidRPr="007F57AE">
        <w:rPr>
          <w:rStyle w:val="FootnoteReference"/>
          <w:sz w:val="22"/>
          <w:szCs w:val="22"/>
        </w:rPr>
        <w:footnoteRef/>
      </w:r>
      <w:r w:rsidRPr="007F57AE">
        <w:rPr>
          <w:sz w:val="22"/>
          <w:szCs w:val="22"/>
        </w:rPr>
        <w:t xml:space="preserve"> Dorofeeva-</w:t>
      </w:r>
      <w:proofErr w:type="spellStart"/>
      <w:r w:rsidRPr="007F57AE">
        <w:rPr>
          <w:sz w:val="22"/>
          <w:szCs w:val="22"/>
        </w:rPr>
        <w:t>Lichtmann</w:t>
      </w:r>
      <w:proofErr w:type="spellEnd"/>
      <w:r w:rsidRPr="007F57AE">
        <w:rPr>
          <w:sz w:val="22"/>
          <w:szCs w:val="22"/>
        </w:rPr>
        <w:t>, 2003, p. 6. “The locations of mountains given in the SJ and the real topography of those regions of China referred to are not compatible”.</w:t>
      </w:r>
    </w:p>
  </w:footnote>
  <w:footnote w:id="119">
    <w:p w14:paraId="0067C8F3" w14:textId="49B748DF" w:rsidR="00AB1493" w:rsidRPr="007F57AE" w:rsidRDefault="00AB1493" w:rsidP="007F57AE">
      <w:pPr>
        <w:pStyle w:val="FootnoteText"/>
        <w:spacing w:after="120"/>
        <w:rPr>
          <w:sz w:val="22"/>
          <w:szCs w:val="22"/>
        </w:rPr>
      </w:pPr>
      <w:r w:rsidRPr="007F57AE">
        <w:rPr>
          <w:rStyle w:val="FootnoteReference"/>
          <w:sz w:val="22"/>
          <w:szCs w:val="22"/>
        </w:rPr>
        <w:footnoteRef/>
      </w:r>
      <w:r w:rsidRPr="007F57AE">
        <w:rPr>
          <w:sz w:val="22"/>
          <w:szCs w:val="22"/>
        </w:rPr>
        <w:t xml:space="preserve"> Strassberg, 2002, p. 36.</w:t>
      </w:r>
    </w:p>
  </w:footnote>
  <w:footnote w:id="120">
    <w:p w14:paraId="00FD55E1" w14:textId="77777777" w:rsidR="007A2D5A" w:rsidRPr="007F57AE" w:rsidRDefault="002B45C4" w:rsidP="007F57AE">
      <w:pPr>
        <w:pStyle w:val="FootnoteText"/>
        <w:spacing w:after="120"/>
        <w:rPr>
          <w:sz w:val="22"/>
          <w:szCs w:val="22"/>
        </w:rPr>
      </w:pPr>
      <w:r w:rsidRPr="007F57AE">
        <w:rPr>
          <w:rStyle w:val="FootnoteReference"/>
          <w:sz w:val="22"/>
          <w:szCs w:val="22"/>
        </w:rPr>
        <w:footnoteRef/>
      </w:r>
      <w:r w:rsidRPr="007F57AE">
        <w:rPr>
          <w:sz w:val="22"/>
          <w:szCs w:val="22"/>
        </w:rPr>
        <w:t xml:space="preserve">  Strassberg, 2002, p. 3.</w:t>
      </w:r>
    </w:p>
  </w:footnote>
  <w:footnote w:id="121">
    <w:p w14:paraId="11D43EBB" w14:textId="77035307" w:rsidR="007A2D5A" w:rsidRPr="007F57AE" w:rsidRDefault="002B45C4" w:rsidP="007F57AE">
      <w:pPr>
        <w:pStyle w:val="FootnoteText"/>
        <w:spacing w:after="120"/>
        <w:rPr>
          <w:sz w:val="22"/>
          <w:szCs w:val="22"/>
        </w:rPr>
      </w:pPr>
      <w:r w:rsidRPr="007F57AE">
        <w:rPr>
          <w:rStyle w:val="FootnoteReference"/>
          <w:sz w:val="22"/>
          <w:szCs w:val="22"/>
        </w:rPr>
        <w:footnoteRef/>
      </w:r>
      <w:r w:rsidRPr="007F57AE">
        <w:rPr>
          <w:sz w:val="22"/>
          <w:szCs w:val="22"/>
        </w:rPr>
        <w:t>.</w:t>
      </w:r>
      <w:r w:rsidR="008A7EFC" w:rsidRPr="007F57AE">
        <w:rPr>
          <w:sz w:val="22"/>
          <w:szCs w:val="22"/>
        </w:rPr>
        <w:t xml:space="preserve"> Campany’s preference for ‘masters of esoterica’, (</w:t>
      </w:r>
      <w:proofErr w:type="spellStart"/>
      <w:r w:rsidR="008A7EFC" w:rsidRPr="007F57AE">
        <w:rPr>
          <w:i/>
          <w:iCs/>
          <w:sz w:val="22"/>
          <w:szCs w:val="22"/>
        </w:rPr>
        <w:t>fangshi</w:t>
      </w:r>
      <w:proofErr w:type="spellEnd"/>
      <w:r w:rsidR="008A7EFC" w:rsidRPr="007F57AE">
        <w:rPr>
          <w:sz w:val="22"/>
          <w:szCs w:val="22"/>
        </w:rPr>
        <w:t xml:space="preserve">) as authors (after Gao </w:t>
      </w:r>
      <w:proofErr w:type="spellStart"/>
      <w:r w:rsidR="008A7EFC" w:rsidRPr="007F57AE">
        <w:rPr>
          <w:sz w:val="22"/>
          <w:szCs w:val="22"/>
        </w:rPr>
        <w:t>Quxun</w:t>
      </w:r>
      <w:proofErr w:type="spellEnd"/>
      <w:r w:rsidR="008A7EFC" w:rsidRPr="007F57AE">
        <w:rPr>
          <w:sz w:val="22"/>
          <w:szCs w:val="22"/>
        </w:rPr>
        <w:t>) (Campany, 1996, p. 36, n. 32) seems to this writer excessively to restrict the concept of ‘shaman’.</w:t>
      </w:r>
    </w:p>
  </w:footnote>
  <w:footnote w:id="122">
    <w:p w14:paraId="784F963D" w14:textId="0CF385BC" w:rsidR="007A2D5A" w:rsidRPr="007F57AE" w:rsidRDefault="002B45C4" w:rsidP="007F57AE">
      <w:pPr>
        <w:pStyle w:val="FootnoteText"/>
        <w:spacing w:after="120"/>
        <w:rPr>
          <w:sz w:val="22"/>
          <w:szCs w:val="22"/>
        </w:rPr>
      </w:pPr>
      <w:r w:rsidRPr="007F57AE">
        <w:rPr>
          <w:rStyle w:val="FootnoteReference"/>
          <w:sz w:val="22"/>
          <w:szCs w:val="22"/>
        </w:rPr>
        <w:footnoteRef/>
      </w:r>
      <w:r w:rsidRPr="007F57AE">
        <w:rPr>
          <w:sz w:val="22"/>
          <w:szCs w:val="22"/>
        </w:rPr>
        <w:t xml:space="preserve"> </w:t>
      </w:r>
      <w:r w:rsidR="00892472" w:rsidRPr="007F57AE">
        <w:rPr>
          <w:sz w:val="22"/>
          <w:szCs w:val="22"/>
        </w:rPr>
        <w:t>Eliade, 2004, p. 140, “All over the world, shamans…are credited with the power …to cover immense distances in a twink</w:t>
      </w:r>
      <w:r w:rsidR="00B4439B" w:rsidRPr="007F57AE">
        <w:rPr>
          <w:sz w:val="22"/>
          <w:szCs w:val="22"/>
        </w:rPr>
        <w:t>l</w:t>
      </w:r>
      <w:r w:rsidR="00892472" w:rsidRPr="007F57AE">
        <w:rPr>
          <w:sz w:val="22"/>
          <w:szCs w:val="22"/>
        </w:rPr>
        <w:t xml:space="preserve">ing”. </w:t>
      </w:r>
      <w:r w:rsidRPr="007F57AE">
        <w:rPr>
          <w:sz w:val="22"/>
          <w:szCs w:val="22"/>
        </w:rPr>
        <w:t xml:space="preserve">Choosing a plate (IX) at random from Strassberg, 2002, pp. 97-100, the total distance travelled, all westerly, is 1542 </w:t>
      </w:r>
      <w:r w:rsidRPr="007F57AE">
        <w:rPr>
          <w:i/>
          <w:iCs/>
          <w:sz w:val="22"/>
          <w:szCs w:val="22"/>
        </w:rPr>
        <w:t>li</w:t>
      </w:r>
      <w:r w:rsidRPr="007F57AE">
        <w:rPr>
          <w:sz w:val="22"/>
          <w:szCs w:val="22"/>
        </w:rPr>
        <w:t xml:space="preserve"> (</w:t>
      </w:r>
      <w:r w:rsidR="00FF37A9" w:rsidRPr="007F57AE">
        <w:rPr>
          <w:sz w:val="22"/>
          <w:szCs w:val="22"/>
        </w:rPr>
        <w:t xml:space="preserve">from </w:t>
      </w:r>
      <w:r w:rsidRPr="007F57AE">
        <w:rPr>
          <w:sz w:val="22"/>
          <w:szCs w:val="22"/>
        </w:rPr>
        <w:t xml:space="preserve">about </w:t>
      </w:r>
      <w:r w:rsidR="00FF37A9" w:rsidRPr="007F57AE">
        <w:rPr>
          <w:sz w:val="22"/>
          <w:szCs w:val="22"/>
        </w:rPr>
        <w:t xml:space="preserve">500km to </w:t>
      </w:r>
      <w:r w:rsidRPr="007F57AE">
        <w:rPr>
          <w:sz w:val="22"/>
          <w:szCs w:val="22"/>
        </w:rPr>
        <w:t>750 km</w:t>
      </w:r>
      <w:r w:rsidR="00FF37A9" w:rsidRPr="007F57AE">
        <w:rPr>
          <w:sz w:val="22"/>
          <w:szCs w:val="22"/>
        </w:rPr>
        <w:t xml:space="preserve">, depending on the applicable </w:t>
      </w:r>
      <w:r w:rsidRPr="007F57AE">
        <w:rPr>
          <w:sz w:val="22"/>
          <w:szCs w:val="22"/>
        </w:rPr>
        <w:t>current conversion rate</w:t>
      </w:r>
      <w:r w:rsidR="00FF37A9" w:rsidRPr="007F57AE">
        <w:rPr>
          <w:sz w:val="22"/>
          <w:szCs w:val="22"/>
        </w:rPr>
        <w:t>, which varied by dynasty</w:t>
      </w:r>
      <w:r w:rsidRPr="007F57AE">
        <w:rPr>
          <w:sz w:val="22"/>
          <w:szCs w:val="22"/>
        </w:rPr>
        <w:t xml:space="preserve">). </w:t>
      </w:r>
      <w:r w:rsidR="00E22D26" w:rsidRPr="007F57AE">
        <w:rPr>
          <w:sz w:val="22"/>
          <w:szCs w:val="22"/>
        </w:rPr>
        <w:t xml:space="preserve">One is reminded of Monkey in the somewhat later </w:t>
      </w:r>
      <w:r w:rsidR="00E22D26" w:rsidRPr="007F57AE">
        <w:rPr>
          <w:i/>
          <w:iCs/>
          <w:sz w:val="22"/>
          <w:szCs w:val="22"/>
        </w:rPr>
        <w:t>Journey to the West</w:t>
      </w:r>
      <w:r w:rsidR="00E22D26" w:rsidRPr="007F57AE">
        <w:rPr>
          <w:sz w:val="22"/>
          <w:szCs w:val="22"/>
        </w:rPr>
        <w:t xml:space="preserve">, whose powers, </w:t>
      </w:r>
      <w:r w:rsidR="000C4666" w:rsidRPr="007F57AE">
        <w:rPr>
          <w:sz w:val="22"/>
          <w:szCs w:val="22"/>
        </w:rPr>
        <w:t>D</w:t>
      </w:r>
      <w:r w:rsidR="00E22D26" w:rsidRPr="007F57AE">
        <w:rPr>
          <w:sz w:val="22"/>
          <w:szCs w:val="22"/>
        </w:rPr>
        <w:t xml:space="preserve">aoist-linked in his case, enable him to </w:t>
      </w:r>
      <w:r w:rsidR="00FF37A9" w:rsidRPr="007F57AE">
        <w:rPr>
          <w:sz w:val="22"/>
          <w:szCs w:val="22"/>
        </w:rPr>
        <w:t>‘cloud-jump’).</w:t>
      </w:r>
      <w:r w:rsidR="00892472" w:rsidRPr="007F57AE">
        <w:rPr>
          <w:sz w:val="22"/>
          <w:szCs w:val="22"/>
        </w:rPr>
        <w:t xml:space="preserve"> </w:t>
      </w:r>
    </w:p>
  </w:footnote>
  <w:footnote w:id="123">
    <w:p w14:paraId="411E7029" w14:textId="77777777" w:rsidR="00934C5C" w:rsidRPr="009E7605" w:rsidRDefault="00934C5C" w:rsidP="00934C5C">
      <w:pPr>
        <w:pStyle w:val="FootnoteText"/>
        <w:spacing w:after="120"/>
        <w:rPr>
          <w:sz w:val="22"/>
          <w:szCs w:val="22"/>
        </w:rPr>
      </w:pPr>
      <w:r w:rsidRPr="009E7605">
        <w:rPr>
          <w:rStyle w:val="FootnoteReference"/>
          <w:sz w:val="22"/>
          <w:szCs w:val="22"/>
        </w:rPr>
        <w:footnoteRef/>
      </w:r>
      <w:r w:rsidRPr="009E7605">
        <w:rPr>
          <w:sz w:val="22"/>
          <w:szCs w:val="22"/>
        </w:rPr>
        <w:t xml:space="preserve"> The text generally is ‘rides on a pair of dragons’, illustrations include the necessary conveyance. Entries: 74, 227, 241, 260, 290, 325. (Strassberg, 2002).</w:t>
      </w:r>
    </w:p>
  </w:footnote>
  <w:footnote w:id="124">
    <w:p w14:paraId="47C199FA" w14:textId="77777777" w:rsidR="00934C5C" w:rsidRPr="009E7605" w:rsidRDefault="00934C5C" w:rsidP="00934C5C">
      <w:pPr>
        <w:pStyle w:val="FootnoteText"/>
        <w:spacing w:after="120"/>
        <w:rPr>
          <w:sz w:val="22"/>
          <w:szCs w:val="22"/>
        </w:rPr>
      </w:pPr>
      <w:r w:rsidRPr="009E7605">
        <w:rPr>
          <w:rStyle w:val="FootnoteReference"/>
          <w:sz w:val="22"/>
          <w:szCs w:val="22"/>
        </w:rPr>
        <w:footnoteRef/>
      </w:r>
      <w:r w:rsidRPr="009E7605">
        <w:rPr>
          <w:sz w:val="22"/>
          <w:szCs w:val="22"/>
        </w:rPr>
        <w:t xml:space="preserve"> Harner, 2013, p. 70.</w:t>
      </w:r>
    </w:p>
  </w:footnote>
  <w:footnote w:id="125">
    <w:p w14:paraId="20438854" w14:textId="4EEA6E43" w:rsidR="007A2D5A" w:rsidRPr="003350D6" w:rsidRDefault="002B45C4" w:rsidP="003350D6">
      <w:pPr>
        <w:pStyle w:val="FootnoteText"/>
        <w:spacing w:after="120"/>
        <w:rPr>
          <w:sz w:val="22"/>
          <w:szCs w:val="22"/>
        </w:rPr>
      </w:pPr>
      <w:r w:rsidRPr="003350D6">
        <w:rPr>
          <w:rStyle w:val="FootnoteReference"/>
          <w:sz w:val="22"/>
          <w:szCs w:val="22"/>
        </w:rPr>
        <w:footnoteRef/>
      </w:r>
      <w:r w:rsidRPr="003350D6">
        <w:rPr>
          <w:sz w:val="22"/>
          <w:szCs w:val="22"/>
        </w:rPr>
        <w:t xml:space="preserve"> This writer would argue that the various Egyptian ‘funerary’ literature and ‘underworld’ narratives similarly constitute ‘shamanic </w:t>
      </w:r>
      <w:proofErr w:type="gramStart"/>
      <w:r w:rsidRPr="003350D6">
        <w:rPr>
          <w:sz w:val="22"/>
          <w:szCs w:val="22"/>
        </w:rPr>
        <w:t>guidebooks’</w:t>
      </w:r>
      <w:proofErr w:type="gramEnd"/>
      <w:r w:rsidRPr="003350D6">
        <w:rPr>
          <w:sz w:val="22"/>
          <w:szCs w:val="22"/>
        </w:rPr>
        <w:t>.</w:t>
      </w:r>
      <w:r w:rsidR="00AA6446">
        <w:rPr>
          <w:sz w:val="22"/>
          <w:szCs w:val="22"/>
        </w:rPr>
        <w:t xml:space="preserve"> Egypt was also a complex society, long ‘developed’ from hunter-gatherer economy by that time.</w:t>
      </w:r>
      <w:r w:rsidR="00C03B41">
        <w:rPr>
          <w:sz w:val="22"/>
          <w:szCs w:val="22"/>
        </w:rPr>
        <w:t xml:space="preserve"> Lai, 2015, p. 174, argues for the use of </w:t>
      </w:r>
      <w:r w:rsidR="00C03B41" w:rsidRPr="00C03B41">
        <w:rPr>
          <w:i/>
          <w:iCs/>
          <w:sz w:val="22"/>
          <w:szCs w:val="22"/>
        </w:rPr>
        <w:t>The Travels of Mu the Son of Heaven</w:t>
      </w:r>
      <w:r w:rsidR="00C03B41">
        <w:rPr>
          <w:sz w:val="22"/>
          <w:szCs w:val="22"/>
        </w:rPr>
        <w:t xml:space="preserve"> similarly to the </w:t>
      </w:r>
      <w:r w:rsidR="00C03B41" w:rsidRPr="00C03B41">
        <w:rPr>
          <w:i/>
          <w:iCs/>
          <w:sz w:val="22"/>
          <w:szCs w:val="22"/>
        </w:rPr>
        <w:t>’Book of the Dead’</w:t>
      </w:r>
      <w:r w:rsidR="00C03B41">
        <w:rPr>
          <w:sz w:val="22"/>
          <w:szCs w:val="22"/>
        </w:rPr>
        <w:t xml:space="preserve"> (</w:t>
      </w:r>
      <w:r w:rsidR="00C03B41" w:rsidRPr="00C03B41">
        <w:rPr>
          <w:i/>
          <w:iCs/>
          <w:sz w:val="22"/>
          <w:szCs w:val="22"/>
        </w:rPr>
        <w:t>Coming Forth By Day</w:t>
      </w:r>
      <w:r w:rsidR="00C03B41">
        <w:rPr>
          <w:sz w:val="22"/>
          <w:szCs w:val="22"/>
        </w:rPr>
        <w:t>).</w:t>
      </w:r>
    </w:p>
  </w:footnote>
  <w:footnote w:id="126">
    <w:p w14:paraId="06FD2B16" w14:textId="43F79D67" w:rsidR="00A3533E" w:rsidRPr="003350D6" w:rsidRDefault="00A3533E" w:rsidP="003350D6">
      <w:pPr>
        <w:pStyle w:val="FootnoteText"/>
        <w:spacing w:after="120"/>
        <w:rPr>
          <w:sz w:val="22"/>
          <w:szCs w:val="22"/>
        </w:rPr>
      </w:pPr>
      <w:r w:rsidRPr="003350D6">
        <w:rPr>
          <w:rStyle w:val="FootnoteReference"/>
          <w:sz w:val="22"/>
          <w:szCs w:val="22"/>
        </w:rPr>
        <w:footnoteRef/>
      </w:r>
      <w:r w:rsidRPr="003350D6">
        <w:rPr>
          <w:sz w:val="22"/>
          <w:szCs w:val="22"/>
        </w:rPr>
        <w:t xml:space="preserve"> The transformation texts appear to have been framed in a broadly Buddhist context, yet were denounced by “righteous monks”, plausibly because of “perceived cultic, risqué and magical or illusionary qualities” (Carey, 2000, p. 5). (That is, their material derived from earlier religion.)</w:t>
      </w:r>
    </w:p>
  </w:footnote>
  <w:footnote w:id="127">
    <w:p w14:paraId="350330D3" w14:textId="2D776025" w:rsidR="00D66596" w:rsidRPr="003350D6" w:rsidRDefault="00D66596" w:rsidP="003350D6">
      <w:pPr>
        <w:pStyle w:val="FootnoteText"/>
        <w:spacing w:after="120"/>
        <w:rPr>
          <w:sz w:val="22"/>
          <w:szCs w:val="22"/>
        </w:rPr>
      </w:pPr>
      <w:r w:rsidRPr="003350D6">
        <w:rPr>
          <w:rStyle w:val="FootnoteReference"/>
          <w:sz w:val="22"/>
          <w:szCs w:val="22"/>
        </w:rPr>
        <w:footnoteRef/>
      </w:r>
      <w:r w:rsidRPr="003350D6">
        <w:rPr>
          <w:sz w:val="22"/>
          <w:szCs w:val="22"/>
        </w:rPr>
        <w:t xml:space="preserve"> Carey, 2000, p. 4.</w:t>
      </w:r>
      <w:r w:rsidR="00A3533E" w:rsidRPr="003350D6">
        <w:rPr>
          <w:sz w:val="22"/>
          <w:szCs w:val="22"/>
        </w:rPr>
        <w:t xml:space="preserve"> Carey cites works by Barbara Ruch and Victor Mair for these two quotations.</w:t>
      </w:r>
    </w:p>
  </w:footnote>
  <w:footnote w:id="128">
    <w:p w14:paraId="78845E86" w14:textId="12CABD0D" w:rsidR="00843345" w:rsidRPr="003350D6" w:rsidRDefault="00843345" w:rsidP="003350D6">
      <w:pPr>
        <w:pStyle w:val="FootnoteText"/>
        <w:spacing w:after="120"/>
        <w:rPr>
          <w:sz w:val="22"/>
          <w:szCs w:val="22"/>
        </w:rPr>
      </w:pPr>
      <w:r w:rsidRPr="003350D6">
        <w:rPr>
          <w:rStyle w:val="FootnoteReference"/>
          <w:sz w:val="22"/>
          <w:szCs w:val="22"/>
        </w:rPr>
        <w:footnoteRef/>
      </w:r>
      <w:r w:rsidRPr="003350D6">
        <w:rPr>
          <w:sz w:val="22"/>
          <w:szCs w:val="22"/>
        </w:rPr>
        <w:t xml:space="preserve"> Birrell, 1993, p. 37, suggests that the identification of official editors in the Han edition “may also indicate that the material was censored”.</w:t>
      </w:r>
      <w:r w:rsidR="00E710BE">
        <w:rPr>
          <w:sz w:val="22"/>
          <w:szCs w:val="22"/>
        </w:rPr>
        <w:t xml:space="preserve"> Ganany</w:t>
      </w:r>
      <w:r w:rsidR="00CF5998">
        <w:rPr>
          <w:sz w:val="22"/>
          <w:szCs w:val="22"/>
        </w:rPr>
        <w:t>, 2021, p. 141</w:t>
      </w:r>
      <w:r w:rsidR="00E710BE">
        <w:rPr>
          <w:sz w:val="22"/>
          <w:szCs w:val="22"/>
        </w:rPr>
        <w:t>, writing of a later (17</w:t>
      </w:r>
      <w:r w:rsidR="00E710BE" w:rsidRPr="00E710BE">
        <w:rPr>
          <w:sz w:val="22"/>
          <w:szCs w:val="22"/>
          <w:vertAlign w:val="superscript"/>
        </w:rPr>
        <w:t>th</w:t>
      </w:r>
      <w:r w:rsidR="00E710BE">
        <w:rPr>
          <w:sz w:val="22"/>
          <w:szCs w:val="22"/>
        </w:rPr>
        <w:t xml:space="preserve"> century) period, stresses the importance of </w:t>
      </w:r>
      <w:r w:rsidR="00CF5998">
        <w:rPr>
          <w:sz w:val="22"/>
          <w:szCs w:val="22"/>
        </w:rPr>
        <w:t xml:space="preserve">picture-text combination in </w:t>
      </w:r>
      <w:proofErr w:type="spellStart"/>
      <w:r w:rsidR="00CF5998" w:rsidRPr="00CF5998">
        <w:rPr>
          <w:i/>
          <w:iCs/>
          <w:sz w:val="22"/>
          <w:szCs w:val="22"/>
        </w:rPr>
        <w:t>xiaoshuo</w:t>
      </w:r>
      <w:proofErr w:type="spellEnd"/>
      <w:r w:rsidR="00CF5998">
        <w:rPr>
          <w:sz w:val="22"/>
          <w:szCs w:val="22"/>
        </w:rPr>
        <w:t xml:space="preserve"> narratives. </w:t>
      </w:r>
    </w:p>
  </w:footnote>
  <w:footnote w:id="129">
    <w:p w14:paraId="111A919D" w14:textId="2C5599BB" w:rsidR="003350D6" w:rsidRPr="009E7605" w:rsidRDefault="003350D6" w:rsidP="009E7605">
      <w:pPr>
        <w:pStyle w:val="FootnoteText"/>
        <w:spacing w:after="120"/>
        <w:rPr>
          <w:sz w:val="22"/>
          <w:szCs w:val="22"/>
        </w:rPr>
      </w:pPr>
      <w:r w:rsidRPr="009E7605">
        <w:rPr>
          <w:rStyle w:val="FootnoteReference"/>
          <w:sz w:val="22"/>
          <w:szCs w:val="22"/>
        </w:rPr>
        <w:footnoteRef/>
      </w:r>
      <w:r w:rsidRPr="009E7605">
        <w:rPr>
          <w:sz w:val="22"/>
          <w:szCs w:val="22"/>
        </w:rPr>
        <w:t xml:space="preserve"> Yang &amp; An, 2003, p. 1, note that scholars have been arguing about the meaning of ‘myth’ and ‘mythology’ for more than 2,000 years.</w:t>
      </w:r>
    </w:p>
  </w:footnote>
  <w:footnote w:id="130">
    <w:p w14:paraId="59D1B86F" w14:textId="77777777" w:rsidR="007A2D5A" w:rsidRPr="009E7605" w:rsidRDefault="002B45C4" w:rsidP="009E7605">
      <w:pPr>
        <w:pStyle w:val="FootnoteText"/>
        <w:spacing w:after="120"/>
        <w:rPr>
          <w:sz w:val="22"/>
          <w:szCs w:val="22"/>
        </w:rPr>
      </w:pPr>
      <w:r w:rsidRPr="009E7605">
        <w:rPr>
          <w:rStyle w:val="FootnoteReference"/>
          <w:sz w:val="22"/>
          <w:szCs w:val="22"/>
        </w:rPr>
        <w:footnoteRef/>
      </w:r>
      <w:r w:rsidRPr="009E7605">
        <w:rPr>
          <w:sz w:val="22"/>
          <w:szCs w:val="22"/>
        </w:rPr>
        <w:t xml:space="preserve"> This writer notes the ubiquity of the term ‘sacrifice’ in Sinology, apparently as if a synonym for ‘rite’.</w:t>
      </w:r>
    </w:p>
  </w:footnote>
  <w:footnote w:id="131">
    <w:p w14:paraId="0ECE000F" w14:textId="5CEE5282" w:rsidR="00AA6446" w:rsidRPr="009E7605" w:rsidRDefault="00AA6446" w:rsidP="009E7605">
      <w:pPr>
        <w:pStyle w:val="FootnoteText"/>
        <w:spacing w:after="120"/>
        <w:rPr>
          <w:sz w:val="22"/>
          <w:szCs w:val="22"/>
        </w:rPr>
      </w:pPr>
      <w:r w:rsidRPr="009E7605">
        <w:rPr>
          <w:rStyle w:val="FootnoteReference"/>
          <w:sz w:val="22"/>
          <w:szCs w:val="22"/>
        </w:rPr>
        <w:footnoteRef/>
      </w:r>
      <w:r w:rsidRPr="009E7605">
        <w:rPr>
          <w:sz w:val="22"/>
          <w:szCs w:val="22"/>
        </w:rPr>
        <w:t xml:space="preserve"> Strassberg, 2003, p. 52, also n. 172.</w:t>
      </w:r>
    </w:p>
  </w:footnote>
  <w:footnote w:id="132">
    <w:p w14:paraId="61F57892" w14:textId="66B163AB" w:rsidR="00054E86" w:rsidRPr="007F57AE" w:rsidRDefault="00054E86" w:rsidP="009E7605">
      <w:pPr>
        <w:pStyle w:val="FootnoteText"/>
        <w:spacing w:after="120"/>
        <w:rPr>
          <w:sz w:val="22"/>
          <w:szCs w:val="22"/>
        </w:rPr>
      </w:pPr>
      <w:r w:rsidRPr="007F57AE">
        <w:rPr>
          <w:rStyle w:val="FootnoteReference"/>
          <w:sz w:val="22"/>
          <w:szCs w:val="22"/>
        </w:rPr>
        <w:footnoteRef/>
      </w:r>
      <w:r w:rsidRPr="007F57AE">
        <w:rPr>
          <w:sz w:val="22"/>
          <w:szCs w:val="22"/>
        </w:rPr>
        <w:t xml:space="preserve"> Erkes,</w:t>
      </w:r>
      <w:r w:rsidR="001341A8" w:rsidRPr="007F57AE">
        <w:rPr>
          <w:sz w:val="22"/>
          <w:szCs w:val="22"/>
        </w:rPr>
        <w:t xml:space="preserve"> 1938, p. 203. (Eliade borrows this </w:t>
      </w:r>
      <w:r w:rsidR="00B4439B" w:rsidRPr="007F57AE">
        <w:rPr>
          <w:sz w:val="22"/>
          <w:szCs w:val="22"/>
        </w:rPr>
        <w:t xml:space="preserve">wonderful </w:t>
      </w:r>
      <w:r w:rsidR="001341A8" w:rsidRPr="007F57AE">
        <w:rPr>
          <w:sz w:val="22"/>
          <w:szCs w:val="22"/>
        </w:rPr>
        <w:t>quote also.)</w:t>
      </w:r>
    </w:p>
  </w:footnote>
  <w:footnote w:id="133">
    <w:p w14:paraId="7612B61C" w14:textId="02C534AF" w:rsidR="009E7605" w:rsidRPr="007F57AE" w:rsidRDefault="009E7605" w:rsidP="009E7605">
      <w:pPr>
        <w:pStyle w:val="FootnoteText"/>
        <w:spacing w:after="120"/>
        <w:rPr>
          <w:sz w:val="22"/>
          <w:szCs w:val="22"/>
        </w:rPr>
      </w:pPr>
      <w:r w:rsidRPr="007F57AE">
        <w:rPr>
          <w:rStyle w:val="FootnoteReference"/>
          <w:sz w:val="22"/>
          <w:szCs w:val="22"/>
        </w:rPr>
        <w:footnoteRef/>
      </w:r>
      <w:r w:rsidRPr="007F57AE">
        <w:rPr>
          <w:sz w:val="22"/>
          <w:szCs w:val="22"/>
        </w:rPr>
        <w:t xml:space="preserve"> Schafer, </w:t>
      </w:r>
      <w:r w:rsidRPr="007F57AE">
        <w:rPr>
          <w:rFonts w:cs="Calibri"/>
          <w:sz w:val="22"/>
          <w:szCs w:val="22"/>
        </w:rPr>
        <w:t>1976, p. 27.</w:t>
      </w:r>
    </w:p>
  </w:footnote>
  <w:footnote w:id="134">
    <w:p w14:paraId="61D96A4F" w14:textId="62411DA2" w:rsidR="004A7397" w:rsidRPr="007F57AE" w:rsidRDefault="004A7397" w:rsidP="004A7397">
      <w:pPr>
        <w:pStyle w:val="FootnoteText"/>
        <w:spacing w:after="120"/>
        <w:rPr>
          <w:sz w:val="22"/>
          <w:szCs w:val="22"/>
        </w:rPr>
      </w:pPr>
      <w:r w:rsidRPr="007F57AE">
        <w:rPr>
          <w:rStyle w:val="FootnoteReference"/>
          <w:sz w:val="22"/>
          <w:szCs w:val="22"/>
        </w:rPr>
        <w:footnoteRef/>
      </w:r>
      <w:r w:rsidRPr="007F57AE">
        <w:rPr>
          <w:sz w:val="22"/>
          <w:szCs w:val="22"/>
        </w:rPr>
        <w:t xml:space="preserve"> Schafer, </w:t>
      </w:r>
      <w:r w:rsidRPr="007F57AE">
        <w:rPr>
          <w:rFonts w:cs="Calibri"/>
          <w:sz w:val="22"/>
          <w:szCs w:val="22"/>
        </w:rPr>
        <w:t>1976, p. 27.</w:t>
      </w:r>
    </w:p>
  </w:footnote>
  <w:footnote w:id="135">
    <w:p w14:paraId="210A3ABB" w14:textId="4CE4743F" w:rsidR="00892472" w:rsidRPr="007F57AE" w:rsidRDefault="00892472" w:rsidP="00267718">
      <w:pPr>
        <w:pStyle w:val="FootnoteText"/>
        <w:spacing w:after="120"/>
        <w:rPr>
          <w:sz w:val="22"/>
          <w:szCs w:val="22"/>
        </w:rPr>
      </w:pPr>
      <w:r w:rsidRPr="007F57AE">
        <w:rPr>
          <w:rStyle w:val="FootnoteReference"/>
          <w:sz w:val="22"/>
          <w:szCs w:val="22"/>
        </w:rPr>
        <w:footnoteRef/>
      </w:r>
      <w:r w:rsidRPr="007F57AE">
        <w:rPr>
          <w:sz w:val="22"/>
          <w:szCs w:val="22"/>
        </w:rPr>
        <w:t xml:space="preserve"> Schafer, 1976, p. 28.</w:t>
      </w:r>
      <w:r w:rsidR="004A7397" w:rsidRPr="007F57AE">
        <w:rPr>
          <w:sz w:val="22"/>
          <w:szCs w:val="22"/>
        </w:rPr>
        <w:t xml:space="preserve"> </w:t>
      </w:r>
      <w:proofErr w:type="gramStart"/>
      <w:r w:rsidR="009E7605" w:rsidRPr="007F57AE">
        <w:rPr>
          <w:sz w:val="22"/>
          <w:szCs w:val="22"/>
        </w:rPr>
        <w:t>A</w:t>
      </w:r>
      <w:r w:rsidR="004A7397" w:rsidRPr="007F57AE">
        <w:rPr>
          <w:sz w:val="22"/>
          <w:szCs w:val="22"/>
        </w:rPr>
        <w:t xml:space="preserve">ctually </w:t>
      </w:r>
      <w:r w:rsidR="009E7605" w:rsidRPr="007F57AE">
        <w:rPr>
          <w:sz w:val="22"/>
          <w:szCs w:val="22"/>
        </w:rPr>
        <w:t>a</w:t>
      </w:r>
      <w:proofErr w:type="gramEnd"/>
      <w:r w:rsidR="009E7605" w:rsidRPr="007F57AE">
        <w:rPr>
          <w:sz w:val="22"/>
          <w:szCs w:val="22"/>
        </w:rPr>
        <w:t xml:space="preserve"> ‘super-massive black hole’ in NGC 3079,  a barred spiral galaxy about 50 million light-years away from Earth.</w:t>
      </w:r>
    </w:p>
  </w:footnote>
  <w:footnote w:id="136">
    <w:p w14:paraId="207BD3F4" w14:textId="77777777" w:rsidR="00892472" w:rsidRPr="007F57AE" w:rsidRDefault="00892472" w:rsidP="00267718">
      <w:pPr>
        <w:pStyle w:val="FootnoteText"/>
        <w:spacing w:after="120"/>
        <w:rPr>
          <w:sz w:val="22"/>
          <w:szCs w:val="22"/>
        </w:rPr>
      </w:pPr>
      <w:r w:rsidRPr="007F57AE">
        <w:rPr>
          <w:rStyle w:val="FootnoteReference"/>
          <w:sz w:val="22"/>
          <w:szCs w:val="22"/>
        </w:rPr>
        <w:footnoteRef/>
      </w:r>
      <w:r w:rsidRPr="007F57AE">
        <w:rPr>
          <w:sz w:val="22"/>
          <w:szCs w:val="22"/>
        </w:rPr>
        <w:t xml:space="preserve"> Schafer, 1976, p. 33. Their travels </w:t>
      </w:r>
    </w:p>
  </w:footnote>
  <w:footnote w:id="137">
    <w:p w14:paraId="056A256D" w14:textId="6AE3FA9D" w:rsidR="00954370" w:rsidRPr="007F57AE" w:rsidRDefault="00954370" w:rsidP="004763BF">
      <w:pPr>
        <w:pStyle w:val="FootnoteText"/>
        <w:spacing w:after="120"/>
        <w:rPr>
          <w:sz w:val="22"/>
          <w:szCs w:val="22"/>
        </w:rPr>
      </w:pPr>
      <w:r w:rsidRPr="007F57AE">
        <w:rPr>
          <w:rStyle w:val="FootnoteReference"/>
          <w:sz w:val="22"/>
          <w:szCs w:val="22"/>
        </w:rPr>
        <w:footnoteRef/>
      </w:r>
      <w:r w:rsidRPr="007F57AE">
        <w:rPr>
          <w:sz w:val="22"/>
          <w:szCs w:val="22"/>
        </w:rPr>
        <w:t xml:space="preserve"> The Egyptian concept of </w:t>
      </w:r>
      <w:r w:rsidRPr="007F57AE">
        <w:rPr>
          <w:i/>
          <w:iCs/>
          <w:sz w:val="22"/>
          <w:szCs w:val="22"/>
        </w:rPr>
        <w:t>ka, ba, akh</w:t>
      </w:r>
      <w:r w:rsidRPr="007F57AE">
        <w:rPr>
          <w:sz w:val="22"/>
          <w:szCs w:val="22"/>
        </w:rPr>
        <w:t>, etc is well-known, if by no means clearly understood.</w:t>
      </w:r>
    </w:p>
  </w:footnote>
  <w:footnote w:id="138">
    <w:p w14:paraId="76444BEC" w14:textId="7061A20B" w:rsidR="00ED44EF" w:rsidRPr="004763BF" w:rsidRDefault="00ED44EF" w:rsidP="00ED44EF">
      <w:pPr>
        <w:pStyle w:val="FootnoteText"/>
        <w:spacing w:after="120"/>
        <w:rPr>
          <w:sz w:val="22"/>
          <w:szCs w:val="22"/>
        </w:rPr>
      </w:pPr>
      <w:r w:rsidRPr="007F57AE">
        <w:rPr>
          <w:rStyle w:val="FootnoteReference"/>
          <w:sz w:val="22"/>
          <w:szCs w:val="22"/>
        </w:rPr>
        <w:footnoteRef/>
      </w:r>
      <w:r w:rsidRPr="007F57AE">
        <w:rPr>
          <w:sz w:val="22"/>
          <w:szCs w:val="22"/>
        </w:rPr>
        <w:t xml:space="preserve"> Drobin 2016</w:t>
      </w:r>
      <w:r w:rsidR="00B4439B" w:rsidRPr="007F57AE">
        <w:rPr>
          <w:sz w:val="22"/>
          <w:szCs w:val="22"/>
        </w:rPr>
        <w:t>b</w:t>
      </w:r>
      <w:r w:rsidRPr="007F57AE">
        <w:rPr>
          <w:sz w:val="22"/>
          <w:szCs w:val="22"/>
        </w:rPr>
        <w:t>, p. xvi, comments that “it may be precipitate to believe that ‘surviving souls’ (in the realm of the dead) are the same as ‘free souls’, which are rather an attribute of a living person</w:t>
      </w:r>
      <w:r w:rsidR="005410DB">
        <w:rPr>
          <w:sz w:val="22"/>
          <w:szCs w:val="22"/>
        </w:rPr>
        <w:t>”</w:t>
      </w:r>
      <w:r w:rsidRPr="007F57AE">
        <w:rPr>
          <w:sz w:val="22"/>
          <w:szCs w:val="22"/>
        </w:rPr>
        <w:t>.</w:t>
      </w:r>
      <w:r w:rsidRPr="004763BF">
        <w:rPr>
          <w:sz w:val="22"/>
          <w:szCs w:val="22"/>
        </w:rPr>
        <w:t xml:space="preserve"> </w:t>
      </w:r>
    </w:p>
  </w:footnote>
  <w:footnote w:id="139">
    <w:p w14:paraId="3521869C" w14:textId="77777777" w:rsidR="00ED44EF" w:rsidRPr="007F57AE" w:rsidRDefault="00ED44EF" w:rsidP="007F57AE">
      <w:pPr>
        <w:pStyle w:val="FootnoteText"/>
        <w:spacing w:after="120"/>
        <w:rPr>
          <w:sz w:val="22"/>
          <w:szCs w:val="22"/>
        </w:rPr>
      </w:pPr>
      <w:r w:rsidRPr="007F57AE">
        <w:rPr>
          <w:rStyle w:val="FootnoteReference"/>
          <w:sz w:val="22"/>
          <w:szCs w:val="22"/>
        </w:rPr>
        <w:footnoteRef/>
      </w:r>
      <w:r w:rsidRPr="007F57AE">
        <w:rPr>
          <w:sz w:val="22"/>
          <w:szCs w:val="22"/>
        </w:rPr>
        <w:t xml:space="preserve"> Crawford, 2011, p. 97. “Buddhism denies the soul or any agent; human beings are simply a collection of qualities or characteristics”. </w:t>
      </w:r>
    </w:p>
  </w:footnote>
  <w:footnote w:id="140">
    <w:p w14:paraId="08E79ED7" w14:textId="77777777" w:rsidR="00FB6CB9" w:rsidRPr="007F57AE" w:rsidRDefault="00FB6CB9" w:rsidP="007F57AE">
      <w:pPr>
        <w:pStyle w:val="FootnoteText"/>
        <w:spacing w:after="120"/>
        <w:rPr>
          <w:sz w:val="22"/>
          <w:szCs w:val="22"/>
        </w:rPr>
      </w:pPr>
      <w:r w:rsidRPr="007F57AE">
        <w:rPr>
          <w:rStyle w:val="FootnoteReference"/>
          <w:sz w:val="22"/>
          <w:szCs w:val="22"/>
        </w:rPr>
        <w:footnoteRef/>
      </w:r>
      <w:r w:rsidRPr="007F57AE">
        <w:rPr>
          <w:sz w:val="22"/>
          <w:szCs w:val="22"/>
        </w:rPr>
        <w:t xml:space="preserve"> Lewis-Williams, 2004, pp. 121-126 discusses ASCs in terms of a general ‘spectrum of consciousness’; p. 133 argues that these states involve “perceptions of alternative reality” and “dissociation from one’s body”; p. 135 Lewis-Williams nonetheless adopts the perspective of ‘scientific materialism’, considering ASCs ‘neurologically determined’, and rejects that any useful knowledge can come from them. </w:t>
      </w:r>
    </w:p>
  </w:footnote>
  <w:footnote w:id="141">
    <w:p w14:paraId="142F9818" w14:textId="0B6C54CB" w:rsidR="00C23B4A" w:rsidRPr="007F57AE" w:rsidRDefault="00C23B4A" w:rsidP="007F57AE">
      <w:pPr>
        <w:pStyle w:val="FootnoteText"/>
        <w:spacing w:after="120"/>
        <w:rPr>
          <w:sz w:val="22"/>
          <w:szCs w:val="22"/>
        </w:rPr>
      </w:pPr>
      <w:r w:rsidRPr="007F57AE">
        <w:rPr>
          <w:rStyle w:val="FootnoteReference"/>
          <w:sz w:val="22"/>
          <w:szCs w:val="22"/>
        </w:rPr>
        <w:footnoteRef/>
      </w:r>
      <w:r w:rsidRPr="007F57AE">
        <w:rPr>
          <w:sz w:val="22"/>
          <w:szCs w:val="22"/>
        </w:rPr>
        <w:t xml:space="preserve"> Poo, 1998, p. 63, citing the Commentary of Tso by Zi Zhuan (Tzu-</w:t>
      </w:r>
      <w:proofErr w:type="spellStart"/>
      <w:r w:rsidRPr="007F57AE">
        <w:rPr>
          <w:sz w:val="22"/>
          <w:szCs w:val="22"/>
        </w:rPr>
        <w:t>ch’an</w:t>
      </w:r>
      <w:proofErr w:type="spellEnd"/>
      <w:r w:rsidR="00942F2C" w:rsidRPr="007F57AE">
        <w:rPr>
          <w:sz w:val="22"/>
          <w:szCs w:val="22"/>
        </w:rPr>
        <w:t>), T</w:t>
      </w:r>
      <w:r w:rsidR="004763BF" w:rsidRPr="007F57AE">
        <w:rPr>
          <w:sz w:val="22"/>
          <w:szCs w:val="22"/>
        </w:rPr>
        <w:t xml:space="preserve">here would be no point in punishing a </w:t>
      </w:r>
      <w:r w:rsidR="004763BF" w:rsidRPr="007F57AE">
        <w:rPr>
          <w:i/>
          <w:iCs/>
          <w:sz w:val="22"/>
          <w:szCs w:val="22"/>
        </w:rPr>
        <w:t>po</w:t>
      </w:r>
      <w:r w:rsidR="004763BF" w:rsidRPr="007F57AE">
        <w:rPr>
          <w:sz w:val="22"/>
          <w:szCs w:val="22"/>
        </w:rPr>
        <w:t xml:space="preserve">-soul that </w:t>
      </w:r>
      <w:r w:rsidR="00942F2C" w:rsidRPr="007F57AE">
        <w:rPr>
          <w:sz w:val="22"/>
          <w:szCs w:val="22"/>
        </w:rPr>
        <w:t xml:space="preserve">could not ascend and </w:t>
      </w:r>
      <w:r w:rsidR="004763BF" w:rsidRPr="007F57AE">
        <w:rPr>
          <w:sz w:val="22"/>
          <w:szCs w:val="22"/>
        </w:rPr>
        <w:t>would dissipate anyway.</w:t>
      </w:r>
      <w:r w:rsidR="00B96065" w:rsidRPr="007F57AE">
        <w:rPr>
          <w:sz w:val="22"/>
          <w:szCs w:val="22"/>
        </w:rPr>
        <w:t xml:space="preserve"> </w:t>
      </w:r>
    </w:p>
  </w:footnote>
  <w:footnote w:id="142">
    <w:p w14:paraId="44F961E0" w14:textId="77777777" w:rsidR="00942F2C" w:rsidRPr="007F57AE" w:rsidRDefault="00942F2C" w:rsidP="007F57AE">
      <w:pPr>
        <w:pStyle w:val="FootnoteText"/>
        <w:spacing w:after="120"/>
        <w:rPr>
          <w:sz w:val="22"/>
          <w:szCs w:val="22"/>
        </w:rPr>
      </w:pPr>
      <w:r w:rsidRPr="007F57AE">
        <w:rPr>
          <w:rStyle w:val="FootnoteReference"/>
          <w:sz w:val="22"/>
          <w:szCs w:val="22"/>
        </w:rPr>
        <w:footnoteRef/>
      </w:r>
      <w:r w:rsidRPr="007F57AE">
        <w:rPr>
          <w:sz w:val="22"/>
          <w:szCs w:val="22"/>
        </w:rPr>
        <w:t xml:space="preserve"> Poo, 1998, p. 64.These destinations are stated in the </w:t>
      </w:r>
      <w:r w:rsidRPr="007F57AE">
        <w:rPr>
          <w:i/>
          <w:iCs/>
          <w:sz w:val="22"/>
          <w:szCs w:val="22"/>
        </w:rPr>
        <w:t>Liji</w:t>
      </w:r>
      <w:r w:rsidRPr="007F57AE">
        <w:rPr>
          <w:sz w:val="22"/>
          <w:szCs w:val="22"/>
        </w:rPr>
        <w:t xml:space="preserve"> (Book of Rites). Thompson, (1989, p. 29) considers it seems important that the Yellow Springs are the source of surface water streams, also known as the Nine Springs or Nine Sources.</w:t>
      </w:r>
    </w:p>
  </w:footnote>
  <w:footnote w:id="143">
    <w:p w14:paraId="27C9421F" w14:textId="297B734E" w:rsidR="00933F21" w:rsidRPr="00FF697A" w:rsidRDefault="00933F21" w:rsidP="00FF697A">
      <w:pPr>
        <w:spacing w:after="120" w:line="240" w:lineRule="auto"/>
      </w:pPr>
      <w:r w:rsidRPr="00FF697A">
        <w:footnoteRef/>
      </w:r>
      <w:r w:rsidRPr="00FF697A">
        <w:t xml:space="preserve"> Teiser, 1996, p. 144, mentions fen-</w:t>
      </w:r>
      <w:proofErr w:type="spellStart"/>
      <w:r w:rsidRPr="00FF697A">
        <w:t>hsing</w:t>
      </w:r>
      <w:proofErr w:type="spellEnd"/>
      <w:r w:rsidRPr="00FF697A">
        <w:t>, “the ability to divide oneself into many forms so as to be present in more than one place at once”.</w:t>
      </w:r>
    </w:p>
  </w:footnote>
  <w:footnote w:id="144">
    <w:p w14:paraId="12F1C7D5" w14:textId="00801661" w:rsidR="0084257B" w:rsidRPr="007F57AE" w:rsidRDefault="0084257B" w:rsidP="007F57AE">
      <w:pPr>
        <w:pStyle w:val="FootnoteText"/>
        <w:spacing w:after="120"/>
        <w:rPr>
          <w:sz w:val="22"/>
          <w:szCs w:val="22"/>
        </w:rPr>
      </w:pPr>
      <w:r w:rsidRPr="007F57AE">
        <w:rPr>
          <w:rStyle w:val="FootnoteReference"/>
          <w:sz w:val="22"/>
          <w:szCs w:val="22"/>
        </w:rPr>
        <w:footnoteRef/>
      </w:r>
      <w:r w:rsidRPr="007F57AE">
        <w:rPr>
          <w:sz w:val="22"/>
          <w:szCs w:val="22"/>
        </w:rPr>
        <w:t xml:space="preserve"> </w:t>
      </w:r>
      <w:proofErr w:type="spellStart"/>
      <w:r w:rsidRPr="007F57AE">
        <w:rPr>
          <w:sz w:val="22"/>
          <w:szCs w:val="22"/>
        </w:rPr>
        <w:t>Yü</w:t>
      </w:r>
      <w:proofErr w:type="spellEnd"/>
      <w:r w:rsidRPr="007F57AE">
        <w:rPr>
          <w:sz w:val="22"/>
          <w:szCs w:val="22"/>
        </w:rPr>
        <w:t>, 1981, p. 83.</w:t>
      </w:r>
    </w:p>
  </w:footnote>
  <w:footnote w:id="145">
    <w:p w14:paraId="5A95D106" w14:textId="52E4690F" w:rsidR="00C9649E" w:rsidRPr="007F57AE" w:rsidRDefault="00C9649E" w:rsidP="007F57AE">
      <w:pPr>
        <w:pStyle w:val="FootnoteText"/>
        <w:spacing w:after="120"/>
        <w:rPr>
          <w:sz w:val="22"/>
          <w:szCs w:val="22"/>
        </w:rPr>
      </w:pPr>
      <w:r w:rsidRPr="007F57AE">
        <w:rPr>
          <w:rStyle w:val="FootnoteReference"/>
          <w:sz w:val="22"/>
          <w:szCs w:val="22"/>
        </w:rPr>
        <w:footnoteRef/>
      </w:r>
      <w:r w:rsidRPr="007F57AE">
        <w:rPr>
          <w:sz w:val="22"/>
          <w:szCs w:val="22"/>
        </w:rPr>
        <w:t xml:space="preserve"> Zaleski, 1995, p. 393, seems rather surprised by this: she seems to think it philosophically incompatible with body-soul dualism (but does not explain why), claiming it derives from “imaginative construction of the self in the face of death”.</w:t>
      </w:r>
    </w:p>
  </w:footnote>
  <w:footnote w:id="146">
    <w:p w14:paraId="17E697DF" w14:textId="380E3727" w:rsidR="00267718" w:rsidRPr="004763BF" w:rsidRDefault="00267718" w:rsidP="004763BF">
      <w:pPr>
        <w:pStyle w:val="FootnoteText"/>
        <w:spacing w:after="120"/>
        <w:rPr>
          <w:sz w:val="22"/>
          <w:szCs w:val="22"/>
        </w:rPr>
      </w:pPr>
      <w:r w:rsidRPr="004763BF">
        <w:rPr>
          <w:rStyle w:val="FootnoteReference"/>
          <w:sz w:val="22"/>
          <w:szCs w:val="22"/>
        </w:rPr>
        <w:footnoteRef/>
      </w:r>
      <w:r w:rsidRPr="004763BF">
        <w:rPr>
          <w:sz w:val="22"/>
          <w:szCs w:val="22"/>
        </w:rPr>
        <w:t xml:space="preserve"> Poo, 1998, p. 64, comments that besides their eventual destinations, it is difficult to distinguish that nature of </w:t>
      </w:r>
      <w:proofErr w:type="spellStart"/>
      <w:r w:rsidRPr="004763BF">
        <w:rPr>
          <w:i/>
          <w:iCs/>
          <w:sz w:val="22"/>
          <w:szCs w:val="22"/>
        </w:rPr>
        <w:t>hun</w:t>
      </w:r>
      <w:proofErr w:type="spellEnd"/>
      <w:r w:rsidRPr="004763BF">
        <w:rPr>
          <w:sz w:val="22"/>
          <w:szCs w:val="22"/>
        </w:rPr>
        <w:t xml:space="preserve"> from that of </w:t>
      </w:r>
      <w:r w:rsidRPr="004763BF">
        <w:rPr>
          <w:i/>
          <w:iCs/>
          <w:sz w:val="22"/>
          <w:szCs w:val="22"/>
        </w:rPr>
        <w:t>po</w:t>
      </w:r>
      <w:r w:rsidRPr="004763BF">
        <w:rPr>
          <w:sz w:val="22"/>
          <w:szCs w:val="22"/>
        </w:rPr>
        <w:t>.</w:t>
      </w:r>
    </w:p>
  </w:footnote>
  <w:footnote w:id="147">
    <w:p w14:paraId="64FED70D" w14:textId="2007876C" w:rsidR="0084257B" w:rsidRPr="009E7605" w:rsidRDefault="0084257B" w:rsidP="009E7605">
      <w:pPr>
        <w:pStyle w:val="FootnoteText"/>
        <w:spacing w:after="120"/>
        <w:rPr>
          <w:sz w:val="22"/>
          <w:szCs w:val="22"/>
        </w:rPr>
      </w:pPr>
      <w:r w:rsidRPr="009E7605">
        <w:rPr>
          <w:rStyle w:val="FootnoteReference"/>
          <w:sz w:val="22"/>
          <w:szCs w:val="22"/>
        </w:rPr>
        <w:footnoteRef/>
      </w:r>
      <w:r w:rsidRPr="009E7605">
        <w:rPr>
          <w:sz w:val="22"/>
          <w:szCs w:val="22"/>
        </w:rPr>
        <w:t xml:space="preserve"> </w:t>
      </w:r>
      <w:proofErr w:type="spellStart"/>
      <w:r w:rsidRPr="009E7605">
        <w:rPr>
          <w:sz w:val="22"/>
          <w:szCs w:val="22"/>
        </w:rPr>
        <w:t>Yü</w:t>
      </w:r>
      <w:proofErr w:type="spellEnd"/>
      <w:r w:rsidRPr="009E7605">
        <w:rPr>
          <w:sz w:val="22"/>
          <w:szCs w:val="22"/>
        </w:rPr>
        <w:t>, 1981, pp. 82-83.</w:t>
      </w:r>
    </w:p>
  </w:footnote>
  <w:footnote w:id="148">
    <w:p w14:paraId="6B699EB7" w14:textId="58EDB9EF" w:rsidR="00595AFC" w:rsidRPr="009E7605" w:rsidRDefault="00595AFC" w:rsidP="009E7605">
      <w:pPr>
        <w:spacing w:after="120" w:line="240" w:lineRule="auto"/>
      </w:pPr>
      <w:r w:rsidRPr="009E7605">
        <w:rPr>
          <w:rStyle w:val="FootnoteReference"/>
        </w:rPr>
        <w:footnoteRef/>
      </w:r>
      <w:r w:rsidRPr="009E7605">
        <w:rPr>
          <w:rFonts w:cs="Calibri"/>
        </w:rPr>
        <w:t xml:space="preserve"> </w:t>
      </w:r>
      <w:proofErr w:type="spellStart"/>
      <w:r w:rsidR="0088108A" w:rsidRPr="009E7605">
        <w:t>Yü</w:t>
      </w:r>
      <w:proofErr w:type="spellEnd"/>
      <w:r w:rsidR="0088108A" w:rsidRPr="009E7605">
        <w:t xml:space="preserve">, 1987, p.374 argues that the linkage of these binaries arose later than the </w:t>
      </w:r>
      <w:proofErr w:type="spellStart"/>
      <w:r w:rsidR="0088108A" w:rsidRPr="009E7605">
        <w:rPr>
          <w:i/>
          <w:iCs/>
        </w:rPr>
        <w:t>hun</w:t>
      </w:r>
      <w:proofErr w:type="spellEnd"/>
      <w:r w:rsidR="0088108A" w:rsidRPr="009E7605">
        <w:rPr>
          <w:i/>
          <w:iCs/>
        </w:rPr>
        <w:t>-po</w:t>
      </w:r>
      <w:r w:rsidR="0088108A" w:rsidRPr="009E7605">
        <w:t xml:space="preserve"> dual . </w:t>
      </w:r>
      <w:r w:rsidRPr="009E7605">
        <w:rPr>
          <w:rFonts w:cs="Calibri"/>
        </w:rPr>
        <w:t>Th</w:t>
      </w:r>
      <w:r w:rsidR="0088108A" w:rsidRPr="009E7605">
        <w:rPr>
          <w:rFonts w:cs="Calibri"/>
        </w:rPr>
        <w:t xml:space="preserve">is writer’s </w:t>
      </w:r>
      <w:r w:rsidRPr="009E7605">
        <w:rPr>
          <w:rFonts w:cs="Calibri"/>
        </w:rPr>
        <w:t xml:space="preserve">concept of Yin and Yang has them always present together and constantly interchanging, so that a permanent separation would </w:t>
      </w:r>
      <w:r w:rsidR="00942F2C">
        <w:rPr>
          <w:rFonts w:cs="Calibri"/>
        </w:rPr>
        <w:t xml:space="preserve">be </w:t>
      </w:r>
      <w:r w:rsidRPr="009E7605">
        <w:rPr>
          <w:rFonts w:cs="Calibri"/>
        </w:rPr>
        <w:t>i</w:t>
      </w:r>
      <w:r w:rsidR="00942F2C">
        <w:rPr>
          <w:rFonts w:cs="Calibri"/>
        </w:rPr>
        <w:t>nconceivable</w:t>
      </w:r>
      <w:r w:rsidRPr="009E7605">
        <w:rPr>
          <w:rFonts w:cs="Calibri"/>
        </w:rPr>
        <w:t>.</w:t>
      </w:r>
      <w:r w:rsidR="00ED44EF" w:rsidRPr="009E7605">
        <w:rPr>
          <w:rFonts w:cs="Calibri"/>
        </w:rPr>
        <w:t xml:space="preserve"> </w:t>
      </w:r>
    </w:p>
  </w:footnote>
  <w:footnote w:id="149">
    <w:p w14:paraId="47B05C53" w14:textId="13E8E4CA" w:rsidR="003D509C" w:rsidRPr="009E7605" w:rsidRDefault="003D509C" w:rsidP="009E7605">
      <w:pPr>
        <w:pStyle w:val="FootnoteText"/>
        <w:spacing w:after="120"/>
        <w:rPr>
          <w:sz w:val="22"/>
          <w:szCs w:val="22"/>
        </w:rPr>
      </w:pPr>
      <w:r w:rsidRPr="009E7605">
        <w:rPr>
          <w:rStyle w:val="FootnoteReference"/>
          <w:sz w:val="22"/>
          <w:szCs w:val="22"/>
        </w:rPr>
        <w:footnoteRef/>
      </w:r>
      <w:r w:rsidRPr="009E7605">
        <w:rPr>
          <w:sz w:val="22"/>
          <w:szCs w:val="22"/>
        </w:rPr>
        <w:t xml:space="preserve"> </w:t>
      </w:r>
      <w:r w:rsidR="000A42DC" w:rsidRPr="009E7605">
        <w:rPr>
          <w:sz w:val="22"/>
          <w:szCs w:val="22"/>
        </w:rPr>
        <w:t>Drobin,</w:t>
      </w:r>
      <w:r w:rsidR="00140721" w:rsidRPr="009E7605">
        <w:rPr>
          <w:sz w:val="22"/>
          <w:szCs w:val="22"/>
        </w:rPr>
        <w:t xml:space="preserve"> 2016</w:t>
      </w:r>
      <w:r w:rsidR="00942F2C">
        <w:rPr>
          <w:sz w:val="22"/>
          <w:szCs w:val="22"/>
        </w:rPr>
        <w:t>b</w:t>
      </w:r>
      <w:r w:rsidR="00140721" w:rsidRPr="009E7605">
        <w:rPr>
          <w:sz w:val="22"/>
          <w:szCs w:val="22"/>
        </w:rPr>
        <w:t xml:space="preserve">, </w:t>
      </w:r>
      <w:r w:rsidR="000A42DC" w:rsidRPr="009E7605">
        <w:rPr>
          <w:sz w:val="22"/>
          <w:szCs w:val="22"/>
        </w:rPr>
        <w:t>p. xvi.</w:t>
      </w:r>
      <w:r w:rsidRPr="009E7605">
        <w:rPr>
          <w:sz w:val="22"/>
          <w:szCs w:val="22"/>
        </w:rPr>
        <w:t xml:space="preserve"> </w:t>
      </w:r>
      <w:r w:rsidR="00140721" w:rsidRPr="009E7605">
        <w:rPr>
          <w:sz w:val="22"/>
          <w:szCs w:val="22"/>
        </w:rPr>
        <w:t xml:space="preserve">Amongst other functions, </w:t>
      </w:r>
      <w:r w:rsidRPr="009E7605">
        <w:rPr>
          <w:sz w:val="22"/>
          <w:szCs w:val="22"/>
        </w:rPr>
        <w:t>body soul</w:t>
      </w:r>
      <w:r w:rsidR="00140721" w:rsidRPr="009E7605">
        <w:rPr>
          <w:sz w:val="22"/>
          <w:szCs w:val="22"/>
        </w:rPr>
        <w:t>s</w:t>
      </w:r>
      <w:r w:rsidRPr="009E7605">
        <w:rPr>
          <w:sz w:val="22"/>
          <w:szCs w:val="22"/>
        </w:rPr>
        <w:t xml:space="preserve"> maintain identity and integrity </w:t>
      </w:r>
      <w:r w:rsidRPr="009E7605">
        <w:rPr>
          <w:rFonts w:cs="Calibri"/>
          <w:sz w:val="22"/>
          <w:szCs w:val="22"/>
        </w:rPr>
        <w:t>through growth to maturity, manage repair after damage as well as continuity through the daily death of billions of cells</w:t>
      </w:r>
      <w:r w:rsidRPr="009E7605">
        <w:rPr>
          <w:sz w:val="22"/>
          <w:szCs w:val="22"/>
        </w:rPr>
        <w:t xml:space="preserve">. </w:t>
      </w:r>
      <w:r w:rsidR="00140721" w:rsidRPr="009E7605">
        <w:rPr>
          <w:sz w:val="22"/>
          <w:szCs w:val="22"/>
        </w:rPr>
        <w:t>‘Death’ may indeed be more properly that of the body-souls than the ‘physical’ body itself.</w:t>
      </w:r>
    </w:p>
  </w:footnote>
  <w:footnote w:id="150">
    <w:p w14:paraId="663AE27E" w14:textId="3D3371B7" w:rsidR="003D509C" w:rsidRPr="009E7605" w:rsidRDefault="003D509C" w:rsidP="009E7605">
      <w:pPr>
        <w:pStyle w:val="FootnoteText"/>
        <w:spacing w:after="120"/>
        <w:rPr>
          <w:sz w:val="22"/>
          <w:szCs w:val="22"/>
        </w:rPr>
      </w:pPr>
      <w:r w:rsidRPr="009E7605">
        <w:rPr>
          <w:rStyle w:val="FootnoteReference"/>
          <w:sz w:val="22"/>
          <w:szCs w:val="22"/>
        </w:rPr>
        <w:footnoteRef/>
      </w:r>
      <w:r w:rsidRPr="009E7605">
        <w:rPr>
          <w:sz w:val="22"/>
          <w:szCs w:val="22"/>
        </w:rPr>
        <w:t xml:space="preserve"> Purple Cloud Institute, 2019. See also part 2 of the post.</w:t>
      </w:r>
    </w:p>
  </w:footnote>
  <w:footnote w:id="151">
    <w:p w14:paraId="1048DB79" w14:textId="77777777" w:rsidR="00960C1A" w:rsidRPr="009E7605" w:rsidRDefault="00960C1A" w:rsidP="009E7605">
      <w:pPr>
        <w:spacing w:after="120" w:line="240" w:lineRule="auto"/>
      </w:pPr>
      <w:r w:rsidRPr="009E7605">
        <w:rPr>
          <w:rStyle w:val="FootnoteReference"/>
        </w:rPr>
        <w:footnoteRef/>
      </w:r>
      <w:r w:rsidRPr="009E7605">
        <w:t xml:space="preserve"> Becker, 1981, unhelpfully includes this type of vision in his definition of ‘Near Death Experience’. </w:t>
      </w:r>
      <w:r w:rsidRPr="009E7605">
        <w:rPr>
          <w:rFonts w:cs="Calibri"/>
        </w:rPr>
        <w:t>Deathbed visions of the arrival of a psychopomp for the dying person are widespread in world spirituality, but are similarly excluded from this essay.</w:t>
      </w:r>
    </w:p>
  </w:footnote>
  <w:footnote w:id="152">
    <w:p w14:paraId="56187511" w14:textId="1E83A0E9" w:rsidR="00960C1A" w:rsidRPr="009E7605" w:rsidRDefault="00960C1A" w:rsidP="009E7605">
      <w:pPr>
        <w:pStyle w:val="FootnoteText"/>
        <w:spacing w:after="120"/>
        <w:rPr>
          <w:sz w:val="22"/>
          <w:szCs w:val="22"/>
        </w:rPr>
      </w:pPr>
      <w:r w:rsidRPr="009E7605">
        <w:rPr>
          <w:rStyle w:val="FootnoteReference"/>
          <w:sz w:val="22"/>
          <w:szCs w:val="22"/>
        </w:rPr>
        <w:footnoteRef/>
      </w:r>
      <w:r w:rsidRPr="009E7605">
        <w:rPr>
          <w:sz w:val="22"/>
          <w:szCs w:val="22"/>
        </w:rPr>
        <w:t xml:space="preserve"> The story of </w:t>
      </w:r>
      <w:proofErr w:type="spellStart"/>
      <w:r w:rsidRPr="009E7605">
        <w:rPr>
          <w:sz w:val="22"/>
          <w:szCs w:val="22"/>
        </w:rPr>
        <w:t>Huagang</w:t>
      </w:r>
      <w:proofErr w:type="spellEnd"/>
      <w:r w:rsidRPr="009E7605">
        <w:rPr>
          <w:sz w:val="22"/>
          <w:szCs w:val="22"/>
        </w:rPr>
        <w:t xml:space="preserve"> re</w:t>
      </w:r>
      <w:r w:rsidR="009E7605">
        <w:rPr>
          <w:sz w:val="22"/>
          <w:szCs w:val="22"/>
        </w:rPr>
        <w:t>s</w:t>
      </w:r>
      <w:r w:rsidRPr="009E7605">
        <w:rPr>
          <w:sz w:val="22"/>
          <w:szCs w:val="22"/>
        </w:rPr>
        <w:t xml:space="preserve">cuing his mother from the underworld, from Buddhist context, perhaps echoing Mulian’s journey, is an example of such. (Ganany, 2021, pp. 137-138). </w:t>
      </w:r>
    </w:p>
  </w:footnote>
  <w:footnote w:id="153">
    <w:p w14:paraId="60378BB4" w14:textId="24BAA73B" w:rsidR="00793DD1" w:rsidRPr="009E7605" w:rsidRDefault="00793DD1" w:rsidP="009E7605">
      <w:pPr>
        <w:pStyle w:val="FootnoteText"/>
        <w:spacing w:after="120"/>
        <w:rPr>
          <w:sz w:val="22"/>
          <w:szCs w:val="22"/>
        </w:rPr>
      </w:pPr>
      <w:r w:rsidRPr="009E7605">
        <w:rPr>
          <w:rStyle w:val="FootnoteReference"/>
          <w:sz w:val="22"/>
          <w:szCs w:val="22"/>
        </w:rPr>
        <w:footnoteRef/>
      </w:r>
      <w:r w:rsidRPr="009E7605">
        <w:rPr>
          <w:sz w:val="22"/>
          <w:szCs w:val="22"/>
        </w:rPr>
        <w:t xml:space="preserve"> Ganany, 2021, p. 145.</w:t>
      </w:r>
    </w:p>
  </w:footnote>
  <w:footnote w:id="154">
    <w:p w14:paraId="36B683F0" w14:textId="3B4E9252" w:rsidR="00D63AAC" w:rsidRPr="00DE5BCE" w:rsidRDefault="00D63AAC" w:rsidP="00D63AAC">
      <w:pPr>
        <w:pStyle w:val="FootnoteText"/>
        <w:spacing w:after="120"/>
        <w:rPr>
          <w:sz w:val="22"/>
          <w:szCs w:val="22"/>
        </w:rPr>
      </w:pPr>
      <w:r w:rsidRPr="00DE5BCE">
        <w:rPr>
          <w:rStyle w:val="FootnoteReference"/>
          <w:sz w:val="22"/>
          <w:szCs w:val="22"/>
        </w:rPr>
        <w:footnoteRef/>
      </w:r>
      <w:r w:rsidRPr="00DE5BCE">
        <w:rPr>
          <w:sz w:val="22"/>
          <w:szCs w:val="22"/>
        </w:rPr>
        <w:t xml:space="preserve"> Verellen,1998, p. 244. </w:t>
      </w:r>
      <w:r w:rsidR="00942F2C">
        <w:rPr>
          <w:sz w:val="22"/>
          <w:szCs w:val="22"/>
        </w:rPr>
        <w:t xml:space="preserve">Dragons being </w:t>
      </w:r>
      <w:r w:rsidRPr="00DE5BCE">
        <w:rPr>
          <w:sz w:val="22"/>
          <w:szCs w:val="22"/>
        </w:rPr>
        <w:t xml:space="preserve">imperial symbols, this appearance may be seen as legitimising the Shu kingdom. </w:t>
      </w:r>
      <w:r>
        <w:rPr>
          <w:sz w:val="22"/>
          <w:szCs w:val="22"/>
        </w:rPr>
        <w:t xml:space="preserve">The story is from Du Guanting’s </w:t>
      </w:r>
      <w:r w:rsidRPr="007C730C">
        <w:rPr>
          <w:i/>
          <w:iCs/>
          <w:sz w:val="22"/>
          <w:szCs w:val="22"/>
        </w:rPr>
        <w:t xml:space="preserve">Record of </w:t>
      </w:r>
      <w:r>
        <w:rPr>
          <w:i/>
          <w:iCs/>
          <w:sz w:val="22"/>
          <w:szCs w:val="22"/>
        </w:rPr>
        <w:t>M</w:t>
      </w:r>
      <w:r w:rsidRPr="007C730C">
        <w:rPr>
          <w:i/>
          <w:iCs/>
          <w:sz w:val="22"/>
          <w:szCs w:val="22"/>
        </w:rPr>
        <w:t>arvels</w:t>
      </w:r>
      <w:r>
        <w:rPr>
          <w:sz w:val="22"/>
          <w:szCs w:val="22"/>
        </w:rPr>
        <w:t>.</w:t>
      </w:r>
    </w:p>
  </w:footnote>
  <w:footnote w:id="155">
    <w:p w14:paraId="41314EB0" w14:textId="2D8EDB33" w:rsidR="00D63AAC" w:rsidRPr="001C241A" w:rsidRDefault="00D63AAC" w:rsidP="00D63AAC">
      <w:pPr>
        <w:spacing w:after="120" w:line="240" w:lineRule="auto"/>
      </w:pPr>
      <w:r w:rsidRPr="001C241A">
        <w:rPr>
          <w:rStyle w:val="FootnoteReference"/>
        </w:rPr>
        <w:footnoteRef/>
      </w:r>
      <w:r w:rsidRPr="001C241A">
        <w:t xml:space="preserve"> Zaleski, 1995, p. 391, </w:t>
      </w:r>
      <w:r w:rsidRPr="001C241A">
        <w:rPr>
          <w:rFonts w:cs="Calibri"/>
        </w:rPr>
        <w:t xml:space="preserve">cites a Gallup survey such that about 15% of the population had </w:t>
      </w:r>
      <w:proofErr w:type="gramStart"/>
      <w:r w:rsidRPr="001C241A">
        <w:rPr>
          <w:rFonts w:cs="Calibri"/>
        </w:rPr>
        <w:t>a</w:t>
      </w:r>
      <w:proofErr w:type="gramEnd"/>
      <w:r w:rsidRPr="001C241A">
        <w:rPr>
          <w:rFonts w:cs="Calibri"/>
        </w:rPr>
        <w:t xml:space="preserve"> encounter with death, for 34% of these further triggering ‘ecstatic or visionary states of consciousness’. This writer had a family member, a maternal aunt who suffered life-threatening severe haemorrhage after the birth of her second child, who reported an NDE </w:t>
      </w:r>
      <w:proofErr w:type="gramStart"/>
      <w:r w:rsidRPr="001C241A">
        <w:rPr>
          <w:rFonts w:cs="Calibri"/>
        </w:rPr>
        <w:t>similar to</w:t>
      </w:r>
      <w:proofErr w:type="gramEnd"/>
      <w:r w:rsidRPr="001C241A">
        <w:rPr>
          <w:rFonts w:cs="Calibri"/>
        </w:rPr>
        <w:t xml:space="preserve"> those generally documented, prior to her death in 1990.</w:t>
      </w:r>
    </w:p>
  </w:footnote>
  <w:footnote w:id="156">
    <w:p w14:paraId="1BA481C4" w14:textId="25F3DF9F" w:rsidR="00D63AAC" w:rsidRPr="007F57AE" w:rsidRDefault="00D63AAC" w:rsidP="007F57AE">
      <w:pPr>
        <w:pStyle w:val="FootnoteText"/>
        <w:spacing w:after="120"/>
        <w:rPr>
          <w:sz w:val="22"/>
          <w:szCs w:val="22"/>
        </w:rPr>
      </w:pPr>
      <w:r w:rsidRPr="007F57AE">
        <w:rPr>
          <w:rStyle w:val="FootnoteReference"/>
          <w:sz w:val="22"/>
          <w:szCs w:val="22"/>
        </w:rPr>
        <w:footnoteRef/>
      </w:r>
      <w:r w:rsidRPr="007F57AE">
        <w:rPr>
          <w:sz w:val="22"/>
          <w:szCs w:val="22"/>
        </w:rPr>
        <w:t xml:space="preserve">One of the most famous is </w:t>
      </w:r>
      <w:r w:rsidRPr="007F57AE">
        <w:rPr>
          <w:rFonts w:cs="Calibri"/>
          <w:sz w:val="22"/>
          <w:szCs w:val="22"/>
        </w:rPr>
        <w:t xml:space="preserve">‘The Story of Er’ that concludes Plato’s </w:t>
      </w:r>
      <w:r w:rsidRPr="007F57AE">
        <w:rPr>
          <w:rFonts w:cs="Calibri"/>
          <w:i/>
          <w:iCs/>
          <w:sz w:val="22"/>
          <w:szCs w:val="22"/>
        </w:rPr>
        <w:t xml:space="preserve">Republic, </w:t>
      </w:r>
      <w:r w:rsidRPr="007F57AE">
        <w:rPr>
          <w:rFonts w:cs="Calibri"/>
          <w:sz w:val="22"/>
          <w:szCs w:val="22"/>
        </w:rPr>
        <w:t xml:space="preserve">also describing a reincarnatory process. It is notable that many modern philosophers hate this work of Plato’s </w:t>
      </w:r>
      <w:r w:rsidR="00942F2C" w:rsidRPr="007F57AE">
        <w:rPr>
          <w:rFonts w:cs="Calibri"/>
          <w:sz w:val="22"/>
          <w:szCs w:val="22"/>
        </w:rPr>
        <w:t>- f</w:t>
      </w:r>
      <w:r w:rsidRPr="007F57AE">
        <w:rPr>
          <w:sz w:val="22"/>
          <w:szCs w:val="22"/>
        </w:rPr>
        <w:t xml:space="preserve">or example, Trainer, 2007, considers the Er story as ‘treason’ to philosophy. Some further examples are hidden deep in Christian hagiography, for example that of </w:t>
      </w:r>
      <w:r w:rsidRPr="007F57AE">
        <w:rPr>
          <w:rFonts w:cs="Calibri"/>
          <w:sz w:val="22"/>
          <w:szCs w:val="22"/>
        </w:rPr>
        <w:t>Drythelm</w:t>
      </w:r>
      <w:r w:rsidRPr="007F57AE">
        <w:rPr>
          <w:sz w:val="22"/>
          <w:szCs w:val="22"/>
        </w:rPr>
        <w:t xml:space="preserve"> (Zaleski, 1987, pp. 31-34). </w:t>
      </w:r>
      <w:r w:rsidRPr="007F57AE">
        <w:rPr>
          <w:rFonts w:cs="Calibri"/>
          <w:sz w:val="22"/>
          <w:szCs w:val="22"/>
        </w:rPr>
        <w:t xml:space="preserve">The only NDE truly acceptable to Christianity (though not discussed in such terms) has been that ascribed to Jesus of Nazareth. Strangely, any details of what Jesus experienced during the relevant thirty-six or so hours are almost entirely absent, and subject to theological dispute. </w:t>
      </w:r>
    </w:p>
  </w:footnote>
  <w:footnote w:id="157">
    <w:p w14:paraId="1406DBD4" w14:textId="30DAE500" w:rsidR="00D63AAC" w:rsidRPr="007F57AE" w:rsidRDefault="00D63AAC" w:rsidP="007F57AE">
      <w:pPr>
        <w:spacing w:after="120" w:line="240" w:lineRule="auto"/>
      </w:pPr>
      <w:r w:rsidRPr="007F57AE">
        <w:rPr>
          <w:rStyle w:val="FootnoteReference"/>
        </w:rPr>
        <w:footnoteRef/>
      </w:r>
      <w:r w:rsidRPr="007F57AE">
        <w:t xml:space="preserve"> Freud, </w:t>
      </w:r>
      <w:r w:rsidR="006568AF">
        <w:t xml:space="preserve">1933, pp. 47-81. </w:t>
      </w:r>
      <w:r w:rsidRPr="007F57AE">
        <w:rPr>
          <w:rFonts w:cs="Calibri"/>
        </w:rPr>
        <w:t xml:space="preserve">Bringing these into consciousness requires accommodation to prior (social) ideology and prior (personal) psychological constructs. </w:t>
      </w:r>
      <w:proofErr w:type="gramStart"/>
      <w:r w:rsidRPr="007F57AE">
        <w:rPr>
          <w:rFonts w:cs="Calibri"/>
        </w:rPr>
        <w:t>By definition, when</w:t>
      </w:r>
      <w:proofErr w:type="gramEnd"/>
      <w:r w:rsidRPr="007F57AE">
        <w:rPr>
          <w:rFonts w:cs="Calibri"/>
        </w:rPr>
        <w:t xml:space="preserve"> an NDE is in progress, the person is not ‘conscious’. </w:t>
      </w:r>
    </w:p>
  </w:footnote>
  <w:footnote w:id="158">
    <w:p w14:paraId="11130F27" w14:textId="77777777" w:rsidR="00D63AAC" w:rsidRPr="007F57AE" w:rsidRDefault="00D63AAC" w:rsidP="007F57AE">
      <w:pPr>
        <w:pStyle w:val="FootnoteText"/>
        <w:spacing w:after="120"/>
        <w:rPr>
          <w:sz w:val="22"/>
          <w:szCs w:val="22"/>
        </w:rPr>
      </w:pPr>
      <w:r w:rsidRPr="007F57AE">
        <w:rPr>
          <w:rStyle w:val="FootnoteReference"/>
          <w:sz w:val="22"/>
          <w:szCs w:val="22"/>
        </w:rPr>
        <w:footnoteRef/>
      </w:r>
      <w:r w:rsidRPr="007F57AE">
        <w:rPr>
          <w:sz w:val="22"/>
          <w:szCs w:val="22"/>
        </w:rPr>
        <w:t xml:space="preserve"> Kellehear, 2001, p. 34. </w:t>
      </w:r>
      <w:r w:rsidRPr="007F57AE">
        <w:rPr>
          <w:rFonts w:cs="Calibri"/>
          <w:sz w:val="22"/>
          <w:szCs w:val="22"/>
        </w:rPr>
        <w:t>P. 34. He does not explain what this phenomenology might be. His account is localised - the female subject claiming to be uncontrollably drawn to the volcano described as “Pele’s Pit”. Kellehear hedges his argument by also claiming that NDEs “ are not a simple function of expectation”.</w:t>
      </w:r>
    </w:p>
  </w:footnote>
  <w:footnote w:id="159">
    <w:p w14:paraId="1F2D6E34" w14:textId="445DEBD4" w:rsidR="00AA2604" w:rsidRPr="007F57AE" w:rsidRDefault="00AA2604" w:rsidP="007F57AE">
      <w:pPr>
        <w:spacing w:after="120" w:line="240" w:lineRule="auto"/>
      </w:pPr>
      <w:r w:rsidRPr="007F57AE">
        <w:rPr>
          <w:rStyle w:val="FootnoteReference"/>
        </w:rPr>
        <w:footnoteRef/>
      </w:r>
      <w:r w:rsidRPr="007F57AE">
        <w:t xml:space="preserve"> Cited by </w:t>
      </w:r>
      <w:r w:rsidRPr="007F57AE">
        <w:rPr>
          <w:rFonts w:cs="Calibri"/>
        </w:rPr>
        <w:t xml:space="preserve">Carey, 2000, p. 54. </w:t>
      </w:r>
    </w:p>
  </w:footnote>
  <w:footnote w:id="160">
    <w:p w14:paraId="30149168" w14:textId="3E33E0B8" w:rsidR="00E36F82" w:rsidRPr="007F57AE" w:rsidRDefault="00E36F82" w:rsidP="007F57AE">
      <w:pPr>
        <w:pStyle w:val="FootnoteText"/>
        <w:spacing w:after="120"/>
        <w:rPr>
          <w:sz w:val="22"/>
          <w:szCs w:val="22"/>
        </w:rPr>
      </w:pPr>
      <w:r w:rsidRPr="007F57AE">
        <w:rPr>
          <w:rStyle w:val="FootnoteReference"/>
          <w:sz w:val="22"/>
          <w:szCs w:val="22"/>
        </w:rPr>
        <w:footnoteRef/>
      </w:r>
      <w:r w:rsidRPr="007F57AE">
        <w:rPr>
          <w:sz w:val="22"/>
          <w:szCs w:val="22"/>
        </w:rPr>
        <w:t xml:space="preserve"> Waley, 1973, pp. 9-13 is one of many examples.</w:t>
      </w:r>
    </w:p>
  </w:footnote>
  <w:footnote w:id="161">
    <w:p w14:paraId="3BB9EA18" w14:textId="15B6D101" w:rsidR="00E36F82" w:rsidRDefault="00E36F82" w:rsidP="007F57AE">
      <w:pPr>
        <w:pStyle w:val="FootnoteText"/>
        <w:spacing w:after="120"/>
      </w:pPr>
      <w:r w:rsidRPr="007F57AE">
        <w:rPr>
          <w:rStyle w:val="FootnoteReference"/>
          <w:sz w:val="22"/>
          <w:szCs w:val="22"/>
        </w:rPr>
        <w:footnoteRef/>
      </w:r>
      <w:r w:rsidRPr="007F57AE">
        <w:rPr>
          <w:sz w:val="22"/>
          <w:szCs w:val="22"/>
        </w:rPr>
        <w:t xml:space="preserve"> This is the primary thesis of Dashu, 2011.</w:t>
      </w:r>
    </w:p>
  </w:footnote>
  <w:footnote w:id="162">
    <w:p w14:paraId="079775AC" w14:textId="1258BEC9" w:rsidR="002F2E52" w:rsidRPr="007F57AE" w:rsidRDefault="002F2E52" w:rsidP="007F57AE">
      <w:pPr>
        <w:pStyle w:val="FootnoteText"/>
        <w:spacing w:after="120"/>
        <w:rPr>
          <w:sz w:val="22"/>
          <w:szCs w:val="22"/>
        </w:rPr>
      </w:pPr>
      <w:r w:rsidRPr="007F57AE">
        <w:rPr>
          <w:rStyle w:val="FootnoteReference"/>
          <w:sz w:val="22"/>
          <w:szCs w:val="22"/>
        </w:rPr>
        <w:footnoteRef/>
      </w:r>
      <w:r w:rsidRPr="007F57AE">
        <w:rPr>
          <w:sz w:val="22"/>
          <w:szCs w:val="22"/>
        </w:rPr>
        <w:t xml:space="preserve"> Strassber</w:t>
      </w:r>
      <w:r w:rsidR="005A483B" w:rsidRPr="007F57AE">
        <w:rPr>
          <w:sz w:val="22"/>
          <w:szCs w:val="22"/>
        </w:rPr>
        <w:t>g</w:t>
      </w:r>
      <w:r w:rsidRPr="007F57AE">
        <w:rPr>
          <w:sz w:val="22"/>
          <w:szCs w:val="22"/>
        </w:rPr>
        <w:t>, 2002, p. 13.</w:t>
      </w:r>
    </w:p>
  </w:footnote>
  <w:footnote w:id="163">
    <w:p w14:paraId="54EE74ED" w14:textId="187537A3" w:rsidR="005A483B" w:rsidRPr="007F57AE" w:rsidRDefault="005A483B" w:rsidP="007F57AE">
      <w:pPr>
        <w:pStyle w:val="FootnoteText"/>
        <w:spacing w:after="120"/>
        <w:rPr>
          <w:sz w:val="22"/>
          <w:szCs w:val="22"/>
        </w:rPr>
      </w:pPr>
      <w:r w:rsidRPr="007F57AE">
        <w:rPr>
          <w:rStyle w:val="FootnoteReference"/>
          <w:sz w:val="22"/>
          <w:szCs w:val="22"/>
        </w:rPr>
        <w:footnoteRef/>
      </w:r>
      <w:r w:rsidRPr="007F57AE">
        <w:rPr>
          <w:sz w:val="22"/>
          <w:szCs w:val="22"/>
        </w:rPr>
        <w:t xml:space="preserve"> Hawkes, 1974, p.18. </w:t>
      </w:r>
    </w:p>
  </w:footnote>
  <w:footnote w:id="164">
    <w:p w14:paraId="1EE96A44" w14:textId="3596A71D" w:rsidR="008051EA" w:rsidRPr="007F57AE" w:rsidRDefault="008051EA" w:rsidP="007F57AE">
      <w:pPr>
        <w:pStyle w:val="FootnoteText"/>
        <w:spacing w:after="120"/>
        <w:rPr>
          <w:sz w:val="22"/>
          <w:szCs w:val="22"/>
        </w:rPr>
      </w:pPr>
      <w:r w:rsidRPr="007F57AE">
        <w:rPr>
          <w:rStyle w:val="FootnoteReference"/>
          <w:sz w:val="22"/>
          <w:szCs w:val="22"/>
        </w:rPr>
        <w:footnoteRef/>
      </w:r>
      <w:r w:rsidRPr="007F57AE">
        <w:rPr>
          <w:sz w:val="22"/>
          <w:szCs w:val="22"/>
        </w:rPr>
        <w:t xml:space="preserve"> Richardson, 2019, p. 23, (citing Forke, 1907, vol II, p. 228, without further detail of title). </w:t>
      </w:r>
      <w:r w:rsidRPr="007F57AE">
        <w:rPr>
          <w:rFonts w:cs="Calibri"/>
          <w:sz w:val="22"/>
          <w:szCs w:val="22"/>
        </w:rPr>
        <w:t xml:space="preserve">Wang Chong </w:t>
      </w:r>
      <w:proofErr w:type="gramStart"/>
      <w:r w:rsidRPr="007F57AE">
        <w:rPr>
          <w:rFonts w:cs="Calibri"/>
          <w:sz w:val="22"/>
          <w:szCs w:val="22"/>
        </w:rPr>
        <w:t>claim</w:t>
      </w:r>
      <w:r w:rsidR="0084785A" w:rsidRPr="007F57AE">
        <w:rPr>
          <w:rFonts w:cs="Calibri"/>
          <w:sz w:val="22"/>
          <w:szCs w:val="22"/>
        </w:rPr>
        <w:t>ed</w:t>
      </w:r>
      <w:proofErr w:type="gramEnd"/>
      <w:r w:rsidR="0084785A" w:rsidRPr="007F57AE">
        <w:rPr>
          <w:rFonts w:cs="Calibri"/>
          <w:sz w:val="22"/>
          <w:szCs w:val="22"/>
        </w:rPr>
        <w:t xml:space="preserve"> </w:t>
      </w:r>
      <w:r w:rsidRPr="007F57AE">
        <w:rPr>
          <w:rFonts w:cs="Calibri"/>
          <w:sz w:val="22"/>
          <w:szCs w:val="22"/>
        </w:rPr>
        <w:t xml:space="preserve">“God as perceived by Jian Zi [as above] was solely a semblance of God”. He does not mention afterlife punishment, so it should not be considered a part of Chinese world view at his date. </w:t>
      </w:r>
      <w:r w:rsidR="008F2BC9" w:rsidRPr="007F57AE">
        <w:rPr>
          <w:rFonts w:cs="Calibri"/>
          <w:sz w:val="22"/>
          <w:szCs w:val="22"/>
        </w:rPr>
        <w:t>(</w:t>
      </w:r>
      <w:r w:rsidR="0084785A" w:rsidRPr="007F57AE">
        <w:rPr>
          <w:rFonts w:cs="Calibri"/>
          <w:sz w:val="22"/>
          <w:szCs w:val="22"/>
        </w:rPr>
        <w:t xml:space="preserve">It is noted </w:t>
      </w:r>
      <w:proofErr w:type="spellStart"/>
      <w:r w:rsidR="0084785A" w:rsidRPr="007F57AE">
        <w:rPr>
          <w:rFonts w:cs="Calibri"/>
          <w:sz w:val="22"/>
          <w:szCs w:val="22"/>
        </w:rPr>
        <w:t>tha</w:t>
      </w:r>
      <w:proofErr w:type="spellEnd"/>
      <w:r w:rsidR="0084785A" w:rsidRPr="007F57AE">
        <w:rPr>
          <w:rFonts w:cs="Calibri"/>
          <w:sz w:val="22"/>
          <w:szCs w:val="22"/>
        </w:rPr>
        <w:t xml:space="preserve"> </w:t>
      </w:r>
      <w:r w:rsidRPr="007F57AE">
        <w:rPr>
          <w:sz w:val="22"/>
          <w:szCs w:val="22"/>
        </w:rPr>
        <w:t xml:space="preserve">Richardson appears to </w:t>
      </w:r>
      <w:proofErr w:type="gramStart"/>
      <w:r w:rsidRPr="007F57AE">
        <w:rPr>
          <w:sz w:val="22"/>
          <w:szCs w:val="22"/>
        </w:rPr>
        <w:t>have an understanding of</w:t>
      </w:r>
      <w:proofErr w:type="gramEnd"/>
      <w:r w:rsidRPr="007F57AE">
        <w:rPr>
          <w:sz w:val="22"/>
          <w:szCs w:val="22"/>
        </w:rPr>
        <w:t xml:space="preserve"> religion entirely predicated by Christianity, using the term ‘Almighty God’ (2019, p.10) as if objective, and similarly ‘Heaven’ ‘angels’, ‘saints’ and ‘devils’ (2019, p. 11)</w:t>
      </w:r>
      <w:r w:rsidR="008F2BC9" w:rsidRPr="007F57AE">
        <w:rPr>
          <w:sz w:val="22"/>
          <w:szCs w:val="22"/>
        </w:rPr>
        <w:t>).</w:t>
      </w:r>
    </w:p>
  </w:footnote>
  <w:footnote w:id="165">
    <w:p w14:paraId="7B9E6DAB" w14:textId="77777777" w:rsidR="008051EA" w:rsidRPr="007F57AE" w:rsidRDefault="008051EA" w:rsidP="007F57AE">
      <w:pPr>
        <w:pStyle w:val="FootnoteText"/>
        <w:spacing w:after="120"/>
        <w:rPr>
          <w:sz w:val="22"/>
          <w:szCs w:val="22"/>
        </w:rPr>
      </w:pPr>
      <w:r w:rsidRPr="007F57AE">
        <w:rPr>
          <w:rStyle w:val="FootnoteReference"/>
          <w:sz w:val="22"/>
          <w:szCs w:val="22"/>
        </w:rPr>
        <w:footnoteRef/>
      </w:r>
      <w:r w:rsidRPr="007F57AE">
        <w:rPr>
          <w:sz w:val="22"/>
          <w:szCs w:val="22"/>
        </w:rPr>
        <w:t xml:space="preserve"> Campany, 2015, p. xxiv, footnote.</w:t>
      </w:r>
    </w:p>
  </w:footnote>
  <w:footnote w:id="166">
    <w:p w14:paraId="07E23774" w14:textId="77777777" w:rsidR="008051EA" w:rsidRPr="007F57AE" w:rsidRDefault="008051EA" w:rsidP="007F57AE">
      <w:pPr>
        <w:pStyle w:val="FootnoteText"/>
        <w:spacing w:after="120"/>
        <w:rPr>
          <w:sz w:val="22"/>
          <w:szCs w:val="22"/>
        </w:rPr>
      </w:pPr>
      <w:r w:rsidRPr="007F57AE">
        <w:rPr>
          <w:rStyle w:val="FootnoteReference"/>
          <w:sz w:val="22"/>
          <w:szCs w:val="22"/>
        </w:rPr>
        <w:footnoteRef/>
      </w:r>
      <w:r w:rsidRPr="007F57AE">
        <w:rPr>
          <w:sz w:val="22"/>
          <w:szCs w:val="22"/>
        </w:rPr>
        <w:t xml:space="preserve"> Campany, 1996, p. 127.</w:t>
      </w:r>
    </w:p>
  </w:footnote>
  <w:footnote w:id="167">
    <w:p w14:paraId="211E5485" w14:textId="2E3BD3E5" w:rsidR="00F25FB0" w:rsidRDefault="00F25FB0">
      <w:pPr>
        <w:pStyle w:val="FootnoteText"/>
      </w:pPr>
      <w:r>
        <w:rPr>
          <w:rStyle w:val="FootnoteReference"/>
        </w:rPr>
        <w:footnoteRef/>
      </w:r>
      <w:r>
        <w:t xml:space="preserve"> It is not disputed that the great majority of those who identified as Buddhist and Daoist </w:t>
      </w:r>
      <w:proofErr w:type="spellStart"/>
      <w:r>
        <w:t>practitised</w:t>
      </w:r>
      <w:proofErr w:type="spellEnd"/>
      <w:r>
        <w:t xml:space="preserve"> in ‘devotional mode’.</w:t>
      </w:r>
    </w:p>
  </w:footnote>
  <w:footnote w:id="168">
    <w:p w14:paraId="0C35842B" w14:textId="642A6578" w:rsidR="00FF697A" w:rsidRPr="00FF697A" w:rsidRDefault="00FF697A" w:rsidP="00FF697A">
      <w:pPr>
        <w:pStyle w:val="FootnoteText"/>
        <w:spacing w:after="120"/>
        <w:rPr>
          <w:sz w:val="22"/>
          <w:szCs w:val="22"/>
        </w:rPr>
      </w:pPr>
      <w:r>
        <w:rPr>
          <w:rStyle w:val="FootnoteReference"/>
        </w:rPr>
        <w:footnoteRef/>
      </w:r>
      <w:r>
        <w:t xml:space="preserve"> </w:t>
      </w:r>
      <w:r w:rsidRPr="00FF697A">
        <w:rPr>
          <w:sz w:val="22"/>
          <w:szCs w:val="22"/>
        </w:rPr>
        <w:t xml:space="preserve">Teiser, 1996, p. 164, describes shamanism as a ‘substrate’ </w:t>
      </w:r>
      <w:proofErr w:type="spellStart"/>
      <w:r w:rsidRPr="00FF697A">
        <w:rPr>
          <w:sz w:val="22"/>
          <w:szCs w:val="22"/>
        </w:rPr>
        <w:t>fro</w:t>
      </w:r>
      <w:proofErr w:type="spellEnd"/>
      <w:r w:rsidRPr="00FF697A">
        <w:rPr>
          <w:sz w:val="22"/>
          <w:szCs w:val="22"/>
        </w:rPr>
        <w:t xml:space="preserve"> </w:t>
      </w:r>
      <w:proofErr w:type="spellStart"/>
      <w:r w:rsidRPr="00FF697A">
        <w:rPr>
          <w:sz w:val="22"/>
          <w:szCs w:val="22"/>
        </w:rPr>
        <w:t>Saoism</w:t>
      </w:r>
      <w:proofErr w:type="spellEnd"/>
      <w:r w:rsidRPr="00FF697A">
        <w:rPr>
          <w:sz w:val="22"/>
          <w:szCs w:val="22"/>
        </w:rPr>
        <w:t xml:space="preserve"> and Chinese Buddhism.</w:t>
      </w:r>
    </w:p>
  </w:footnote>
  <w:footnote w:id="169">
    <w:p w14:paraId="666F5F14" w14:textId="5C3B780D" w:rsidR="00E36F82" w:rsidRPr="007F57AE" w:rsidRDefault="00E36F82" w:rsidP="007F57AE">
      <w:pPr>
        <w:spacing w:after="120" w:line="240" w:lineRule="auto"/>
      </w:pPr>
      <w:r w:rsidRPr="007F57AE">
        <w:rPr>
          <w:rStyle w:val="FootnoteReference"/>
        </w:rPr>
        <w:footnoteRef/>
      </w:r>
      <w:r w:rsidRPr="007F57AE">
        <w:t xml:space="preserve"> For example, in Zhuangzi (Watson, 2013, p. 3)</w:t>
      </w:r>
      <w:r w:rsidRPr="007F57AE">
        <w:rPr>
          <w:rFonts w:cs="Calibri"/>
        </w:rPr>
        <w:t xml:space="preserve"> “</w:t>
      </w:r>
      <w:proofErr w:type="spellStart"/>
      <w:r w:rsidRPr="007F57AE">
        <w:rPr>
          <w:rFonts w:cs="Calibri"/>
        </w:rPr>
        <w:t>Liezi</w:t>
      </w:r>
      <w:proofErr w:type="spellEnd"/>
      <w:r w:rsidRPr="007F57AE">
        <w:rPr>
          <w:rFonts w:cs="Calibri"/>
        </w:rPr>
        <w:t xml:space="preserve"> could ride the wind and go soaring around with cool and breezy skill, but after fifteen days he came back to earth”.</w:t>
      </w:r>
    </w:p>
  </w:footnote>
  <w:footnote w:id="170">
    <w:p w14:paraId="5DA1061A" w14:textId="15DFEB89" w:rsidR="00EE12EC" w:rsidRPr="007F57AE" w:rsidRDefault="00EE12EC" w:rsidP="007F57AE">
      <w:pPr>
        <w:pStyle w:val="FootnoteText"/>
        <w:spacing w:after="120"/>
        <w:rPr>
          <w:sz w:val="22"/>
          <w:szCs w:val="22"/>
        </w:rPr>
      </w:pPr>
      <w:r w:rsidRPr="007F57AE">
        <w:rPr>
          <w:rStyle w:val="FootnoteReference"/>
          <w:sz w:val="22"/>
          <w:szCs w:val="22"/>
        </w:rPr>
        <w:footnoteRef/>
      </w:r>
      <w:r w:rsidRPr="007F57AE">
        <w:rPr>
          <w:sz w:val="22"/>
          <w:szCs w:val="22"/>
        </w:rPr>
        <w:t xml:space="preserve"> </w:t>
      </w:r>
      <w:r w:rsidRPr="007F57AE">
        <w:rPr>
          <w:rFonts w:cs="Calibri"/>
          <w:sz w:val="22"/>
          <w:szCs w:val="22"/>
        </w:rPr>
        <w:t>Zaleski</w:t>
      </w:r>
      <w:r w:rsidR="009C63E3" w:rsidRPr="007F57AE">
        <w:rPr>
          <w:rFonts w:cs="Calibri"/>
          <w:sz w:val="22"/>
          <w:szCs w:val="22"/>
        </w:rPr>
        <w:t>, 1987,</w:t>
      </w:r>
      <w:r w:rsidRPr="007F57AE">
        <w:rPr>
          <w:rFonts w:cs="Calibri"/>
          <w:sz w:val="22"/>
          <w:szCs w:val="22"/>
        </w:rPr>
        <w:t xml:space="preserve"> p24</w:t>
      </w:r>
      <w:r w:rsidR="00E36F82" w:rsidRPr="007F57AE">
        <w:rPr>
          <w:rFonts w:cs="Calibri"/>
          <w:sz w:val="22"/>
          <w:szCs w:val="22"/>
        </w:rPr>
        <w:t>.</w:t>
      </w:r>
    </w:p>
  </w:footnote>
  <w:footnote w:id="171">
    <w:p w14:paraId="418FD719" w14:textId="7C52F723" w:rsidR="001F37C5" w:rsidRPr="007F57AE" w:rsidRDefault="001F37C5" w:rsidP="007F57AE">
      <w:pPr>
        <w:spacing w:after="120" w:line="240" w:lineRule="auto"/>
      </w:pPr>
      <w:r w:rsidRPr="007F57AE">
        <w:rPr>
          <w:rStyle w:val="FootnoteReference"/>
        </w:rPr>
        <w:footnoteRef/>
      </w:r>
      <w:r w:rsidRPr="007F57AE">
        <w:t xml:space="preserve"> Kohn, 2020, p. 97.</w:t>
      </w:r>
    </w:p>
  </w:footnote>
  <w:footnote w:id="172">
    <w:p w14:paraId="018FBBAE" w14:textId="77777777" w:rsidR="001743CF" w:rsidRPr="007F57AE" w:rsidRDefault="001743CF" w:rsidP="007F57AE">
      <w:pPr>
        <w:pStyle w:val="FootnoteText"/>
        <w:spacing w:after="120"/>
        <w:rPr>
          <w:sz w:val="22"/>
          <w:szCs w:val="22"/>
        </w:rPr>
      </w:pPr>
      <w:r w:rsidRPr="007F57AE">
        <w:rPr>
          <w:rStyle w:val="FootnoteReference"/>
          <w:sz w:val="22"/>
          <w:szCs w:val="22"/>
        </w:rPr>
        <w:footnoteRef/>
      </w:r>
      <w:r w:rsidRPr="007F57AE">
        <w:rPr>
          <w:sz w:val="22"/>
          <w:szCs w:val="22"/>
        </w:rPr>
        <w:t xml:space="preserve"> Ganany, 2021, p. 145.</w:t>
      </w:r>
    </w:p>
  </w:footnote>
  <w:footnote w:id="173">
    <w:p w14:paraId="021FB7F0" w14:textId="77777777" w:rsidR="001743CF" w:rsidRPr="007F57AE" w:rsidRDefault="001743CF" w:rsidP="007F57AE">
      <w:pPr>
        <w:pStyle w:val="FootnoteText"/>
        <w:spacing w:after="120"/>
        <w:rPr>
          <w:sz w:val="22"/>
          <w:szCs w:val="22"/>
        </w:rPr>
      </w:pPr>
      <w:r w:rsidRPr="007F57AE">
        <w:rPr>
          <w:rStyle w:val="FootnoteReference"/>
          <w:sz w:val="22"/>
          <w:szCs w:val="22"/>
        </w:rPr>
        <w:footnoteRef/>
      </w:r>
      <w:r w:rsidRPr="007F57AE">
        <w:rPr>
          <w:sz w:val="22"/>
          <w:szCs w:val="22"/>
        </w:rPr>
        <w:t xml:space="preserve"> </w:t>
      </w:r>
      <w:r w:rsidRPr="007F57AE">
        <w:rPr>
          <w:rFonts w:cs="Calibri"/>
          <w:i/>
          <w:iCs/>
          <w:sz w:val="22"/>
          <w:szCs w:val="22"/>
        </w:rPr>
        <w:t>Soul Mountain</w:t>
      </w:r>
      <w:r w:rsidRPr="007F57AE">
        <w:rPr>
          <w:rFonts w:cs="Calibri"/>
          <w:sz w:val="22"/>
          <w:szCs w:val="22"/>
        </w:rPr>
        <w:t xml:space="preserve"> by Gao Xingjian.</w:t>
      </w:r>
    </w:p>
  </w:footnote>
  <w:footnote w:id="174">
    <w:p w14:paraId="6846DD3C" w14:textId="6D01713F" w:rsidR="001743CF" w:rsidRPr="007F57AE" w:rsidRDefault="001743CF" w:rsidP="007F57AE">
      <w:pPr>
        <w:pStyle w:val="FootnoteText"/>
        <w:spacing w:after="120"/>
        <w:rPr>
          <w:sz w:val="22"/>
          <w:szCs w:val="22"/>
        </w:rPr>
      </w:pPr>
      <w:r w:rsidRPr="007F57AE">
        <w:rPr>
          <w:rStyle w:val="FootnoteReference"/>
          <w:sz w:val="22"/>
          <w:szCs w:val="22"/>
        </w:rPr>
        <w:footnoteRef/>
      </w:r>
      <w:r w:rsidRPr="007F57AE">
        <w:rPr>
          <w:sz w:val="22"/>
          <w:szCs w:val="22"/>
        </w:rPr>
        <w:t xml:space="preserve"> McClenon, 1997, p. 350.</w:t>
      </w:r>
    </w:p>
  </w:footnote>
  <w:footnote w:id="175">
    <w:p w14:paraId="39229CCE" w14:textId="7E4BCFD6" w:rsidR="001743CF" w:rsidRPr="007F57AE" w:rsidRDefault="001743CF" w:rsidP="007F57AE">
      <w:pPr>
        <w:pStyle w:val="FootnoteText"/>
        <w:spacing w:after="120"/>
        <w:rPr>
          <w:sz w:val="22"/>
          <w:szCs w:val="22"/>
        </w:rPr>
      </w:pPr>
      <w:r w:rsidRPr="007F57AE">
        <w:rPr>
          <w:rStyle w:val="FootnoteReference"/>
          <w:sz w:val="22"/>
          <w:szCs w:val="22"/>
        </w:rPr>
        <w:footnoteRef/>
      </w:r>
      <w:r w:rsidRPr="007F57AE">
        <w:rPr>
          <w:sz w:val="22"/>
          <w:szCs w:val="22"/>
        </w:rPr>
        <w:t xml:space="preserve"> McClenon, 1997, p.346, suggests ASC-based rites date back to Homo erectus (a million years or more.).</w:t>
      </w:r>
    </w:p>
  </w:footnote>
  <w:footnote w:id="176">
    <w:p w14:paraId="5B515082" w14:textId="4940D119" w:rsidR="00566453" w:rsidRPr="00566453" w:rsidRDefault="00566453" w:rsidP="00566453">
      <w:pPr>
        <w:pStyle w:val="FootnoteText"/>
        <w:spacing w:after="120"/>
        <w:rPr>
          <w:sz w:val="22"/>
          <w:szCs w:val="22"/>
        </w:rPr>
      </w:pPr>
      <w:r w:rsidRPr="00566453">
        <w:rPr>
          <w:rStyle w:val="FootnoteReference"/>
          <w:sz w:val="22"/>
          <w:szCs w:val="22"/>
        </w:rPr>
        <w:footnoteRef/>
      </w:r>
      <w:r w:rsidRPr="00566453">
        <w:rPr>
          <w:sz w:val="22"/>
          <w:szCs w:val="22"/>
        </w:rPr>
        <w:t xml:space="preserve"> Teiser, 1996, pp. 26-41. The festival is documented from the 6</w:t>
      </w:r>
      <w:r w:rsidRPr="00566453">
        <w:rPr>
          <w:sz w:val="22"/>
          <w:szCs w:val="22"/>
          <w:vertAlign w:val="superscript"/>
        </w:rPr>
        <w:t>th</w:t>
      </w:r>
      <w:r w:rsidRPr="00566453">
        <w:rPr>
          <w:sz w:val="22"/>
          <w:szCs w:val="22"/>
        </w:rPr>
        <w:t xml:space="preserve"> century CE, with clear antecedents in indigenous religion, by that time incorporating the two formalised faiths.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980B1E"/>
    <w:multiLevelType w:val="multilevel"/>
    <w:tmpl w:val="6B1EEEEE"/>
    <w:lvl w:ilvl="0">
      <w:start w:val="1"/>
      <w:numFmt w:val="lowerLetter"/>
      <w:lvlText w:val="%1."/>
      <w:lvlJc w:val="left"/>
      <w:pPr>
        <w:ind w:left="720" w:hanging="360"/>
      </w:pPr>
      <w:rPr>
        <w:b w:val="0"/>
      </w:r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1" w15:restartNumberingAfterBreak="0">
    <w:nsid w:val="643D4B64"/>
    <w:multiLevelType w:val="multilevel"/>
    <w:tmpl w:val="EA6CEA96"/>
    <w:lvl w:ilvl="0">
      <w:numFmt w:val="bullet"/>
      <w:lvlText w:val=""/>
      <w:lvlJc w:val="left"/>
      <w:pPr>
        <w:ind w:left="720" w:hanging="360"/>
      </w:pPr>
      <w:rPr>
        <w:rFonts w:ascii="Wingdings" w:eastAsia="Calibri" w:hAnsi="Wingdings"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757A101E"/>
    <w:multiLevelType w:val="multilevel"/>
    <w:tmpl w:val="1CE49A58"/>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num w:numId="1" w16cid:durableId="1934361728">
    <w:abstractNumId w:val="0"/>
  </w:num>
  <w:num w:numId="2" w16cid:durableId="1277324427">
    <w:abstractNumId w:val="2"/>
  </w:num>
  <w:num w:numId="3" w16cid:durableId="4796128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2D5A"/>
    <w:rsid w:val="0001599F"/>
    <w:rsid w:val="0002529F"/>
    <w:rsid w:val="000414B9"/>
    <w:rsid w:val="00044EFB"/>
    <w:rsid w:val="00054E86"/>
    <w:rsid w:val="00064353"/>
    <w:rsid w:val="000843B1"/>
    <w:rsid w:val="00091875"/>
    <w:rsid w:val="00096105"/>
    <w:rsid w:val="000A2144"/>
    <w:rsid w:val="000A42DC"/>
    <w:rsid w:val="000C4666"/>
    <w:rsid w:val="000D156C"/>
    <w:rsid w:val="000D600F"/>
    <w:rsid w:val="000E3CE6"/>
    <w:rsid w:val="00106375"/>
    <w:rsid w:val="001216BD"/>
    <w:rsid w:val="00123BCC"/>
    <w:rsid w:val="001341A8"/>
    <w:rsid w:val="00140721"/>
    <w:rsid w:val="00144EF2"/>
    <w:rsid w:val="00155D84"/>
    <w:rsid w:val="00164E6B"/>
    <w:rsid w:val="001743CF"/>
    <w:rsid w:val="0017685E"/>
    <w:rsid w:val="001C241A"/>
    <w:rsid w:val="001C2429"/>
    <w:rsid w:val="001F37C5"/>
    <w:rsid w:val="00225C33"/>
    <w:rsid w:val="00225EDD"/>
    <w:rsid w:val="00256E42"/>
    <w:rsid w:val="00267718"/>
    <w:rsid w:val="002825E5"/>
    <w:rsid w:val="002B45C4"/>
    <w:rsid w:val="002B52C8"/>
    <w:rsid w:val="002D20A7"/>
    <w:rsid w:val="002D608D"/>
    <w:rsid w:val="002E02E5"/>
    <w:rsid w:val="002E0A1E"/>
    <w:rsid w:val="002F2E52"/>
    <w:rsid w:val="0031089E"/>
    <w:rsid w:val="00323305"/>
    <w:rsid w:val="0033117B"/>
    <w:rsid w:val="003350D6"/>
    <w:rsid w:val="003457A1"/>
    <w:rsid w:val="0036581B"/>
    <w:rsid w:val="0037123E"/>
    <w:rsid w:val="00374DD6"/>
    <w:rsid w:val="00380211"/>
    <w:rsid w:val="003C300F"/>
    <w:rsid w:val="003D509C"/>
    <w:rsid w:val="0040690A"/>
    <w:rsid w:val="004763BF"/>
    <w:rsid w:val="00486702"/>
    <w:rsid w:val="004A30A9"/>
    <w:rsid w:val="004A7397"/>
    <w:rsid w:val="004D52BB"/>
    <w:rsid w:val="004E4B19"/>
    <w:rsid w:val="004E63F7"/>
    <w:rsid w:val="004F4A03"/>
    <w:rsid w:val="00501B4A"/>
    <w:rsid w:val="005161F1"/>
    <w:rsid w:val="005244A8"/>
    <w:rsid w:val="00525107"/>
    <w:rsid w:val="00533BC2"/>
    <w:rsid w:val="005367DA"/>
    <w:rsid w:val="005410DB"/>
    <w:rsid w:val="00544B48"/>
    <w:rsid w:val="0055596E"/>
    <w:rsid w:val="00557A6C"/>
    <w:rsid w:val="00566453"/>
    <w:rsid w:val="00572CFF"/>
    <w:rsid w:val="00572FE7"/>
    <w:rsid w:val="00582B36"/>
    <w:rsid w:val="00595AFC"/>
    <w:rsid w:val="005A483B"/>
    <w:rsid w:val="005B414E"/>
    <w:rsid w:val="005C6EAC"/>
    <w:rsid w:val="005E1F69"/>
    <w:rsid w:val="006008E5"/>
    <w:rsid w:val="00612C44"/>
    <w:rsid w:val="0061614B"/>
    <w:rsid w:val="00625F10"/>
    <w:rsid w:val="006267A9"/>
    <w:rsid w:val="00645F51"/>
    <w:rsid w:val="006568AF"/>
    <w:rsid w:val="00664206"/>
    <w:rsid w:val="00683ED9"/>
    <w:rsid w:val="006D4FB8"/>
    <w:rsid w:val="006D5792"/>
    <w:rsid w:val="006E3331"/>
    <w:rsid w:val="006E7D15"/>
    <w:rsid w:val="0070640B"/>
    <w:rsid w:val="00716BA1"/>
    <w:rsid w:val="00730B7F"/>
    <w:rsid w:val="00733B78"/>
    <w:rsid w:val="00743B20"/>
    <w:rsid w:val="00760D51"/>
    <w:rsid w:val="00793DD1"/>
    <w:rsid w:val="007A2D5A"/>
    <w:rsid w:val="007C730C"/>
    <w:rsid w:val="007E1B09"/>
    <w:rsid w:val="007E34ED"/>
    <w:rsid w:val="007F57AE"/>
    <w:rsid w:val="008051EA"/>
    <w:rsid w:val="00816C2F"/>
    <w:rsid w:val="00834B40"/>
    <w:rsid w:val="0084024D"/>
    <w:rsid w:val="0084257B"/>
    <w:rsid w:val="00843345"/>
    <w:rsid w:val="0084785A"/>
    <w:rsid w:val="00853498"/>
    <w:rsid w:val="00872321"/>
    <w:rsid w:val="008723A3"/>
    <w:rsid w:val="00872A41"/>
    <w:rsid w:val="00880CE5"/>
    <w:rsid w:val="0088108A"/>
    <w:rsid w:val="0088354A"/>
    <w:rsid w:val="00892472"/>
    <w:rsid w:val="00893114"/>
    <w:rsid w:val="008946AF"/>
    <w:rsid w:val="008953C2"/>
    <w:rsid w:val="008A2381"/>
    <w:rsid w:val="008A5CE0"/>
    <w:rsid w:val="008A7EFC"/>
    <w:rsid w:val="008C25F0"/>
    <w:rsid w:val="008D48A2"/>
    <w:rsid w:val="008F2BC9"/>
    <w:rsid w:val="00922743"/>
    <w:rsid w:val="0092796C"/>
    <w:rsid w:val="00933F21"/>
    <w:rsid w:val="00934C5C"/>
    <w:rsid w:val="009356AF"/>
    <w:rsid w:val="00936D26"/>
    <w:rsid w:val="00942F2C"/>
    <w:rsid w:val="0094652D"/>
    <w:rsid w:val="00954370"/>
    <w:rsid w:val="00960C1A"/>
    <w:rsid w:val="009C63E3"/>
    <w:rsid w:val="009E09D7"/>
    <w:rsid w:val="009E43D2"/>
    <w:rsid w:val="009E7605"/>
    <w:rsid w:val="009F60FC"/>
    <w:rsid w:val="00A00C93"/>
    <w:rsid w:val="00A015F7"/>
    <w:rsid w:val="00A23BF3"/>
    <w:rsid w:val="00A2443A"/>
    <w:rsid w:val="00A308D0"/>
    <w:rsid w:val="00A30BB0"/>
    <w:rsid w:val="00A3533E"/>
    <w:rsid w:val="00A7129E"/>
    <w:rsid w:val="00AA2604"/>
    <w:rsid w:val="00AA275D"/>
    <w:rsid w:val="00AA6446"/>
    <w:rsid w:val="00AB1493"/>
    <w:rsid w:val="00AB414F"/>
    <w:rsid w:val="00AC49BB"/>
    <w:rsid w:val="00AD0B42"/>
    <w:rsid w:val="00AD2528"/>
    <w:rsid w:val="00AD2814"/>
    <w:rsid w:val="00AF44FB"/>
    <w:rsid w:val="00B02833"/>
    <w:rsid w:val="00B02B12"/>
    <w:rsid w:val="00B33BD5"/>
    <w:rsid w:val="00B4439B"/>
    <w:rsid w:val="00B63030"/>
    <w:rsid w:val="00B63FE4"/>
    <w:rsid w:val="00B749A9"/>
    <w:rsid w:val="00B825DC"/>
    <w:rsid w:val="00B9439B"/>
    <w:rsid w:val="00B96065"/>
    <w:rsid w:val="00BB0355"/>
    <w:rsid w:val="00BB12F5"/>
    <w:rsid w:val="00BB1E1D"/>
    <w:rsid w:val="00BB4E92"/>
    <w:rsid w:val="00BC5BDB"/>
    <w:rsid w:val="00BD32EB"/>
    <w:rsid w:val="00BE5B65"/>
    <w:rsid w:val="00BE79C2"/>
    <w:rsid w:val="00BF1C74"/>
    <w:rsid w:val="00C03B41"/>
    <w:rsid w:val="00C07092"/>
    <w:rsid w:val="00C124B5"/>
    <w:rsid w:val="00C23B4A"/>
    <w:rsid w:val="00C27701"/>
    <w:rsid w:val="00C33952"/>
    <w:rsid w:val="00C44760"/>
    <w:rsid w:val="00C45AC4"/>
    <w:rsid w:val="00C46CFE"/>
    <w:rsid w:val="00C55FF3"/>
    <w:rsid w:val="00C9649E"/>
    <w:rsid w:val="00C97E95"/>
    <w:rsid w:val="00CA1CC7"/>
    <w:rsid w:val="00CD77F1"/>
    <w:rsid w:val="00CE2249"/>
    <w:rsid w:val="00CF0E83"/>
    <w:rsid w:val="00CF30EB"/>
    <w:rsid w:val="00CF5998"/>
    <w:rsid w:val="00D03698"/>
    <w:rsid w:val="00D61876"/>
    <w:rsid w:val="00D63AAC"/>
    <w:rsid w:val="00D66596"/>
    <w:rsid w:val="00D76EA0"/>
    <w:rsid w:val="00D86EAE"/>
    <w:rsid w:val="00D9559C"/>
    <w:rsid w:val="00DB1922"/>
    <w:rsid w:val="00DB2BEA"/>
    <w:rsid w:val="00DB5AD7"/>
    <w:rsid w:val="00DE473C"/>
    <w:rsid w:val="00DE5BCE"/>
    <w:rsid w:val="00DF3255"/>
    <w:rsid w:val="00E1792B"/>
    <w:rsid w:val="00E22D26"/>
    <w:rsid w:val="00E24519"/>
    <w:rsid w:val="00E31ECD"/>
    <w:rsid w:val="00E35732"/>
    <w:rsid w:val="00E36F82"/>
    <w:rsid w:val="00E41426"/>
    <w:rsid w:val="00E43E0F"/>
    <w:rsid w:val="00E64A8F"/>
    <w:rsid w:val="00E710BE"/>
    <w:rsid w:val="00E7567D"/>
    <w:rsid w:val="00E81CCF"/>
    <w:rsid w:val="00EA1654"/>
    <w:rsid w:val="00EA1AE2"/>
    <w:rsid w:val="00EA571D"/>
    <w:rsid w:val="00EB5B51"/>
    <w:rsid w:val="00ED44EF"/>
    <w:rsid w:val="00EE12EC"/>
    <w:rsid w:val="00EF2AE7"/>
    <w:rsid w:val="00F122DD"/>
    <w:rsid w:val="00F21D43"/>
    <w:rsid w:val="00F23D79"/>
    <w:rsid w:val="00F25FB0"/>
    <w:rsid w:val="00F365ED"/>
    <w:rsid w:val="00F438B1"/>
    <w:rsid w:val="00F528F4"/>
    <w:rsid w:val="00F57555"/>
    <w:rsid w:val="00F60E37"/>
    <w:rsid w:val="00F6353F"/>
    <w:rsid w:val="00F86A54"/>
    <w:rsid w:val="00F95C99"/>
    <w:rsid w:val="00F975BB"/>
    <w:rsid w:val="00FA1128"/>
    <w:rsid w:val="00FA6B88"/>
    <w:rsid w:val="00FB6CB9"/>
    <w:rsid w:val="00FC022C"/>
    <w:rsid w:val="00FD7CC6"/>
    <w:rsid w:val="00FE3822"/>
    <w:rsid w:val="00FF37A9"/>
    <w:rsid w:val="00FF697A"/>
    <w:rsid w:val="00FF7D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511700"/>
  <w15:docId w15:val="{BBAADCA0-AE75-412D-B0B9-5ECD40CE7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sz w:val="22"/>
        <w:szCs w:val="22"/>
        <w:lang w:val="en-GB" w:eastAsia="en-US" w:bidi="ar-SA"/>
      </w:rPr>
    </w:rPrDefault>
    <w:pPrDefault>
      <w:pPr>
        <w:autoSpaceDN w:val="0"/>
        <w:spacing w:after="160" w:line="24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Calibri Light" w:eastAsia="Times New Roman" w:hAnsi="Calibri Light"/>
      <w:color w:val="2F5496"/>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Calibri Light" w:eastAsia="Times New Roman" w:hAnsi="Calibri Light"/>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2F5496"/>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40"/>
      <w:szCs w:val="40"/>
    </w:rPr>
  </w:style>
  <w:style w:type="character" w:customStyle="1" w:styleId="Heading2Char">
    <w:name w:val="Heading 2 Char"/>
    <w:basedOn w:val="DefaultParagraphFont"/>
    <w:rPr>
      <w:rFonts w:ascii="Calibri Light" w:eastAsia="Times New Roman" w:hAnsi="Calibri Light" w:cs="Times New Roman"/>
      <w:color w:val="2F5496"/>
      <w:sz w:val="32"/>
      <w:szCs w:val="32"/>
    </w:rPr>
  </w:style>
  <w:style w:type="character" w:customStyle="1" w:styleId="Heading3Char">
    <w:name w:val="Heading 3 Char"/>
    <w:basedOn w:val="DefaultParagraphFont"/>
    <w:rPr>
      <w:rFonts w:eastAsia="Times New Roman" w:cs="Times New Roman"/>
      <w:color w:val="2F5496"/>
      <w:sz w:val="28"/>
      <w:szCs w:val="28"/>
    </w:rPr>
  </w:style>
  <w:style w:type="character" w:customStyle="1" w:styleId="Heading4Char">
    <w:name w:val="Heading 4 Char"/>
    <w:basedOn w:val="DefaultParagraphFont"/>
    <w:rPr>
      <w:rFonts w:eastAsia="Times New Roman" w:cs="Times New Roman"/>
      <w:i/>
      <w:iCs/>
      <w:color w:val="2F5496"/>
    </w:rPr>
  </w:style>
  <w:style w:type="character" w:customStyle="1" w:styleId="Heading5Char">
    <w:name w:val="Heading 5 Char"/>
    <w:basedOn w:val="DefaultParagraphFont"/>
    <w:rPr>
      <w:rFonts w:eastAsia="Times New Roman" w:cs="Times New Roman"/>
      <w:color w:val="2F5496"/>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2F5496"/>
    </w:rPr>
  </w:style>
  <w:style w:type="paragraph" w:styleId="IntenseQuote">
    <w:name w:val="Intense Quote"/>
    <w:basedOn w:val="Normal"/>
    <w:next w:val="Normal"/>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rPr>
      <w:i/>
      <w:iCs/>
      <w:color w:val="2F5496"/>
    </w:rPr>
  </w:style>
  <w:style w:type="character" w:styleId="IntenseReference">
    <w:name w:val="Intense Reference"/>
    <w:basedOn w:val="DefaultParagraphFont"/>
    <w:rPr>
      <w:b/>
      <w:bCs/>
      <w:smallCaps/>
      <w:color w:val="2F5496"/>
      <w:spacing w:val="5"/>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FootnoteText">
    <w:name w:val="footnote text"/>
    <w:basedOn w:val="Normal"/>
    <w:pPr>
      <w:spacing w:after="0" w:line="240" w:lineRule="auto"/>
    </w:pPr>
    <w:rPr>
      <w:sz w:val="20"/>
      <w:szCs w:val="20"/>
    </w:rPr>
  </w:style>
  <w:style w:type="character" w:customStyle="1" w:styleId="FootnoteTextChar">
    <w:name w:val="Footnote Text Char"/>
    <w:basedOn w:val="DefaultParagraphFont"/>
    <w:rPr>
      <w:sz w:val="20"/>
      <w:szCs w:val="20"/>
    </w:rPr>
  </w:style>
  <w:style w:type="character" w:styleId="FootnoteReference">
    <w:name w:val="footnote reference"/>
    <w:basedOn w:val="DefaultParagraphFont"/>
    <w:rPr>
      <w:position w:val="0"/>
      <w:vertAlign w:val="superscript"/>
    </w:rPr>
  </w:style>
  <w:style w:type="character" w:styleId="FollowedHyperlink">
    <w:name w:val="FollowedHyperlink"/>
    <w:basedOn w:val="DefaultParagraphFont"/>
    <w:rPr>
      <w:color w:val="96607D"/>
      <w:u w:val="single"/>
    </w:rPr>
  </w:style>
  <w:style w:type="paragraph" w:styleId="Header">
    <w:name w:val="header"/>
    <w:basedOn w:val="Normal"/>
    <w:link w:val="HeaderChar"/>
    <w:uiPriority w:val="99"/>
    <w:unhideWhenUsed/>
    <w:rsid w:val="00BB1E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1E1D"/>
  </w:style>
  <w:style w:type="paragraph" w:styleId="Footer">
    <w:name w:val="footer"/>
    <w:basedOn w:val="Normal"/>
    <w:link w:val="FooterChar"/>
    <w:uiPriority w:val="99"/>
    <w:unhideWhenUsed/>
    <w:rsid w:val="00BB1E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1E1D"/>
  </w:style>
  <w:style w:type="paragraph" w:styleId="NormalWeb">
    <w:name w:val="Normal (Web)"/>
    <w:basedOn w:val="Normal"/>
    <w:rsid w:val="00AB414F"/>
    <w:pPr>
      <w:spacing w:before="100" w:after="100"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9779552">
      <w:bodyDiv w:val="1"/>
      <w:marLeft w:val="0"/>
      <w:marRight w:val="0"/>
      <w:marTop w:val="0"/>
      <w:marBottom w:val="0"/>
      <w:divBdr>
        <w:top w:val="none" w:sz="0" w:space="0" w:color="auto"/>
        <w:left w:val="none" w:sz="0" w:space="0" w:color="auto"/>
        <w:bottom w:val="none" w:sz="0" w:space="0" w:color="auto"/>
        <w:right w:val="none" w:sz="0" w:space="0" w:color="auto"/>
      </w:divBdr>
    </w:div>
    <w:div w:id="517278552">
      <w:bodyDiv w:val="1"/>
      <w:marLeft w:val="0"/>
      <w:marRight w:val="0"/>
      <w:marTop w:val="0"/>
      <w:marBottom w:val="0"/>
      <w:divBdr>
        <w:top w:val="none" w:sz="0" w:space="0" w:color="auto"/>
        <w:left w:val="none" w:sz="0" w:space="0" w:color="auto"/>
        <w:bottom w:val="none" w:sz="0" w:space="0" w:color="auto"/>
        <w:right w:val="none" w:sz="0" w:space="0" w:color="auto"/>
      </w:divBdr>
    </w:div>
    <w:div w:id="551577184">
      <w:bodyDiv w:val="1"/>
      <w:marLeft w:val="0"/>
      <w:marRight w:val="0"/>
      <w:marTop w:val="0"/>
      <w:marBottom w:val="0"/>
      <w:divBdr>
        <w:top w:val="none" w:sz="0" w:space="0" w:color="auto"/>
        <w:left w:val="none" w:sz="0" w:space="0" w:color="auto"/>
        <w:bottom w:val="none" w:sz="0" w:space="0" w:color="auto"/>
        <w:right w:val="none" w:sz="0" w:space="0" w:color="auto"/>
      </w:divBdr>
    </w:div>
    <w:div w:id="964312712">
      <w:bodyDiv w:val="1"/>
      <w:marLeft w:val="0"/>
      <w:marRight w:val="0"/>
      <w:marTop w:val="0"/>
      <w:marBottom w:val="0"/>
      <w:divBdr>
        <w:top w:val="none" w:sz="0" w:space="0" w:color="auto"/>
        <w:left w:val="none" w:sz="0" w:space="0" w:color="auto"/>
        <w:bottom w:val="none" w:sz="0" w:space="0" w:color="auto"/>
        <w:right w:val="none" w:sz="0" w:space="0" w:color="auto"/>
      </w:divBdr>
    </w:div>
    <w:div w:id="1689981916">
      <w:bodyDiv w:val="1"/>
      <w:marLeft w:val="0"/>
      <w:marRight w:val="0"/>
      <w:marTop w:val="0"/>
      <w:marBottom w:val="0"/>
      <w:divBdr>
        <w:top w:val="none" w:sz="0" w:space="0" w:color="auto"/>
        <w:left w:val="none" w:sz="0" w:space="0" w:color="auto"/>
        <w:bottom w:val="none" w:sz="0" w:space="0" w:color="auto"/>
        <w:right w:val="none" w:sz="0" w:space="0" w:color="auto"/>
      </w:divBdr>
    </w:div>
    <w:div w:id="1819297353">
      <w:bodyDiv w:val="1"/>
      <w:marLeft w:val="0"/>
      <w:marRight w:val="0"/>
      <w:marTop w:val="0"/>
      <w:marBottom w:val="0"/>
      <w:divBdr>
        <w:top w:val="none" w:sz="0" w:space="0" w:color="auto"/>
        <w:left w:val="none" w:sz="0" w:space="0" w:color="auto"/>
        <w:bottom w:val="none" w:sz="0" w:space="0" w:color="auto"/>
        <w:right w:val="none" w:sz="0" w:space="0" w:color="auto"/>
      </w:divBdr>
    </w:div>
    <w:div w:id="1930119844">
      <w:bodyDiv w:val="1"/>
      <w:marLeft w:val="0"/>
      <w:marRight w:val="0"/>
      <w:marTop w:val="0"/>
      <w:marBottom w:val="0"/>
      <w:divBdr>
        <w:top w:val="none" w:sz="0" w:space="0" w:color="auto"/>
        <w:left w:val="none" w:sz="0" w:space="0" w:color="auto"/>
        <w:bottom w:val="none" w:sz="0" w:space="0" w:color="auto"/>
        <w:right w:val="none" w:sz="0" w:space="0" w:color="auto"/>
      </w:divBdr>
    </w:div>
    <w:div w:id="20126784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B9B686-30C2-4B46-A664-D0B483D18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2342</TotalTime>
  <Pages>37</Pages>
  <Words>7020</Words>
  <Characters>40014</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Rufus Maychild</dc:creator>
  <cp:keywords/>
  <dc:description/>
  <cp:lastModifiedBy>Rufus Maychild</cp:lastModifiedBy>
  <cp:revision>7</cp:revision>
  <cp:lastPrinted>2025-01-05T15:38:00Z</cp:lastPrinted>
  <dcterms:created xsi:type="dcterms:W3CDTF">2025-01-06T14:48:00Z</dcterms:created>
  <dcterms:modified xsi:type="dcterms:W3CDTF">2025-01-09T10:51:00Z</dcterms:modified>
</cp:coreProperties>
</file>