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3085C" w14:textId="77777777" w:rsidR="00EB5625" w:rsidRPr="00C03A91" w:rsidRDefault="00EB5625" w:rsidP="00EB5625">
      <w:pPr>
        <w:rPr>
          <w:rFonts w:cs="Arial"/>
          <w:szCs w:val="24"/>
        </w:rPr>
      </w:pPr>
      <w:r w:rsidRPr="00C03A91">
        <w:rPr>
          <w:rFonts w:cs="Arial"/>
          <w:noProof/>
          <w:szCs w:val="24"/>
        </w:rPr>
        <w:drawing>
          <wp:anchor distT="0" distB="0" distL="114300" distR="114300" simplePos="0" relativeHeight="251659264" behindDoc="0" locked="0" layoutInCell="1" allowOverlap="1" wp14:anchorId="73895B36" wp14:editId="777D1881">
            <wp:simplePos x="0" y="0"/>
            <wp:positionH relativeFrom="margin">
              <wp:align>left</wp:align>
            </wp:positionH>
            <wp:positionV relativeFrom="paragraph">
              <wp:posOffset>15240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434AA81" w14:textId="77777777" w:rsidR="00EB5625" w:rsidRPr="00C03A91" w:rsidRDefault="00EB5625" w:rsidP="00EB5625">
      <w:pPr>
        <w:rPr>
          <w:rFonts w:cs="Arial"/>
          <w:szCs w:val="24"/>
        </w:rPr>
      </w:pPr>
    </w:p>
    <w:p w14:paraId="037E0516" w14:textId="77777777" w:rsidR="00EB5625" w:rsidRDefault="00EB5625" w:rsidP="00EB5625">
      <w:pPr>
        <w:tabs>
          <w:tab w:val="left" w:pos="6540"/>
        </w:tabs>
        <w:rPr>
          <w:rFonts w:cs="Arial"/>
          <w:b/>
          <w:bCs/>
          <w:sz w:val="28"/>
          <w:szCs w:val="28"/>
          <w:lang w:val="nl-NL"/>
        </w:rPr>
      </w:pPr>
    </w:p>
    <w:p w14:paraId="1495D7E4" w14:textId="77777777" w:rsidR="00EB5625" w:rsidRPr="00076AC0" w:rsidRDefault="00EB5625" w:rsidP="00EB5625">
      <w:pPr>
        <w:tabs>
          <w:tab w:val="left" w:pos="6540"/>
        </w:tabs>
        <w:rPr>
          <w:rFonts w:cs="Arial"/>
          <w:sz w:val="28"/>
          <w:szCs w:val="28"/>
          <w:lang w:val="nl-NL"/>
        </w:rPr>
      </w:pPr>
      <w:r w:rsidRPr="00076AC0">
        <w:rPr>
          <w:rFonts w:cs="Arial"/>
          <w:b/>
          <w:bCs/>
          <w:sz w:val="28"/>
          <w:szCs w:val="28"/>
          <w:lang w:val="nl-NL"/>
        </w:rPr>
        <w:t xml:space="preserve">Student </w:t>
      </w:r>
      <w:r>
        <w:rPr>
          <w:rFonts w:cs="Arial"/>
          <w:b/>
          <w:bCs/>
          <w:sz w:val="28"/>
          <w:szCs w:val="28"/>
          <w:lang w:val="nl-NL"/>
        </w:rPr>
        <w:t>N</w:t>
      </w:r>
      <w:r w:rsidRPr="00076AC0">
        <w:rPr>
          <w:rFonts w:cs="Arial"/>
          <w:b/>
          <w:bCs/>
          <w:sz w:val="28"/>
          <w:szCs w:val="28"/>
          <w:lang w:val="nl-NL"/>
        </w:rPr>
        <w:t>ame</w:t>
      </w:r>
      <w:r w:rsidRPr="00076AC0">
        <w:rPr>
          <w:rFonts w:cs="Arial"/>
          <w:sz w:val="28"/>
          <w:szCs w:val="28"/>
          <w:lang w:val="nl-NL"/>
        </w:rPr>
        <w:t>:</w:t>
      </w:r>
      <w:r>
        <w:rPr>
          <w:rFonts w:cs="Arial"/>
          <w:sz w:val="28"/>
          <w:szCs w:val="28"/>
          <w:lang w:val="nl-NL"/>
        </w:rPr>
        <w:t xml:space="preserve"> Francis Egbeonu</w:t>
      </w:r>
    </w:p>
    <w:p w14:paraId="5387F076" w14:textId="1B7A23CA" w:rsidR="00EB5625" w:rsidRPr="00076AC0" w:rsidRDefault="00EB5625" w:rsidP="00EB5625">
      <w:pPr>
        <w:tabs>
          <w:tab w:val="left" w:pos="6540"/>
        </w:tabs>
        <w:rPr>
          <w:rFonts w:cs="Arial"/>
          <w:sz w:val="28"/>
          <w:szCs w:val="28"/>
          <w:lang w:val="nl-NL"/>
        </w:rPr>
      </w:pPr>
      <w:r w:rsidRPr="00076AC0">
        <w:rPr>
          <w:rFonts w:cs="Arial"/>
          <w:b/>
          <w:bCs/>
          <w:sz w:val="28"/>
          <w:szCs w:val="28"/>
          <w:lang w:val="nl-NL"/>
        </w:rPr>
        <w:t>Student ID</w:t>
      </w:r>
      <w:r w:rsidRPr="00076AC0">
        <w:rPr>
          <w:rFonts w:cs="Arial"/>
          <w:sz w:val="28"/>
          <w:szCs w:val="28"/>
          <w:lang w:val="nl-NL"/>
        </w:rPr>
        <w:t>:</w:t>
      </w:r>
      <w:r>
        <w:rPr>
          <w:rFonts w:cs="Arial"/>
          <w:sz w:val="28"/>
          <w:szCs w:val="28"/>
          <w:lang w:val="nl-NL"/>
        </w:rPr>
        <w:t xml:space="preserve"> 2438118</w:t>
      </w:r>
    </w:p>
    <w:p w14:paraId="2120C645" w14:textId="77777777" w:rsidR="00EB5625" w:rsidRPr="00076AC0" w:rsidRDefault="00EB5625" w:rsidP="00EB5625">
      <w:pPr>
        <w:tabs>
          <w:tab w:val="left" w:pos="6540"/>
        </w:tabs>
        <w:rPr>
          <w:rFonts w:cs="Arial"/>
          <w:sz w:val="28"/>
          <w:szCs w:val="28"/>
          <w:lang w:val="nl-NL"/>
        </w:rPr>
      </w:pPr>
      <w:r w:rsidRPr="00076AC0">
        <w:rPr>
          <w:rFonts w:cs="Arial"/>
          <w:b/>
          <w:bCs/>
          <w:sz w:val="28"/>
          <w:szCs w:val="28"/>
          <w:lang w:val="nl-NL"/>
        </w:rPr>
        <w:t xml:space="preserve">Module </w:t>
      </w:r>
      <w:r>
        <w:rPr>
          <w:rFonts w:cs="Arial"/>
          <w:b/>
          <w:bCs/>
          <w:sz w:val="28"/>
          <w:szCs w:val="28"/>
          <w:lang w:val="nl-NL"/>
        </w:rPr>
        <w:t>N</w:t>
      </w:r>
      <w:r w:rsidRPr="00076AC0">
        <w:rPr>
          <w:rFonts w:cs="Arial"/>
          <w:b/>
          <w:bCs/>
          <w:sz w:val="28"/>
          <w:szCs w:val="28"/>
          <w:lang w:val="nl-NL"/>
        </w:rPr>
        <w:t>ame</w:t>
      </w:r>
      <w:r w:rsidRPr="00076AC0">
        <w:rPr>
          <w:rFonts w:cs="Arial"/>
          <w:sz w:val="28"/>
          <w:szCs w:val="28"/>
          <w:lang w:val="nl-NL"/>
        </w:rPr>
        <w:t xml:space="preserve">: </w:t>
      </w:r>
      <w:r w:rsidRPr="00643B19">
        <w:rPr>
          <w:rFonts w:cs="Arial"/>
          <w:sz w:val="28"/>
          <w:szCs w:val="28"/>
          <w:lang w:val="nl-NL"/>
        </w:rPr>
        <w:t>Introduction to Physiology</w:t>
      </w:r>
    </w:p>
    <w:p w14:paraId="01631206" w14:textId="77777777" w:rsidR="00EB5625" w:rsidRPr="00C03A91" w:rsidRDefault="00EB5625" w:rsidP="00EB5625">
      <w:pPr>
        <w:tabs>
          <w:tab w:val="left" w:pos="6540"/>
        </w:tabs>
        <w:rPr>
          <w:rFonts w:cs="Arial"/>
          <w:sz w:val="28"/>
          <w:szCs w:val="28"/>
        </w:rPr>
      </w:pPr>
      <w:r w:rsidRPr="00C03A91">
        <w:rPr>
          <w:rFonts w:cs="Arial"/>
          <w:b/>
          <w:bCs/>
          <w:sz w:val="28"/>
          <w:szCs w:val="28"/>
        </w:rPr>
        <w:t xml:space="preserve">Module </w:t>
      </w:r>
      <w:r>
        <w:rPr>
          <w:rFonts w:cs="Arial"/>
          <w:b/>
          <w:bCs/>
          <w:sz w:val="28"/>
          <w:szCs w:val="28"/>
        </w:rPr>
        <w:t>C</w:t>
      </w:r>
      <w:r w:rsidRPr="00C03A91">
        <w:rPr>
          <w:rFonts w:cs="Arial"/>
          <w:b/>
          <w:bCs/>
          <w:sz w:val="28"/>
          <w:szCs w:val="28"/>
        </w:rPr>
        <w:t>ode</w:t>
      </w:r>
      <w:r w:rsidRPr="00C03A91">
        <w:rPr>
          <w:rFonts w:cs="Arial"/>
          <w:sz w:val="28"/>
          <w:szCs w:val="28"/>
        </w:rPr>
        <w:t>:</w:t>
      </w:r>
      <w:r>
        <w:rPr>
          <w:rFonts w:cs="Arial"/>
          <w:sz w:val="28"/>
          <w:szCs w:val="28"/>
        </w:rPr>
        <w:t xml:space="preserve"> </w:t>
      </w:r>
      <w:r w:rsidRPr="00EE1706">
        <w:rPr>
          <w:rFonts w:cs="Arial"/>
          <w:sz w:val="28"/>
          <w:szCs w:val="28"/>
        </w:rPr>
        <w:t>BMHP5023</w:t>
      </w:r>
    </w:p>
    <w:p w14:paraId="50B71232" w14:textId="21E74A43" w:rsidR="00EB5625" w:rsidRPr="000E05DE" w:rsidRDefault="00EB5625" w:rsidP="00EB5625">
      <w:pPr>
        <w:tabs>
          <w:tab w:val="left" w:pos="6540"/>
        </w:tabs>
        <w:rPr>
          <w:rFonts w:cs="Arial"/>
          <w:sz w:val="28"/>
          <w:szCs w:val="28"/>
        </w:rPr>
      </w:pPr>
      <w:r w:rsidRPr="00C03A91">
        <w:rPr>
          <w:rFonts w:cs="Arial"/>
          <w:b/>
          <w:bCs/>
          <w:sz w:val="28"/>
          <w:szCs w:val="28"/>
        </w:rPr>
        <w:t xml:space="preserve">Lecturer </w:t>
      </w:r>
      <w:r>
        <w:rPr>
          <w:rFonts w:cs="Arial"/>
          <w:b/>
          <w:bCs/>
          <w:sz w:val="28"/>
          <w:szCs w:val="28"/>
        </w:rPr>
        <w:t>N</w:t>
      </w:r>
      <w:r w:rsidRPr="00C03A91">
        <w:rPr>
          <w:rFonts w:cs="Arial"/>
          <w:b/>
          <w:bCs/>
          <w:sz w:val="28"/>
          <w:szCs w:val="28"/>
        </w:rPr>
        <w:t>ame</w:t>
      </w:r>
      <w:r w:rsidRPr="00C03A91">
        <w:rPr>
          <w:rFonts w:cs="Arial"/>
          <w:sz w:val="28"/>
          <w:szCs w:val="28"/>
        </w:rPr>
        <w:t>:</w:t>
      </w:r>
      <w:r w:rsidR="0081058B">
        <w:rPr>
          <w:rFonts w:cs="Arial"/>
          <w:sz w:val="28"/>
          <w:szCs w:val="28"/>
        </w:rPr>
        <w:t xml:space="preserve"> Dr </w:t>
      </w:r>
      <w:r w:rsidR="0081058B" w:rsidRPr="0081058B">
        <w:rPr>
          <w:rFonts w:cs="Arial"/>
          <w:sz w:val="28"/>
          <w:szCs w:val="28"/>
        </w:rPr>
        <w:t>Shaila Hussain</w:t>
      </w:r>
    </w:p>
    <w:p w14:paraId="1A41F3D7" w14:textId="35B0757C" w:rsidR="00EB5625" w:rsidRPr="006E2216" w:rsidRDefault="00EB5625" w:rsidP="00EB5625">
      <w:pPr>
        <w:tabs>
          <w:tab w:val="left" w:pos="6540"/>
        </w:tabs>
        <w:rPr>
          <w:rFonts w:cs="Arial"/>
          <w:sz w:val="28"/>
          <w:szCs w:val="28"/>
        </w:rPr>
      </w:pPr>
      <w:r w:rsidRPr="00C03A91">
        <w:rPr>
          <w:rFonts w:cs="Arial"/>
          <w:b/>
          <w:bCs/>
          <w:sz w:val="28"/>
          <w:szCs w:val="28"/>
        </w:rPr>
        <w:t>Assessment:</w:t>
      </w:r>
      <w:r>
        <w:rPr>
          <w:rFonts w:cs="Arial"/>
          <w:b/>
          <w:bCs/>
          <w:sz w:val="28"/>
          <w:szCs w:val="28"/>
        </w:rPr>
        <w:t xml:space="preserve"> </w:t>
      </w:r>
      <w:r w:rsidRPr="006E2216">
        <w:rPr>
          <w:rFonts w:cs="Arial"/>
          <w:sz w:val="28"/>
          <w:szCs w:val="28"/>
        </w:rPr>
        <w:t xml:space="preserve"> 1</w:t>
      </w:r>
    </w:p>
    <w:p w14:paraId="6F343EB8" w14:textId="05320E8A" w:rsidR="00EB5625" w:rsidRDefault="00EB5625" w:rsidP="00EB5625">
      <w:pPr>
        <w:tabs>
          <w:tab w:val="left" w:pos="6540"/>
        </w:tabs>
        <w:rPr>
          <w:rFonts w:cs="Arial"/>
          <w:sz w:val="28"/>
          <w:szCs w:val="28"/>
        </w:rPr>
      </w:pPr>
    </w:p>
    <w:p w14:paraId="4256FADA" w14:textId="77777777" w:rsidR="00EB5625" w:rsidRDefault="00EB5625" w:rsidP="00EB5625">
      <w:pPr>
        <w:spacing w:before="0" w:beforeAutospacing="0" w:after="160" w:afterAutospacing="0" w:line="259" w:lineRule="auto"/>
        <w:rPr>
          <w:rFonts w:cs="Arial"/>
          <w:sz w:val="28"/>
          <w:szCs w:val="28"/>
        </w:rPr>
      </w:pPr>
      <w:r>
        <w:rPr>
          <w:rFonts w:cs="Arial"/>
          <w:sz w:val="28"/>
          <w:szCs w:val="28"/>
        </w:rPr>
        <w:br w:type="page"/>
      </w:r>
    </w:p>
    <w:bookmarkStart w:id="0" w:name="_Toc235117514" w:displacedByCustomXml="next"/>
    <w:sdt>
      <w:sdtPr>
        <w:rPr>
          <w:rFonts w:ascii="Arial" w:eastAsiaTheme="minorHAnsi" w:hAnsi="Arial" w:cstheme="minorBidi"/>
          <w:b/>
          <w:color w:val="auto"/>
          <w:sz w:val="22"/>
          <w:szCs w:val="22"/>
        </w:rPr>
        <w:id w:val="-825441054"/>
        <w:docPartObj>
          <w:docPartGallery w:val="Table of Contents"/>
          <w:docPartUnique/>
        </w:docPartObj>
      </w:sdtPr>
      <w:sdtEndPr>
        <w:rPr>
          <w:b w:val="0"/>
          <w:bCs/>
          <w:noProof/>
        </w:rPr>
      </w:sdtEndPr>
      <w:sdtContent>
        <w:p w14:paraId="1DE24727" w14:textId="77777777" w:rsidR="00EB5625" w:rsidRDefault="00EB5625" w:rsidP="00EB5625">
          <w:pPr>
            <w:pStyle w:val="Heading1"/>
          </w:pPr>
          <w:r>
            <w:t>Table of Contents</w:t>
          </w:r>
          <w:bookmarkEnd w:id="0"/>
        </w:p>
        <w:p w14:paraId="0CD0615D" w14:textId="77777777" w:rsidR="00EB5625" w:rsidRDefault="00EB5625" w:rsidP="00EB5625">
          <w:pPr>
            <w:pStyle w:val="TOC1"/>
            <w:tabs>
              <w:tab w:val="right" w:leader="dot" w:pos="9016"/>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35117514" w:history="1">
            <w:r w:rsidRPr="001B5223">
              <w:rPr>
                <w:rStyle w:val="Hyperlink"/>
                <w:noProof/>
              </w:rPr>
              <w:t>Table of Contents</w:t>
            </w:r>
            <w:r>
              <w:rPr>
                <w:noProof/>
                <w:webHidden/>
              </w:rPr>
              <w:tab/>
            </w:r>
            <w:r>
              <w:rPr>
                <w:noProof/>
                <w:webHidden/>
              </w:rPr>
              <w:fldChar w:fldCharType="begin"/>
            </w:r>
            <w:r>
              <w:rPr>
                <w:noProof/>
                <w:webHidden/>
              </w:rPr>
              <w:instrText xml:space="preserve"> PAGEREF _Toc235117514 \h </w:instrText>
            </w:r>
            <w:r>
              <w:rPr>
                <w:noProof/>
                <w:webHidden/>
              </w:rPr>
            </w:r>
            <w:r>
              <w:rPr>
                <w:noProof/>
                <w:webHidden/>
              </w:rPr>
              <w:fldChar w:fldCharType="separate"/>
            </w:r>
            <w:r>
              <w:rPr>
                <w:noProof/>
                <w:webHidden/>
              </w:rPr>
              <w:t>2</w:t>
            </w:r>
            <w:r>
              <w:rPr>
                <w:noProof/>
                <w:webHidden/>
              </w:rPr>
              <w:fldChar w:fldCharType="end"/>
            </w:r>
          </w:hyperlink>
        </w:p>
        <w:p w14:paraId="3133D71F" w14:textId="77777777" w:rsidR="00EB5625" w:rsidRDefault="00EB5625" w:rsidP="00EB5625">
          <w:pPr>
            <w:pStyle w:val="TOC1"/>
            <w:tabs>
              <w:tab w:val="left" w:pos="480"/>
              <w:tab w:val="right" w:leader="dot" w:pos="9016"/>
            </w:tabs>
            <w:rPr>
              <w:rFonts w:asciiTheme="minorHAnsi" w:eastAsiaTheme="minorEastAsia" w:hAnsiTheme="minorHAnsi"/>
              <w:noProof/>
              <w:kern w:val="2"/>
              <w:sz w:val="24"/>
              <w:szCs w:val="24"/>
              <w:lang w:val="en-US"/>
              <w14:ligatures w14:val="standardContextual"/>
            </w:rPr>
          </w:pPr>
          <w:hyperlink w:anchor="_Toc235117515" w:history="1">
            <w:r w:rsidRPr="001B5223">
              <w:rPr>
                <w:rStyle w:val="Hyperlink"/>
                <w:noProof/>
              </w:rPr>
              <w:t>1</w:t>
            </w:r>
            <w:r>
              <w:rPr>
                <w:rFonts w:asciiTheme="minorHAnsi" w:eastAsiaTheme="minorEastAsia" w:hAnsiTheme="minorHAnsi"/>
                <w:noProof/>
                <w:kern w:val="2"/>
                <w:sz w:val="24"/>
                <w:szCs w:val="24"/>
                <w:lang w:val="en-US"/>
                <w14:ligatures w14:val="standardContextual"/>
              </w:rPr>
              <w:tab/>
            </w:r>
            <w:r w:rsidRPr="001B5223">
              <w:rPr>
                <w:rStyle w:val="Hyperlink"/>
                <w:noProof/>
              </w:rPr>
              <w:t>Introduction</w:t>
            </w:r>
            <w:r>
              <w:rPr>
                <w:noProof/>
                <w:webHidden/>
              </w:rPr>
              <w:tab/>
            </w:r>
            <w:r>
              <w:rPr>
                <w:noProof/>
                <w:webHidden/>
              </w:rPr>
              <w:fldChar w:fldCharType="begin"/>
            </w:r>
            <w:r>
              <w:rPr>
                <w:noProof/>
                <w:webHidden/>
              </w:rPr>
              <w:instrText xml:space="preserve"> PAGEREF _Toc235117515 \h </w:instrText>
            </w:r>
            <w:r>
              <w:rPr>
                <w:noProof/>
                <w:webHidden/>
              </w:rPr>
            </w:r>
            <w:r>
              <w:rPr>
                <w:noProof/>
                <w:webHidden/>
              </w:rPr>
              <w:fldChar w:fldCharType="separate"/>
            </w:r>
            <w:r>
              <w:rPr>
                <w:noProof/>
                <w:webHidden/>
              </w:rPr>
              <w:t>3</w:t>
            </w:r>
            <w:r>
              <w:rPr>
                <w:noProof/>
                <w:webHidden/>
              </w:rPr>
              <w:fldChar w:fldCharType="end"/>
            </w:r>
          </w:hyperlink>
        </w:p>
        <w:p w14:paraId="2CD08BCA" w14:textId="77777777" w:rsidR="00EB5625" w:rsidRDefault="00EB5625" w:rsidP="00EB5625">
          <w:pPr>
            <w:pStyle w:val="TOC1"/>
            <w:tabs>
              <w:tab w:val="left" w:pos="480"/>
              <w:tab w:val="right" w:leader="dot" w:pos="9016"/>
            </w:tabs>
            <w:rPr>
              <w:rFonts w:asciiTheme="minorHAnsi" w:eastAsiaTheme="minorEastAsia" w:hAnsiTheme="minorHAnsi"/>
              <w:noProof/>
              <w:kern w:val="2"/>
              <w:sz w:val="24"/>
              <w:szCs w:val="24"/>
              <w:lang w:val="en-US"/>
              <w14:ligatures w14:val="standardContextual"/>
            </w:rPr>
          </w:pPr>
          <w:hyperlink w:anchor="_Toc235117516" w:history="1">
            <w:r w:rsidRPr="001B5223">
              <w:rPr>
                <w:rStyle w:val="Hyperlink"/>
                <w:noProof/>
              </w:rPr>
              <w:t>2</w:t>
            </w:r>
            <w:r>
              <w:rPr>
                <w:rFonts w:asciiTheme="minorHAnsi" w:eastAsiaTheme="minorEastAsia" w:hAnsiTheme="minorHAnsi"/>
                <w:noProof/>
                <w:kern w:val="2"/>
                <w:sz w:val="24"/>
                <w:szCs w:val="24"/>
                <w:lang w:val="en-US"/>
                <w14:ligatures w14:val="standardContextual"/>
              </w:rPr>
              <w:tab/>
            </w:r>
            <w:r w:rsidRPr="001B5223">
              <w:rPr>
                <w:rStyle w:val="Hyperlink"/>
                <w:noProof/>
              </w:rPr>
              <w:t>Blood Sugar Regulation</w:t>
            </w:r>
            <w:r>
              <w:rPr>
                <w:noProof/>
                <w:webHidden/>
              </w:rPr>
              <w:tab/>
            </w:r>
            <w:r>
              <w:rPr>
                <w:noProof/>
                <w:webHidden/>
              </w:rPr>
              <w:fldChar w:fldCharType="begin"/>
            </w:r>
            <w:r>
              <w:rPr>
                <w:noProof/>
                <w:webHidden/>
              </w:rPr>
              <w:instrText xml:space="preserve"> PAGEREF _Toc235117516 \h </w:instrText>
            </w:r>
            <w:r>
              <w:rPr>
                <w:noProof/>
                <w:webHidden/>
              </w:rPr>
            </w:r>
            <w:r>
              <w:rPr>
                <w:noProof/>
                <w:webHidden/>
              </w:rPr>
              <w:fldChar w:fldCharType="separate"/>
            </w:r>
            <w:r>
              <w:rPr>
                <w:noProof/>
                <w:webHidden/>
              </w:rPr>
              <w:t>4</w:t>
            </w:r>
            <w:r>
              <w:rPr>
                <w:noProof/>
                <w:webHidden/>
              </w:rPr>
              <w:fldChar w:fldCharType="end"/>
            </w:r>
          </w:hyperlink>
        </w:p>
        <w:p w14:paraId="578FA1D1" w14:textId="77777777" w:rsidR="00EB5625" w:rsidRDefault="00EB5625" w:rsidP="00EB5625">
          <w:pPr>
            <w:pStyle w:val="TOC1"/>
            <w:tabs>
              <w:tab w:val="left" w:pos="480"/>
              <w:tab w:val="right" w:leader="dot" w:pos="9016"/>
            </w:tabs>
            <w:rPr>
              <w:rFonts w:asciiTheme="minorHAnsi" w:eastAsiaTheme="minorEastAsia" w:hAnsiTheme="minorHAnsi"/>
              <w:noProof/>
              <w:kern w:val="2"/>
              <w:sz w:val="24"/>
              <w:szCs w:val="24"/>
              <w:lang w:val="en-US"/>
              <w14:ligatures w14:val="standardContextual"/>
            </w:rPr>
          </w:pPr>
          <w:hyperlink w:anchor="_Toc235117517" w:history="1">
            <w:r w:rsidRPr="001B5223">
              <w:rPr>
                <w:rStyle w:val="Hyperlink"/>
                <w:noProof/>
              </w:rPr>
              <w:t>3</w:t>
            </w:r>
            <w:r>
              <w:rPr>
                <w:rFonts w:asciiTheme="minorHAnsi" w:eastAsiaTheme="minorEastAsia" w:hAnsiTheme="minorHAnsi"/>
                <w:noProof/>
                <w:kern w:val="2"/>
                <w:sz w:val="24"/>
                <w:szCs w:val="24"/>
                <w:lang w:val="en-US"/>
                <w14:ligatures w14:val="standardContextual"/>
              </w:rPr>
              <w:tab/>
            </w:r>
            <w:r w:rsidRPr="001B5223">
              <w:rPr>
                <w:rStyle w:val="Hyperlink"/>
                <w:noProof/>
              </w:rPr>
              <w:t>Oxygen and Glucose in Cellular Metabolism</w:t>
            </w:r>
            <w:r>
              <w:rPr>
                <w:noProof/>
                <w:webHidden/>
              </w:rPr>
              <w:tab/>
            </w:r>
            <w:r>
              <w:rPr>
                <w:noProof/>
                <w:webHidden/>
              </w:rPr>
              <w:fldChar w:fldCharType="begin"/>
            </w:r>
            <w:r>
              <w:rPr>
                <w:noProof/>
                <w:webHidden/>
              </w:rPr>
              <w:instrText xml:space="preserve"> PAGEREF _Toc235117517 \h </w:instrText>
            </w:r>
            <w:r>
              <w:rPr>
                <w:noProof/>
                <w:webHidden/>
              </w:rPr>
            </w:r>
            <w:r>
              <w:rPr>
                <w:noProof/>
                <w:webHidden/>
              </w:rPr>
              <w:fldChar w:fldCharType="separate"/>
            </w:r>
            <w:r>
              <w:rPr>
                <w:noProof/>
                <w:webHidden/>
              </w:rPr>
              <w:t>5</w:t>
            </w:r>
            <w:r>
              <w:rPr>
                <w:noProof/>
                <w:webHidden/>
              </w:rPr>
              <w:fldChar w:fldCharType="end"/>
            </w:r>
          </w:hyperlink>
        </w:p>
        <w:p w14:paraId="3C3FBC2C" w14:textId="77777777" w:rsidR="00EB5625" w:rsidRDefault="00EB5625" w:rsidP="00EB5625">
          <w:pPr>
            <w:pStyle w:val="TOC1"/>
            <w:tabs>
              <w:tab w:val="left" w:pos="480"/>
              <w:tab w:val="right" w:leader="dot" w:pos="9016"/>
            </w:tabs>
            <w:rPr>
              <w:rFonts w:asciiTheme="minorHAnsi" w:eastAsiaTheme="minorEastAsia" w:hAnsiTheme="minorHAnsi"/>
              <w:noProof/>
              <w:kern w:val="2"/>
              <w:sz w:val="24"/>
              <w:szCs w:val="24"/>
              <w:lang w:val="en-US"/>
              <w14:ligatures w14:val="standardContextual"/>
            </w:rPr>
          </w:pPr>
          <w:hyperlink w:anchor="_Toc235117518" w:history="1">
            <w:r w:rsidRPr="001B5223">
              <w:rPr>
                <w:rStyle w:val="Hyperlink"/>
                <w:noProof/>
              </w:rPr>
              <w:t>4</w:t>
            </w:r>
            <w:r>
              <w:rPr>
                <w:rFonts w:asciiTheme="minorHAnsi" w:eastAsiaTheme="minorEastAsia" w:hAnsiTheme="minorHAnsi"/>
                <w:noProof/>
                <w:kern w:val="2"/>
                <w:sz w:val="24"/>
                <w:szCs w:val="24"/>
                <w:lang w:val="en-US"/>
                <w14:ligatures w14:val="standardContextual"/>
              </w:rPr>
              <w:tab/>
            </w:r>
            <w:r w:rsidRPr="001B5223">
              <w:rPr>
                <w:rStyle w:val="Hyperlink"/>
                <w:noProof/>
              </w:rPr>
              <w:t>Recording and Tracking Blood Sugar Levels</w:t>
            </w:r>
            <w:r>
              <w:rPr>
                <w:noProof/>
                <w:webHidden/>
              </w:rPr>
              <w:tab/>
            </w:r>
            <w:r>
              <w:rPr>
                <w:noProof/>
                <w:webHidden/>
              </w:rPr>
              <w:fldChar w:fldCharType="begin"/>
            </w:r>
            <w:r>
              <w:rPr>
                <w:noProof/>
                <w:webHidden/>
              </w:rPr>
              <w:instrText xml:space="preserve"> PAGEREF _Toc235117518 \h </w:instrText>
            </w:r>
            <w:r>
              <w:rPr>
                <w:noProof/>
                <w:webHidden/>
              </w:rPr>
            </w:r>
            <w:r>
              <w:rPr>
                <w:noProof/>
                <w:webHidden/>
              </w:rPr>
              <w:fldChar w:fldCharType="separate"/>
            </w:r>
            <w:r>
              <w:rPr>
                <w:noProof/>
                <w:webHidden/>
              </w:rPr>
              <w:t>5</w:t>
            </w:r>
            <w:r>
              <w:rPr>
                <w:noProof/>
                <w:webHidden/>
              </w:rPr>
              <w:fldChar w:fldCharType="end"/>
            </w:r>
          </w:hyperlink>
        </w:p>
        <w:p w14:paraId="7422B760" w14:textId="77777777" w:rsidR="00EB5625" w:rsidRDefault="00EB5625" w:rsidP="00EB5625">
          <w:pPr>
            <w:pStyle w:val="TOC1"/>
            <w:tabs>
              <w:tab w:val="left" w:pos="480"/>
              <w:tab w:val="right" w:leader="dot" w:pos="9016"/>
            </w:tabs>
            <w:rPr>
              <w:rFonts w:asciiTheme="minorHAnsi" w:eastAsiaTheme="minorEastAsia" w:hAnsiTheme="minorHAnsi"/>
              <w:noProof/>
              <w:kern w:val="2"/>
              <w:sz w:val="24"/>
              <w:szCs w:val="24"/>
              <w:lang w:val="en-US"/>
              <w14:ligatures w14:val="standardContextual"/>
            </w:rPr>
          </w:pPr>
          <w:hyperlink w:anchor="_Toc235117519" w:history="1">
            <w:r w:rsidRPr="001B5223">
              <w:rPr>
                <w:rStyle w:val="Hyperlink"/>
                <w:noProof/>
              </w:rPr>
              <w:t>5</w:t>
            </w:r>
            <w:r>
              <w:rPr>
                <w:rFonts w:asciiTheme="minorHAnsi" w:eastAsiaTheme="minorEastAsia" w:hAnsiTheme="minorHAnsi"/>
                <w:noProof/>
                <w:kern w:val="2"/>
                <w:sz w:val="24"/>
                <w:szCs w:val="24"/>
                <w:lang w:val="en-US"/>
                <w14:ligatures w14:val="standardContextual"/>
              </w:rPr>
              <w:tab/>
            </w:r>
            <w:r w:rsidRPr="001B5223">
              <w:rPr>
                <w:rStyle w:val="Hyperlink"/>
                <w:noProof/>
              </w:rPr>
              <w:t>Evidence-Based Lifestyle Recommendations</w:t>
            </w:r>
            <w:r>
              <w:rPr>
                <w:noProof/>
                <w:webHidden/>
              </w:rPr>
              <w:tab/>
            </w:r>
            <w:r>
              <w:rPr>
                <w:noProof/>
                <w:webHidden/>
              </w:rPr>
              <w:fldChar w:fldCharType="begin"/>
            </w:r>
            <w:r>
              <w:rPr>
                <w:noProof/>
                <w:webHidden/>
              </w:rPr>
              <w:instrText xml:space="preserve"> PAGEREF _Toc235117519 \h </w:instrText>
            </w:r>
            <w:r>
              <w:rPr>
                <w:noProof/>
                <w:webHidden/>
              </w:rPr>
            </w:r>
            <w:r>
              <w:rPr>
                <w:noProof/>
                <w:webHidden/>
              </w:rPr>
              <w:fldChar w:fldCharType="separate"/>
            </w:r>
            <w:r>
              <w:rPr>
                <w:noProof/>
                <w:webHidden/>
              </w:rPr>
              <w:t>6</w:t>
            </w:r>
            <w:r>
              <w:rPr>
                <w:noProof/>
                <w:webHidden/>
              </w:rPr>
              <w:fldChar w:fldCharType="end"/>
            </w:r>
          </w:hyperlink>
        </w:p>
        <w:p w14:paraId="72E1E472" w14:textId="77777777" w:rsidR="00EB5625" w:rsidRDefault="00EB5625" w:rsidP="00EB5625">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5117520" w:history="1">
            <w:r w:rsidRPr="001B5223">
              <w:rPr>
                <w:rStyle w:val="Hyperlink"/>
                <w:noProof/>
              </w:rPr>
              <w:t>5.1</w:t>
            </w:r>
            <w:r>
              <w:rPr>
                <w:rFonts w:asciiTheme="minorHAnsi" w:eastAsiaTheme="minorEastAsia" w:hAnsiTheme="minorHAnsi"/>
                <w:noProof/>
                <w:kern w:val="2"/>
                <w:sz w:val="24"/>
                <w:szCs w:val="24"/>
                <w:lang w:val="en-US"/>
                <w14:ligatures w14:val="standardContextual"/>
              </w:rPr>
              <w:tab/>
            </w:r>
            <w:r w:rsidRPr="001B5223">
              <w:rPr>
                <w:rStyle w:val="Hyperlink"/>
                <w:noProof/>
              </w:rPr>
              <w:t>Diet and Blood Sugar Regulation</w:t>
            </w:r>
            <w:r>
              <w:rPr>
                <w:noProof/>
                <w:webHidden/>
              </w:rPr>
              <w:tab/>
            </w:r>
            <w:r>
              <w:rPr>
                <w:noProof/>
                <w:webHidden/>
              </w:rPr>
              <w:fldChar w:fldCharType="begin"/>
            </w:r>
            <w:r>
              <w:rPr>
                <w:noProof/>
                <w:webHidden/>
              </w:rPr>
              <w:instrText xml:space="preserve"> PAGEREF _Toc235117520 \h </w:instrText>
            </w:r>
            <w:r>
              <w:rPr>
                <w:noProof/>
                <w:webHidden/>
              </w:rPr>
            </w:r>
            <w:r>
              <w:rPr>
                <w:noProof/>
                <w:webHidden/>
              </w:rPr>
              <w:fldChar w:fldCharType="separate"/>
            </w:r>
            <w:r>
              <w:rPr>
                <w:noProof/>
                <w:webHidden/>
              </w:rPr>
              <w:t>7</w:t>
            </w:r>
            <w:r>
              <w:rPr>
                <w:noProof/>
                <w:webHidden/>
              </w:rPr>
              <w:fldChar w:fldCharType="end"/>
            </w:r>
          </w:hyperlink>
        </w:p>
        <w:p w14:paraId="5F05CBF1" w14:textId="77777777" w:rsidR="00EB5625" w:rsidRDefault="00EB5625" w:rsidP="00EB5625">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5117521" w:history="1">
            <w:r w:rsidRPr="001B5223">
              <w:rPr>
                <w:rStyle w:val="Hyperlink"/>
                <w:noProof/>
              </w:rPr>
              <w:t>5.2</w:t>
            </w:r>
            <w:r>
              <w:rPr>
                <w:rFonts w:asciiTheme="minorHAnsi" w:eastAsiaTheme="minorEastAsia" w:hAnsiTheme="minorHAnsi"/>
                <w:noProof/>
                <w:kern w:val="2"/>
                <w:sz w:val="24"/>
                <w:szCs w:val="24"/>
                <w:lang w:val="en-US"/>
                <w14:ligatures w14:val="standardContextual"/>
              </w:rPr>
              <w:tab/>
            </w:r>
            <w:r w:rsidRPr="001B5223">
              <w:rPr>
                <w:rStyle w:val="Hyperlink"/>
                <w:noProof/>
              </w:rPr>
              <w:t>Physical Activity and Insulin Sensitivity</w:t>
            </w:r>
            <w:r>
              <w:rPr>
                <w:noProof/>
                <w:webHidden/>
              </w:rPr>
              <w:tab/>
            </w:r>
            <w:r>
              <w:rPr>
                <w:noProof/>
                <w:webHidden/>
              </w:rPr>
              <w:fldChar w:fldCharType="begin"/>
            </w:r>
            <w:r>
              <w:rPr>
                <w:noProof/>
                <w:webHidden/>
              </w:rPr>
              <w:instrText xml:space="preserve"> PAGEREF _Toc235117521 \h </w:instrText>
            </w:r>
            <w:r>
              <w:rPr>
                <w:noProof/>
                <w:webHidden/>
              </w:rPr>
            </w:r>
            <w:r>
              <w:rPr>
                <w:noProof/>
                <w:webHidden/>
              </w:rPr>
              <w:fldChar w:fldCharType="separate"/>
            </w:r>
            <w:r>
              <w:rPr>
                <w:noProof/>
                <w:webHidden/>
              </w:rPr>
              <w:t>7</w:t>
            </w:r>
            <w:r>
              <w:rPr>
                <w:noProof/>
                <w:webHidden/>
              </w:rPr>
              <w:fldChar w:fldCharType="end"/>
            </w:r>
          </w:hyperlink>
        </w:p>
        <w:p w14:paraId="7C6DD75B" w14:textId="77777777" w:rsidR="00EB5625" w:rsidRDefault="00EB5625" w:rsidP="00EB5625">
          <w:pPr>
            <w:pStyle w:val="TOC2"/>
            <w:tabs>
              <w:tab w:val="left" w:pos="960"/>
              <w:tab w:val="right" w:leader="dot" w:pos="9016"/>
            </w:tabs>
            <w:rPr>
              <w:rFonts w:asciiTheme="minorHAnsi" w:eastAsiaTheme="minorEastAsia" w:hAnsiTheme="minorHAnsi"/>
              <w:noProof/>
              <w:kern w:val="2"/>
              <w:sz w:val="24"/>
              <w:szCs w:val="24"/>
              <w:lang w:val="en-US"/>
              <w14:ligatures w14:val="standardContextual"/>
            </w:rPr>
          </w:pPr>
          <w:hyperlink w:anchor="_Toc235117522" w:history="1">
            <w:r w:rsidRPr="001B5223">
              <w:rPr>
                <w:rStyle w:val="Hyperlink"/>
                <w:noProof/>
              </w:rPr>
              <w:t>5.3</w:t>
            </w:r>
            <w:r>
              <w:rPr>
                <w:rFonts w:asciiTheme="minorHAnsi" w:eastAsiaTheme="minorEastAsia" w:hAnsiTheme="minorHAnsi"/>
                <w:noProof/>
                <w:kern w:val="2"/>
                <w:sz w:val="24"/>
                <w:szCs w:val="24"/>
                <w:lang w:val="en-US"/>
                <w14:ligatures w14:val="standardContextual"/>
              </w:rPr>
              <w:tab/>
            </w:r>
            <w:r w:rsidRPr="001B5223">
              <w:rPr>
                <w:rStyle w:val="Hyperlink"/>
                <w:noProof/>
              </w:rPr>
              <w:t>Smoking and Diabetes Risk</w:t>
            </w:r>
            <w:r>
              <w:rPr>
                <w:noProof/>
                <w:webHidden/>
              </w:rPr>
              <w:tab/>
            </w:r>
            <w:r>
              <w:rPr>
                <w:noProof/>
                <w:webHidden/>
              </w:rPr>
              <w:fldChar w:fldCharType="begin"/>
            </w:r>
            <w:r>
              <w:rPr>
                <w:noProof/>
                <w:webHidden/>
              </w:rPr>
              <w:instrText xml:space="preserve"> PAGEREF _Toc235117522 \h </w:instrText>
            </w:r>
            <w:r>
              <w:rPr>
                <w:noProof/>
                <w:webHidden/>
              </w:rPr>
            </w:r>
            <w:r>
              <w:rPr>
                <w:noProof/>
                <w:webHidden/>
              </w:rPr>
              <w:fldChar w:fldCharType="separate"/>
            </w:r>
            <w:r>
              <w:rPr>
                <w:noProof/>
                <w:webHidden/>
              </w:rPr>
              <w:t>7</w:t>
            </w:r>
            <w:r>
              <w:rPr>
                <w:noProof/>
                <w:webHidden/>
              </w:rPr>
              <w:fldChar w:fldCharType="end"/>
            </w:r>
          </w:hyperlink>
        </w:p>
        <w:p w14:paraId="1CEBB319" w14:textId="77777777" w:rsidR="00EB5625" w:rsidRDefault="00EB5625" w:rsidP="00EB5625">
          <w:pPr>
            <w:pStyle w:val="TOC1"/>
            <w:tabs>
              <w:tab w:val="left" w:pos="480"/>
              <w:tab w:val="right" w:leader="dot" w:pos="9016"/>
            </w:tabs>
            <w:rPr>
              <w:rFonts w:asciiTheme="minorHAnsi" w:eastAsiaTheme="minorEastAsia" w:hAnsiTheme="minorHAnsi"/>
              <w:noProof/>
              <w:kern w:val="2"/>
              <w:sz w:val="24"/>
              <w:szCs w:val="24"/>
              <w:lang w:val="en-US"/>
              <w14:ligatures w14:val="standardContextual"/>
            </w:rPr>
          </w:pPr>
          <w:hyperlink w:anchor="_Toc235117523" w:history="1">
            <w:r w:rsidRPr="001B5223">
              <w:rPr>
                <w:rStyle w:val="Hyperlink"/>
                <w:noProof/>
              </w:rPr>
              <w:t>6</w:t>
            </w:r>
            <w:r>
              <w:rPr>
                <w:rFonts w:asciiTheme="minorHAnsi" w:eastAsiaTheme="minorEastAsia" w:hAnsiTheme="minorHAnsi"/>
                <w:noProof/>
                <w:kern w:val="2"/>
                <w:sz w:val="24"/>
                <w:szCs w:val="24"/>
                <w:lang w:val="en-US"/>
                <w14:ligatures w14:val="standardContextual"/>
              </w:rPr>
              <w:tab/>
            </w:r>
            <w:r w:rsidRPr="001B5223">
              <w:rPr>
                <w:rStyle w:val="Hyperlink"/>
                <w:noProof/>
              </w:rPr>
              <w:t>Conclusion</w:t>
            </w:r>
            <w:r>
              <w:rPr>
                <w:noProof/>
                <w:webHidden/>
              </w:rPr>
              <w:tab/>
            </w:r>
            <w:r>
              <w:rPr>
                <w:noProof/>
                <w:webHidden/>
              </w:rPr>
              <w:fldChar w:fldCharType="begin"/>
            </w:r>
            <w:r>
              <w:rPr>
                <w:noProof/>
                <w:webHidden/>
              </w:rPr>
              <w:instrText xml:space="preserve"> PAGEREF _Toc235117523 \h </w:instrText>
            </w:r>
            <w:r>
              <w:rPr>
                <w:noProof/>
                <w:webHidden/>
              </w:rPr>
            </w:r>
            <w:r>
              <w:rPr>
                <w:noProof/>
                <w:webHidden/>
              </w:rPr>
              <w:fldChar w:fldCharType="separate"/>
            </w:r>
            <w:r>
              <w:rPr>
                <w:noProof/>
                <w:webHidden/>
              </w:rPr>
              <w:t>8</w:t>
            </w:r>
            <w:r>
              <w:rPr>
                <w:noProof/>
                <w:webHidden/>
              </w:rPr>
              <w:fldChar w:fldCharType="end"/>
            </w:r>
          </w:hyperlink>
        </w:p>
        <w:p w14:paraId="1942956F" w14:textId="77777777" w:rsidR="00EB5625" w:rsidRDefault="00EB5625" w:rsidP="00EB5625">
          <w:pPr>
            <w:pStyle w:val="TOC1"/>
            <w:tabs>
              <w:tab w:val="left" w:pos="480"/>
              <w:tab w:val="right" w:leader="dot" w:pos="9016"/>
            </w:tabs>
            <w:rPr>
              <w:rFonts w:asciiTheme="minorHAnsi" w:eastAsiaTheme="minorEastAsia" w:hAnsiTheme="minorHAnsi"/>
              <w:noProof/>
              <w:kern w:val="2"/>
              <w:sz w:val="24"/>
              <w:szCs w:val="24"/>
              <w:lang w:val="en-US"/>
              <w14:ligatures w14:val="standardContextual"/>
            </w:rPr>
          </w:pPr>
          <w:hyperlink w:anchor="_Toc235117524" w:history="1">
            <w:r w:rsidRPr="001B5223">
              <w:rPr>
                <w:rStyle w:val="Hyperlink"/>
                <w:noProof/>
              </w:rPr>
              <w:t>7</w:t>
            </w:r>
            <w:r>
              <w:rPr>
                <w:rFonts w:asciiTheme="minorHAnsi" w:eastAsiaTheme="minorEastAsia" w:hAnsiTheme="minorHAnsi"/>
                <w:noProof/>
                <w:kern w:val="2"/>
                <w:sz w:val="24"/>
                <w:szCs w:val="24"/>
                <w:lang w:val="en-US"/>
                <w14:ligatures w14:val="standardContextual"/>
              </w:rPr>
              <w:tab/>
            </w:r>
            <w:r w:rsidRPr="001B5223">
              <w:rPr>
                <w:rStyle w:val="Hyperlink"/>
                <w:noProof/>
              </w:rPr>
              <w:t>Reference List</w:t>
            </w:r>
            <w:r>
              <w:rPr>
                <w:noProof/>
                <w:webHidden/>
              </w:rPr>
              <w:tab/>
            </w:r>
            <w:r>
              <w:rPr>
                <w:noProof/>
                <w:webHidden/>
              </w:rPr>
              <w:fldChar w:fldCharType="begin"/>
            </w:r>
            <w:r>
              <w:rPr>
                <w:noProof/>
                <w:webHidden/>
              </w:rPr>
              <w:instrText xml:space="preserve"> PAGEREF _Toc235117524 \h </w:instrText>
            </w:r>
            <w:r>
              <w:rPr>
                <w:noProof/>
                <w:webHidden/>
              </w:rPr>
            </w:r>
            <w:r>
              <w:rPr>
                <w:noProof/>
                <w:webHidden/>
              </w:rPr>
              <w:fldChar w:fldCharType="separate"/>
            </w:r>
            <w:r>
              <w:rPr>
                <w:noProof/>
                <w:webHidden/>
              </w:rPr>
              <w:t>9</w:t>
            </w:r>
            <w:r>
              <w:rPr>
                <w:noProof/>
                <w:webHidden/>
              </w:rPr>
              <w:fldChar w:fldCharType="end"/>
            </w:r>
          </w:hyperlink>
        </w:p>
        <w:p w14:paraId="2A6B8483" w14:textId="77777777" w:rsidR="00EB5625" w:rsidRDefault="00EB5625" w:rsidP="00EB5625">
          <w:r>
            <w:rPr>
              <w:b/>
              <w:bCs/>
              <w:noProof/>
            </w:rPr>
            <w:fldChar w:fldCharType="end"/>
          </w:r>
        </w:p>
      </w:sdtContent>
    </w:sdt>
    <w:p w14:paraId="79C7707A" w14:textId="77777777" w:rsidR="00EB5625" w:rsidRPr="00724978" w:rsidRDefault="00EB5625" w:rsidP="00EB5625">
      <w:pPr>
        <w:tabs>
          <w:tab w:val="left" w:pos="6540"/>
        </w:tabs>
        <w:rPr>
          <w:rFonts w:cs="Arial"/>
          <w:sz w:val="28"/>
          <w:szCs w:val="28"/>
        </w:rPr>
      </w:pPr>
    </w:p>
    <w:p w14:paraId="7332DED2" w14:textId="77777777" w:rsidR="00EB5625" w:rsidRDefault="00EB5625" w:rsidP="00EB5625">
      <w:pPr>
        <w:tabs>
          <w:tab w:val="left" w:pos="6540"/>
        </w:tabs>
        <w:rPr>
          <w:rFonts w:cs="Arial"/>
          <w:sz w:val="28"/>
          <w:szCs w:val="28"/>
        </w:rPr>
      </w:pPr>
    </w:p>
    <w:p w14:paraId="019B0AB7" w14:textId="77777777" w:rsidR="00EB5625" w:rsidRDefault="00EB5625" w:rsidP="00EB5625">
      <w:pPr>
        <w:spacing w:before="0" w:beforeAutospacing="0" w:after="160" w:afterAutospacing="0" w:line="259" w:lineRule="auto"/>
        <w:rPr>
          <w:rFonts w:eastAsiaTheme="majorEastAsia" w:cstheme="majorBidi"/>
          <w:b/>
          <w:sz w:val="32"/>
          <w:szCs w:val="32"/>
        </w:rPr>
      </w:pPr>
      <w:r>
        <w:br w:type="page"/>
      </w:r>
    </w:p>
    <w:p w14:paraId="33F6BBAA" w14:textId="77777777" w:rsidR="00EB5625" w:rsidRDefault="00EB5625" w:rsidP="00EB5625">
      <w:pPr>
        <w:pStyle w:val="Heading1"/>
      </w:pPr>
      <w:bookmarkStart w:id="1" w:name="_Toc235117515"/>
      <w:r w:rsidRPr="00995C46">
        <w:lastRenderedPageBreak/>
        <w:t>Introduction</w:t>
      </w:r>
      <w:bookmarkEnd w:id="1"/>
    </w:p>
    <w:p w14:paraId="1B8A308B" w14:textId="77777777" w:rsidR="00EB5625" w:rsidRDefault="00EB5625" w:rsidP="00EB5625">
      <w:r>
        <w:t>In the GP surgery, there is worrying evidence of an increased awareness of the high number of patients who are now being diagnosed with diabetes in the facility. Although these patients attend regular clinics, many still have a limited understanding of what diabetes is and how their everyday lifestyle choices affect their blood glucose levels. As a result, the practice nurse has been tasked with developing a clear, practical educational resource to help patients engage more effectively with their care plans and manage their blood glucose levels safely. The primary goal is to empower patients to better understand their condition and take a more active role in managing it safely.</w:t>
      </w:r>
    </w:p>
    <w:p w14:paraId="1F7503ED" w14:textId="77777777" w:rsidR="00EB5625" w:rsidRDefault="00EB5625" w:rsidP="00EB5625">
      <w:r>
        <w:t>Diabetes mellitus is a long</w:t>
      </w:r>
      <w:r>
        <w:rPr>
          <w:rFonts w:ascii="Cambria Math" w:hAnsi="Cambria Math" w:cs="Cambria Math"/>
        </w:rPr>
        <w:t>‑</w:t>
      </w:r>
      <w:r>
        <w:t xml:space="preserve">term metabolic condition in which blood glucose levels remain elevated because the body cannot produce insulin properly, cannot use it effectively, or both (Antar </w:t>
      </w:r>
      <w:r w:rsidRPr="0020498E">
        <w:rPr>
          <w:i/>
          <w:iCs/>
        </w:rPr>
        <w:t>et al.,</w:t>
      </w:r>
      <w:r>
        <w:t xml:space="preserve"> 2023). Banday et al. (2020) explained that Type 1 diabetes is an autoimmune condition that destroys the insulin</w:t>
      </w:r>
      <w:r>
        <w:rPr>
          <w:rFonts w:ascii="Cambria Math" w:hAnsi="Cambria Math" w:cs="Cambria Math"/>
        </w:rPr>
        <w:t>‑</w:t>
      </w:r>
      <w:r>
        <w:t xml:space="preserve">producing </w:t>
      </w:r>
      <w:r>
        <w:rPr>
          <w:rFonts w:cs="Arial"/>
        </w:rPr>
        <w:t>β</w:t>
      </w:r>
      <w:r>
        <w:rPr>
          <w:rFonts w:ascii="Cambria Math" w:hAnsi="Cambria Math" w:cs="Cambria Math"/>
        </w:rPr>
        <w:t>‑</w:t>
      </w:r>
      <w:r>
        <w:t xml:space="preserve">cells in the pancreas, leaving the body unable to produce insulin. On the other hand, Type 2 diabetes (T2DM) develops gradually as the body becomes resistant to insulin and the pancreas becomes less able to meet the body’s demands (Galicia-Garcia </w:t>
      </w:r>
      <w:r w:rsidRPr="00F72516">
        <w:rPr>
          <w:i/>
          <w:iCs/>
        </w:rPr>
        <w:t>et al.,</w:t>
      </w:r>
      <w:r>
        <w:t xml:space="preserve"> 2020). NICE (2015) identifies T2DM as the most common form of the condition and as one strongly influenced by lifestyle behaviours, making it the most relevant to the situation described in the GP surgery.</w:t>
      </w:r>
    </w:p>
    <w:p w14:paraId="67245880" w14:textId="77777777" w:rsidR="00EB5625" w:rsidRPr="008C5704" w:rsidRDefault="00EB5625" w:rsidP="00EB5625">
      <w:r>
        <w:t>Diabetes UK (2024) states that several factors can increase the risk of developing T2DM, including increased body weight, particularly central obesity, low physical activity, and diets high in processed carbohydrates and saturated fats. Evidence also reveals that biological factors such as age, family history, hypertension, dyslipidaemia and higher-risk ethnic groups (African, Caribbean and South Asian backgrounds) also play a role (Diabetes UK, 2024). This is significant considering that most of these risks are modifiable, underscoring the importance of patient education in diabetes management. NICE (2015) emphasises the need for people with diabetes to undertake daily self-management tasks, including monitoring blood glucose levels, adjusting their diet, and taking medication correctly. The educational resource will empower patients to understand their illness, make better-informed decisions, reduce complications, and adhere to their care plan. In a GP setting, this knowledge empowers patients and supports long</w:t>
      </w:r>
      <w:r>
        <w:rPr>
          <w:rFonts w:ascii="Cambria Math" w:hAnsi="Cambria Math" w:cs="Cambria Math"/>
        </w:rPr>
        <w:t>‑</w:t>
      </w:r>
      <w:r>
        <w:t>term improvements in health outcomes.</w:t>
      </w:r>
    </w:p>
    <w:p w14:paraId="78640DEF" w14:textId="77777777" w:rsidR="00EB5625" w:rsidRDefault="00EB5625" w:rsidP="00EB5625">
      <w:pPr>
        <w:pStyle w:val="Heading1"/>
      </w:pPr>
      <w:bookmarkStart w:id="2" w:name="_Toc235117516"/>
      <w:r>
        <w:lastRenderedPageBreak/>
        <w:t>Blood Sugar Regulation</w:t>
      </w:r>
      <w:bookmarkEnd w:id="2"/>
    </w:p>
    <w:p w14:paraId="317793D8" w14:textId="77777777" w:rsidR="00EB5625" w:rsidRDefault="00EB5625" w:rsidP="00EB5625">
      <w:r>
        <w:t>Blood glucose regulation is a critical aspect of homeostasis, the process that maintains the body’s internal environment in a stable state despite changes in diet, activity, or energy consumption (</w:t>
      </w:r>
      <w:proofErr w:type="spellStart"/>
      <w:r>
        <w:t>Roder</w:t>
      </w:r>
      <w:proofErr w:type="spellEnd"/>
      <w:r>
        <w:t xml:space="preserve"> </w:t>
      </w:r>
      <w:r w:rsidRPr="006D5EFE">
        <w:rPr>
          <w:i/>
          <w:iCs/>
        </w:rPr>
        <w:t>et al.,</w:t>
      </w:r>
      <w:r>
        <w:t xml:space="preserve"> 2016). Glucose is the body's major fuel, and the brain</w:t>
      </w:r>
      <w:proofErr w:type="gramStart"/>
      <w:r>
        <w:t>, in particular, uses</w:t>
      </w:r>
      <w:proofErr w:type="gramEnd"/>
      <w:r>
        <w:t xml:space="preserve"> it virtually exclusively and requires a steady supply. Thus, fasting blood glucose is often maintained within a tight range of 4-6 mmol/L (NICE, 2015). When blood glucose levels are too high (hyperglycaemia), they can, over time, damage blood vessels, nerves and organs, while if levels are too low (hypoglycaemia), the brain is starved of glucose, and this can lead to disorientation, dizziness, seizures or loss of consciousness (Yates, 2025). Thus, regulation of stable glucose levels is crucial for proper physiological activity.</w:t>
      </w:r>
    </w:p>
    <w:p w14:paraId="536F8F6C" w14:textId="77777777" w:rsidR="00EB5625" w:rsidRDefault="00EB5625" w:rsidP="00EB5625">
      <w:r>
        <w:t xml:space="preserve">After eating, the carbohydrates a person consumes are broken down into glucose, which increases blood sugar levels, a signal detected by the β-cells of the pancreas, triggering the release of insulin, the hormone that lowers blood glucose (Ojo </w:t>
      </w:r>
      <w:r w:rsidRPr="002C6698">
        <w:rPr>
          <w:i/>
          <w:iCs/>
        </w:rPr>
        <w:t>et al.,</w:t>
      </w:r>
      <w:r>
        <w:t xml:space="preserve"> 2023). Insulin is like a key that opens the cell membrane, allowing glucose to enter muscle and fat cells via GLUT4 transporters, and it also signals the liver to convert excess glucose into glycogen, the storage form of carbohydrates (Guyton and Hall, 2021). During this process, cells absorb glucose for energy, and the liver stores any excess, so blood glucose slowly recovers </w:t>
      </w:r>
      <w:proofErr w:type="gramStart"/>
      <w:r>
        <w:t>to</w:t>
      </w:r>
      <w:proofErr w:type="gramEnd"/>
      <w:r>
        <w:t xml:space="preserve"> normal.</w:t>
      </w:r>
    </w:p>
    <w:p w14:paraId="79DE06C9" w14:textId="77777777" w:rsidR="00EB5625" w:rsidRDefault="00EB5625" w:rsidP="00EB5625">
      <w:r>
        <w:t xml:space="preserve">During fasting, physical activity, or long periods between meals, blood glucose levels begin to drop, prompting the α-cells of the pancreas to secrete glucagon, a hormone that raises blood glucose, which then triggers the liver to break down stored glycogen and release glucose back into the circulation (Mann </w:t>
      </w:r>
      <w:r w:rsidRPr="009C5A8A">
        <w:rPr>
          <w:i/>
          <w:iCs/>
        </w:rPr>
        <w:t>et al.,</w:t>
      </w:r>
      <w:r>
        <w:t xml:space="preserve"> 2020). This process ensures that the important organs, primarily the brain and working muscles, receive a continuous supply of energy (International Diabetes Federation, 2024).</w:t>
      </w:r>
    </w:p>
    <w:p w14:paraId="55B74414" w14:textId="77777777" w:rsidR="00EB5625" w:rsidRPr="008625E0" w:rsidRDefault="00EB5625" w:rsidP="00EB5625">
      <w:r>
        <w:t xml:space="preserve">In type 2 diabetes, this delicate equilibrium is disrupted, and the body becomes insulin-resistant, causing cells to respond inadequately to insulin (Galicia-Garcia </w:t>
      </w:r>
      <w:r w:rsidRPr="006D5EFE">
        <w:rPr>
          <w:i/>
          <w:iCs/>
        </w:rPr>
        <w:t>et al.,</w:t>
      </w:r>
      <w:r>
        <w:t xml:space="preserve"> 2020). Blood sugar remains high because glucose cannot enter the cells effectively, even when insulin is present, prompting the pancreas to release more insulin (Mann </w:t>
      </w:r>
      <w:r w:rsidRPr="006D5EFE">
        <w:rPr>
          <w:i/>
          <w:iCs/>
        </w:rPr>
        <w:t>et al.,</w:t>
      </w:r>
      <w:r>
        <w:t xml:space="preserve"> 2020). However, the β</w:t>
      </w:r>
      <w:r>
        <w:rPr>
          <w:rFonts w:ascii="Cambria Math" w:hAnsi="Cambria Math" w:cs="Cambria Math"/>
        </w:rPr>
        <w:t>‑</w:t>
      </w:r>
      <w:r>
        <w:t xml:space="preserve">cells become overworked and begin to die, and over time, insulin production further declines. This breakdown of the feedback loop helps explain the difficulty patients in the </w:t>
      </w:r>
      <w:r>
        <w:lastRenderedPageBreak/>
        <w:t>case study face in maintaining safe blood glucose levels and illustrates the significance of education in facilitating effective self</w:t>
      </w:r>
      <w:r>
        <w:rPr>
          <w:rFonts w:ascii="Cambria Math" w:hAnsi="Cambria Math" w:cs="Cambria Math"/>
        </w:rPr>
        <w:t>‐</w:t>
      </w:r>
      <w:r>
        <w:t>management.</w:t>
      </w:r>
    </w:p>
    <w:p w14:paraId="72BBA53B" w14:textId="77777777" w:rsidR="00EB5625" w:rsidRDefault="00EB5625" w:rsidP="00EB5625">
      <w:pPr>
        <w:pStyle w:val="Heading1"/>
      </w:pPr>
      <w:bookmarkStart w:id="3" w:name="_Toc235117517"/>
      <w:r>
        <w:t>Oxygen and Glucose in Cellular Metabolism</w:t>
      </w:r>
      <w:bookmarkEnd w:id="3"/>
    </w:p>
    <w:p w14:paraId="23BEACD7" w14:textId="77777777" w:rsidR="00EB5625" w:rsidRDefault="00EB5625" w:rsidP="00EB5625">
      <w:r>
        <w:t xml:space="preserve">Cellular respiration is the process by which the body converts glucose and oxygen into useful energy, often stored as adenosine triphosphate (ATP), which powers practically every activity in a cell, from muscular contraction to nerve </w:t>
      </w:r>
      <w:proofErr w:type="spellStart"/>
      <w:r>
        <w:t>signaling</w:t>
      </w:r>
      <w:proofErr w:type="spellEnd"/>
      <w:r>
        <w:t xml:space="preserve"> (Cox, 2013). Without ATP, cells cannot function, making respiration vital to life (Tortora and Derrickson, 2021). The most efficient of these is aerobic respiration, which occurs in cells and provides the vast amounts of ATP the body needs to function normally (Alberts </w:t>
      </w:r>
      <w:r w:rsidRPr="0085614C">
        <w:rPr>
          <w:i/>
          <w:iCs/>
        </w:rPr>
        <w:t>et al.,</w:t>
      </w:r>
      <w:r>
        <w:t xml:space="preserve"> 2022). There are three main stages of aerobic respiration.</w:t>
      </w:r>
    </w:p>
    <w:p w14:paraId="64F976DD" w14:textId="77777777" w:rsidR="00EB5625" w:rsidRDefault="00EB5625" w:rsidP="00EB5625">
      <w:r>
        <w:t>The first step is glycolysis, which takes place in the cytoplasm, where glucose is broken down into pyruvate and a small amount of ATP is produced (Chandel, 2021). Next, the pyruvate then enters the mitochondria, where the second stage, the Krebs cycle, takes place (</w:t>
      </w:r>
      <w:r w:rsidRPr="007567C3">
        <w:t>Chaudhry</w:t>
      </w:r>
      <w:r>
        <w:t xml:space="preserve"> </w:t>
      </w:r>
      <w:r w:rsidRPr="007567C3">
        <w:t xml:space="preserve">and </w:t>
      </w:r>
      <w:proofErr w:type="spellStart"/>
      <w:r w:rsidRPr="007567C3">
        <w:t>Varacallo</w:t>
      </w:r>
      <w:proofErr w:type="spellEnd"/>
      <w:r>
        <w:t>, 2023). This cycle produces carbon dioxide and transmits high-energy electrons to carrier molecules. In the last stage, oxidative phosphorylation occurs across the mitochondrial membrane, with oxygen as the final electron acceptor, allowing substantial amounts of ATP to be produced, typically around 30-32 ATP molecules per glucose (Guyton and Hall, 2021).</w:t>
      </w:r>
    </w:p>
    <w:p w14:paraId="5151F66B" w14:textId="77777777" w:rsidR="00EB5625" w:rsidRPr="003734AE" w:rsidRDefault="00EB5625" w:rsidP="00EB5625">
      <w:r>
        <w:t>In the absence of oxygen, such as during heavy activity or in some disease situations, cells switch to anaerobic respiration. This mechanism converts pyruvate into lactic acid, which yields only a small amount of ATP and can accumulate in tissues, causing fatigue and pain (Chandel, 2021). Anaerobic respiration is good as a temporary backup system, but it is far less effective than aerobic respiration. This is especially important for persons whose diabetes is not well controlled, in whom cells cannot use glucose efficiently and may employ alternative energy pathways. In extreme circumstances, the body begins to break down fat fast, generating acidic ketone bodies. This can result in diabetic ketoacidosis (DKA), a severe condition characterized by high blood sugar, dehydration and acid accumulation (International Diabetes Federation, 2024). This is why stable blood sugar is so important for metabolic health, as it allows people to see how oxygen and glucose work together to produce energy.</w:t>
      </w:r>
    </w:p>
    <w:p w14:paraId="5067438F" w14:textId="77777777" w:rsidR="00EB5625" w:rsidRDefault="00EB5625" w:rsidP="00EB5625">
      <w:pPr>
        <w:pStyle w:val="Heading1"/>
      </w:pPr>
      <w:bookmarkStart w:id="4" w:name="_Toc235117518"/>
      <w:r>
        <w:lastRenderedPageBreak/>
        <w:t>Recording and Tracking Blood Sugar Levels</w:t>
      </w:r>
      <w:bookmarkEnd w:id="4"/>
    </w:p>
    <w:p w14:paraId="249792E0" w14:textId="77777777" w:rsidR="00EB5625" w:rsidRDefault="00EB5625" w:rsidP="00EB5625">
      <w:r>
        <w:t xml:space="preserve">Blood glucose tracking is an important component of care and management of T2DM, providing information to both patients and healthcare practitioners about how effective blood sugar control is achieved over time (Weinstock </w:t>
      </w:r>
      <w:r w:rsidRPr="00E248DB">
        <w:rPr>
          <w:i/>
          <w:iCs/>
        </w:rPr>
        <w:t>et al.,</w:t>
      </w:r>
      <w:r>
        <w:t xml:space="preserve"> 2020). In the GP, there are indications that many patients attending the clinic did not fully understand how their daily lifestyle choices affected their blood sugar readings, necessitating continuous recording, which is essential for safe self-management. This can be achieved by empowering the patient with information on available evidence-based approaches for recording and tracking blood sugar levels.</w:t>
      </w:r>
    </w:p>
    <w:p w14:paraId="65EA719E" w14:textId="77777777" w:rsidR="00EB5625" w:rsidRDefault="00EB5625" w:rsidP="00EB5625">
      <w:r>
        <w:t>A commonly utilised approach is self-monitoring of blood glucose (SMBG), in which patients are trained to use a finger-prick test and a hand-held glucose meter to provide instant readings (NHS England, 2019). SMBG enables patients to see how their blood sugar responds to changes in meals, exercise, stress, or medication, and is especially beneficial in detecting episodes of hypoglycaemia or hyperglycaemia (Diabetes UK, 2024).</w:t>
      </w:r>
    </w:p>
    <w:p w14:paraId="6E1596DC" w14:textId="77777777" w:rsidR="00EB5625" w:rsidRDefault="00EB5625" w:rsidP="00EB5625">
      <w:r>
        <w:t xml:space="preserve">Another important test is the HbA1c test, which measures the percentage of glucose attached to haemoglobin (Mukherjee </w:t>
      </w:r>
      <w:r w:rsidRPr="00E248DB">
        <w:rPr>
          <w:i/>
          <w:iCs/>
        </w:rPr>
        <w:t>et al.,</w:t>
      </w:r>
      <w:r>
        <w:t xml:space="preserve"> 2023). Unlike SMBG, HbA1c reflects average blood glucose over the previous two to three months. Clinicians use this indicator to evaluate long-term control and to determine whether to adjust pharmacologic or lifestyle therapy (NICE, 2015). Another option is continuous glucose monitoring (CGM), which uses a small sensor inserted under the skin to continuously monitor glucose levels (Jackson </w:t>
      </w:r>
      <w:r w:rsidRPr="006258D6">
        <w:rPr>
          <w:i/>
          <w:iCs/>
        </w:rPr>
        <w:t>et al.,</w:t>
      </w:r>
      <w:r>
        <w:t xml:space="preserve"> 2021). They provide trends, alerts, and patterns to improve understanding of fluctuations and support better treatment decisions.</w:t>
      </w:r>
    </w:p>
    <w:p w14:paraId="4D49554E" w14:textId="77777777" w:rsidR="00EB5625" w:rsidRPr="00CB61DE" w:rsidRDefault="00EB5625" w:rsidP="00EB5625">
      <w:r>
        <w:t xml:space="preserve">These approaches can play a crucial role in consistently monitoring blood sugar levels and improving patient safety. Empowering patients with the knowledge and competence to regularly monitor their blood sugar helps prevent dangerously low or high levels, facilitates simpler medication titration, and reveals patterns related to diet, activity, or illness (Weinstock </w:t>
      </w:r>
      <w:r w:rsidRPr="00947EE2">
        <w:rPr>
          <w:i/>
          <w:iCs/>
        </w:rPr>
        <w:t>et al.,</w:t>
      </w:r>
      <w:r>
        <w:t xml:space="preserve"> 2020). For the patients in the case study, tracking provides a sense of control and motivates them to be active participants in their care plans (Whelan and Bell, 2022). This means improved blood glucose control and a lower risk of long-term complications.</w:t>
      </w:r>
    </w:p>
    <w:p w14:paraId="115A7405" w14:textId="77777777" w:rsidR="00EB5625" w:rsidRDefault="00EB5625" w:rsidP="00EB5625">
      <w:pPr>
        <w:pStyle w:val="Heading1"/>
      </w:pPr>
      <w:bookmarkStart w:id="5" w:name="_Toc235117519"/>
      <w:r>
        <w:lastRenderedPageBreak/>
        <w:t>Evidence-Based Lifestyle Recommendations</w:t>
      </w:r>
      <w:bookmarkEnd w:id="5"/>
    </w:p>
    <w:p w14:paraId="56219FC2" w14:textId="77777777" w:rsidR="00EB5625" w:rsidRDefault="00EB5625" w:rsidP="00EB5625">
      <w:r>
        <w:t xml:space="preserve">One of the best strategies for patients with type 2 diabetes to improve blood glucose control and prevent long-term complications is to adopt lifestyle changes (Chacko and </w:t>
      </w:r>
      <w:proofErr w:type="spellStart"/>
      <w:r>
        <w:t>Signore</w:t>
      </w:r>
      <w:proofErr w:type="spellEnd"/>
      <w:r>
        <w:t>, 2020). Many patients attending clinics in the case study lack a clear understanding of how their everyday habits affect their illness, a gap that can be addressed by providing clear, evidence</w:t>
      </w:r>
      <w:r>
        <w:rPr>
          <w:rFonts w:ascii="Cambria Math" w:hAnsi="Cambria Math" w:cs="Cambria Math"/>
        </w:rPr>
        <w:t>‑</w:t>
      </w:r>
      <w:r>
        <w:t>based advice to enable safer self</w:t>
      </w:r>
      <w:r>
        <w:rPr>
          <w:rFonts w:ascii="Cambria Math" w:hAnsi="Cambria Math" w:cs="Cambria Math"/>
        </w:rPr>
        <w:t>‑</w:t>
      </w:r>
      <w:r>
        <w:t>management. The following evidence-based recommendations on how lifestyle changes could help improve their condition are provided:</w:t>
      </w:r>
    </w:p>
    <w:p w14:paraId="62FABB4D" w14:textId="77777777" w:rsidR="00EB5625" w:rsidRDefault="00EB5625" w:rsidP="00EB5625">
      <w:pPr>
        <w:pStyle w:val="Heading2"/>
      </w:pPr>
      <w:bookmarkStart w:id="6" w:name="_Toc235117520"/>
      <w:r>
        <w:t>Diet and Blood Sugar Regulation</w:t>
      </w:r>
      <w:bookmarkEnd w:id="6"/>
    </w:p>
    <w:p w14:paraId="47F07368" w14:textId="77777777" w:rsidR="00EB5625" w:rsidRDefault="00EB5625" w:rsidP="00EB5625">
      <w:r>
        <w:t xml:space="preserve">Diet is a major determinant of blood glucose levels, with some foods raising them more than others (Santos-Báez </w:t>
      </w:r>
      <w:r w:rsidRPr="00724BDE">
        <w:rPr>
          <w:i/>
          <w:iCs/>
        </w:rPr>
        <w:t>et al.,</w:t>
      </w:r>
      <w:r>
        <w:t xml:space="preserve"> 2024). Therefore, an important part of managing diabetes is knowing what and how much to eat and following an eating plan that fits the affected person's lifestyle while helping to control blood glucose. Research has shown that eating low-glycaemic index (GI) foods (such as whole grains, legumes, vegetables and some fruits) can reduce rapid spikes in blood sugar levels after a meal (Korrapati </w:t>
      </w:r>
      <w:r w:rsidRPr="006773C2">
        <w:rPr>
          <w:i/>
          <w:iCs/>
        </w:rPr>
        <w:t>et al.,</w:t>
      </w:r>
      <w:r>
        <w:t xml:space="preserve"> 2018; Diabetes UK, 2024). NICE (2015) recommends decreasing refined carbs and added sugars, as these foods are rapidly absorbed and can contribute to insulin resistance.</w:t>
      </w:r>
    </w:p>
    <w:p w14:paraId="6E882EFA" w14:textId="77777777" w:rsidR="00EB5625" w:rsidRDefault="00EB5625" w:rsidP="00EB5625">
      <w:r>
        <w:t>The Mediterranean diet, characterised by its emphasis on vegetables, whole grains, olive oil, nuts, and lean proteins, has been shown to improve glycaemic control and reduce cardiovascular risk in individuals with Type 2 diabetes (WHO, 2026). Portion control is also key, since large meals might stress the body’s ability to regulate glucose. Structured nutrition education initiatives are recommended to help patients make sustainable adjustments.</w:t>
      </w:r>
    </w:p>
    <w:p w14:paraId="797F109F" w14:textId="77777777" w:rsidR="00EB5625" w:rsidRDefault="00EB5625" w:rsidP="00EB5625">
      <w:pPr>
        <w:pStyle w:val="Heading2"/>
      </w:pPr>
      <w:bookmarkStart w:id="7" w:name="_Toc235117521"/>
      <w:r>
        <w:t>Physical Activity and Insulin Sensitivity</w:t>
      </w:r>
      <w:bookmarkEnd w:id="7"/>
    </w:p>
    <w:p w14:paraId="1AADA1DE" w14:textId="77777777" w:rsidR="00EB5625" w:rsidRDefault="00EB5625" w:rsidP="00EB5625">
      <w:r>
        <w:t>Regular exercise makes your cells more sensitive to insulin, helping glucose enter the cells more easily (Bird and Hawley</w:t>
      </w:r>
      <w:r w:rsidRPr="000E4596">
        <w:rPr>
          <w:i/>
          <w:iCs/>
        </w:rPr>
        <w:t>,</w:t>
      </w:r>
      <w:r>
        <w:t xml:space="preserve"> 2017). The NICE (2015) and International Diabetes Federation (2024) guidelines recommend that persons with Type 2 diabetes aim to do at least 150 minutes of moderate-intensity exercise per week, such as brisk walking, cycling, or swimming. Both vigorous aerobic and resistance training exercises are useful. Aerobic activity lowers blood glucose levels immediately, whereas resistance training builds muscle mass, which improves long-term glucose uptake. In the case study, including moderate daily </w:t>
      </w:r>
      <w:r>
        <w:lastRenderedPageBreak/>
        <w:t>activities for patients, such as walking to work or short home</w:t>
      </w:r>
      <w:r>
        <w:rPr>
          <w:rFonts w:ascii="Cambria Math" w:hAnsi="Cambria Math" w:cs="Cambria Math"/>
        </w:rPr>
        <w:t>‑</w:t>
      </w:r>
      <w:r>
        <w:t>based exercise regimens, can make a significant difference to blood sugar control and general wellness.</w:t>
      </w:r>
    </w:p>
    <w:p w14:paraId="1227901A" w14:textId="77777777" w:rsidR="00EB5625" w:rsidRDefault="00EB5625" w:rsidP="00EB5625">
      <w:pPr>
        <w:pStyle w:val="Heading2"/>
      </w:pPr>
      <w:bookmarkStart w:id="8" w:name="_Toc235117522"/>
      <w:r>
        <w:t>Smoking and Diabetes Risk</w:t>
      </w:r>
      <w:bookmarkEnd w:id="8"/>
    </w:p>
    <w:p w14:paraId="12CFEFBE" w14:textId="77777777" w:rsidR="00EB5625" w:rsidRPr="00530607" w:rsidRDefault="00EB5625" w:rsidP="00EB5625">
      <w:r>
        <w:t>Smoking affects diabetes care and management negatively by directly increasing insulin resistance, blood glucose levels, and greatly increasing cardiovascular risk, already a major worry for persons with T2DM (WHO, 2026). As a practice nurse, it is important to recommend smoking cessation support such as behavioural counselling, nicotine replacement treatment or referral to local cessation services. According to Diabetes UK (2024), smoking cessation can quickly improve circulation, reduce inflammation, and improve glycaemic control.</w:t>
      </w:r>
    </w:p>
    <w:p w14:paraId="4E2D0BA3" w14:textId="77777777" w:rsidR="00EB5625" w:rsidRDefault="00EB5625" w:rsidP="00EB5625">
      <w:pPr>
        <w:pStyle w:val="Heading1"/>
      </w:pPr>
      <w:bookmarkStart w:id="9" w:name="_Toc235117523"/>
      <w:r>
        <w:t>Conclusion</w:t>
      </w:r>
      <w:bookmarkEnd w:id="9"/>
    </w:p>
    <w:p w14:paraId="31244E39" w14:textId="77777777" w:rsidR="00EB5625" w:rsidRDefault="00EB5625" w:rsidP="00EB5625">
      <w:r>
        <w:t>In this report, a critical evaluation of the main physiological processes important in diabetes mellitus is presented, including how the body controls blood glucose with insulin and glucagon, and how oxygen and glucose interact in cellular respiration to produce ATP. These processes explain why normal bodily function depends on stable blood sugar levels, and why disturbances such as insulin resistance cause the difficulties of Type 2 diabetes.</w:t>
      </w:r>
    </w:p>
    <w:p w14:paraId="58D9AAA9" w14:textId="77777777" w:rsidR="00EB5625" w:rsidRDefault="00EB5625" w:rsidP="00EB5625">
      <w:r>
        <w:t xml:space="preserve">The report also underscored the need for blood glucose monitoring with technologies such as SMBG, HbA1c testing and continuous glucose monitoring. These tools can help patients recognize patterns, prevent hypoglycaemia, and support clinicians in changing treatment regimens. In addition to monitoring, evidence-based lifestyle changes such as a healthier diet, increased physical exercise, and smoking cessation are important in improving insulin sensitivity and reducing long-term </w:t>
      </w:r>
      <w:proofErr w:type="spellStart"/>
      <w:r>
        <w:t>risk.</w:t>
      </w:r>
      <w:r w:rsidRPr="00BD2156">
        <w:t>low</w:t>
      </w:r>
      <w:proofErr w:type="spellEnd"/>
      <w:r w:rsidRPr="00BD2156">
        <w:t>-glycaemic-index (GI) foods (such as whole grains, legumes, vegetables,</w:t>
      </w:r>
    </w:p>
    <w:p w14:paraId="3174F9F3" w14:textId="77777777" w:rsidR="00EB5625" w:rsidRPr="00F67D9A" w:rsidRDefault="00EB5625" w:rsidP="00EB5625">
      <w:r>
        <w:t>The overall message for patients is that Type 2 diabetes can be effectively managed with education, consistent monitoring, and sustainable lifestyle choices. Understanding how their bodies manage blood sugar and being involved in their treatment plans can help people improve their health, reduce complications and feel more competent in managing their disease on a day-to-day basis.</w:t>
      </w:r>
    </w:p>
    <w:p w14:paraId="6FA5AFF9" w14:textId="77777777" w:rsidR="00EB5625" w:rsidRDefault="00EB5625" w:rsidP="00EB5625">
      <w:pPr>
        <w:spacing w:before="0" w:beforeAutospacing="0" w:after="160" w:afterAutospacing="0" w:line="259" w:lineRule="auto"/>
        <w:rPr>
          <w:rFonts w:eastAsiaTheme="majorEastAsia" w:cs="Arial"/>
          <w:b/>
          <w:sz w:val="32"/>
          <w:szCs w:val="32"/>
        </w:rPr>
      </w:pPr>
      <w:r>
        <w:rPr>
          <w:rFonts w:eastAsiaTheme="majorEastAsia" w:cs="Arial"/>
          <w:b/>
          <w:sz w:val="32"/>
          <w:szCs w:val="32"/>
        </w:rPr>
        <w:br w:type="page"/>
      </w:r>
    </w:p>
    <w:p w14:paraId="425CD559" w14:textId="77777777" w:rsidR="00EB5625" w:rsidRDefault="00EB5625" w:rsidP="00EB5625">
      <w:pPr>
        <w:pStyle w:val="Heading1"/>
      </w:pPr>
      <w:bookmarkStart w:id="10" w:name="_Toc235117524"/>
      <w:r>
        <w:lastRenderedPageBreak/>
        <w:t>Reference List</w:t>
      </w:r>
      <w:bookmarkEnd w:id="10"/>
    </w:p>
    <w:p w14:paraId="7E7194C4" w14:textId="77777777" w:rsidR="00EB5625" w:rsidRPr="00F60E67" w:rsidRDefault="00EB5625" w:rsidP="00EB5625">
      <w:pPr>
        <w:spacing w:line="240" w:lineRule="auto"/>
        <w:rPr>
          <w:lang w:val="en-US"/>
        </w:rPr>
      </w:pPr>
      <w:r w:rsidRPr="0017771C">
        <w:t xml:space="preserve">Alberts, B. </w:t>
      </w:r>
      <w:r w:rsidRPr="0017771C">
        <w:rPr>
          <w:i/>
          <w:iCs/>
        </w:rPr>
        <w:t>et al.</w:t>
      </w:r>
      <w:r w:rsidRPr="0017771C">
        <w:t xml:space="preserve"> (2022) </w:t>
      </w:r>
      <w:r w:rsidRPr="0017771C">
        <w:rPr>
          <w:i/>
          <w:iCs/>
        </w:rPr>
        <w:t>Molecular Biology of the Cell</w:t>
      </w:r>
      <w:r w:rsidRPr="0017771C">
        <w:t xml:space="preserve">. 7th </w:t>
      </w:r>
      <w:proofErr w:type="spellStart"/>
      <w:r w:rsidRPr="0017771C">
        <w:t>edn</w:t>
      </w:r>
      <w:proofErr w:type="spellEnd"/>
      <w:r w:rsidRPr="0017771C">
        <w:t>. New York: Garland Science.</w:t>
      </w:r>
    </w:p>
    <w:p w14:paraId="66651072" w14:textId="77777777" w:rsidR="00EB5625" w:rsidRDefault="00EB5625" w:rsidP="00EB5625">
      <w:pPr>
        <w:spacing w:line="240" w:lineRule="auto"/>
      </w:pPr>
      <w:r w:rsidRPr="00C133BA">
        <w:t xml:space="preserve">American Diabetes Association </w:t>
      </w:r>
      <w:r>
        <w:t>(2022)</w:t>
      </w:r>
      <w:r w:rsidRPr="00C133BA">
        <w:t xml:space="preserve"> </w:t>
      </w:r>
      <w:r>
        <w:t>‘</w:t>
      </w:r>
      <w:r w:rsidRPr="00C133BA">
        <w:t>Classification and Diagnosis of Diabetes: Standards of Medical Care in Diabetes-2022</w:t>
      </w:r>
      <w:r>
        <w:t>’,</w:t>
      </w:r>
      <w:r w:rsidRPr="00C133BA">
        <w:t xml:space="preserve"> </w:t>
      </w:r>
      <w:r w:rsidRPr="00C133BA">
        <w:rPr>
          <w:i/>
          <w:iCs/>
        </w:rPr>
        <w:t>Diabetes Care</w:t>
      </w:r>
      <w:r>
        <w:t xml:space="preserve">, </w:t>
      </w:r>
      <w:r w:rsidRPr="00C133BA">
        <w:t>45(1)</w:t>
      </w:r>
      <w:r>
        <w:t xml:space="preserve">, </w:t>
      </w:r>
      <w:r w:rsidRPr="00C133BA">
        <w:t xml:space="preserve">S17-S38. </w:t>
      </w:r>
      <w:hyperlink r:id="rId8" w:history="1">
        <w:r w:rsidRPr="00DD179F">
          <w:rPr>
            <w:rStyle w:val="Hyperlink"/>
          </w:rPr>
          <w:t>https://doi.org10.2337/dc22-S002</w:t>
        </w:r>
      </w:hyperlink>
      <w:r w:rsidRPr="00C133BA">
        <w:t>.</w:t>
      </w:r>
    </w:p>
    <w:p w14:paraId="4E34DF52" w14:textId="77777777" w:rsidR="00EB5625" w:rsidRDefault="00EB5625" w:rsidP="00EB5625">
      <w:pPr>
        <w:spacing w:line="240" w:lineRule="auto"/>
        <w:rPr>
          <w:lang w:val="en-US"/>
        </w:rPr>
      </w:pPr>
      <w:r w:rsidRPr="008B3655">
        <w:rPr>
          <w:lang w:val="en-US"/>
        </w:rPr>
        <w:t>Antar, S.A.</w:t>
      </w:r>
      <w:r>
        <w:rPr>
          <w:lang w:val="en-US"/>
        </w:rPr>
        <w:t xml:space="preserve"> </w:t>
      </w:r>
      <w:r w:rsidRPr="008B3655">
        <w:rPr>
          <w:i/>
          <w:iCs/>
          <w:lang w:val="en-US"/>
        </w:rPr>
        <w:t>et al.</w:t>
      </w:r>
      <w:r w:rsidRPr="008B3655">
        <w:rPr>
          <w:lang w:val="en-US"/>
        </w:rPr>
        <w:t xml:space="preserve"> (2023)</w:t>
      </w:r>
      <w:r>
        <w:rPr>
          <w:lang w:val="en-US"/>
        </w:rPr>
        <w:t xml:space="preserve"> ‘</w:t>
      </w:r>
      <w:r w:rsidRPr="008B3655">
        <w:rPr>
          <w:lang w:val="en-US"/>
        </w:rPr>
        <w:t>Diabetes mellitus: Classification, mediators, and complications; A gate to identify potential targets for the development of new effective treatments</w:t>
      </w:r>
      <w:r>
        <w:rPr>
          <w:lang w:val="en-US"/>
        </w:rPr>
        <w:t xml:space="preserve">’, </w:t>
      </w:r>
      <w:r w:rsidRPr="008B3655">
        <w:rPr>
          <w:i/>
          <w:iCs/>
          <w:lang w:val="en-US"/>
        </w:rPr>
        <w:t>Biomedicine &amp; Pharmacotherapy</w:t>
      </w:r>
      <w:r w:rsidRPr="008B3655">
        <w:rPr>
          <w:lang w:val="en-US"/>
        </w:rPr>
        <w:t xml:space="preserve">, </w:t>
      </w:r>
      <w:r w:rsidRPr="008B3655">
        <w:rPr>
          <w:i/>
          <w:iCs/>
          <w:lang w:val="en-US"/>
        </w:rPr>
        <w:t>168</w:t>
      </w:r>
      <w:r w:rsidRPr="008B3655">
        <w:rPr>
          <w:lang w:val="en-US"/>
        </w:rPr>
        <w:t xml:space="preserve">, 115734. </w:t>
      </w:r>
      <w:hyperlink r:id="rId9" w:history="1">
        <w:r w:rsidRPr="00DD179F">
          <w:rPr>
            <w:rStyle w:val="Hyperlink"/>
            <w:lang w:val="en-US"/>
          </w:rPr>
          <w:t>https://doi.org/10.1016/j.biopha.2023.115734</w:t>
        </w:r>
      </w:hyperlink>
    </w:p>
    <w:p w14:paraId="5D683AEF" w14:textId="77777777" w:rsidR="00EB5625" w:rsidRDefault="00EB5625" w:rsidP="00EB5625">
      <w:pPr>
        <w:spacing w:line="240" w:lineRule="auto"/>
        <w:rPr>
          <w:lang w:val="en-US"/>
        </w:rPr>
      </w:pPr>
      <w:r w:rsidRPr="00BE7715">
        <w:rPr>
          <w:lang w:val="en-US"/>
        </w:rPr>
        <w:t>Banday, M.Z., Sameer, A.S.</w:t>
      </w:r>
      <w:r>
        <w:rPr>
          <w:lang w:val="en-US"/>
        </w:rPr>
        <w:t xml:space="preserve"> and</w:t>
      </w:r>
      <w:r w:rsidRPr="00BE7715">
        <w:rPr>
          <w:lang w:val="en-US"/>
        </w:rPr>
        <w:t xml:space="preserve"> Nissar, S. (</w:t>
      </w:r>
      <w:proofErr w:type="gramStart"/>
      <w:r w:rsidRPr="00BE7715">
        <w:rPr>
          <w:lang w:val="en-US"/>
        </w:rPr>
        <w:t>2020)</w:t>
      </w:r>
      <w:r>
        <w:rPr>
          <w:lang w:val="en-US"/>
        </w:rPr>
        <w:t xml:space="preserve"> ‘</w:t>
      </w:r>
      <w:proofErr w:type="gramEnd"/>
      <w:r w:rsidRPr="00BE7715">
        <w:rPr>
          <w:lang w:val="en-US"/>
        </w:rPr>
        <w:t>Pathophysiology of diabetes: An overview</w:t>
      </w:r>
      <w:r>
        <w:rPr>
          <w:lang w:val="en-US"/>
        </w:rPr>
        <w:t>’,</w:t>
      </w:r>
      <w:r w:rsidRPr="00BE7715">
        <w:rPr>
          <w:lang w:val="en-US"/>
        </w:rPr>
        <w:t xml:space="preserve"> </w:t>
      </w:r>
      <w:r w:rsidRPr="00BE7715">
        <w:rPr>
          <w:i/>
          <w:iCs/>
          <w:lang w:val="en-US"/>
        </w:rPr>
        <w:t>Avicenna Journal of Medicine</w:t>
      </w:r>
      <w:r w:rsidRPr="00BE7715">
        <w:rPr>
          <w:lang w:val="en-US"/>
        </w:rPr>
        <w:t xml:space="preserve">, 10(4), 174. </w:t>
      </w:r>
      <w:hyperlink r:id="rId10" w:history="1">
        <w:r w:rsidRPr="00DD179F">
          <w:rPr>
            <w:rStyle w:val="Hyperlink"/>
            <w:lang w:val="en-US"/>
          </w:rPr>
          <w:t>https://doi.org/10.4103/ajm.ajm_53_20</w:t>
        </w:r>
      </w:hyperlink>
    </w:p>
    <w:p w14:paraId="02A9BD1E" w14:textId="77777777" w:rsidR="00EB5625" w:rsidRDefault="00EB5625" w:rsidP="00EB5625">
      <w:pPr>
        <w:spacing w:line="240" w:lineRule="auto"/>
        <w:rPr>
          <w:lang w:val="en-US"/>
        </w:rPr>
      </w:pPr>
      <w:r w:rsidRPr="00D6388E">
        <w:rPr>
          <w:lang w:val="en-US"/>
        </w:rPr>
        <w:t>Bird, S. R.</w:t>
      </w:r>
      <w:r>
        <w:rPr>
          <w:lang w:val="en-US"/>
        </w:rPr>
        <w:t xml:space="preserve"> and</w:t>
      </w:r>
      <w:r w:rsidRPr="00D6388E">
        <w:rPr>
          <w:lang w:val="en-US"/>
        </w:rPr>
        <w:t xml:space="preserve"> Hawley, J. A. (</w:t>
      </w:r>
      <w:proofErr w:type="gramStart"/>
      <w:r w:rsidRPr="00D6388E">
        <w:rPr>
          <w:lang w:val="en-US"/>
        </w:rPr>
        <w:t>2017)</w:t>
      </w:r>
      <w:r>
        <w:rPr>
          <w:lang w:val="en-US"/>
        </w:rPr>
        <w:t xml:space="preserve"> ‘</w:t>
      </w:r>
      <w:proofErr w:type="gramEnd"/>
      <w:r w:rsidRPr="00D6388E">
        <w:rPr>
          <w:lang w:val="en-US"/>
        </w:rPr>
        <w:t>Update on the effects of physical activity on insulin sensitivity in humans</w:t>
      </w:r>
      <w:r>
        <w:rPr>
          <w:lang w:val="en-US"/>
        </w:rPr>
        <w:t xml:space="preserve">’, </w:t>
      </w:r>
      <w:r w:rsidRPr="00D6388E">
        <w:rPr>
          <w:i/>
          <w:iCs/>
          <w:lang w:val="en-US"/>
        </w:rPr>
        <w:t>BMJ Open Sport — Exercise Medicine</w:t>
      </w:r>
      <w:r w:rsidRPr="00D6388E">
        <w:rPr>
          <w:lang w:val="en-US"/>
        </w:rPr>
        <w:t xml:space="preserve">, </w:t>
      </w:r>
      <w:r w:rsidRPr="00D6388E">
        <w:rPr>
          <w:i/>
          <w:iCs/>
          <w:lang w:val="en-US"/>
        </w:rPr>
        <w:t>2</w:t>
      </w:r>
      <w:r w:rsidRPr="00D6388E">
        <w:rPr>
          <w:lang w:val="en-US"/>
        </w:rPr>
        <w:t xml:space="preserve">(1), e000143. </w:t>
      </w:r>
      <w:hyperlink r:id="rId11" w:history="1">
        <w:r w:rsidRPr="00DD179F">
          <w:rPr>
            <w:rStyle w:val="Hyperlink"/>
            <w:lang w:val="en-US"/>
          </w:rPr>
          <w:t>https://doi.org/10.1136/bmjsem-2016-000143</w:t>
        </w:r>
      </w:hyperlink>
    </w:p>
    <w:p w14:paraId="44C8D6A7" w14:textId="77777777" w:rsidR="00EB5625" w:rsidRDefault="00EB5625" w:rsidP="00EB5625">
      <w:pPr>
        <w:spacing w:line="240" w:lineRule="auto"/>
        <w:rPr>
          <w:lang w:val="en-US"/>
        </w:rPr>
      </w:pPr>
      <w:r w:rsidRPr="00BA05C2">
        <w:rPr>
          <w:lang w:val="en-US"/>
        </w:rPr>
        <w:t>Chacko, E.</w:t>
      </w:r>
      <w:r>
        <w:rPr>
          <w:lang w:val="en-US"/>
        </w:rPr>
        <w:t xml:space="preserve"> and</w:t>
      </w:r>
      <w:r w:rsidRPr="00BA05C2">
        <w:rPr>
          <w:lang w:val="en-US"/>
        </w:rPr>
        <w:t xml:space="preserve"> Signore, C. (</w:t>
      </w:r>
      <w:proofErr w:type="gramStart"/>
      <w:r w:rsidRPr="00BA05C2">
        <w:rPr>
          <w:lang w:val="en-US"/>
        </w:rPr>
        <w:t>2020)</w:t>
      </w:r>
      <w:r>
        <w:rPr>
          <w:lang w:val="en-US"/>
        </w:rPr>
        <w:t xml:space="preserve"> ‘</w:t>
      </w:r>
      <w:proofErr w:type="gramEnd"/>
      <w:r w:rsidRPr="00BA05C2">
        <w:rPr>
          <w:lang w:val="en-US"/>
        </w:rPr>
        <w:t xml:space="preserve">Five Evidence-Based Lifestyle Habits People </w:t>
      </w:r>
      <w:proofErr w:type="gramStart"/>
      <w:r w:rsidRPr="00BA05C2">
        <w:rPr>
          <w:lang w:val="en-US"/>
        </w:rPr>
        <w:t>With</w:t>
      </w:r>
      <w:proofErr w:type="gramEnd"/>
      <w:r w:rsidRPr="00BA05C2">
        <w:rPr>
          <w:lang w:val="en-US"/>
        </w:rPr>
        <w:t xml:space="preserve"> Diabetes Can Use</w:t>
      </w:r>
      <w:r>
        <w:rPr>
          <w:lang w:val="en-US"/>
        </w:rPr>
        <w:t xml:space="preserve">’, </w:t>
      </w:r>
      <w:r w:rsidRPr="00BA05C2">
        <w:rPr>
          <w:i/>
          <w:iCs/>
          <w:lang w:val="en-US"/>
        </w:rPr>
        <w:t>Clinical Diabetes</w:t>
      </w:r>
      <w:r w:rsidRPr="00BA05C2">
        <w:rPr>
          <w:lang w:val="en-US"/>
        </w:rPr>
        <w:t xml:space="preserve">, 38(3), 273. </w:t>
      </w:r>
      <w:hyperlink r:id="rId12" w:history="1">
        <w:r w:rsidRPr="00DD179F">
          <w:rPr>
            <w:rStyle w:val="Hyperlink"/>
            <w:lang w:val="en-US"/>
          </w:rPr>
          <w:t>https://doi.org/10.2337/cd19-0078</w:t>
        </w:r>
      </w:hyperlink>
    </w:p>
    <w:p w14:paraId="67DFABB2" w14:textId="77777777" w:rsidR="00EB5625" w:rsidRDefault="00EB5625" w:rsidP="00EB5625">
      <w:pPr>
        <w:spacing w:line="240" w:lineRule="auto"/>
        <w:rPr>
          <w:lang w:val="en-US"/>
        </w:rPr>
      </w:pPr>
      <w:r w:rsidRPr="006A738A">
        <w:rPr>
          <w:lang w:val="en-US"/>
        </w:rPr>
        <w:t>Chandel, N.S. (</w:t>
      </w:r>
      <w:proofErr w:type="gramStart"/>
      <w:r w:rsidRPr="006A738A">
        <w:rPr>
          <w:lang w:val="en-US"/>
        </w:rPr>
        <w:t>2021)</w:t>
      </w:r>
      <w:r>
        <w:rPr>
          <w:lang w:val="en-US"/>
        </w:rPr>
        <w:t xml:space="preserve"> ‘</w:t>
      </w:r>
      <w:proofErr w:type="gramEnd"/>
      <w:r w:rsidRPr="006A738A">
        <w:rPr>
          <w:lang w:val="en-US"/>
        </w:rPr>
        <w:t>Glycolysis</w:t>
      </w:r>
      <w:r>
        <w:rPr>
          <w:lang w:val="en-US"/>
        </w:rPr>
        <w:t>’,</w:t>
      </w:r>
      <w:r w:rsidRPr="006A738A">
        <w:rPr>
          <w:lang w:val="en-US"/>
        </w:rPr>
        <w:t xml:space="preserve"> </w:t>
      </w:r>
      <w:r w:rsidRPr="006A738A">
        <w:rPr>
          <w:i/>
          <w:iCs/>
          <w:lang w:val="en-US"/>
        </w:rPr>
        <w:t>Cold Spring Harbor Perspectives in Biology</w:t>
      </w:r>
      <w:r w:rsidRPr="006A738A">
        <w:rPr>
          <w:lang w:val="en-US"/>
        </w:rPr>
        <w:t xml:space="preserve">, </w:t>
      </w:r>
      <w:r w:rsidRPr="006A738A">
        <w:rPr>
          <w:i/>
          <w:iCs/>
          <w:lang w:val="en-US"/>
        </w:rPr>
        <w:t>13</w:t>
      </w:r>
      <w:r w:rsidRPr="006A738A">
        <w:rPr>
          <w:lang w:val="en-US"/>
        </w:rPr>
        <w:t xml:space="preserve">(5), a040535. </w:t>
      </w:r>
      <w:hyperlink r:id="rId13" w:history="1">
        <w:r w:rsidRPr="00DD179F">
          <w:rPr>
            <w:rStyle w:val="Hyperlink"/>
            <w:lang w:val="en-US"/>
          </w:rPr>
          <w:t>https://doi.org/10.1101/cshperspect.a040535</w:t>
        </w:r>
      </w:hyperlink>
    </w:p>
    <w:p w14:paraId="0ACAB325" w14:textId="77777777" w:rsidR="00EB5625" w:rsidRDefault="00EB5625" w:rsidP="00EB5625">
      <w:pPr>
        <w:spacing w:line="240" w:lineRule="auto"/>
        <w:rPr>
          <w:lang w:val="en-US"/>
        </w:rPr>
      </w:pPr>
      <w:r w:rsidRPr="002C4254">
        <w:rPr>
          <w:lang w:val="en-US"/>
        </w:rPr>
        <w:t>Chaudhry</w:t>
      </w:r>
      <w:r>
        <w:rPr>
          <w:lang w:val="en-US"/>
        </w:rPr>
        <w:t xml:space="preserve">, </w:t>
      </w:r>
      <w:r w:rsidRPr="002C4254">
        <w:rPr>
          <w:lang w:val="en-US"/>
        </w:rPr>
        <w:t>R</w:t>
      </w:r>
      <w:r>
        <w:rPr>
          <w:lang w:val="en-US"/>
        </w:rPr>
        <w:t>. and</w:t>
      </w:r>
      <w:r w:rsidRPr="002C4254">
        <w:rPr>
          <w:lang w:val="en-US"/>
        </w:rPr>
        <w:t xml:space="preserve"> </w:t>
      </w:r>
      <w:proofErr w:type="spellStart"/>
      <w:r w:rsidRPr="002C4254">
        <w:rPr>
          <w:lang w:val="en-US"/>
        </w:rPr>
        <w:t>Varacallo</w:t>
      </w:r>
      <w:proofErr w:type="spellEnd"/>
      <w:r>
        <w:rPr>
          <w:lang w:val="en-US"/>
        </w:rPr>
        <w:t>,</w:t>
      </w:r>
      <w:r w:rsidRPr="002C4254">
        <w:rPr>
          <w:lang w:val="en-US"/>
        </w:rPr>
        <w:t xml:space="preserve"> M</w:t>
      </w:r>
      <w:r>
        <w:rPr>
          <w:lang w:val="en-US"/>
        </w:rPr>
        <w:t>.</w:t>
      </w:r>
      <w:r w:rsidRPr="002C4254">
        <w:rPr>
          <w:lang w:val="en-US"/>
        </w:rPr>
        <w:t xml:space="preserve">A. </w:t>
      </w:r>
      <w:r>
        <w:rPr>
          <w:lang w:val="en-US"/>
        </w:rPr>
        <w:t xml:space="preserve">(2023) </w:t>
      </w:r>
      <w:r w:rsidRPr="002C4254">
        <w:rPr>
          <w:lang w:val="en-US"/>
        </w:rPr>
        <w:t xml:space="preserve">Biochemistry, Glycolysis. In: </w:t>
      </w:r>
      <w:proofErr w:type="spellStart"/>
      <w:r w:rsidRPr="002C4254">
        <w:rPr>
          <w:lang w:val="en-US"/>
        </w:rPr>
        <w:t>StatPearls</w:t>
      </w:r>
      <w:proofErr w:type="spellEnd"/>
      <w:r w:rsidRPr="002C4254">
        <w:rPr>
          <w:lang w:val="en-US"/>
        </w:rPr>
        <w:t xml:space="preserve">. Treasure Island (FL): </w:t>
      </w:r>
      <w:proofErr w:type="spellStart"/>
      <w:r w:rsidRPr="002C4254">
        <w:rPr>
          <w:lang w:val="en-US"/>
        </w:rPr>
        <w:t>StatPearls</w:t>
      </w:r>
      <w:proofErr w:type="spellEnd"/>
      <w:r w:rsidRPr="002C4254">
        <w:rPr>
          <w:lang w:val="en-US"/>
        </w:rPr>
        <w:t xml:space="preserve"> Publishing. Available </w:t>
      </w:r>
      <w:r>
        <w:rPr>
          <w:lang w:val="en-US"/>
        </w:rPr>
        <w:t>at</w:t>
      </w:r>
      <w:r w:rsidRPr="002C4254">
        <w:rPr>
          <w:lang w:val="en-US"/>
        </w:rPr>
        <w:t xml:space="preserve">: </w:t>
      </w:r>
      <w:hyperlink r:id="rId14" w:history="1">
        <w:r w:rsidRPr="00DD179F">
          <w:rPr>
            <w:rStyle w:val="Hyperlink"/>
            <w:lang w:val="en-US"/>
          </w:rPr>
          <w:t>https://www.ncbi.nlm.nih.gov/books/NBK482303/</w:t>
        </w:r>
      </w:hyperlink>
    </w:p>
    <w:p w14:paraId="1D474000" w14:textId="77777777" w:rsidR="00EB5625" w:rsidRDefault="00EB5625" w:rsidP="00EB5625">
      <w:pPr>
        <w:spacing w:line="240" w:lineRule="auto"/>
        <w:rPr>
          <w:lang w:val="en-US"/>
        </w:rPr>
      </w:pPr>
      <w:r>
        <w:rPr>
          <w:lang w:val="en-US"/>
        </w:rPr>
        <w:t xml:space="preserve">Cox, S.E. (2013) </w:t>
      </w:r>
      <w:r w:rsidRPr="00D1590C">
        <w:rPr>
          <w:lang w:val="en-US"/>
        </w:rPr>
        <w:t>Energy Metabolism</w:t>
      </w:r>
      <w:r>
        <w:rPr>
          <w:lang w:val="en-US"/>
        </w:rPr>
        <w:t xml:space="preserve">. In: </w:t>
      </w:r>
      <w:r w:rsidRPr="00D1590C">
        <w:rPr>
          <w:i/>
          <w:iCs/>
          <w:lang w:val="en-US"/>
        </w:rPr>
        <w:t>Encyclopedia of Human Nutrition</w:t>
      </w:r>
      <w:r w:rsidRPr="00D1590C">
        <w:rPr>
          <w:lang w:val="en-US"/>
        </w:rPr>
        <w:t xml:space="preserve"> (</w:t>
      </w:r>
      <w:r>
        <w:rPr>
          <w:lang w:val="en-US"/>
        </w:rPr>
        <w:t>3</w:t>
      </w:r>
      <w:r w:rsidRPr="00D1590C">
        <w:rPr>
          <w:lang w:val="en-US"/>
        </w:rPr>
        <w:t xml:space="preserve">rd </w:t>
      </w:r>
      <w:proofErr w:type="spellStart"/>
      <w:r>
        <w:rPr>
          <w:lang w:val="en-US"/>
        </w:rPr>
        <w:t>e</w:t>
      </w:r>
      <w:r w:rsidRPr="00D1590C">
        <w:rPr>
          <w:lang w:val="en-US"/>
        </w:rPr>
        <w:t>dn</w:t>
      </w:r>
      <w:proofErr w:type="spellEnd"/>
      <w:r>
        <w:rPr>
          <w:lang w:val="en-US"/>
        </w:rPr>
        <w:t>.</w:t>
      </w:r>
      <w:r w:rsidRPr="00D1590C">
        <w:rPr>
          <w:lang w:val="en-US"/>
        </w:rPr>
        <w:t>)</w:t>
      </w:r>
      <w:r>
        <w:rPr>
          <w:lang w:val="en-US"/>
        </w:rPr>
        <w:t xml:space="preserve">. Elsevier (pp. </w:t>
      </w:r>
      <w:r w:rsidRPr="00D1590C">
        <w:rPr>
          <w:lang w:val="en-US"/>
        </w:rPr>
        <w:t>177-185</w:t>
      </w:r>
      <w:r>
        <w:rPr>
          <w:lang w:val="en-US"/>
        </w:rPr>
        <w:t>).</w:t>
      </w:r>
    </w:p>
    <w:p w14:paraId="516F0442" w14:textId="77777777" w:rsidR="00EB5625" w:rsidRDefault="00EB5625" w:rsidP="00EB5625">
      <w:pPr>
        <w:spacing w:line="240" w:lineRule="auto"/>
        <w:rPr>
          <w:lang w:val="en-US"/>
        </w:rPr>
      </w:pPr>
      <w:r w:rsidRPr="00F60E67">
        <w:rPr>
          <w:lang w:val="en-US"/>
        </w:rPr>
        <w:t>Galicia-Garcia, U.</w:t>
      </w:r>
      <w:r>
        <w:rPr>
          <w:lang w:val="en-US"/>
        </w:rPr>
        <w:t xml:space="preserve"> </w:t>
      </w:r>
      <w:r w:rsidRPr="00F60E67">
        <w:rPr>
          <w:i/>
          <w:iCs/>
          <w:lang w:val="en-US"/>
        </w:rPr>
        <w:t>et al</w:t>
      </w:r>
      <w:r w:rsidRPr="00F60E67">
        <w:rPr>
          <w:lang w:val="en-US"/>
        </w:rPr>
        <w:t>. (</w:t>
      </w:r>
      <w:proofErr w:type="gramStart"/>
      <w:r w:rsidRPr="00F60E67">
        <w:rPr>
          <w:lang w:val="en-US"/>
        </w:rPr>
        <w:t>2020)</w:t>
      </w:r>
      <w:r>
        <w:rPr>
          <w:lang w:val="en-US"/>
        </w:rPr>
        <w:t xml:space="preserve"> ‘</w:t>
      </w:r>
      <w:proofErr w:type="gramEnd"/>
      <w:r w:rsidRPr="00F60E67">
        <w:rPr>
          <w:lang w:val="en-US"/>
        </w:rPr>
        <w:t>Pathophysiology of Type 2 Diabetes Mellitus</w:t>
      </w:r>
      <w:r>
        <w:rPr>
          <w:lang w:val="en-US"/>
        </w:rPr>
        <w:t>’,</w:t>
      </w:r>
      <w:r w:rsidRPr="00F60E67">
        <w:rPr>
          <w:lang w:val="en-US"/>
        </w:rPr>
        <w:t xml:space="preserve"> </w:t>
      </w:r>
      <w:r w:rsidRPr="00F60E67">
        <w:rPr>
          <w:i/>
          <w:iCs/>
          <w:lang w:val="en-US"/>
        </w:rPr>
        <w:t>International Journal of Molecular Sciences</w:t>
      </w:r>
      <w:r w:rsidRPr="00F60E67">
        <w:rPr>
          <w:lang w:val="en-US"/>
        </w:rPr>
        <w:t xml:space="preserve">, </w:t>
      </w:r>
      <w:r w:rsidRPr="00F60E67">
        <w:rPr>
          <w:i/>
          <w:iCs/>
          <w:lang w:val="en-US"/>
        </w:rPr>
        <w:t>21</w:t>
      </w:r>
      <w:r w:rsidRPr="00F60E67">
        <w:rPr>
          <w:lang w:val="en-US"/>
        </w:rPr>
        <w:t xml:space="preserve">(17), 6275. </w:t>
      </w:r>
      <w:hyperlink r:id="rId15" w:history="1">
        <w:r w:rsidRPr="00DD179F">
          <w:rPr>
            <w:rStyle w:val="Hyperlink"/>
            <w:lang w:val="en-US"/>
          </w:rPr>
          <w:t>https://doi.org/10.3390/ijms21176275</w:t>
        </w:r>
      </w:hyperlink>
    </w:p>
    <w:p w14:paraId="2B034406" w14:textId="77777777" w:rsidR="00EB5625" w:rsidRDefault="00EB5625" w:rsidP="00EB5625">
      <w:pPr>
        <w:spacing w:line="240" w:lineRule="auto"/>
        <w:rPr>
          <w:lang w:val="en-US"/>
        </w:rPr>
      </w:pPr>
      <w:r w:rsidRPr="009F1A1C">
        <w:rPr>
          <w:lang w:val="en-US"/>
        </w:rPr>
        <w:t xml:space="preserve">Guyton, A.C. and Hall, J.E. (2021) </w:t>
      </w:r>
      <w:r w:rsidRPr="009F1A1C">
        <w:rPr>
          <w:i/>
          <w:iCs/>
          <w:lang w:val="en-US"/>
        </w:rPr>
        <w:t>Guyton and Hall Textbook of Medical Physiology</w:t>
      </w:r>
      <w:r w:rsidRPr="009F1A1C">
        <w:rPr>
          <w:lang w:val="en-US"/>
        </w:rPr>
        <w:t xml:space="preserve">. 14th </w:t>
      </w:r>
      <w:proofErr w:type="spellStart"/>
      <w:r w:rsidRPr="009F1A1C">
        <w:rPr>
          <w:lang w:val="en-US"/>
        </w:rPr>
        <w:t>edn</w:t>
      </w:r>
      <w:proofErr w:type="spellEnd"/>
      <w:r w:rsidRPr="009F1A1C">
        <w:rPr>
          <w:lang w:val="en-US"/>
        </w:rPr>
        <w:t>. Philadelphia: Elsevier.</w:t>
      </w:r>
    </w:p>
    <w:p w14:paraId="3755712C" w14:textId="77777777" w:rsidR="00EB5625" w:rsidRDefault="00EB5625" w:rsidP="00EB5625">
      <w:pPr>
        <w:spacing w:line="240" w:lineRule="auto"/>
      </w:pPr>
      <w:r w:rsidRPr="004B777C">
        <w:t>International Diabetes Federation (2024</w:t>
      </w:r>
      <w:r w:rsidRPr="00D6388E">
        <w:t xml:space="preserve">) </w:t>
      </w:r>
      <w:r w:rsidRPr="00D6388E">
        <w:rPr>
          <w:i/>
          <w:iCs/>
        </w:rPr>
        <w:t>IDF Diabetes Atlas</w:t>
      </w:r>
      <w:r w:rsidRPr="00D6388E">
        <w:t xml:space="preserve">. 11th </w:t>
      </w:r>
      <w:proofErr w:type="spellStart"/>
      <w:r w:rsidRPr="00D6388E">
        <w:t>edn</w:t>
      </w:r>
      <w:proofErr w:type="spellEnd"/>
      <w:r w:rsidRPr="00D6388E">
        <w:t>. Brussels: International Diabetes Federation.</w:t>
      </w:r>
      <w:r>
        <w:t xml:space="preserve"> Available at: </w:t>
      </w:r>
      <w:hyperlink r:id="rId16" w:history="1">
        <w:r w:rsidRPr="00DD179F">
          <w:rPr>
            <w:rStyle w:val="Hyperlink"/>
          </w:rPr>
          <w:t>https://diabetesatlas.org/?gad_source=1</w:t>
        </w:r>
      </w:hyperlink>
      <w:r>
        <w:t xml:space="preserve"> (Accessed: 8 July 2026).</w:t>
      </w:r>
    </w:p>
    <w:p w14:paraId="63E37A67" w14:textId="77777777" w:rsidR="00EB5625" w:rsidRDefault="00EB5625" w:rsidP="00EB5625">
      <w:pPr>
        <w:spacing w:line="240" w:lineRule="auto"/>
        <w:rPr>
          <w:lang w:val="en-US"/>
        </w:rPr>
      </w:pPr>
      <w:r w:rsidRPr="005C5C31">
        <w:rPr>
          <w:lang w:val="en-US"/>
        </w:rPr>
        <w:t>Jackson, M. A., Ahmann, A.</w:t>
      </w:r>
      <w:r>
        <w:rPr>
          <w:lang w:val="en-US"/>
        </w:rPr>
        <w:t xml:space="preserve"> and</w:t>
      </w:r>
      <w:r w:rsidRPr="005C5C31">
        <w:rPr>
          <w:lang w:val="en-US"/>
        </w:rPr>
        <w:t xml:space="preserve"> Shah, V. N. (2021)</w:t>
      </w:r>
      <w:r>
        <w:rPr>
          <w:lang w:val="en-US"/>
        </w:rPr>
        <w:t xml:space="preserve"> ‘</w:t>
      </w:r>
      <w:r w:rsidRPr="005C5C31">
        <w:rPr>
          <w:lang w:val="en-US"/>
        </w:rPr>
        <w:t>Type 2 Diabetes and the Use of Real-Time Continuous Glucose Monitoring</w:t>
      </w:r>
      <w:r>
        <w:rPr>
          <w:lang w:val="en-US"/>
        </w:rPr>
        <w:t xml:space="preserve">’, </w:t>
      </w:r>
      <w:r w:rsidRPr="005C5C31">
        <w:rPr>
          <w:i/>
          <w:iCs/>
          <w:lang w:val="en-US"/>
        </w:rPr>
        <w:t>Diabetes Technology &amp; Therapeutics</w:t>
      </w:r>
      <w:r w:rsidRPr="005C5C31">
        <w:rPr>
          <w:lang w:val="en-US"/>
        </w:rPr>
        <w:t xml:space="preserve">, </w:t>
      </w:r>
      <w:r w:rsidRPr="005C5C31">
        <w:rPr>
          <w:i/>
          <w:iCs/>
          <w:lang w:val="en-US"/>
        </w:rPr>
        <w:t>23</w:t>
      </w:r>
      <w:r w:rsidRPr="005C5C31">
        <w:rPr>
          <w:lang w:val="en-US"/>
        </w:rPr>
        <w:t xml:space="preserve">(Suppl 1), S-27. </w:t>
      </w:r>
      <w:hyperlink r:id="rId17" w:history="1">
        <w:r w:rsidRPr="00DD179F">
          <w:rPr>
            <w:rStyle w:val="Hyperlink"/>
            <w:lang w:val="en-US"/>
          </w:rPr>
          <w:t>https://doi.org/10.1089/dia.2021.0007</w:t>
        </w:r>
      </w:hyperlink>
    </w:p>
    <w:p w14:paraId="28DB9DF5" w14:textId="77777777" w:rsidR="00EB5625" w:rsidRDefault="00EB5625" w:rsidP="00EB5625">
      <w:pPr>
        <w:spacing w:line="240" w:lineRule="auto"/>
        <w:rPr>
          <w:lang w:val="en-US"/>
        </w:rPr>
      </w:pPr>
      <w:r w:rsidRPr="007623B9">
        <w:rPr>
          <w:lang w:val="en-US"/>
        </w:rPr>
        <w:t xml:space="preserve">Korrapati, D. </w:t>
      </w:r>
      <w:r w:rsidRPr="007623B9">
        <w:rPr>
          <w:i/>
          <w:iCs/>
          <w:lang w:val="en-US"/>
        </w:rPr>
        <w:t>et al.</w:t>
      </w:r>
      <w:r w:rsidRPr="007623B9">
        <w:rPr>
          <w:lang w:val="en-US"/>
        </w:rPr>
        <w:t xml:space="preserve"> (</w:t>
      </w:r>
      <w:proofErr w:type="gramStart"/>
      <w:r w:rsidRPr="007623B9">
        <w:rPr>
          <w:lang w:val="en-US"/>
        </w:rPr>
        <w:t>2018)</w:t>
      </w:r>
      <w:r>
        <w:rPr>
          <w:lang w:val="en-US"/>
        </w:rPr>
        <w:t xml:space="preserve"> ‘</w:t>
      </w:r>
      <w:proofErr w:type="gramEnd"/>
      <w:r w:rsidRPr="007623B9">
        <w:rPr>
          <w:lang w:val="en-US"/>
        </w:rPr>
        <w:t xml:space="preserve">Development of Low </w:t>
      </w:r>
      <w:proofErr w:type="spellStart"/>
      <w:r w:rsidRPr="007623B9">
        <w:rPr>
          <w:lang w:val="en-US"/>
        </w:rPr>
        <w:t>Glyc</w:t>
      </w:r>
      <w:r>
        <w:rPr>
          <w:lang w:val="en-US"/>
        </w:rPr>
        <w:t>a</w:t>
      </w:r>
      <w:r w:rsidRPr="007623B9">
        <w:rPr>
          <w:lang w:val="en-US"/>
        </w:rPr>
        <w:t>emic</w:t>
      </w:r>
      <w:proofErr w:type="spellEnd"/>
      <w:r w:rsidRPr="007623B9">
        <w:rPr>
          <w:lang w:val="en-US"/>
        </w:rPr>
        <w:t xml:space="preserve"> Index Foods and Their Glucose Response in Young Healthy Non-Diabetic Subjects</w:t>
      </w:r>
      <w:r>
        <w:rPr>
          <w:lang w:val="en-US"/>
        </w:rPr>
        <w:t xml:space="preserve">’, </w:t>
      </w:r>
      <w:r w:rsidRPr="007623B9">
        <w:rPr>
          <w:i/>
          <w:iCs/>
          <w:lang w:val="en-US"/>
        </w:rPr>
        <w:t>Preventive Nutrition and Food Science</w:t>
      </w:r>
      <w:r w:rsidRPr="007623B9">
        <w:rPr>
          <w:lang w:val="en-US"/>
        </w:rPr>
        <w:t xml:space="preserve">, </w:t>
      </w:r>
      <w:r w:rsidRPr="007623B9">
        <w:rPr>
          <w:i/>
          <w:iCs/>
          <w:lang w:val="en-US"/>
        </w:rPr>
        <w:t>23</w:t>
      </w:r>
      <w:r w:rsidRPr="007623B9">
        <w:rPr>
          <w:lang w:val="en-US"/>
        </w:rPr>
        <w:t xml:space="preserve">(3), 181. </w:t>
      </w:r>
      <w:hyperlink r:id="rId18" w:history="1">
        <w:r w:rsidRPr="00DD179F">
          <w:rPr>
            <w:rStyle w:val="Hyperlink"/>
            <w:lang w:val="en-US"/>
          </w:rPr>
          <w:t>https://doi.org/10.3746/pnf.2018.23.3.181</w:t>
        </w:r>
      </w:hyperlink>
    </w:p>
    <w:p w14:paraId="0C477FFF" w14:textId="77777777" w:rsidR="00EB5625" w:rsidRDefault="00EB5625" w:rsidP="00EB5625">
      <w:pPr>
        <w:spacing w:line="240" w:lineRule="auto"/>
        <w:rPr>
          <w:lang w:val="en-US"/>
        </w:rPr>
      </w:pPr>
      <w:r w:rsidRPr="00C65928">
        <w:rPr>
          <w:lang w:val="en-US"/>
        </w:rPr>
        <w:lastRenderedPageBreak/>
        <w:t>Mann, E</w:t>
      </w:r>
      <w:r>
        <w:rPr>
          <w:lang w:val="en-US"/>
        </w:rPr>
        <w:t>.</w:t>
      </w:r>
      <w:r w:rsidRPr="00C65928">
        <w:rPr>
          <w:lang w:val="en-US"/>
        </w:rPr>
        <w:t>, Sunni, M</w:t>
      </w:r>
      <w:r>
        <w:rPr>
          <w:lang w:val="en-US"/>
        </w:rPr>
        <w:t>.</w:t>
      </w:r>
      <w:r w:rsidRPr="00C65928">
        <w:rPr>
          <w:lang w:val="en-US"/>
        </w:rPr>
        <w:t xml:space="preserve"> and Bellin, M</w:t>
      </w:r>
      <w:r>
        <w:rPr>
          <w:lang w:val="en-US"/>
        </w:rPr>
        <w:t>.</w:t>
      </w:r>
      <w:r w:rsidRPr="00C65928">
        <w:rPr>
          <w:lang w:val="en-US"/>
        </w:rPr>
        <w:t>D. (2020)</w:t>
      </w:r>
      <w:r>
        <w:rPr>
          <w:lang w:val="en-US"/>
        </w:rPr>
        <w:t xml:space="preserve"> ‘</w:t>
      </w:r>
      <w:r w:rsidRPr="00C65928">
        <w:rPr>
          <w:lang w:val="en-US"/>
        </w:rPr>
        <w:t>Secretion of Insulin in Response to Diet and Hormones</w:t>
      </w:r>
      <w:r>
        <w:rPr>
          <w:lang w:val="en-US"/>
        </w:rPr>
        <w:t xml:space="preserve">’, </w:t>
      </w:r>
      <w:proofErr w:type="spellStart"/>
      <w:r w:rsidRPr="005173AA">
        <w:rPr>
          <w:i/>
          <w:iCs/>
          <w:lang w:val="en-US"/>
        </w:rPr>
        <w:t>Pancreapedia</w:t>
      </w:r>
      <w:proofErr w:type="spellEnd"/>
      <w:r w:rsidRPr="005173AA">
        <w:rPr>
          <w:i/>
          <w:iCs/>
          <w:lang w:val="en-US"/>
        </w:rPr>
        <w:t>: Exocrine Pancreas Knowledge Base</w:t>
      </w:r>
      <w:r w:rsidRPr="00C65928">
        <w:rPr>
          <w:lang w:val="en-US"/>
        </w:rPr>
        <w:t>,</w:t>
      </w:r>
      <w:r>
        <w:rPr>
          <w:lang w:val="en-US"/>
        </w:rPr>
        <w:t xml:space="preserve"> </w:t>
      </w:r>
      <w:hyperlink r:id="rId19" w:history="1">
        <w:r w:rsidRPr="00DD179F">
          <w:rPr>
            <w:rStyle w:val="Hyperlink"/>
            <w:lang w:val="en-US"/>
          </w:rPr>
          <w:t>https://doi.org/10.3998/panc.2020.16</w:t>
        </w:r>
      </w:hyperlink>
    </w:p>
    <w:p w14:paraId="2E0611C2" w14:textId="77777777" w:rsidR="00EB5625" w:rsidRDefault="00EB5625" w:rsidP="00EB5625">
      <w:pPr>
        <w:spacing w:line="240" w:lineRule="auto"/>
        <w:rPr>
          <w:lang w:val="en-US"/>
        </w:rPr>
      </w:pPr>
      <w:r w:rsidRPr="007D215B">
        <w:rPr>
          <w:lang w:val="en-US"/>
        </w:rPr>
        <w:t>Mukherjee</w:t>
      </w:r>
      <w:r>
        <w:rPr>
          <w:lang w:val="en-US"/>
        </w:rPr>
        <w:t xml:space="preserve">, S. </w:t>
      </w:r>
      <w:r w:rsidRPr="007D215B">
        <w:rPr>
          <w:i/>
          <w:iCs/>
          <w:lang w:val="en-US"/>
        </w:rPr>
        <w:t>et al.</w:t>
      </w:r>
      <w:r>
        <w:rPr>
          <w:lang w:val="en-US"/>
        </w:rPr>
        <w:t xml:space="preserve"> (2024) ‘</w:t>
      </w:r>
      <w:r w:rsidRPr="004D09CE">
        <w:rPr>
          <w:lang w:val="en-US"/>
        </w:rPr>
        <w:t>Multi-level Analysis of HbA1c in Diagnosis and Prognosis of Diabetic Patients</w:t>
      </w:r>
      <w:r>
        <w:rPr>
          <w:lang w:val="en-US"/>
        </w:rPr>
        <w:t xml:space="preserve">’, </w:t>
      </w:r>
      <w:r w:rsidRPr="004D09CE">
        <w:rPr>
          <w:lang w:val="en-US"/>
        </w:rPr>
        <w:t>Current Diabetes Reviews</w:t>
      </w:r>
      <w:r>
        <w:rPr>
          <w:lang w:val="en-US"/>
        </w:rPr>
        <w:t xml:space="preserve">, </w:t>
      </w:r>
      <w:r w:rsidRPr="004D09CE">
        <w:rPr>
          <w:lang w:val="en-US"/>
        </w:rPr>
        <w:t>20</w:t>
      </w:r>
      <w:r>
        <w:rPr>
          <w:lang w:val="en-US"/>
        </w:rPr>
        <w:t>(</w:t>
      </w:r>
      <w:r w:rsidRPr="004D09CE">
        <w:rPr>
          <w:lang w:val="en-US"/>
        </w:rPr>
        <w:t>7</w:t>
      </w:r>
      <w:r>
        <w:rPr>
          <w:lang w:val="en-US"/>
        </w:rPr>
        <w:t xml:space="preserve">), </w:t>
      </w:r>
      <w:r w:rsidRPr="004D09CE">
        <w:rPr>
          <w:lang w:val="en-US"/>
        </w:rPr>
        <w:t>e251023222697</w:t>
      </w:r>
      <w:r>
        <w:rPr>
          <w:lang w:val="en-US"/>
        </w:rPr>
        <w:t xml:space="preserve">. </w:t>
      </w:r>
      <w:hyperlink r:id="rId20" w:history="1">
        <w:r w:rsidRPr="00DD179F">
          <w:rPr>
            <w:rStyle w:val="Hyperlink"/>
            <w:lang w:val="en-US"/>
          </w:rPr>
          <w:t>http://dx.doi.org/10.2174/0115733998262501231015051317</w:t>
        </w:r>
      </w:hyperlink>
    </w:p>
    <w:p w14:paraId="39E41B31" w14:textId="77777777" w:rsidR="00EB5625" w:rsidRDefault="00EB5625" w:rsidP="00EB5625">
      <w:pPr>
        <w:spacing w:line="240" w:lineRule="auto"/>
        <w:rPr>
          <w:lang w:val="en-US"/>
        </w:rPr>
      </w:pPr>
      <w:r>
        <w:rPr>
          <w:lang w:val="en-US"/>
        </w:rPr>
        <w:t>National Institute for Care and Excellence [</w:t>
      </w:r>
      <w:r w:rsidRPr="00C02A88">
        <w:rPr>
          <w:lang w:val="en-US"/>
        </w:rPr>
        <w:t>NICE</w:t>
      </w:r>
      <w:r>
        <w:rPr>
          <w:lang w:val="en-US"/>
        </w:rPr>
        <w:t>]</w:t>
      </w:r>
      <w:r w:rsidRPr="00C02A88">
        <w:rPr>
          <w:lang w:val="en-US"/>
        </w:rPr>
        <w:t xml:space="preserve"> (20</w:t>
      </w:r>
      <w:r>
        <w:rPr>
          <w:lang w:val="en-US"/>
        </w:rPr>
        <w:t>15</w:t>
      </w:r>
      <w:r w:rsidRPr="00C02A88">
        <w:rPr>
          <w:lang w:val="en-US"/>
        </w:rPr>
        <w:t xml:space="preserve">) </w:t>
      </w:r>
      <w:r w:rsidRPr="00C02A88">
        <w:rPr>
          <w:i/>
          <w:iCs/>
          <w:lang w:val="en-US"/>
        </w:rPr>
        <w:t>Type 2 Diabetes in Adults: Management (NG28).</w:t>
      </w:r>
      <w:r w:rsidRPr="00C02A88">
        <w:rPr>
          <w:lang w:val="en-US"/>
        </w:rPr>
        <w:t xml:space="preserve"> Available at: </w:t>
      </w:r>
      <w:hyperlink r:id="rId21" w:history="1">
        <w:r w:rsidRPr="00DD179F">
          <w:rPr>
            <w:rStyle w:val="Hyperlink"/>
            <w:lang w:val="en-US"/>
          </w:rPr>
          <w:t>https://www.nice.org.uk/guidance/ng28</w:t>
        </w:r>
      </w:hyperlink>
      <w:r>
        <w:rPr>
          <w:lang w:val="en-US"/>
        </w:rPr>
        <w:t xml:space="preserve"> </w:t>
      </w:r>
      <w:r w:rsidRPr="00C02A88">
        <w:rPr>
          <w:lang w:val="en-US"/>
        </w:rPr>
        <w:t xml:space="preserve">(Accessed: </w:t>
      </w:r>
      <w:r>
        <w:rPr>
          <w:lang w:val="en-US"/>
        </w:rPr>
        <w:t>8 July 2026</w:t>
      </w:r>
      <w:r w:rsidRPr="00C02A88">
        <w:rPr>
          <w:lang w:val="en-US"/>
        </w:rPr>
        <w:t>).</w:t>
      </w:r>
    </w:p>
    <w:p w14:paraId="7EF3E6DC" w14:textId="77777777" w:rsidR="00EB5625" w:rsidRDefault="00EB5625" w:rsidP="00EB5625">
      <w:pPr>
        <w:spacing w:line="240" w:lineRule="auto"/>
        <w:rPr>
          <w:lang w:val="en-US"/>
        </w:rPr>
      </w:pPr>
      <w:r w:rsidRPr="007F3C7B">
        <w:rPr>
          <w:lang w:val="en-US"/>
        </w:rPr>
        <w:t>Ojo, O.A.</w:t>
      </w:r>
      <w:r>
        <w:rPr>
          <w:lang w:val="en-US"/>
        </w:rPr>
        <w:t xml:space="preserve"> </w:t>
      </w:r>
      <w:r w:rsidRPr="007F3C7B">
        <w:rPr>
          <w:i/>
          <w:iCs/>
          <w:lang w:val="en-US"/>
        </w:rPr>
        <w:t>et al.</w:t>
      </w:r>
      <w:r w:rsidRPr="007F3C7B">
        <w:rPr>
          <w:lang w:val="en-US"/>
        </w:rPr>
        <w:t xml:space="preserve"> (</w:t>
      </w:r>
      <w:proofErr w:type="gramStart"/>
      <w:r w:rsidRPr="007F3C7B">
        <w:rPr>
          <w:lang w:val="en-US"/>
        </w:rPr>
        <w:t>2023)</w:t>
      </w:r>
      <w:r>
        <w:rPr>
          <w:lang w:val="en-US"/>
        </w:rPr>
        <w:t xml:space="preserve"> ‘</w:t>
      </w:r>
      <w:proofErr w:type="gramEnd"/>
      <w:r w:rsidRPr="007F3C7B">
        <w:rPr>
          <w:lang w:val="en-US"/>
        </w:rPr>
        <w:t>Diabetes mellitus: From molecular mechanism to pathophysiology and pharmacology</w:t>
      </w:r>
      <w:r>
        <w:rPr>
          <w:lang w:val="en-US"/>
        </w:rPr>
        <w:t>’,</w:t>
      </w:r>
      <w:r w:rsidRPr="007F3C7B">
        <w:rPr>
          <w:lang w:val="en-US"/>
        </w:rPr>
        <w:t xml:space="preserve"> </w:t>
      </w:r>
      <w:r w:rsidRPr="007F3C7B">
        <w:rPr>
          <w:i/>
          <w:iCs/>
          <w:lang w:val="en-US"/>
        </w:rPr>
        <w:t>Medicine in Novel Technology and Devices</w:t>
      </w:r>
      <w:r w:rsidRPr="007F3C7B">
        <w:rPr>
          <w:lang w:val="en-US"/>
        </w:rPr>
        <w:t xml:space="preserve">, </w:t>
      </w:r>
      <w:r w:rsidRPr="007F3C7B">
        <w:rPr>
          <w:i/>
          <w:iCs/>
          <w:lang w:val="en-US"/>
        </w:rPr>
        <w:t>19</w:t>
      </w:r>
      <w:r w:rsidRPr="007F3C7B">
        <w:rPr>
          <w:lang w:val="en-US"/>
        </w:rPr>
        <w:t xml:space="preserve">, 100247. </w:t>
      </w:r>
      <w:hyperlink r:id="rId22" w:history="1">
        <w:r w:rsidRPr="00DD179F">
          <w:rPr>
            <w:rStyle w:val="Hyperlink"/>
            <w:lang w:val="en-US"/>
          </w:rPr>
          <w:t>https://doi.org/10.1016/j.medntd.2023.100247</w:t>
        </w:r>
      </w:hyperlink>
    </w:p>
    <w:p w14:paraId="6DEC91BC" w14:textId="77777777" w:rsidR="00EB5625" w:rsidRDefault="00EB5625" w:rsidP="00EB5625">
      <w:pPr>
        <w:spacing w:line="240" w:lineRule="auto"/>
        <w:rPr>
          <w:lang w:val="en-US"/>
        </w:rPr>
      </w:pPr>
      <w:r w:rsidRPr="006353EF">
        <w:rPr>
          <w:lang w:val="en-US"/>
        </w:rPr>
        <w:t xml:space="preserve">Public Health England (2018) </w:t>
      </w:r>
      <w:r w:rsidRPr="006353EF">
        <w:rPr>
          <w:i/>
          <w:iCs/>
          <w:lang w:val="en-US"/>
        </w:rPr>
        <w:t>Health matters: preventing type 2 diabetes</w:t>
      </w:r>
      <w:r w:rsidRPr="006353EF">
        <w:rPr>
          <w:lang w:val="en-US"/>
        </w:rPr>
        <w:t>.</w:t>
      </w:r>
      <w:r>
        <w:rPr>
          <w:lang w:val="en-US"/>
        </w:rPr>
        <w:t xml:space="preserve"> Available at: </w:t>
      </w:r>
      <w:hyperlink r:id="rId23" w:history="1">
        <w:r w:rsidRPr="00DD179F">
          <w:rPr>
            <w:rStyle w:val="Hyperlink"/>
            <w:lang w:val="en-US"/>
          </w:rPr>
          <w:t>https://www.gov.uk/government/publications/health-matters-preventing-type-2-diabetes/health-matters-preventing-type-2-diabetes</w:t>
        </w:r>
      </w:hyperlink>
      <w:r>
        <w:rPr>
          <w:lang w:val="en-US"/>
        </w:rPr>
        <w:t xml:space="preserve"> </w:t>
      </w:r>
      <w:r w:rsidRPr="006353EF">
        <w:rPr>
          <w:lang w:val="en-US"/>
        </w:rPr>
        <w:t>(</w:t>
      </w:r>
      <w:r>
        <w:rPr>
          <w:lang w:val="en-US"/>
        </w:rPr>
        <w:t>A</w:t>
      </w:r>
      <w:r w:rsidRPr="006353EF">
        <w:rPr>
          <w:lang w:val="en-US"/>
        </w:rPr>
        <w:t>ccessed</w:t>
      </w:r>
      <w:r>
        <w:rPr>
          <w:lang w:val="en-US"/>
        </w:rPr>
        <w:t>: 8 July</w:t>
      </w:r>
      <w:r w:rsidRPr="006353EF">
        <w:rPr>
          <w:lang w:val="en-US"/>
        </w:rPr>
        <w:t xml:space="preserve"> 202</w:t>
      </w:r>
      <w:r>
        <w:rPr>
          <w:lang w:val="en-US"/>
        </w:rPr>
        <w:t>6</w:t>
      </w:r>
      <w:r w:rsidRPr="006353EF">
        <w:rPr>
          <w:lang w:val="en-US"/>
        </w:rPr>
        <w:t>).</w:t>
      </w:r>
    </w:p>
    <w:p w14:paraId="279FD767" w14:textId="77777777" w:rsidR="00EB5625" w:rsidRDefault="00EB5625" w:rsidP="00EB5625">
      <w:pPr>
        <w:spacing w:line="240" w:lineRule="auto"/>
        <w:rPr>
          <w:lang w:val="en-US"/>
        </w:rPr>
      </w:pPr>
      <w:r w:rsidRPr="00AC7D06">
        <w:rPr>
          <w:lang w:val="en-US"/>
        </w:rPr>
        <w:t>Röder, P.V.</w:t>
      </w:r>
      <w:r>
        <w:rPr>
          <w:lang w:val="en-US"/>
        </w:rPr>
        <w:t xml:space="preserve"> </w:t>
      </w:r>
      <w:r w:rsidRPr="00AC7D06">
        <w:rPr>
          <w:i/>
          <w:iCs/>
          <w:lang w:val="en-US"/>
        </w:rPr>
        <w:t>et al.</w:t>
      </w:r>
      <w:r w:rsidRPr="00AC7D06">
        <w:rPr>
          <w:lang w:val="en-US"/>
        </w:rPr>
        <w:t xml:space="preserve"> (2016)</w:t>
      </w:r>
      <w:r>
        <w:rPr>
          <w:lang w:val="en-US"/>
        </w:rPr>
        <w:t xml:space="preserve"> ‘</w:t>
      </w:r>
      <w:r w:rsidRPr="00AC7D06">
        <w:rPr>
          <w:lang w:val="en-US"/>
        </w:rPr>
        <w:t>Pancreatic regulation of glucose homeostasis</w:t>
      </w:r>
      <w:r>
        <w:rPr>
          <w:lang w:val="en-US"/>
        </w:rPr>
        <w:t xml:space="preserve">’, </w:t>
      </w:r>
      <w:r w:rsidRPr="008F724C">
        <w:rPr>
          <w:i/>
          <w:iCs/>
          <w:lang w:val="en-US"/>
        </w:rPr>
        <w:t>Experimental &amp; Molecular Medicine</w:t>
      </w:r>
      <w:r w:rsidRPr="00AC7D06">
        <w:rPr>
          <w:lang w:val="en-US"/>
        </w:rPr>
        <w:t xml:space="preserve">, 48(3), e219. </w:t>
      </w:r>
      <w:hyperlink r:id="rId24" w:history="1">
        <w:r w:rsidRPr="00DD179F">
          <w:rPr>
            <w:rStyle w:val="Hyperlink"/>
            <w:lang w:val="en-US"/>
          </w:rPr>
          <w:t>https://doi.org/10.1038/emm.2016.6</w:t>
        </w:r>
      </w:hyperlink>
    </w:p>
    <w:p w14:paraId="3A1758DE" w14:textId="77777777" w:rsidR="00EB5625" w:rsidRDefault="00EB5625" w:rsidP="00EB5625">
      <w:pPr>
        <w:spacing w:line="240" w:lineRule="auto"/>
        <w:rPr>
          <w:lang w:val="en-US"/>
        </w:rPr>
      </w:pPr>
      <w:r w:rsidRPr="00FB580B">
        <w:rPr>
          <w:lang w:val="en-US"/>
        </w:rPr>
        <w:t>Santos-Báez, L.</w:t>
      </w:r>
      <w:r>
        <w:rPr>
          <w:lang w:val="en-US"/>
        </w:rPr>
        <w:t xml:space="preserve"> </w:t>
      </w:r>
      <w:r w:rsidRPr="00FB580B">
        <w:rPr>
          <w:i/>
          <w:iCs/>
          <w:lang w:val="en-US"/>
        </w:rPr>
        <w:t>et al.</w:t>
      </w:r>
      <w:r w:rsidRPr="00FB580B">
        <w:rPr>
          <w:lang w:val="en-US"/>
        </w:rPr>
        <w:t xml:space="preserve"> (2024)</w:t>
      </w:r>
      <w:r>
        <w:rPr>
          <w:lang w:val="en-US"/>
        </w:rPr>
        <w:t xml:space="preserve"> ‘</w:t>
      </w:r>
      <w:r w:rsidRPr="00FB580B">
        <w:rPr>
          <w:lang w:val="en-US"/>
        </w:rPr>
        <w:t>Diet and Meal Pattern Determinants of Glucose Levels and Variability in Adults with and without Prediabetes or Early-Onset Type 2 Diabetes: A Pilot Study</w:t>
      </w:r>
      <w:r>
        <w:rPr>
          <w:lang w:val="en-US"/>
        </w:rPr>
        <w:t>’,</w:t>
      </w:r>
      <w:r w:rsidRPr="00FB580B">
        <w:rPr>
          <w:lang w:val="en-US"/>
        </w:rPr>
        <w:t xml:space="preserve"> </w:t>
      </w:r>
      <w:r w:rsidRPr="00FB580B">
        <w:rPr>
          <w:i/>
          <w:iCs/>
          <w:lang w:val="en-US"/>
        </w:rPr>
        <w:t>Nutrients</w:t>
      </w:r>
      <w:r w:rsidRPr="00FB580B">
        <w:rPr>
          <w:lang w:val="en-US"/>
        </w:rPr>
        <w:t xml:space="preserve">, </w:t>
      </w:r>
      <w:r w:rsidRPr="00FB580B">
        <w:rPr>
          <w:i/>
          <w:iCs/>
          <w:lang w:val="en-US"/>
        </w:rPr>
        <w:t>16</w:t>
      </w:r>
      <w:r w:rsidRPr="00FB580B">
        <w:rPr>
          <w:lang w:val="en-US"/>
        </w:rPr>
        <w:t xml:space="preserve">(9), 1295. </w:t>
      </w:r>
      <w:hyperlink r:id="rId25" w:history="1">
        <w:r w:rsidRPr="00DD179F">
          <w:rPr>
            <w:rStyle w:val="Hyperlink"/>
            <w:lang w:val="en-US"/>
          </w:rPr>
          <w:t>https://doi.org/10.3390/nu16091295</w:t>
        </w:r>
      </w:hyperlink>
    </w:p>
    <w:p w14:paraId="2CB91D4F" w14:textId="77777777" w:rsidR="00EB5625" w:rsidRDefault="00EB5625" w:rsidP="00EB5625">
      <w:pPr>
        <w:spacing w:line="240" w:lineRule="auto"/>
      </w:pPr>
      <w:r w:rsidRPr="00903706">
        <w:t xml:space="preserve">Tortora, G.J. and Derrickson, B.H. (2021) </w:t>
      </w:r>
      <w:r w:rsidRPr="00903706">
        <w:rPr>
          <w:i/>
          <w:iCs/>
        </w:rPr>
        <w:t>Principles of Anatomy and Physiology</w:t>
      </w:r>
      <w:r w:rsidRPr="00903706">
        <w:t xml:space="preserve">. 16th </w:t>
      </w:r>
      <w:proofErr w:type="spellStart"/>
      <w:r w:rsidRPr="00903706">
        <w:t>edn</w:t>
      </w:r>
      <w:proofErr w:type="spellEnd"/>
      <w:r w:rsidRPr="00903706">
        <w:t>. Hoboken: Wiley.</w:t>
      </w:r>
    </w:p>
    <w:p w14:paraId="54A61F50" w14:textId="77777777" w:rsidR="00EB5625" w:rsidRDefault="00EB5625" w:rsidP="00EB5625">
      <w:pPr>
        <w:spacing w:line="240" w:lineRule="auto"/>
      </w:pPr>
      <w:r w:rsidRPr="00A0339A">
        <w:t>Weinstock</w:t>
      </w:r>
      <w:r>
        <w:t xml:space="preserve">, </w:t>
      </w:r>
      <w:r w:rsidRPr="00A0339A">
        <w:t>R</w:t>
      </w:r>
      <w:r>
        <w:t>.</w:t>
      </w:r>
      <w:r w:rsidRPr="00A0339A">
        <w:t>S</w:t>
      </w:r>
      <w:r>
        <w:t>.</w:t>
      </w:r>
      <w:r w:rsidRPr="00A0339A">
        <w:t xml:space="preserve"> et al. </w:t>
      </w:r>
      <w:r>
        <w:t xml:space="preserve">(2020) </w:t>
      </w:r>
      <w:r w:rsidRPr="005C5C31">
        <w:rPr>
          <w:i/>
          <w:iCs/>
        </w:rPr>
        <w:t>The Role of Blood Glucose Monitoring in Diabetes Management</w:t>
      </w:r>
      <w:r w:rsidRPr="00A0339A">
        <w:t xml:space="preserve">. Arlington (VA): American Diabetes Association. Available </w:t>
      </w:r>
      <w:r>
        <w:t>at</w:t>
      </w:r>
      <w:r w:rsidRPr="00A0339A">
        <w:t xml:space="preserve">: </w:t>
      </w:r>
      <w:hyperlink r:id="rId26" w:history="1">
        <w:r w:rsidRPr="00DD179F">
          <w:rPr>
            <w:rStyle w:val="Hyperlink"/>
          </w:rPr>
          <w:t>https://www.ncbi.nlm.nih.gov/books/NBK566165/</w:t>
        </w:r>
      </w:hyperlink>
      <w:r>
        <w:t xml:space="preserve"> (Accessed: 8 July 2026).</w:t>
      </w:r>
    </w:p>
    <w:p w14:paraId="040C2213" w14:textId="77777777" w:rsidR="00EB5625" w:rsidRDefault="00EB5625" w:rsidP="00EB5625">
      <w:pPr>
        <w:spacing w:line="240" w:lineRule="auto"/>
        <w:rPr>
          <w:lang w:val="en-US"/>
        </w:rPr>
      </w:pPr>
      <w:r w:rsidRPr="005D5048">
        <w:rPr>
          <w:lang w:val="en-US"/>
        </w:rPr>
        <w:t>Whelan, M.</w:t>
      </w:r>
      <w:r>
        <w:rPr>
          <w:lang w:val="en-US"/>
        </w:rPr>
        <w:t xml:space="preserve"> and </w:t>
      </w:r>
      <w:r w:rsidRPr="005D5048">
        <w:rPr>
          <w:lang w:val="en-US"/>
        </w:rPr>
        <w:t>Bell, L. (2022)</w:t>
      </w:r>
      <w:r>
        <w:rPr>
          <w:lang w:val="en-US"/>
        </w:rPr>
        <w:t xml:space="preserve"> ‘</w:t>
      </w:r>
      <w:r w:rsidRPr="005D5048">
        <w:rPr>
          <w:lang w:val="en-US"/>
        </w:rPr>
        <w:t xml:space="preserve">The English national health service diabetes prevention </w:t>
      </w:r>
      <w:proofErr w:type="spellStart"/>
      <w:r w:rsidRPr="005D5048">
        <w:rPr>
          <w:lang w:val="en-US"/>
        </w:rPr>
        <w:t>programme</w:t>
      </w:r>
      <w:proofErr w:type="spellEnd"/>
      <w:r w:rsidRPr="005D5048">
        <w:rPr>
          <w:lang w:val="en-US"/>
        </w:rPr>
        <w:t xml:space="preserve"> (NHS DPP): A scoping review of existing evidence</w:t>
      </w:r>
      <w:r>
        <w:rPr>
          <w:lang w:val="en-US"/>
        </w:rPr>
        <w:t>’,</w:t>
      </w:r>
      <w:r w:rsidRPr="005D5048">
        <w:rPr>
          <w:lang w:val="en-US"/>
        </w:rPr>
        <w:t xml:space="preserve"> </w:t>
      </w:r>
      <w:r w:rsidRPr="005D5048">
        <w:rPr>
          <w:i/>
          <w:iCs/>
          <w:lang w:val="en-US"/>
        </w:rPr>
        <w:t>Diabetic Medicine</w:t>
      </w:r>
      <w:r w:rsidRPr="005D5048">
        <w:rPr>
          <w:lang w:val="en-US"/>
        </w:rPr>
        <w:t xml:space="preserve">, 39(7), e14855. </w:t>
      </w:r>
      <w:hyperlink r:id="rId27" w:history="1">
        <w:r w:rsidRPr="00DD179F">
          <w:rPr>
            <w:rStyle w:val="Hyperlink"/>
            <w:lang w:val="en-US"/>
          </w:rPr>
          <w:t>https://doi.org/10.1111/dme.14855</w:t>
        </w:r>
      </w:hyperlink>
    </w:p>
    <w:p w14:paraId="6083D67E" w14:textId="77777777" w:rsidR="00EB5625" w:rsidRDefault="00EB5625" w:rsidP="00EB5625">
      <w:pPr>
        <w:spacing w:line="240" w:lineRule="auto"/>
        <w:rPr>
          <w:lang w:val="en-US"/>
        </w:rPr>
      </w:pPr>
      <w:r>
        <w:rPr>
          <w:lang w:val="en-US"/>
        </w:rPr>
        <w:t xml:space="preserve">World Health </w:t>
      </w:r>
      <w:proofErr w:type="spellStart"/>
      <w:r>
        <w:rPr>
          <w:lang w:val="en-US"/>
        </w:rPr>
        <w:t>Organisation</w:t>
      </w:r>
      <w:proofErr w:type="spellEnd"/>
      <w:r>
        <w:rPr>
          <w:lang w:val="en-US"/>
        </w:rPr>
        <w:t xml:space="preserve"> [WHO] (2026)</w:t>
      </w:r>
      <w:r w:rsidRPr="008F0BCD">
        <w:rPr>
          <w:lang w:val="en-US"/>
        </w:rPr>
        <w:t xml:space="preserve"> </w:t>
      </w:r>
      <w:r w:rsidRPr="0063526B">
        <w:rPr>
          <w:i/>
          <w:iCs/>
          <w:lang w:val="en-US"/>
        </w:rPr>
        <w:t>Healthy Diet Factsheet</w:t>
      </w:r>
      <w:r w:rsidRPr="008F0BCD">
        <w:rPr>
          <w:lang w:val="en-US"/>
        </w:rPr>
        <w:t xml:space="preserve">. Available at: </w:t>
      </w:r>
      <w:hyperlink r:id="rId28" w:history="1">
        <w:r w:rsidRPr="00DD179F">
          <w:rPr>
            <w:rStyle w:val="Hyperlink"/>
            <w:lang w:val="en-US"/>
          </w:rPr>
          <w:t>https://www.who.int/news-room/fact-sheets/detail/healthy-diet</w:t>
        </w:r>
      </w:hyperlink>
      <w:r>
        <w:rPr>
          <w:lang w:val="en-US"/>
        </w:rPr>
        <w:t xml:space="preserve"> (Accessed: 8 July 2026).</w:t>
      </w:r>
    </w:p>
    <w:p w14:paraId="3CC88454" w14:textId="77777777" w:rsidR="00EB5625" w:rsidRDefault="00EB5625" w:rsidP="00EB5625">
      <w:pPr>
        <w:spacing w:line="240" w:lineRule="auto"/>
        <w:rPr>
          <w:lang w:val="en-US"/>
        </w:rPr>
      </w:pPr>
      <w:r w:rsidRPr="00BE7715">
        <w:rPr>
          <w:lang w:val="en-US"/>
        </w:rPr>
        <w:t>Yates, L (</w:t>
      </w:r>
      <w:proofErr w:type="gramStart"/>
      <w:r w:rsidRPr="00BE7715">
        <w:rPr>
          <w:lang w:val="en-US"/>
        </w:rPr>
        <w:t xml:space="preserve">2025) </w:t>
      </w:r>
      <w:r>
        <w:rPr>
          <w:lang w:val="en-US"/>
        </w:rPr>
        <w:t>‘</w:t>
      </w:r>
      <w:proofErr w:type="gramEnd"/>
      <w:r w:rsidRPr="00BE7715">
        <w:rPr>
          <w:lang w:val="en-US"/>
        </w:rPr>
        <w:t>A guide to the disease processes underlying type 2 diabetes</w:t>
      </w:r>
      <w:r>
        <w:rPr>
          <w:lang w:val="en-US"/>
        </w:rPr>
        <w:t xml:space="preserve">’, </w:t>
      </w:r>
      <w:r w:rsidRPr="00BE7715">
        <w:rPr>
          <w:i/>
          <w:iCs/>
          <w:lang w:val="en-US"/>
        </w:rPr>
        <w:t>Nursing Times’</w:t>
      </w:r>
      <w:r>
        <w:rPr>
          <w:lang w:val="en-US"/>
        </w:rPr>
        <w:t xml:space="preserve">, </w:t>
      </w:r>
      <w:r w:rsidRPr="00BE7715">
        <w:rPr>
          <w:lang w:val="en-US"/>
        </w:rPr>
        <w:t>121</w:t>
      </w:r>
      <w:r>
        <w:rPr>
          <w:lang w:val="en-US"/>
        </w:rPr>
        <w:t>(1),</w:t>
      </w:r>
      <w:r w:rsidRPr="00BE7715">
        <w:rPr>
          <w:lang w:val="en-US"/>
        </w:rPr>
        <w:t xml:space="preserve"> 9.</w:t>
      </w:r>
    </w:p>
    <w:p w14:paraId="7D1E6325" w14:textId="77777777" w:rsidR="005D095C" w:rsidRDefault="005D095C"/>
    <w:sectPr w:rsidR="005D095C" w:rsidSect="00EB5625">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223B8" w14:textId="77777777" w:rsidR="00EB2AD5" w:rsidRDefault="00EB2AD5">
      <w:pPr>
        <w:spacing w:before="0" w:after="0" w:line="240" w:lineRule="auto"/>
      </w:pPr>
      <w:r>
        <w:separator/>
      </w:r>
    </w:p>
  </w:endnote>
  <w:endnote w:type="continuationSeparator" w:id="0">
    <w:p w14:paraId="71C0037B" w14:textId="77777777" w:rsidR="00EB2AD5" w:rsidRDefault="00EB2AD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cs="Arial"/>
        <w:noProof/>
      </w:rPr>
    </w:sdtEndPr>
    <w:sdtContent>
      <w:p w14:paraId="152210AA" w14:textId="77777777" w:rsidR="00EB5625" w:rsidRPr="00C03A91" w:rsidRDefault="00EB5625">
        <w:pPr>
          <w:pStyle w:val="Footer"/>
          <w:jc w:val="center"/>
          <w:rPr>
            <w:rFonts w:cs="Arial"/>
          </w:rPr>
        </w:pPr>
        <w:r w:rsidRPr="00C03A91">
          <w:rPr>
            <w:rFonts w:cs="Arial"/>
          </w:rPr>
          <w:fldChar w:fldCharType="begin"/>
        </w:r>
        <w:r w:rsidRPr="00C03A91">
          <w:rPr>
            <w:rFonts w:cs="Arial"/>
          </w:rPr>
          <w:instrText xml:space="preserve"> PAGE   \* MERGEFORMAT </w:instrText>
        </w:r>
        <w:r w:rsidRPr="00C03A91">
          <w:rPr>
            <w:rFonts w:cs="Arial"/>
          </w:rPr>
          <w:fldChar w:fldCharType="separate"/>
        </w:r>
        <w:r w:rsidRPr="00C03A91">
          <w:rPr>
            <w:rFonts w:cs="Arial"/>
            <w:noProof/>
          </w:rPr>
          <w:t>2</w:t>
        </w:r>
        <w:r w:rsidRPr="00C03A91">
          <w:rPr>
            <w:rFonts w:cs="Arial"/>
            <w:noProof/>
          </w:rPr>
          <w:fldChar w:fldCharType="end"/>
        </w:r>
      </w:p>
    </w:sdtContent>
  </w:sdt>
  <w:p w14:paraId="56E610B7" w14:textId="77777777" w:rsidR="00EB5625" w:rsidRDefault="00EB5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0B0D6" w14:textId="77777777" w:rsidR="00EB2AD5" w:rsidRDefault="00EB2AD5">
      <w:pPr>
        <w:spacing w:before="0" w:after="0" w:line="240" w:lineRule="auto"/>
      </w:pPr>
      <w:r>
        <w:separator/>
      </w:r>
    </w:p>
  </w:footnote>
  <w:footnote w:type="continuationSeparator" w:id="0">
    <w:p w14:paraId="77CD2D1D" w14:textId="77777777" w:rsidR="00EB2AD5" w:rsidRDefault="00EB2AD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625"/>
    <w:rsid w:val="00087D29"/>
    <w:rsid w:val="000C6F2D"/>
    <w:rsid w:val="00176E0F"/>
    <w:rsid w:val="005C4BC1"/>
    <w:rsid w:val="005D095C"/>
    <w:rsid w:val="0069340B"/>
    <w:rsid w:val="0081058B"/>
    <w:rsid w:val="00CD4ED9"/>
    <w:rsid w:val="00D722FE"/>
    <w:rsid w:val="00E22A37"/>
    <w:rsid w:val="00EB2AD5"/>
    <w:rsid w:val="00EB5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06399"/>
  <w15:chartTrackingRefBased/>
  <w15:docId w15:val="{EEE9806F-81A1-4D11-89C7-33F01BBC3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625"/>
    <w:pPr>
      <w:spacing w:before="100" w:beforeAutospacing="1" w:after="100" w:afterAutospacing="1" w:line="360" w:lineRule="auto"/>
    </w:pPr>
    <w:rPr>
      <w:rFonts w:ascii="Arial" w:hAnsi="Arial"/>
      <w:kern w:val="0"/>
      <w:sz w:val="22"/>
      <w:szCs w:val="22"/>
      <w14:ligatures w14:val="none"/>
    </w:rPr>
  </w:style>
  <w:style w:type="paragraph" w:styleId="Heading1">
    <w:name w:val="heading 1"/>
    <w:basedOn w:val="Normal"/>
    <w:next w:val="Normal"/>
    <w:link w:val="Heading1Char"/>
    <w:uiPriority w:val="9"/>
    <w:qFormat/>
    <w:rsid w:val="00EB56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56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56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56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56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56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6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6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6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6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56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56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56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56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56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6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6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625"/>
    <w:rPr>
      <w:rFonts w:eastAsiaTheme="majorEastAsia" w:cstheme="majorBidi"/>
      <w:color w:val="272727" w:themeColor="text1" w:themeTint="D8"/>
    </w:rPr>
  </w:style>
  <w:style w:type="paragraph" w:styleId="Title">
    <w:name w:val="Title"/>
    <w:basedOn w:val="Normal"/>
    <w:next w:val="Normal"/>
    <w:link w:val="TitleChar"/>
    <w:uiPriority w:val="10"/>
    <w:qFormat/>
    <w:rsid w:val="00EB56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6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6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6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625"/>
    <w:pPr>
      <w:spacing w:before="160"/>
      <w:jc w:val="center"/>
    </w:pPr>
    <w:rPr>
      <w:i/>
      <w:iCs/>
      <w:color w:val="404040" w:themeColor="text1" w:themeTint="BF"/>
    </w:rPr>
  </w:style>
  <w:style w:type="character" w:customStyle="1" w:styleId="QuoteChar">
    <w:name w:val="Quote Char"/>
    <w:basedOn w:val="DefaultParagraphFont"/>
    <w:link w:val="Quote"/>
    <w:uiPriority w:val="29"/>
    <w:rsid w:val="00EB5625"/>
    <w:rPr>
      <w:i/>
      <w:iCs/>
      <w:color w:val="404040" w:themeColor="text1" w:themeTint="BF"/>
    </w:rPr>
  </w:style>
  <w:style w:type="paragraph" w:styleId="ListParagraph">
    <w:name w:val="List Paragraph"/>
    <w:basedOn w:val="Normal"/>
    <w:uiPriority w:val="34"/>
    <w:qFormat/>
    <w:rsid w:val="00EB5625"/>
    <w:pPr>
      <w:ind w:left="720"/>
      <w:contextualSpacing/>
    </w:pPr>
  </w:style>
  <w:style w:type="character" w:styleId="IntenseEmphasis">
    <w:name w:val="Intense Emphasis"/>
    <w:basedOn w:val="DefaultParagraphFont"/>
    <w:uiPriority w:val="21"/>
    <w:qFormat/>
    <w:rsid w:val="00EB5625"/>
    <w:rPr>
      <w:i/>
      <w:iCs/>
      <w:color w:val="0F4761" w:themeColor="accent1" w:themeShade="BF"/>
    </w:rPr>
  </w:style>
  <w:style w:type="paragraph" w:styleId="IntenseQuote">
    <w:name w:val="Intense Quote"/>
    <w:basedOn w:val="Normal"/>
    <w:next w:val="Normal"/>
    <w:link w:val="IntenseQuoteChar"/>
    <w:uiPriority w:val="30"/>
    <w:qFormat/>
    <w:rsid w:val="00EB56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5625"/>
    <w:rPr>
      <w:i/>
      <w:iCs/>
      <w:color w:val="0F4761" w:themeColor="accent1" w:themeShade="BF"/>
    </w:rPr>
  </w:style>
  <w:style w:type="character" w:styleId="IntenseReference">
    <w:name w:val="Intense Reference"/>
    <w:basedOn w:val="DefaultParagraphFont"/>
    <w:uiPriority w:val="32"/>
    <w:qFormat/>
    <w:rsid w:val="00EB5625"/>
    <w:rPr>
      <w:b/>
      <w:bCs/>
      <w:smallCaps/>
      <w:color w:val="0F4761" w:themeColor="accent1" w:themeShade="BF"/>
      <w:spacing w:val="5"/>
    </w:rPr>
  </w:style>
  <w:style w:type="character" w:styleId="Hyperlink">
    <w:name w:val="Hyperlink"/>
    <w:basedOn w:val="DefaultParagraphFont"/>
    <w:uiPriority w:val="99"/>
    <w:unhideWhenUsed/>
    <w:rsid w:val="00EB5625"/>
    <w:rPr>
      <w:color w:val="467886" w:themeColor="hyperlink"/>
      <w:u w:val="single"/>
    </w:rPr>
  </w:style>
  <w:style w:type="paragraph" w:styleId="Footer">
    <w:name w:val="footer"/>
    <w:basedOn w:val="Normal"/>
    <w:link w:val="FooterChar"/>
    <w:uiPriority w:val="99"/>
    <w:unhideWhenUsed/>
    <w:rsid w:val="00EB5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625"/>
    <w:rPr>
      <w:rFonts w:ascii="Arial" w:hAnsi="Arial"/>
      <w:kern w:val="0"/>
      <w:sz w:val="22"/>
      <w:szCs w:val="22"/>
      <w14:ligatures w14:val="none"/>
    </w:rPr>
  </w:style>
  <w:style w:type="paragraph" w:styleId="TOC1">
    <w:name w:val="toc 1"/>
    <w:basedOn w:val="Normal"/>
    <w:next w:val="Normal"/>
    <w:autoRedefine/>
    <w:uiPriority w:val="39"/>
    <w:unhideWhenUsed/>
    <w:rsid w:val="00EB5625"/>
  </w:style>
  <w:style w:type="paragraph" w:styleId="TOC2">
    <w:name w:val="toc 2"/>
    <w:basedOn w:val="Normal"/>
    <w:next w:val="Normal"/>
    <w:autoRedefine/>
    <w:uiPriority w:val="39"/>
    <w:unhideWhenUsed/>
    <w:rsid w:val="00EB5625"/>
    <w:pPr>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37/dc22-S002" TargetMode="External"/><Relationship Id="rId13" Type="http://schemas.openxmlformats.org/officeDocument/2006/relationships/hyperlink" Target="https://doi.org/10.1101/cshperspect.a040535" TargetMode="External"/><Relationship Id="rId18" Type="http://schemas.openxmlformats.org/officeDocument/2006/relationships/hyperlink" Target="https://doi.org/10.3746/pnf.2018.23.3.181" TargetMode="External"/><Relationship Id="rId26" Type="http://schemas.openxmlformats.org/officeDocument/2006/relationships/hyperlink" Target="https://www.ncbi.nlm.nih.gov/books/NBK566165/" TargetMode="External"/><Relationship Id="rId3" Type="http://schemas.openxmlformats.org/officeDocument/2006/relationships/webSettings" Target="webSettings.xml"/><Relationship Id="rId21" Type="http://schemas.openxmlformats.org/officeDocument/2006/relationships/hyperlink" Target="https://www.nice.org.uk/guidance/ng28" TargetMode="External"/><Relationship Id="rId7" Type="http://schemas.openxmlformats.org/officeDocument/2006/relationships/image" Target="cid:image001.png@01D0EA4A.2BD679A0" TargetMode="External"/><Relationship Id="rId12" Type="http://schemas.openxmlformats.org/officeDocument/2006/relationships/hyperlink" Target="https://doi.org/10.2337/cd19-0078" TargetMode="External"/><Relationship Id="rId17" Type="http://schemas.openxmlformats.org/officeDocument/2006/relationships/hyperlink" Target="https://doi.org/10.1089/dia.2021.0007" TargetMode="External"/><Relationship Id="rId25" Type="http://schemas.openxmlformats.org/officeDocument/2006/relationships/hyperlink" Target="https://doi.org/10.3390/nu16091295" TargetMode="External"/><Relationship Id="rId2" Type="http://schemas.openxmlformats.org/officeDocument/2006/relationships/settings" Target="settings.xml"/><Relationship Id="rId16" Type="http://schemas.openxmlformats.org/officeDocument/2006/relationships/hyperlink" Target="https://diabetesatlas.org/?gad_source=1" TargetMode="External"/><Relationship Id="rId20" Type="http://schemas.openxmlformats.org/officeDocument/2006/relationships/hyperlink" Target="http://dx.doi.org/10.2174/0115733998262501231015051317"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36/bmjsem-2016-000143" TargetMode="External"/><Relationship Id="rId24" Type="http://schemas.openxmlformats.org/officeDocument/2006/relationships/hyperlink" Target="https://doi.org/10.1038/emm.2016.6" TargetMode="External"/><Relationship Id="rId5" Type="http://schemas.openxmlformats.org/officeDocument/2006/relationships/endnotes" Target="endnotes.xml"/><Relationship Id="rId15" Type="http://schemas.openxmlformats.org/officeDocument/2006/relationships/hyperlink" Target="https://doi.org/10.3390/ijms21176275" TargetMode="External"/><Relationship Id="rId23" Type="http://schemas.openxmlformats.org/officeDocument/2006/relationships/hyperlink" Target="https://www.gov.uk/government/publications/health-matters-preventing-type-2-diabetes/health-matters-preventing-type-2-diabetes" TargetMode="External"/><Relationship Id="rId28" Type="http://schemas.openxmlformats.org/officeDocument/2006/relationships/hyperlink" Target="https://www.who.int/news-room/fact-sheets/detail/healthy-diet" TargetMode="External"/><Relationship Id="rId10" Type="http://schemas.openxmlformats.org/officeDocument/2006/relationships/hyperlink" Target="https://doi.org/10.4103/ajm.ajm_53_20" TargetMode="External"/><Relationship Id="rId19" Type="http://schemas.openxmlformats.org/officeDocument/2006/relationships/hyperlink" Target="https://doi.org/10.3998/panc.2020.16"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16/j.biopha.2023.115734" TargetMode="External"/><Relationship Id="rId14" Type="http://schemas.openxmlformats.org/officeDocument/2006/relationships/hyperlink" Target="https://www.ncbi.nlm.nih.gov/books/NBK482303/" TargetMode="External"/><Relationship Id="rId22" Type="http://schemas.openxmlformats.org/officeDocument/2006/relationships/hyperlink" Target="https://doi.org/10.1016/j.medntd.2023.100247" TargetMode="External"/><Relationship Id="rId27" Type="http://schemas.openxmlformats.org/officeDocument/2006/relationships/hyperlink" Target="https://doi.org/10.1111/dme.1485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3239</Words>
  <Characters>18468</Characters>
  <Application>Microsoft Office Word</Application>
  <DocSecurity>0</DocSecurity>
  <Lines>153</Lines>
  <Paragraphs>43</Paragraphs>
  <ScaleCrop>false</ScaleCrop>
  <Company/>
  <LinksUpToDate>false</LinksUpToDate>
  <CharactersWithSpaces>21664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Uzoma Egbeonu (2438118)</dc:creator>
  <cp:keywords/>
  <dc:description/>
  <cp:lastModifiedBy>Francis Uzoma Egbeonu (2438118)</cp:lastModifiedBy>
  <cp:revision>4</cp:revision>
  <dcterms:created xsi:type="dcterms:W3CDTF">2026-07-20T09:22:00Z</dcterms:created>
  <dcterms:modified xsi:type="dcterms:W3CDTF">2026-07-31T09:53:00Z</dcterms:modified>
</cp:coreProperties>
</file>