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B3" w:rsidRDefault="00996B0E">
      <w:r>
        <w:t xml:space="preserve">Working title: </w:t>
      </w:r>
      <w:r w:rsidRPr="00996B0E">
        <w:t>To what ext</w:t>
      </w:r>
      <w:bookmarkStart w:id="0" w:name="_GoBack"/>
      <w:bookmarkEnd w:id="0"/>
      <w:r w:rsidRPr="00996B0E">
        <w:t>ent do the remains of ritual feasting compare with the everyday eating habits and practices of the New Kingdom Egyptian people</w:t>
      </w:r>
      <w:r>
        <w:t xml:space="preserve"> (Subject to change)</w:t>
      </w:r>
      <w:r w:rsidR="001A2BF6">
        <w:t>.</w:t>
      </w:r>
    </w:p>
    <w:p w:rsidR="001A2BF6" w:rsidRDefault="001A2BF6">
      <w:r>
        <w:t xml:space="preserve">The topic that I am discussing is to do with food and the practice of eating within ancient Egypt. Within my research proposal form I specified that I would like to focus the research that I was doing within the bounds of the hybridisation of pottery. The idea that there is an international style of artwork, and that this is reflected in the pottery of an ancient civilisation when it comes into contact with another civilisation. I thought that this could have also held significance, on the way that the people of ancient civilisations were not only acting out the practice of consumption, but also have held insight into the types of food that were being consumed. If the hybridisation of pottery could also be used as a form of insight into the food that the people where eating, it might be able to give an insight into the methods of consumption that people were using. For example, might an ancient Egyptian drinking a Minoan wine drink it in a similar fashion as the Minoans might, using the same equipment and techniques as they might; much as in the same fashion as a modern western person might choose to use chopsticks when eating food from a county where the typical method of eating is through their use, such as in China or Japan. </w:t>
      </w:r>
      <w:r w:rsidR="00133776">
        <w:t>Considering whether or not this potential change in eating habits might reflect a change in the social structures of Egypt, and Egypt’s relationship with the country that said eating habits might originate from.</w:t>
      </w:r>
    </w:p>
    <w:p w:rsidR="00B644E8" w:rsidRDefault="00133776">
      <w:r>
        <w:t xml:space="preserve">The overarching aim of my dissertation was to be an exploration into how the social practice of eating might be explored by using the physical remains of the food and equipment that were deposited within </w:t>
      </w:r>
      <w:r w:rsidR="00B644E8">
        <w:t>an Egyptian funerary context</w:t>
      </w:r>
      <w:r>
        <w:t xml:space="preserve">. Largely through the use of the remains of funerary feasts, found within some of the New Kingdom tombs </w:t>
      </w:r>
      <w:r w:rsidR="00B644E8">
        <w:t xml:space="preserve">and by examining the remains of both the pottery and of the food itself. However, through the research that I was doing, largely through the reading of secondary sources it became apparent that the scope of what I wanted to do was rather limited. Making it difficult to find relevant sources that I could use to explore the topic that I wished to talk about. As a consequence, I decide to try extending the number of sources that I was drawing from, in an effort to discover whether or not the topic that I wished to discuss was viable. </w:t>
      </w:r>
      <w:r w:rsidR="008063E9">
        <w:t>This le</w:t>
      </w:r>
      <w:r w:rsidR="00B644E8">
        <w:t xml:space="preserve">d to the decision to broaden my research beyond the immediate physical remains that might be found within a funerary context, and to see if I could use other sources to discuss the topic I was interested in. </w:t>
      </w:r>
      <w:r w:rsidR="001E7E8F">
        <w:t>As this has been a fairly recent decision, as yet I have not looked into as many sources as I am able, however as yet the amount of sources that I appear to be able to draw from seems to be more promising.</w:t>
      </w:r>
    </w:p>
    <w:p w:rsidR="008A14B0" w:rsidRDefault="00F8726A">
      <w:r>
        <w:t>The decision that I have made to broaden the scope of my research extends the focus of any research that I do from looking almost exclusively at the archaeological remains set in a funerary context to looking at not only the remains of non-funerary feasts but also the pottery that was in circulation during the new kingdom of ancient Egypt as well as depictions of food and the consumption of food from within both artwork, and from within more mundane sources such as administrative records. I also thought that I might be able to look at isotopic analysis of the physical remains of ancient Egyptian people, to see if it was possible to extrapolate from the evidence of what the people were eating, to whether or not there was a correlation with the physical remains of the equipment of consumption. As an example, if there was isotopic evidence for the elites of the society to have been eating greater amounts of a certain type of meat, whether or not that might correlate with number of tools used in the preparation of meat for consumption found at places known to be elite residences or tombs, as opposed to those of the non-elites.</w:t>
      </w:r>
      <w:r w:rsidR="00FE0FF2">
        <w:t xml:space="preserve"> Similarly, I thought that I might be able to use the and compare artwork and literature remains to more administrational records to investigate as to whether there was a correlation with what the people were eating, and what might have been seen as the ideal type of consumption. If funerary reliefs and depictions show </w:t>
      </w:r>
      <w:r w:rsidR="00FE0FF2">
        <w:lastRenderedPageBreak/>
        <w:t>feasting as containing certain amounts of specific foods, such as fish, poultry or meat, do the administrational texts give a similar impression as to the types of food consumed</w:t>
      </w:r>
      <w:r w:rsidR="00DF1D47">
        <w:t xml:space="preserve">? </w:t>
      </w:r>
      <w:r w:rsidR="00A46947">
        <w:t>In which case they could be used as a way to consider the social practice of the performance of food consumption.</w:t>
      </w:r>
    </w:p>
    <w:p w:rsidR="00A46947" w:rsidRDefault="00A46947">
      <w:r>
        <w:t>Throughout the dissertation I will be using multiple different theories in order to examine the sources that I would be drawing from.</w:t>
      </w:r>
      <w:r w:rsidR="00805DEC">
        <w:t xml:space="preserve"> These would be used as a way to draw the different sources together and to help in analysing and formulating my arguments. One of the main theories that I would be using is the Theory of Practice and the concept of habitus. </w:t>
      </w:r>
      <w:r w:rsidR="00AD09C8">
        <w:t xml:space="preserve">This theory, explored by Pierre </w:t>
      </w:r>
      <w:r w:rsidR="00AD09C8" w:rsidRPr="00AD09C8">
        <w:t>Bourdieu</w:t>
      </w:r>
      <w:r w:rsidR="00AD09C8">
        <w:t xml:space="preserve"> in his </w:t>
      </w:r>
      <w:r w:rsidR="00AD09C8" w:rsidRPr="00983733">
        <w:rPr>
          <w:i/>
        </w:rPr>
        <w:t>Outline of a Theory of Practice</w:t>
      </w:r>
      <w:r w:rsidR="00AD09C8">
        <w:t xml:space="preserve"> is centred around the idea that the way in which people act out their daily lives, is subconsciously effected and reinforced by a “correct way of doing things”, that also being acted out by other people in the society</w:t>
      </w:r>
      <w:sdt>
        <w:sdtPr>
          <w:id w:val="78955154"/>
          <w:citation/>
        </w:sdtPr>
        <w:sdtContent>
          <w:r w:rsidR="00CC1AA6">
            <w:fldChar w:fldCharType="begin"/>
          </w:r>
          <w:r w:rsidR="00CC1AA6">
            <w:instrText xml:space="preserve"> CITATION Bou87 \l 2057 </w:instrText>
          </w:r>
          <w:r w:rsidR="00CC1AA6">
            <w:fldChar w:fldCharType="separate"/>
          </w:r>
          <w:r w:rsidR="00666CA8">
            <w:rPr>
              <w:noProof/>
            </w:rPr>
            <w:t xml:space="preserve"> </w:t>
          </w:r>
          <w:r w:rsidR="00666CA8" w:rsidRPr="00666CA8">
            <w:rPr>
              <w:noProof/>
            </w:rPr>
            <w:t>(Bourdieu, 1987)</w:t>
          </w:r>
          <w:r w:rsidR="00CC1AA6">
            <w:fldChar w:fldCharType="end"/>
          </w:r>
        </w:sdtContent>
      </w:sdt>
      <w:r w:rsidR="00AD09C8">
        <w:t>. This would carry implications for sources that I am looking at, due to the way in which it allows me to consider the greater context, in which my sources exist and enables me to link the physical remains of an action by an ancient person, to an action that took place. Linked in to this theory, is the idea of habitus, first looked at by Aristotle</w:t>
      </w:r>
      <w:r w:rsidR="00BF57A3">
        <w:t xml:space="preserve"> </w:t>
      </w:r>
      <w:sdt>
        <w:sdtPr>
          <w:id w:val="-1699458748"/>
          <w:citation/>
        </w:sdtPr>
        <w:sdtContent>
          <w:r w:rsidR="00BF57A3">
            <w:fldChar w:fldCharType="begin"/>
          </w:r>
          <w:r w:rsidR="00BF57A3">
            <w:instrText xml:space="preserve"> CITATION Sac00 \l 2057 </w:instrText>
          </w:r>
          <w:r w:rsidR="00BF57A3">
            <w:fldChar w:fldCharType="separate"/>
          </w:r>
          <w:r w:rsidR="00666CA8" w:rsidRPr="00666CA8">
            <w:rPr>
              <w:noProof/>
            </w:rPr>
            <w:t>(Sachs, 2000)</w:t>
          </w:r>
          <w:r w:rsidR="00BF57A3">
            <w:fldChar w:fldCharType="end"/>
          </w:r>
        </w:sdtContent>
      </w:sdt>
      <w:r w:rsidR="00AD09C8">
        <w:t xml:space="preserve"> in connection to virtue and the</w:t>
      </w:r>
      <w:r w:rsidR="00931995">
        <w:t xml:space="preserve"> routine of a good life the concept of habitus has been used in later years as a method to help explain the </w:t>
      </w:r>
      <w:r w:rsidR="006F409A">
        <w:t>way in which different people of different societies and backgrounds see the and interact with the world around them</w:t>
      </w:r>
      <w:sdt>
        <w:sdtPr>
          <w:id w:val="699512010"/>
          <w:citation/>
        </w:sdtPr>
        <w:sdtContent>
          <w:r w:rsidR="00097A51">
            <w:fldChar w:fldCharType="begin"/>
          </w:r>
          <w:r w:rsidR="00097A51">
            <w:instrText xml:space="preserve">CITATION Eik08 \p 53 \l 2057 </w:instrText>
          </w:r>
          <w:r w:rsidR="00097A51">
            <w:fldChar w:fldCharType="separate"/>
          </w:r>
          <w:r w:rsidR="00666CA8">
            <w:rPr>
              <w:noProof/>
            </w:rPr>
            <w:t xml:space="preserve"> </w:t>
          </w:r>
          <w:r w:rsidR="00666CA8" w:rsidRPr="00666CA8">
            <w:rPr>
              <w:noProof/>
            </w:rPr>
            <w:t>(Eikeland, 2008, p. 53)</w:t>
          </w:r>
          <w:r w:rsidR="00097A51">
            <w:fldChar w:fldCharType="end"/>
          </w:r>
        </w:sdtContent>
      </w:sdt>
      <w:r w:rsidR="006F409A">
        <w:t xml:space="preserve">. </w:t>
      </w:r>
      <w:r w:rsidR="004A3A63">
        <w:t>Due to the way that habitus is so closely linked to the theory of practice, it would have a similar effect on the interpretation and exploration of the sources that I use, helping me to research my question</w:t>
      </w:r>
      <w:sdt>
        <w:sdtPr>
          <w:id w:val="-306087140"/>
          <w:citation/>
        </w:sdtPr>
        <w:sdtContent>
          <w:r w:rsidR="00CC1AA6">
            <w:fldChar w:fldCharType="begin"/>
          </w:r>
          <w:r w:rsidR="00CC1AA6">
            <w:instrText xml:space="preserve"> CITATION Bou90 \l 2057 </w:instrText>
          </w:r>
          <w:r w:rsidR="00CC1AA6">
            <w:fldChar w:fldCharType="separate"/>
          </w:r>
          <w:r w:rsidR="00666CA8">
            <w:rPr>
              <w:noProof/>
            </w:rPr>
            <w:t xml:space="preserve"> </w:t>
          </w:r>
          <w:r w:rsidR="00666CA8" w:rsidRPr="00666CA8">
            <w:rPr>
              <w:noProof/>
            </w:rPr>
            <w:t>(Bourdieu, 1990)</w:t>
          </w:r>
          <w:r w:rsidR="00CC1AA6">
            <w:fldChar w:fldCharType="end"/>
          </w:r>
        </w:sdtContent>
      </w:sdt>
      <w:r w:rsidR="004A3A63">
        <w:t>.</w:t>
      </w:r>
    </w:p>
    <w:p w:rsidR="004A3A63" w:rsidRDefault="004A3A63">
      <w:r>
        <w:t xml:space="preserve">Another theory that I will be using as I continue with my dissertation is the theory of Structuralism. This theory, started as a linguistic </w:t>
      </w:r>
      <w:r w:rsidR="00216A1F">
        <w:t>theory, explaining how different words act in relation to other words within a sentence and the way in which this relation is integral to the overarching understanding of the word when it is used within a language</w:t>
      </w:r>
      <w:sdt>
        <w:sdtPr>
          <w:id w:val="-1056780035"/>
          <w:citation/>
        </w:sdtPr>
        <w:sdtContent>
          <w:r w:rsidR="00CC1AA6">
            <w:fldChar w:fldCharType="begin"/>
          </w:r>
          <w:r w:rsidR="00CC1AA6">
            <w:instrText xml:space="preserve"> CITATION Cul02 \l 2057 </w:instrText>
          </w:r>
          <w:r w:rsidR="00CC1AA6">
            <w:fldChar w:fldCharType="separate"/>
          </w:r>
          <w:r w:rsidR="00666CA8">
            <w:rPr>
              <w:noProof/>
            </w:rPr>
            <w:t xml:space="preserve"> </w:t>
          </w:r>
          <w:r w:rsidR="00666CA8" w:rsidRPr="00666CA8">
            <w:rPr>
              <w:noProof/>
            </w:rPr>
            <w:t>(Culler, 2002)</w:t>
          </w:r>
          <w:r w:rsidR="00CC1AA6">
            <w:fldChar w:fldCharType="end"/>
          </w:r>
        </w:sdtContent>
      </w:sdt>
      <w:r w:rsidR="00216A1F">
        <w:t>. This theory was later applied to Anthropology in order to enable researchers to explore different social actions within the larger context to a society</w:t>
      </w:r>
      <w:sdt>
        <w:sdtPr>
          <w:id w:val="-640431394"/>
          <w:citation/>
        </w:sdtPr>
        <w:sdtContent>
          <w:r w:rsidR="00CC1AA6">
            <w:fldChar w:fldCharType="begin"/>
          </w:r>
          <w:r w:rsidR="00CC1AA6">
            <w:instrText xml:space="preserve"> CITATION Luk10 \l 2057 </w:instrText>
          </w:r>
          <w:r w:rsidR="00CC1AA6">
            <w:fldChar w:fldCharType="separate"/>
          </w:r>
          <w:r w:rsidR="00666CA8">
            <w:rPr>
              <w:noProof/>
            </w:rPr>
            <w:t xml:space="preserve"> </w:t>
          </w:r>
          <w:r w:rsidR="00666CA8" w:rsidRPr="00666CA8">
            <w:rPr>
              <w:noProof/>
            </w:rPr>
            <w:t>(Mastin, 2010)</w:t>
          </w:r>
          <w:r w:rsidR="00CC1AA6">
            <w:fldChar w:fldCharType="end"/>
          </w:r>
        </w:sdtContent>
      </w:sdt>
      <w:r w:rsidR="00216A1F">
        <w:t>. Similarly to the theory of practice, this would enable me to compare and contrast the different sources that I use, in a way that would allow me to explore food in ancient Egypt and the social interactions that are intermeshed with it.</w:t>
      </w:r>
    </w:p>
    <w:p w:rsidR="003A7D81" w:rsidRDefault="001C1CC9">
      <w:r>
        <w:t xml:space="preserve">Furthermore, I will be looking at the concept of colonialism and neo colonialism, due to the way that several of my sources, </w:t>
      </w:r>
      <w:r w:rsidR="00E12F4E">
        <w:t>because</w:t>
      </w:r>
      <w:r>
        <w:t xml:space="preserve"> to their relationship with the New Kingdom of ancient Egypt</w:t>
      </w:r>
      <w:r w:rsidR="00E12F4E">
        <w:t>,</w:t>
      </w:r>
      <w:r>
        <w:t xml:space="preserve"> are located within the Egyptian colonies of Nubia. This will help me to explore the way that different societies can impact upon one another, within the sphere of consumption</w:t>
      </w:r>
      <w:r w:rsidR="00E27504">
        <w:t>,</w:t>
      </w:r>
      <w:r>
        <w:t xml:space="preserve"> and will inform upon the ways in which I explore and interact with my dissertation question.</w:t>
      </w:r>
      <w:r w:rsidR="00E27504">
        <w:t xml:space="preserve"> The idea of colonialism and neo colonialism would also help in my use of the concept of hybridity and the idea of the universal style. The concept of hybridity, whereby through the contact of one culture with another there is an exchange of information that can been seen within the physical remains of both cultures. For example, in the case of the Minoanising sphynx found at Malia where, </w:t>
      </w:r>
      <w:r w:rsidR="003A7D81">
        <w:t>despite</w:t>
      </w:r>
      <w:r w:rsidR="00E27504">
        <w:t xml:space="preserve"> the clear Egyptian influence in the way that the </w:t>
      </w:r>
      <w:r w:rsidR="003A7D81">
        <w:t>object is a sphynx, the features (such as the hair) and overall design of the sphynx are far more Minoan</w:t>
      </w:r>
      <w:sdt>
        <w:sdtPr>
          <w:id w:val="1984730674"/>
          <w:citation/>
        </w:sdtPr>
        <w:sdtContent>
          <w:r w:rsidR="00666CA8">
            <w:fldChar w:fldCharType="begin"/>
          </w:r>
          <w:r w:rsidR="00666CA8">
            <w:instrText xml:space="preserve"> CITATION Gir11 \l 2057 </w:instrText>
          </w:r>
          <w:r w:rsidR="00666CA8">
            <w:fldChar w:fldCharType="separate"/>
          </w:r>
          <w:r w:rsidR="00666CA8">
            <w:rPr>
              <w:noProof/>
            </w:rPr>
            <w:t xml:space="preserve"> </w:t>
          </w:r>
          <w:r w:rsidR="00666CA8" w:rsidRPr="00666CA8">
            <w:rPr>
              <w:noProof/>
            </w:rPr>
            <w:t>(Girella &amp; Pavúk, 2011)</w:t>
          </w:r>
          <w:r w:rsidR="00666CA8">
            <w:fldChar w:fldCharType="end"/>
          </w:r>
        </w:sdtContent>
      </w:sdt>
      <w:r w:rsidR="003A7D81">
        <w:t>. Which provides evidence that the two societies where in contact to such a degree that the transmission of ideas was a consequence of their interaction. As a consequence of looking at the hybridisation of pottery and of that of the equipment of consumption I decided to see if I could infer that the hybridisation of pottery might also be an example of the hybridisation of food. Much in the same way as a modern day fortune cookie</w:t>
      </w:r>
      <w:r w:rsidR="00C460C7">
        <w:t>,</w:t>
      </w:r>
      <w:r w:rsidR="003A7D81">
        <w:t xml:space="preserve"> </w:t>
      </w:r>
      <w:r w:rsidR="00C460C7">
        <w:t xml:space="preserve">with the general association of the fortune cookie being with Chinese restaurants, when the more likely origins of the fortune cookie were an adaptation of the Japanese </w:t>
      </w:r>
      <w:r w:rsidR="00C460C7">
        <w:rPr>
          <w:i/>
        </w:rPr>
        <w:t>senbei</w:t>
      </w:r>
      <w:r w:rsidR="00C460C7">
        <w:t xml:space="preserve"> by American restaurants</w:t>
      </w:r>
      <w:sdt>
        <w:sdtPr>
          <w:id w:val="30777904"/>
          <w:citation/>
        </w:sdtPr>
        <w:sdtContent>
          <w:r w:rsidR="00F11753">
            <w:fldChar w:fldCharType="begin"/>
          </w:r>
          <w:r w:rsidR="00F11753">
            <w:instrText xml:space="preserve">CITATION McW12 \p 81-83 \l 2057 </w:instrText>
          </w:r>
          <w:r w:rsidR="00F11753">
            <w:fldChar w:fldCharType="separate"/>
          </w:r>
          <w:r w:rsidR="00666CA8">
            <w:rPr>
              <w:noProof/>
            </w:rPr>
            <w:t xml:space="preserve"> </w:t>
          </w:r>
          <w:r w:rsidR="00666CA8" w:rsidRPr="00666CA8">
            <w:rPr>
              <w:noProof/>
            </w:rPr>
            <w:t>(McWilliams, 2012, pp. 81-83)</w:t>
          </w:r>
          <w:r w:rsidR="00F11753">
            <w:fldChar w:fldCharType="end"/>
          </w:r>
        </w:sdtContent>
      </w:sdt>
      <w:r w:rsidR="00C460C7">
        <w:t xml:space="preserve">. </w:t>
      </w:r>
      <w:r w:rsidR="00260414">
        <w:t xml:space="preserve">This concept, that there might be a link between the </w:t>
      </w:r>
      <w:r w:rsidR="00260414">
        <w:lastRenderedPageBreak/>
        <w:t>transmission of cultures between societies and the simultaneous transmission of food and the methods of consumption is a topic that I am very interested in.</w:t>
      </w:r>
    </w:p>
    <w:p w:rsidR="00B00A78" w:rsidRDefault="00B00A78">
      <w:r>
        <w:t xml:space="preserve">As of yet, the large majority of my research has consisted of the reading of </w:t>
      </w:r>
      <w:r w:rsidR="00996B0E">
        <w:t>secondary sources, however I am planning to go to visit a number of museums, amongst them the British museum, in order to gather primary data. I was also considering creating an anonymous online survey, in order to ask people about their own experiences with food and consumption and to see how their own social experiences of food might differ depending on who they are and where they are from. As I would have to complete an ethics form in order to use the survey results within my dissertation</w:t>
      </w:r>
      <w:r w:rsidR="00166A56">
        <w:t xml:space="preserve"> that would also be something that I would have to keep in mind if I decided to use that route of questioning. </w:t>
      </w:r>
    </w:p>
    <w:p w:rsidR="004B4BB0" w:rsidRPr="00C460C7" w:rsidRDefault="00166A56">
      <w:r>
        <w:t>In terms of the reading that I have been doing, the large number of sources that I have been using have been books; either physical copies or e-books. I have also been looking at both online and offline journals and articles all relating to the topic that I am interested in. The greater part of my reading so far has centred on the physical and archaeological remains of food and commensality in ancient Egypt, rather than with the theoretical basis that will be forming the arguments that I make. However</w:t>
      </w:r>
      <w:r w:rsidR="004E6072">
        <w:t>,</w:t>
      </w:r>
      <w:r>
        <w:t xml:space="preserve"> I have been looking at both the Outline of a Theory of Practice, and The Logic of Practice </w:t>
      </w:r>
      <w:r w:rsidR="004E6072">
        <w:t>by Pierre Bourdieu both translated by Richard Nice which have given be an insight into the background of the theories that I will be using. As both books are fairly hard going, I suspect that I will have to reread them again to understand the full scope of the topic, but the reading that I have done suggests that they will be useful to me as I go forward.</w:t>
      </w:r>
      <w:r w:rsidR="004B4BB0">
        <w:t xml:space="preserve"> </w:t>
      </w:r>
    </w:p>
    <w:p w:rsidR="00216A1F" w:rsidRDefault="00216A1F"/>
    <w:p w:rsidR="006D2DDF" w:rsidRDefault="006D2DDF"/>
    <w:p w:rsidR="00097A51" w:rsidRDefault="00097A51"/>
    <w:sdt>
      <w:sdtPr>
        <w:rPr>
          <w:rFonts w:ascii="Calibri" w:eastAsia="Calibri" w:hAnsi="Calibri" w:cs="Times New Roman"/>
          <w:lang w:eastAsia="en-US"/>
        </w:rPr>
        <w:id w:val="670532005"/>
        <w:docPartObj>
          <w:docPartGallery w:val="Bibliographies"/>
          <w:docPartUnique/>
        </w:docPartObj>
      </w:sdtPr>
      <w:sdtContent>
        <w:p w:rsidR="006D2DDF" w:rsidRPr="006D2DDF" w:rsidRDefault="006D2DDF" w:rsidP="006D2DDF">
          <w:pPr>
            <w:keepNext/>
            <w:keepLines/>
            <w:spacing w:before="240" w:after="0" w:line="256" w:lineRule="auto"/>
            <w:outlineLvl w:val="0"/>
            <w:rPr>
              <w:rFonts w:ascii="Cambria" w:eastAsia="MS Gothic" w:hAnsi="Cambria" w:cs="Times New Roman"/>
              <w:color w:val="365F91"/>
              <w:sz w:val="32"/>
              <w:szCs w:val="32"/>
              <w:lang w:val="en-US" w:eastAsia="en-US"/>
            </w:rPr>
          </w:pPr>
          <w:r w:rsidRPr="006D2DDF">
            <w:rPr>
              <w:rFonts w:ascii="Cambria" w:eastAsia="MS Gothic" w:hAnsi="Cambria" w:cs="Times New Roman"/>
              <w:color w:val="365F91"/>
              <w:sz w:val="32"/>
              <w:szCs w:val="32"/>
              <w:lang w:val="en-US" w:eastAsia="en-US"/>
            </w:rPr>
            <w:t>Bibliography</w:t>
          </w:r>
        </w:p>
        <w:sdt>
          <w:sdtPr>
            <w:rPr>
              <w:rFonts w:ascii="Calibri" w:eastAsia="Calibri" w:hAnsi="Calibri" w:cs="Times New Roman"/>
              <w:lang w:eastAsia="en-US"/>
            </w:rPr>
            <w:id w:val="111145805"/>
            <w:bibliography/>
          </w:sdtPr>
          <w:sdtContent>
            <w:p w:rsidR="00666CA8" w:rsidRDefault="006D2DDF" w:rsidP="00666CA8">
              <w:pPr>
                <w:pStyle w:val="Bibliography"/>
                <w:rPr>
                  <w:noProof/>
                  <w:sz w:val="24"/>
                  <w:szCs w:val="24"/>
                  <w:lang w:val="en-US"/>
                </w:rPr>
              </w:pPr>
              <w:r w:rsidRPr="006D2DDF">
                <w:rPr>
                  <w:rFonts w:ascii="Calibri" w:eastAsia="Calibri" w:hAnsi="Calibri" w:cs="Times New Roman"/>
                  <w:lang w:eastAsia="en-US"/>
                </w:rPr>
                <w:fldChar w:fldCharType="begin"/>
              </w:r>
              <w:r w:rsidRPr="006D2DDF">
                <w:rPr>
                  <w:rFonts w:ascii="Calibri" w:eastAsia="Calibri" w:hAnsi="Calibri" w:cs="Times New Roman"/>
                  <w:lang w:eastAsia="en-US"/>
                </w:rPr>
                <w:instrText xml:space="preserve"> BIBLIOGRAPHY </w:instrText>
              </w:r>
              <w:r w:rsidRPr="006D2DDF">
                <w:rPr>
                  <w:rFonts w:ascii="Calibri" w:eastAsia="Calibri" w:hAnsi="Calibri" w:cs="Times New Roman"/>
                  <w:lang w:eastAsia="en-US"/>
                </w:rPr>
                <w:fldChar w:fldCharType="separate"/>
              </w:r>
              <w:r w:rsidR="00666CA8">
                <w:rPr>
                  <w:noProof/>
                  <w:lang w:val="en-US"/>
                </w:rPr>
                <w:t xml:space="preserve">Bourdieu, P., 1987. </w:t>
              </w:r>
              <w:r w:rsidR="00666CA8">
                <w:rPr>
                  <w:i/>
                  <w:iCs/>
                  <w:noProof/>
                  <w:lang w:val="en-US"/>
                </w:rPr>
                <w:t xml:space="preserve">Outline of a Theory of Practice. </w:t>
              </w:r>
              <w:r w:rsidR="00666CA8">
                <w:rPr>
                  <w:noProof/>
                  <w:lang w:val="en-US"/>
                </w:rPr>
                <w:t>Cambridge: University of Cambridge Press Syndicate.</w:t>
              </w:r>
            </w:p>
            <w:p w:rsidR="00666CA8" w:rsidRDefault="00666CA8" w:rsidP="00666CA8">
              <w:pPr>
                <w:pStyle w:val="Bibliography"/>
                <w:rPr>
                  <w:noProof/>
                  <w:lang w:val="en-US"/>
                </w:rPr>
              </w:pPr>
              <w:r>
                <w:rPr>
                  <w:noProof/>
                  <w:lang w:val="en-US"/>
                </w:rPr>
                <w:t xml:space="preserve">Bourdieu, P., 1990. </w:t>
              </w:r>
              <w:r>
                <w:rPr>
                  <w:i/>
                  <w:iCs/>
                  <w:noProof/>
                  <w:lang w:val="en-US"/>
                </w:rPr>
                <w:t xml:space="preserve">The Logic of Pracitice. </w:t>
              </w:r>
              <w:r>
                <w:rPr>
                  <w:noProof/>
                  <w:lang w:val="en-US"/>
                </w:rPr>
                <w:t>Cambridge: Polity Press.</w:t>
              </w:r>
            </w:p>
            <w:p w:rsidR="00666CA8" w:rsidRDefault="00666CA8" w:rsidP="00666CA8">
              <w:pPr>
                <w:pStyle w:val="Bibliography"/>
                <w:rPr>
                  <w:noProof/>
                  <w:lang w:val="en-US"/>
                </w:rPr>
              </w:pPr>
              <w:r>
                <w:rPr>
                  <w:noProof/>
                  <w:lang w:val="en-US"/>
                </w:rPr>
                <w:t xml:space="preserve">Buzon, M. &amp; Simonetti, A., 2013. Strontium Isotope (Sr-87/Sr-86) Variability in the Nile Valley: Identifying Residential Mobility During Ancient Egyptian and Nubian Sociopolitical Changes in the New Kingdom and Napatan Periods. </w:t>
              </w:r>
              <w:r>
                <w:rPr>
                  <w:i/>
                  <w:iCs/>
                  <w:noProof/>
                  <w:lang w:val="en-US"/>
                </w:rPr>
                <w:t xml:space="preserve">American journal of physical anthropology, </w:t>
              </w:r>
              <w:r>
                <w:rPr>
                  <w:noProof/>
                  <w:lang w:val="en-US"/>
                </w:rPr>
                <w:t>Volume 151.</w:t>
              </w:r>
            </w:p>
            <w:p w:rsidR="00666CA8" w:rsidRDefault="00666CA8" w:rsidP="00666CA8">
              <w:pPr>
                <w:pStyle w:val="Bibliography"/>
                <w:rPr>
                  <w:noProof/>
                  <w:lang w:val="en-US"/>
                </w:rPr>
              </w:pPr>
              <w:r>
                <w:rPr>
                  <w:noProof/>
                  <w:lang w:val="en-US"/>
                </w:rPr>
                <w:t xml:space="preserve">Clarke, J., 2005. </w:t>
              </w:r>
              <w:r>
                <w:rPr>
                  <w:i/>
                  <w:iCs/>
                  <w:noProof/>
                  <w:lang w:val="en-US"/>
                </w:rPr>
                <w:t xml:space="preserve">Archaeological Perspectives on the Transmission and Transformation of Culture in the Eastern Mediterranean. </w:t>
              </w:r>
              <w:r>
                <w:rPr>
                  <w:noProof/>
                  <w:lang w:val="en-US"/>
                </w:rPr>
                <w:t>Oxford: Oxbow Books.</w:t>
              </w:r>
            </w:p>
            <w:p w:rsidR="00666CA8" w:rsidRDefault="00666CA8" w:rsidP="00666CA8">
              <w:pPr>
                <w:pStyle w:val="Bibliography"/>
                <w:rPr>
                  <w:noProof/>
                  <w:lang w:val="en-US"/>
                </w:rPr>
              </w:pPr>
              <w:r>
                <w:rPr>
                  <w:noProof/>
                  <w:lang w:val="en-US"/>
                </w:rPr>
                <w:t xml:space="preserve">Culler, J. D., 2002. </w:t>
              </w:r>
              <w:r>
                <w:rPr>
                  <w:i/>
                  <w:iCs/>
                  <w:noProof/>
                  <w:lang w:val="en-US"/>
                </w:rPr>
                <w:t xml:space="preserve">Structuralist Poetics: Structuralism, Linguistics and the Study of Literature. </w:t>
              </w:r>
              <w:r>
                <w:rPr>
                  <w:noProof/>
                  <w:lang w:val="en-US"/>
                </w:rPr>
                <w:t>London: Routledge Classics.</w:t>
              </w:r>
            </w:p>
            <w:p w:rsidR="00666CA8" w:rsidRDefault="00666CA8" w:rsidP="00666CA8">
              <w:pPr>
                <w:pStyle w:val="Bibliography"/>
                <w:rPr>
                  <w:noProof/>
                  <w:lang w:val="en-US"/>
                </w:rPr>
              </w:pPr>
              <w:r>
                <w:rPr>
                  <w:noProof/>
                  <w:lang w:val="en-US"/>
                </w:rPr>
                <w:t xml:space="preserve">David, A., Kershaw, A. &amp; Heagerty, A., 2010. Atherosclerosis and diet in ancient Egypt. </w:t>
              </w:r>
              <w:r>
                <w:rPr>
                  <w:i/>
                  <w:iCs/>
                  <w:noProof/>
                  <w:lang w:val="en-US"/>
                </w:rPr>
                <w:t xml:space="preserve">The Lancet, </w:t>
              </w:r>
              <w:r>
                <w:rPr>
                  <w:noProof/>
                  <w:lang w:val="en-US"/>
                </w:rPr>
                <w:t>375(9716), pp. 718-719.</w:t>
              </w:r>
            </w:p>
            <w:p w:rsidR="00666CA8" w:rsidRDefault="00666CA8" w:rsidP="00666CA8">
              <w:pPr>
                <w:pStyle w:val="Bibliography"/>
                <w:rPr>
                  <w:noProof/>
                  <w:lang w:val="en-US"/>
                </w:rPr>
              </w:pPr>
              <w:r>
                <w:rPr>
                  <w:noProof/>
                  <w:lang w:val="en-US"/>
                </w:rPr>
                <w:t xml:space="preserve">Delwen, S., 1999. Bread making and social interactions at the Amarna Workmen's village, Egypt. </w:t>
              </w:r>
              <w:r>
                <w:rPr>
                  <w:i/>
                  <w:iCs/>
                  <w:noProof/>
                  <w:lang w:val="en-US"/>
                </w:rPr>
                <w:t xml:space="preserve">World Archaeology , </w:t>
              </w:r>
              <w:r>
                <w:rPr>
                  <w:noProof/>
                  <w:lang w:val="en-US"/>
                </w:rPr>
                <w:t>31(1).</w:t>
              </w:r>
            </w:p>
            <w:p w:rsidR="00666CA8" w:rsidRDefault="00666CA8" w:rsidP="00666CA8">
              <w:pPr>
                <w:pStyle w:val="Bibliography"/>
                <w:rPr>
                  <w:noProof/>
                  <w:lang w:val="en-US"/>
                </w:rPr>
              </w:pPr>
              <w:r>
                <w:rPr>
                  <w:noProof/>
                  <w:lang w:val="en-US"/>
                </w:rPr>
                <w:t xml:space="preserve">Dietler, M. &amp; Hayden, B., 2001. </w:t>
              </w:r>
              <w:r>
                <w:rPr>
                  <w:i/>
                  <w:iCs/>
                  <w:noProof/>
                  <w:lang w:val="en-US"/>
                </w:rPr>
                <w:t xml:space="preserve">Feasts: Archaeological and Ethnographic Perspectives on Food, Politics and Power. </w:t>
              </w:r>
              <w:r>
                <w:rPr>
                  <w:noProof/>
                  <w:lang w:val="en-US"/>
                </w:rPr>
                <w:t>Tuscaloosa: University of Alabama Press.</w:t>
              </w:r>
            </w:p>
            <w:p w:rsidR="00666CA8" w:rsidRDefault="00666CA8" w:rsidP="00666CA8">
              <w:pPr>
                <w:pStyle w:val="Bibliography"/>
                <w:rPr>
                  <w:noProof/>
                  <w:lang w:val="en-US"/>
                </w:rPr>
              </w:pPr>
              <w:r>
                <w:rPr>
                  <w:noProof/>
                  <w:lang w:val="en-US"/>
                </w:rPr>
                <w:lastRenderedPageBreak/>
                <w:t xml:space="preserve">Eikeland, O., 2008. </w:t>
              </w:r>
              <w:r>
                <w:rPr>
                  <w:i/>
                  <w:iCs/>
                  <w:noProof/>
                  <w:lang w:val="en-US"/>
                </w:rPr>
                <w:t xml:space="preserve">The ways of Aristotle: Aristotelian phronesis, Aristotelian philosophy of dialogue, and action research. </w:t>
              </w:r>
              <w:r>
                <w:rPr>
                  <w:noProof/>
                  <w:lang w:val="en-US"/>
                </w:rPr>
                <w:t>5 ed. s.l.:s.n.</w:t>
              </w:r>
            </w:p>
            <w:p w:rsidR="00666CA8" w:rsidRDefault="00666CA8" w:rsidP="00666CA8">
              <w:pPr>
                <w:pStyle w:val="Bibliography"/>
                <w:rPr>
                  <w:noProof/>
                  <w:lang w:val="en-US"/>
                </w:rPr>
              </w:pPr>
              <w:r>
                <w:rPr>
                  <w:noProof/>
                  <w:lang w:val="en-US"/>
                </w:rPr>
                <w:t xml:space="preserve">Flandrin, J. &amp; Montanari, M., 2013. </w:t>
              </w:r>
              <w:r>
                <w:rPr>
                  <w:i/>
                  <w:iCs/>
                  <w:noProof/>
                  <w:lang w:val="en-US"/>
                </w:rPr>
                <w:t xml:space="preserve">Food: a culinary history. </w:t>
              </w:r>
              <w:r>
                <w:rPr>
                  <w:noProof/>
                  <w:lang w:val="en-US"/>
                </w:rPr>
                <w:t>s.l.:Columbia University Press.</w:t>
              </w:r>
            </w:p>
            <w:p w:rsidR="00666CA8" w:rsidRDefault="00666CA8" w:rsidP="00666CA8">
              <w:pPr>
                <w:pStyle w:val="Bibliography"/>
                <w:rPr>
                  <w:noProof/>
                  <w:lang w:val="en-US"/>
                </w:rPr>
              </w:pPr>
              <w:r>
                <w:rPr>
                  <w:noProof/>
                  <w:lang w:val="en-US"/>
                </w:rPr>
                <w:t xml:space="preserve">Girella, L. &amp; Pavúk, P., 2011. Minoanisation, acculturation, hybridisation: the evidence of the Minoan presence in the north east Aegean between the Middle and Late Bronze AgeIn NOSTOI. Indigenous Culture, Migration and Integration in the Aegean Islands and Western Anatolia. </w:t>
              </w:r>
              <w:r>
                <w:rPr>
                  <w:i/>
                  <w:iCs/>
                  <w:noProof/>
                  <w:lang w:val="en-US"/>
                </w:rPr>
                <w:t xml:space="preserve">In NOSTOI. Indigenous Culture, Migration and Integration in the Aegean Islands and Western Anatolia During the Late Bronze and Early Iron Age. Proceedings of an International Symposium Held at the Koç Research Center for Anatolian Civilizations, Istanbul , </w:t>
              </w:r>
              <w:r>
                <w:rPr>
                  <w:noProof/>
                  <w:lang w:val="en-US"/>
                </w:rPr>
                <w:t>pp. 387-420.</w:t>
              </w:r>
            </w:p>
            <w:p w:rsidR="00666CA8" w:rsidRDefault="00666CA8" w:rsidP="00666CA8">
              <w:pPr>
                <w:pStyle w:val="Bibliography"/>
                <w:rPr>
                  <w:noProof/>
                  <w:lang w:val="en-US"/>
                </w:rPr>
              </w:pPr>
              <w:r>
                <w:rPr>
                  <w:noProof/>
                  <w:lang w:val="en-US"/>
                </w:rPr>
                <w:t xml:space="preserve">Hamilakis, Y. &amp; Sherratt, S., 2012. Feasting and the consuming body in Bronze Age Crete and Early Iron Age Cyprus. </w:t>
              </w:r>
              <w:r>
                <w:rPr>
                  <w:i/>
                  <w:iCs/>
                  <w:noProof/>
                  <w:lang w:val="en-US"/>
                </w:rPr>
                <w:t xml:space="preserve">British School at Athens Studies, </w:t>
              </w:r>
              <w:r>
                <w:rPr>
                  <w:noProof/>
                  <w:lang w:val="en-US"/>
                </w:rPr>
                <w:t>pp. 187-207.</w:t>
              </w:r>
            </w:p>
            <w:p w:rsidR="00666CA8" w:rsidRDefault="00666CA8" w:rsidP="00666CA8">
              <w:pPr>
                <w:pStyle w:val="Bibliography"/>
                <w:rPr>
                  <w:noProof/>
                  <w:lang w:val="en-US"/>
                </w:rPr>
              </w:pPr>
              <w:r>
                <w:rPr>
                  <w:noProof/>
                  <w:lang w:val="en-US"/>
                </w:rPr>
                <w:t xml:space="preserve">Harrington, N., 2013. </w:t>
              </w:r>
              <w:r>
                <w:rPr>
                  <w:i/>
                  <w:iCs/>
                  <w:noProof/>
                  <w:lang w:val="en-US"/>
                </w:rPr>
                <w:t xml:space="preserve">Living with the Dead: Ancestor Worship and Mortuary Ritual in Ancient Egypt. </w:t>
              </w:r>
              <w:r>
                <w:rPr>
                  <w:noProof/>
                  <w:lang w:val="en-US"/>
                </w:rPr>
                <w:t>Oxford: Oxbow Books.</w:t>
              </w:r>
            </w:p>
            <w:p w:rsidR="00666CA8" w:rsidRDefault="00666CA8" w:rsidP="00666CA8">
              <w:pPr>
                <w:pStyle w:val="Bibliography"/>
                <w:rPr>
                  <w:noProof/>
                  <w:lang w:val="en-US"/>
                </w:rPr>
              </w:pPr>
              <w:r>
                <w:rPr>
                  <w:noProof/>
                  <w:lang w:val="en-US"/>
                </w:rPr>
                <w:t xml:space="preserve">Hayden, B., 2013. </w:t>
              </w:r>
              <w:r>
                <w:rPr>
                  <w:i/>
                  <w:iCs/>
                  <w:noProof/>
                  <w:lang w:val="en-US"/>
                </w:rPr>
                <w:t xml:space="preserve">The Power of Feasts, From Prehistory to the Present. </w:t>
              </w:r>
              <w:r>
                <w:rPr>
                  <w:noProof/>
                  <w:lang w:val="en-US"/>
                </w:rPr>
                <w:t>New York: Cambridge University Press.</w:t>
              </w:r>
            </w:p>
            <w:p w:rsidR="00666CA8" w:rsidRDefault="00666CA8" w:rsidP="00666CA8">
              <w:pPr>
                <w:pStyle w:val="Bibliography"/>
                <w:rPr>
                  <w:noProof/>
                  <w:lang w:val="en-US"/>
                </w:rPr>
              </w:pPr>
              <w:r>
                <w:rPr>
                  <w:noProof/>
                  <w:lang w:val="en-US"/>
                </w:rPr>
                <w:t xml:space="preserve">Janssen, J. J., 1982. Gift-Giving in Ancient Egypt as an Economic Feature. </w:t>
              </w:r>
              <w:r>
                <w:rPr>
                  <w:i/>
                  <w:iCs/>
                  <w:noProof/>
                  <w:lang w:val="en-US"/>
                </w:rPr>
                <w:t xml:space="preserve">The Journal of Egyptian Archaeology , </w:t>
              </w:r>
              <w:r>
                <w:rPr>
                  <w:noProof/>
                  <w:lang w:val="en-US"/>
                </w:rPr>
                <w:t>68(1), pp. 253-258.</w:t>
              </w:r>
            </w:p>
            <w:p w:rsidR="00666CA8" w:rsidRDefault="00666CA8" w:rsidP="00666CA8">
              <w:pPr>
                <w:pStyle w:val="Bibliography"/>
                <w:rPr>
                  <w:noProof/>
                  <w:lang w:val="en-US"/>
                </w:rPr>
              </w:pPr>
              <w:r>
                <w:rPr>
                  <w:noProof/>
                  <w:lang w:val="en-US"/>
                </w:rPr>
                <w:t xml:space="preserve">Kansa, E., Kansa, S. &amp; Levy, T., 2006. Eat Like An Egyptian? A Contextual Approach to an Early Bronze I “Egyptian Colony” in the Southern Levant. </w:t>
              </w:r>
              <w:r>
                <w:rPr>
                  <w:i/>
                  <w:iCs/>
                  <w:noProof/>
                  <w:lang w:val="en-US"/>
                </w:rPr>
                <w:t xml:space="preserve">Integrating zooarchaeology, </w:t>
              </w:r>
              <w:r>
                <w:rPr>
                  <w:noProof/>
                  <w:lang w:val="en-US"/>
                </w:rPr>
                <w:t>pp. 76-91.</w:t>
              </w:r>
            </w:p>
            <w:p w:rsidR="00666CA8" w:rsidRDefault="00666CA8" w:rsidP="00666CA8">
              <w:pPr>
                <w:pStyle w:val="Bibliography"/>
                <w:rPr>
                  <w:noProof/>
                  <w:lang w:val="en-US"/>
                </w:rPr>
              </w:pPr>
              <w:r>
                <w:rPr>
                  <w:noProof/>
                  <w:lang w:val="en-US"/>
                </w:rPr>
                <w:t xml:space="preserve">Lesko, L. H., 1994. </w:t>
              </w:r>
              <w:r>
                <w:rPr>
                  <w:i/>
                  <w:iCs/>
                  <w:noProof/>
                  <w:lang w:val="en-US"/>
                </w:rPr>
                <w:t xml:space="preserve">Pharaoh's Workers: The Villagers of Deir El Medina. </w:t>
              </w:r>
              <w:r>
                <w:rPr>
                  <w:noProof/>
                  <w:lang w:val="en-US"/>
                </w:rPr>
                <w:t>s.l.:Cornell University Press, 1994.</w:t>
              </w:r>
            </w:p>
            <w:p w:rsidR="00666CA8" w:rsidRDefault="00666CA8" w:rsidP="00666CA8">
              <w:pPr>
                <w:pStyle w:val="Bibliography"/>
                <w:rPr>
                  <w:noProof/>
                  <w:lang w:val="en-US"/>
                </w:rPr>
              </w:pPr>
              <w:r>
                <w:rPr>
                  <w:noProof/>
                  <w:lang w:val="en-US"/>
                </w:rPr>
                <w:t xml:space="preserve">Mastin, L., 2010. </w:t>
              </w:r>
              <w:r>
                <w:rPr>
                  <w:i/>
                  <w:iCs/>
                  <w:noProof/>
                  <w:lang w:val="en-US"/>
                </w:rPr>
                <w:t xml:space="preserve">Structuralism. </w:t>
              </w:r>
              <w:r>
                <w:rPr>
                  <w:noProof/>
                  <w:lang w:val="en-US"/>
                </w:rPr>
                <w:t xml:space="preserve">[Online] </w:t>
              </w:r>
              <w:r>
                <w:rPr>
                  <w:noProof/>
                  <w:lang w:val="en-US"/>
                </w:rPr>
                <w:br/>
                <w:t xml:space="preserve">Available at: </w:t>
              </w:r>
              <w:r>
                <w:rPr>
                  <w:noProof/>
                  <w:u w:val="single"/>
                  <w:lang w:val="en-US"/>
                </w:rPr>
                <w:t>http://www.philosophybasics.com/movements_structuralism.html</w:t>
              </w:r>
            </w:p>
            <w:p w:rsidR="00666CA8" w:rsidRDefault="00666CA8" w:rsidP="00666CA8">
              <w:pPr>
                <w:pStyle w:val="Bibliography"/>
                <w:rPr>
                  <w:noProof/>
                  <w:lang w:val="en-US"/>
                </w:rPr>
              </w:pPr>
              <w:r>
                <w:rPr>
                  <w:noProof/>
                  <w:lang w:val="en-US"/>
                </w:rPr>
                <w:t xml:space="preserve">McWilliams, M., 2012. </w:t>
              </w:r>
              <w:r>
                <w:rPr>
                  <w:i/>
                  <w:iCs/>
                  <w:noProof/>
                  <w:lang w:val="en-US"/>
                </w:rPr>
                <w:t xml:space="preserve">The Story Behind the Dish: Classic American Foods. </w:t>
              </w:r>
              <w:r>
                <w:rPr>
                  <w:noProof/>
                  <w:lang w:val="en-US"/>
                </w:rPr>
                <w:t>California: Greenwood.</w:t>
              </w:r>
            </w:p>
            <w:p w:rsidR="00666CA8" w:rsidRDefault="00666CA8" w:rsidP="00666CA8">
              <w:pPr>
                <w:pStyle w:val="Bibliography"/>
                <w:rPr>
                  <w:noProof/>
                  <w:lang w:val="en-US"/>
                </w:rPr>
              </w:pPr>
              <w:r>
                <w:rPr>
                  <w:noProof/>
                  <w:lang w:val="en-US"/>
                </w:rPr>
                <w:t xml:space="preserve">Miller, R., 1990. Hogs and Hygiene. </w:t>
              </w:r>
              <w:r>
                <w:rPr>
                  <w:i/>
                  <w:iCs/>
                  <w:noProof/>
                  <w:lang w:val="en-US"/>
                </w:rPr>
                <w:t xml:space="preserve">The Journal of Egyptian Archaeology , </w:t>
              </w:r>
              <w:r>
                <w:rPr>
                  <w:noProof/>
                  <w:lang w:val="en-US"/>
                </w:rPr>
                <w:t>76(1), pp. 125-140.</w:t>
              </w:r>
            </w:p>
            <w:p w:rsidR="00666CA8" w:rsidRDefault="00666CA8" w:rsidP="00666CA8">
              <w:pPr>
                <w:pStyle w:val="Bibliography"/>
                <w:rPr>
                  <w:noProof/>
                  <w:lang w:val="en-US"/>
                </w:rPr>
              </w:pPr>
              <w:r>
                <w:rPr>
                  <w:noProof/>
                  <w:lang w:val="en-US"/>
                </w:rPr>
                <w:t xml:space="preserve">Miller, R., 1991. Counting Calories in Egyptian Ration Texts. </w:t>
              </w:r>
              <w:r>
                <w:rPr>
                  <w:i/>
                  <w:iCs/>
                  <w:noProof/>
                  <w:lang w:val="en-US"/>
                </w:rPr>
                <w:t xml:space="preserve">Journal of the Economic and Social History of the Orient, </w:t>
              </w:r>
              <w:r>
                <w:rPr>
                  <w:noProof/>
                  <w:lang w:val="en-US"/>
                </w:rPr>
                <w:t>34(4), pp. 257-269.</w:t>
              </w:r>
            </w:p>
            <w:p w:rsidR="00666CA8" w:rsidRDefault="00666CA8" w:rsidP="00666CA8">
              <w:pPr>
                <w:pStyle w:val="Bibliography"/>
                <w:rPr>
                  <w:noProof/>
                  <w:lang w:val="en-US"/>
                </w:rPr>
              </w:pPr>
              <w:r>
                <w:rPr>
                  <w:noProof/>
                  <w:lang w:val="en-US"/>
                </w:rPr>
                <w:t xml:space="preserve">Müller, M., 2015. </w:t>
              </w:r>
              <w:r>
                <w:rPr>
                  <w:i/>
                  <w:iCs/>
                  <w:noProof/>
                  <w:lang w:val="en-US"/>
                </w:rPr>
                <w:t xml:space="preserve">Household Studies in Complex Societies:(micro) Archaeological and Textual Approaches: Papers from the Oriental Institute Seminar Household Studies in Complex Societies, Held at the Oriental Institute of the University of Chicago, 15-16 March 2013. </w:t>
              </w:r>
              <w:r>
                <w:rPr>
                  <w:noProof/>
                  <w:lang w:val="en-US"/>
                </w:rPr>
                <w:t>Chicago, Oriental Institute of the University of Chicago..</w:t>
              </w:r>
            </w:p>
            <w:p w:rsidR="00666CA8" w:rsidRDefault="00666CA8" w:rsidP="00666CA8">
              <w:pPr>
                <w:pStyle w:val="Bibliography"/>
                <w:rPr>
                  <w:noProof/>
                  <w:lang w:val="en-US"/>
                </w:rPr>
              </w:pPr>
              <w:r>
                <w:rPr>
                  <w:noProof/>
                  <w:lang w:val="en-US"/>
                </w:rPr>
                <w:t xml:space="preserve">Parker, B. &amp; Foster, C., 2012. </w:t>
              </w:r>
              <w:r>
                <w:rPr>
                  <w:i/>
                  <w:iCs/>
                  <w:noProof/>
                  <w:lang w:val="en-US"/>
                </w:rPr>
                <w:t xml:space="preserve">New perspectives on household archaeology. </w:t>
              </w:r>
              <w:r>
                <w:rPr>
                  <w:noProof/>
                  <w:lang w:val="en-US"/>
                </w:rPr>
                <w:t>Winona Lake: Eisenbrauns.</w:t>
              </w:r>
            </w:p>
            <w:p w:rsidR="00666CA8" w:rsidRDefault="00666CA8" w:rsidP="00666CA8">
              <w:pPr>
                <w:pStyle w:val="Bibliography"/>
                <w:rPr>
                  <w:noProof/>
                  <w:lang w:val="en-US"/>
                </w:rPr>
              </w:pPr>
              <w:r>
                <w:rPr>
                  <w:noProof/>
                  <w:lang w:val="en-US"/>
                </w:rPr>
                <w:t xml:space="preserve">Sachs, J., 2000. </w:t>
              </w:r>
              <w:r>
                <w:rPr>
                  <w:i/>
                  <w:iCs/>
                  <w:noProof/>
                  <w:lang w:val="en-US"/>
                </w:rPr>
                <w:t xml:space="preserve">Internet Encyclopaedia of Philosophy, A Peer Reviewed Academic Resource. </w:t>
              </w:r>
              <w:r>
                <w:rPr>
                  <w:noProof/>
                  <w:lang w:val="en-US"/>
                </w:rPr>
                <w:t xml:space="preserve">[Online] </w:t>
              </w:r>
              <w:r>
                <w:rPr>
                  <w:noProof/>
                  <w:lang w:val="en-US"/>
                </w:rPr>
                <w:br/>
                <w:t xml:space="preserve">Available at: </w:t>
              </w:r>
              <w:r>
                <w:rPr>
                  <w:noProof/>
                  <w:u w:val="single"/>
                  <w:lang w:val="en-US"/>
                </w:rPr>
                <w:t>http://www.iep.utm.edu/aris-eth/</w:t>
              </w:r>
              <w:r>
                <w:rPr>
                  <w:noProof/>
                  <w:lang w:val="en-US"/>
                </w:rPr>
                <w:br/>
                <w:t>[Accessed 10 October 2017].</w:t>
              </w:r>
            </w:p>
            <w:p w:rsidR="00666CA8" w:rsidRDefault="00666CA8" w:rsidP="00666CA8">
              <w:pPr>
                <w:pStyle w:val="Bibliography"/>
                <w:rPr>
                  <w:noProof/>
                  <w:lang w:val="en-US"/>
                </w:rPr>
              </w:pPr>
              <w:r>
                <w:rPr>
                  <w:noProof/>
                  <w:lang w:val="en-US"/>
                </w:rPr>
                <w:t xml:space="preserve">Saffirio, L., 1972. Food and dietary habits in ancient Egypt. </w:t>
              </w:r>
              <w:r>
                <w:rPr>
                  <w:i/>
                  <w:iCs/>
                  <w:noProof/>
                  <w:lang w:val="en-US"/>
                </w:rPr>
                <w:t xml:space="preserve">Journal of Human Evolution, </w:t>
              </w:r>
              <w:r>
                <w:rPr>
                  <w:noProof/>
                  <w:lang w:val="en-US"/>
                </w:rPr>
                <w:t>1(3), pp. 297-305.</w:t>
              </w:r>
            </w:p>
            <w:p w:rsidR="00666CA8" w:rsidRDefault="00666CA8" w:rsidP="00666CA8">
              <w:pPr>
                <w:pStyle w:val="Bibliography"/>
                <w:rPr>
                  <w:noProof/>
                  <w:lang w:val="en-US"/>
                </w:rPr>
              </w:pPr>
              <w:r>
                <w:rPr>
                  <w:noProof/>
                  <w:lang w:val="en-US"/>
                </w:rPr>
                <w:lastRenderedPageBreak/>
                <w:t xml:space="preserve">Samuel, D., 1996. Investigation of ancient Egyptian baking and brewing methods by correlative microscopy. </w:t>
              </w:r>
              <w:r>
                <w:rPr>
                  <w:i/>
                  <w:iCs/>
                  <w:noProof/>
                  <w:lang w:val="en-US"/>
                </w:rPr>
                <w:t xml:space="preserve">Science, </w:t>
              </w:r>
              <w:r>
                <w:rPr>
                  <w:noProof/>
                  <w:lang w:val="en-US"/>
                </w:rPr>
                <w:t>273(5274), p. 488.</w:t>
              </w:r>
            </w:p>
            <w:p w:rsidR="00666CA8" w:rsidRDefault="00666CA8" w:rsidP="00666CA8">
              <w:pPr>
                <w:pStyle w:val="Bibliography"/>
                <w:rPr>
                  <w:noProof/>
                  <w:lang w:val="en-US"/>
                </w:rPr>
              </w:pPr>
              <w:r>
                <w:rPr>
                  <w:noProof/>
                  <w:lang w:val="en-US"/>
                </w:rPr>
                <w:t xml:space="preserve">Simpson, W. K., 1972. </w:t>
              </w:r>
              <w:r>
                <w:rPr>
                  <w:i/>
                  <w:iCs/>
                  <w:noProof/>
                  <w:lang w:val="en-US"/>
                </w:rPr>
                <w:t xml:space="preserve">The Literature of Ancient Egypt: An Anthology of Stories, Instructions and Poetry. </w:t>
              </w:r>
              <w:r>
                <w:rPr>
                  <w:noProof/>
                  <w:lang w:val="en-US"/>
                </w:rPr>
                <w:t>Fredricksburg: BookCrafters, Inc.</w:t>
              </w:r>
            </w:p>
            <w:p w:rsidR="00666CA8" w:rsidRDefault="00666CA8" w:rsidP="00666CA8">
              <w:pPr>
                <w:pStyle w:val="Bibliography"/>
                <w:rPr>
                  <w:noProof/>
                  <w:lang w:val="en-US"/>
                </w:rPr>
              </w:pPr>
              <w:r>
                <w:rPr>
                  <w:noProof/>
                  <w:lang w:val="en-US"/>
                </w:rPr>
                <w:t xml:space="preserve">Sweeney, D., 1998. Friendship and Frustration: A Study in Papyri Deir El-Medina IV-VI. </w:t>
              </w:r>
              <w:r>
                <w:rPr>
                  <w:i/>
                  <w:iCs/>
                  <w:noProof/>
                  <w:lang w:val="en-US"/>
                </w:rPr>
                <w:t xml:space="preserve">The Journal of Egyptian Archaeology , </w:t>
              </w:r>
              <w:r>
                <w:rPr>
                  <w:noProof/>
                  <w:lang w:val="en-US"/>
                </w:rPr>
                <w:t>84(1), pp. 101-122.</w:t>
              </w:r>
            </w:p>
            <w:p w:rsidR="006D2DDF" w:rsidRPr="006D2DDF" w:rsidRDefault="006D2DDF" w:rsidP="00666CA8">
              <w:pPr>
                <w:spacing w:after="200" w:line="276" w:lineRule="auto"/>
                <w:rPr>
                  <w:rFonts w:ascii="Calibri" w:eastAsia="Calibri" w:hAnsi="Calibri" w:cs="Times New Roman"/>
                  <w:lang w:eastAsia="en-US"/>
                </w:rPr>
              </w:pPr>
              <w:r w:rsidRPr="006D2DDF">
                <w:rPr>
                  <w:rFonts w:ascii="Calibri" w:eastAsia="Calibri" w:hAnsi="Calibri" w:cs="Times New Roman"/>
                  <w:b/>
                  <w:bCs/>
                  <w:noProof/>
                  <w:lang w:eastAsia="en-US"/>
                </w:rPr>
                <w:fldChar w:fldCharType="end"/>
              </w:r>
            </w:p>
          </w:sdtContent>
        </w:sdt>
      </w:sdtContent>
    </w:sdt>
    <w:p w:rsidR="006D2DDF" w:rsidRDefault="006D2DDF"/>
    <w:p w:rsidR="006D2DDF" w:rsidRDefault="006D2DDF"/>
    <w:sectPr w:rsidR="006D2D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2C6" w:rsidRDefault="002052C6" w:rsidP="00AA398A">
      <w:pPr>
        <w:spacing w:after="0" w:line="240" w:lineRule="auto"/>
      </w:pPr>
      <w:r>
        <w:separator/>
      </w:r>
    </w:p>
  </w:endnote>
  <w:endnote w:type="continuationSeparator" w:id="0">
    <w:p w:rsidR="002052C6" w:rsidRDefault="002052C6" w:rsidP="00AA3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500000000000000"/>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2C6" w:rsidRDefault="002052C6" w:rsidP="00AA398A">
      <w:pPr>
        <w:spacing w:after="0" w:line="240" w:lineRule="auto"/>
      </w:pPr>
      <w:r>
        <w:separator/>
      </w:r>
    </w:p>
  </w:footnote>
  <w:footnote w:type="continuationSeparator" w:id="0">
    <w:p w:rsidR="002052C6" w:rsidRDefault="002052C6" w:rsidP="00AA39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BF6"/>
    <w:rsid w:val="0006083B"/>
    <w:rsid w:val="00097A51"/>
    <w:rsid w:val="000A6FB0"/>
    <w:rsid w:val="00133776"/>
    <w:rsid w:val="00166A56"/>
    <w:rsid w:val="001A2BF6"/>
    <w:rsid w:val="001C1CC9"/>
    <w:rsid w:val="001D1CB7"/>
    <w:rsid w:val="001E7E8F"/>
    <w:rsid w:val="002052C6"/>
    <w:rsid w:val="00216A1F"/>
    <w:rsid w:val="00260414"/>
    <w:rsid w:val="00336854"/>
    <w:rsid w:val="00355D70"/>
    <w:rsid w:val="003950D1"/>
    <w:rsid w:val="003A7D81"/>
    <w:rsid w:val="003F436B"/>
    <w:rsid w:val="004A3A63"/>
    <w:rsid w:val="004B4BB0"/>
    <w:rsid w:val="004E6072"/>
    <w:rsid w:val="005D055A"/>
    <w:rsid w:val="006004C1"/>
    <w:rsid w:val="00616474"/>
    <w:rsid w:val="00666CA8"/>
    <w:rsid w:val="006D2DDF"/>
    <w:rsid w:val="006F409A"/>
    <w:rsid w:val="00723B52"/>
    <w:rsid w:val="00805DEC"/>
    <w:rsid w:val="008063E9"/>
    <w:rsid w:val="008A14B0"/>
    <w:rsid w:val="008B42D8"/>
    <w:rsid w:val="008D588B"/>
    <w:rsid w:val="008F4CE7"/>
    <w:rsid w:val="00931995"/>
    <w:rsid w:val="00983733"/>
    <w:rsid w:val="00996B0E"/>
    <w:rsid w:val="009F1AB9"/>
    <w:rsid w:val="00A46947"/>
    <w:rsid w:val="00A64975"/>
    <w:rsid w:val="00AA3197"/>
    <w:rsid w:val="00AA398A"/>
    <w:rsid w:val="00AD09C8"/>
    <w:rsid w:val="00B00A78"/>
    <w:rsid w:val="00B644E8"/>
    <w:rsid w:val="00BF57A3"/>
    <w:rsid w:val="00C460C7"/>
    <w:rsid w:val="00CC1AA6"/>
    <w:rsid w:val="00D02576"/>
    <w:rsid w:val="00D91F31"/>
    <w:rsid w:val="00DF1D47"/>
    <w:rsid w:val="00E12F4E"/>
    <w:rsid w:val="00E27504"/>
    <w:rsid w:val="00F11753"/>
    <w:rsid w:val="00F8726A"/>
    <w:rsid w:val="00FE0FF2"/>
    <w:rsid w:val="00FF17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38A7B9"/>
  <w15:chartTrackingRefBased/>
  <w15:docId w15:val="{57032846-98CE-4392-AC8C-3DB1D81A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98A"/>
  </w:style>
  <w:style w:type="paragraph" w:styleId="Footer">
    <w:name w:val="footer"/>
    <w:basedOn w:val="Normal"/>
    <w:link w:val="FooterChar"/>
    <w:uiPriority w:val="99"/>
    <w:unhideWhenUsed/>
    <w:rsid w:val="00AA3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98A"/>
  </w:style>
  <w:style w:type="paragraph" w:styleId="Bibliography">
    <w:name w:val="Bibliography"/>
    <w:basedOn w:val="Normal"/>
    <w:next w:val="Normal"/>
    <w:uiPriority w:val="37"/>
    <w:unhideWhenUsed/>
    <w:rsid w:val="00A6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6667">
      <w:bodyDiv w:val="1"/>
      <w:marLeft w:val="0"/>
      <w:marRight w:val="0"/>
      <w:marTop w:val="0"/>
      <w:marBottom w:val="0"/>
      <w:divBdr>
        <w:top w:val="none" w:sz="0" w:space="0" w:color="auto"/>
        <w:left w:val="none" w:sz="0" w:space="0" w:color="auto"/>
        <w:bottom w:val="none" w:sz="0" w:space="0" w:color="auto"/>
        <w:right w:val="none" w:sz="0" w:space="0" w:color="auto"/>
      </w:divBdr>
    </w:div>
    <w:div w:id="36055523">
      <w:bodyDiv w:val="1"/>
      <w:marLeft w:val="0"/>
      <w:marRight w:val="0"/>
      <w:marTop w:val="0"/>
      <w:marBottom w:val="0"/>
      <w:divBdr>
        <w:top w:val="none" w:sz="0" w:space="0" w:color="auto"/>
        <w:left w:val="none" w:sz="0" w:space="0" w:color="auto"/>
        <w:bottom w:val="none" w:sz="0" w:space="0" w:color="auto"/>
        <w:right w:val="none" w:sz="0" w:space="0" w:color="auto"/>
      </w:divBdr>
    </w:div>
    <w:div w:id="54278139">
      <w:bodyDiv w:val="1"/>
      <w:marLeft w:val="0"/>
      <w:marRight w:val="0"/>
      <w:marTop w:val="0"/>
      <w:marBottom w:val="0"/>
      <w:divBdr>
        <w:top w:val="none" w:sz="0" w:space="0" w:color="auto"/>
        <w:left w:val="none" w:sz="0" w:space="0" w:color="auto"/>
        <w:bottom w:val="none" w:sz="0" w:space="0" w:color="auto"/>
        <w:right w:val="none" w:sz="0" w:space="0" w:color="auto"/>
      </w:divBdr>
    </w:div>
    <w:div w:id="54663943">
      <w:bodyDiv w:val="1"/>
      <w:marLeft w:val="0"/>
      <w:marRight w:val="0"/>
      <w:marTop w:val="0"/>
      <w:marBottom w:val="0"/>
      <w:divBdr>
        <w:top w:val="none" w:sz="0" w:space="0" w:color="auto"/>
        <w:left w:val="none" w:sz="0" w:space="0" w:color="auto"/>
        <w:bottom w:val="none" w:sz="0" w:space="0" w:color="auto"/>
        <w:right w:val="none" w:sz="0" w:space="0" w:color="auto"/>
      </w:divBdr>
    </w:div>
    <w:div w:id="57173248">
      <w:bodyDiv w:val="1"/>
      <w:marLeft w:val="0"/>
      <w:marRight w:val="0"/>
      <w:marTop w:val="0"/>
      <w:marBottom w:val="0"/>
      <w:divBdr>
        <w:top w:val="none" w:sz="0" w:space="0" w:color="auto"/>
        <w:left w:val="none" w:sz="0" w:space="0" w:color="auto"/>
        <w:bottom w:val="none" w:sz="0" w:space="0" w:color="auto"/>
        <w:right w:val="none" w:sz="0" w:space="0" w:color="auto"/>
      </w:divBdr>
    </w:div>
    <w:div w:id="82726694">
      <w:bodyDiv w:val="1"/>
      <w:marLeft w:val="0"/>
      <w:marRight w:val="0"/>
      <w:marTop w:val="0"/>
      <w:marBottom w:val="0"/>
      <w:divBdr>
        <w:top w:val="none" w:sz="0" w:space="0" w:color="auto"/>
        <w:left w:val="none" w:sz="0" w:space="0" w:color="auto"/>
        <w:bottom w:val="none" w:sz="0" w:space="0" w:color="auto"/>
        <w:right w:val="none" w:sz="0" w:space="0" w:color="auto"/>
      </w:divBdr>
    </w:div>
    <w:div w:id="114954640">
      <w:bodyDiv w:val="1"/>
      <w:marLeft w:val="0"/>
      <w:marRight w:val="0"/>
      <w:marTop w:val="0"/>
      <w:marBottom w:val="0"/>
      <w:divBdr>
        <w:top w:val="none" w:sz="0" w:space="0" w:color="auto"/>
        <w:left w:val="none" w:sz="0" w:space="0" w:color="auto"/>
        <w:bottom w:val="none" w:sz="0" w:space="0" w:color="auto"/>
        <w:right w:val="none" w:sz="0" w:space="0" w:color="auto"/>
      </w:divBdr>
    </w:div>
    <w:div w:id="126363487">
      <w:bodyDiv w:val="1"/>
      <w:marLeft w:val="0"/>
      <w:marRight w:val="0"/>
      <w:marTop w:val="0"/>
      <w:marBottom w:val="0"/>
      <w:divBdr>
        <w:top w:val="none" w:sz="0" w:space="0" w:color="auto"/>
        <w:left w:val="none" w:sz="0" w:space="0" w:color="auto"/>
        <w:bottom w:val="none" w:sz="0" w:space="0" w:color="auto"/>
        <w:right w:val="none" w:sz="0" w:space="0" w:color="auto"/>
      </w:divBdr>
    </w:div>
    <w:div w:id="126897473">
      <w:bodyDiv w:val="1"/>
      <w:marLeft w:val="0"/>
      <w:marRight w:val="0"/>
      <w:marTop w:val="0"/>
      <w:marBottom w:val="0"/>
      <w:divBdr>
        <w:top w:val="none" w:sz="0" w:space="0" w:color="auto"/>
        <w:left w:val="none" w:sz="0" w:space="0" w:color="auto"/>
        <w:bottom w:val="none" w:sz="0" w:space="0" w:color="auto"/>
        <w:right w:val="none" w:sz="0" w:space="0" w:color="auto"/>
      </w:divBdr>
    </w:div>
    <w:div w:id="134106115">
      <w:bodyDiv w:val="1"/>
      <w:marLeft w:val="0"/>
      <w:marRight w:val="0"/>
      <w:marTop w:val="0"/>
      <w:marBottom w:val="0"/>
      <w:divBdr>
        <w:top w:val="none" w:sz="0" w:space="0" w:color="auto"/>
        <w:left w:val="none" w:sz="0" w:space="0" w:color="auto"/>
        <w:bottom w:val="none" w:sz="0" w:space="0" w:color="auto"/>
        <w:right w:val="none" w:sz="0" w:space="0" w:color="auto"/>
      </w:divBdr>
    </w:div>
    <w:div w:id="156581171">
      <w:bodyDiv w:val="1"/>
      <w:marLeft w:val="0"/>
      <w:marRight w:val="0"/>
      <w:marTop w:val="0"/>
      <w:marBottom w:val="0"/>
      <w:divBdr>
        <w:top w:val="none" w:sz="0" w:space="0" w:color="auto"/>
        <w:left w:val="none" w:sz="0" w:space="0" w:color="auto"/>
        <w:bottom w:val="none" w:sz="0" w:space="0" w:color="auto"/>
        <w:right w:val="none" w:sz="0" w:space="0" w:color="auto"/>
      </w:divBdr>
    </w:div>
    <w:div w:id="183326303">
      <w:bodyDiv w:val="1"/>
      <w:marLeft w:val="0"/>
      <w:marRight w:val="0"/>
      <w:marTop w:val="0"/>
      <w:marBottom w:val="0"/>
      <w:divBdr>
        <w:top w:val="none" w:sz="0" w:space="0" w:color="auto"/>
        <w:left w:val="none" w:sz="0" w:space="0" w:color="auto"/>
        <w:bottom w:val="none" w:sz="0" w:space="0" w:color="auto"/>
        <w:right w:val="none" w:sz="0" w:space="0" w:color="auto"/>
      </w:divBdr>
    </w:div>
    <w:div w:id="193882637">
      <w:bodyDiv w:val="1"/>
      <w:marLeft w:val="0"/>
      <w:marRight w:val="0"/>
      <w:marTop w:val="0"/>
      <w:marBottom w:val="0"/>
      <w:divBdr>
        <w:top w:val="none" w:sz="0" w:space="0" w:color="auto"/>
        <w:left w:val="none" w:sz="0" w:space="0" w:color="auto"/>
        <w:bottom w:val="none" w:sz="0" w:space="0" w:color="auto"/>
        <w:right w:val="none" w:sz="0" w:space="0" w:color="auto"/>
      </w:divBdr>
    </w:div>
    <w:div w:id="194463395">
      <w:bodyDiv w:val="1"/>
      <w:marLeft w:val="0"/>
      <w:marRight w:val="0"/>
      <w:marTop w:val="0"/>
      <w:marBottom w:val="0"/>
      <w:divBdr>
        <w:top w:val="none" w:sz="0" w:space="0" w:color="auto"/>
        <w:left w:val="none" w:sz="0" w:space="0" w:color="auto"/>
        <w:bottom w:val="none" w:sz="0" w:space="0" w:color="auto"/>
        <w:right w:val="none" w:sz="0" w:space="0" w:color="auto"/>
      </w:divBdr>
    </w:div>
    <w:div w:id="210849396">
      <w:bodyDiv w:val="1"/>
      <w:marLeft w:val="0"/>
      <w:marRight w:val="0"/>
      <w:marTop w:val="0"/>
      <w:marBottom w:val="0"/>
      <w:divBdr>
        <w:top w:val="none" w:sz="0" w:space="0" w:color="auto"/>
        <w:left w:val="none" w:sz="0" w:space="0" w:color="auto"/>
        <w:bottom w:val="none" w:sz="0" w:space="0" w:color="auto"/>
        <w:right w:val="none" w:sz="0" w:space="0" w:color="auto"/>
      </w:divBdr>
    </w:div>
    <w:div w:id="247154443">
      <w:bodyDiv w:val="1"/>
      <w:marLeft w:val="0"/>
      <w:marRight w:val="0"/>
      <w:marTop w:val="0"/>
      <w:marBottom w:val="0"/>
      <w:divBdr>
        <w:top w:val="none" w:sz="0" w:space="0" w:color="auto"/>
        <w:left w:val="none" w:sz="0" w:space="0" w:color="auto"/>
        <w:bottom w:val="none" w:sz="0" w:space="0" w:color="auto"/>
        <w:right w:val="none" w:sz="0" w:space="0" w:color="auto"/>
      </w:divBdr>
    </w:div>
    <w:div w:id="250087888">
      <w:bodyDiv w:val="1"/>
      <w:marLeft w:val="0"/>
      <w:marRight w:val="0"/>
      <w:marTop w:val="0"/>
      <w:marBottom w:val="0"/>
      <w:divBdr>
        <w:top w:val="none" w:sz="0" w:space="0" w:color="auto"/>
        <w:left w:val="none" w:sz="0" w:space="0" w:color="auto"/>
        <w:bottom w:val="none" w:sz="0" w:space="0" w:color="auto"/>
        <w:right w:val="none" w:sz="0" w:space="0" w:color="auto"/>
      </w:divBdr>
    </w:div>
    <w:div w:id="251286051">
      <w:bodyDiv w:val="1"/>
      <w:marLeft w:val="0"/>
      <w:marRight w:val="0"/>
      <w:marTop w:val="0"/>
      <w:marBottom w:val="0"/>
      <w:divBdr>
        <w:top w:val="none" w:sz="0" w:space="0" w:color="auto"/>
        <w:left w:val="none" w:sz="0" w:space="0" w:color="auto"/>
        <w:bottom w:val="none" w:sz="0" w:space="0" w:color="auto"/>
        <w:right w:val="none" w:sz="0" w:space="0" w:color="auto"/>
      </w:divBdr>
    </w:div>
    <w:div w:id="262038642">
      <w:bodyDiv w:val="1"/>
      <w:marLeft w:val="0"/>
      <w:marRight w:val="0"/>
      <w:marTop w:val="0"/>
      <w:marBottom w:val="0"/>
      <w:divBdr>
        <w:top w:val="none" w:sz="0" w:space="0" w:color="auto"/>
        <w:left w:val="none" w:sz="0" w:space="0" w:color="auto"/>
        <w:bottom w:val="none" w:sz="0" w:space="0" w:color="auto"/>
        <w:right w:val="none" w:sz="0" w:space="0" w:color="auto"/>
      </w:divBdr>
    </w:div>
    <w:div w:id="264534990">
      <w:bodyDiv w:val="1"/>
      <w:marLeft w:val="0"/>
      <w:marRight w:val="0"/>
      <w:marTop w:val="0"/>
      <w:marBottom w:val="0"/>
      <w:divBdr>
        <w:top w:val="none" w:sz="0" w:space="0" w:color="auto"/>
        <w:left w:val="none" w:sz="0" w:space="0" w:color="auto"/>
        <w:bottom w:val="none" w:sz="0" w:space="0" w:color="auto"/>
        <w:right w:val="none" w:sz="0" w:space="0" w:color="auto"/>
      </w:divBdr>
    </w:div>
    <w:div w:id="303003623">
      <w:bodyDiv w:val="1"/>
      <w:marLeft w:val="0"/>
      <w:marRight w:val="0"/>
      <w:marTop w:val="0"/>
      <w:marBottom w:val="0"/>
      <w:divBdr>
        <w:top w:val="none" w:sz="0" w:space="0" w:color="auto"/>
        <w:left w:val="none" w:sz="0" w:space="0" w:color="auto"/>
        <w:bottom w:val="none" w:sz="0" w:space="0" w:color="auto"/>
        <w:right w:val="none" w:sz="0" w:space="0" w:color="auto"/>
      </w:divBdr>
    </w:div>
    <w:div w:id="303244995">
      <w:bodyDiv w:val="1"/>
      <w:marLeft w:val="0"/>
      <w:marRight w:val="0"/>
      <w:marTop w:val="0"/>
      <w:marBottom w:val="0"/>
      <w:divBdr>
        <w:top w:val="none" w:sz="0" w:space="0" w:color="auto"/>
        <w:left w:val="none" w:sz="0" w:space="0" w:color="auto"/>
        <w:bottom w:val="none" w:sz="0" w:space="0" w:color="auto"/>
        <w:right w:val="none" w:sz="0" w:space="0" w:color="auto"/>
      </w:divBdr>
    </w:div>
    <w:div w:id="304044119">
      <w:bodyDiv w:val="1"/>
      <w:marLeft w:val="0"/>
      <w:marRight w:val="0"/>
      <w:marTop w:val="0"/>
      <w:marBottom w:val="0"/>
      <w:divBdr>
        <w:top w:val="none" w:sz="0" w:space="0" w:color="auto"/>
        <w:left w:val="none" w:sz="0" w:space="0" w:color="auto"/>
        <w:bottom w:val="none" w:sz="0" w:space="0" w:color="auto"/>
        <w:right w:val="none" w:sz="0" w:space="0" w:color="auto"/>
      </w:divBdr>
    </w:div>
    <w:div w:id="323514736">
      <w:bodyDiv w:val="1"/>
      <w:marLeft w:val="0"/>
      <w:marRight w:val="0"/>
      <w:marTop w:val="0"/>
      <w:marBottom w:val="0"/>
      <w:divBdr>
        <w:top w:val="none" w:sz="0" w:space="0" w:color="auto"/>
        <w:left w:val="none" w:sz="0" w:space="0" w:color="auto"/>
        <w:bottom w:val="none" w:sz="0" w:space="0" w:color="auto"/>
        <w:right w:val="none" w:sz="0" w:space="0" w:color="auto"/>
      </w:divBdr>
    </w:div>
    <w:div w:id="341737431">
      <w:bodyDiv w:val="1"/>
      <w:marLeft w:val="0"/>
      <w:marRight w:val="0"/>
      <w:marTop w:val="0"/>
      <w:marBottom w:val="0"/>
      <w:divBdr>
        <w:top w:val="none" w:sz="0" w:space="0" w:color="auto"/>
        <w:left w:val="none" w:sz="0" w:space="0" w:color="auto"/>
        <w:bottom w:val="none" w:sz="0" w:space="0" w:color="auto"/>
        <w:right w:val="none" w:sz="0" w:space="0" w:color="auto"/>
      </w:divBdr>
    </w:div>
    <w:div w:id="350300694">
      <w:bodyDiv w:val="1"/>
      <w:marLeft w:val="0"/>
      <w:marRight w:val="0"/>
      <w:marTop w:val="0"/>
      <w:marBottom w:val="0"/>
      <w:divBdr>
        <w:top w:val="none" w:sz="0" w:space="0" w:color="auto"/>
        <w:left w:val="none" w:sz="0" w:space="0" w:color="auto"/>
        <w:bottom w:val="none" w:sz="0" w:space="0" w:color="auto"/>
        <w:right w:val="none" w:sz="0" w:space="0" w:color="auto"/>
      </w:divBdr>
    </w:div>
    <w:div w:id="350375501">
      <w:bodyDiv w:val="1"/>
      <w:marLeft w:val="0"/>
      <w:marRight w:val="0"/>
      <w:marTop w:val="0"/>
      <w:marBottom w:val="0"/>
      <w:divBdr>
        <w:top w:val="none" w:sz="0" w:space="0" w:color="auto"/>
        <w:left w:val="none" w:sz="0" w:space="0" w:color="auto"/>
        <w:bottom w:val="none" w:sz="0" w:space="0" w:color="auto"/>
        <w:right w:val="none" w:sz="0" w:space="0" w:color="auto"/>
      </w:divBdr>
    </w:div>
    <w:div w:id="380133529">
      <w:bodyDiv w:val="1"/>
      <w:marLeft w:val="0"/>
      <w:marRight w:val="0"/>
      <w:marTop w:val="0"/>
      <w:marBottom w:val="0"/>
      <w:divBdr>
        <w:top w:val="none" w:sz="0" w:space="0" w:color="auto"/>
        <w:left w:val="none" w:sz="0" w:space="0" w:color="auto"/>
        <w:bottom w:val="none" w:sz="0" w:space="0" w:color="auto"/>
        <w:right w:val="none" w:sz="0" w:space="0" w:color="auto"/>
      </w:divBdr>
    </w:div>
    <w:div w:id="380330851">
      <w:bodyDiv w:val="1"/>
      <w:marLeft w:val="0"/>
      <w:marRight w:val="0"/>
      <w:marTop w:val="0"/>
      <w:marBottom w:val="0"/>
      <w:divBdr>
        <w:top w:val="none" w:sz="0" w:space="0" w:color="auto"/>
        <w:left w:val="none" w:sz="0" w:space="0" w:color="auto"/>
        <w:bottom w:val="none" w:sz="0" w:space="0" w:color="auto"/>
        <w:right w:val="none" w:sz="0" w:space="0" w:color="auto"/>
      </w:divBdr>
    </w:div>
    <w:div w:id="394085032">
      <w:bodyDiv w:val="1"/>
      <w:marLeft w:val="0"/>
      <w:marRight w:val="0"/>
      <w:marTop w:val="0"/>
      <w:marBottom w:val="0"/>
      <w:divBdr>
        <w:top w:val="none" w:sz="0" w:space="0" w:color="auto"/>
        <w:left w:val="none" w:sz="0" w:space="0" w:color="auto"/>
        <w:bottom w:val="none" w:sz="0" w:space="0" w:color="auto"/>
        <w:right w:val="none" w:sz="0" w:space="0" w:color="auto"/>
      </w:divBdr>
    </w:div>
    <w:div w:id="413936665">
      <w:bodyDiv w:val="1"/>
      <w:marLeft w:val="0"/>
      <w:marRight w:val="0"/>
      <w:marTop w:val="0"/>
      <w:marBottom w:val="0"/>
      <w:divBdr>
        <w:top w:val="none" w:sz="0" w:space="0" w:color="auto"/>
        <w:left w:val="none" w:sz="0" w:space="0" w:color="auto"/>
        <w:bottom w:val="none" w:sz="0" w:space="0" w:color="auto"/>
        <w:right w:val="none" w:sz="0" w:space="0" w:color="auto"/>
      </w:divBdr>
    </w:div>
    <w:div w:id="422343531">
      <w:bodyDiv w:val="1"/>
      <w:marLeft w:val="0"/>
      <w:marRight w:val="0"/>
      <w:marTop w:val="0"/>
      <w:marBottom w:val="0"/>
      <w:divBdr>
        <w:top w:val="none" w:sz="0" w:space="0" w:color="auto"/>
        <w:left w:val="none" w:sz="0" w:space="0" w:color="auto"/>
        <w:bottom w:val="none" w:sz="0" w:space="0" w:color="auto"/>
        <w:right w:val="none" w:sz="0" w:space="0" w:color="auto"/>
      </w:divBdr>
    </w:div>
    <w:div w:id="437914028">
      <w:bodyDiv w:val="1"/>
      <w:marLeft w:val="0"/>
      <w:marRight w:val="0"/>
      <w:marTop w:val="0"/>
      <w:marBottom w:val="0"/>
      <w:divBdr>
        <w:top w:val="none" w:sz="0" w:space="0" w:color="auto"/>
        <w:left w:val="none" w:sz="0" w:space="0" w:color="auto"/>
        <w:bottom w:val="none" w:sz="0" w:space="0" w:color="auto"/>
        <w:right w:val="none" w:sz="0" w:space="0" w:color="auto"/>
      </w:divBdr>
    </w:div>
    <w:div w:id="475529670">
      <w:bodyDiv w:val="1"/>
      <w:marLeft w:val="0"/>
      <w:marRight w:val="0"/>
      <w:marTop w:val="0"/>
      <w:marBottom w:val="0"/>
      <w:divBdr>
        <w:top w:val="none" w:sz="0" w:space="0" w:color="auto"/>
        <w:left w:val="none" w:sz="0" w:space="0" w:color="auto"/>
        <w:bottom w:val="none" w:sz="0" w:space="0" w:color="auto"/>
        <w:right w:val="none" w:sz="0" w:space="0" w:color="auto"/>
      </w:divBdr>
    </w:div>
    <w:div w:id="493958544">
      <w:bodyDiv w:val="1"/>
      <w:marLeft w:val="0"/>
      <w:marRight w:val="0"/>
      <w:marTop w:val="0"/>
      <w:marBottom w:val="0"/>
      <w:divBdr>
        <w:top w:val="none" w:sz="0" w:space="0" w:color="auto"/>
        <w:left w:val="none" w:sz="0" w:space="0" w:color="auto"/>
        <w:bottom w:val="none" w:sz="0" w:space="0" w:color="auto"/>
        <w:right w:val="none" w:sz="0" w:space="0" w:color="auto"/>
      </w:divBdr>
    </w:div>
    <w:div w:id="502164222">
      <w:bodyDiv w:val="1"/>
      <w:marLeft w:val="0"/>
      <w:marRight w:val="0"/>
      <w:marTop w:val="0"/>
      <w:marBottom w:val="0"/>
      <w:divBdr>
        <w:top w:val="none" w:sz="0" w:space="0" w:color="auto"/>
        <w:left w:val="none" w:sz="0" w:space="0" w:color="auto"/>
        <w:bottom w:val="none" w:sz="0" w:space="0" w:color="auto"/>
        <w:right w:val="none" w:sz="0" w:space="0" w:color="auto"/>
      </w:divBdr>
    </w:div>
    <w:div w:id="522666796">
      <w:bodyDiv w:val="1"/>
      <w:marLeft w:val="0"/>
      <w:marRight w:val="0"/>
      <w:marTop w:val="0"/>
      <w:marBottom w:val="0"/>
      <w:divBdr>
        <w:top w:val="none" w:sz="0" w:space="0" w:color="auto"/>
        <w:left w:val="none" w:sz="0" w:space="0" w:color="auto"/>
        <w:bottom w:val="none" w:sz="0" w:space="0" w:color="auto"/>
        <w:right w:val="none" w:sz="0" w:space="0" w:color="auto"/>
      </w:divBdr>
    </w:div>
    <w:div w:id="541482159">
      <w:bodyDiv w:val="1"/>
      <w:marLeft w:val="0"/>
      <w:marRight w:val="0"/>
      <w:marTop w:val="0"/>
      <w:marBottom w:val="0"/>
      <w:divBdr>
        <w:top w:val="none" w:sz="0" w:space="0" w:color="auto"/>
        <w:left w:val="none" w:sz="0" w:space="0" w:color="auto"/>
        <w:bottom w:val="none" w:sz="0" w:space="0" w:color="auto"/>
        <w:right w:val="none" w:sz="0" w:space="0" w:color="auto"/>
      </w:divBdr>
    </w:div>
    <w:div w:id="585958454">
      <w:bodyDiv w:val="1"/>
      <w:marLeft w:val="0"/>
      <w:marRight w:val="0"/>
      <w:marTop w:val="0"/>
      <w:marBottom w:val="0"/>
      <w:divBdr>
        <w:top w:val="none" w:sz="0" w:space="0" w:color="auto"/>
        <w:left w:val="none" w:sz="0" w:space="0" w:color="auto"/>
        <w:bottom w:val="none" w:sz="0" w:space="0" w:color="auto"/>
        <w:right w:val="none" w:sz="0" w:space="0" w:color="auto"/>
      </w:divBdr>
    </w:div>
    <w:div w:id="593243446">
      <w:bodyDiv w:val="1"/>
      <w:marLeft w:val="0"/>
      <w:marRight w:val="0"/>
      <w:marTop w:val="0"/>
      <w:marBottom w:val="0"/>
      <w:divBdr>
        <w:top w:val="none" w:sz="0" w:space="0" w:color="auto"/>
        <w:left w:val="none" w:sz="0" w:space="0" w:color="auto"/>
        <w:bottom w:val="none" w:sz="0" w:space="0" w:color="auto"/>
        <w:right w:val="none" w:sz="0" w:space="0" w:color="auto"/>
      </w:divBdr>
    </w:div>
    <w:div w:id="595094446">
      <w:bodyDiv w:val="1"/>
      <w:marLeft w:val="0"/>
      <w:marRight w:val="0"/>
      <w:marTop w:val="0"/>
      <w:marBottom w:val="0"/>
      <w:divBdr>
        <w:top w:val="none" w:sz="0" w:space="0" w:color="auto"/>
        <w:left w:val="none" w:sz="0" w:space="0" w:color="auto"/>
        <w:bottom w:val="none" w:sz="0" w:space="0" w:color="auto"/>
        <w:right w:val="none" w:sz="0" w:space="0" w:color="auto"/>
      </w:divBdr>
    </w:div>
    <w:div w:id="595594627">
      <w:bodyDiv w:val="1"/>
      <w:marLeft w:val="0"/>
      <w:marRight w:val="0"/>
      <w:marTop w:val="0"/>
      <w:marBottom w:val="0"/>
      <w:divBdr>
        <w:top w:val="none" w:sz="0" w:space="0" w:color="auto"/>
        <w:left w:val="none" w:sz="0" w:space="0" w:color="auto"/>
        <w:bottom w:val="none" w:sz="0" w:space="0" w:color="auto"/>
        <w:right w:val="none" w:sz="0" w:space="0" w:color="auto"/>
      </w:divBdr>
    </w:div>
    <w:div w:id="613444870">
      <w:bodyDiv w:val="1"/>
      <w:marLeft w:val="0"/>
      <w:marRight w:val="0"/>
      <w:marTop w:val="0"/>
      <w:marBottom w:val="0"/>
      <w:divBdr>
        <w:top w:val="none" w:sz="0" w:space="0" w:color="auto"/>
        <w:left w:val="none" w:sz="0" w:space="0" w:color="auto"/>
        <w:bottom w:val="none" w:sz="0" w:space="0" w:color="auto"/>
        <w:right w:val="none" w:sz="0" w:space="0" w:color="auto"/>
      </w:divBdr>
    </w:div>
    <w:div w:id="613752563">
      <w:bodyDiv w:val="1"/>
      <w:marLeft w:val="0"/>
      <w:marRight w:val="0"/>
      <w:marTop w:val="0"/>
      <w:marBottom w:val="0"/>
      <w:divBdr>
        <w:top w:val="none" w:sz="0" w:space="0" w:color="auto"/>
        <w:left w:val="none" w:sz="0" w:space="0" w:color="auto"/>
        <w:bottom w:val="none" w:sz="0" w:space="0" w:color="auto"/>
        <w:right w:val="none" w:sz="0" w:space="0" w:color="auto"/>
      </w:divBdr>
    </w:div>
    <w:div w:id="622619461">
      <w:bodyDiv w:val="1"/>
      <w:marLeft w:val="0"/>
      <w:marRight w:val="0"/>
      <w:marTop w:val="0"/>
      <w:marBottom w:val="0"/>
      <w:divBdr>
        <w:top w:val="none" w:sz="0" w:space="0" w:color="auto"/>
        <w:left w:val="none" w:sz="0" w:space="0" w:color="auto"/>
        <w:bottom w:val="none" w:sz="0" w:space="0" w:color="auto"/>
        <w:right w:val="none" w:sz="0" w:space="0" w:color="auto"/>
      </w:divBdr>
    </w:div>
    <w:div w:id="623583859">
      <w:bodyDiv w:val="1"/>
      <w:marLeft w:val="0"/>
      <w:marRight w:val="0"/>
      <w:marTop w:val="0"/>
      <w:marBottom w:val="0"/>
      <w:divBdr>
        <w:top w:val="none" w:sz="0" w:space="0" w:color="auto"/>
        <w:left w:val="none" w:sz="0" w:space="0" w:color="auto"/>
        <w:bottom w:val="none" w:sz="0" w:space="0" w:color="auto"/>
        <w:right w:val="none" w:sz="0" w:space="0" w:color="auto"/>
      </w:divBdr>
    </w:div>
    <w:div w:id="628509982">
      <w:bodyDiv w:val="1"/>
      <w:marLeft w:val="0"/>
      <w:marRight w:val="0"/>
      <w:marTop w:val="0"/>
      <w:marBottom w:val="0"/>
      <w:divBdr>
        <w:top w:val="none" w:sz="0" w:space="0" w:color="auto"/>
        <w:left w:val="none" w:sz="0" w:space="0" w:color="auto"/>
        <w:bottom w:val="none" w:sz="0" w:space="0" w:color="auto"/>
        <w:right w:val="none" w:sz="0" w:space="0" w:color="auto"/>
      </w:divBdr>
    </w:div>
    <w:div w:id="652224781">
      <w:bodyDiv w:val="1"/>
      <w:marLeft w:val="0"/>
      <w:marRight w:val="0"/>
      <w:marTop w:val="0"/>
      <w:marBottom w:val="0"/>
      <w:divBdr>
        <w:top w:val="none" w:sz="0" w:space="0" w:color="auto"/>
        <w:left w:val="none" w:sz="0" w:space="0" w:color="auto"/>
        <w:bottom w:val="none" w:sz="0" w:space="0" w:color="auto"/>
        <w:right w:val="none" w:sz="0" w:space="0" w:color="auto"/>
      </w:divBdr>
    </w:div>
    <w:div w:id="656112404">
      <w:bodyDiv w:val="1"/>
      <w:marLeft w:val="0"/>
      <w:marRight w:val="0"/>
      <w:marTop w:val="0"/>
      <w:marBottom w:val="0"/>
      <w:divBdr>
        <w:top w:val="none" w:sz="0" w:space="0" w:color="auto"/>
        <w:left w:val="none" w:sz="0" w:space="0" w:color="auto"/>
        <w:bottom w:val="none" w:sz="0" w:space="0" w:color="auto"/>
        <w:right w:val="none" w:sz="0" w:space="0" w:color="auto"/>
      </w:divBdr>
    </w:div>
    <w:div w:id="715548186">
      <w:bodyDiv w:val="1"/>
      <w:marLeft w:val="0"/>
      <w:marRight w:val="0"/>
      <w:marTop w:val="0"/>
      <w:marBottom w:val="0"/>
      <w:divBdr>
        <w:top w:val="none" w:sz="0" w:space="0" w:color="auto"/>
        <w:left w:val="none" w:sz="0" w:space="0" w:color="auto"/>
        <w:bottom w:val="none" w:sz="0" w:space="0" w:color="auto"/>
        <w:right w:val="none" w:sz="0" w:space="0" w:color="auto"/>
      </w:divBdr>
    </w:div>
    <w:div w:id="728848827">
      <w:bodyDiv w:val="1"/>
      <w:marLeft w:val="0"/>
      <w:marRight w:val="0"/>
      <w:marTop w:val="0"/>
      <w:marBottom w:val="0"/>
      <w:divBdr>
        <w:top w:val="none" w:sz="0" w:space="0" w:color="auto"/>
        <w:left w:val="none" w:sz="0" w:space="0" w:color="auto"/>
        <w:bottom w:val="none" w:sz="0" w:space="0" w:color="auto"/>
        <w:right w:val="none" w:sz="0" w:space="0" w:color="auto"/>
      </w:divBdr>
    </w:div>
    <w:div w:id="739402686">
      <w:bodyDiv w:val="1"/>
      <w:marLeft w:val="0"/>
      <w:marRight w:val="0"/>
      <w:marTop w:val="0"/>
      <w:marBottom w:val="0"/>
      <w:divBdr>
        <w:top w:val="none" w:sz="0" w:space="0" w:color="auto"/>
        <w:left w:val="none" w:sz="0" w:space="0" w:color="auto"/>
        <w:bottom w:val="none" w:sz="0" w:space="0" w:color="auto"/>
        <w:right w:val="none" w:sz="0" w:space="0" w:color="auto"/>
      </w:divBdr>
    </w:div>
    <w:div w:id="774637479">
      <w:bodyDiv w:val="1"/>
      <w:marLeft w:val="0"/>
      <w:marRight w:val="0"/>
      <w:marTop w:val="0"/>
      <w:marBottom w:val="0"/>
      <w:divBdr>
        <w:top w:val="none" w:sz="0" w:space="0" w:color="auto"/>
        <w:left w:val="none" w:sz="0" w:space="0" w:color="auto"/>
        <w:bottom w:val="none" w:sz="0" w:space="0" w:color="auto"/>
        <w:right w:val="none" w:sz="0" w:space="0" w:color="auto"/>
      </w:divBdr>
    </w:div>
    <w:div w:id="777026538">
      <w:bodyDiv w:val="1"/>
      <w:marLeft w:val="0"/>
      <w:marRight w:val="0"/>
      <w:marTop w:val="0"/>
      <w:marBottom w:val="0"/>
      <w:divBdr>
        <w:top w:val="none" w:sz="0" w:space="0" w:color="auto"/>
        <w:left w:val="none" w:sz="0" w:space="0" w:color="auto"/>
        <w:bottom w:val="none" w:sz="0" w:space="0" w:color="auto"/>
        <w:right w:val="none" w:sz="0" w:space="0" w:color="auto"/>
      </w:divBdr>
    </w:div>
    <w:div w:id="819927821">
      <w:bodyDiv w:val="1"/>
      <w:marLeft w:val="0"/>
      <w:marRight w:val="0"/>
      <w:marTop w:val="0"/>
      <w:marBottom w:val="0"/>
      <w:divBdr>
        <w:top w:val="none" w:sz="0" w:space="0" w:color="auto"/>
        <w:left w:val="none" w:sz="0" w:space="0" w:color="auto"/>
        <w:bottom w:val="none" w:sz="0" w:space="0" w:color="auto"/>
        <w:right w:val="none" w:sz="0" w:space="0" w:color="auto"/>
      </w:divBdr>
    </w:div>
    <w:div w:id="827598953">
      <w:bodyDiv w:val="1"/>
      <w:marLeft w:val="0"/>
      <w:marRight w:val="0"/>
      <w:marTop w:val="0"/>
      <w:marBottom w:val="0"/>
      <w:divBdr>
        <w:top w:val="none" w:sz="0" w:space="0" w:color="auto"/>
        <w:left w:val="none" w:sz="0" w:space="0" w:color="auto"/>
        <w:bottom w:val="none" w:sz="0" w:space="0" w:color="auto"/>
        <w:right w:val="none" w:sz="0" w:space="0" w:color="auto"/>
      </w:divBdr>
    </w:div>
    <w:div w:id="830291902">
      <w:bodyDiv w:val="1"/>
      <w:marLeft w:val="0"/>
      <w:marRight w:val="0"/>
      <w:marTop w:val="0"/>
      <w:marBottom w:val="0"/>
      <w:divBdr>
        <w:top w:val="none" w:sz="0" w:space="0" w:color="auto"/>
        <w:left w:val="none" w:sz="0" w:space="0" w:color="auto"/>
        <w:bottom w:val="none" w:sz="0" w:space="0" w:color="auto"/>
        <w:right w:val="none" w:sz="0" w:space="0" w:color="auto"/>
      </w:divBdr>
    </w:div>
    <w:div w:id="834497183">
      <w:bodyDiv w:val="1"/>
      <w:marLeft w:val="0"/>
      <w:marRight w:val="0"/>
      <w:marTop w:val="0"/>
      <w:marBottom w:val="0"/>
      <w:divBdr>
        <w:top w:val="none" w:sz="0" w:space="0" w:color="auto"/>
        <w:left w:val="none" w:sz="0" w:space="0" w:color="auto"/>
        <w:bottom w:val="none" w:sz="0" w:space="0" w:color="auto"/>
        <w:right w:val="none" w:sz="0" w:space="0" w:color="auto"/>
      </w:divBdr>
    </w:div>
    <w:div w:id="849444450">
      <w:bodyDiv w:val="1"/>
      <w:marLeft w:val="0"/>
      <w:marRight w:val="0"/>
      <w:marTop w:val="0"/>
      <w:marBottom w:val="0"/>
      <w:divBdr>
        <w:top w:val="none" w:sz="0" w:space="0" w:color="auto"/>
        <w:left w:val="none" w:sz="0" w:space="0" w:color="auto"/>
        <w:bottom w:val="none" w:sz="0" w:space="0" w:color="auto"/>
        <w:right w:val="none" w:sz="0" w:space="0" w:color="auto"/>
      </w:divBdr>
    </w:div>
    <w:div w:id="867723240">
      <w:bodyDiv w:val="1"/>
      <w:marLeft w:val="0"/>
      <w:marRight w:val="0"/>
      <w:marTop w:val="0"/>
      <w:marBottom w:val="0"/>
      <w:divBdr>
        <w:top w:val="none" w:sz="0" w:space="0" w:color="auto"/>
        <w:left w:val="none" w:sz="0" w:space="0" w:color="auto"/>
        <w:bottom w:val="none" w:sz="0" w:space="0" w:color="auto"/>
        <w:right w:val="none" w:sz="0" w:space="0" w:color="auto"/>
      </w:divBdr>
    </w:div>
    <w:div w:id="928271996">
      <w:bodyDiv w:val="1"/>
      <w:marLeft w:val="0"/>
      <w:marRight w:val="0"/>
      <w:marTop w:val="0"/>
      <w:marBottom w:val="0"/>
      <w:divBdr>
        <w:top w:val="none" w:sz="0" w:space="0" w:color="auto"/>
        <w:left w:val="none" w:sz="0" w:space="0" w:color="auto"/>
        <w:bottom w:val="none" w:sz="0" w:space="0" w:color="auto"/>
        <w:right w:val="none" w:sz="0" w:space="0" w:color="auto"/>
      </w:divBdr>
    </w:div>
    <w:div w:id="930092229">
      <w:bodyDiv w:val="1"/>
      <w:marLeft w:val="0"/>
      <w:marRight w:val="0"/>
      <w:marTop w:val="0"/>
      <w:marBottom w:val="0"/>
      <w:divBdr>
        <w:top w:val="none" w:sz="0" w:space="0" w:color="auto"/>
        <w:left w:val="none" w:sz="0" w:space="0" w:color="auto"/>
        <w:bottom w:val="none" w:sz="0" w:space="0" w:color="auto"/>
        <w:right w:val="none" w:sz="0" w:space="0" w:color="auto"/>
      </w:divBdr>
    </w:div>
    <w:div w:id="935288798">
      <w:bodyDiv w:val="1"/>
      <w:marLeft w:val="0"/>
      <w:marRight w:val="0"/>
      <w:marTop w:val="0"/>
      <w:marBottom w:val="0"/>
      <w:divBdr>
        <w:top w:val="none" w:sz="0" w:space="0" w:color="auto"/>
        <w:left w:val="none" w:sz="0" w:space="0" w:color="auto"/>
        <w:bottom w:val="none" w:sz="0" w:space="0" w:color="auto"/>
        <w:right w:val="none" w:sz="0" w:space="0" w:color="auto"/>
      </w:divBdr>
    </w:div>
    <w:div w:id="941842665">
      <w:bodyDiv w:val="1"/>
      <w:marLeft w:val="0"/>
      <w:marRight w:val="0"/>
      <w:marTop w:val="0"/>
      <w:marBottom w:val="0"/>
      <w:divBdr>
        <w:top w:val="none" w:sz="0" w:space="0" w:color="auto"/>
        <w:left w:val="none" w:sz="0" w:space="0" w:color="auto"/>
        <w:bottom w:val="none" w:sz="0" w:space="0" w:color="auto"/>
        <w:right w:val="none" w:sz="0" w:space="0" w:color="auto"/>
      </w:divBdr>
    </w:div>
    <w:div w:id="974069887">
      <w:bodyDiv w:val="1"/>
      <w:marLeft w:val="0"/>
      <w:marRight w:val="0"/>
      <w:marTop w:val="0"/>
      <w:marBottom w:val="0"/>
      <w:divBdr>
        <w:top w:val="none" w:sz="0" w:space="0" w:color="auto"/>
        <w:left w:val="none" w:sz="0" w:space="0" w:color="auto"/>
        <w:bottom w:val="none" w:sz="0" w:space="0" w:color="auto"/>
        <w:right w:val="none" w:sz="0" w:space="0" w:color="auto"/>
      </w:divBdr>
    </w:div>
    <w:div w:id="994799539">
      <w:bodyDiv w:val="1"/>
      <w:marLeft w:val="0"/>
      <w:marRight w:val="0"/>
      <w:marTop w:val="0"/>
      <w:marBottom w:val="0"/>
      <w:divBdr>
        <w:top w:val="none" w:sz="0" w:space="0" w:color="auto"/>
        <w:left w:val="none" w:sz="0" w:space="0" w:color="auto"/>
        <w:bottom w:val="none" w:sz="0" w:space="0" w:color="auto"/>
        <w:right w:val="none" w:sz="0" w:space="0" w:color="auto"/>
      </w:divBdr>
    </w:div>
    <w:div w:id="1000088141">
      <w:bodyDiv w:val="1"/>
      <w:marLeft w:val="0"/>
      <w:marRight w:val="0"/>
      <w:marTop w:val="0"/>
      <w:marBottom w:val="0"/>
      <w:divBdr>
        <w:top w:val="none" w:sz="0" w:space="0" w:color="auto"/>
        <w:left w:val="none" w:sz="0" w:space="0" w:color="auto"/>
        <w:bottom w:val="none" w:sz="0" w:space="0" w:color="auto"/>
        <w:right w:val="none" w:sz="0" w:space="0" w:color="auto"/>
      </w:divBdr>
    </w:div>
    <w:div w:id="1020667283">
      <w:bodyDiv w:val="1"/>
      <w:marLeft w:val="0"/>
      <w:marRight w:val="0"/>
      <w:marTop w:val="0"/>
      <w:marBottom w:val="0"/>
      <w:divBdr>
        <w:top w:val="none" w:sz="0" w:space="0" w:color="auto"/>
        <w:left w:val="none" w:sz="0" w:space="0" w:color="auto"/>
        <w:bottom w:val="none" w:sz="0" w:space="0" w:color="auto"/>
        <w:right w:val="none" w:sz="0" w:space="0" w:color="auto"/>
      </w:divBdr>
    </w:div>
    <w:div w:id="1038899469">
      <w:bodyDiv w:val="1"/>
      <w:marLeft w:val="0"/>
      <w:marRight w:val="0"/>
      <w:marTop w:val="0"/>
      <w:marBottom w:val="0"/>
      <w:divBdr>
        <w:top w:val="none" w:sz="0" w:space="0" w:color="auto"/>
        <w:left w:val="none" w:sz="0" w:space="0" w:color="auto"/>
        <w:bottom w:val="none" w:sz="0" w:space="0" w:color="auto"/>
        <w:right w:val="none" w:sz="0" w:space="0" w:color="auto"/>
      </w:divBdr>
    </w:div>
    <w:div w:id="1079987328">
      <w:bodyDiv w:val="1"/>
      <w:marLeft w:val="0"/>
      <w:marRight w:val="0"/>
      <w:marTop w:val="0"/>
      <w:marBottom w:val="0"/>
      <w:divBdr>
        <w:top w:val="none" w:sz="0" w:space="0" w:color="auto"/>
        <w:left w:val="none" w:sz="0" w:space="0" w:color="auto"/>
        <w:bottom w:val="none" w:sz="0" w:space="0" w:color="auto"/>
        <w:right w:val="none" w:sz="0" w:space="0" w:color="auto"/>
      </w:divBdr>
    </w:div>
    <w:div w:id="1083602444">
      <w:bodyDiv w:val="1"/>
      <w:marLeft w:val="0"/>
      <w:marRight w:val="0"/>
      <w:marTop w:val="0"/>
      <w:marBottom w:val="0"/>
      <w:divBdr>
        <w:top w:val="none" w:sz="0" w:space="0" w:color="auto"/>
        <w:left w:val="none" w:sz="0" w:space="0" w:color="auto"/>
        <w:bottom w:val="none" w:sz="0" w:space="0" w:color="auto"/>
        <w:right w:val="none" w:sz="0" w:space="0" w:color="auto"/>
      </w:divBdr>
    </w:div>
    <w:div w:id="1101561559">
      <w:bodyDiv w:val="1"/>
      <w:marLeft w:val="0"/>
      <w:marRight w:val="0"/>
      <w:marTop w:val="0"/>
      <w:marBottom w:val="0"/>
      <w:divBdr>
        <w:top w:val="none" w:sz="0" w:space="0" w:color="auto"/>
        <w:left w:val="none" w:sz="0" w:space="0" w:color="auto"/>
        <w:bottom w:val="none" w:sz="0" w:space="0" w:color="auto"/>
        <w:right w:val="none" w:sz="0" w:space="0" w:color="auto"/>
      </w:divBdr>
    </w:div>
    <w:div w:id="1102527389">
      <w:bodyDiv w:val="1"/>
      <w:marLeft w:val="0"/>
      <w:marRight w:val="0"/>
      <w:marTop w:val="0"/>
      <w:marBottom w:val="0"/>
      <w:divBdr>
        <w:top w:val="none" w:sz="0" w:space="0" w:color="auto"/>
        <w:left w:val="none" w:sz="0" w:space="0" w:color="auto"/>
        <w:bottom w:val="none" w:sz="0" w:space="0" w:color="auto"/>
        <w:right w:val="none" w:sz="0" w:space="0" w:color="auto"/>
      </w:divBdr>
    </w:div>
    <w:div w:id="1116482186">
      <w:bodyDiv w:val="1"/>
      <w:marLeft w:val="0"/>
      <w:marRight w:val="0"/>
      <w:marTop w:val="0"/>
      <w:marBottom w:val="0"/>
      <w:divBdr>
        <w:top w:val="none" w:sz="0" w:space="0" w:color="auto"/>
        <w:left w:val="none" w:sz="0" w:space="0" w:color="auto"/>
        <w:bottom w:val="none" w:sz="0" w:space="0" w:color="auto"/>
        <w:right w:val="none" w:sz="0" w:space="0" w:color="auto"/>
      </w:divBdr>
    </w:div>
    <w:div w:id="1124276309">
      <w:bodyDiv w:val="1"/>
      <w:marLeft w:val="0"/>
      <w:marRight w:val="0"/>
      <w:marTop w:val="0"/>
      <w:marBottom w:val="0"/>
      <w:divBdr>
        <w:top w:val="none" w:sz="0" w:space="0" w:color="auto"/>
        <w:left w:val="none" w:sz="0" w:space="0" w:color="auto"/>
        <w:bottom w:val="none" w:sz="0" w:space="0" w:color="auto"/>
        <w:right w:val="none" w:sz="0" w:space="0" w:color="auto"/>
      </w:divBdr>
    </w:div>
    <w:div w:id="1126041090">
      <w:bodyDiv w:val="1"/>
      <w:marLeft w:val="0"/>
      <w:marRight w:val="0"/>
      <w:marTop w:val="0"/>
      <w:marBottom w:val="0"/>
      <w:divBdr>
        <w:top w:val="none" w:sz="0" w:space="0" w:color="auto"/>
        <w:left w:val="none" w:sz="0" w:space="0" w:color="auto"/>
        <w:bottom w:val="none" w:sz="0" w:space="0" w:color="auto"/>
        <w:right w:val="none" w:sz="0" w:space="0" w:color="auto"/>
      </w:divBdr>
    </w:div>
    <w:div w:id="1130170168">
      <w:bodyDiv w:val="1"/>
      <w:marLeft w:val="0"/>
      <w:marRight w:val="0"/>
      <w:marTop w:val="0"/>
      <w:marBottom w:val="0"/>
      <w:divBdr>
        <w:top w:val="none" w:sz="0" w:space="0" w:color="auto"/>
        <w:left w:val="none" w:sz="0" w:space="0" w:color="auto"/>
        <w:bottom w:val="none" w:sz="0" w:space="0" w:color="auto"/>
        <w:right w:val="none" w:sz="0" w:space="0" w:color="auto"/>
      </w:divBdr>
    </w:div>
    <w:div w:id="1212765814">
      <w:bodyDiv w:val="1"/>
      <w:marLeft w:val="0"/>
      <w:marRight w:val="0"/>
      <w:marTop w:val="0"/>
      <w:marBottom w:val="0"/>
      <w:divBdr>
        <w:top w:val="none" w:sz="0" w:space="0" w:color="auto"/>
        <w:left w:val="none" w:sz="0" w:space="0" w:color="auto"/>
        <w:bottom w:val="none" w:sz="0" w:space="0" w:color="auto"/>
        <w:right w:val="none" w:sz="0" w:space="0" w:color="auto"/>
      </w:divBdr>
    </w:div>
    <w:div w:id="1256666102">
      <w:bodyDiv w:val="1"/>
      <w:marLeft w:val="0"/>
      <w:marRight w:val="0"/>
      <w:marTop w:val="0"/>
      <w:marBottom w:val="0"/>
      <w:divBdr>
        <w:top w:val="none" w:sz="0" w:space="0" w:color="auto"/>
        <w:left w:val="none" w:sz="0" w:space="0" w:color="auto"/>
        <w:bottom w:val="none" w:sz="0" w:space="0" w:color="auto"/>
        <w:right w:val="none" w:sz="0" w:space="0" w:color="auto"/>
      </w:divBdr>
    </w:div>
    <w:div w:id="1265571701">
      <w:bodyDiv w:val="1"/>
      <w:marLeft w:val="0"/>
      <w:marRight w:val="0"/>
      <w:marTop w:val="0"/>
      <w:marBottom w:val="0"/>
      <w:divBdr>
        <w:top w:val="none" w:sz="0" w:space="0" w:color="auto"/>
        <w:left w:val="none" w:sz="0" w:space="0" w:color="auto"/>
        <w:bottom w:val="none" w:sz="0" w:space="0" w:color="auto"/>
        <w:right w:val="none" w:sz="0" w:space="0" w:color="auto"/>
      </w:divBdr>
    </w:div>
    <w:div w:id="1274555199">
      <w:bodyDiv w:val="1"/>
      <w:marLeft w:val="0"/>
      <w:marRight w:val="0"/>
      <w:marTop w:val="0"/>
      <w:marBottom w:val="0"/>
      <w:divBdr>
        <w:top w:val="none" w:sz="0" w:space="0" w:color="auto"/>
        <w:left w:val="none" w:sz="0" w:space="0" w:color="auto"/>
        <w:bottom w:val="none" w:sz="0" w:space="0" w:color="auto"/>
        <w:right w:val="none" w:sz="0" w:space="0" w:color="auto"/>
      </w:divBdr>
    </w:div>
    <w:div w:id="1319766465">
      <w:bodyDiv w:val="1"/>
      <w:marLeft w:val="0"/>
      <w:marRight w:val="0"/>
      <w:marTop w:val="0"/>
      <w:marBottom w:val="0"/>
      <w:divBdr>
        <w:top w:val="none" w:sz="0" w:space="0" w:color="auto"/>
        <w:left w:val="none" w:sz="0" w:space="0" w:color="auto"/>
        <w:bottom w:val="none" w:sz="0" w:space="0" w:color="auto"/>
        <w:right w:val="none" w:sz="0" w:space="0" w:color="auto"/>
      </w:divBdr>
    </w:div>
    <w:div w:id="1338531689">
      <w:bodyDiv w:val="1"/>
      <w:marLeft w:val="0"/>
      <w:marRight w:val="0"/>
      <w:marTop w:val="0"/>
      <w:marBottom w:val="0"/>
      <w:divBdr>
        <w:top w:val="none" w:sz="0" w:space="0" w:color="auto"/>
        <w:left w:val="none" w:sz="0" w:space="0" w:color="auto"/>
        <w:bottom w:val="none" w:sz="0" w:space="0" w:color="auto"/>
        <w:right w:val="none" w:sz="0" w:space="0" w:color="auto"/>
      </w:divBdr>
    </w:div>
    <w:div w:id="1355153847">
      <w:bodyDiv w:val="1"/>
      <w:marLeft w:val="0"/>
      <w:marRight w:val="0"/>
      <w:marTop w:val="0"/>
      <w:marBottom w:val="0"/>
      <w:divBdr>
        <w:top w:val="none" w:sz="0" w:space="0" w:color="auto"/>
        <w:left w:val="none" w:sz="0" w:space="0" w:color="auto"/>
        <w:bottom w:val="none" w:sz="0" w:space="0" w:color="auto"/>
        <w:right w:val="none" w:sz="0" w:space="0" w:color="auto"/>
      </w:divBdr>
    </w:div>
    <w:div w:id="1370379909">
      <w:bodyDiv w:val="1"/>
      <w:marLeft w:val="0"/>
      <w:marRight w:val="0"/>
      <w:marTop w:val="0"/>
      <w:marBottom w:val="0"/>
      <w:divBdr>
        <w:top w:val="none" w:sz="0" w:space="0" w:color="auto"/>
        <w:left w:val="none" w:sz="0" w:space="0" w:color="auto"/>
        <w:bottom w:val="none" w:sz="0" w:space="0" w:color="auto"/>
        <w:right w:val="none" w:sz="0" w:space="0" w:color="auto"/>
      </w:divBdr>
    </w:div>
    <w:div w:id="1390878439">
      <w:bodyDiv w:val="1"/>
      <w:marLeft w:val="0"/>
      <w:marRight w:val="0"/>
      <w:marTop w:val="0"/>
      <w:marBottom w:val="0"/>
      <w:divBdr>
        <w:top w:val="none" w:sz="0" w:space="0" w:color="auto"/>
        <w:left w:val="none" w:sz="0" w:space="0" w:color="auto"/>
        <w:bottom w:val="none" w:sz="0" w:space="0" w:color="auto"/>
        <w:right w:val="none" w:sz="0" w:space="0" w:color="auto"/>
      </w:divBdr>
    </w:div>
    <w:div w:id="1407341839">
      <w:bodyDiv w:val="1"/>
      <w:marLeft w:val="0"/>
      <w:marRight w:val="0"/>
      <w:marTop w:val="0"/>
      <w:marBottom w:val="0"/>
      <w:divBdr>
        <w:top w:val="none" w:sz="0" w:space="0" w:color="auto"/>
        <w:left w:val="none" w:sz="0" w:space="0" w:color="auto"/>
        <w:bottom w:val="none" w:sz="0" w:space="0" w:color="auto"/>
        <w:right w:val="none" w:sz="0" w:space="0" w:color="auto"/>
      </w:divBdr>
    </w:div>
    <w:div w:id="1424379348">
      <w:bodyDiv w:val="1"/>
      <w:marLeft w:val="0"/>
      <w:marRight w:val="0"/>
      <w:marTop w:val="0"/>
      <w:marBottom w:val="0"/>
      <w:divBdr>
        <w:top w:val="none" w:sz="0" w:space="0" w:color="auto"/>
        <w:left w:val="none" w:sz="0" w:space="0" w:color="auto"/>
        <w:bottom w:val="none" w:sz="0" w:space="0" w:color="auto"/>
        <w:right w:val="none" w:sz="0" w:space="0" w:color="auto"/>
      </w:divBdr>
    </w:div>
    <w:div w:id="1447698551">
      <w:bodyDiv w:val="1"/>
      <w:marLeft w:val="0"/>
      <w:marRight w:val="0"/>
      <w:marTop w:val="0"/>
      <w:marBottom w:val="0"/>
      <w:divBdr>
        <w:top w:val="none" w:sz="0" w:space="0" w:color="auto"/>
        <w:left w:val="none" w:sz="0" w:space="0" w:color="auto"/>
        <w:bottom w:val="none" w:sz="0" w:space="0" w:color="auto"/>
        <w:right w:val="none" w:sz="0" w:space="0" w:color="auto"/>
      </w:divBdr>
    </w:div>
    <w:div w:id="1467969088">
      <w:bodyDiv w:val="1"/>
      <w:marLeft w:val="0"/>
      <w:marRight w:val="0"/>
      <w:marTop w:val="0"/>
      <w:marBottom w:val="0"/>
      <w:divBdr>
        <w:top w:val="none" w:sz="0" w:space="0" w:color="auto"/>
        <w:left w:val="none" w:sz="0" w:space="0" w:color="auto"/>
        <w:bottom w:val="none" w:sz="0" w:space="0" w:color="auto"/>
        <w:right w:val="none" w:sz="0" w:space="0" w:color="auto"/>
      </w:divBdr>
    </w:div>
    <w:div w:id="1472213026">
      <w:bodyDiv w:val="1"/>
      <w:marLeft w:val="0"/>
      <w:marRight w:val="0"/>
      <w:marTop w:val="0"/>
      <w:marBottom w:val="0"/>
      <w:divBdr>
        <w:top w:val="none" w:sz="0" w:space="0" w:color="auto"/>
        <w:left w:val="none" w:sz="0" w:space="0" w:color="auto"/>
        <w:bottom w:val="none" w:sz="0" w:space="0" w:color="auto"/>
        <w:right w:val="none" w:sz="0" w:space="0" w:color="auto"/>
      </w:divBdr>
    </w:div>
    <w:div w:id="1510372299">
      <w:bodyDiv w:val="1"/>
      <w:marLeft w:val="0"/>
      <w:marRight w:val="0"/>
      <w:marTop w:val="0"/>
      <w:marBottom w:val="0"/>
      <w:divBdr>
        <w:top w:val="none" w:sz="0" w:space="0" w:color="auto"/>
        <w:left w:val="none" w:sz="0" w:space="0" w:color="auto"/>
        <w:bottom w:val="none" w:sz="0" w:space="0" w:color="auto"/>
        <w:right w:val="none" w:sz="0" w:space="0" w:color="auto"/>
      </w:divBdr>
    </w:div>
    <w:div w:id="1544173464">
      <w:bodyDiv w:val="1"/>
      <w:marLeft w:val="0"/>
      <w:marRight w:val="0"/>
      <w:marTop w:val="0"/>
      <w:marBottom w:val="0"/>
      <w:divBdr>
        <w:top w:val="none" w:sz="0" w:space="0" w:color="auto"/>
        <w:left w:val="none" w:sz="0" w:space="0" w:color="auto"/>
        <w:bottom w:val="none" w:sz="0" w:space="0" w:color="auto"/>
        <w:right w:val="none" w:sz="0" w:space="0" w:color="auto"/>
      </w:divBdr>
    </w:div>
    <w:div w:id="1585384294">
      <w:bodyDiv w:val="1"/>
      <w:marLeft w:val="0"/>
      <w:marRight w:val="0"/>
      <w:marTop w:val="0"/>
      <w:marBottom w:val="0"/>
      <w:divBdr>
        <w:top w:val="none" w:sz="0" w:space="0" w:color="auto"/>
        <w:left w:val="none" w:sz="0" w:space="0" w:color="auto"/>
        <w:bottom w:val="none" w:sz="0" w:space="0" w:color="auto"/>
        <w:right w:val="none" w:sz="0" w:space="0" w:color="auto"/>
      </w:divBdr>
    </w:div>
    <w:div w:id="1597981407">
      <w:bodyDiv w:val="1"/>
      <w:marLeft w:val="0"/>
      <w:marRight w:val="0"/>
      <w:marTop w:val="0"/>
      <w:marBottom w:val="0"/>
      <w:divBdr>
        <w:top w:val="none" w:sz="0" w:space="0" w:color="auto"/>
        <w:left w:val="none" w:sz="0" w:space="0" w:color="auto"/>
        <w:bottom w:val="none" w:sz="0" w:space="0" w:color="auto"/>
        <w:right w:val="none" w:sz="0" w:space="0" w:color="auto"/>
      </w:divBdr>
    </w:div>
    <w:div w:id="1613047743">
      <w:bodyDiv w:val="1"/>
      <w:marLeft w:val="0"/>
      <w:marRight w:val="0"/>
      <w:marTop w:val="0"/>
      <w:marBottom w:val="0"/>
      <w:divBdr>
        <w:top w:val="none" w:sz="0" w:space="0" w:color="auto"/>
        <w:left w:val="none" w:sz="0" w:space="0" w:color="auto"/>
        <w:bottom w:val="none" w:sz="0" w:space="0" w:color="auto"/>
        <w:right w:val="none" w:sz="0" w:space="0" w:color="auto"/>
      </w:divBdr>
    </w:div>
    <w:div w:id="1614827654">
      <w:bodyDiv w:val="1"/>
      <w:marLeft w:val="0"/>
      <w:marRight w:val="0"/>
      <w:marTop w:val="0"/>
      <w:marBottom w:val="0"/>
      <w:divBdr>
        <w:top w:val="none" w:sz="0" w:space="0" w:color="auto"/>
        <w:left w:val="none" w:sz="0" w:space="0" w:color="auto"/>
        <w:bottom w:val="none" w:sz="0" w:space="0" w:color="auto"/>
        <w:right w:val="none" w:sz="0" w:space="0" w:color="auto"/>
      </w:divBdr>
    </w:div>
    <w:div w:id="1631593966">
      <w:bodyDiv w:val="1"/>
      <w:marLeft w:val="0"/>
      <w:marRight w:val="0"/>
      <w:marTop w:val="0"/>
      <w:marBottom w:val="0"/>
      <w:divBdr>
        <w:top w:val="none" w:sz="0" w:space="0" w:color="auto"/>
        <w:left w:val="none" w:sz="0" w:space="0" w:color="auto"/>
        <w:bottom w:val="none" w:sz="0" w:space="0" w:color="auto"/>
        <w:right w:val="none" w:sz="0" w:space="0" w:color="auto"/>
      </w:divBdr>
    </w:div>
    <w:div w:id="1636643229">
      <w:bodyDiv w:val="1"/>
      <w:marLeft w:val="0"/>
      <w:marRight w:val="0"/>
      <w:marTop w:val="0"/>
      <w:marBottom w:val="0"/>
      <w:divBdr>
        <w:top w:val="none" w:sz="0" w:space="0" w:color="auto"/>
        <w:left w:val="none" w:sz="0" w:space="0" w:color="auto"/>
        <w:bottom w:val="none" w:sz="0" w:space="0" w:color="auto"/>
        <w:right w:val="none" w:sz="0" w:space="0" w:color="auto"/>
      </w:divBdr>
    </w:div>
    <w:div w:id="1643465703">
      <w:bodyDiv w:val="1"/>
      <w:marLeft w:val="0"/>
      <w:marRight w:val="0"/>
      <w:marTop w:val="0"/>
      <w:marBottom w:val="0"/>
      <w:divBdr>
        <w:top w:val="none" w:sz="0" w:space="0" w:color="auto"/>
        <w:left w:val="none" w:sz="0" w:space="0" w:color="auto"/>
        <w:bottom w:val="none" w:sz="0" w:space="0" w:color="auto"/>
        <w:right w:val="none" w:sz="0" w:space="0" w:color="auto"/>
      </w:divBdr>
    </w:div>
    <w:div w:id="1688632673">
      <w:bodyDiv w:val="1"/>
      <w:marLeft w:val="0"/>
      <w:marRight w:val="0"/>
      <w:marTop w:val="0"/>
      <w:marBottom w:val="0"/>
      <w:divBdr>
        <w:top w:val="none" w:sz="0" w:space="0" w:color="auto"/>
        <w:left w:val="none" w:sz="0" w:space="0" w:color="auto"/>
        <w:bottom w:val="none" w:sz="0" w:space="0" w:color="auto"/>
        <w:right w:val="none" w:sz="0" w:space="0" w:color="auto"/>
      </w:divBdr>
    </w:div>
    <w:div w:id="1695226593">
      <w:bodyDiv w:val="1"/>
      <w:marLeft w:val="0"/>
      <w:marRight w:val="0"/>
      <w:marTop w:val="0"/>
      <w:marBottom w:val="0"/>
      <w:divBdr>
        <w:top w:val="none" w:sz="0" w:space="0" w:color="auto"/>
        <w:left w:val="none" w:sz="0" w:space="0" w:color="auto"/>
        <w:bottom w:val="none" w:sz="0" w:space="0" w:color="auto"/>
        <w:right w:val="none" w:sz="0" w:space="0" w:color="auto"/>
      </w:divBdr>
    </w:div>
    <w:div w:id="1735152818">
      <w:bodyDiv w:val="1"/>
      <w:marLeft w:val="0"/>
      <w:marRight w:val="0"/>
      <w:marTop w:val="0"/>
      <w:marBottom w:val="0"/>
      <w:divBdr>
        <w:top w:val="none" w:sz="0" w:space="0" w:color="auto"/>
        <w:left w:val="none" w:sz="0" w:space="0" w:color="auto"/>
        <w:bottom w:val="none" w:sz="0" w:space="0" w:color="auto"/>
        <w:right w:val="none" w:sz="0" w:space="0" w:color="auto"/>
      </w:divBdr>
    </w:div>
    <w:div w:id="1768845891">
      <w:bodyDiv w:val="1"/>
      <w:marLeft w:val="0"/>
      <w:marRight w:val="0"/>
      <w:marTop w:val="0"/>
      <w:marBottom w:val="0"/>
      <w:divBdr>
        <w:top w:val="none" w:sz="0" w:space="0" w:color="auto"/>
        <w:left w:val="none" w:sz="0" w:space="0" w:color="auto"/>
        <w:bottom w:val="none" w:sz="0" w:space="0" w:color="auto"/>
        <w:right w:val="none" w:sz="0" w:space="0" w:color="auto"/>
      </w:divBdr>
    </w:div>
    <w:div w:id="1771588400">
      <w:bodyDiv w:val="1"/>
      <w:marLeft w:val="0"/>
      <w:marRight w:val="0"/>
      <w:marTop w:val="0"/>
      <w:marBottom w:val="0"/>
      <w:divBdr>
        <w:top w:val="none" w:sz="0" w:space="0" w:color="auto"/>
        <w:left w:val="none" w:sz="0" w:space="0" w:color="auto"/>
        <w:bottom w:val="none" w:sz="0" w:space="0" w:color="auto"/>
        <w:right w:val="none" w:sz="0" w:space="0" w:color="auto"/>
      </w:divBdr>
    </w:div>
    <w:div w:id="1811286848">
      <w:bodyDiv w:val="1"/>
      <w:marLeft w:val="0"/>
      <w:marRight w:val="0"/>
      <w:marTop w:val="0"/>
      <w:marBottom w:val="0"/>
      <w:divBdr>
        <w:top w:val="none" w:sz="0" w:space="0" w:color="auto"/>
        <w:left w:val="none" w:sz="0" w:space="0" w:color="auto"/>
        <w:bottom w:val="none" w:sz="0" w:space="0" w:color="auto"/>
        <w:right w:val="none" w:sz="0" w:space="0" w:color="auto"/>
      </w:divBdr>
    </w:div>
    <w:div w:id="1816557483">
      <w:bodyDiv w:val="1"/>
      <w:marLeft w:val="0"/>
      <w:marRight w:val="0"/>
      <w:marTop w:val="0"/>
      <w:marBottom w:val="0"/>
      <w:divBdr>
        <w:top w:val="none" w:sz="0" w:space="0" w:color="auto"/>
        <w:left w:val="none" w:sz="0" w:space="0" w:color="auto"/>
        <w:bottom w:val="none" w:sz="0" w:space="0" w:color="auto"/>
        <w:right w:val="none" w:sz="0" w:space="0" w:color="auto"/>
      </w:divBdr>
    </w:div>
    <w:div w:id="1818493401">
      <w:bodyDiv w:val="1"/>
      <w:marLeft w:val="0"/>
      <w:marRight w:val="0"/>
      <w:marTop w:val="0"/>
      <w:marBottom w:val="0"/>
      <w:divBdr>
        <w:top w:val="none" w:sz="0" w:space="0" w:color="auto"/>
        <w:left w:val="none" w:sz="0" w:space="0" w:color="auto"/>
        <w:bottom w:val="none" w:sz="0" w:space="0" w:color="auto"/>
        <w:right w:val="none" w:sz="0" w:space="0" w:color="auto"/>
      </w:divBdr>
    </w:div>
    <w:div w:id="1823809986">
      <w:bodyDiv w:val="1"/>
      <w:marLeft w:val="0"/>
      <w:marRight w:val="0"/>
      <w:marTop w:val="0"/>
      <w:marBottom w:val="0"/>
      <w:divBdr>
        <w:top w:val="none" w:sz="0" w:space="0" w:color="auto"/>
        <w:left w:val="none" w:sz="0" w:space="0" w:color="auto"/>
        <w:bottom w:val="none" w:sz="0" w:space="0" w:color="auto"/>
        <w:right w:val="none" w:sz="0" w:space="0" w:color="auto"/>
      </w:divBdr>
    </w:div>
    <w:div w:id="1826318100">
      <w:bodyDiv w:val="1"/>
      <w:marLeft w:val="0"/>
      <w:marRight w:val="0"/>
      <w:marTop w:val="0"/>
      <w:marBottom w:val="0"/>
      <w:divBdr>
        <w:top w:val="none" w:sz="0" w:space="0" w:color="auto"/>
        <w:left w:val="none" w:sz="0" w:space="0" w:color="auto"/>
        <w:bottom w:val="none" w:sz="0" w:space="0" w:color="auto"/>
        <w:right w:val="none" w:sz="0" w:space="0" w:color="auto"/>
      </w:divBdr>
    </w:div>
    <w:div w:id="1828545853">
      <w:bodyDiv w:val="1"/>
      <w:marLeft w:val="0"/>
      <w:marRight w:val="0"/>
      <w:marTop w:val="0"/>
      <w:marBottom w:val="0"/>
      <w:divBdr>
        <w:top w:val="none" w:sz="0" w:space="0" w:color="auto"/>
        <w:left w:val="none" w:sz="0" w:space="0" w:color="auto"/>
        <w:bottom w:val="none" w:sz="0" w:space="0" w:color="auto"/>
        <w:right w:val="none" w:sz="0" w:space="0" w:color="auto"/>
      </w:divBdr>
    </w:div>
    <w:div w:id="1829205320">
      <w:bodyDiv w:val="1"/>
      <w:marLeft w:val="0"/>
      <w:marRight w:val="0"/>
      <w:marTop w:val="0"/>
      <w:marBottom w:val="0"/>
      <w:divBdr>
        <w:top w:val="none" w:sz="0" w:space="0" w:color="auto"/>
        <w:left w:val="none" w:sz="0" w:space="0" w:color="auto"/>
        <w:bottom w:val="none" w:sz="0" w:space="0" w:color="auto"/>
        <w:right w:val="none" w:sz="0" w:space="0" w:color="auto"/>
      </w:divBdr>
    </w:div>
    <w:div w:id="1833790300">
      <w:bodyDiv w:val="1"/>
      <w:marLeft w:val="0"/>
      <w:marRight w:val="0"/>
      <w:marTop w:val="0"/>
      <w:marBottom w:val="0"/>
      <w:divBdr>
        <w:top w:val="none" w:sz="0" w:space="0" w:color="auto"/>
        <w:left w:val="none" w:sz="0" w:space="0" w:color="auto"/>
        <w:bottom w:val="none" w:sz="0" w:space="0" w:color="auto"/>
        <w:right w:val="none" w:sz="0" w:space="0" w:color="auto"/>
      </w:divBdr>
    </w:div>
    <w:div w:id="1911118004">
      <w:bodyDiv w:val="1"/>
      <w:marLeft w:val="0"/>
      <w:marRight w:val="0"/>
      <w:marTop w:val="0"/>
      <w:marBottom w:val="0"/>
      <w:divBdr>
        <w:top w:val="none" w:sz="0" w:space="0" w:color="auto"/>
        <w:left w:val="none" w:sz="0" w:space="0" w:color="auto"/>
        <w:bottom w:val="none" w:sz="0" w:space="0" w:color="auto"/>
        <w:right w:val="none" w:sz="0" w:space="0" w:color="auto"/>
      </w:divBdr>
    </w:div>
    <w:div w:id="1914200181">
      <w:bodyDiv w:val="1"/>
      <w:marLeft w:val="0"/>
      <w:marRight w:val="0"/>
      <w:marTop w:val="0"/>
      <w:marBottom w:val="0"/>
      <w:divBdr>
        <w:top w:val="none" w:sz="0" w:space="0" w:color="auto"/>
        <w:left w:val="none" w:sz="0" w:space="0" w:color="auto"/>
        <w:bottom w:val="none" w:sz="0" w:space="0" w:color="auto"/>
        <w:right w:val="none" w:sz="0" w:space="0" w:color="auto"/>
      </w:divBdr>
    </w:div>
    <w:div w:id="1945533730">
      <w:bodyDiv w:val="1"/>
      <w:marLeft w:val="0"/>
      <w:marRight w:val="0"/>
      <w:marTop w:val="0"/>
      <w:marBottom w:val="0"/>
      <w:divBdr>
        <w:top w:val="none" w:sz="0" w:space="0" w:color="auto"/>
        <w:left w:val="none" w:sz="0" w:space="0" w:color="auto"/>
        <w:bottom w:val="none" w:sz="0" w:space="0" w:color="auto"/>
        <w:right w:val="none" w:sz="0" w:space="0" w:color="auto"/>
      </w:divBdr>
    </w:div>
    <w:div w:id="1995375242">
      <w:bodyDiv w:val="1"/>
      <w:marLeft w:val="0"/>
      <w:marRight w:val="0"/>
      <w:marTop w:val="0"/>
      <w:marBottom w:val="0"/>
      <w:divBdr>
        <w:top w:val="none" w:sz="0" w:space="0" w:color="auto"/>
        <w:left w:val="none" w:sz="0" w:space="0" w:color="auto"/>
        <w:bottom w:val="none" w:sz="0" w:space="0" w:color="auto"/>
        <w:right w:val="none" w:sz="0" w:space="0" w:color="auto"/>
      </w:divBdr>
    </w:div>
    <w:div w:id="2050297242">
      <w:bodyDiv w:val="1"/>
      <w:marLeft w:val="0"/>
      <w:marRight w:val="0"/>
      <w:marTop w:val="0"/>
      <w:marBottom w:val="0"/>
      <w:divBdr>
        <w:top w:val="none" w:sz="0" w:space="0" w:color="auto"/>
        <w:left w:val="none" w:sz="0" w:space="0" w:color="auto"/>
        <w:bottom w:val="none" w:sz="0" w:space="0" w:color="auto"/>
        <w:right w:val="none" w:sz="0" w:space="0" w:color="auto"/>
      </w:divBdr>
    </w:div>
    <w:div w:id="2059813490">
      <w:bodyDiv w:val="1"/>
      <w:marLeft w:val="0"/>
      <w:marRight w:val="0"/>
      <w:marTop w:val="0"/>
      <w:marBottom w:val="0"/>
      <w:divBdr>
        <w:top w:val="none" w:sz="0" w:space="0" w:color="auto"/>
        <w:left w:val="none" w:sz="0" w:space="0" w:color="auto"/>
        <w:bottom w:val="none" w:sz="0" w:space="0" w:color="auto"/>
        <w:right w:val="none" w:sz="0" w:space="0" w:color="auto"/>
      </w:divBdr>
    </w:div>
    <w:div w:id="2069448929">
      <w:bodyDiv w:val="1"/>
      <w:marLeft w:val="0"/>
      <w:marRight w:val="0"/>
      <w:marTop w:val="0"/>
      <w:marBottom w:val="0"/>
      <w:divBdr>
        <w:top w:val="none" w:sz="0" w:space="0" w:color="auto"/>
        <w:left w:val="none" w:sz="0" w:space="0" w:color="auto"/>
        <w:bottom w:val="none" w:sz="0" w:space="0" w:color="auto"/>
        <w:right w:val="none" w:sz="0" w:space="0" w:color="auto"/>
      </w:divBdr>
    </w:div>
    <w:div w:id="2095086953">
      <w:bodyDiv w:val="1"/>
      <w:marLeft w:val="0"/>
      <w:marRight w:val="0"/>
      <w:marTop w:val="0"/>
      <w:marBottom w:val="0"/>
      <w:divBdr>
        <w:top w:val="none" w:sz="0" w:space="0" w:color="auto"/>
        <w:left w:val="none" w:sz="0" w:space="0" w:color="auto"/>
        <w:bottom w:val="none" w:sz="0" w:space="0" w:color="auto"/>
        <w:right w:val="none" w:sz="0" w:space="0" w:color="auto"/>
      </w:divBdr>
    </w:div>
    <w:div w:id="2123988337">
      <w:bodyDiv w:val="1"/>
      <w:marLeft w:val="0"/>
      <w:marRight w:val="0"/>
      <w:marTop w:val="0"/>
      <w:marBottom w:val="0"/>
      <w:divBdr>
        <w:top w:val="none" w:sz="0" w:space="0" w:color="auto"/>
        <w:left w:val="none" w:sz="0" w:space="0" w:color="auto"/>
        <w:bottom w:val="none" w:sz="0" w:space="0" w:color="auto"/>
        <w:right w:val="none" w:sz="0" w:space="0" w:color="auto"/>
      </w:divBdr>
    </w:div>
    <w:div w:id="2136213020">
      <w:bodyDiv w:val="1"/>
      <w:marLeft w:val="0"/>
      <w:marRight w:val="0"/>
      <w:marTop w:val="0"/>
      <w:marBottom w:val="0"/>
      <w:divBdr>
        <w:top w:val="none" w:sz="0" w:space="0" w:color="auto"/>
        <w:left w:val="none" w:sz="0" w:space="0" w:color="auto"/>
        <w:bottom w:val="none" w:sz="0" w:space="0" w:color="auto"/>
        <w:right w:val="none" w:sz="0" w:space="0" w:color="auto"/>
      </w:divBdr>
    </w:div>
    <w:div w:id="214192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Dav10</b:Tag>
    <b:SourceType>JournalArticle</b:SourceType>
    <b:Guid>{402775E9-DEDB-4A13-A7E0-3A23DFD09A3A}</b:Guid>
    <b:Title>Atherosclerosis and diet in ancient Egypt</b:Title>
    <b:JournalName>The Lancet</b:JournalName>
    <b:Year>2010</b:Year>
    <b:Pages>718-719</b:Pages>
    <b:Volume>375</b:Volume>
    <b:Issue>9716</b:Issue>
    <b:Author>
      <b:Author>
        <b:NameList>
          <b:Person>
            <b:Last>David</b:Last>
            <b:First>A.R</b:First>
          </b:Person>
          <b:Person>
            <b:Last>Kershaw</b:Last>
            <b:First>A</b:First>
          </b:Person>
          <b:Person>
            <b:Last>Heagerty</b:Last>
            <b:First>A</b:First>
          </b:Person>
        </b:NameList>
      </b:Author>
    </b:Author>
    <b:RefOrder>9</b:RefOrder>
  </b:Source>
  <b:Source>
    <b:Tag>Die01</b:Tag>
    <b:SourceType>Book</b:SourceType>
    <b:Guid>{FD177D02-7724-493F-A63D-23277C20E5BD}</b:Guid>
    <b:Title>Feasts: Archaeological and Ethnographic Perspectives on Food, Politics and Power</b:Title>
    <b:Year>2001</b:Year>
    <b:City>Tuscaloosa</b:City>
    <b:Publisher>University of Alabama Press</b:Publisher>
    <b:Author>
      <b:Author>
        <b:NameList>
          <b:Person>
            <b:Last>Dietler</b:Last>
            <b:First>Michael</b:First>
          </b:Person>
          <b:Person>
            <b:Last>Hayden</b:Last>
            <b:First>Brian</b:First>
          </b:Person>
        </b:NameList>
      </b:Author>
    </b:Author>
    <b:RefOrder>10</b:RefOrder>
  </b:Source>
  <b:Source>
    <b:Tag>Fla13</b:Tag>
    <b:SourceType>Book</b:SourceType>
    <b:Guid>{B313DDCC-85DE-4856-98BA-0FDB5509E946}</b:Guid>
    <b:Title>Food: a culinary history</b:Title>
    <b:Year>2013</b:Year>
    <b:Publisher>Columbia University Press</b:Publisher>
    <b:Author>
      <b:Author>
        <b:NameList>
          <b:Person>
            <b:Last>Flandrin</b:Last>
            <b:First>J.L.</b:First>
          </b:Person>
          <b:Person>
            <b:Last>Montanari</b:Last>
            <b:First>M</b:First>
          </b:Person>
        </b:NameList>
      </b:Author>
    </b:Author>
    <b:RefOrder>11</b:RefOrder>
  </b:Source>
  <b:Source>
    <b:Tag>Ham12</b:Tag>
    <b:SourceType>JournalArticle</b:SourceType>
    <b:Guid>{076652EC-482C-450F-86D0-8C09B6769043}</b:Guid>
    <b:Author>
      <b:Author>
        <b:NameList>
          <b:Person>
            <b:Last>Hamilakis</b:Last>
            <b:First>Yannis</b:First>
          </b:Person>
          <b:Person>
            <b:Last>Sherratt</b:Last>
            <b:First>Susan</b:First>
          </b:Person>
        </b:NameList>
      </b:Author>
    </b:Author>
    <b:Title>Feasting and the consuming body in Bronze Age Crete and Early Iron Age Cyprus</b:Title>
    <b:JournalName>British School at Athens Studies</b:JournalName>
    <b:Year>2012</b:Year>
    <b:Pages>187-207</b:Pages>
    <b:RefOrder>12</b:RefOrder>
  </b:Source>
  <b:Source>
    <b:Tag>Har13</b:Tag>
    <b:SourceType>Book</b:SourceType>
    <b:Guid>{2230D8E7-DA65-4895-B904-9FCFEA4CC57D}</b:Guid>
    <b:Title>Living with the Dead: Ancestor Worship and Mortuary Ritual in Ancient Egypt</b:Title>
    <b:Year>2013</b:Year>
    <b:City>Oxford</b:City>
    <b:Publisher>Oxbow Books</b:Publisher>
    <b:Author>
      <b:Author>
        <b:NameList>
          <b:Person>
            <b:Last>Harrington</b:Last>
            <b:First>Nicola</b:First>
          </b:Person>
        </b:NameList>
      </b:Author>
    </b:Author>
    <b:RefOrder>13</b:RefOrder>
  </b:Source>
  <b:Source>
    <b:Tag>Hay13</b:Tag>
    <b:SourceType>Book</b:SourceType>
    <b:Guid>{9EAF8937-8DC5-4328-9564-24F4B53FEA04}</b:Guid>
    <b:Title>The Power of Feasts, From Prehistory to the Present</b:Title>
    <b:Year>2013</b:Year>
    <b:City>New York</b:City>
    <b:Publisher>Cambridge University Press</b:Publisher>
    <b:Author>
      <b:Author>
        <b:NameList>
          <b:Person>
            <b:Last>Hayden</b:Last>
            <b:First>Brian</b:First>
          </b:Person>
        </b:NameList>
      </b:Author>
    </b:Author>
    <b:RefOrder>14</b:RefOrder>
  </b:Source>
  <b:Source>
    <b:Tag>Sam96</b:Tag>
    <b:SourceType>JournalArticle</b:SourceType>
    <b:Guid>{0DBEB23A-47E6-4F4F-AF25-1842A13B39D3}</b:Guid>
    <b:Title>Investigation of ancient Egyptian baking and brewing methods by correlative microscopy</b:Title>
    <b:Year>1996</b:Year>
    <b:Author>
      <b:Author>
        <b:NameList>
          <b:Person>
            <b:Last>Samuel</b:Last>
            <b:First>D</b:First>
          </b:Person>
        </b:NameList>
      </b:Author>
    </b:Author>
    <b:JournalName>Science</b:JournalName>
    <b:Pages>488</b:Pages>
    <b:Volume>273</b:Volume>
    <b:Issue>5274</b:Issue>
    <b:RefOrder>15</b:RefOrder>
  </b:Source>
  <b:Source>
    <b:Tag>Sim72</b:Tag>
    <b:SourceType>Book</b:SourceType>
    <b:Guid>{97A463ED-8E57-4A91-8493-5C8BE4FA0F91}</b:Guid>
    <b:Title>The Literature of Ancient Egypt: An Anthology of Stories, Instructions and Poetry</b:Title>
    <b:Year>1972</b:Year>
    <b:City>Fredricksburg</b:City>
    <b:Publisher>BookCrafters, Inc</b:Publisher>
    <b:Author>
      <b:Author>
        <b:NameList>
          <b:Person>
            <b:Last>Simpson</b:Last>
            <b:First>William Kelly</b:First>
          </b:Person>
        </b:NameList>
      </b:Author>
    </b:Author>
    <b:RefOrder>16</b:RefOrder>
  </b:Source>
  <b:Source>
    <b:Tag>Bou90</b:Tag>
    <b:SourceType>Book</b:SourceType>
    <b:Guid>{2EA4A90B-4B96-441F-9067-1597499CC322}</b:Guid>
    <b:Title>The Logic of Pracitice</b:Title>
    <b:Year>1990</b:Year>
    <b:City>Cambridge</b:City>
    <b:Publisher>Polity Press</b:Publisher>
    <b:Author>
      <b:Author>
        <b:NameList>
          <b:Person>
            <b:Last>Bourdieu</b:Last>
            <b:First>Pierre</b:First>
          </b:Person>
        </b:NameList>
      </b:Author>
    </b:Author>
    <b:RefOrder>4</b:RefOrder>
  </b:Source>
  <b:Source>
    <b:Tag>Bou87</b:Tag>
    <b:SourceType>Book</b:SourceType>
    <b:Guid>{941A6398-E9E2-49F3-8A37-4DA0D2120393}</b:Guid>
    <b:Title>Outline of a Theory of Practice</b:Title>
    <b:Year>1987</b:Year>
    <b:City>Cambridge</b:City>
    <b:Publisher>University of Cambridge Press Syndicate</b:Publisher>
    <b:Author>
      <b:Author>
        <b:NameList>
          <b:Person>
            <b:Last>Bourdieu</b:Last>
            <b:First>Pierre</b:First>
          </b:Person>
        </b:NameList>
      </b:Author>
    </b:Author>
    <b:RefOrder>1</b:RefOrder>
  </b:Source>
  <b:Source>
    <b:Tag>Cla05</b:Tag>
    <b:SourceType>Book</b:SourceType>
    <b:Guid>{8633AB4F-6EF5-494E-8556-2716C45B60A4}</b:Guid>
    <b:Title>Archaeological Perspectives on the Transmission and Transformation of Culture in the Eastern Mediterranean</b:Title>
    <b:Year>2005</b:Year>
    <b:City>Oxford</b:City>
    <b:Publisher>Oxbow Books</b:Publisher>
    <b:Author>
      <b:Author>
        <b:NameList>
          <b:Person>
            <b:Last>Clarke</b:Last>
            <b:First>Joanne</b:First>
          </b:Person>
        </b:NameList>
      </b:Author>
    </b:Author>
    <b:RefOrder>17</b:RefOrder>
  </b:Source>
  <b:Source>
    <b:Tag>Eik08</b:Tag>
    <b:SourceType>Book</b:SourceType>
    <b:Guid>{F970DEA2-134F-49A7-8D82-D0C95508D637}</b:Guid>
    <b:Title>The ways of Aristotle: Aristotelian phronesis, Aristotelian philosophy of dialogue, and action research</b:Title>
    <b:Year>2008</b:Year>
    <b:Edition>5</b:Edition>
    <b:Author>
      <b:Author>
        <b:NameList>
          <b:Person>
            <b:Last>Eikeland</b:Last>
            <b:First>O</b:First>
          </b:Person>
        </b:NameList>
      </b:Author>
    </b:Author>
    <b:RefOrder>3</b:RefOrder>
  </b:Source>
  <b:Source>
    <b:Tag>McW12</b:Tag>
    <b:SourceType>Book</b:SourceType>
    <b:Guid>{875AACA8-34B9-4977-B3D6-A6A2C8369C4C}</b:Guid>
    <b:Title>The Story Behind the Dish: Classic American Foods</b:Title>
    <b:Year>2012</b:Year>
    <b:City>California</b:City>
    <b:Publisher>Greenwood</b:Publisher>
    <b:Author>
      <b:Author>
        <b:NameList>
          <b:Person>
            <b:Last>McWilliams</b:Last>
            <b:First>Mark</b:First>
          </b:Person>
        </b:NameList>
      </b:Author>
    </b:Author>
    <b:RefOrder>8</b:RefOrder>
  </b:Source>
  <b:Source>
    <b:Tag>Sac00</b:Tag>
    <b:SourceType>InternetSite</b:SourceType>
    <b:Guid>{EAA1AAEC-C56F-41D7-A410-9B7A7DA22F0D}</b:Guid>
    <b:Title>Internet Encyclopaedia of Philosophy, A Peer Reviewed Academic Resource</b:Title>
    <b:Year>2000</b:Year>
    <b:YearAccessed>2017</b:YearAccessed>
    <b:MonthAccessed>October</b:MonthAccessed>
    <b:DayAccessed>10</b:DayAccessed>
    <b:URL>http://www.iep.utm.edu/aris-eth/</b:URL>
    <b:Author>
      <b:Author>
        <b:NameList>
          <b:Person>
            <b:Last>Sachs</b:Last>
            <b:First>Joe</b:First>
          </b:Person>
        </b:NameList>
      </b:Author>
    </b:Author>
    <b:RefOrder>2</b:RefOrder>
  </b:Source>
  <b:Source>
    <b:Tag>Mül15</b:Tag>
    <b:SourceType>ConferenceProceedings</b:SourceType>
    <b:Guid>{651EE3E0-D5FC-433D-944B-01C704C3C91C}</b:Guid>
    <b:Title>Household Studies in Complex Societies:(micro) Archaeological and Textual Approaches: Papers from the Oriental Institute Seminar Household Studies in Complex Societies, Held at the Oriental Institute of the University of Chicago, 15-16 March 2013</b:Title>
    <b:Year>2015</b:Year>
    <b:PeriodicalTitle>Papers from the Oriental Institute Seminar Household Studies in Complex Societies, Held at the Oriental Institute of the University of Chicago 15-16 March 2013.</b:PeriodicalTitle>
    <b:Author>
      <b:Author>
        <b:NameList>
          <b:Person>
            <b:Last>Müller</b:Last>
            <b:First>M</b:First>
          </b:Person>
        </b:NameList>
      </b:Author>
    </b:Author>
    <b:City>Chicago</b:City>
    <b:Publisher>Oriental Institute of the University of Chicago.</b:Publisher>
    <b:RefOrder>18</b:RefOrder>
  </b:Source>
  <b:Source>
    <b:Tag>Buz13</b:Tag>
    <b:SourceType>JournalArticle</b:SourceType>
    <b:Guid>{D70AF8FA-D8DD-4BD5-A66A-D426123D04D2}</b:Guid>
    <b:Title>Strontium Isotope (Sr-87/Sr-86) Variability in the Nile Valley: Identifying Residential Mobility During Ancient Egyptian and Nubian Sociopolitical Changes in the New Kingdom and Napatan Periods</b:Title>
    <b:Year>2013</b:Year>
    <b:JournalName>American journal of physical anthropology</b:JournalName>
    <b:Volume>151</b:Volume>
    <b:Author>
      <b:Author>
        <b:NameList>
          <b:Person>
            <b:Last>Buzon</b:Last>
            <b:First>Michele</b:First>
          </b:Person>
          <b:Person>
            <b:Last>Simonetti</b:Last>
            <b:First>Antonio</b:First>
          </b:Person>
        </b:NameList>
      </b:Author>
    </b:Author>
    <b:RefOrder>19</b:RefOrder>
  </b:Source>
  <b:Source>
    <b:Tag>Par12</b:Tag>
    <b:SourceType>Book</b:SourceType>
    <b:Guid>{0184900A-9665-4725-A4CF-7FAFA0936C9F}</b:Guid>
    <b:Title>New perspectives on household archaeology</b:Title>
    <b:Year>2012</b:Year>
    <b:Author>
      <b:Author>
        <b:NameList>
          <b:Person>
            <b:Last>Parker</b:Last>
            <b:First>B.J</b:First>
          </b:Person>
          <b:Person>
            <b:Last>Foster</b:Last>
            <b:First>C.P.</b:First>
          </b:Person>
        </b:NameList>
      </b:Author>
    </b:Author>
    <b:City>Winona Lake</b:City>
    <b:Publisher>Eisenbrauns</b:Publisher>
    <b:RefOrder>20</b:RefOrder>
  </b:Source>
  <b:Source>
    <b:Tag>Mil91</b:Tag>
    <b:SourceType>JournalArticle</b:SourceType>
    <b:Guid>{13DEF634-305C-4A20-B927-9D283443945C}</b:Guid>
    <b:Title>Counting Calories in Egyptian Ration Texts</b:Title>
    <b:Year>1991</b:Year>
    <b:JournalName>Journal of the Economic and Social History of the Orient</b:JournalName>
    <b:Pages>257-269</b:Pages>
    <b:Volume>34</b:Volume>
    <b:Issue>4</b:Issue>
    <b:Author>
      <b:Author>
        <b:NameList>
          <b:Person>
            <b:Last>Miller</b:Last>
            <b:First>R,L</b:First>
          </b:Person>
        </b:NameList>
      </b:Author>
    </b:Author>
    <b:RefOrder>21</b:RefOrder>
  </b:Source>
  <b:Source>
    <b:Tag>Swe98</b:Tag>
    <b:SourceType>JournalArticle</b:SourceType>
    <b:Guid>{79449D59-36FA-4925-9A7A-2474CAB00C08}</b:Guid>
    <b:Title>Friendship and Frustration: A Study in Papyri Deir El-Medina IV-VI</b:Title>
    <b:JournalName>The Journal of Egyptian Archaeology </b:JournalName>
    <b:Year>1998</b:Year>
    <b:Pages>101-122</b:Pages>
    <b:Volume>84</b:Volume>
    <b:Issue>1</b:Issue>
    <b:Author>
      <b:Author>
        <b:NameList>
          <b:Person>
            <b:Last>Sweeney</b:Last>
            <b:First>Deborah</b:First>
          </b:Person>
        </b:NameList>
      </b:Author>
    </b:Author>
    <b:RefOrder>22</b:RefOrder>
  </b:Source>
  <b:Source>
    <b:Tag>Saf72</b:Tag>
    <b:SourceType>JournalArticle</b:SourceType>
    <b:Guid>{6A7DD51B-8D47-4C28-9092-4CA5CEA8C833}</b:Guid>
    <b:Author>
      <b:Author>
        <b:NameList>
          <b:Person>
            <b:Last>Saffirio</b:Last>
            <b:First>L.</b:First>
          </b:Person>
        </b:NameList>
      </b:Author>
    </b:Author>
    <b:Title>Food and dietary habits in ancient Egypt</b:Title>
    <b:JournalName>Journal of Human Evolution</b:JournalName>
    <b:Year>1972</b:Year>
    <b:Pages>297-305</b:Pages>
    <b:Volume>1</b:Volume>
    <b:Issue>3</b:Issue>
    <b:RefOrder>23</b:RefOrder>
  </b:Source>
  <b:Source>
    <b:Tag>Mil90</b:Tag>
    <b:SourceType>JournalArticle</b:SourceType>
    <b:Guid>{928340A6-E15B-4868-8786-48338FF2181B}</b:Guid>
    <b:Title>Hogs and Hygiene</b:Title>
    <b:JournalName>The Journal of Egyptian Archaeology </b:JournalName>
    <b:Year>1990</b:Year>
    <b:Pages>125-140</b:Pages>
    <b:Volume>76</b:Volume>
    <b:Issue>1</b:Issue>
    <b:Author>
      <b:Author>
        <b:NameList>
          <b:Person>
            <b:Last>Miller</b:Last>
            <b:First>R,L</b:First>
          </b:Person>
        </b:NameList>
      </b:Author>
    </b:Author>
    <b:RefOrder>24</b:RefOrder>
  </b:Source>
  <b:Source>
    <b:Tag>Jan82</b:Tag>
    <b:SourceType>JournalArticle</b:SourceType>
    <b:Guid>{97F89D68-DC29-4BAF-B069-5D0DF3696010}</b:Guid>
    <b:Title>Gift-Giving in Ancient Egypt as an Economic Feature	</b:Title>
    <b:JournalName>The Journal of Egyptian Archaeology </b:JournalName>
    <b:Year>1982</b:Year>
    <b:Pages>253-258</b:Pages>
    <b:Volume>68</b:Volume>
    <b:Issue>1</b:Issue>
    <b:Author>
      <b:Author>
        <b:NameList>
          <b:Person>
            <b:Last>Janssen</b:Last>
            <b:First>Jac. J.</b:First>
          </b:Person>
        </b:NameList>
      </b:Author>
    </b:Author>
    <b:RefOrder>25</b:RefOrder>
  </b:Source>
  <b:Source>
    <b:Tag>Del99</b:Tag>
    <b:SourceType>JournalArticle</b:SourceType>
    <b:Guid>{C157C815-0E4B-4358-B3D5-0320A0231BE3}</b:Guid>
    <b:Title>Bread making and social interactions at the Amarna Workmen's village, Egypt</b:Title>
    <b:JournalName>World Archaeology </b:JournalName>
    <b:Year>1999</b:Year>
    <b:Volume>31</b:Volume>
    <b:Issue>1</b:Issue>
    <b:Author>
      <b:Author>
        <b:NameList>
          <b:Person>
            <b:Last>Delwen</b:Last>
            <b:First>Samuel</b:First>
          </b:Person>
        </b:NameList>
      </b:Author>
    </b:Author>
    <b:RefOrder>26</b:RefOrder>
  </b:Source>
  <b:Source>
    <b:Tag>Les941</b:Tag>
    <b:SourceType>Book</b:SourceType>
    <b:Guid>{15715E5B-B1DC-4AA2-9CB0-E1DB89F55E72}</b:Guid>
    <b:Title>Pharaoh's Workers: The Villagers of Deir El Medina</b:Title>
    <b:Year>1994</b:Year>
    <b:Author>
      <b:Author>
        <b:NameList>
          <b:Person>
            <b:Last>Lesko</b:Last>
            <b:First>Leonard H</b:First>
          </b:Person>
        </b:NameList>
      </b:Author>
    </b:Author>
    <b:Publisher>Cornell University Press, 1994</b:Publisher>
    <b:RefOrder>27</b:RefOrder>
  </b:Source>
  <b:Source>
    <b:Tag>Cul02</b:Tag>
    <b:SourceType>Book</b:SourceType>
    <b:Guid>{ACB26631-2946-4ACB-9858-FDD56BB5504D}</b:Guid>
    <b:Title>Structuralist Poetics: Structuralism, Linguistics and the Study of Literature</b:Title>
    <b:Year>2002</b:Year>
    <b:City>London</b:City>
    <b:Publisher>Routledge Classics</b:Publisher>
    <b:Author>
      <b:Author>
        <b:NameList>
          <b:Person>
            <b:Last>Culler</b:Last>
            <b:Middle>D</b:Middle>
            <b:First>Jonathan</b:First>
          </b:Person>
        </b:NameList>
      </b:Author>
    </b:Author>
    <b:RefOrder>5</b:RefOrder>
  </b:Source>
  <b:Source>
    <b:Tag>Kan06</b:Tag>
    <b:SourceType>JournalArticle</b:SourceType>
    <b:Guid>{15F43E14-9CE2-4444-8703-F11B7D97D177}</b:Guid>
    <b:Title>Eat Like An Egyptian? A Contextual Approach to an Early Bronze I “Egyptian Colony” in the Southern Levant</b:Title>
    <b:Year>2006</b:Year>
    <b:Author>
      <b:Author>
        <b:NameList>
          <b:Person>
            <b:Last>Kansa</b:Last>
            <b:First>E.C.</b:First>
          </b:Person>
          <b:Person>
            <b:Last>Kansa</b:Last>
            <b:First>S.W</b:First>
          </b:Person>
          <b:Person>
            <b:Last>Levy</b:Last>
            <b:First>T.E</b:First>
          </b:Person>
        </b:NameList>
      </b:Author>
    </b:Author>
    <b:JournalName>Integrating zooarchaeology</b:JournalName>
    <b:Pages>76-91</b:Pages>
    <b:RefOrder>28</b:RefOrder>
  </b:Source>
  <b:Source>
    <b:Tag>Luk10</b:Tag>
    <b:SourceType>InternetSite</b:SourceType>
    <b:Guid>{6243548F-5CE2-421F-BAA0-A360AB589E49}</b:Guid>
    <b:Title>Structuralism</b:Title>
    <b:Year>2010</b:Year>
    <b:Author>
      <b:Author>
        <b:NameList>
          <b:Person>
            <b:Last>Mastin</b:Last>
            <b:First>Luke</b:First>
          </b:Person>
        </b:NameList>
      </b:Author>
    </b:Author>
    <b:InternetSiteTitle>The Basics of Philosophy</b:InternetSiteTitle>
    <b:Month>December</b:Month>
    <b:Day>20</b:Day>
    <b:URL>http://www.philosophybasics.com/movements_structuralism.html</b:URL>
    <b:RefOrder>6</b:RefOrder>
  </b:Source>
  <b:Source>
    <b:Tag>Gir11</b:Tag>
    <b:SourceType>JournalArticle</b:SourceType>
    <b:Guid>{B2F28DD2-C9A6-4F2F-9B5C-3B6437DFEDCF}</b:Guid>
    <b:Title>Minoanisation, acculturation, hybridisation: the evidence of the Minoan presence in the north east Aegean between the Middle and Late Bronze AgeIn NOSTOI. Indigenous Culture, Migration and Integration in the Aegean Islands and Western Anatolia</b:Title>
    <b:Year>2011</b:Year>
    <b:JournalName>In NOSTOI. Indigenous Culture, Migration and Integration in the Aegean Islands and Western Anatolia During the Late Bronze and Early Iron Age. Proceedings of an International Symposium Held at the Koç Research Center for Anatolian Civilizations, Istanbul </b:JournalName>
    <b:Pages>387-420</b:Pages>
    <b:Author>
      <b:Author>
        <b:NameList>
          <b:Person>
            <b:Last>Girella</b:Last>
            <b:First>L</b:First>
          </b:Person>
          <b:Person>
            <b:Last>Pavúk</b:Last>
            <b:First>P</b:First>
          </b:Person>
        </b:NameList>
      </b:Author>
    </b:Author>
    <b:RefOrder>7</b:RefOrder>
  </b:Source>
</b:Sources>
</file>

<file path=customXml/itemProps1.xml><?xml version="1.0" encoding="utf-8"?>
<ds:datastoreItem xmlns:ds="http://schemas.openxmlformats.org/officeDocument/2006/customXml" ds:itemID="{5A54E445-A1B1-4DE6-880D-0E772C4A3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2</cp:revision>
  <dcterms:created xsi:type="dcterms:W3CDTF">2017-11-17T21:45:00Z</dcterms:created>
  <dcterms:modified xsi:type="dcterms:W3CDTF">2017-11-17T21:45:00Z</dcterms:modified>
</cp:coreProperties>
</file>