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r>
        <w:rPr>
          <w:rFonts w:ascii="Calibri" w:hAnsi="Calibri"/>
          <w:b w:val="1"/>
          <w:bCs w:val="1"/>
          <w:sz w:val="52"/>
          <w:szCs w:val="52"/>
          <w:rtl w:val="0"/>
          <w:lang w:val="en-US"/>
        </w:rPr>
        <w:t>5CO02</w:t>
      </w:r>
    </w:p>
    <w:p>
      <w:pPr>
        <w:pStyle w:val="Body"/>
        <w:jc w:val="center"/>
        <w:rPr>
          <w:rFonts w:ascii="Calibri" w:cs="Calibri" w:hAnsi="Calibri" w:eastAsia="Calibri"/>
          <w:b w:val="1"/>
          <w:bCs w:val="1"/>
          <w:sz w:val="52"/>
          <w:szCs w:val="52"/>
        </w:rPr>
      </w:pPr>
      <w:r>
        <w:rPr>
          <w:rFonts w:ascii="Calibri" w:hAnsi="Calibri"/>
          <w:b w:val="1"/>
          <w:bCs w:val="1"/>
          <w:sz w:val="52"/>
          <w:szCs w:val="52"/>
          <w:rtl w:val="0"/>
          <w:lang w:val="en-US"/>
        </w:rPr>
        <w:t>Evidence Based Practice</w:t>
      </w:r>
    </w:p>
    <w:p>
      <w:pPr>
        <w:pStyle w:val="Body"/>
        <w:jc w:val="center"/>
        <w:rPr>
          <w:rFonts w:ascii="Calibri" w:cs="Calibri" w:hAnsi="Calibri" w:eastAsia="Calibri"/>
          <w:b w:val="1"/>
          <w:bCs w:val="1"/>
          <w:sz w:val="52"/>
          <w:szCs w:val="52"/>
        </w:rPr>
      </w:pPr>
      <w:r>
        <w:rPr>
          <w:rFonts w:ascii="Calibri" w:hAnsi="Calibri"/>
          <w:b w:val="1"/>
          <w:bCs w:val="1"/>
          <w:sz w:val="52"/>
          <w:szCs w:val="52"/>
          <w:rtl w:val="0"/>
          <w:lang w:val="en-US"/>
        </w:rPr>
        <w:t>Jane Lewis</w:t>
      </w:r>
    </w:p>
    <w:p>
      <w:pPr>
        <w:pStyle w:val="Body"/>
        <w:jc w:val="center"/>
        <w:rPr>
          <w:rFonts w:ascii="Calibri" w:cs="Calibri" w:hAnsi="Calibri" w:eastAsia="Calibri"/>
          <w:b w:val="1"/>
          <w:bCs w:val="1"/>
          <w:sz w:val="52"/>
          <w:szCs w:val="52"/>
        </w:rPr>
      </w:pPr>
      <w:r>
        <w:rPr>
          <w:rFonts w:ascii="Calibri" w:hAnsi="Calibri"/>
          <w:b w:val="1"/>
          <w:bCs w:val="1"/>
          <w:sz w:val="52"/>
          <w:szCs w:val="52"/>
          <w:rtl w:val="0"/>
          <w:lang w:val="en-US"/>
        </w:rPr>
        <w:t xml:space="preserve">Word Count - </w:t>
      </w:r>
      <w:r>
        <w:rPr>
          <w:rFonts w:ascii="Calibri" w:hAnsi="Calibri"/>
          <w:b w:val="1"/>
          <w:bCs w:val="1"/>
          <w:outline w:val="0"/>
          <w:color w:val="b41700"/>
          <w:sz w:val="52"/>
          <w:szCs w:val="52"/>
          <w:rtl w:val="0"/>
          <w:lang w:val="en-US"/>
          <w14:textFill>
            <w14:solidFill>
              <w14:srgbClr w14:val="B51700"/>
            </w14:solidFill>
          </w14:textFill>
        </w:rPr>
        <w:t>3306</w:t>
      </w:r>
    </w:p>
    <w:p>
      <w:pPr>
        <w:pStyle w:val="Body"/>
        <w:jc w:val="center"/>
        <w:rPr>
          <w:rFonts w:ascii="Calibri" w:cs="Calibri" w:hAnsi="Calibri" w:eastAsia="Calibri"/>
          <w:b w:val="1"/>
          <w:bCs w:val="1"/>
          <w:sz w:val="52"/>
          <w:szCs w:val="52"/>
        </w:rPr>
      </w:pPr>
      <w:r>
        <w:rPr>
          <w:rFonts w:ascii="Calibri" w:hAnsi="Calibri"/>
          <w:b w:val="1"/>
          <w:bCs w:val="1"/>
          <w:sz w:val="52"/>
          <w:szCs w:val="52"/>
          <w:rtl w:val="0"/>
          <w:lang w:val="en-US"/>
        </w:rPr>
        <w:t>CIPD Membership number - 23296214</w:t>
      </w: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center"/>
        <w:rPr>
          <w:rFonts w:ascii="Calibri" w:cs="Calibri" w:hAnsi="Calibri" w:eastAsia="Calibri"/>
          <w:b w:val="1"/>
          <w:bCs w:val="1"/>
          <w:sz w:val="52"/>
          <w:szCs w:val="52"/>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Briefing Paper</w:t>
      </w: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AC1.1 What is Evidence-Based Practice</w:t>
      </w:r>
    </w:p>
    <w:p>
      <w:pPr>
        <w:pStyle w:val="Body"/>
        <w:jc w:val="left"/>
        <w:rPr>
          <w:rFonts w:ascii="Calibri" w:cs="Calibri" w:hAnsi="Calibri" w:eastAsia="Calibri"/>
          <w:b w:val="1"/>
          <w:bCs w:val="1"/>
          <w:sz w:val="24"/>
          <w:szCs w:val="24"/>
        </w:rPr>
      </w:pPr>
    </w:p>
    <w:p>
      <w:pPr>
        <w:pStyle w:val="Default"/>
        <w:suppressAutoHyphens w:val="1"/>
        <w:spacing w:before="0" w:line="240" w:lineRule="auto"/>
        <w:jc w:val="left"/>
        <w:rPr>
          <w:rFonts w:ascii="Calibri" w:cs="Calibri" w:hAnsi="Calibri" w:eastAsia="Calibri"/>
          <w:outline w:val="0"/>
          <w:color w:val="1f1f1f"/>
          <w14:textFill>
            <w14:solidFill>
              <w14:srgbClr w14:val="202020"/>
            </w14:solidFill>
          </w14:textFill>
        </w:rPr>
      </w:pPr>
      <w:r>
        <w:rPr>
          <w:rFonts w:ascii="Calibri" w:hAnsi="Calibri"/>
          <w:outline w:val="0"/>
          <w:color w:val="1f1f1f"/>
          <w:rtl w:val="0"/>
          <w:lang w:val="en-US"/>
          <w14:textFill>
            <w14:solidFill>
              <w14:srgbClr w14:val="202020"/>
            </w14:solidFill>
          </w14:textFill>
        </w:rPr>
        <w:t xml:space="preserve">Evidence-Based Practice (EBP) is a tool used by professionals to make sound, informed decisions.  It helps them to understand </w:t>
      </w:r>
      <w:r>
        <w:rPr>
          <w:rFonts w:ascii="Calibri" w:hAnsi="Calibri" w:hint="default"/>
          <w:outline w:val="0"/>
          <w:color w:val="1f1f1f"/>
          <w:rtl w:val="1"/>
          <w14:textFill>
            <w14:solidFill>
              <w14:srgbClr w14:val="202020"/>
            </w14:solidFill>
          </w14:textFill>
        </w:rPr>
        <w:t>‘</w:t>
      </w:r>
      <w:r>
        <w:rPr>
          <w:rFonts w:ascii="Calibri" w:hAnsi="Calibri"/>
          <w:outline w:val="0"/>
          <w:color w:val="1f1f1f"/>
          <w:rtl w:val="0"/>
          <w:lang w:val="en-US"/>
          <w14:textFill>
            <w14:solidFill>
              <w14:srgbClr w14:val="202020"/>
            </w14:solidFill>
          </w14:textFill>
        </w:rPr>
        <w:t>what works</w:t>
      </w:r>
      <w:r>
        <w:rPr>
          <w:rFonts w:ascii="Calibri" w:hAnsi="Calibri" w:hint="default"/>
          <w:outline w:val="0"/>
          <w:color w:val="1f1f1f"/>
          <w:rtl w:val="1"/>
          <w14:textFill>
            <w14:solidFill>
              <w14:srgbClr w14:val="202020"/>
            </w14:solidFill>
          </w14:textFill>
        </w:rPr>
        <w:t xml:space="preserve">’ </w:t>
      </w:r>
      <w:r>
        <w:rPr>
          <w:rFonts w:ascii="Calibri" w:hAnsi="Calibri"/>
          <w:outline w:val="0"/>
          <w:color w:val="1f1f1f"/>
          <w:rtl w:val="0"/>
          <w:lang w:val="en-US"/>
          <w14:textFill>
            <w14:solidFill>
              <w14:srgbClr w14:val="202020"/>
            </w14:solidFill>
          </w14:textFill>
        </w:rPr>
        <w:t>in order to influence organisational outcomes for the better (CIPD, 2025a)</w:t>
      </w:r>
      <w:r>
        <w:rPr>
          <w:rFonts w:ascii="Calibri" w:hAnsi="Calibri"/>
          <w:outline w:val="0"/>
          <w:color w:val="1f1f1f"/>
          <w:rtl w:val="0"/>
          <w:lang w:val="en-US"/>
          <w14:textFill>
            <w14:solidFill>
              <w14:srgbClr w14:val="202020"/>
            </w14:solidFill>
          </w14:textFill>
        </w:rPr>
        <w:t xml:space="preserve">. </w:t>
      </w:r>
      <w:r>
        <w:rPr>
          <w:rFonts w:ascii="Calibri" w:hAnsi="Calibri"/>
          <w:outline w:val="0"/>
          <w:color w:val="1f1f1f"/>
          <w:rtl w:val="0"/>
          <w:lang w:val="en-US"/>
          <w14:textFill>
            <w14:solidFill>
              <w14:srgbClr w14:val="202020"/>
            </w14:solidFill>
          </w14:textFill>
        </w:rPr>
        <w:t xml:space="preserve">EBP is designed to sift out </w:t>
      </w:r>
      <w:r>
        <w:rPr>
          <w:rFonts w:ascii="Calibri" w:hAnsi="Calibri" w:hint="default"/>
          <w:outline w:val="0"/>
          <w:color w:val="1f1f1f"/>
          <w:rtl w:val="1"/>
          <w14:textFill>
            <w14:solidFill>
              <w14:srgbClr w14:val="202020"/>
            </w14:solidFill>
          </w14:textFill>
        </w:rPr>
        <w:t>‘</w:t>
      </w:r>
      <w:r>
        <w:rPr>
          <w:rFonts w:ascii="Calibri" w:hAnsi="Calibri"/>
          <w:outline w:val="0"/>
          <w:color w:val="1f1f1f"/>
          <w:rtl w:val="0"/>
          <w:lang w:val="en-US"/>
          <w14:textFill>
            <w14:solidFill>
              <w14:srgbClr w14:val="202020"/>
            </w14:solidFill>
          </w14:textFill>
        </w:rPr>
        <w:t>fads, personal experience or opinions</w:t>
      </w:r>
      <w:r>
        <w:rPr>
          <w:rFonts w:ascii="Calibri" w:hAnsi="Calibri" w:hint="default"/>
          <w:outline w:val="0"/>
          <w:color w:val="1f1f1f"/>
          <w:rtl w:val="1"/>
          <w14:textFill>
            <w14:solidFill>
              <w14:srgbClr w14:val="202020"/>
            </w14:solidFill>
          </w14:textFill>
        </w:rPr>
        <w:t>’</w:t>
      </w:r>
      <w:r>
        <w:rPr>
          <w:rFonts w:ascii="Calibri" w:hAnsi="Calibri"/>
          <w:outline w:val="0"/>
          <w:color w:val="1f1f1f"/>
          <w:rtl w:val="0"/>
          <w:lang w:val="en-US"/>
          <w14:textFill>
            <w14:solidFill>
              <w14:srgbClr w14:val="202020"/>
            </w14:solidFill>
          </w14:textFill>
        </w:rPr>
        <w:t>.  It has a six-step approach: Asking, Acquiring, Appraising, Aggregating, Applying, and Assessing (CIPD</w:t>
      </w:r>
      <w:r>
        <w:rPr>
          <w:rFonts w:ascii="Calibri" w:hAnsi="Calibri"/>
          <w:outline w:val="0"/>
          <w:color w:val="1f1f1f"/>
          <w:rtl w:val="0"/>
          <w:lang w:val="en-US"/>
          <w14:textFill>
            <w14:solidFill>
              <w14:srgbClr w14:val="202020"/>
            </w14:solidFill>
          </w14:textFill>
        </w:rPr>
        <w:t>,</w:t>
      </w:r>
      <w:r>
        <w:rPr>
          <w:rFonts w:ascii="Calibri" w:hAnsi="Calibri"/>
          <w:outline w:val="0"/>
          <w:color w:val="1f1f1f"/>
          <w:rtl w:val="0"/>
          <w14:textFill>
            <w14:solidFill>
              <w14:srgbClr w14:val="202020"/>
            </w14:solidFill>
          </w14:textFill>
        </w:rPr>
        <w:t xml:space="preserve"> 2025</w:t>
      </w:r>
      <w:r>
        <w:rPr>
          <w:rFonts w:ascii="Calibri" w:hAnsi="Calibri"/>
          <w:outline w:val="0"/>
          <w:color w:val="1f1f1f"/>
          <w:rtl w:val="0"/>
          <w:lang w:val="en-US"/>
          <w14:textFill>
            <w14:solidFill>
              <w14:srgbClr w14:val="202020"/>
            </w14:solidFill>
          </w14:textFill>
        </w:rPr>
        <w:t>b</w:t>
      </w:r>
      <w:r>
        <w:rPr>
          <w:rFonts w:ascii="Calibri" w:hAnsi="Calibri"/>
          <w:outline w:val="0"/>
          <w:color w:val="1f1f1f"/>
          <w:rtl w:val="0"/>
          <w:lang w:val="en-US"/>
          <w14:textFill>
            <w14:solidFill>
              <w14:srgbClr w14:val="202020"/>
            </w14:solidFill>
          </w14:textFill>
        </w:rPr>
        <w:t>). To make credible and effective decisions, professionals should use four sources of evidence: Professional Expertise, Scientific Literature, Organisational Data, and Stakeholder Views.  By applying these approaches, professionals will reduce the chance of bias (CIPD</w:t>
      </w:r>
      <w:r>
        <w:rPr>
          <w:rFonts w:ascii="Calibri" w:hAnsi="Calibri"/>
          <w:outline w:val="0"/>
          <w:color w:val="1f1f1f"/>
          <w:rtl w:val="0"/>
          <w:lang w:val="en-US"/>
          <w14:textFill>
            <w14:solidFill>
              <w14:srgbClr w14:val="202020"/>
            </w14:solidFill>
          </w14:textFill>
        </w:rPr>
        <w:t xml:space="preserve">, </w:t>
      </w:r>
      <w:r>
        <w:rPr>
          <w:rFonts w:ascii="Calibri" w:hAnsi="Calibri"/>
          <w:outline w:val="0"/>
          <w:color w:val="1f1f1f"/>
          <w:rtl w:val="0"/>
          <w14:textFill>
            <w14:solidFill>
              <w14:srgbClr w14:val="202020"/>
            </w14:solidFill>
          </w14:textFill>
        </w:rPr>
        <w:t>2025</w:t>
      </w:r>
      <w:r>
        <w:rPr>
          <w:rFonts w:ascii="Calibri" w:hAnsi="Calibri"/>
          <w:outline w:val="0"/>
          <w:color w:val="1f1f1f"/>
          <w:rtl w:val="0"/>
          <w:lang w:val="en-US"/>
          <w14:textFill>
            <w14:solidFill>
              <w14:srgbClr w14:val="202020"/>
            </w14:solidFill>
          </w14:textFill>
        </w:rPr>
        <w:t>c</w:t>
      </w:r>
      <w:r>
        <w:rPr>
          <w:rFonts w:ascii="Calibri" w:hAnsi="Calibri"/>
          <w:outline w:val="0"/>
          <w:color w:val="1f1f1f"/>
          <w:rtl w:val="0"/>
          <w:lang w:val="en-US"/>
          <w14:textFill>
            <w14:solidFill>
              <w14:srgbClr w14:val="202020"/>
            </w14:solidFill>
          </w14:textFill>
        </w:rPr>
        <w:t>).  Data or evidence can be categorised into two areas: qualitative and quantitative.  Qualitative data is research gathered via surveys, interviews, and focus groups.  Quantitative data is gathered using numbers via payroll reports, sickness reports, or financial reports.  EBP has 3 main benefits: 1) all decision-making is fact-based rather than outdated insights, short-term fads, or natural bias, 2) it creates a stronger body of knowledge and, as a result, a more trusted professional, 3) it gives more gravitas to professionals, leading to increased influence on other business leaders and has a more positive impact in work</w:t>
      </w:r>
      <w:r>
        <w:rPr>
          <w:rFonts w:ascii="Calibri" w:hAnsi="Calibri"/>
          <w:outline w:val="0"/>
          <w:color w:val="1f1f1f"/>
          <w:rtl w:val="0"/>
          <w:lang w:val="en-US"/>
          <w14:textFill>
            <w14:solidFill>
              <w14:srgbClr w14:val="202020"/>
            </w14:solidFill>
          </w14:textFill>
        </w:rPr>
        <w:t xml:space="preserve"> </w:t>
      </w:r>
      <w:r>
        <w:rPr>
          <w:rFonts w:ascii="Calibri" w:hAnsi="Calibri"/>
          <w:outline w:val="0"/>
          <w:color w:val="1f1f1f"/>
          <w:rtl w:val="0"/>
          <w14:textFill>
            <w14:solidFill>
              <w14:srgbClr w14:val="202020"/>
            </w14:solidFill>
          </w14:textFill>
        </w:rPr>
        <w:t>(APSHoganUK, 2023)</w:t>
      </w:r>
      <w:r>
        <w:rPr>
          <w:rFonts w:ascii="Calibri" w:hAnsi="Calibri"/>
          <w:outline w:val="0"/>
          <w:color w:val="1f1f1f"/>
          <w:rtl w:val="0"/>
          <w:lang w:val="en-US"/>
          <w14:textFill>
            <w14:solidFill>
              <w14:srgbClr w14:val="202020"/>
            </w14:solidFill>
          </w14:textFill>
        </w:rPr>
        <w:t xml:space="preserve">. </w:t>
      </w:r>
      <w:r>
        <w:rPr>
          <w:rFonts w:ascii="Calibri" w:hAnsi="Calibri"/>
          <w:outline w:val="0"/>
          <w:color w:val="1f1f1f"/>
          <w:rtl w:val="0"/>
          <w:lang w:val="en-US"/>
          <w14:textFill>
            <w14:solidFill>
              <w14:srgbClr w14:val="202020"/>
            </w14:solidFill>
          </w14:textFill>
        </w:rPr>
        <w:t xml:space="preserve"> The CIPD has created its Profession Map, which sets the standards for the profession.  It describes a vision of a profession that is principles-led, evidence-based, and outcomes-driven. Taking an evidence-based approach to decision-making can have a huge impact on the working lives of people in all sorts of organisations worldwide. (CIPD, 2025d).</w:t>
      </w:r>
    </w:p>
    <w:p>
      <w:pPr>
        <w:pStyle w:val="Default"/>
        <w:suppressAutoHyphens w:val="1"/>
        <w:spacing w:before="0" w:line="240" w:lineRule="auto"/>
        <w:jc w:val="left"/>
        <w:rPr>
          <w:rFonts w:ascii="Calibri" w:cs="Calibri" w:hAnsi="Calibri" w:eastAsia="Calibri"/>
          <w:outline w:val="0"/>
          <w:color w:val="1f1f1f"/>
          <w14:textFill>
            <w14:solidFill>
              <w14:srgbClr w14:val="202020"/>
            </w14:solidFill>
          </w14:textFill>
        </w:rPr>
      </w:pPr>
    </w:p>
    <w:p>
      <w:pPr>
        <w:pStyle w:val="Default"/>
        <w:suppressAutoHyphens w:val="1"/>
        <w:spacing w:before="0" w:line="240" w:lineRule="auto"/>
        <w:jc w:val="left"/>
        <w:rPr>
          <w:rFonts w:ascii="Calibri" w:cs="Calibri" w:hAnsi="Calibri" w:eastAsia="Calibri"/>
          <w:outline w:val="0"/>
          <w:color w:val="1f1f1f"/>
          <w14:textFill>
            <w14:solidFill>
              <w14:srgbClr w14:val="202020"/>
            </w14:solidFill>
          </w14:textFill>
        </w:rPr>
      </w:pPr>
      <w:r>
        <w:rPr>
          <w:rFonts w:ascii="Calibri" w:hAnsi="Calibri"/>
          <w:outline w:val="0"/>
          <w:color w:val="1f1f1f"/>
          <w:rtl w:val="0"/>
          <w:lang w:val="en-US"/>
          <w14:textFill>
            <w14:solidFill>
              <w14:srgbClr w14:val="202020"/>
            </w14:solidFill>
          </w14:textFill>
        </w:rPr>
        <w:t xml:space="preserve">There can also be limitations to EBP.  Professionals need to develop new skills in seeking and appraising evidence, which takes considerable time and effort.  Without these skills, professionals are prone to confirmation bias (CEBMa, 2024).  We should also consider the cost of gathering evidence analysing it, and the decisions made on the outcome.  It can also be time-consuming in an ever-changing environment, which can often lead to outdated evidence being gathered.  </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AC1.2 Analysis Tools and Methods</w:t>
      </w:r>
    </w:p>
    <w:p>
      <w:pPr>
        <w:pStyle w:val="Body"/>
        <w:jc w:val="left"/>
        <w:rPr>
          <w:rFonts w:ascii="Calibri" w:cs="Calibri" w:hAnsi="Calibri" w:eastAsia="Calibri"/>
          <w:b w:val="1"/>
          <w:bCs w:val="1"/>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To obtain robust and useful qualitative and quantitative data to influence meaningful and critical thinking and change, the people professional must first decide two things: which analysis tool (or tools) is the most suitable to use and what method of obtaining the information to use.</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There are numerous analysis tools to use, Porter's Five Forces, Target Operating Model (TOM), McKinsey 7s, and SWOT, to name but a few.  A PESTLE analysis studies six external factors (Political, Economic, Sociological, Technological, Legal, and Environmental) that can influence an organisation. It can be used in a range of different scenarios and can guide people, professionals, and senior managers in strategic decision making</w:t>
      </w:r>
      <w:r>
        <w:rPr>
          <w:rFonts w:ascii="Calibri" w:hAnsi="Calibri"/>
          <w:sz w:val="24"/>
          <w:szCs w:val="24"/>
          <w:rtl w:val="0"/>
          <w:lang w:val="en-US"/>
        </w:rPr>
        <w:t xml:space="preserve">  </w:t>
      </w:r>
      <w:r>
        <w:rPr>
          <w:rFonts w:ascii="Calibri" w:hAnsi="Calibri"/>
          <w:sz w:val="24"/>
          <w:szCs w:val="24"/>
          <w:rtl w:val="0"/>
        </w:rPr>
        <w:t>(CIPD, 2025e)</w:t>
      </w:r>
      <w:r>
        <w:rPr>
          <w:rFonts w:ascii="Calibri" w:hAnsi="Calibri"/>
          <w:sz w:val="24"/>
          <w:szCs w:val="24"/>
          <w:rtl w:val="0"/>
          <w:lang w:val="en-US"/>
        </w:rPr>
        <w:t>.</w:t>
      </w:r>
      <w:r>
        <w:rPr>
          <w:rFonts w:ascii="Calibri" w:hAnsi="Calibri"/>
          <w:sz w:val="24"/>
          <w:szCs w:val="24"/>
          <w:rtl w:val="0"/>
          <w:lang w:val="en-US"/>
        </w:rPr>
        <w:t xml:space="preserve"> This analysis tool is often widely used in conjunction with a SWOT analysis (Strengths, Weaknesses, Opportunities, and Threats).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The people professional should begin by deciding who will be gathering the evidence or data and how it will be gathered.  Identify more than one person or team to gather data to bring diverse evidence and perspectives</w:t>
      </w:r>
      <w:r>
        <w:rPr>
          <w:rFonts w:ascii="Calibri" w:hAnsi="Calibri"/>
          <w:sz w:val="24"/>
          <w:szCs w:val="24"/>
          <w:rtl w:val="0"/>
          <w:lang w:val="en-US"/>
        </w:rPr>
        <w:t xml:space="preserve"> </w:t>
      </w:r>
      <w:r>
        <w:rPr>
          <w:rFonts w:ascii="Calibri" w:hAnsi="Calibri"/>
          <w:sz w:val="24"/>
          <w:szCs w:val="24"/>
          <w:rtl w:val="0"/>
        </w:rPr>
        <w:t>(CIPD, 2023)</w:t>
      </w:r>
      <w:r>
        <w:rPr>
          <w:rFonts w:ascii="Calibri" w:hAnsi="Calibri"/>
          <w:sz w:val="24"/>
          <w:szCs w:val="24"/>
          <w:rtl w:val="0"/>
          <w:lang w:val="en-US"/>
        </w:rPr>
        <w:t>.</w:t>
      </w:r>
      <w:r>
        <w:rPr>
          <w:rFonts w:ascii="Calibri" w:hAnsi="Calibri"/>
          <w:sz w:val="24"/>
          <w:szCs w:val="24"/>
          <w:rtl w:val="0"/>
          <w:lang w:val="en-US"/>
        </w:rPr>
        <w:t xml:space="preserve"> Evidence should be gathered on external factors and factors affected within the industry; these should then be ranked in order of risk (High, Medium and Low) within the organisation</w:t>
      </w:r>
      <w:r>
        <w:rPr>
          <w:rFonts w:ascii="Calibri" w:hAnsi="Calibri"/>
          <w:sz w:val="24"/>
          <w:szCs w:val="24"/>
          <w:rtl w:val="0"/>
          <w:lang w:val="en-US"/>
        </w:rPr>
        <w:t>.</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Although one of the more widely used analysis tools, PESTLE does have its limitations.  It is a predominately outward looking framework considering wider external factors in relation to the business (Taylor and Woodhams, 2022a, p.46)</w:t>
      </w:r>
      <w:r>
        <w:rPr>
          <w:rFonts w:ascii="Calibri" w:hAnsi="Calibri"/>
          <w:sz w:val="24"/>
          <w:szCs w:val="24"/>
          <w:rtl w:val="0"/>
          <w:lang w:val="en-US"/>
        </w:rPr>
        <w:t>.</w:t>
      </w:r>
      <w:r>
        <w:rPr>
          <w:rFonts w:ascii="Calibri" w:hAnsi="Calibri"/>
          <w:sz w:val="24"/>
          <w:szCs w:val="24"/>
          <w:rtl w:val="0"/>
          <w:lang w:val="en-US"/>
        </w:rPr>
        <w:t xml:space="preserve">  Some users oversimplify the amount of data used for decisions, and the risk of capturing too much data may lead to paralysis by analysis.  The data used may be based on assumptions that later prove to be unfounded.  The pace of change makes it difficult to anticipate future developments that may affect the organisation (CIPD, 2025</w:t>
      </w:r>
      <w:r>
        <w:rPr>
          <w:rFonts w:ascii="Calibri" w:hAnsi="Calibri"/>
          <w:sz w:val="24"/>
          <w:szCs w:val="24"/>
          <w:rtl w:val="0"/>
          <w:lang w:val="en-US"/>
        </w:rPr>
        <w:t>f</w:t>
      </w:r>
      <w:r>
        <w:rPr>
          <w:rFonts w:ascii="Calibri" w:hAnsi="Calibri"/>
          <w:sz w:val="24"/>
          <w:szCs w:val="24"/>
          <w:rtl w:val="0"/>
        </w:rPr>
        <w:t>)</w:t>
      </w:r>
      <w:r>
        <w:rPr>
          <w:rFonts w:ascii="Calibri" w:hAnsi="Calibri"/>
          <w:sz w:val="24"/>
          <w:szCs w:val="24"/>
          <w:rtl w:val="0"/>
          <w:lang w:val="en-US"/>
        </w:rPr>
        <w:t>.</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Before deciding on which analysis method to use, the people professional must first look at the different types of data that can be gathered: qualitative (words and meanings) and quantitative (numerical).  Surveys are good for gathering qualitative data.  They can be designed to be either </w:t>
      </w:r>
      <w:r>
        <w:rPr>
          <w:rFonts w:ascii="Calibri" w:hAnsi="Calibri" w:hint="default"/>
          <w:sz w:val="24"/>
          <w:szCs w:val="24"/>
          <w:rtl w:val="1"/>
        </w:rPr>
        <w:t>‘</w:t>
      </w:r>
      <w:r>
        <w:rPr>
          <w:rFonts w:ascii="Calibri" w:hAnsi="Calibri"/>
          <w:sz w:val="24"/>
          <w:szCs w:val="24"/>
          <w:rtl w:val="0"/>
          <w:lang w:val="nl-NL"/>
        </w:rPr>
        <w:t>open</w:t>
      </w:r>
      <w:r>
        <w:rPr>
          <w:rFonts w:ascii="Calibri" w:hAnsi="Calibri" w:hint="default"/>
          <w:sz w:val="24"/>
          <w:szCs w:val="24"/>
          <w:rtl w:val="1"/>
        </w:rPr>
        <w:t xml:space="preserve">’ </w:t>
      </w:r>
      <w:r>
        <w:rPr>
          <w:rFonts w:ascii="Calibri" w:hAnsi="Calibri"/>
          <w:sz w:val="24"/>
          <w:szCs w:val="24"/>
          <w:rtl w:val="0"/>
        </w:rPr>
        <w:t xml:space="preserve">or </w:t>
      </w:r>
      <w:r>
        <w:rPr>
          <w:rFonts w:ascii="Calibri" w:hAnsi="Calibri" w:hint="default"/>
          <w:sz w:val="24"/>
          <w:szCs w:val="24"/>
          <w:rtl w:val="1"/>
        </w:rPr>
        <w:t>‘</w:t>
      </w:r>
      <w:r>
        <w:rPr>
          <w:rFonts w:ascii="Calibri" w:hAnsi="Calibri"/>
          <w:sz w:val="24"/>
          <w:szCs w:val="24"/>
          <w:rtl w:val="0"/>
          <w:lang w:val="en-US"/>
        </w:rPr>
        <w:t>closed</w:t>
      </w:r>
      <w:r>
        <w:rPr>
          <w:rFonts w:ascii="Calibri" w:hAnsi="Calibri" w:hint="default"/>
          <w:sz w:val="24"/>
          <w:szCs w:val="24"/>
          <w:rtl w:val="1"/>
        </w:rPr>
        <w:t>’</w:t>
      </w:r>
      <w:r>
        <w:rPr>
          <w:rFonts w:ascii="Calibri" w:hAnsi="Calibri"/>
          <w:sz w:val="24"/>
          <w:szCs w:val="24"/>
          <w:rtl w:val="0"/>
          <w:lang w:val="en-US"/>
        </w:rPr>
        <w:t>, meaning that they may require a yes/no answer or a tick to be placed in a box (closed) or they may require a few words or sentences of explanation (open) (Taylor and Woodhams, 2022b, p.128)</w:t>
      </w:r>
      <w:r>
        <w:rPr>
          <w:rFonts w:ascii="Calibri" w:hAnsi="Calibri"/>
          <w:sz w:val="24"/>
          <w:szCs w:val="24"/>
          <w:rtl w:val="0"/>
          <w:lang w:val="en-US"/>
        </w:rPr>
        <w:t>.</w:t>
      </w:r>
      <w:r>
        <w:rPr>
          <w:rFonts w:ascii="Calibri" w:hAnsi="Calibri"/>
          <w:sz w:val="24"/>
          <w:szCs w:val="24"/>
          <w:rtl w:val="0"/>
          <w:lang w:val="en-US"/>
        </w:rPr>
        <w:t xml:space="preserve">  Surveys can be sent in bulk, making them a quicker and more cost-effective way to collect data.  Making the survey anonymous also encourages individuals to answer all questions honestly, reduces the risk of bias, and increases response rates.  While gathering data more quickly, it also limits the researchers' ability to ask additional questions; participants may be unclear or give inaccurate answers if they do not fully understand the questions. </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AC1.3 Critical Thinking</w:t>
      </w:r>
    </w:p>
    <w:p>
      <w:pPr>
        <w:pStyle w:val="Body"/>
        <w:jc w:val="left"/>
        <w:rPr>
          <w:rFonts w:ascii="Calibri" w:cs="Calibri" w:hAnsi="Calibri" w:eastAsia="Calibri"/>
          <w:b w:val="1"/>
          <w:bCs w:val="1"/>
          <w:sz w:val="24"/>
          <w:szCs w:val="24"/>
        </w:rPr>
      </w:pPr>
    </w:p>
    <w:p>
      <w:pPr>
        <w:pStyle w:val="Default"/>
        <w:suppressAutoHyphens w:val="1"/>
        <w:spacing w:before="0" w:line="240" w:lineRule="auto"/>
        <w:rPr>
          <w:rFonts w:ascii="Calibri" w:cs="Calibri" w:hAnsi="Calibri" w:eastAsia="Calibri"/>
        </w:rPr>
      </w:pPr>
      <w:r>
        <w:rPr>
          <w:rFonts w:ascii="Calibri" w:hAnsi="Calibri"/>
          <w:rtl w:val="0"/>
          <w:lang w:val="en-US"/>
        </w:rPr>
        <w:t>Critical thinking is fundamental to evidence-based practice because it enables people professionals to evaluate information objectively rather than accepting claims at face value. Critical thinking gives you the tools to use scepticism and doubt constructively so you can analyse what is before you (Cottrell, 2023</w:t>
      </w:r>
      <w:r>
        <w:rPr>
          <w:rFonts w:ascii="Calibri" w:hAnsi="Calibri"/>
          <w:rtl w:val="0"/>
          <w:lang w:val="en-US"/>
        </w:rPr>
        <w:t>a</w:t>
      </w:r>
      <w:r>
        <w:rPr>
          <w:rFonts w:ascii="Calibri" w:hAnsi="Calibri"/>
          <w:rtl w:val="0"/>
          <w:lang w:val="en-US"/>
        </w:rPr>
        <w:t>, p.2). All evidence should be critically appraised by carefully and systematically assessing its trustworthiness and relevance.  Evidence-based practice is about using the best available evidence, and critical appraisal plays an essential role in discerning and identifying such evidence (Barends, Rousseau and Briner, 2014</w:t>
      </w:r>
      <w:r>
        <w:rPr>
          <w:rFonts w:ascii="Calibri" w:hAnsi="Calibri"/>
          <w:rtl w:val="0"/>
          <w:lang w:val="en-US"/>
        </w:rPr>
        <w:t>a</w:t>
      </w:r>
      <w:r>
        <w:rPr>
          <w:rFonts w:ascii="Calibri" w:hAnsi="Calibri"/>
          <w:rtl w:val="0"/>
          <w:lang w:val="en-US"/>
        </w:rPr>
        <w:t>). Learning to think in critically analytical and evaluative ways means using mental processes such as attention, categorisation, selection and judgement (Cottrell, 2023b, p.1).</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Warren Howlett CIPD (2019a)</w:t>
      </w:r>
      <w:r>
        <w:rPr>
          <w:rFonts w:ascii="Calibri" w:hAnsi="Calibri"/>
          <w:rtl w:val="0"/>
          <w:lang w:val="en-US"/>
        </w:rPr>
        <w:t xml:space="preserve"> states</w:t>
      </w:r>
      <w:r>
        <w:rPr>
          <w:rFonts w:ascii="Calibri" w:hAnsi="Calibri"/>
          <w:rtl w:val="0"/>
          <w:lang w:val="en-US"/>
        </w:rPr>
        <w:t xml:space="preserve"> there are three key elements of critical appraisal for people professionals: critiquing others' ideas and options, understanding how arguments and opinions are constructed, and identifying when others are using critical thinking techniques. </w:t>
      </w:r>
      <w:r>
        <w:rPr>
          <w:rFonts w:ascii="Calibri" w:hAnsi="Calibri"/>
          <w:rtl w:val="0"/>
          <w:lang w:val="en-US"/>
        </w:rPr>
        <w:t xml:space="preserve"> </w:t>
      </w:r>
      <w:r>
        <w:rPr>
          <w:rFonts w:ascii="Calibri" w:hAnsi="Calibri"/>
          <w:rtl w:val="0"/>
          <w:lang w:val="en-US"/>
        </w:rPr>
        <w:t>Critical thinkers question the quality, credibility and applicability of evidence before drawing conclusions or making decisions. Cognitive biases can affect how evidence is interpreted and may lead to flawed decision-making if left unchecked.  Critical thinking helps to recognise these biases, which may influence judgement.  But to check the validity of evidence Cottrell (Cottrell, 2023c, p.109) states that we need to go to other sources, either people or material sources, to check the facts that underlie the reasons given.  There is also the problem of bias when it comes to critical thinking and whether we are aware of it.  Being critically aware helps us identify whether we have a bias, conscious or unconscious.  If we are not fully aware of these biases, our judgment or thinking on evidence may not be accurate.</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Therefore, critical thinking underpins effective evidence-based practice by enabling professionals to assess the quality, validity and relevance of evidence while recognising the influence of bias on decision-making. Cottrell, S. (2023d); Barends, E., Rousseau, D.M. and Briner, R.B. (2014b).</w:t>
      </w:r>
      <w:r>
        <w:rPr>
          <w:rFonts w:ascii="Calibri" w:hAnsi="Calibri"/>
          <w:rtl w:val="0"/>
          <w:lang w:val="en-US"/>
        </w:rPr>
        <w:t xml:space="preserve">  </w:t>
      </w: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AC1.4 Decision-Making Processes</w:t>
      </w:r>
    </w:p>
    <w:p>
      <w:pPr>
        <w:pStyle w:val="Body"/>
        <w:jc w:val="left"/>
        <w:rPr>
          <w:rFonts w:ascii="Calibri" w:cs="Calibri" w:hAnsi="Calibri" w:eastAsia="Calibri"/>
          <w:b w:val="1"/>
          <w:bCs w:val="1"/>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According to </w:t>
      </w:r>
      <w:r>
        <w:rPr>
          <w:rFonts w:ascii="Calibri" w:hAnsi="Calibri"/>
          <w:sz w:val="24"/>
          <w:szCs w:val="24"/>
          <w:rtl w:val="0"/>
          <w:lang w:val="en-US"/>
        </w:rPr>
        <w:t>Buchanan, D.A. and Huczynski, A.A. (2019) there are 3 levels of decision-making in an organi</w:t>
      </w:r>
      <w:r>
        <w:rPr>
          <w:rFonts w:ascii="Calibri" w:hAnsi="Calibri"/>
          <w:sz w:val="24"/>
          <w:szCs w:val="24"/>
          <w:rtl w:val="0"/>
          <w:lang w:val="en-US"/>
        </w:rPr>
        <w:t>s</w:t>
      </w:r>
      <w:r>
        <w:rPr>
          <w:rFonts w:ascii="Calibri" w:hAnsi="Calibri"/>
          <w:sz w:val="24"/>
          <w:szCs w:val="24"/>
          <w:rtl w:val="0"/>
          <w:lang w:val="en-US"/>
        </w:rPr>
        <w:t>ation, each with its own issues and theoretical perspectives, all interrelated, with one affecting and being affected by the others.  Level 1 is individual analysis; the key issues here are that a person has limits to information processing and personal biases.  The key issue in group decision-making is the effect of group dynamics on individuals' perceptions, attitudes, and behavio</w:t>
      </w:r>
      <w:r>
        <w:rPr>
          <w:rFonts w:ascii="Calibri" w:hAnsi="Calibri"/>
          <w:sz w:val="24"/>
          <w:szCs w:val="24"/>
          <w:rtl w:val="0"/>
          <w:lang w:val="en-US"/>
        </w:rPr>
        <w:t>u</w:t>
      </w:r>
      <w:r>
        <w:rPr>
          <w:rFonts w:ascii="Calibri" w:hAnsi="Calibri"/>
          <w:sz w:val="24"/>
          <w:szCs w:val="24"/>
          <w:rtl w:val="0"/>
          <w:lang w:val="en-US"/>
        </w:rPr>
        <w:t xml:space="preserve">rs.  In organisational analysis, the key issue is the effect of conflicts, power, and politics. </w:t>
      </w:r>
    </w:p>
    <w:p>
      <w:pPr>
        <w:pStyle w:val="Body"/>
        <w:jc w:val="left"/>
        <w:rPr>
          <w:rFonts w:ascii="Calibri" w:cs="Calibri" w:hAnsi="Calibri" w:eastAsia="Calibri"/>
          <w:sz w:val="24"/>
          <w:szCs w:val="24"/>
        </w:rPr>
      </w:pPr>
    </w:p>
    <w:p>
      <w:pPr>
        <w:pStyle w:val="Default"/>
        <w:suppressAutoHyphens w:val="1"/>
        <w:spacing w:before="0" w:line="240" w:lineRule="auto"/>
        <w:rPr>
          <w:rFonts w:ascii="Calibri" w:cs="Calibri" w:hAnsi="Calibri" w:eastAsia="Calibri"/>
        </w:rPr>
      </w:pPr>
      <w:r>
        <w:rPr>
          <w:rFonts w:ascii="Calibri" w:hAnsi="Calibri"/>
          <w:rtl w:val="0"/>
          <w:lang w:val="nl-NL"/>
        </w:rPr>
        <w:t>De Bono</w:t>
      </w:r>
      <w:r>
        <w:rPr>
          <w:rFonts w:ascii="Calibri" w:hAnsi="Calibri" w:hint="default"/>
          <w:rtl w:val="1"/>
        </w:rPr>
        <w:t>’</w:t>
      </w:r>
      <w:r>
        <w:rPr>
          <w:rFonts w:ascii="Calibri" w:hAnsi="Calibri"/>
          <w:rtl w:val="0"/>
          <w:lang w:val="en-US"/>
        </w:rPr>
        <w:t xml:space="preserve">s Six Thinking Hats is a lateral way of decision-making. It consists of six different ways of looking at a problem. Facts and information (White Hat), emotions (Red Hat), risks (Black Hat), benefits (Yellow Hat), creativity (Green Hat), and process control (Blue Hat).  This can be done by an individual (putting on the different </w:t>
      </w:r>
      <w:r>
        <w:rPr>
          <w:rFonts w:ascii="Calibri" w:hAnsi="Calibri" w:hint="default"/>
          <w:rtl w:val="1"/>
        </w:rPr>
        <w:t>‘</w:t>
      </w:r>
      <w:r>
        <w:rPr>
          <w:rFonts w:ascii="Calibri" w:hAnsi="Calibri"/>
          <w:rtl w:val="0"/>
          <w:lang w:val="en-US"/>
        </w:rPr>
        <w:t>hats</w:t>
      </w:r>
      <w:r>
        <w:rPr>
          <w:rFonts w:ascii="Calibri" w:hAnsi="Calibri" w:hint="default"/>
          <w:rtl w:val="1"/>
        </w:rPr>
        <w:t xml:space="preserve">’ </w:t>
      </w:r>
      <w:r>
        <w:rPr>
          <w:rFonts w:ascii="Calibri" w:hAnsi="Calibri"/>
          <w:rtl w:val="0"/>
          <w:lang w:val="en-US"/>
        </w:rPr>
        <w:t>to look at the problem from each angle) or in a group setting (each person would take on a different thinking style).  This technique encourages people to consider a problem from different angles and also reduces the risk of bias. For example, when rewriting a workplace policy, the Six Thinking Hats technique can help identify potential risks, employee concerns, benefits, and implementation challenges that may else be overlooked (De Bono, 2000</w:t>
      </w:r>
      <w:r>
        <w:rPr>
          <w:rFonts w:ascii="Calibri" w:hAnsi="Calibri"/>
          <w:rtl w:val="0"/>
          <w:lang w:val="en-US"/>
        </w:rPr>
        <w:t>a</w:t>
      </w:r>
      <w:r>
        <w:rPr>
          <w:rFonts w:ascii="Calibri" w:hAnsi="Calibri"/>
          <w:rtl w:val="0"/>
        </w:rPr>
        <w:t>).</w:t>
      </w:r>
      <w:r>
        <w:rPr>
          <w:rFonts w:ascii="Calibri" w:hAnsi="Calibri"/>
          <w:rtl w:val="0"/>
          <w:lang w:val="en-US"/>
        </w:rPr>
        <w:t xml:space="preserve">  </w:t>
      </w:r>
      <w:r>
        <w:rPr>
          <w:rFonts w:ascii="Calibri" w:hAnsi="Calibri"/>
          <w:rtl w:val="0"/>
          <w:lang w:val="en-US"/>
        </w:rPr>
        <w:t>The approach helps to reduce bias by ensuring that decisions are not based solely on emotions, assumptions, or a single viewpoint. For example, when rewriting a workplace policy, the Six Thinking Hats technique can help identify potential risks, employee concerns, organisational benefits, and practical implementation challenges that might otherwise be overlooked (De Bono, 2000</w:t>
      </w:r>
      <w:r>
        <w:rPr>
          <w:rFonts w:ascii="Calibri" w:hAnsi="Calibri"/>
          <w:rtl w:val="0"/>
          <w:lang w:val="en-US"/>
        </w:rPr>
        <w:t>b</w:t>
      </w:r>
      <w:r>
        <w:rPr>
          <w:rFonts w:ascii="Calibri" w:hAnsi="Calibri"/>
          <w:rtl w:val="0"/>
        </w:rPr>
        <w:t>)</w:t>
      </w:r>
      <w:r>
        <w:rPr>
          <w:rFonts w:ascii="Calibri" w:hAnsi="Calibri"/>
          <w:rtl w:val="0"/>
          <w:lang w:val="en-US"/>
        </w:rPr>
        <w:t>.</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Future pacing is a technique associated with Neurolinguistic programming (NLP) and asks the people professional to imagine the future.  By imagining the future consequences of different options, people professionals can anticipate possible challenges, benefits, and unintended impacts before implementation. For example, when considering flexible working arrangements, a people professional could use future pacing to evaluate how changes may affect employee wellbeing, engagement, productivity and team collaboration over time.</w:t>
      </w:r>
      <w:r>
        <w:rPr>
          <w:rFonts w:ascii="Calibri" w:hAnsi="Calibri"/>
          <w:rtl w:val="0"/>
          <w:lang w:val="en-US"/>
        </w:rPr>
        <w:t xml:space="preserve"> </w:t>
      </w:r>
      <w:r>
        <w:rPr>
          <w:rFonts w:ascii="Calibri" w:hAnsi="Calibri"/>
          <w:rtl w:val="0"/>
          <w:lang w:val="en-US"/>
        </w:rPr>
        <w:t>By visualising potential outcomes, organisations can take proactive steps to address challenges before they arise.</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However, these techniques also have limitations. The Six Thinking Hats method can be time-consuming, particularly when used in larger groups, and its effectiveness depends on participants fully engaging with each thinking style. Similarly, future pacing relies on individuals accurately predicting future scenarios, which may not always be possible in rapidly changing organisational environments. Despite these limitations</w:t>
      </w:r>
      <w:r>
        <w:rPr>
          <w:rFonts w:ascii="Calibri" w:hAnsi="Calibri"/>
          <w:rtl w:val="0"/>
          <w:lang w:val="en-US"/>
        </w:rPr>
        <w:t xml:space="preserve"> t</w:t>
      </w:r>
      <w:r>
        <w:rPr>
          <w:rFonts w:ascii="Calibri" w:hAnsi="Calibri"/>
          <w:rtl w:val="0"/>
          <w:lang w:val="en-US"/>
        </w:rPr>
        <w:t>hese techniques, along with others, encourage people professionals to scrutinise assumptions, consider alternative perspectives, and evaluate the possible consequences of their choices.  This will reduce the likelihood of bias influencing the outcome and improve the quality of HR decisions.</w:t>
      </w:r>
      <w:r>
        <w:rPr>
          <w:rFonts w:ascii="Calibri" w:hAnsi="Calibri"/>
          <w:rtl w:val="0"/>
          <w:lang w:val="en-US"/>
        </w:rPr>
        <w:t xml:space="preserve">  </w:t>
      </w:r>
    </w:p>
    <w:p>
      <w:pPr>
        <w:pStyle w:val="Default"/>
        <w:suppressAutoHyphens w:val="1"/>
        <w:spacing w:before="0" w:line="240" w:lineRule="auto"/>
        <w:rPr>
          <w:rFonts w:ascii="Calibri" w:cs="Calibri" w:hAnsi="Calibri" w:eastAsia="Calibri"/>
          <w:outline w:val="0"/>
          <w:color w:val="b41700"/>
          <w14:textFill>
            <w14:solidFill>
              <w14:srgbClr w14:val="B51700"/>
            </w14:solidFill>
          </w14:textFill>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AC1.5 Ethical Perspectives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According to</w:t>
      </w:r>
      <w:r>
        <w:rPr>
          <w:rFonts w:ascii="Calibri" w:hAnsi="Calibri"/>
          <w:sz w:val="24"/>
          <w:szCs w:val="24"/>
          <w:rtl w:val="0"/>
          <w:lang w:val="en-US"/>
        </w:rPr>
        <w:t xml:space="preserve"> </w:t>
      </w:r>
      <w:r>
        <w:rPr>
          <w:rFonts w:ascii="Calibri" w:hAnsi="Calibri"/>
          <w:sz w:val="24"/>
          <w:szCs w:val="24"/>
          <w:rtl w:val="0"/>
          <w:lang w:val="en-US"/>
        </w:rPr>
        <w:t xml:space="preserve">(Young, 2024) the term </w:t>
      </w:r>
      <w:r>
        <w:rPr>
          <w:rFonts w:ascii="Calibri" w:hAnsi="Calibri" w:hint="default"/>
          <w:sz w:val="24"/>
          <w:szCs w:val="24"/>
          <w:rtl w:val="1"/>
        </w:rPr>
        <w:t>‘</w:t>
      </w:r>
      <w:r>
        <w:rPr>
          <w:rFonts w:ascii="Calibri" w:hAnsi="Calibri"/>
          <w:sz w:val="24"/>
          <w:szCs w:val="24"/>
          <w:rtl w:val="0"/>
          <w:lang w:val="en-US"/>
        </w:rPr>
        <w:t>ethical culture</w:t>
      </w:r>
      <w:r>
        <w:rPr>
          <w:rFonts w:ascii="Calibri" w:hAnsi="Calibri" w:hint="default"/>
          <w:sz w:val="24"/>
          <w:szCs w:val="24"/>
          <w:rtl w:val="1"/>
        </w:rPr>
        <w:t xml:space="preserve">’ </w:t>
      </w:r>
      <w:r>
        <w:rPr>
          <w:rFonts w:ascii="Calibri" w:hAnsi="Calibri"/>
          <w:sz w:val="24"/>
          <w:szCs w:val="24"/>
          <w:rtl w:val="0"/>
          <w:lang w:val="en-US"/>
        </w:rPr>
        <w:t>refers to how ethical values are brought to life in the day-to-day running of an organisation.</w:t>
      </w:r>
      <w:r>
        <w:rPr>
          <w:rFonts w:ascii="Calibri" w:hAnsi="Calibri"/>
          <w:sz w:val="24"/>
          <w:szCs w:val="24"/>
          <w:rtl w:val="0"/>
          <w:lang w:val="en-US"/>
        </w:rPr>
        <w:t xml:space="preserve"> E</w:t>
      </w:r>
      <w:r>
        <w:rPr>
          <w:rFonts w:ascii="Calibri" w:hAnsi="Calibri"/>
          <w:sz w:val="24"/>
          <w:szCs w:val="24"/>
          <w:rtl w:val="0"/>
          <w:lang w:val="en-US"/>
        </w:rPr>
        <w:t>thical cultures support employee wellbeing by promoting dignity, respect, equality, and inclusion in the workplace. As a result, organisations with strong ethical cultures often experience higher levels of engagement, improved performance, and a stronger employer brand (CIPD, 2024)</w:t>
      </w:r>
      <w:r>
        <w:rPr>
          <w:rFonts w:ascii="Calibri" w:hAnsi="Calibri"/>
          <w:sz w:val="24"/>
          <w:szCs w:val="24"/>
          <w:rtl w:val="0"/>
          <w:lang w:val="en-US"/>
        </w:rPr>
        <w:t>.</w:t>
      </w:r>
      <w:r>
        <w:rPr>
          <w:rFonts w:ascii="Calibri" w:hAnsi="Calibri"/>
          <w:sz w:val="24"/>
          <w:szCs w:val="24"/>
          <w:rtl w:val="0"/>
          <w:lang w:val="en-US"/>
        </w:rPr>
        <w:t xml:space="preserve"> Cultural climate also matters; it is influenced by policies and practices.  An organisation values provide a framework for the company</w:t>
      </w:r>
      <w:r>
        <w:rPr>
          <w:rFonts w:ascii="Calibri" w:hAnsi="Calibri" w:hint="default"/>
          <w:sz w:val="24"/>
          <w:szCs w:val="24"/>
          <w:rtl w:val="1"/>
        </w:rPr>
        <w:t>’</w:t>
      </w:r>
      <w:r>
        <w:rPr>
          <w:rFonts w:ascii="Calibri" w:hAnsi="Calibri"/>
          <w:sz w:val="24"/>
          <w:szCs w:val="24"/>
          <w:rtl w:val="0"/>
          <w:lang w:val="en-US"/>
        </w:rPr>
        <w:t>s culture and decision-making.</w:t>
      </w:r>
      <w:r>
        <w:rPr>
          <w:rFonts w:ascii="Calibri" w:hAnsi="Calibri"/>
          <w:sz w:val="24"/>
          <w:szCs w:val="24"/>
          <w:rtl w:val="0"/>
          <w:lang w:val="en-US"/>
        </w:rPr>
        <w:t xml:space="preserve">  </w:t>
      </w:r>
      <w:r>
        <w:rPr>
          <w:rFonts w:ascii="Calibri" w:hAnsi="Calibri"/>
          <w:sz w:val="24"/>
          <w:szCs w:val="24"/>
          <w:rtl w:val="0"/>
          <w:lang w:val="en-US"/>
        </w:rPr>
        <w:t xml:space="preserve">Ethical decisions affect all areas of an organisation (recruitment, performance management, reward, employee well-being, and organisational culture).  The CIPD introduced its Eight Ethical lenses to </w:t>
      </w:r>
      <w:r>
        <w:rPr>
          <w:rFonts w:ascii="Calibri" w:hAnsi="Calibri" w:hint="default"/>
          <w:sz w:val="24"/>
          <w:szCs w:val="24"/>
          <w:rtl w:val="1"/>
        </w:rPr>
        <w:t>‘</w:t>
      </w:r>
      <w:r>
        <w:rPr>
          <w:rFonts w:ascii="Calibri" w:hAnsi="Calibri"/>
          <w:sz w:val="24"/>
          <w:szCs w:val="24"/>
          <w:rtl w:val="0"/>
          <w:lang w:val="en-US"/>
        </w:rPr>
        <w:t>aid ethical decision-making by describing the possible ways of thinking about work as offered by philosophical ethics.</w:t>
      </w:r>
      <w:r>
        <w:rPr>
          <w:rFonts w:ascii="Calibri" w:hAnsi="Calibri" w:hint="default"/>
          <w:sz w:val="24"/>
          <w:szCs w:val="24"/>
          <w:rtl w:val="0"/>
        </w:rPr>
        <w:t xml:space="preserve">’   </w:t>
      </w:r>
      <w:r>
        <w:rPr>
          <w:rFonts w:ascii="Calibri" w:hAnsi="Calibri"/>
          <w:sz w:val="24"/>
          <w:szCs w:val="24"/>
          <w:rtl w:val="0"/>
          <w:lang w:val="en-US"/>
        </w:rPr>
        <w:t xml:space="preserve">It identifies eight lenses, none of which represent the </w:t>
      </w:r>
      <w:r>
        <w:rPr>
          <w:rFonts w:ascii="Calibri" w:hAnsi="Calibri" w:hint="default"/>
          <w:sz w:val="24"/>
          <w:szCs w:val="24"/>
          <w:rtl w:val="1"/>
        </w:rPr>
        <w:t>‘</w:t>
      </w:r>
      <w:r>
        <w:rPr>
          <w:rFonts w:ascii="Calibri" w:hAnsi="Calibri"/>
          <w:sz w:val="24"/>
          <w:szCs w:val="24"/>
          <w:rtl w:val="0"/>
          <w:lang w:val="en-US"/>
        </w:rPr>
        <w:t>right</w:t>
      </w:r>
      <w:r>
        <w:rPr>
          <w:rFonts w:ascii="Calibri" w:hAnsi="Calibri" w:hint="default"/>
          <w:sz w:val="24"/>
          <w:szCs w:val="24"/>
          <w:rtl w:val="1"/>
        </w:rPr>
        <w:t xml:space="preserve">’ </w:t>
      </w:r>
      <w:r>
        <w:rPr>
          <w:rFonts w:ascii="Calibri" w:hAnsi="Calibri"/>
          <w:sz w:val="24"/>
          <w:szCs w:val="24"/>
          <w:rtl w:val="0"/>
        </w:rPr>
        <w:t xml:space="preserve">or </w:t>
      </w:r>
      <w:r>
        <w:rPr>
          <w:rFonts w:ascii="Calibri" w:hAnsi="Calibri" w:hint="default"/>
          <w:sz w:val="24"/>
          <w:szCs w:val="24"/>
          <w:rtl w:val="1"/>
        </w:rPr>
        <w:t>‘</w:t>
      </w:r>
      <w:r>
        <w:rPr>
          <w:rFonts w:ascii="Calibri" w:hAnsi="Calibri"/>
          <w:sz w:val="24"/>
          <w:szCs w:val="24"/>
          <w:rtl w:val="0"/>
          <w:lang w:val="en-US"/>
        </w:rPr>
        <w:t>wrong</w:t>
      </w:r>
      <w:r>
        <w:rPr>
          <w:rFonts w:ascii="Calibri" w:hAnsi="Calibri" w:hint="default"/>
          <w:sz w:val="24"/>
          <w:szCs w:val="24"/>
          <w:rtl w:val="1"/>
        </w:rPr>
        <w:t xml:space="preserve">’ </w:t>
      </w:r>
      <w:r>
        <w:rPr>
          <w:rFonts w:ascii="Calibri" w:hAnsi="Calibri"/>
          <w:sz w:val="24"/>
          <w:szCs w:val="24"/>
          <w:rtl w:val="0"/>
          <w:lang w:val="en-US"/>
        </w:rPr>
        <w:t>ways of making decisions in the workplace, but offer different perspectives on work dilemmas</w:t>
      </w:r>
      <w:r>
        <w:rPr>
          <w:rFonts w:ascii="Calibri" w:hAnsi="Calibri"/>
          <w:sz w:val="24"/>
          <w:szCs w:val="24"/>
          <w:rtl w:val="0"/>
          <w:lang w:val="en-US"/>
        </w:rPr>
        <w:t xml:space="preserve"> </w:t>
      </w:r>
      <w:r>
        <w:rPr>
          <w:rFonts w:ascii="Calibri" w:hAnsi="Calibri"/>
          <w:sz w:val="24"/>
          <w:szCs w:val="24"/>
          <w:rtl w:val="0"/>
        </w:rPr>
        <w:t>(Clark, 2015)</w:t>
      </w:r>
      <w:r>
        <w:rPr>
          <w:rFonts w:ascii="Calibri" w:hAnsi="Calibri"/>
          <w:sz w:val="24"/>
          <w:szCs w:val="24"/>
          <w:rtl w:val="0"/>
          <w:lang w:val="en-US"/>
        </w:rPr>
        <w:t xml:space="preserve">. </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A strong ethical culture can provide significant benefits for both employees and organisations.</w:t>
      </w:r>
      <w:r>
        <w:rPr>
          <w:rFonts w:ascii="Calibri" w:hAnsi="Calibri"/>
          <w:rtl w:val="0"/>
          <w:lang w:val="en-US"/>
        </w:rPr>
        <w:t xml:space="preserve"> </w:t>
      </w:r>
      <w:r>
        <w:rPr>
          <w:rFonts w:ascii="Calibri" w:hAnsi="Calibri"/>
          <w:rtl w:val="0"/>
          <w:lang w:val="en-US"/>
        </w:rPr>
        <w:t>Ethical cultures support employee wellbeing by promoting dignity, respect, equality, and inclusion in the workplace.</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One ethical perspective is Utilitarianism, which holds that the right thing is doing what benefits the greatest number.  It dictates that the most moral action is the one that maximises overall happiness and well-being for the greatest number of people. In practice, this could mean restructuring or redundancies within an organisation.  This could be ethically acceptable, as it protects the organisation in the long term by reducing team or department sizes, saving money and allowing the organisation to keep running.  Another ethical perspective is Deontology.  This follows rules, policies, and practices. It doesn</w:t>
      </w:r>
      <w:r>
        <w:rPr>
          <w:rFonts w:ascii="Calibri" w:hAnsi="Calibri" w:hint="default"/>
          <w:rtl w:val="1"/>
        </w:rPr>
        <w:t>’</w:t>
      </w:r>
      <w:r>
        <w:rPr>
          <w:rFonts w:ascii="Calibri" w:hAnsi="Calibri"/>
          <w:rtl w:val="0"/>
          <w:lang w:val="en-US"/>
        </w:rPr>
        <w:t xml:space="preserve">t take into account individual circumstances but rather looks at what is </w:t>
      </w:r>
      <w:r>
        <w:rPr>
          <w:rFonts w:ascii="Calibri" w:hAnsi="Calibri" w:hint="default"/>
          <w:rtl w:val="1"/>
        </w:rPr>
        <w:t>‘</w:t>
      </w:r>
      <w:r>
        <w:rPr>
          <w:rFonts w:ascii="Calibri" w:hAnsi="Calibri"/>
          <w:rtl w:val="0"/>
          <w:lang w:val="en-US"/>
        </w:rPr>
        <w:t>right</w:t>
      </w:r>
      <w:r>
        <w:rPr>
          <w:rFonts w:ascii="Calibri" w:hAnsi="Calibri" w:hint="default"/>
          <w:rtl w:val="1"/>
        </w:rPr>
        <w:t xml:space="preserve">’ </w:t>
      </w:r>
      <w:r>
        <w:rPr>
          <w:rFonts w:ascii="Calibri" w:hAnsi="Calibri"/>
          <w:rtl w:val="0"/>
        </w:rPr>
        <w:t xml:space="preserve">or </w:t>
      </w:r>
      <w:r>
        <w:rPr>
          <w:rFonts w:ascii="Calibri" w:hAnsi="Calibri" w:hint="default"/>
          <w:rtl w:val="1"/>
        </w:rPr>
        <w:t>‘</w:t>
      </w:r>
      <w:r>
        <w:rPr>
          <w:rFonts w:ascii="Calibri" w:hAnsi="Calibri"/>
          <w:rtl w:val="0"/>
          <w:lang w:val="en-US"/>
        </w:rPr>
        <w:t>wrong</w:t>
      </w:r>
      <w:r>
        <w:rPr>
          <w:rFonts w:ascii="Calibri" w:hAnsi="Calibri" w:hint="default"/>
          <w:rtl w:val="1"/>
        </w:rPr>
        <w:t>’</w:t>
      </w:r>
      <w:r>
        <w:rPr>
          <w:rFonts w:ascii="Calibri" w:hAnsi="Calibri"/>
          <w:rtl w:val="0"/>
          <w:lang w:val="en-US"/>
        </w:rPr>
        <w:t xml:space="preserve">.  A people professional may use this when enforcing disciplinary procedures. </w:t>
      </w:r>
      <w:r>
        <w:rPr>
          <w:rFonts w:ascii="Calibri" w:hAnsi="Calibri"/>
          <w:rtl w:val="0"/>
          <w:lang w:val="en-US"/>
        </w:rPr>
        <w:t xml:space="preserve"> </w:t>
      </w:r>
      <w:r>
        <w:rPr>
          <w:rFonts w:ascii="Calibri" w:hAnsi="Calibri"/>
          <w:rtl w:val="0"/>
          <w:lang w:val="en-US"/>
        </w:rPr>
        <w:t xml:space="preserve">To have a positive workplace, managers and leaders should encourage open communication within the workforce; this will help make employees feel valued and motivated.  </w:t>
      </w:r>
      <w:r>
        <w:rPr>
          <w:rFonts w:ascii="Calibri" w:hAnsi="Calibri"/>
          <w:rtl w:val="0"/>
          <w:lang w:val="en-US"/>
        </w:rPr>
        <w:t>Organisational</w:t>
      </w:r>
      <w:r>
        <w:rPr>
          <w:rFonts w:ascii="Calibri" w:hAnsi="Calibri"/>
          <w:rtl w:val="0"/>
          <w:lang w:val="en-US"/>
        </w:rPr>
        <w:t xml:space="preserve"> culture reflects leadership ethics and impacts staff turnover and the external reputation. </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Overall, ethical culture is embedded through organisational values, leadership behaviour, and people management practices. By applying ethical frameworks such as utilitarianism, deontology, and virtue ethics, people professionals can make balanced decisions that support employees, organisational objectives, and wider stakeholder interests.</w:t>
      </w:r>
      <w:r>
        <w:rPr>
          <w:rFonts w:ascii="Calibri" w:hAnsi="Calibri"/>
          <w:rtl w:val="0"/>
          <w:lang w:val="en-US"/>
        </w:rPr>
        <w:t xml:space="preserve">  </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 3.1 Ways to measure financial and non financial performance</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Financial indicators provide a quantitative assessment of performance, while non-financial information provides context and insights.  </w:t>
      </w:r>
      <w:r>
        <w:rPr>
          <w:rFonts w:ascii="Calibri" w:hAnsi="Calibri"/>
          <w:sz w:val="24"/>
          <w:szCs w:val="24"/>
          <w:rtl w:val="0"/>
          <w:lang w:val="en-US"/>
        </w:rPr>
        <w:t>Organisations</w:t>
      </w:r>
      <w:r>
        <w:rPr>
          <w:rFonts w:ascii="Calibri" w:hAnsi="Calibri"/>
          <w:sz w:val="24"/>
          <w:szCs w:val="24"/>
          <w:rtl w:val="0"/>
          <w:lang w:val="en-US"/>
        </w:rPr>
        <w:t xml:space="preserve"> should </w:t>
      </w:r>
      <w:r>
        <w:rPr>
          <w:rFonts w:ascii="Calibri" w:hAnsi="Calibri"/>
          <w:sz w:val="24"/>
          <w:szCs w:val="24"/>
          <w:rtl w:val="0"/>
          <w:lang w:val="en-US"/>
        </w:rPr>
        <w:t>analyse</w:t>
      </w:r>
      <w:r>
        <w:rPr>
          <w:rFonts w:ascii="Calibri" w:hAnsi="Calibri"/>
          <w:sz w:val="24"/>
          <w:szCs w:val="24"/>
          <w:rtl w:val="0"/>
          <w:lang w:val="en-US"/>
        </w:rPr>
        <w:t xml:space="preserve"> both to gain a more holistic understanding of their strengths and weaknesses (StudyPulse, 2025).  Financial performance can be measured in many ways, one of them being through a Balance sheet.  Th</w:t>
      </w:r>
      <w:r>
        <w:rPr>
          <w:rFonts w:ascii="Calibri" w:hAnsi="Calibri"/>
          <w:sz w:val="24"/>
          <w:szCs w:val="24"/>
          <w:rtl w:val="0"/>
          <w:lang w:val="en-US"/>
        </w:rPr>
        <w:t>is</w:t>
      </w:r>
      <w:r>
        <w:rPr>
          <w:rFonts w:ascii="Calibri" w:hAnsi="Calibri"/>
          <w:sz w:val="24"/>
          <w:szCs w:val="24"/>
          <w:rtl w:val="0"/>
          <w:lang w:val="en-US"/>
        </w:rPr>
        <w:t xml:space="preserve"> provides a snapshot into the </w:t>
      </w:r>
      <w:r>
        <w:rPr>
          <w:rFonts w:ascii="Calibri" w:hAnsi="Calibri"/>
          <w:sz w:val="24"/>
          <w:szCs w:val="24"/>
          <w:rtl w:val="0"/>
          <w:lang w:val="en-US"/>
        </w:rPr>
        <w:t>organisations</w:t>
      </w:r>
      <w:r>
        <w:rPr>
          <w:rFonts w:ascii="Calibri" w:hAnsi="Calibri"/>
          <w:sz w:val="24"/>
          <w:szCs w:val="24"/>
          <w:rtl w:val="0"/>
          <w:lang w:val="en-US"/>
        </w:rPr>
        <w:t xml:space="preserve"> financial position at a specific period in time.  A balance sheet will contain assets, liabilities, and shareholders' equity.  The balance sheet rule states that assets must always equal the sum of liabilities and shareholders' equity.  When viewed internally (within the </w:t>
      </w:r>
      <w:r>
        <w:rPr>
          <w:rFonts w:ascii="Calibri" w:hAnsi="Calibri"/>
          <w:sz w:val="24"/>
          <w:szCs w:val="24"/>
          <w:rtl w:val="0"/>
          <w:lang w:val="en-US"/>
        </w:rPr>
        <w:t>organisation</w:t>
      </w:r>
      <w:r>
        <w:rPr>
          <w:rFonts w:ascii="Calibri" w:hAnsi="Calibri"/>
          <w:sz w:val="24"/>
          <w:szCs w:val="24"/>
          <w:rtl w:val="0"/>
          <w:lang w:val="en-US"/>
        </w:rPr>
        <w:t xml:space="preserve">), it gives the business leaders an insight into whether the </w:t>
      </w:r>
      <w:r>
        <w:rPr>
          <w:rFonts w:ascii="Calibri" w:hAnsi="Calibri"/>
          <w:sz w:val="24"/>
          <w:szCs w:val="24"/>
          <w:rtl w:val="0"/>
          <w:lang w:val="en-US"/>
        </w:rPr>
        <w:t>organisation</w:t>
      </w:r>
      <w:r>
        <w:rPr>
          <w:rFonts w:ascii="Calibri" w:hAnsi="Calibri"/>
          <w:sz w:val="24"/>
          <w:szCs w:val="24"/>
          <w:rtl w:val="0"/>
          <w:lang w:val="en-US"/>
        </w:rPr>
        <w:t xml:space="preserve"> is failing or succeeding.  When viewed externally, it gives interested parties insight into how the </w:t>
      </w:r>
      <w:r>
        <w:rPr>
          <w:rFonts w:ascii="Calibri" w:hAnsi="Calibri"/>
          <w:sz w:val="24"/>
          <w:szCs w:val="24"/>
          <w:rtl w:val="0"/>
          <w:lang w:val="en-US"/>
        </w:rPr>
        <w:t>organisation</w:t>
      </w:r>
      <w:r>
        <w:rPr>
          <w:rFonts w:ascii="Calibri" w:hAnsi="Calibri"/>
          <w:sz w:val="24"/>
          <w:szCs w:val="24"/>
          <w:rtl w:val="0"/>
          <w:lang w:val="en-US"/>
        </w:rPr>
        <w:t xml:space="preserve"> was financed and what resources are available.  This type of performance indicator can be useful as it provides clear, measurable (quantitative) data that can be compared over time or against competitors.  But it only yields short-term results and doesn</w:t>
      </w:r>
      <w:r>
        <w:rPr>
          <w:rFonts w:ascii="Calibri" w:hAnsi="Calibri" w:hint="default"/>
          <w:sz w:val="24"/>
          <w:szCs w:val="24"/>
          <w:rtl w:val="1"/>
        </w:rPr>
        <w:t>’</w:t>
      </w:r>
      <w:r>
        <w:rPr>
          <w:rFonts w:ascii="Calibri" w:hAnsi="Calibri"/>
          <w:sz w:val="24"/>
          <w:szCs w:val="24"/>
          <w:rtl w:val="0"/>
          <w:lang w:val="en-US"/>
        </w:rPr>
        <w:t xml:space="preserve">t address broader </w:t>
      </w:r>
      <w:r>
        <w:rPr>
          <w:rFonts w:ascii="Calibri" w:hAnsi="Calibri"/>
          <w:sz w:val="24"/>
          <w:szCs w:val="24"/>
          <w:rtl w:val="0"/>
          <w:lang w:val="en-US"/>
        </w:rPr>
        <w:t>organisational</w:t>
      </w:r>
      <w:r>
        <w:rPr>
          <w:rFonts w:ascii="Calibri" w:hAnsi="Calibri"/>
          <w:sz w:val="24"/>
          <w:szCs w:val="24"/>
          <w:rtl w:val="0"/>
          <w:lang w:val="en-US"/>
        </w:rPr>
        <w:t xml:space="preserve"> issues, such as employee well-being or customer satisfaction.  Focusing solely on financial performance information could also encourage unethical </w:t>
      </w:r>
      <w:r>
        <w:rPr>
          <w:rFonts w:ascii="Calibri" w:hAnsi="Calibri"/>
          <w:sz w:val="24"/>
          <w:szCs w:val="24"/>
          <w:rtl w:val="0"/>
          <w:lang w:val="en-US"/>
        </w:rPr>
        <w:t>behaviour</w:t>
      </w:r>
      <w:r>
        <w:rPr>
          <w:rFonts w:ascii="Calibri" w:hAnsi="Calibri"/>
          <w:sz w:val="24"/>
          <w:szCs w:val="24"/>
          <w:rtl w:val="0"/>
          <w:lang w:val="en-US"/>
        </w:rPr>
        <w:t xml:space="preserve"> among managers or leaders.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Non-financial performance can be measured through employee satisfaction surveys.  This type of survey is commonly used and provides information on factors that influence long-term success. Non-financial performance supports ethical management practices by encouraging organisations to prioritise employee well-being and development rather than profit alone.  This type of performance cannot always be quantified, and results could be influenced by colleagues' perceptions; it will also take longer to see results.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There is a way to assess both financial and non-financial performance.  The Balanced Scorecard was developed by Robert Kaplan and David Norton to help </w:t>
      </w:r>
      <w:r>
        <w:rPr>
          <w:rFonts w:ascii="Calibri" w:hAnsi="Calibri"/>
          <w:sz w:val="24"/>
          <w:szCs w:val="24"/>
          <w:rtl w:val="0"/>
          <w:lang w:val="en-US"/>
        </w:rPr>
        <w:t>organisations</w:t>
      </w:r>
      <w:r>
        <w:rPr>
          <w:rFonts w:ascii="Calibri" w:hAnsi="Calibri"/>
          <w:sz w:val="24"/>
          <w:szCs w:val="24"/>
          <w:rtl w:val="0"/>
          <w:lang w:val="en-US"/>
        </w:rPr>
        <w:t xml:space="preserve"> measure and manage performance.  They do this by measuring 4 perspectives: customers, financial, internal business processes, and learning and growth.  All four perspectives should be linked, consistent, and mutually reinforcing (Stobierski, 2020)</w:t>
      </w:r>
      <w:r>
        <w:rPr>
          <w:rFonts w:ascii="Calibri" w:hAnsi="Calibri"/>
          <w:sz w:val="24"/>
          <w:szCs w:val="24"/>
          <w:rtl w:val="0"/>
          <w:lang w:val="en-US"/>
        </w:rPr>
        <w:t xml:space="preserve">.  </w:t>
      </w: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AC3.2 - Measuring the impact and value of people practices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The primary objective of the people management function in an organisation is to add value to the organisation, plus its stakeholders, including shareholders, employees, and the surrounding community (Taylor and Woodhams, 2022c, p.135)</w:t>
      </w:r>
      <w:r>
        <w:rPr>
          <w:rFonts w:ascii="Calibri" w:hAnsi="Calibri"/>
          <w:sz w:val="24"/>
          <w:szCs w:val="24"/>
          <w:rtl w:val="0"/>
          <w:lang w:val="en-US"/>
        </w:rPr>
        <w:t>.</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To be impactful, people professionals should consider investigations that will add real value and are backed by evidence</w:t>
      </w:r>
      <w:r>
        <w:rPr>
          <w:rFonts w:ascii="Calibri" w:hAnsi="Calibri"/>
          <w:sz w:val="24"/>
          <w:szCs w:val="24"/>
          <w:rtl w:val="0"/>
          <w:lang w:val="en-US"/>
        </w:rPr>
        <w:t xml:space="preserve"> </w:t>
      </w:r>
      <w:r>
        <w:rPr>
          <w:rFonts w:ascii="Calibri" w:hAnsi="Calibri"/>
          <w:sz w:val="24"/>
          <w:szCs w:val="24"/>
          <w:rtl w:val="0"/>
        </w:rPr>
        <w:t>(CIPD, 2025e)</w:t>
      </w:r>
      <w:r>
        <w:rPr>
          <w:rFonts w:ascii="Calibri" w:hAnsi="Calibri"/>
          <w:sz w:val="24"/>
          <w:szCs w:val="24"/>
          <w:rtl w:val="0"/>
          <w:lang w:val="en-US"/>
        </w:rPr>
        <w:t xml:space="preserve">. </w:t>
      </w:r>
      <w:r>
        <w:rPr>
          <w:rFonts w:ascii="Calibri" w:hAnsi="Calibri"/>
          <w:sz w:val="24"/>
          <w:szCs w:val="24"/>
          <w:rtl w:val="0"/>
          <w:lang w:val="en-US"/>
        </w:rPr>
        <w:t xml:space="preserve">To make sure these projects </w:t>
      </w:r>
      <w:r>
        <w:rPr>
          <w:rFonts w:ascii="Calibri" w:hAnsi="Calibri" w:hint="default"/>
          <w:sz w:val="24"/>
          <w:szCs w:val="24"/>
          <w:rtl w:val="1"/>
        </w:rPr>
        <w:t>‘</w:t>
      </w:r>
      <w:r>
        <w:rPr>
          <w:rFonts w:ascii="Calibri" w:hAnsi="Calibri"/>
          <w:sz w:val="24"/>
          <w:szCs w:val="24"/>
          <w:rtl w:val="0"/>
          <w:lang w:val="en-US"/>
        </w:rPr>
        <w:t>add value</w:t>
      </w:r>
      <w:r>
        <w:rPr>
          <w:rFonts w:ascii="Calibri" w:hAnsi="Calibri" w:hint="default"/>
          <w:sz w:val="24"/>
          <w:szCs w:val="24"/>
          <w:rtl w:val="1"/>
        </w:rPr>
        <w:t>’</w:t>
      </w:r>
      <w:r>
        <w:rPr>
          <w:rFonts w:ascii="Calibri" w:hAnsi="Calibri"/>
          <w:sz w:val="24"/>
          <w:szCs w:val="24"/>
          <w:rtl w:val="0"/>
          <w:lang w:val="en-US"/>
        </w:rPr>
        <w:t xml:space="preserve">, CIPD has determined what is meant by </w:t>
      </w:r>
      <w:r>
        <w:rPr>
          <w:rFonts w:ascii="Calibri" w:hAnsi="Calibri" w:hint="default"/>
          <w:sz w:val="24"/>
          <w:szCs w:val="24"/>
          <w:rtl w:val="1"/>
        </w:rPr>
        <w:t>‘</w:t>
      </w:r>
      <w:r>
        <w:rPr>
          <w:rFonts w:ascii="Calibri" w:hAnsi="Calibri"/>
          <w:sz w:val="24"/>
          <w:szCs w:val="24"/>
          <w:rtl w:val="0"/>
          <w:lang w:val="en-US"/>
        </w:rPr>
        <w:t>Value-add</w:t>
      </w:r>
      <w:r>
        <w:rPr>
          <w:rFonts w:ascii="Calibri" w:hAnsi="Calibri" w:hint="default"/>
          <w:sz w:val="24"/>
          <w:szCs w:val="24"/>
          <w:rtl w:val="1"/>
        </w:rPr>
        <w:t>’</w:t>
      </w:r>
      <w:r>
        <w:rPr>
          <w:rFonts w:ascii="Calibri" w:hAnsi="Calibri"/>
          <w:sz w:val="24"/>
          <w:szCs w:val="24"/>
          <w:rtl w:val="0"/>
          <w:lang w:val="en-US"/>
        </w:rPr>
        <w:t>, ' Insightful ' (telling your audience something they don</w:t>
      </w:r>
      <w:r>
        <w:rPr>
          <w:rFonts w:ascii="Calibri" w:hAnsi="Calibri" w:hint="default"/>
          <w:sz w:val="24"/>
          <w:szCs w:val="24"/>
          <w:rtl w:val="1"/>
        </w:rPr>
        <w:t>’</w:t>
      </w:r>
      <w:r>
        <w:rPr>
          <w:rFonts w:ascii="Calibri" w:hAnsi="Calibri"/>
          <w:sz w:val="24"/>
          <w:szCs w:val="24"/>
          <w:rtl w:val="0"/>
          <w:lang w:val="en-US"/>
        </w:rPr>
        <w:t>t know), ' Relevant ' (about something that matters) and 'Actionable' (which will realistically trigger a meaningful conversation).</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The impact and value of people practice can be measured using a variety of methods. Quantitative measures provide numerical data that can be tracked over time, such as employee turnover rates, absence levels, </w:t>
      </w:r>
      <w:r>
        <w:rPr>
          <w:rFonts w:ascii="Calibri" w:hAnsi="Calibri"/>
          <w:sz w:val="24"/>
          <w:szCs w:val="24"/>
          <w:rtl w:val="0"/>
          <w:lang w:val="en-US"/>
        </w:rPr>
        <w:t>onboarding times</w:t>
      </w:r>
      <w:r>
        <w:rPr>
          <w:rFonts w:ascii="Calibri" w:hAnsi="Calibri"/>
          <w:sz w:val="24"/>
          <w:szCs w:val="24"/>
          <w:rtl w:val="0"/>
          <w:lang w:val="en-US"/>
        </w:rPr>
        <w:t>, retention rates, productivity figures, and training completion rates. These metrics help organisations assess whether people management initiatives are achieving their planned outcomes. Qualitative methods provide insight into employee experiences and perceptions through employee surveys, focus groups, interviews, performance reviews, and exit interviews. Organisations may also use benchmarking to compare their people metrics against industry standards and key performance indicators (KPIs) to measure progress against specific objectives. In addition, return on investment (ROI) calculations can be used to evaluate the financial benefits of people initiatives, such as training programmes or wellbeing interventions, by comparing the costs incurred with the benefits achieved. Using a combination of these methods enables people professionals to gain an in-depth understanding of the effectiveness of people practices and make evidence-based recommendations for improvement.</w:t>
      </w:r>
      <w:r>
        <w:rPr>
          <w:rFonts w:ascii="Calibri" w:hAnsi="Calibri"/>
          <w:sz w:val="24"/>
          <w:szCs w:val="24"/>
          <w:rtl w:val="0"/>
          <w:lang w:val="en-US"/>
        </w:rPr>
        <w:t xml:space="preserve">  </w:t>
      </w:r>
    </w:p>
    <w:p>
      <w:pPr>
        <w:pStyle w:val="Body"/>
        <w:jc w:val="left"/>
        <w:rPr>
          <w:rFonts w:ascii="Calibri" w:cs="Calibri" w:hAnsi="Calibri" w:eastAsia="Calibri"/>
          <w:sz w:val="24"/>
          <w:szCs w:val="24"/>
        </w:rPr>
      </w:pPr>
    </w:p>
    <w:p>
      <w:pPr>
        <w:pStyle w:val="Body"/>
        <w:jc w:val="left"/>
        <w:rPr>
          <w:rFonts w:ascii="Calibri" w:cs="Calibri" w:hAnsi="Calibri" w:eastAsia="Calibri"/>
          <w:b w:val="1"/>
          <w:bCs w:val="1"/>
          <w:sz w:val="28"/>
          <w:szCs w:val="28"/>
        </w:rPr>
      </w:pPr>
    </w:p>
    <w:p>
      <w:pPr>
        <w:pStyle w:val="Body"/>
        <w:jc w:val="left"/>
        <w:rPr>
          <w:rFonts w:ascii="Calibri" w:cs="Calibri" w:hAnsi="Calibri" w:eastAsia="Calibri"/>
          <w:b w:val="1"/>
          <w:bCs w:val="1"/>
          <w:sz w:val="28"/>
          <w:szCs w:val="28"/>
        </w:rPr>
      </w:pPr>
    </w:p>
    <w:p>
      <w:pPr>
        <w:pStyle w:val="Body"/>
        <w:jc w:val="left"/>
        <w:rPr>
          <w:rFonts w:ascii="Calibri" w:cs="Calibri" w:hAnsi="Calibri" w:eastAsia="Calibri"/>
          <w:b w:val="1"/>
          <w:bCs w:val="1"/>
          <w:sz w:val="28"/>
          <w:szCs w:val="28"/>
        </w:rPr>
      </w:pPr>
    </w:p>
    <w:p>
      <w:pPr>
        <w:pStyle w:val="Body"/>
        <w:jc w:val="left"/>
        <w:rPr>
          <w:rFonts w:ascii="Calibri" w:cs="Calibri" w:hAnsi="Calibri" w:eastAsia="Calibri"/>
          <w:b w:val="1"/>
          <w:bCs w:val="1"/>
          <w:sz w:val="28"/>
          <w:szCs w:val="28"/>
        </w:rPr>
      </w:pPr>
    </w:p>
    <w:p>
      <w:pPr>
        <w:pStyle w:val="Body"/>
        <w:jc w:val="left"/>
        <w:rPr>
          <w:rFonts w:ascii="Calibri" w:cs="Calibri" w:hAnsi="Calibri" w:eastAsia="Calibri"/>
          <w:b w:val="1"/>
          <w:bCs w:val="1"/>
          <w:sz w:val="28"/>
          <w:szCs w:val="28"/>
        </w:rPr>
      </w:pPr>
      <w:r>
        <w:rPr>
          <w:rFonts w:ascii="Calibri" w:hAnsi="Calibri"/>
          <w:b w:val="1"/>
          <w:bCs w:val="1"/>
          <w:sz w:val="28"/>
          <w:szCs w:val="28"/>
          <w:rtl w:val="0"/>
          <w:lang w:val="en-US"/>
        </w:rPr>
        <w:t xml:space="preserve">Part 2 - </w:t>
      </w:r>
      <w:r>
        <w:rPr>
          <w:rFonts w:ascii="Calibri" w:hAnsi="Calibri"/>
          <w:b w:val="1"/>
          <w:bCs w:val="1"/>
          <w:sz w:val="28"/>
          <w:szCs w:val="28"/>
          <w:rtl w:val="0"/>
          <w:lang w:val="it-IT"/>
        </w:rPr>
        <w:t>Quantitative</w:t>
      </w:r>
      <w:r>
        <w:rPr>
          <w:rFonts w:ascii="Calibri" w:hAnsi="Calibri"/>
          <w:b w:val="1"/>
          <w:bCs w:val="1"/>
          <w:sz w:val="28"/>
          <w:szCs w:val="28"/>
          <w:rtl w:val="0"/>
          <w:lang w:val="en-US"/>
        </w:rPr>
        <w:t xml:space="preserve"> and Qualitative Analysis</w:t>
      </w:r>
    </w:p>
    <w:p>
      <w:pPr>
        <w:pStyle w:val="Body"/>
        <w:jc w:val="left"/>
        <w:rPr>
          <w:rFonts w:ascii="Calibri" w:cs="Calibri" w:hAnsi="Calibri" w:eastAsia="Calibri"/>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 2.1, 2.2</w:t>
      </w:r>
    </w:p>
    <w:p>
      <w:pPr>
        <w:pStyle w:val="Body"/>
        <w:jc w:val="left"/>
        <w:rPr>
          <w:rFonts w:ascii="Calibri" w:cs="Calibri" w:hAnsi="Calibri" w:eastAsia="Calibri"/>
          <w:i w:val="1"/>
          <w:iCs w:val="1"/>
          <w:sz w:val="24"/>
          <w:szCs w:val="24"/>
        </w:rPr>
      </w:pPr>
      <w:r>
        <w:rPr>
          <w:rFonts w:ascii="Calibri" w:hAnsi="Calibri"/>
          <w:i w:val="1"/>
          <w:iCs w:val="1"/>
          <w:sz w:val="24"/>
          <w:szCs w:val="24"/>
          <w:rtl w:val="0"/>
          <w:lang w:val="en-US"/>
        </w:rPr>
        <w:t>Satisfaction Ratings from managers of the People Practice Function. Sample size = 428 managers.</w:t>
      </w:r>
    </w:p>
    <w:tbl>
      <w:tblPr>
        <w:tblW w:w="9638" w:type="dxa"/>
        <w:jc w:val="left"/>
        <w:tblInd w:w="108" w:type="dxa"/>
        <w:tblBorders>
          <w:top w:val="single" w:color="929292" w:sz="2" w:space="0" w:shadow="0" w:frame="0"/>
          <w:left w:val="single" w:color="929292" w:sz="2" w:space="0" w:shadow="0" w:frame="0"/>
          <w:bottom w:val="single" w:color="929292" w:sz="2" w:space="0" w:shadow="0" w:frame="0"/>
          <w:right w:val="single" w:color="929292" w:sz="2" w:space="0" w:shadow="0" w:frame="0"/>
          <w:insideH w:val="single" w:color="929292" w:sz="6" w:space="0" w:shadow="0" w:frame="0"/>
          <w:insideV w:val="single" w:color="929292" w:sz="6" w:space="0" w:shadow="0" w:frame="0"/>
        </w:tblBorders>
        <w:shd w:val="clear" w:color="auto" w:fill="auto"/>
        <w:tblLayout w:type="fixed"/>
      </w:tblPr>
      <w:tblGrid>
        <w:gridCol w:w="1640"/>
        <w:gridCol w:w="1283"/>
        <w:gridCol w:w="1497"/>
        <w:gridCol w:w="1243"/>
        <w:gridCol w:w="1301"/>
        <w:gridCol w:w="1299"/>
        <w:gridCol w:w="1375"/>
      </w:tblGrid>
      <w:tr>
        <w:tblPrEx>
          <w:shd w:val="clear" w:color="auto" w:fill="auto"/>
        </w:tblPrEx>
        <w:trPr>
          <w:trHeight w:val="481" w:hRule="atLeast"/>
        </w:trPr>
        <w:tc>
          <w:tcPr>
            <w:tcW w:type="dxa" w:w="1640"/>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tc>
        <w:tc>
          <w:tcPr>
            <w:tcW w:type="dxa" w:w="128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40"/>
              <w:left w:type="dxa" w:w="40"/>
              <w:bottom w:type="dxa" w:w="40"/>
              <w:right w:type="dxa" w:w="40"/>
            </w:tcMar>
            <w:vAlign w:val="center"/>
          </w:tcPr>
          <w:p>
            <w:pPr>
              <w:pStyle w:val="Table Style 2"/>
              <w:jc w:val="center"/>
            </w:pPr>
            <w:r>
              <w:rPr>
                <w:rFonts w:ascii="Calibri" w:hAnsi="Calibri"/>
                <w:b w:val="1"/>
                <w:bCs w:val="1"/>
                <w:sz w:val="22"/>
                <w:szCs w:val="22"/>
                <w:rtl w:val="0"/>
              </w:rPr>
              <w:t>Regular User %</w:t>
            </w:r>
          </w:p>
        </w:tc>
        <w:tc>
          <w:tcPr>
            <w:tcW w:type="dxa" w:w="149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40"/>
              <w:left w:type="dxa" w:w="40"/>
              <w:bottom w:type="dxa" w:w="40"/>
              <w:right w:type="dxa" w:w="40"/>
            </w:tcMar>
            <w:vAlign w:val="center"/>
          </w:tcPr>
          <w:p>
            <w:pPr>
              <w:pStyle w:val="Table Style 2"/>
              <w:jc w:val="center"/>
            </w:pPr>
            <w:r>
              <w:rPr>
                <w:rFonts w:ascii="Calibri" w:hAnsi="Calibri"/>
                <w:b w:val="1"/>
                <w:bCs w:val="1"/>
                <w:sz w:val="22"/>
                <w:szCs w:val="22"/>
                <w:rtl w:val="0"/>
              </w:rPr>
              <w:t>Infrequent User %</w:t>
            </w:r>
          </w:p>
        </w:tc>
        <w:tc>
          <w:tcPr>
            <w:tcW w:type="dxa" w:w="1242"/>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40"/>
              <w:left w:type="dxa" w:w="40"/>
              <w:bottom w:type="dxa" w:w="40"/>
              <w:right w:type="dxa" w:w="40"/>
            </w:tcMar>
            <w:vAlign w:val="center"/>
          </w:tcPr>
          <w:p>
            <w:pPr>
              <w:pStyle w:val="Table Style 2"/>
              <w:jc w:val="center"/>
            </w:pPr>
            <w:r>
              <w:rPr>
                <w:rFonts w:ascii="Calibri" w:hAnsi="Calibri"/>
                <w:b w:val="1"/>
                <w:bCs w:val="1"/>
                <w:sz w:val="22"/>
                <w:szCs w:val="22"/>
                <w:rtl w:val="0"/>
              </w:rPr>
              <w:t>Effective %</w:t>
            </w:r>
          </w:p>
        </w:tc>
        <w:tc>
          <w:tcPr>
            <w:tcW w:type="dxa" w:w="1301"/>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40"/>
              <w:left w:type="dxa" w:w="40"/>
              <w:bottom w:type="dxa" w:w="40"/>
              <w:right w:type="dxa" w:w="40"/>
            </w:tcMar>
            <w:vAlign w:val="center"/>
          </w:tcPr>
          <w:p>
            <w:pPr>
              <w:pStyle w:val="Table Style 2"/>
              <w:jc w:val="center"/>
            </w:pPr>
            <w:r>
              <w:rPr>
                <w:rFonts w:ascii="Calibri" w:hAnsi="Calibri"/>
                <w:b w:val="1"/>
                <w:bCs w:val="1"/>
                <w:sz w:val="22"/>
                <w:szCs w:val="22"/>
                <w:rtl w:val="0"/>
              </w:rPr>
              <w:t>Non Effective %</w:t>
            </w:r>
          </w:p>
        </w:tc>
        <w:tc>
          <w:tcPr>
            <w:tcW w:type="dxa" w:w="1298"/>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40"/>
              <w:left w:type="dxa" w:w="40"/>
              <w:bottom w:type="dxa" w:w="40"/>
              <w:right w:type="dxa" w:w="40"/>
            </w:tcMar>
            <w:vAlign w:val="center"/>
          </w:tcPr>
          <w:p>
            <w:pPr>
              <w:pStyle w:val="Table Style 2"/>
              <w:jc w:val="center"/>
            </w:pPr>
            <w:r>
              <w:rPr>
                <w:rFonts w:ascii="Calibri" w:hAnsi="Calibri"/>
                <w:b w:val="1"/>
                <w:bCs w:val="1"/>
                <w:sz w:val="22"/>
                <w:szCs w:val="22"/>
                <w:rtl w:val="0"/>
              </w:rPr>
              <w:t>High Value %</w:t>
            </w:r>
          </w:p>
        </w:tc>
        <w:tc>
          <w:tcPr>
            <w:tcW w:type="dxa" w:w="137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40"/>
              <w:left w:type="dxa" w:w="40"/>
              <w:bottom w:type="dxa" w:w="40"/>
              <w:right w:type="dxa" w:w="40"/>
            </w:tcMar>
            <w:vAlign w:val="center"/>
          </w:tcPr>
          <w:p>
            <w:pPr>
              <w:pStyle w:val="Table Style 2"/>
              <w:jc w:val="center"/>
            </w:pPr>
            <w:r>
              <w:rPr>
                <w:rFonts w:ascii="Calibri" w:hAnsi="Calibri"/>
                <w:b w:val="1"/>
                <w:bCs w:val="1"/>
                <w:sz w:val="22"/>
                <w:szCs w:val="22"/>
                <w:rtl w:val="0"/>
              </w:rPr>
              <w:t>Little Value %</w:t>
            </w:r>
          </w:p>
        </w:tc>
      </w:tr>
      <w:tr>
        <w:tblPrEx>
          <w:shd w:val="clear" w:color="auto" w:fill="auto"/>
        </w:tblPrEx>
        <w:trPr>
          <w:trHeight w:val="476"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pPr>
            <w:r>
              <w:rPr>
                <w:rFonts w:ascii="Calibri" w:hAnsi="Calibri"/>
                <w:sz w:val="22"/>
                <w:szCs w:val="22"/>
                <w:rtl w:val="0"/>
              </w:rPr>
              <w:t xml:space="preserve">HR Policy Guidance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72%</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28%</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44%</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56%</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29%</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71%</w:t>
            </w:r>
          </w:p>
        </w:tc>
      </w:tr>
      <w:tr>
        <w:tblPrEx>
          <w:shd w:val="clear" w:color="auto" w:fill="auto"/>
        </w:tblPrEx>
        <w:trPr>
          <w:trHeight w:val="274"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pPr>
            <w:r>
              <w:rPr>
                <w:rFonts w:ascii="Calibri" w:hAnsi="Calibri"/>
                <w:sz w:val="22"/>
                <w:szCs w:val="22"/>
                <w:rtl w:val="0"/>
              </w:rPr>
              <w:t xml:space="preserve">Resourcing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18%</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82%</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88%</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12%</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94%</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6%</w:t>
            </w:r>
          </w:p>
        </w:tc>
      </w:tr>
      <w:tr>
        <w:tblPrEx>
          <w:shd w:val="clear" w:color="auto" w:fill="auto"/>
        </w:tblPrEx>
        <w:trPr>
          <w:trHeight w:val="274"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pPr>
            <w:r>
              <w:rPr>
                <w:rFonts w:ascii="Calibri" w:hAnsi="Calibri"/>
                <w:sz w:val="22"/>
                <w:szCs w:val="22"/>
                <w:rtl w:val="0"/>
              </w:rPr>
              <w:t xml:space="preserve">Performance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66%</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34%</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47%</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54%</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42%</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58%</w:t>
            </w:r>
          </w:p>
        </w:tc>
      </w:tr>
      <w:tr>
        <w:tblPrEx>
          <w:shd w:val="clear" w:color="auto" w:fill="auto"/>
        </w:tblPrEx>
        <w:trPr>
          <w:trHeight w:val="476"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pPr>
            <w:r>
              <w:rPr>
                <w:rFonts w:ascii="Calibri" w:hAnsi="Calibri"/>
                <w:sz w:val="22"/>
                <w:szCs w:val="22"/>
                <w:rtl w:val="0"/>
              </w:rPr>
              <w:t xml:space="preserve">Employee Development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63%</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37%</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94%</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6%</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99%</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1%</w:t>
            </w:r>
          </w:p>
        </w:tc>
      </w:tr>
      <w:tr>
        <w:tblPrEx>
          <w:shd w:val="clear" w:color="auto" w:fill="auto"/>
        </w:tblPrEx>
        <w:trPr>
          <w:trHeight w:val="274"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pPr>
            <w:r>
              <w:rPr>
                <w:rFonts w:ascii="Calibri" w:hAnsi="Calibri"/>
                <w:sz w:val="22"/>
                <w:szCs w:val="22"/>
                <w:rtl w:val="0"/>
              </w:rPr>
              <w:t xml:space="preserve">ER related issues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26%</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74%</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75%</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26%</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70%</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30%</w:t>
            </w:r>
          </w:p>
        </w:tc>
      </w:tr>
      <w:tr>
        <w:tblPrEx>
          <w:shd w:val="clear" w:color="auto" w:fill="auto"/>
        </w:tblPrEx>
        <w:trPr>
          <w:trHeight w:val="274"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pPr>
            <w:r>
              <w:rPr>
                <w:rFonts w:ascii="Calibri" w:hAnsi="Calibri"/>
                <w:sz w:val="22"/>
                <w:szCs w:val="22"/>
                <w:rtl w:val="0"/>
              </w:rPr>
              <w:t>Pay and Reward</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73%</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27%</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97%</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3%</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100%</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50%</w:t>
            </w:r>
          </w:p>
        </w:tc>
      </w:tr>
      <w:tr>
        <w:tblPrEx>
          <w:shd w:val="clear" w:color="auto" w:fill="auto"/>
        </w:tblPrEx>
        <w:trPr>
          <w:trHeight w:val="476"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pPr>
            <w:r>
              <w:rPr>
                <w:rFonts w:ascii="Calibri" w:hAnsi="Calibri"/>
                <w:sz w:val="22"/>
                <w:szCs w:val="22"/>
                <w:rtl w:val="0"/>
              </w:rPr>
              <w:t xml:space="preserve">Workforce Planning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6%</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94%</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4%</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96%</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1%</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99%</w:t>
            </w:r>
          </w:p>
        </w:tc>
      </w:tr>
      <w:tr>
        <w:tblPrEx>
          <w:shd w:val="clear" w:color="auto" w:fill="auto"/>
        </w:tblPrEx>
        <w:trPr>
          <w:trHeight w:val="476"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pPr>
            <w:r>
              <w:rPr>
                <w:rFonts w:ascii="Calibri" w:hAnsi="Calibri"/>
                <w:sz w:val="22"/>
                <w:szCs w:val="22"/>
                <w:rtl w:val="0"/>
              </w:rPr>
              <w:t xml:space="preserve">General Administration </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97%</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3%</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84%</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16%</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78%</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22%</w:t>
            </w:r>
          </w:p>
        </w:tc>
      </w:tr>
      <w:tr>
        <w:tblPrEx>
          <w:shd w:val="clear" w:color="auto" w:fill="auto"/>
        </w:tblPrEx>
        <w:trPr>
          <w:trHeight w:val="274"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pPr>
            <w:r>
              <w:rPr>
                <w:rFonts w:ascii="Calibri" w:hAnsi="Calibri"/>
                <w:sz w:val="22"/>
                <w:szCs w:val="22"/>
                <w:rtl w:val="0"/>
              </w:rPr>
              <w:t>EDI</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11%</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89%</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50%</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50%</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52%</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9f8"/>
            <w:tcMar>
              <w:top w:type="dxa" w:w="40"/>
              <w:left w:type="dxa" w:w="40"/>
              <w:bottom w:type="dxa" w:w="40"/>
              <w:right w:type="dxa" w:w="40"/>
            </w:tcMar>
            <w:vAlign w:val="top"/>
          </w:tcPr>
          <w:p>
            <w:pPr>
              <w:pStyle w:val="Table Style 2"/>
              <w:jc w:val="center"/>
            </w:pPr>
            <w:r>
              <w:rPr>
                <w:rFonts w:ascii="Calibri" w:hAnsi="Calibri"/>
                <w:sz w:val="22"/>
                <w:szCs w:val="22"/>
                <w:rtl w:val="0"/>
              </w:rPr>
              <w:t>48%</w:t>
            </w:r>
          </w:p>
        </w:tc>
      </w:tr>
      <w:tr>
        <w:tblPrEx>
          <w:shd w:val="clear" w:color="auto" w:fill="auto"/>
        </w:tblPrEx>
        <w:trPr>
          <w:trHeight w:val="274" w:hRule="atLeast"/>
        </w:trPr>
        <w:tc>
          <w:tcPr>
            <w:tcW w:type="dxa" w:w="164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pPr>
            <w:r>
              <w:rPr>
                <w:rFonts w:ascii="Calibri" w:hAnsi="Calibri"/>
                <w:sz w:val="22"/>
                <w:szCs w:val="22"/>
                <w:rtl w:val="0"/>
              </w:rPr>
              <w:t>Wellbeing advice</w:t>
            </w:r>
          </w:p>
        </w:tc>
        <w:tc>
          <w:tcPr>
            <w:tcW w:type="dxa" w:w="12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63%</w:t>
            </w:r>
          </w:p>
        </w:tc>
        <w:tc>
          <w:tcPr>
            <w:tcW w:type="dxa" w:w="14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37%</w:t>
            </w:r>
          </w:p>
        </w:tc>
        <w:tc>
          <w:tcPr>
            <w:tcW w:type="dxa" w:w="124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86%</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14%</w:t>
            </w:r>
          </w:p>
        </w:tc>
        <w:tc>
          <w:tcPr>
            <w:tcW w:type="dxa" w:w="1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96%</w:t>
            </w:r>
          </w:p>
        </w:tc>
        <w:tc>
          <w:tcPr>
            <w:tcW w:type="dxa" w:w="137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40"/>
              <w:left w:type="dxa" w:w="40"/>
              <w:bottom w:type="dxa" w:w="40"/>
              <w:right w:type="dxa" w:w="40"/>
            </w:tcMar>
            <w:vAlign w:val="top"/>
          </w:tcPr>
          <w:p>
            <w:pPr>
              <w:pStyle w:val="Table Style 2"/>
              <w:jc w:val="center"/>
            </w:pPr>
            <w:r>
              <w:rPr>
                <w:rFonts w:ascii="Calibri" w:hAnsi="Calibri"/>
                <w:sz w:val="22"/>
                <w:szCs w:val="22"/>
                <w:rtl w:val="0"/>
              </w:rPr>
              <w:t>4%</w:t>
            </w:r>
          </w:p>
        </w:tc>
      </w:tr>
    </w:tbl>
    <w:p>
      <w:pPr>
        <w:pStyle w:val="Body"/>
        <w:jc w:val="left"/>
        <w:rPr>
          <w:rFonts w:ascii="Calibri" w:cs="Calibri" w:hAnsi="Calibri" w:eastAsia="Calibri"/>
          <w:i w:val="1"/>
          <w:iCs w:val="1"/>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From this data we can see that there are a number of highly effective and valuable areas of the People Practice, these are Pay and Reward (diagrammatical form 1), Employee Development, Resourcing and Wellbeing Advice (diagrammatical form 2).  There are also some areas which score lower and are in need of some improvement.  These are Workforce Planning (scoring the lowest in all questions) and HR Policy Guidance.</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To increase managers using Workforce Planning (diagrammatical form 3) I would recommend further manager surveys to be conducted to find out why this area is the lowest used.  After this it would be wise to arrange manager training to improve the overall forecasting of staffing needs and also to look at different workforce planning tools to support the managers.  Once these are in place I feel it would be improved productivity and service delivery and a reduction in recruitment delays.  The risks associated with this could be that managers are resistant to the changes and incorrect workforce planning could leave to over or under staffing.  There would be potential positive financial implications in the savings through recruitment costs, turn over and more efficient resource allocation.  On the flip side the initial investment of workforce planning software and the training needed for this could have a negative financial implication.  </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To increase usage in the HR Policy Guidance area I would suggest reviewing the HR policies and look to update or simplify them with inout from the managers and it would also be beneficial to provide training for the managers to understand why Policies are important to implement.  The benefits to this would be a most consistent approach throughout the organisation.  The risks for this would be the time and resources needed to review all the policies and deliver the necessary training to managers.  There may be costs involved which would not necessarily have been budgeted for. But there would also be the benefit of potential savings from reduced employee relations case and reduced grievances. </w:t>
      </w:r>
    </w:p>
    <w:p>
      <w:pPr>
        <w:pStyle w:val="Body"/>
        <w:jc w:val="left"/>
        <w:rPr>
          <w:rFonts w:ascii="Calibri" w:cs="Calibri" w:hAnsi="Calibri" w:eastAsia="Calibri"/>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AC 2.3 - Pulse Survey Results</w:t>
      </w:r>
    </w:p>
    <w:p>
      <w:pPr>
        <w:pStyle w:val="Body"/>
        <w:jc w:val="left"/>
        <w:rPr>
          <w:rFonts w:ascii="Calibri" w:cs="Calibri" w:hAnsi="Calibri" w:eastAsia="Calibri"/>
          <w:b w:val="1"/>
          <w:bCs w:val="1"/>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The results of the pulse survey were overall positive.  Managers said the people practice team was helpful, providing support on employee matters, resourcing, onboarding, and employee development.  They were also seen as legal experts. Managers feel that the people practice team adds value to the organisation, and they have confidence in their HR knowledge.  Managers also have a good understanding of what the people practice provides, and they know why they are an important part of the organisation.</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 xml:space="preserve">4 out of the 15 managers answered </w:t>
      </w:r>
      <w:r>
        <w:rPr>
          <w:rFonts w:ascii="Calibri" w:hAnsi="Calibri" w:hint="default"/>
          <w:sz w:val="24"/>
          <w:szCs w:val="24"/>
          <w:rtl w:val="1"/>
        </w:rPr>
        <w:t>‘</w:t>
      </w:r>
      <w:r>
        <w:rPr>
          <w:rFonts w:ascii="Calibri" w:hAnsi="Calibri"/>
          <w:sz w:val="24"/>
          <w:szCs w:val="24"/>
          <w:rtl w:val="0"/>
          <w:lang w:val="en-US"/>
        </w:rPr>
        <w:t>unsure</w:t>
      </w:r>
      <w:r>
        <w:rPr>
          <w:rFonts w:ascii="Calibri" w:hAnsi="Calibri" w:hint="default"/>
          <w:sz w:val="24"/>
          <w:szCs w:val="24"/>
          <w:rtl w:val="1"/>
        </w:rPr>
        <w:t xml:space="preserve">’ </w:t>
      </w:r>
      <w:r>
        <w:rPr>
          <w:rFonts w:ascii="Calibri" w:hAnsi="Calibri"/>
          <w:sz w:val="24"/>
          <w:szCs w:val="24"/>
          <w:rtl w:val="0"/>
          <w:lang w:val="en-US"/>
        </w:rPr>
        <w:t xml:space="preserve">when asked if they were better at handling </w:t>
      </w:r>
      <w: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page">
                  <wp:posOffset>342858</wp:posOffset>
                </wp:positionH>
                <wp:positionV relativeFrom="page">
                  <wp:posOffset>368973</wp:posOffset>
                </wp:positionV>
                <wp:extent cx="6727286" cy="5195924"/>
                <wp:effectExtent l="0" t="0" r="0" b="0"/>
                <wp:wrapTopAndBottom distT="152400" distB="152400"/>
                <wp:docPr id="1073741829" name="officeArt object" descr="Group"/>
                <wp:cNvGraphicFramePr/>
                <a:graphic xmlns:a="http://schemas.openxmlformats.org/drawingml/2006/main">
                  <a:graphicData uri="http://schemas.microsoft.com/office/word/2010/wordprocessingGroup">
                    <wpg:wgp>
                      <wpg:cNvGrpSpPr/>
                      <wpg:grpSpPr>
                        <a:xfrm>
                          <a:off x="0" y="0"/>
                          <a:ext cx="6727286" cy="5195924"/>
                          <a:chOff x="-739601" y="-483294"/>
                          <a:chExt cx="6727285" cy="5195923"/>
                        </a:xfrm>
                      </wpg:grpSpPr>
                      <wpg:graphicFrame>
                        <wpg:cNvPr id="1073741825" name="Chart 1073741825"/>
                        <wpg:cNvFrPr/>
                        <wpg:xfrm>
                          <a:off x="-739602" y="-483295"/>
                          <a:ext cx="6727287" cy="4786508"/>
                        </wpg:xfrm>
                        <a:graphic xmlns:a="http://schemas.openxmlformats.org/drawingml/2006/main">
                          <a:graphicData uri="http://schemas.openxmlformats.org/drawingml/2006/chart">
                            <c:chart xmlns:c="http://schemas.openxmlformats.org/drawingml/2006/chart" r:id="rId4"/>
                          </a:graphicData>
                        </a:graphic>
                      </wpg:graphicFrame>
                      <wps:wsp>
                        <wps:cNvPr id="1073741828" name="Caption"/>
                        <wps:cNvSpPr/>
                        <wps:spPr>
                          <a:xfrm>
                            <a:off x="0" y="4404812"/>
                            <a:ext cx="5783765" cy="307818"/>
                          </a:xfrm>
                          <a:prstGeom prst="roundRect">
                            <a:avLst>
                              <a:gd name="adj" fmla="val 0"/>
                            </a:avLst>
                          </a:prstGeom>
                          <a:noFill/>
                          <a:ln w="12700" cap="flat">
                            <a:noFill/>
                            <a:miter lim="400000"/>
                          </a:ln>
                          <a:effectLst/>
                        </wps:spPr>
                        <wps:txbx>
                          <w:txbxContent>
                            <w:p>
                              <w:pPr>
                                <w:pStyle w:val="Object Caption"/>
                                <w:jc w:val="right"/>
                              </w:pPr>
                              <w:r>
                                <w:rPr>
                                  <w:rtl w:val="0"/>
                                  <w:lang w:val="en-US"/>
                                </w:rPr>
                                <w:t>Diagrammatical Form 2</w:t>
                              </w:r>
                            </w:p>
                          </w:txbxContent>
                        </wps:txbx>
                        <wps:bodyPr wrap="square" lIns="50800" tIns="50800" rIns="50800" bIns="50800" numCol="1" anchor="t">
                          <a:noAutofit/>
                        </wps:bodyPr>
                      </wps:wsp>
                    </wpg:wgp>
                  </a:graphicData>
                </a:graphic>
              </wp:anchor>
            </w:drawing>
          </mc:Choice>
          <mc:Fallback>
            <w:pict>
              <v:group id="_x0000_s1026" style="visibility:visible;position:absolute;margin-left:27.0pt;margin-top:29.1pt;width:529.7pt;height:409.1pt;z-index:251659264;mso-position-horizontal:absolute;mso-position-horizontal-relative:page;mso-position-vertical:absolute;mso-position-vertical-relative:page;mso-wrap-distance-left:12.0pt;mso-wrap-distance-top:12.0pt;mso-wrap-distance-right:12.0pt;mso-wrap-distance-bottom:12.0pt;" coordorigin="-739601,-483295" coordsize="6727285,5195924">
                <w10:wrap type="topAndBottom" side="bothSides" anchorx="page" anchory="page"/>
                <v:shape id="_x0000_s1027" type="#_x0000_t75" style="position:absolute;left:-739601;top:-483295;width:6727285;height:4786507;">
                  <v:imagedata r:id="rId5" o:title=""/>
                </v:shape>
                <v:roundrect id="_x0000_s1028" style="position:absolute;left:0;top:4404813;width:5783765;height:307817;" adj="0">
                  <v:fill on="f"/>
                  <v:stroke on="f" weight="1.0pt" dashstyle="solid" endcap="flat" miterlimit="400.0%" joinstyle="miter" linestyle="single" startarrow="none" startarrowwidth="medium" startarrowlength="medium" endarrow="none" endarrowwidth="medium" endarrowlength="medium"/>
                  <v:textbox>
                    <w:txbxContent>
                      <w:p>
                        <w:pPr>
                          <w:pStyle w:val="Object Caption"/>
                          <w:jc w:val="right"/>
                        </w:pPr>
                        <w:r>
                          <w:rPr>
                            <w:rtl w:val="0"/>
                            <w:lang w:val="en-US"/>
                          </w:rPr>
                          <w:t>Diagrammatical Form 2</w:t>
                        </w:r>
                      </w:p>
                    </w:txbxContent>
                  </v:textbox>
                </v:roundrect>
              </v:group>
            </w:pict>
          </mc:Fallback>
        </mc:AlternateContent>
      </w:r>
      <w:r>
        <mc:AlternateContent>
          <mc:Choice Requires="wpg">
            <w:drawing xmlns:a="http://schemas.openxmlformats.org/drawingml/2006/main">
              <wp:anchor distT="152400" distB="152400" distL="152400" distR="152400" simplePos="0" relativeHeight="251661312" behindDoc="0" locked="0" layoutInCell="1" allowOverlap="1">
                <wp:simplePos x="0" y="0"/>
                <wp:positionH relativeFrom="page">
                  <wp:posOffset>342858</wp:posOffset>
                </wp:positionH>
                <wp:positionV relativeFrom="page">
                  <wp:posOffset>5346000</wp:posOffset>
                </wp:positionV>
                <wp:extent cx="6727286" cy="5144801"/>
                <wp:effectExtent l="0" t="0" r="0" b="0"/>
                <wp:wrapTopAndBottom distT="152400" distB="152400"/>
                <wp:docPr id="1073741834" name="officeArt object" descr="Group"/>
                <wp:cNvGraphicFramePr/>
                <a:graphic xmlns:a="http://schemas.openxmlformats.org/drawingml/2006/main">
                  <a:graphicData uri="http://schemas.microsoft.com/office/word/2010/wordprocessingGroup">
                    <wpg:wgp>
                      <wpg:cNvGrpSpPr/>
                      <wpg:grpSpPr>
                        <a:xfrm>
                          <a:off x="0" y="0"/>
                          <a:ext cx="6727286" cy="5144801"/>
                          <a:chOff x="-623738" y="-483294"/>
                          <a:chExt cx="6727285" cy="5144800"/>
                        </a:xfrm>
                      </wpg:grpSpPr>
                      <wpg:graphicFrame>
                        <wpg:cNvPr id="1073741830" name="Chart 1073741830"/>
                        <wpg:cNvFrPr/>
                        <wpg:xfrm>
                          <a:off x="-623739" y="-483295"/>
                          <a:ext cx="6727286" cy="4735384"/>
                        </wpg:xfrm>
                        <a:graphic xmlns:a="http://schemas.openxmlformats.org/drawingml/2006/main">
                          <a:graphicData uri="http://schemas.openxmlformats.org/drawingml/2006/chart">
                            <c:chart xmlns:c="http://schemas.openxmlformats.org/drawingml/2006/chart" r:id="rId6"/>
                          </a:graphicData>
                        </a:graphic>
                      </wpg:graphicFrame>
                      <wps:wsp>
                        <wps:cNvPr id="1073741833" name="Caption"/>
                        <wps:cNvSpPr/>
                        <wps:spPr>
                          <a:xfrm>
                            <a:off x="0" y="4353688"/>
                            <a:ext cx="5190375" cy="307818"/>
                          </a:xfrm>
                          <a:prstGeom prst="roundRect">
                            <a:avLst>
                              <a:gd name="adj" fmla="val 0"/>
                            </a:avLst>
                          </a:prstGeom>
                          <a:noFill/>
                          <a:ln w="12700" cap="flat">
                            <a:noFill/>
                            <a:miter lim="400000"/>
                          </a:ln>
                          <a:effectLst/>
                        </wps:spPr>
                        <wps:txbx>
                          <w:txbxContent>
                            <w:p>
                              <w:pPr>
                                <w:pStyle w:val="Object Caption"/>
                                <w:jc w:val="right"/>
                              </w:pPr>
                              <w:r>
                                <w:rPr>
                                  <w:rtl w:val="0"/>
                                  <w:lang w:val="en-US"/>
                                </w:rPr>
                                <w:t>Diagrammatical form 1</w:t>
                              </w:r>
                            </w:p>
                          </w:txbxContent>
                        </wps:txbx>
                        <wps:bodyPr wrap="square" lIns="50800" tIns="50800" rIns="50800" bIns="50800" numCol="1" anchor="t">
                          <a:noAutofit/>
                        </wps:bodyPr>
                      </wps:wsp>
                    </wpg:wgp>
                  </a:graphicData>
                </a:graphic>
              </wp:anchor>
            </w:drawing>
          </mc:Choice>
          <mc:Fallback>
            <w:pict>
              <v:group id="_x0000_s1029" style="visibility:visible;position:absolute;margin-left:27.0pt;margin-top:420.9pt;width:529.7pt;height:405.1pt;z-index:251661312;mso-position-horizontal:absolute;mso-position-horizontal-relative:page;mso-position-vertical:absolute;mso-position-vertical-relative:page;mso-wrap-distance-left:12.0pt;mso-wrap-distance-top:12.0pt;mso-wrap-distance-right:12.0pt;mso-wrap-distance-bottom:12.0pt;" coordorigin="-623739,-483295" coordsize="6727286,5144801">
                <w10:wrap type="topAndBottom" side="bothSides" anchorx="page" anchory="page"/>
                <v:shape id="_x0000_s1030" type="#_x0000_t75" style="position:absolute;left:-623739;top:-483295;width:6727285;height:4735383;">
                  <v:imagedata r:id="rId7" o:title=""/>
                </v:shape>
                <v:roundrect id="_x0000_s1031" style="position:absolute;left:0;top:4353689;width:5190375;height:307817;" adj="0">
                  <v:fill on="f"/>
                  <v:stroke on="f" weight="1.0pt" dashstyle="solid" endcap="flat" miterlimit="400.0%" joinstyle="miter" linestyle="single" startarrow="none" startarrowwidth="medium" startarrowlength="medium" endarrow="none" endarrowwidth="medium" endarrowlength="medium"/>
                  <v:textbox>
                    <w:txbxContent>
                      <w:p>
                        <w:pPr>
                          <w:pStyle w:val="Object Caption"/>
                          <w:jc w:val="right"/>
                        </w:pPr>
                        <w:r>
                          <w:rPr>
                            <w:rtl w:val="0"/>
                            <w:lang w:val="en-US"/>
                          </w:rPr>
                          <w:t>Diagrammatical form 1</w:t>
                        </w:r>
                      </w:p>
                    </w:txbxContent>
                  </v:textbox>
                </v:roundrect>
              </v:group>
            </w:pict>
          </mc:Fallback>
        </mc:AlternateContent>
      </w:r>
      <w:r>
        <w:rPr>
          <w:rFonts w:ascii="Calibri" w:hAnsi="Calibri"/>
          <w:sz w:val="24"/>
          <w:szCs w:val="24"/>
          <w:rtl w:val="0"/>
          <w:lang w:val="en-US"/>
        </w:rPr>
        <w:t>people-related issues as a result of people practice guidance.  This would suggest that some managers feel they need more training in HR related issues rather than being told what the solution to a problem is.  More than half agreed that they were better at handling these issues, which suggests that those managers are developing their knowledge and skills in HR.</w:t>
      </w:r>
    </w:p>
    <w:p>
      <w:pPr>
        <w:pStyle w:val="Body"/>
        <w:jc w:val="left"/>
        <w:rPr>
          <w:rFonts w:ascii="Calibri" w:cs="Calibri" w:hAnsi="Calibri" w:eastAsia="Calibri"/>
          <w:sz w:val="24"/>
          <w:szCs w:val="24"/>
        </w:rPr>
      </w:pPr>
      <w:r>
        <mc:AlternateContent>
          <mc:Choice Requires="wpg">
            <w:drawing xmlns:a="http://schemas.openxmlformats.org/drawingml/2006/main">
              <wp:anchor distT="152400" distB="152400" distL="152400" distR="152400" simplePos="0" relativeHeight="251660288" behindDoc="0" locked="0" layoutInCell="1" allowOverlap="1">
                <wp:simplePos x="0" y="0"/>
                <wp:positionH relativeFrom="page">
                  <wp:posOffset>316633</wp:posOffset>
                </wp:positionH>
                <wp:positionV relativeFrom="page">
                  <wp:posOffset>478352</wp:posOffset>
                </wp:positionV>
                <wp:extent cx="6727286" cy="4688712"/>
                <wp:effectExtent l="0" t="0" r="0" b="0"/>
                <wp:wrapTopAndBottom distT="152400" distB="152400"/>
                <wp:docPr id="1073741839" name="officeArt object" descr="Group"/>
                <wp:cNvGraphicFramePr/>
                <a:graphic xmlns:a="http://schemas.openxmlformats.org/drawingml/2006/main">
                  <a:graphicData uri="http://schemas.microsoft.com/office/word/2010/wordprocessingGroup">
                    <wpg:wgp>
                      <wpg:cNvGrpSpPr/>
                      <wpg:grpSpPr>
                        <a:xfrm>
                          <a:off x="0" y="0"/>
                          <a:ext cx="6727286" cy="4688712"/>
                          <a:chOff x="-739601" y="-483294"/>
                          <a:chExt cx="6727285" cy="4688711"/>
                        </a:xfrm>
                      </wpg:grpSpPr>
                      <wpg:graphicFrame>
                        <wpg:cNvPr id="1073741835" name="Chart 1073741835"/>
                        <wpg:cNvFrPr/>
                        <wpg:xfrm>
                          <a:off x="-739602" y="-483295"/>
                          <a:ext cx="6727287" cy="4279296"/>
                        </wpg:xfrm>
                        <a:graphic xmlns:a="http://schemas.openxmlformats.org/drawingml/2006/main">
                          <a:graphicData uri="http://schemas.openxmlformats.org/drawingml/2006/chart">
                            <c:chart xmlns:c="http://schemas.openxmlformats.org/drawingml/2006/chart" r:id="rId8"/>
                          </a:graphicData>
                        </a:graphic>
                      </wpg:graphicFrame>
                      <wps:wsp>
                        <wps:cNvPr id="1073741838" name="Caption"/>
                        <wps:cNvSpPr/>
                        <wps:spPr>
                          <a:xfrm>
                            <a:off x="0" y="3897600"/>
                            <a:ext cx="5987685" cy="307818"/>
                          </a:xfrm>
                          <a:prstGeom prst="roundRect">
                            <a:avLst>
                              <a:gd name="adj" fmla="val 0"/>
                            </a:avLst>
                          </a:prstGeom>
                          <a:noFill/>
                          <a:ln w="12700" cap="flat">
                            <a:noFill/>
                            <a:miter lim="400000"/>
                          </a:ln>
                          <a:effectLst/>
                        </wps:spPr>
                        <wps:txbx>
                          <w:txbxContent>
                            <w:p>
                              <w:pPr>
                                <w:pStyle w:val="Object Caption"/>
                                <w:jc w:val="right"/>
                              </w:pPr>
                              <w:r>
                                <w:rPr>
                                  <w:rtl w:val="0"/>
                                  <w:lang w:val="en-US"/>
                                </w:rPr>
                                <w:t>Diagrammatical Form 3</w:t>
                              </w:r>
                            </w:p>
                          </w:txbxContent>
                        </wps:txbx>
                        <wps:bodyPr wrap="square" lIns="50800" tIns="50800" rIns="50800" bIns="50800" numCol="1" anchor="t">
                          <a:noAutofit/>
                        </wps:bodyPr>
                      </wps:wsp>
                    </wpg:wgp>
                  </a:graphicData>
                </a:graphic>
              </wp:anchor>
            </w:drawing>
          </mc:Choice>
          <mc:Fallback>
            <w:pict>
              <v:group id="_x0000_s1032" style="visibility:visible;position:absolute;margin-left:24.9pt;margin-top:37.7pt;width:529.7pt;height:369.2pt;z-index:251660288;mso-position-horizontal:absolute;mso-position-horizontal-relative:page;mso-position-vertical:absolute;mso-position-vertical-relative:page;mso-wrap-distance-left:12.0pt;mso-wrap-distance-top:12.0pt;mso-wrap-distance-right:12.0pt;mso-wrap-distance-bottom:12.0pt;" coordorigin="-739601,-483295" coordsize="6727285,4688712">
                <w10:wrap type="topAndBottom" side="bothSides" anchorx="page" anchory="page"/>
                <v:shape id="_x0000_s1033" type="#_x0000_t75" style="position:absolute;left:-739601;top:-483295;width:6727285;height:4279295;">
                  <v:imagedata r:id="rId9" o:title=""/>
                </v:shape>
                <v:roundrect id="_x0000_s1034" style="position:absolute;left:0;top:3897600;width:5987684;height:307817;" adj="0">
                  <v:fill on="f"/>
                  <v:stroke on="f" weight="1.0pt" dashstyle="solid" endcap="flat" miterlimit="400.0%" joinstyle="miter" linestyle="single" startarrow="none" startarrowwidth="medium" startarrowlength="medium" endarrow="none" endarrowwidth="medium" endarrowlength="medium"/>
                  <v:textbox>
                    <w:txbxContent>
                      <w:p>
                        <w:pPr>
                          <w:pStyle w:val="Object Caption"/>
                          <w:jc w:val="right"/>
                        </w:pPr>
                        <w:r>
                          <w:rPr>
                            <w:rtl w:val="0"/>
                            <w:lang w:val="en-US"/>
                          </w:rPr>
                          <w:t>Diagrammatical Form 3</w:t>
                        </w:r>
                      </w:p>
                    </w:txbxContent>
                  </v:textbox>
                </v:roundrect>
              </v:group>
            </w:pict>
          </mc:Fallback>
        </mc:AlternateContent>
      </w:r>
    </w:p>
    <w:p>
      <w:pPr>
        <w:pStyle w:val="Body"/>
        <w:jc w:val="left"/>
        <w:rPr>
          <w:rFonts w:ascii="Calibri" w:cs="Calibri" w:hAnsi="Calibri" w:eastAsia="Calibri"/>
          <w:sz w:val="24"/>
          <w:szCs w:val="24"/>
        </w:rPr>
      </w:pPr>
      <w:r>
        <w:rPr>
          <w:rFonts w:ascii="Calibri" w:hAnsi="Calibri"/>
          <w:sz w:val="24"/>
          <w:szCs w:val="24"/>
          <w:rtl w:val="0"/>
          <w:lang w:val="en-US"/>
        </w:rPr>
        <w:t>There are mixed views on administrative support: 6 people agree that the people practice provides this, and 5 disagree.  Managers may not fully understand the role of the people practice team, and more awareness and training should be given to rectify this.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A large majority of managers feel that the people practice team does not understand the organisation or how it works.  Managers may feel that the advice they are given, although technically correct, may not be practical to implement, and that the team may not have much influence on positive changes in the organisation.  To improve this, the people practice team could arrange job shadowing across different areas of the organisation to gain a better understanding of the business as a whole, and they could also attend higher-level or leadership meetings.</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When asked whether they know where to find policies and procedures, over half of the managers answered no.  This should be corrected as soon as possible, as it could impact the timeliness of decision-making and the consistent application of policies, and it also reduces managers' self-service.  The answers were split as to whether managers felt confident at handling people-related issues without help.  Once again, this could mean an inconsistent approach with HR related issues.  More training is needed to achieve a more streamlined approach.</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r>
        <w:rPr>
          <w:rFonts w:ascii="Calibri" w:hAnsi="Calibri"/>
          <w:sz w:val="24"/>
          <w:szCs w:val="24"/>
          <w:rtl w:val="0"/>
          <w:lang w:val="en-US"/>
        </w:rPr>
        <w:t>Overall, the results were positive, but the relationship between the managers and HR needs to be strengthened.  Managers should be given more training on people management, and policies and procedures need to be more accessible.  Toolkits could be created to support managers when they need to define what is expected of them in different HR related cases and what support and involvement they can expect from the people practice team.</w:t>
      </w: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p>
    <w:p>
      <w:pPr>
        <w:pStyle w:val="Body"/>
        <w:jc w:val="left"/>
        <w:rPr>
          <w:rFonts w:ascii="Calibri" w:cs="Calibri" w:hAnsi="Calibri" w:eastAsia="Calibri"/>
          <w:b w:val="1"/>
          <w:bCs w:val="1"/>
          <w:sz w:val="24"/>
          <w:szCs w:val="24"/>
        </w:rPr>
      </w:pPr>
      <w:r>
        <w:rPr>
          <w:rFonts w:ascii="Calibri" w:hAnsi="Calibri"/>
          <w:b w:val="1"/>
          <w:bCs w:val="1"/>
          <w:sz w:val="24"/>
          <w:szCs w:val="24"/>
          <w:rtl w:val="0"/>
          <w:lang w:val="en-US"/>
        </w:rPr>
        <w:t>Bibliography</w:t>
      </w:r>
    </w:p>
    <w:p>
      <w:pPr>
        <w:pStyle w:val="Body"/>
        <w:jc w:val="left"/>
        <w:rPr>
          <w:rFonts w:ascii="Calibri" w:cs="Calibri" w:hAnsi="Calibri" w:eastAsia="Calibri"/>
          <w:b w:val="1"/>
          <w:bCs w:val="1"/>
          <w:sz w:val="24"/>
          <w:szCs w:val="24"/>
        </w:rPr>
      </w:pP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APSHoganUK (2023). Defining Evidence-Based HR. [online] YouTube. Available at: </w:t>
      </w:r>
      <w:r>
        <w:rPr>
          <w:rFonts w:ascii="Calibri" w:cs="Calibri" w:hAnsi="Calibri" w:eastAsia="Calibri"/>
        </w:rPr>
        <w:fldChar w:fldCharType="begin" w:fldLock="0"/>
      </w:r>
      <w:r>
        <w:rPr>
          <w:rFonts w:ascii="Calibri" w:cs="Calibri" w:hAnsi="Calibri" w:eastAsia="Calibri"/>
        </w:rPr>
        <w:instrText xml:space="preserve"> HYPERLINK "https://www.youtube.com/watch?v=FOK6lqm5gAQ"</w:instrText>
      </w:r>
      <w:r>
        <w:rPr>
          <w:rFonts w:ascii="Calibri" w:cs="Calibri" w:hAnsi="Calibri" w:eastAsia="Calibri"/>
        </w:rPr>
        <w:fldChar w:fldCharType="separate" w:fldLock="0"/>
      </w:r>
      <w:r>
        <w:rPr>
          <w:rFonts w:ascii="Calibri" w:hAnsi="Calibri"/>
          <w:rtl w:val="0"/>
          <w:lang w:val="en-US"/>
        </w:rPr>
        <w:t>https://www.youtube.com/watch?v=FOK6lqm5gAQ</w:t>
      </w:r>
      <w:r>
        <w:rPr>
          <w:rFonts w:ascii="Calibri" w:cs="Calibri" w:hAnsi="Calibri" w:eastAsia="Calibri"/>
        </w:rPr>
        <w:fldChar w:fldCharType="end" w:fldLock="0"/>
      </w:r>
      <w:r>
        <w:rPr>
          <w:rFonts w:ascii="Calibri" w:hAnsi="Calibri"/>
          <w:rtl w:val="0"/>
          <w:lang w:val="en-US"/>
        </w:rPr>
        <w:t xml:space="preserve"> [Accessed 2 May 2026].</w:t>
      </w:r>
    </w:p>
    <w:p>
      <w:pPr>
        <w:pStyle w:val="Default"/>
        <w:suppressAutoHyphens w:val="1"/>
        <w:spacing w:before="0" w:line="240" w:lineRule="auto"/>
        <w:rPr>
          <w:rFonts w:ascii="Calibri" w:cs="Calibri" w:hAnsi="Calibri" w:eastAsia="Calibri"/>
        </w:rPr>
      </w:pPr>
      <w:r>
        <w:rPr>
          <w:rFonts w:ascii="Calibri" w:hAnsi="Calibri"/>
          <w:rtl w:val="0"/>
          <w:lang w:val="en-US"/>
        </w:rPr>
        <w:t>Barends, E., Rousseau, D.M. and Briner, R.B. (2014</w:t>
      </w:r>
      <w:r>
        <w:rPr>
          <w:rFonts w:ascii="Calibri" w:hAnsi="Calibri"/>
          <w:rtl w:val="0"/>
          <w:lang w:val="en-US"/>
        </w:rPr>
        <w:t>a</w:t>
      </w:r>
      <w:r>
        <w:rPr>
          <w:rFonts w:ascii="Calibri" w:hAnsi="Calibri"/>
          <w:rtl w:val="0"/>
          <w:lang w:val="en-US"/>
        </w:rPr>
        <w:t xml:space="preserve">) Evidence-Based Management: The Basic Principles. Amsterdam: Center for Evidence-Based Management. Available at: </w:t>
      </w:r>
      <w:r>
        <w:rPr>
          <w:rFonts w:ascii="Calibri" w:cs="Calibri" w:hAnsi="Calibri" w:eastAsia="Calibri"/>
        </w:rPr>
        <w:fldChar w:fldCharType="begin" w:fldLock="0"/>
      </w:r>
      <w:r>
        <w:rPr>
          <w:rFonts w:ascii="Calibri" w:cs="Calibri" w:hAnsi="Calibri" w:eastAsia="Calibri"/>
        </w:rPr>
        <w:instrText xml:space="preserve"> HYPERLINK "https://cebma.org/assets/Uploads/Evidence-Based-Practice-The-Basic-Principles.pdf?utm_source=chatgpt.com"</w:instrText>
      </w:r>
      <w:r>
        <w:rPr>
          <w:rFonts w:ascii="Calibri" w:cs="Calibri" w:hAnsi="Calibri" w:eastAsia="Calibri"/>
        </w:rPr>
        <w:fldChar w:fldCharType="separate" w:fldLock="0"/>
      </w:r>
      <w:r>
        <w:rPr>
          <w:rFonts w:ascii="Calibri" w:hAnsi="Calibri"/>
          <w:rtl w:val="0"/>
        </w:rPr>
        <w:t>CEBMa PDF</w:t>
      </w:r>
      <w:r>
        <w:rPr>
          <w:rFonts w:ascii="Calibri" w:cs="Calibri" w:hAnsi="Calibri" w:eastAsia="Calibri"/>
        </w:rPr>
        <w:fldChar w:fldCharType="end" w:fldLock="0"/>
      </w:r>
      <w:r>
        <w:rPr>
          <w:rFonts w:ascii="Calibri" w:hAnsi="Calibri"/>
          <w:rtl w:val="0"/>
          <w:lang w:val="en-US"/>
        </w:rPr>
        <w:t xml:space="preserve"> (Accessed: </w:t>
      </w:r>
      <w:r>
        <w:rPr>
          <w:rFonts w:ascii="Calibri" w:hAnsi="Calibri"/>
          <w:rtl w:val="0"/>
          <w:lang w:val="en-US"/>
        </w:rPr>
        <w:t xml:space="preserve">12 May </w:t>
      </w:r>
      <w:r>
        <w:rPr>
          <w:rFonts w:ascii="Calibri" w:hAnsi="Calibri"/>
          <w:rtl w:val="0"/>
        </w:rPr>
        <w:t xml:space="preserve">2026). </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Barends, E., Rousseau, D.M. and Briner, R.B. (2014</w:t>
      </w:r>
      <w:r>
        <w:rPr>
          <w:rFonts w:ascii="Calibri" w:hAnsi="Calibri"/>
          <w:rtl w:val="0"/>
          <w:lang w:val="en-US"/>
        </w:rPr>
        <w:t>b</w:t>
      </w:r>
      <w:r>
        <w:rPr>
          <w:rFonts w:ascii="Calibri" w:hAnsi="Calibri"/>
          <w:rtl w:val="0"/>
          <w:lang w:val="en-US"/>
        </w:rPr>
        <w:t xml:space="preserve">) Evidence-Based Management: The Basic Principles. Amsterdam: Center for Evidence-Based Management. Available at: </w:t>
      </w:r>
      <w:r>
        <w:rPr>
          <w:rFonts w:ascii="Calibri" w:cs="Calibri" w:hAnsi="Calibri" w:eastAsia="Calibri"/>
        </w:rPr>
        <w:fldChar w:fldCharType="begin" w:fldLock="0"/>
      </w:r>
      <w:r>
        <w:rPr>
          <w:rFonts w:ascii="Calibri" w:cs="Calibri" w:hAnsi="Calibri" w:eastAsia="Calibri"/>
        </w:rPr>
        <w:instrText xml:space="preserve"> HYPERLINK "https://cebma.org/assets/Uploads/Evidence-Based-Practice-The-Basic-Principles.pdf?utm_source=chatgpt.com"</w:instrText>
      </w:r>
      <w:r>
        <w:rPr>
          <w:rFonts w:ascii="Calibri" w:cs="Calibri" w:hAnsi="Calibri" w:eastAsia="Calibri"/>
        </w:rPr>
        <w:fldChar w:fldCharType="separate" w:fldLock="0"/>
      </w:r>
      <w:r>
        <w:rPr>
          <w:rFonts w:ascii="Calibri" w:hAnsi="Calibri"/>
          <w:rtl w:val="0"/>
        </w:rPr>
        <w:t>CEBMa PDF</w:t>
      </w:r>
      <w:r>
        <w:rPr>
          <w:rFonts w:ascii="Calibri" w:cs="Calibri" w:hAnsi="Calibri" w:eastAsia="Calibri"/>
        </w:rPr>
        <w:fldChar w:fldCharType="end" w:fldLock="0"/>
      </w:r>
      <w:r>
        <w:rPr>
          <w:rFonts w:ascii="Calibri" w:hAnsi="Calibri"/>
          <w:rtl w:val="0"/>
          <w:lang w:val="en-US"/>
        </w:rPr>
        <w:t xml:space="preserve"> (Accessed: </w:t>
      </w:r>
      <w:r>
        <w:rPr>
          <w:rFonts w:ascii="Calibri" w:hAnsi="Calibri"/>
          <w:rtl w:val="0"/>
          <w:lang w:val="en-US"/>
        </w:rPr>
        <w:t xml:space="preserve">12 May </w:t>
      </w:r>
      <w:r>
        <w:rPr>
          <w:rFonts w:ascii="Calibri" w:hAnsi="Calibri"/>
          <w:rtl w:val="0"/>
        </w:rPr>
        <w:t>2026).</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lang w:val="en-US"/>
        </w:rPr>
        <w:t>Barends, E. and Rousseau, D.M. (2018). Evidence-based management: How to use evidence to make better organizational decisions. New York: Kogan Page Ltd.</w:t>
      </w:r>
    </w:p>
    <w:p>
      <w:pPr>
        <w:pStyle w:val="Default"/>
        <w:suppressAutoHyphens w:val="1"/>
        <w:spacing w:before="0" w:line="240" w:lineRule="auto"/>
        <w:rPr>
          <w:rFonts w:ascii="Calibri" w:cs="Calibri" w:hAnsi="Calibri" w:eastAsia="Calibri"/>
        </w:rPr>
      </w:pP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Bessant, H. and Whiting, F. (2025). Human Resource Practice. Kogan Page Publishers.</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Briner, R. (2015). HR Magazine - What</w:t>
      </w:r>
      <w:r>
        <w:rPr>
          <w:rFonts w:ascii="Calibri" w:hAnsi="Calibri" w:hint="default"/>
          <w:rtl w:val="1"/>
        </w:rPr>
        <w:t>’</w:t>
      </w:r>
      <w:r>
        <w:rPr>
          <w:rFonts w:ascii="Calibri" w:hAnsi="Calibri"/>
          <w:rtl w:val="0"/>
          <w:lang w:val="en-US"/>
        </w:rPr>
        <w:t xml:space="preserve">s the evidence for... Evidence-based HR? [online] HR Magazine. Available at: </w:t>
      </w:r>
      <w:r>
        <w:rPr>
          <w:rFonts w:ascii="Calibri" w:cs="Calibri" w:hAnsi="Calibri" w:eastAsia="Calibri"/>
        </w:rPr>
        <w:fldChar w:fldCharType="begin" w:fldLock="0"/>
      </w:r>
      <w:r>
        <w:rPr>
          <w:rFonts w:ascii="Calibri" w:cs="Calibri" w:hAnsi="Calibri" w:eastAsia="Calibri"/>
        </w:rPr>
        <w:instrText xml:space="preserve"> HYPERLINK "https://www.hrmagazine.co.uk/content/features/whats-the-evidence-for-evidence-based-hr"</w:instrText>
      </w:r>
      <w:r>
        <w:rPr>
          <w:rFonts w:ascii="Calibri" w:cs="Calibri" w:hAnsi="Calibri" w:eastAsia="Calibri"/>
        </w:rPr>
        <w:fldChar w:fldCharType="separate" w:fldLock="0"/>
      </w:r>
      <w:r>
        <w:rPr>
          <w:rFonts w:ascii="Calibri" w:hAnsi="Calibri"/>
          <w:rtl w:val="0"/>
          <w:lang w:val="en-US"/>
        </w:rPr>
        <w:t>https://www.hrmagazine.co.uk/content/features/whats-the-evidence-for-evidence-based-hr</w:t>
      </w:r>
      <w:r>
        <w:rPr>
          <w:rFonts w:ascii="Calibri" w:cs="Calibri" w:hAnsi="Calibri" w:eastAsia="Calibri"/>
        </w:rPr>
        <w:fldChar w:fldCharType="end" w:fldLock="0"/>
      </w:r>
      <w:r>
        <w:rPr>
          <w:rFonts w:ascii="Calibri" w:hAnsi="Calibri"/>
          <w:rtl w:val="0"/>
        </w:rPr>
        <w:t>.</w:t>
      </w:r>
    </w:p>
    <w:p>
      <w:pPr>
        <w:pStyle w:val="Default"/>
        <w:suppressAutoHyphens w:val="1"/>
        <w:spacing w:before="0" w:line="240" w:lineRule="auto"/>
        <w:rPr>
          <w:rFonts w:ascii="Calibri" w:cs="Calibri" w:hAnsi="Calibri" w:eastAsia="Calibri"/>
        </w:rPr>
      </w:pPr>
      <w:r>
        <w:rPr>
          <w:rFonts w:ascii="Calibri" w:hAnsi="Calibri"/>
          <w:rtl w:val="0"/>
          <w:lang w:val="en-US"/>
        </w:rPr>
        <w:t>Buchanan, D.A. and Huczynski, A.A. (2019). Organizational Behaviour. 11th ed. New York: Pearson Education Limited.</w:t>
      </w:r>
    </w:p>
    <w:p>
      <w:pPr>
        <w:pStyle w:val="Default"/>
        <w:suppressAutoHyphens w:val="1"/>
        <w:spacing w:before="0" w:line="240" w:lineRule="auto"/>
        <w:rPr>
          <w:rFonts w:ascii="Calibri" w:cs="Calibri" w:hAnsi="Calibri" w:eastAsia="Calibri"/>
        </w:rPr>
      </w:pP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CEBMa (2024). What Are the Limitations of Evidence Based practice?</w:t>
      </w:r>
      <w:r>
        <w:rPr>
          <w:rFonts w:ascii="Calibri" w:hAnsi="Calibri" w:hint="default"/>
          <w:rtl w:val="0"/>
          <w:lang w:val="it-IT"/>
        </w:rPr>
        <w:t xml:space="preserve">» </w:t>
      </w:r>
      <w:r>
        <w:rPr>
          <w:rFonts w:ascii="Calibri" w:hAnsi="Calibri"/>
          <w:rtl w:val="0"/>
          <w:lang w:val="en-US"/>
        </w:rPr>
        <w:t xml:space="preserve">CEBMa. [online] cebma.org. Available at: </w:t>
      </w:r>
      <w:r>
        <w:rPr>
          <w:rFonts w:ascii="Calibri" w:cs="Calibri" w:hAnsi="Calibri" w:eastAsia="Calibri"/>
        </w:rPr>
        <w:fldChar w:fldCharType="begin" w:fldLock="0"/>
      </w:r>
      <w:r>
        <w:rPr>
          <w:rFonts w:ascii="Calibri" w:cs="Calibri" w:hAnsi="Calibri" w:eastAsia="Calibri"/>
        </w:rPr>
        <w:instrText xml:space="preserve"> HYPERLINK "https://cebma.org/resources/frequently-asked-questions/what-are-the-limitations-of-evidence-based-practice/"</w:instrText>
      </w:r>
      <w:r>
        <w:rPr>
          <w:rFonts w:ascii="Calibri" w:cs="Calibri" w:hAnsi="Calibri" w:eastAsia="Calibri"/>
        </w:rPr>
        <w:fldChar w:fldCharType="separate" w:fldLock="0"/>
      </w:r>
      <w:r>
        <w:rPr>
          <w:rFonts w:ascii="Calibri" w:hAnsi="Calibri"/>
          <w:rtl w:val="0"/>
          <w:lang w:val="en-US"/>
        </w:rPr>
        <w:t>https://cebma.org/resources/frequently-asked-questions/what-are-the-limitations-of-evidence-based-practice/</w:t>
      </w:r>
      <w:r>
        <w:rPr>
          <w:rFonts w:ascii="Calibri" w:cs="Calibri" w:hAnsi="Calibri" w:eastAsia="Calibri"/>
        </w:rPr>
        <w:fldChar w:fldCharType="end" w:fldLock="0"/>
      </w:r>
      <w:r>
        <w:rPr>
          <w:rFonts w:ascii="Calibri" w:hAnsi="Calibri"/>
          <w:rtl w:val="0"/>
          <w:lang w:val="en-US"/>
        </w:rPr>
        <w:t xml:space="preserve"> </w:t>
      </w:r>
      <w:r>
        <w:rPr>
          <w:rFonts w:ascii="Calibri" w:hAnsi="Calibri"/>
          <w:rtl w:val="0"/>
          <w:lang w:val="en-US"/>
        </w:rPr>
        <w:t>[Accessed 2 May 2026]</w:t>
      </w:r>
      <w:r>
        <w:rPr>
          <w:rFonts w:ascii="Calibri" w:hAnsi="Calibri"/>
          <w:rtl w:val="0"/>
          <w:lang w:val="en-US"/>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(2016). CIPD | How to Write a Critical Review.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"https://www.cipd.org/uk/learning/support-for-students/currently-studying/critical-review-writing/#selecting-an-item-to-review"</w:instrText>
      </w:r>
      <w:r>
        <w:rPr>
          <w:rFonts w:ascii="Calibri" w:cs="Calibri" w:hAnsi="Calibri" w:eastAsia="Calibri"/>
        </w:rPr>
        <w:fldChar w:fldCharType="separate" w:fldLock="0"/>
      </w:r>
      <w:r>
        <w:rPr>
          <w:rFonts w:ascii="Calibri" w:hAnsi="Calibri"/>
          <w:rtl w:val="0"/>
          <w:lang w:val="en-US"/>
        </w:rPr>
        <w:t>https://www.cipd.org/uk/learning/support-for-students/currently-studying/critical-review-writing/#selecting-an-item-to-review</w:t>
      </w:r>
      <w:r>
        <w:rPr>
          <w:rFonts w:ascii="Calibri" w:cs="Calibri" w:hAnsi="Calibri" w:eastAsia="Calibri"/>
        </w:rPr>
        <w:fldChar w:fldCharType="end" w:fldLock="0"/>
      </w:r>
      <w:r>
        <w:rPr>
          <w:rFonts w:ascii="Calibri" w:hAnsi="Calibri"/>
          <w:rtl w:val="0"/>
        </w:rPr>
        <w:t>.</w:t>
      </w:r>
    </w:p>
    <w:p>
      <w:pPr>
        <w:pStyle w:val="Default"/>
        <w:suppressAutoHyphens w:val="1"/>
        <w:spacing w:before="0" w:line="240" w:lineRule="auto"/>
        <w:rPr>
          <w:rFonts w:ascii="Calibri" w:cs="Calibri" w:hAnsi="Calibri" w:eastAsia="Calibri"/>
        </w:rPr>
      </w:pPr>
      <w:r>
        <w:rPr>
          <w:rFonts w:ascii="Calibri" w:hAnsi="Calibri"/>
          <w:rtl w:val="0"/>
          <w:lang w:val="en-US"/>
        </w:rPr>
        <w:t xml:space="preserve">CIPD (2019). Rotten apples, bad barrels and sticky situations: a review of unethical workplace behaviour.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"https://www.cipd.org/uk/knowledge/evidence-reviews/ethical-behaviour/"</w:instrText>
      </w:r>
      <w:r>
        <w:rPr>
          <w:rFonts w:ascii="Calibri" w:cs="Calibri" w:hAnsi="Calibri" w:eastAsia="Calibri"/>
        </w:rPr>
        <w:fldChar w:fldCharType="separate" w:fldLock="0"/>
      </w:r>
      <w:r>
        <w:rPr>
          <w:rFonts w:ascii="Calibri" w:hAnsi="Calibri"/>
          <w:rtl w:val="0"/>
          <w:lang w:val="en-US"/>
        </w:rPr>
        <w:t>https://www.cipd.org/uk/knowledge/evidence-reviews/ethical-behaviour/</w:t>
      </w:r>
      <w:r>
        <w:rPr>
          <w:rFonts w:ascii="Calibri" w:cs="Calibri" w:hAnsi="Calibri" w:eastAsia="Calibri"/>
        </w:rPr>
        <w:fldChar w:fldCharType="end" w:fldLock="0"/>
      </w:r>
      <w:r>
        <w:rPr>
          <w:rFonts w:ascii="Calibri" w:hAnsi="Calibri"/>
          <w:rtl w:val="0"/>
        </w:rPr>
        <w:t>.</w:t>
      </w:r>
    </w:p>
    <w:p>
      <w:pPr>
        <w:pStyle w:val="Default"/>
        <w:suppressAutoHyphens w:val="1"/>
        <w:spacing w:before="0" w:line="240" w:lineRule="auto"/>
        <w:rPr>
          <w:rFonts w:ascii="Calibri" w:cs="Calibri" w:hAnsi="Calibri" w:eastAsia="Calibri"/>
        </w:rPr>
      </w:pPr>
    </w:p>
    <w:p>
      <w:pPr>
        <w:pStyle w:val="Default"/>
        <w:suppressAutoHyphens w:val="1"/>
        <w:spacing w:before="0" w:line="240" w:lineRule="auto"/>
        <w:rPr>
          <w:rFonts w:ascii="Calibri" w:cs="Calibri" w:hAnsi="Calibri" w:eastAsia="Calibri"/>
        </w:rPr>
      </w:pPr>
      <w:r>
        <w:rPr>
          <w:rFonts w:ascii="Calibri" w:hAnsi="Calibri"/>
          <w:rtl w:val="0"/>
        </w:rPr>
        <w:t>CIPD (2019</w:t>
      </w:r>
      <w:r>
        <w:rPr>
          <w:rFonts w:ascii="Calibri" w:hAnsi="Calibri"/>
          <w:rtl w:val="0"/>
          <w:lang w:val="en-US"/>
        </w:rPr>
        <w:t>a</w:t>
      </w:r>
      <w:r>
        <w:rPr>
          <w:rFonts w:ascii="Calibri" w:hAnsi="Calibri"/>
          <w:rtl w:val="0"/>
          <w:lang w:val="en-US"/>
        </w:rPr>
        <w:t xml:space="preserve">) 'Podcast 154: Critical Thinking' CIPD Podcast [Podcast]. 5 November. Available at: </w:t>
      </w:r>
      <w:r>
        <w:rPr>
          <w:rFonts w:ascii="Calibri" w:cs="Calibri" w:hAnsi="Calibri" w:eastAsia="Calibri"/>
        </w:rPr>
        <w:fldChar w:fldCharType="begin" w:fldLock="0"/>
      </w:r>
      <w:r>
        <w:rPr>
          <w:rFonts w:ascii="Calibri" w:cs="Calibri" w:hAnsi="Calibri" w:eastAsia="Calibri"/>
        </w:rPr>
        <w:instrText xml:space="preserve"> HYPERLINK "https://open.spotify.com/episode/0S8eH3gjB5CmDz5OBrP4SV"</w:instrText>
      </w:r>
      <w:r>
        <w:rPr>
          <w:rFonts w:ascii="Calibri" w:cs="Calibri" w:hAnsi="Calibri" w:eastAsia="Calibri"/>
        </w:rPr>
        <w:fldChar w:fldCharType="separate" w:fldLock="0"/>
      </w:r>
      <w:r>
        <w:rPr>
          <w:rFonts w:ascii="Calibri" w:hAnsi="Calibri"/>
          <w:rtl w:val="0"/>
          <w:lang w:val="en-US"/>
        </w:rPr>
        <w:t>https://open.spotify.com/episode/0S8eH3gjB5CmDz5OBrP4SV</w:t>
      </w:r>
      <w:r>
        <w:rPr>
          <w:rFonts w:ascii="Calibri" w:cs="Calibri" w:hAnsi="Calibri" w:eastAsia="Calibri"/>
        </w:rPr>
        <w:fldChar w:fldCharType="end" w:fldLock="0"/>
      </w:r>
      <w:r>
        <w:rPr>
          <w:rFonts w:ascii="Calibri" w:hAnsi="Calibri"/>
          <w:rtl w:val="0"/>
          <w:lang w:val="en-US"/>
        </w:rPr>
        <w:t xml:space="preserve"> (Accessed: </w:t>
      </w:r>
      <w:r>
        <w:rPr>
          <w:rFonts w:ascii="Calibri" w:hAnsi="Calibri"/>
          <w:rtl w:val="0"/>
          <w:lang w:val="en-US"/>
        </w:rPr>
        <w:t>12</w:t>
      </w:r>
      <w:r>
        <w:rPr>
          <w:rFonts w:ascii="Calibri" w:hAnsi="Calibri"/>
          <w:rtl w:val="0"/>
        </w:rPr>
        <w:t xml:space="preserve"> </w:t>
      </w:r>
      <w:r>
        <w:rPr>
          <w:rFonts w:ascii="Calibri" w:hAnsi="Calibri"/>
          <w:rtl w:val="0"/>
          <w:lang w:val="en-US"/>
        </w:rPr>
        <w:t>May</w:t>
      </w:r>
      <w:r>
        <w:rPr>
          <w:rFonts w:ascii="Calibri" w:hAnsi="Calibri"/>
          <w:rtl w:val="0"/>
        </w:rPr>
        <w:t xml:space="preserve"> 2026).</w:t>
      </w:r>
    </w:p>
    <w:p>
      <w:pPr>
        <w:pStyle w:val="Default"/>
        <w:suppressAutoHyphens w:val="1"/>
        <w:spacing w:before="0" w:line="240" w:lineRule="auto"/>
        <w:rPr>
          <w:rFonts w:ascii="Calibri" w:cs="Calibri" w:hAnsi="Calibri" w:eastAsia="Calibri"/>
          <w:outline w:val="0"/>
          <w:color w:val="b41700"/>
          <w14:textFill>
            <w14:solidFill>
              <w14:srgbClr w14:val="B51700"/>
            </w14:solidFill>
          </w14:textFill>
        </w:rPr>
      </w:pP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(2021). Getting Started with People Analytics.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"https://www.cipd.org/uk/knowledge/guides/analytics-practitioner-guide/"</w:instrText>
      </w:r>
      <w:r>
        <w:rPr>
          <w:rFonts w:ascii="Calibri" w:cs="Calibri" w:hAnsi="Calibri" w:eastAsia="Calibri"/>
        </w:rPr>
        <w:fldChar w:fldCharType="separate" w:fldLock="0"/>
      </w:r>
      <w:r>
        <w:rPr>
          <w:rFonts w:ascii="Calibri" w:hAnsi="Calibri"/>
          <w:rtl w:val="0"/>
          <w:lang w:val="en-US"/>
        </w:rPr>
        <w:t>https://www.cipd.org/uk/knowledge/guides/analytics-practitioner-guide/</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(2022). CIPD | the People Profession Survey.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"https://www.cipd.org/uk/knowledge/reports/people-profession-survey/"</w:instrText>
      </w:r>
      <w:r>
        <w:rPr>
          <w:rFonts w:ascii="Calibri" w:cs="Calibri" w:hAnsi="Calibri" w:eastAsia="Calibri"/>
        </w:rPr>
        <w:fldChar w:fldCharType="separate" w:fldLock="0"/>
      </w:r>
      <w:r>
        <w:rPr>
          <w:rFonts w:ascii="Calibri" w:hAnsi="Calibri"/>
          <w:rtl w:val="0"/>
          <w:lang w:val="en-US"/>
        </w:rPr>
        <w:t>https://www.cipd.org/uk/knowledge/reports/people-profession-survey/</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(2023). Building an evidence-based people profession.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"https://www.cipd.org/uk/views-and-insights/thought-leadership/insight/evidence-based-profession/"</w:instrText>
      </w:r>
      <w:r>
        <w:rPr>
          <w:rFonts w:ascii="Calibri" w:cs="Calibri" w:hAnsi="Calibri" w:eastAsia="Calibri"/>
        </w:rPr>
        <w:fldChar w:fldCharType="separate" w:fldLock="0"/>
      </w:r>
      <w:r>
        <w:rPr>
          <w:rFonts w:ascii="Calibri" w:hAnsi="Calibri"/>
          <w:rtl w:val="0"/>
          <w:lang w:val="en-US"/>
        </w:rPr>
        <w:t>https://www.cipd.org/uk/views-and-insights/thought-leadership/insight/evidence-based-profession/</w:t>
      </w:r>
      <w:r>
        <w:rPr>
          <w:rFonts w:ascii="Calibri" w:cs="Calibri" w:hAnsi="Calibri" w:eastAsia="Calibri"/>
        </w:rPr>
        <w:fldChar w:fldCharType="end" w:fldLock="0"/>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(2023). CIPD | Code of Conduct and Ethics.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"https://www.cipd.org/uk/membership/professional-standards/code-of-conduct/"</w:instrText>
      </w:r>
      <w:r>
        <w:rPr>
          <w:rFonts w:ascii="Calibri" w:cs="Calibri" w:hAnsi="Calibri" w:eastAsia="Calibri"/>
        </w:rPr>
        <w:fldChar w:fldCharType="separate" w:fldLock="0"/>
      </w:r>
      <w:r>
        <w:rPr>
          <w:rFonts w:ascii="Calibri" w:hAnsi="Calibri"/>
          <w:rtl w:val="0"/>
          <w:lang w:val="en-US"/>
        </w:rPr>
        <w:t>https://www.cipd.org/uk/membership/professional-standards/code-of-conduct/</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(2023). Principles-led.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"https://www.cipd.org/uk/the-people-profession/the-profession-map/explore-the-profession-map/professional-values-purpose/principles-led/"</w:instrText>
      </w:r>
      <w:r>
        <w:rPr>
          <w:rFonts w:ascii="Calibri" w:cs="Calibri" w:hAnsi="Calibri" w:eastAsia="Calibri"/>
        </w:rPr>
        <w:fldChar w:fldCharType="separate" w:fldLock="0"/>
      </w:r>
      <w:r>
        <w:rPr>
          <w:rFonts w:ascii="Calibri" w:hAnsi="Calibri"/>
          <w:rtl w:val="0"/>
          <w:lang w:val="en-US"/>
        </w:rPr>
        <w:t>https://www.cipd.org/uk/the-people-profession/the-profession-map/explore-the-profession-map/professional-values-purpose/principles-led/</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(2024). Employer Brand.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"https://www.cipd.org/uk/knowledge/factsheets/recruitment-brand-factsheet/"</w:instrText>
      </w:r>
      <w:r>
        <w:rPr>
          <w:rFonts w:ascii="Calibri" w:cs="Calibri" w:hAnsi="Calibri" w:eastAsia="Calibri"/>
        </w:rPr>
        <w:fldChar w:fldCharType="separate" w:fldLock="0"/>
      </w:r>
      <w:r>
        <w:rPr>
          <w:rFonts w:ascii="Calibri" w:hAnsi="Calibri"/>
          <w:rtl w:val="0"/>
          <w:lang w:val="en-US"/>
        </w:rPr>
        <w:t>https://www.cipd.org/uk/knowledge/factsheets/recruitment-brand-factsheet/</w:t>
      </w:r>
      <w:r>
        <w:rPr>
          <w:rFonts w:ascii="Calibri" w:cs="Calibri" w:hAnsi="Calibri" w:eastAsia="Calibri"/>
        </w:rPr>
        <w:fldChar w:fldCharType="end" w:fldLock="0"/>
      </w:r>
      <w:r>
        <w:rPr>
          <w:rFonts w:ascii="Calibri" w:hAnsi="Calibri"/>
          <w:rtl w:val="0"/>
          <w:lang w:val="en-US"/>
        </w:rPr>
        <w:t xml:space="preserve"> [Accessed 1 Jun. 2026]. </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(2024). CIPD | People analytics: Guide for people professionals.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"https://www.cipd.org/uk/knowledge/guides/analytics-practitioner-guide/#how-is-hr-using-people-analytics"</w:instrText>
      </w:r>
      <w:r>
        <w:rPr>
          <w:rFonts w:ascii="Calibri" w:cs="Calibri" w:hAnsi="Calibri" w:eastAsia="Calibri"/>
        </w:rPr>
        <w:fldChar w:fldCharType="separate" w:fldLock="0"/>
      </w:r>
      <w:r>
        <w:rPr>
          <w:rFonts w:ascii="Calibri" w:hAnsi="Calibri"/>
          <w:rtl w:val="0"/>
          <w:lang w:val="en-US"/>
        </w:rPr>
        <w:t>https://www.cipd.org/uk/knowledge/guides/analytics-practitioner-guide/#how-is-hr-using-people-analytics</w:t>
      </w:r>
      <w:r>
        <w:rPr>
          <w:rFonts w:ascii="Calibri" w:cs="Calibri" w:hAnsi="Calibri" w:eastAsia="Calibri"/>
        </w:rPr>
        <w:fldChar w:fldCharType="end" w:fldLock="0"/>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 Change Management.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"https://www.cipd.org/uk/knowledge/factsheets/change-management-factsheet/"</w:instrText>
      </w:r>
      <w:r>
        <w:rPr>
          <w:rFonts w:ascii="Calibri" w:cs="Calibri" w:hAnsi="Calibri" w:eastAsia="Calibri"/>
        </w:rPr>
        <w:fldChar w:fldCharType="separate" w:fldLock="0"/>
      </w:r>
      <w:r>
        <w:rPr>
          <w:rFonts w:ascii="Calibri" w:hAnsi="Calibri"/>
          <w:rtl w:val="0"/>
          <w:lang w:val="en-US"/>
        </w:rPr>
        <w:t>https://www.cipd.org/uk/knowledge/factsheets/change-management-factsheet/</w:t>
      </w:r>
      <w:r>
        <w:rPr>
          <w:rFonts w:ascii="Calibri" w:cs="Calibri" w:hAnsi="Calibri" w:eastAsia="Calibri"/>
        </w:rPr>
        <w:fldChar w:fldCharType="end" w:fldLock="0"/>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(2025a). CIPD | Evidence-based Practice for Effective decision-making | Factsheets.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"https://www.cipd.org/en/knowledge/factsheets/evidence-based-practice-factsheet/"</w:instrText>
      </w:r>
      <w:r>
        <w:rPr>
          <w:rFonts w:ascii="Calibri" w:cs="Calibri" w:hAnsi="Calibri" w:eastAsia="Calibri"/>
        </w:rPr>
        <w:fldChar w:fldCharType="separate" w:fldLock="0"/>
      </w:r>
      <w:r>
        <w:rPr>
          <w:rFonts w:ascii="Calibri" w:hAnsi="Calibri"/>
          <w:rtl w:val="0"/>
          <w:lang w:val="en-US"/>
        </w:rPr>
        <w:t>https://www.cipd.org/en/knowledge/factsheets/evidence-based-practice-factsheet/</w:t>
      </w:r>
      <w:r>
        <w:rPr>
          <w:rFonts w:ascii="Calibri" w:cs="Calibri" w:hAnsi="Calibri" w:eastAsia="Calibri"/>
        </w:rPr>
        <w:fldChar w:fldCharType="end" w:fldLock="0"/>
      </w:r>
      <w:r>
        <w:rPr>
          <w:rFonts w:ascii="Calibri" w:hAnsi="Calibri"/>
          <w:rtl w:val="0"/>
          <w:lang w:val="en-US"/>
        </w:rPr>
        <w:t xml:space="preserve"> [Accessed 1</w:t>
      </w:r>
      <w:r>
        <w:rPr>
          <w:rFonts w:ascii="Calibri" w:hAnsi="Calibri"/>
          <w:rtl w:val="0"/>
          <w:lang w:val="en-US"/>
        </w:rPr>
        <w:t>4</w:t>
      </w:r>
      <w:r>
        <w:rPr>
          <w:rFonts w:ascii="Calibri" w:hAnsi="Calibri"/>
          <w:rtl w:val="0"/>
          <w:lang w:val="en-US"/>
        </w:rPr>
        <w:t xml:space="preserve">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(2025b). CIPD | Evidence-based Practice for Effective decision-making | Factsheets.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"https://www.cipd.org/uk/knowledge/factsheets/evidence-based-practice-factsheet/"</w:instrText>
      </w:r>
      <w:r>
        <w:rPr>
          <w:rFonts w:ascii="Calibri" w:cs="Calibri" w:hAnsi="Calibri" w:eastAsia="Calibri"/>
        </w:rPr>
        <w:fldChar w:fldCharType="separate" w:fldLock="0"/>
      </w:r>
      <w:r>
        <w:rPr>
          <w:rFonts w:ascii="Calibri" w:hAnsi="Calibri"/>
          <w:rtl w:val="0"/>
          <w:lang w:val="en-US"/>
        </w:rPr>
        <w:t>https://www.cipd.org/uk/knowledge/factsheets/evidence-based-practice-factsheet/</w:t>
      </w:r>
      <w:r>
        <w:rPr>
          <w:rFonts w:ascii="Calibri" w:cs="Calibri" w:hAnsi="Calibri" w:eastAsia="Calibri"/>
        </w:rPr>
        <w:fldChar w:fldCharType="end" w:fldLock="0"/>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(2025c). CIPD | Evidence-based Practice for Effective decision-making | Factsheets.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"https://www.cipd.org/uk/knowledge/factsheets/evidence-based-practice-factsheet/"</w:instrText>
      </w:r>
      <w:r>
        <w:rPr>
          <w:rFonts w:ascii="Calibri" w:cs="Calibri" w:hAnsi="Calibri" w:eastAsia="Calibri"/>
        </w:rPr>
        <w:fldChar w:fldCharType="separate" w:fldLock="0"/>
      </w:r>
      <w:r>
        <w:rPr>
          <w:rFonts w:ascii="Calibri" w:hAnsi="Calibri"/>
          <w:rtl w:val="0"/>
          <w:lang w:val="en-US"/>
        </w:rPr>
        <w:t>https://www.cipd.org/uk/knowledge/factsheets/evidence-based-practice-factsheet/</w:t>
      </w:r>
      <w:r>
        <w:rPr>
          <w:rFonts w:ascii="Calibri" w:cs="Calibri" w:hAnsi="Calibri" w:eastAsia="Calibri"/>
        </w:rPr>
        <w:fldChar w:fldCharType="end" w:fldLock="0"/>
      </w:r>
      <w:r>
        <w:rPr>
          <w:rFonts w:ascii="Calibri" w:hAnsi="Calibri"/>
          <w:rtl w:val="0"/>
          <w:lang w:val="en-US"/>
        </w:rPr>
        <w:t xml:space="preserve"> [Accessed 1</w:t>
      </w:r>
      <w:r>
        <w:rPr>
          <w:rFonts w:ascii="Calibri" w:hAnsi="Calibri"/>
          <w:rtl w:val="0"/>
          <w:lang w:val="en-US"/>
        </w:rPr>
        <w:t>4</w:t>
      </w:r>
      <w:r>
        <w:rPr>
          <w:rFonts w:ascii="Calibri" w:hAnsi="Calibri"/>
          <w:rtl w:val="0"/>
          <w:lang w:val="en-US"/>
        </w:rPr>
        <w:t xml:space="preserve">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(2025d). Evidence-based HR: Make better decisions and step up your influence.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"https://www.cipd.org/uk/knowledge/guides/evidence-based-profession/"</w:instrText>
      </w:r>
      <w:r>
        <w:rPr>
          <w:rFonts w:ascii="Calibri" w:cs="Calibri" w:hAnsi="Calibri" w:eastAsia="Calibri"/>
        </w:rPr>
        <w:fldChar w:fldCharType="separate" w:fldLock="0"/>
      </w:r>
      <w:r>
        <w:rPr>
          <w:rFonts w:ascii="Calibri" w:hAnsi="Calibri"/>
          <w:rtl w:val="0"/>
          <w:lang w:val="en-US"/>
        </w:rPr>
        <w:t>https://www.cipd.org/uk/knowledge/guides/evidence-based-profession/</w:t>
      </w:r>
      <w:r>
        <w:rPr>
          <w:rFonts w:ascii="Calibri" w:cs="Calibri" w:hAnsi="Calibri" w:eastAsia="Calibri"/>
        </w:rPr>
        <w:fldChar w:fldCharType="end" w:fldLock="0"/>
      </w:r>
      <w:r>
        <w:rPr>
          <w:rFonts w:ascii="Calibri" w:hAnsi="Calibri"/>
          <w:rtl w:val="0"/>
          <w:lang w:val="en-US"/>
        </w:rPr>
        <w:t xml:space="preserve"> [Accessed 11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(2025e). Evidence-based HR: Make better decisions and step up your influence.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"https://www.cipd.org/uk/knowledge/guides/evidence-based-profession/"</w:instrText>
      </w:r>
      <w:r>
        <w:rPr>
          <w:rFonts w:ascii="Calibri" w:cs="Calibri" w:hAnsi="Calibri" w:eastAsia="Calibri"/>
        </w:rPr>
        <w:fldChar w:fldCharType="separate" w:fldLock="0"/>
      </w:r>
      <w:r>
        <w:rPr>
          <w:rFonts w:ascii="Calibri" w:hAnsi="Calibri"/>
          <w:rtl w:val="0"/>
          <w:lang w:val="en-US"/>
        </w:rPr>
        <w:t>https://www.cipd.org/uk/knowledge/guides/evidence-based-profession/</w:t>
      </w:r>
      <w:r>
        <w:rPr>
          <w:rFonts w:ascii="Calibri" w:cs="Calibri" w:hAnsi="Calibri" w:eastAsia="Calibri"/>
        </w:rPr>
        <w:fldChar w:fldCharType="end" w:fldLock="0"/>
      </w:r>
      <w:r>
        <w:rPr>
          <w:rFonts w:ascii="Calibri" w:hAnsi="Calibri"/>
          <w:rtl w:val="0"/>
          <w:lang w:val="en-US"/>
        </w:rPr>
        <w:t xml:space="preserve"> [Accessed 1 Jun.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(2025f). PESTLE Analysis.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"https://www.cipd.org/uk/knowledge/factsheets/pestle-analysis-factsheet/"</w:instrText>
      </w:r>
      <w:r>
        <w:rPr>
          <w:rFonts w:ascii="Calibri" w:cs="Calibri" w:hAnsi="Calibri" w:eastAsia="Calibri"/>
        </w:rPr>
        <w:fldChar w:fldCharType="separate" w:fldLock="0"/>
      </w:r>
      <w:r>
        <w:rPr>
          <w:rFonts w:ascii="Calibri" w:hAnsi="Calibri"/>
          <w:rtl w:val="0"/>
          <w:lang w:val="en-US"/>
        </w:rPr>
        <w:t>https://www.cipd.org/uk/knowledge/factsheets/pestle-analysis-factsheet/</w:t>
      </w:r>
      <w:r>
        <w:rPr>
          <w:rFonts w:ascii="Calibri" w:cs="Calibri" w:hAnsi="Calibri" w:eastAsia="Calibri"/>
        </w:rPr>
        <w:fldChar w:fldCharType="end" w:fldLock="0"/>
      </w:r>
      <w:r>
        <w:rPr>
          <w:rFonts w:ascii="Calibri" w:hAnsi="Calibri"/>
          <w:rtl w:val="0"/>
          <w:lang w:val="en-US"/>
        </w:rPr>
        <w:t xml:space="preserve"> [Accessed 1</w:t>
      </w:r>
      <w:r>
        <w:rPr>
          <w:rFonts w:ascii="Calibri" w:hAnsi="Calibri"/>
          <w:rtl w:val="0"/>
          <w:lang w:val="en-US"/>
        </w:rPr>
        <w:t>7</w:t>
      </w:r>
      <w:r>
        <w:rPr>
          <w:rFonts w:ascii="Calibri" w:hAnsi="Calibri"/>
          <w:rtl w:val="0"/>
          <w:lang w:val="en-US"/>
        </w:rPr>
        <w:t xml:space="preserve">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(2025g). PESTLE Analysis.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"https://www.cipd.org/uk/knowledge/factsheets/pestle-analysis-factsheet/"</w:instrText>
      </w:r>
      <w:r>
        <w:rPr>
          <w:rFonts w:ascii="Calibri" w:cs="Calibri" w:hAnsi="Calibri" w:eastAsia="Calibri"/>
        </w:rPr>
        <w:fldChar w:fldCharType="separate" w:fldLock="0"/>
      </w:r>
      <w:r>
        <w:rPr>
          <w:rFonts w:ascii="Calibri" w:hAnsi="Calibri"/>
          <w:rtl w:val="0"/>
          <w:lang w:val="en-US"/>
        </w:rPr>
        <w:t>https://www.cipd.org/uk/knowledge/factsheets/pestle-analysis-factsheet/</w:t>
      </w:r>
      <w:r>
        <w:rPr>
          <w:rFonts w:ascii="Calibri" w:cs="Calibri" w:hAnsi="Calibri" w:eastAsia="Calibri"/>
        </w:rPr>
        <w:fldChar w:fldCharType="end" w:fldLock="0"/>
      </w:r>
      <w:r>
        <w:rPr>
          <w:rFonts w:ascii="Calibri" w:hAnsi="Calibri"/>
          <w:rtl w:val="0"/>
          <w:lang w:val="en-US"/>
        </w:rPr>
        <w:t xml:space="preserve"> [Accessed 1</w:t>
      </w:r>
      <w:r>
        <w:rPr>
          <w:rFonts w:ascii="Calibri" w:hAnsi="Calibri"/>
          <w:rtl w:val="0"/>
          <w:lang w:val="en-US"/>
        </w:rPr>
        <w:t>7</w:t>
      </w:r>
      <w:r>
        <w:rPr>
          <w:rFonts w:ascii="Calibri" w:hAnsi="Calibri"/>
          <w:rtl w:val="0"/>
          <w:lang w:val="en-US"/>
        </w:rPr>
        <w:t xml:space="preserve">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 Explore the Profession Map.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"https://www.cipd.org/uk/the-people-profession/the-profession-map/explore-the-profession-map/"</w:instrText>
      </w:r>
      <w:r>
        <w:rPr>
          <w:rFonts w:ascii="Calibri" w:cs="Calibri" w:hAnsi="Calibri" w:eastAsia="Calibri"/>
        </w:rPr>
        <w:fldChar w:fldCharType="separate" w:fldLock="0"/>
      </w:r>
      <w:r>
        <w:rPr>
          <w:rFonts w:ascii="Calibri" w:hAnsi="Calibri"/>
          <w:rtl w:val="0"/>
          <w:lang w:val="en-US"/>
        </w:rPr>
        <w:t>https://www.cipd.org/uk/the-people-profession/the-profession-map/explore-the-profession-map/</w:t>
      </w:r>
      <w:r>
        <w:rPr>
          <w:rFonts w:ascii="Calibri" w:cs="Calibri" w:hAnsi="Calibri" w:eastAsia="Calibri"/>
        </w:rPr>
        <w:fldChar w:fldCharType="end" w:fldLock="0"/>
      </w:r>
      <w:r>
        <w:rPr>
          <w:rFonts w:ascii="Calibri" w:hAnsi="Calibri"/>
          <w:rtl w:val="0"/>
          <w:lang w:val="en-US"/>
        </w:rPr>
        <w:t xml:space="preserve"> [Accessed 1 June 2026]</w:t>
      </w:r>
    </w:p>
    <w:p>
      <w:pPr>
        <w:pStyle w:val="Default"/>
        <w:suppressAutoHyphens w:val="1"/>
        <w:spacing w:before="0" w:after="240" w:line="360" w:lineRule="auto"/>
        <w:jc w:val="left"/>
        <w:rPr>
          <w:rFonts w:ascii="Calibri" w:cs="Calibri" w:hAnsi="Calibri" w:eastAsia="Calibri"/>
          <w:i w:val="0"/>
          <w:iCs w:val="0"/>
        </w:rPr>
      </w:pPr>
      <w:r>
        <w:rPr>
          <w:rFonts w:ascii="Calibri" w:hAnsi="Calibri"/>
          <w:i w:val="1"/>
          <w:iCs w:val="1"/>
          <w:rtl w:val="0"/>
          <w:lang w:val="en-US"/>
        </w:rPr>
        <w:t xml:space="preserve">CIPD (2025). External factors to consider Factors affected within my industry Importance to organisation POLITICAL Government policy Political stability Tax Industry regulations Global trade agreements and or restrictions ECONOMIC. [online] Available at: </w:t>
      </w:r>
      <w:r>
        <w:rPr>
          <w:rFonts w:ascii="Calibri" w:cs="Calibri" w:hAnsi="Calibri" w:eastAsia="Calibri"/>
          <w:i w:val="1"/>
          <w:iCs w:val="1"/>
        </w:rPr>
        <w:fldChar w:fldCharType="begin" w:fldLock="0"/>
      </w:r>
      <w:r>
        <w:rPr>
          <w:rFonts w:ascii="Calibri" w:cs="Calibri" w:hAnsi="Calibri" w:eastAsia="Calibri"/>
          <w:i w:val="1"/>
          <w:iCs w:val="1"/>
        </w:rPr>
        <w:instrText xml:space="preserve"> HYPERLINK "https://www.cipd.org/globalassets/media/knowledge/knowledge-hub/factsheets/pdfs/blank-pestle-template-2025.pdf"</w:instrText>
      </w:r>
      <w:r>
        <w:rPr>
          <w:rFonts w:ascii="Calibri" w:cs="Calibri" w:hAnsi="Calibri" w:eastAsia="Calibri"/>
          <w:i w:val="1"/>
          <w:iCs w:val="1"/>
        </w:rPr>
        <w:fldChar w:fldCharType="separate" w:fldLock="0"/>
      </w:r>
      <w:r>
        <w:rPr>
          <w:rFonts w:ascii="Calibri" w:hAnsi="Calibri"/>
          <w:i w:val="1"/>
          <w:iCs w:val="1"/>
          <w:rtl w:val="0"/>
          <w:lang w:val="en-US"/>
        </w:rPr>
        <w:t>https://www.cipd.org/globalassets/media/knowledge/knowledge-hub/factsheets/pdfs/blank-pestle-template-2025.pdf</w:t>
      </w:r>
      <w:r>
        <w:rPr>
          <w:rFonts w:ascii="Calibri" w:cs="Calibri" w:hAnsi="Calibri" w:eastAsia="Calibri"/>
          <w:i w:val="1"/>
          <w:iCs w:val="1"/>
        </w:rPr>
        <w:fldChar w:fldCharType="end" w:fldLock="0"/>
      </w:r>
      <w:r>
        <w:rPr>
          <w:rFonts w:ascii="Calibri" w:hAnsi="Calibri"/>
          <w:i w:val="1"/>
          <w:iCs w:val="1"/>
          <w:rtl w:val="0"/>
        </w:rPr>
        <w:t>.</w:t>
      </w:r>
      <w:r>
        <w:rPr>
          <w:rFonts w:ascii="Calibri" w:hAnsi="Calibri"/>
          <w:i w:val="1"/>
          <w:iCs w:val="1"/>
          <w:rtl w:val="0"/>
          <w:lang w:val="en-US"/>
        </w:rPr>
        <w:t xml:space="preserve"> </w:t>
      </w:r>
      <w:r>
        <w:rPr>
          <w:rFonts w:ascii="Calibri" w:hAnsi="Calibri"/>
          <w:i w:val="0"/>
          <w:iCs w:val="0"/>
          <w:rtl w:val="0"/>
          <w:lang w:val="en-US"/>
        </w:rPr>
        <w:t>[Accessed 1 June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CIPD (2025). SWOT Analysis.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"https://www.cipd.org/uk/knowledge/factsheets/swot-analysis-factsheet/"</w:instrText>
      </w:r>
      <w:r>
        <w:rPr>
          <w:rFonts w:ascii="Calibri" w:cs="Calibri" w:hAnsi="Calibri" w:eastAsia="Calibri"/>
        </w:rPr>
        <w:fldChar w:fldCharType="separate" w:fldLock="0"/>
      </w:r>
      <w:r>
        <w:rPr>
          <w:rFonts w:ascii="Calibri" w:hAnsi="Calibri"/>
          <w:rtl w:val="0"/>
          <w:lang w:val="en-US"/>
        </w:rPr>
        <w:t>https://www.cipd.org/uk/knowledge/factsheets/swot-analysis-factsheet/</w:t>
      </w:r>
      <w:r>
        <w:rPr>
          <w:rFonts w:ascii="Calibri" w:cs="Calibri" w:hAnsi="Calibri" w:eastAsia="Calibri"/>
        </w:rPr>
        <w:fldChar w:fldCharType="end" w:fldLock="0"/>
      </w:r>
      <w:r>
        <w:rPr>
          <w:rFonts w:ascii="Calibri" w:hAnsi="Calibri"/>
          <w:rtl w:val="0"/>
          <w:lang w:val="en-US"/>
        </w:rPr>
        <w:t xml:space="preserve"> [Accessed 1 June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Clark, S. (2015). Ethical decision-making: Eight Perspectives on Workplace Dilemmas.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"https://www.cipd.org/globalassets/media/comms/the-people-profession/profession-map-pdfs/ethical-decision-making-2015-eight-perspectives-on-workplace-dilemmas_tcm29-9564.pdf"</w:instrText>
      </w:r>
      <w:r>
        <w:rPr>
          <w:rFonts w:ascii="Calibri" w:cs="Calibri" w:hAnsi="Calibri" w:eastAsia="Calibri"/>
        </w:rPr>
        <w:fldChar w:fldCharType="separate" w:fldLock="0"/>
      </w:r>
      <w:r>
        <w:rPr>
          <w:rFonts w:ascii="Calibri" w:hAnsi="Calibri"/>
          <w:rtl w:val="0"/>
          <w:lang w:val="en-US"/>
        </w:rPr>
        <w:t>https://www.cipd.org/globalassets/media/comms/the-people-profession/profession-map-pdfs/ethical-decision-making-2015-eight-perspectives-on-workplace-dilemmas_tcm29-9564.pdf</w:t>
      </w:r>
      <w:r>
        <w:rPr>
          <w:rFonts w:ascii="Calibri" w:cs="Calibri" w:hAnsi="Calibri" w:eastAsia="Calibri"/>
        </w:rPr>
        <w:fldChar w:fldCharType="end" w:fldLock="0"/>
      </w:r>
      <w:r>
        <w:rPr>
          <w:rFonts w:ascii="Calibri" w:hAnsi="Calibri"/>
          <w:rtl w:val="0"/>
        </w:rPr>
        <w:t>.</w:t>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CMI (2020). Decision Making. [online] CMI. Available at: </w:t>
      </w:r>
      <w:r>
        <w:rPr>
          <w:rFonts w:ascii="Calibri" w:cs="Calibri" w:hAnsi="Calibri" w:eastAsia="Calibri"/>
        </w:rPr>
        <w:fldChar w:fldCharType="begin" w:fldLock="0"/>
      </w:r>
      <w:r>
        <w:rPr>
          <w:rFonts w:ascii="Calibri" w:cs="Calibri" w:hAnsi="Calibri" w:eastAsia="Calibri"/>
        </w:rPr>
        <w:instrText xml:space="preserve"> HYPERLINK "https://www.managers.org.uk/knowledge-and-insights/resource/decision-making/"</w:instrText>
      </w:r>
      <w:r>
        <w:rPr>
          <w:rFonts w:ascii="Calibri" w:cs="Calibri" w:hAnsi="Calibri" w:eastAsia="Calibri"/>
        </w:rPr>
        <w:fldChar w:fldCharType="separate" w:fldLock="0"/>
      </w:r>
      <w:r>
        <w:rPr>
          <w:rFonts w:ascii="Calibri" w:hAnsi="Calibri"/>
          <w:rtl w:val="0"/>
          <w:lang w:val="en-US"/>
        </w:rPr>
        <w:t>https://www.managers.org.uk/knowledge-and-insights/resource/decision-making/</w:t>
      </w:r>
      <w:r>
        <w:rPr>
          <w:rFonts w:ascii="Calibri" w:cs="Calibri" w:hAnsi="Calibri" w:eastAsia="Calibri"/>
        </w:rPr>
        <w:fldChar w:fldCharType="end" w:fldLock="0"/>
      </w:r>
      <w:r>
        <w:rPr>
          <w:rFonts w:ascii="Calibri" w:hAnsi="Calibri"/>
          <w:rtl w:val="0"/>
          <w:lang w:val="en-US"/>
        </w:rPr>
        <w:t xml:space="preserve"> [Accessed 1 June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Cottrell, S. (2023a). Critical Thinking Skills. 4th ed. Bloomsbury Publishing, p.2.</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Cottrell, S. (2023b). Critical Thinking Skills. 4th ed. Bloomsbury Publishing, p.1.</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Cottrell, S. (2023c). Critical Thinking Skills. 4th ed. Bloomsbury Publishing, p.109.</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CPD (2022). CPD tips - How to develop critical thinking skills. [online] Cpduk.co.uk. Available at: </w:t>
      </w:r>
      <w:r>
        <w:rPr>
          <w:rFonts w:ascii="Calibri" w:cs="Calibri" w:hAnsi="Calibri" w:eastAsia="Calibri"/>
        </w:rPr>
        <w:fldChar w:fldCharType="begin" w:fldLock="0"/>
      </w:r>
      <w:r>
        <w:rPr>
          <w:rFonts w:ascii="Calibri" w:cs="Calibri" w:hAnsi="Calibri" w:eastAsia="Calibri"/>
        </w:rPr>
        <w:instrText xml:space="preserve"> HYPERLINK "https://www.cpduk.co.uk/news/how-to-develop-critical-thinking-skills"</w:instrText>
      </w:r>
      <w:r>
        <w:rPr>
          <w:rFonts w:ascii="Calibri" w:cs="Calibri" w:hAnsi="Calibri" w:eastAsia="Calibri"/>
        </w:rPr>
        <w:fldChar w:fldCharType="separate" w:fldLock="0"/>
      </w:r>
      <w:r>
        <w:rPr>
          <w:rFonts w:ascii="Calibri" w:hAnsi="Calibri"/>
          <w:rtl w:val="0"/>
          <w:lang w:val="en-US"/>
        </w:rPr>
        <w:t>https://www.cpduk.co.uk/news/how-to-develop-critical-thinking-skills</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it-IT"/>
        </w:rPr>
        <w:t>De Bono, E. (2000</w:t>
      </w:r>
      <w:r>
        <w:rPr>
          <w:rFonts w:ascii="Calibri" w:hAnsi="Calibri"/>
          <w:rtl w:val="0"/>
          <w:lang w:val="en-US"/>
        </w:rPr>
        <w:t>a</w:t>
      </w:r>
      <w:r>
        <w:rPr>
          <w:rFonts w:ascii="Calibri" w:hAnsi="Calibri"/>
          <w:rtl w:val="0"/>
          <w:lang w:val="en-US"/>
        </w:rPr>
        <w:t>). Six Thinking Hats. London: Penguin Life.</w:t>
      </w:r>
    </w:p>
    <w:p>
      <w:pPr>
        <w:pStyle w:val="Default"/>
        <w:suppressAutoHyphens w:val="1"/>
        <w:spacing w:before="0" w:after="240" w:line="360" w:lineRule="auto"/>
        <w:jc w:val="left"/>
        <w:rPr>
          <w:rFonts w:ascii="Calibri" w:cs="Calibri" w:hAnsi="Calibri" w:eastAsia="Calibri"/>
        </w:rPr>
      </w:pPr>
      <w:r>
        <w:rPr>
          <w:rFonts w:ascii="Calibri" w:hAnsi="Calibri"/>
          <w:rtl w:val="0"/>
          <w:lang w:val="it-IT"/>
        </w:rPr>
        <w:t>De Bono, E. (2000</w:t>
      </w:r>
      <w:r>
        <w:rPr>
          <w:rFonts w:ascii="Calibri" w:hAnsi="Calibri"/>
          <w:rtl w:val="0"/>
          <w:lang w:val="en-US"/>
        </w:rPr>
        <w:t>b</w:t>
      </w:r>
      <w:r>
        <w:rPr>
          <w:rFonts w:ascii="Calibri" w:hAnsi="Calibri"/>
          <w:rtl w:val="0"/>
          <w:lang w:val="en-US"/>
        </w:rPr>
        <w:t>). Six Thinking Hats. London: Penguin Life.</w:t>
      </w:r>
    </w:p>
    <w:p>
      <w:pPr>
        <w:pStyle w:val="Default"/>
        <w:suppressAutoHyphens w:val="1"/>
        <w:spacing w:before="0" w:after="240" w:line="360" w:lineRule="auto"/>
        <w:jc w:val="left"/>
        <w:rPr>
          <w:rFonts w:ascii="Calibri" w:cs="Calibri" w:hAnsi="Calibri" w:eastAsia="Calibri"/>
          <w:i w:val="1"/>
          <w:iCs w:val="1"/>
        </w:rPr>
      </w:pPr>
      <w:r>
        <w:rPr>
          <w:rFonts w:ascii="Calibri" w:hAnsi="Calibri"/>
          <w:i w:val="1"/>
          <w:iCs w:val="1"/>
          <w:rtl w:val="0"/>
          <w:lang w:val="en-US"/>
        </w:rPr>
        <w:t>John Eric Adair (2022). Decision making and problem solving : break through barriers and banish uncertainty at work. London ; New York, Ny: Kogan Page.</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Kaplan, R. and October 2001, D.N. 25 (2001). Marked impact. [online] www.peoplemanagement.co.uk. Available at: </w:t>
      </w:r>
      <w:r>
        <w:rPr>
          <w:rFonts w:ascii="Calibri" w:cs="Calibri" w:hAnsi="Calibri" w:eastAsia="Calibri"/>
        </w:rPr>
        <w:fldChar w:fldCharType="begin" w:fldLock="0"/>
      </w:r>
      <w:r>
        <w:rPr>
          <w:rFonts w:ascii="Calibri" w:cs="Calibri" w:hAnsi="Calibri" w:eastAsia="Calibri"/>
        </w:rPr>
        <w:instrText xml:space="preserve"> HYPERLINK "https://www.peoplemanagement.co.uk/article/1746418/marked-impact-business-strategy"</w:instrText>
      </w:r>
      <w:r>
        <w:rPr>
          <w:rFonts w:ascii="Calibri" w:cs="Calibri" w:hAnsi="Calibri" w:eastAsia="Calibri"/>
        </w:rPr>
        <w:fldChar w:fldCharType="separate" w:fldLock="0"/>
      </w:r>
      <w:r>
        <w:rPr>
          <w:rFonts w:ascii="Calibri" w:hAnsi="Calibri"/>
          <w:rtl w:val="0"/>
          <w:lang w:val="en-US"/>
        </w:rPr>
        <w:t>https://www.peoplemanagement.co.uk/article/1746418/marked-impact-business-strategy</w:t>
      </w:r>
      <w:r>
        <w:rPr>
          <w:rFonts w:ascii="Calibri" w:cs="Calibri" w:hAnsi="Calibri" w:eastAsia="Calibri"/>
        </w:rPr>
        <w:fldChar w:fldCharType="end" w:fldLock="0"/>
      </w:r>
      <w:r>
        <w:rPr>
          <w:rFonts w:ascii="Calibri" w:hAnsi="Calibri"/>
          <w:rtl w:val="0"/>
          <w:lang w:val="en-US"/>
        </w:rPr>
        <w:t xml:space="preserve"> cited.</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Litmos Heroes (2014a). What Is Six Thinking Hats? YouTube. Available at: </w:t>
      </w:r>
      <w:r>
        <w:rPr>
          <w:rFonts w:ascii="Calibri" w:cs="Calibri" w:hAnsi="Calibri" w:eastAsia="Calibri"/>
        </w:rPr>
        <w:fldChar w:fldCharType="begin" w:fldLock="0"/>
      </w:r>
      <w:r>
        <w:rPr>
          <w:rFonts w:ascii="Calibri" w:cs="Calibri" w:hAnsi="Calibri" w:eastAsia="Calibri"/>
        </w:rPr>
        <w:instrText xml:space="preserve"> HYPERLINK "https://www.youtube.com/watch?v=UZ8vF8HRWE4"</w:instrText>
      </w:r>
      <w:r>
        <w:rPr>
          <w:rFonts w:ascii="Calibri" w:cs="Calibri" w:hAnsi="Calibri" w:eastAsia="Calibri"/>
        </w:rPr>
        <w:fldChar w:fldCharType="separate" w:fldLock="0"/>
      </w:r>
      <w:r>
        <w:rPr>
          <w:rFonts w:ascii="Calibri" w:hAnsi="Calibri"/>
          <w:rtl w:val="0"/>
          <w:lang w:val="en-US"/>
        </w:rPr>
        <w:t>https://www.youtube.com/watch?v=UZ8vF8HRWE4</w:t>
      </w:r>
      <w:r>
        <w:rPr>
          <w:rFonts w:ascii="Calibri" w:cs="Calibri" w:hAnsi="Calibri" w:eastAsia="Calibri"/>
        </w:rPr>
        <w:fldChar w:fldCharType="end" w:fldLock="0"/>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Lucarz, P. (2022). Five simple steps to workforce planning success. [online] www.peoplemanagement.co.uk. Available at: </w:t>
      </w:r>
      <w:r>
        <w:rPr>
          <w:rFonts w:ascii="Calibri" w:cs="Calibri" w:hAnsi="Calibri" w:eastAsia="Calibri"/>
        </w:rPr>
        <w:fldChar w:fldCharType="begin" w:fldLock="0"/>
      </w:r>
      <w:r>
        <w:rPr>
          <w:rFonts w:ascii="Calibri" w:cs="Calibri" w:hAnsi="Calibri" w:eastAsia="Calibri"/>
        </w:rPr>
        <w:instrText xml:space="preserve"> HYPERLINK "https://www.peoplemanagement.co.uk/article/1751678/five-simple-steps-workforce-planning-success"</w:instrText>
      </w:r>
      <w:r>
        <w:rPr>
          <w:rFonts w:ascii="Calibri" w:cs="Calibri" w:hAnsi="Calibri" w:eastAsia="Calibri"/>
        </w:rPr>
        <w:fldChar w:fldCharType="separate" w:fldLock="0"/>
      </w:r>
      <w:r>
        <w:rPr>
          <w:rFonts w:ascii="Calibri" w:hAnsi="Calibri"/>
          <w:rtl w:val="0"/>
          <w:lang w:val="en-US"/>
        </w:rPr>
        <w:t>https://www.peoplemanagement.co.uk/article/1751678/five-simple-steps-workforce-planning-success</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Makos, J. (2024). What Is PESTLE Analysis? A Tool for Business Analysis. [online] PESTLE Analysis. Available at: </w:t>
      </w:r>
      <w:r>
        <w:rPr>
          <w:rFonts w:ascii="Calibri" w:cs="Calibri" w:hAnsi="Calibri" w:eastAsia="Calibri"/>
        </w:rPr>
        <w:fldChar w:fldCharType="begin" w:fldLock="0"/>
      </w:r>
      <w:r>
        <w:rPr>
          <w:rFonts w:ascii="Calibri" w:cs="Calibri" w:hAnsi="Calibri" w:eastAsia="Calibri"/>
        </w:rPr>
        <w:instrText xml:space="preserve"> HYPERLINK "https://pestleanalysis.com/what-is-pestle-analysis/"</w:instrText>
      </w:r>
      <w:r>
        <w:rPr>
          <w:rFonts w:ascii="Calibri" w:cs="Calibri" w:hAnsi="Calibri" w:eastAsia="Calibri"/>
        </w:rPr>
        <w:fldChar w:fldCharType="separate" w:fldLock="0"/>
      </w:r>
      <w:r>
        <w:rPr>
          <w:rFonts w:ascii="Calibri" w:hAnsi="Calibri"/>
          <w:rtl w:val="0"/>
          <w:lang w:val="en-US"/>
        </w:rPr>
        <w:t>https://pestleanalysis.com/what-is-pestle-analysis/</w:t>
      </w:r>
      <w:r>
        <w:rPr>
          <w:rFonts w:ascii="Calibri" w:cs="Calibri" w:hAnsi="Calibri" w:eastAsia="Calibri"/>
        </w:rPr>
        <w:fldChar w:fldCharType="end" w:fldLock="0"/>
      </w:r>
      <w:r>
        <w:rPr>
          <w:rFonts w:ascii="Calibri" w:hAnsi="Calibri"/>
          <w:rtl w:val="0"/>
          <w:lang w:val="en-US"/>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Marenco, P. (2017). Evidence-Based Management: From the What and the Why, to the How To </w:t>
      </w:r>
      <w:r>
        <w:rPr>
          <w:rFonts w:ascii="Calibri" w:hAnsi="Calibri" w:hint="default"/>
          <w:rtl w:val="0"/>
        </w:rPr>
        <w:t xml:space="preserve">• </w:t>
      </w:r>
      <w:r>
        <w:rPr>
          <w:rFonts w:ascii="Calibri" w:hAnsi="Calibri"/>
          <w:rtl w:val="0"/>
          <w:lang w:val="en-US"/>
        </w:rPr>
        <w:t xml:space="preserve">ScienceForWork. [online] ScienceForWork. Available at: </w:t>
      </w:r>
      <w:r>
        <w:rPr>
          <w:rFonts w:ascii="Calibri" w:cs="Calibri" w:hAnsi="Calibri" w:eastAsia="Calibri"/>
        </w:rPr>
        <w:fldChar w:fldCharType="begin" w:fldLock="0"/>
      </w:r>
      <w:r>
        <w:rPr>
          <w:rFonts w:ascii="Calibri" w:cs="Calibri" w:hAnsi="Calibri" w:eastAsia="Calibri"/>
        </w:rPr>
        <w:instrText xml:space="preserve"> HYPERLINK "https://scienceforwork.com/blog/evidence-based-management-training/"</w:instrText>
      </w:r>
      <w:r>
        <w:rPr>
          <w:rFonts w:ascii="Calibri" w:cs="Calibri" w:hAnsi="Calibri" w:eastAsia="Calibri"/>
        </w:rPr>
        <w:fldChar w:fldCharType="separate" w:fldLock="0"/>
      </w:r>
      <w:r>
        <w:rPr>
          <w:rFonts w:ascii="Calibri" w:hAnsi="Calibri"/>
          <w:rtl w:val="0"/>
          <w:lang w:val="en-US"/>
        </w:rPr>
        <w:t>https://scienceforwork.com/blog/evidence-based-management-training/</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Peek, S. (2025). Management Theory of Elton Mayo. [online] business.com. Available at: </w:t>
      </w:r>
      <w:r>
        <w:rPr>
          <w:rFonts w:ascii="Calibri" w:cs="Calibri" w:hAnsi="Calibri" w:eastAsia="Calibri"/>
        </w:rPr>
        <w:fldChar w:fldCharType="begin" w:fldLock="0"/>
      </w:r>
      <w:r>
        <w:rPr>
          <w:rFonts w:ascii="Calibri" w:cs="Calibri" w:hAnsi="Calibri" w:eastAsia="Calibri"/>
        </w:rPr>
        <w:instrText xml:space="preserve"> HYPERLINK "https://www.business.com/articles/management-theory-of-elton-mayo/"</w:instrText>
      </w:r>
      <w:r>
        <w:rPr>
          <w:rFonts w:ascii="Calibri" w:cs="Calibri" w:hAnsi="Calibri" w:eastAsia="Calibri"/>
        </w:rPr>
        <w:fldChar w:fldCharType="separate" w:fldLock="0"/>
      </w:r>
      <w:r>
        <w:rPr>
          <w:rFonts w:ascii="Calibri" w:hAnsi="Calibri"/>
          <w:rtl w:val="0"/>
          <w:lang w:val="en-US"/>
        </w:rPr>
        <w:t>https://www.business.com/articles/management-theory-of-elton-mayo/</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PM Editorial (2026). Essential HR skills: situational decision making. [online] Peoplemanagement.co.uk. Available at: </w:t>
      </w:r>
      <w:r>
        <w:rPr>
          <w:rFonts w:ascii="Calibri" w:cs="Calibri" w:hAnsi="Calibri" w:eastAsia="Calibri"/>
        </w:rPr>
        <w:fldChar w:fldCharType="begin" w:fldLock="0"/>
      </w:r>
      <w:r>
        <w:rPr>
          <w:rFonts w:ascii="Calibri" w:cs="Calibri" w:hAnsi="Calibri" w:eastAsia="Calibri"/>
        </w:rPr>
        <w:instrText xml:space="preserve"> HYPERLINK "https://www.peoplemanagement.co.uk/article/1950991/essential-hr-skills-situational-decision-making"</w:instrText>
      </w:r>
      <w:r>
        <w:rPr>
          <w:rFonts w:ascii="Calibri" w:cs="Calibri" w:hAnsi="Calibri" w:eastAsia="Calibri"/>
        </w:rPr>
        <w:fldChar w:fldCharType="separate" w:fldLock="0"/>
      </w:r>
      <w:r>
        <w:rPr>
          <w:rFonts w:ascii="Calibri" w:hAnsi="Calibri"/>
          <w:rtl w:val="0"/>
          <w:lang w:val="en-US"/>
        </w:rPr>
        <w:t>https://www.peoplemanagement.co.uk/article/1950991/essential-hr-skills-situational-decision-making</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Stobierski, T. (2020). How to read &amp; understand a balance sheet. [online] Business Insights - Blog. Available at: </w:t>
      </w:r>
      <w:r>
        <w:rPr>
          <w:rFonts w:ascii="Calibri" w:cs="Calibri" w:hAnsi="Calibri" w:eastAsia="Calibri"/>
        </w:rPr>
        <w:fldChar w:fldCharType="begin" w:fldLock="0"/>
      </w:r>
      <w:r>
        <w:rPr>
          <w:rFonts w:ascii="Calibri" w:cs="Calibri" w:hAnsi="Calibri" w:eastAsia="Calibri"/>
        </w:rPr>
        <w:instrText xml:space="preserve"> HYPERLINK "https://online.hbs.edu/blog/post/how-to-read-a-balance-sheet"</w:instrText>
      </w:r>
      <w:r>
        <w:rPr>
          <w:rFonts w:ascii="Calibri" w:cs="Calibri" w:hAnsi="Calibri" w:eastAsia="Calibri"/>
        </w:rPr>
        <w:fldChar w:fldCharType="separate" w:fldLock="0"/>
      </w:r>
      <w:r>
        <w:rPr>
          <w:rFonts w:ascii="Calibri" w:hAnsi="Calibri"/>
          <w:rtl w:val="0"/>
          <w:lang w:val="en-US"/>
        </w:rPr>
        <w:t>https://online.hbs.edu/blog/post/how-to-read-a-balance-sheet</w:t>
      </w:r>
      <w:r>
        <w:rPr>
          <w:rFonts w:ascii="Calibri" w:cs="Calibri" w:hAnsi="Calibri" w:eastAsia="Calibri"/>
        </w:rPr>
        <w:fldChar w:fldCharType="end" w:fldLock="0"/>
      </w:r>
      <w:r>
        <w:rPr>
          <w:rFonts w:ascii="Calibri" w:hAnsi="Calibri"/>
          <w:rtl w:val="0"/>
          <w:lang w:val="en-US"/>
        </w:rPr>
        <w:t xml:space="preserve"> cited</w:t>
      </w:r>
      <w:r>
        <w:rPr>
          <w:rFonts w:ascii="Calibri" w:hAnsi="Calibri"/>
          <w:rtl w:val="0"/>
          <w:lang w:val="en-US"/>
        </w:rPr>
        <w:t xml:space="preserve"> [Accessed 12 May 2026].</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StudyPulse (2025). Financial and Non-Financial Performance Measures. [online] Studypulse.au. Available at: </w:t>
      </w:r>
      <w:r>
        <w:rPr>
          <w:rFonts w:ascii="Calibri" w:cs="Calibri" w:hAnsi="Calibri" w:eastAsia="Calibri"/>
        </w:rPr>
        <w:fldChar w:fldCharType="begin" w:fldLock="0"/>
      </w:r>
      <w:r>
        <w:rPr>
          <w:rFonts w:ascii="Calibri" w:cs="Calibri" w:hAnsi="Calibri" w:eastAsia="Calibri"/>
        </w:rPr>
        <w:instrText xml:space="preserve"> HYPERLINK "https://vce.studypulse.au/learn/ACCT/performance_measures"</w:instrText>
      </w:r>
      <w:r>
        <w:rPr>
          <w:rFonts w:ascii="Calibri" w:cs="Calibri" w:hAnsi="Calibri" w:eastAsia="Calibri"/>
        </w:rPr>
        <w:fldChar w:fldCharType="separate" w:fldLock="0"/>
      </w:r>
      <w:r>
        <w:rPr>
          <w:rFonts w:ascii="Calibri" w:hAnsi="Calibri"/>
          <w:rtl w:val="0"/>
          <w:lang w:val="en-US"/>
        </w:rPr>
        <w:t>https://vce.studypulse.au/learn/ACCT/performance_measures</w:t>
      </w:r>
      <w:r>
        <w:rPr>
          <w:rFonts w:ascii="Calibri" w:cs="Calibri" w:hAnsi="Calibri" w:eastAsia="Calibri"/>
        </w:rPr>
        <w:fldChar w:fldCharType="end" w:fldLock="0"/>
      </w:r>
      <w:r>
        <w:rPr>
          <w:rFonts w:ascii="Calibri" w:hAnsi="Calibri"/>
          <w:rtl w:val="0"/>
        </w:rPr>
        <w:t xml:space="preserve">. </w:t>
      </w:r>
      <w:r>
        <w:rPr>
          <w:rFonts w:ascii="Calibri" w:hAnsi="Calibri"/>
          <w:rtl w:val="0"/>
          <w:lang w:val="en-US"/>
        </w:rPr>
        <w:t>]Accessed 1 June 2026]</w:t>
      </w:r>
    </w:p>
    <w:p>
      <w:pPr>
        <w:pStyle w:val="Default"/>
        <w:suppressAutoHyphens w:val="1"/>
        <w:spacing w:before="0" w:after="240" w:line="360" w:lineRule="auto"/>
        <w:jc w:val="left"/>
        <w:rPr>
          <w:rFonts w:ascii="Calibri" w:cs="Calibri" w:hAnsi="Calibri" w:eastAsia="Calibri"/>
          <w:i w:val="1"/>
          <w:iCs w:val="1"/>
        </w:rPr>
      </w:pPr>
      <w:r>
        <w:rPr>
          <w:rFonts w:ascii="Calibri" w:hAnsi="Calibri"/>
          <w:i w:val="1"/>
          <w:iCs w:val="1"/>
          <w:rtl w:val="0"/>
          <w:lang w:val="en-US"/>
        </w:rPr>
        <w:t>Taylor, S. and Woodhams, C. (2022a). Studying Human Resource Management a Guide to the Study, Context and Practice of HR. 3rd ed. Kogan Page, p.46.</w:t>
      </w:r>
    </w:p>
    <w:p>
      <w:pPr>
        <w:pStyle w:val="Default"/>
        <w:suppressAutoHyphens w:val="1"/>
        <w:spacing w:before="0" w:after="240" w:line="360" w:lineRule="auto"/>
        <w:jc w:val="left"/>
        <w:rPr>
          <w:rFonts w:ascii="Calibri" w:cs="Calibri" w:hAnsi="Calibri" w:eastAsia="Calibri"/>
          <w:i w:val="1"/>
          <w:iCs w:val="1"/>
        </w:rPr>
      </w:pPr>
      <w:r>
        <w:rPr>
          <w:rFonts w:ascii="Calibri" w:hAnsi="Calibri"/>
          <w:i w:val="1"/>
          <w:iCs w:val="1"/>
          <w:rtl w:val="0"/>
          <w:lang w:val="en-US"/>
        </w:rPr>
        <w:t>Taylor, S. and Woodhams, C. (2022b). Studying Human Resource Management a Guide to the Study, Context and Practice of HR. 3rd ed. Kogan Page, p.128.</w:t>
      </w:r>
    </w:p>
    <w:p>
      <w:pPr>
        <w:pStyle w:val="Default"/>
        <w:suppressAutoHyphens w:val="1"/>
        <w:spacing w:before="0" w:after="240" w:line="360" w:lineRule="auto"/>
        <w:jc w:val="left"/>
        <w:rPr>
          <w:rFonts w:ascii="Calibri" w:cs="Calibri" w:hAnsi="Calibri" w:eastAsia="Calibri"/>
          <w:i w:val="1"/>
          <w:iCs w:val="1"/>
        </w:rPr>
      </w:pPr>
      <w:r>
        <w:rPr>
          <w:rFonts w:ascii="Calibri" w:hAnsi="Calibri"/>
          <w:i w:val="1"/>
          <w:iCs w:val="1"/>
          <w:rtl w:val="0"/>
          <w:lang w:val="en-US"/>
        </w:rPr>
        <w:t>Taylor, S. and Woodhams, C. (2022c). Studying Human Resource Management a Guide to the Study, Context and Practice of HR. 3rd ed. Kogan Page, p.135.</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Young, J. (2024). Ethical Practice and the Role of People Professionals.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"https://www.cipd.org/uk/knowledge/factsheets/ethics-role-hr-factsheet/"</w:instrText>
      </w:r>
      <w:r>
        <w:rPr>
          <w:rFonts w:ascii="Calibri" w:cs="Calibri" w:hAnsi="Calibri" w:eastAsia="Calibri"/>
        </w:rPr>
        <w:fldChar w:fldCharType="separate" w:fldLock="0"/>
      </w:r>
      <w:r>
        <w:rPr>
          <w:rFonts w:ascii="Calibri" w:hAnsi="Calibri"/>
          <w:rtl w:val="0"/>
          <w:lang w:val="en-US"/>
        </w:rPr>
        <w:t>https://www.cipd.org/uk/knowledge/factsheets/ethics-role-hr-factsheet/</w:t>
      </w:r>
      <w:r>
        <w:rPr>
          <w:rFonts w:ascii="Calibri" w:cs="Calibri" w:hAnsi="Calibri" w:eastAsia="Calibri"/>
        </w:rPr>
        <w:fldChar w:fldCharType="end" w:fldLock="0"/>
      </w:r>
      <w:r>
        <w:rPr>
          <w:rFonts w:ascii="Calibri" w:hAnsi="Calibri"/>
          <w:rtl w:val="0"/>
        </w:rPr>
        <w:t>.</w:t>
      </w:r>
    </w:p>
    <w:p>
      <w:pPr>
        <w:pStyle w:val="Default"/>
        <w:suppressAutoHyphens w:val="1"/>
        <w:spacing w:before="0" w:after="240" w:line="360" w:lineRule="auto"/>
        <w:jc w:val="left"/>
        <w:rPr>
          <w:rFonts w:ascii="Calibri" w:cs="Calibri" w:hAnsi="Calibri" w:eastAsia="Calibri"/>
        </w:rPr>
      </w:pPr>
      <w:r>
        <w:rPr>
          <w:rFonts w:ascii="Calibri" w:hAnsi="Calibri"/>
          <w:rtl w:val="0"/>
          <w:lang w:val="en-US"/>
        </w:rPr>
        <w:t xml:space="preserve">Young, J. and Gifford, J. (2020). CIPD | When the going gets tough, the tough get evidence. [online] CIPD. Available at: </w:t>
      </w:r>
      <w:r>
        <w:rPr>
          <w:rFonts w:ascii="Calibri" w:cs="Calibri" w:hAnsi="Calibri" w:eastAsia="Calibri"/>
        </w:rPr>
        <w:fldChar w:fldCharType="begin" w:fldLock="0"/>
      </w:r>
      <w:r>
        <w:rPr>
          <w:rFonts w:ascii="Calibri" w:cs="Calibri" w:hAnsi="Calibri" w:eastAsia="Calibri"/>
        </w:rPr>
        <w:instrText xml:space="preserve"> HYPERLINK "https://www.cipd.org/uk/views-and-insights/thought-leadership/people-profession/evidence/"</w:instrText>
      </w:r>
      <w:r>
        <w:rPr>
          <w:rFonts w:ascii="Calibri" w:cs="Calibri" w:hAnsi="Calibri" w:eastAsia="Calibri"/>
        </w:rPr>
        <w:fldChar w:fldCharType="separate" w:fldLock="0"/>
      </w:r>
      <w:r>
        <w:rPr>
          <w:rFonts w:ascii="Calibri" w:hAnsi="Calibri"/>
          <w:rtl w:val="0"/>
          <w:lang w:val="en-US"/>
        </w:rPr>
        <w:t>https://www.cipd.org/uk/views-and-insights/thought-leadership/people-profession/evidence/</w:t>
      </w:r>
      <w:r>
        <w:rPr>
          <w:rFonts w:ascii="Calibri" w:cs="Calibri" w:hAnsi="Calibri" w:eastAsia="Calibri"/>
        </w:rPr>
        <w:fldChar w:fldCharType="end" w:fldLock="0"/>
      </w:r>
      <w:r>
        <w:rPr>
          <w:rFonts w:ascii="Calibri" w:hAnsi="Calibri"/>
          <w:rtl w:val="0"/>
        </w:rPr>
        <w:t>.</w:t>
      </w:r>
    </w:p>
    <w:p>
      <w:pPr>
        <w:pStyle w:val="Default"/>
        <w:suppressAutoHyphens w:val="1"/>
        <w:spacing w:before="0" w:after="320" w:line="240" w:lineRule="auto"/>
        <w:jc w:val="left"/>
        <w:rPr>
          <w:rFonts w:ascii="Calibri" w:cs="Calibri" w:hAnsi="Calibri" w:eastAsia="Calibri"/>
          <w:i w:val="1"/>
          <w:iCs w:val="1"/>
          <w:shd w:val="clear" w:color="auto" w:fill="ffffff"/>
        </w:rPr>
      </w:pPr>
    </w:p>
    <w:p>
      <w:pPr>
        <w:pStyle w:val="Default"/>
        <w:suppressAutoHyphens w:val="1"/>
        <w:spacing w:before="0" w:after="320" w:line="240" w:lineRule="auto"/>
        <w:jc w:val="left"/>
        <w:rPr>
          <w:rFonts w:ascii="Calibri" w:cs="Calibri" w:hAnsi="Calibri" w:eastAsia="Calibri"/>
          <w:shd w:val="clear" w:color="auto" w:fill="ffffff"/>
        </w:rPr>
      </w:pPr>
    </w:p>
    <w:p>
      <w:pPr>
        <w:pStyle w:val="Default"/>
        <w:suppressAutoHyphens w:val="1"/>
        <w:spacing w:before="0" w:after="320" w:line="240" w:lineRule="auto"/>
        <w:jc w:val="left"/>
        <w:rPr>
          <w:rFonts w:ascii="Calibri" w:cs="Calibri" w:hAnsi="Calibri" w:eastAsia="Calibri"/>
          <w:shd w:val="clear" w:color="auto" w:fill="ffffff"/>
        </w:rPr>
      </w:pPr>
    </w:p>
    <w:p>
      <w:pPr>
        <w:pStyle w:val="Default"/>
        <w:suppressAutoHyphens w:val="1"/>
        <w:spacing w:before="0" w:after="320" w:line="240" w:lineRule="auto"/>
        <w:jc w:val="left"/>
        <w:rPr>
          <w:rFonts w:ascii="Calibri" w:cs="Calibri" w:hAnsi="Calibri" w:eastAsia="Calibri"/>
          <w:shd w:val="clear" w:color="auto" w:fill="ffffff"/>
        </w:rPr>
      </w:pPr>
    </w:p>
    <w:p>
      <w:pPr>
        <w:pStyle w:val="Default"/>
        <w:suppressAutoHyphens w:val="1"/>
        <w:spacing w:before="0" w:after="320" w:line="240" w:lineRule="auto"/>
        <w:jc w:val="left"/>
      </w:pPr>
      <w:r>
        <w:rPr>
          <w:rFonts w:ascii="Calibri" w:cs="Calibri" w:hAnsi="Calibri" w:eastAsia="Calibri"/>
          <w:shd w:val="clear" w:color="auto" w:fill="ffffff"/>
        </w:rPr>
      </w:r>
    </w:p>
    <w:sectPr>
      <w:headerReference w:type="default" r:id="rId10"/>
      <w:footerReference w:type="default" r:id="rId11"/>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br w:type="textWrapping"/>
    </w:r>
    <w:r>
      <w:rPr>
        <w:rFonts w:ascii="Calibri" w:hAnsi="Calibri"/>
        <w:sz w:val="20"/>
        <w:szCs w:val="20"/>
        <w:rtl w:val="0"/>
        <w:lang w:val="en-US"/>
      </w:rPr>
      <w:t xml:space="preserve">Jane Lewis - </w:t>
    </w:r>
    <w:r>
      <w:rPr>
        <w:rFonts w:ascii="Calibri" w:hAnsi="Calibri"/>
        <w:sz w:val="20"/>
        <w:szCs w:val="20"/>
        <w:rtl w:val="0"/>
      </w:rPr>
      <w:t>23296214</w:t>
    </w:r>
    <w:r>
      <w:tab/>
      <w:tab/>
    </w:r>
    <w:r>
      <w:rPr>
        <w:rFonts w:ascii="Calibri" w:cs="Calibri" w:hAnsi="Calibri" w:eastAsia="Calibri"/>
        <w:b w:val="0"/>
        <w:bCs w:val="0"/>
        <w:i w:val="0"/>
        <w:iCs w:val="0"/>
        <w:sz w:val="20"/>
        <w:szCs w:val="20"/>
      </w:rPr>
      <w:fldChar w:fldCharType="begin" w:fldLock="0"/>
    </w:r>
    <w:r>
      <w:rPr>
        <w:rFonts w:ascii="Calibri" w:cs="Calibri" w:hAnsi="Calibri" w:eastAsia="Calibri"/>
        <w:b w:val="0"/>
        <w:bCs w:val="0"/>
        <w:i w:val="0"/>
        <w:iCs w:val="0"/>
        <w:sz w:val="20"/>
        <w:szCs w:val="20"/>
      </w:rPr>
      <w:instrText xml:space="preserve"> PAGE </w:instrText>
    </w:r>
    <w:r>
      <w:rPr>
        <w:rFonts w:ascii="Calibri" w:cs="Calibri" w:hAnsi="Calibri" w:eastAsia="Calibri"/>
        <w:b w:val="0"/>
        <w:bCs w:val="0"/>
        <w:i w:val="0"/>
        <w:iCs w:val="0"/>
        <w:sz w:val="20"/>
        <w:szCs w:val="20"/>
      </w:rPr>
      <w:fldChar w:fldCharType="separate" w:fldLock="0"/>
    </w:r>
    <w:r>
      <w:rPr>
        <w:rFonts w:ascii="Calibri" w:cs="Calibri" w:hAnsi="Calibri" w:eastAsia="Calibri"/>
        <w:b w:val="0"/>
        <w:bCs w:val="0"/>
        <w:i w:val="0"/>
        <w:iCs w:val="0"/>
        <w:sz w:val="20"/>
        <w:szCs w:val="20"/>
      </w:rPr>
    </w:r>
    <w:r>
      <w:rPr>
        <w:rFonts w:ascii="Calibri" w:cs="Calibri" w:hAnsi="Calibri" w:eastAsia="Calibri"/>
        <w:b w:val="0"/>
        <w:bCs w:val="0"/>
        <w:i w:val="0"/>
        <w:iCs w:val="0"/>
        <w:sz w:val="20"/>
        <w:szCs w:val="2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Object Caption">
    <w:name w:val="Object Caption"/>
    <w:next w:val="Object Caption"/>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chart" Target="charts/chart1.xml"/><Relationship Id="rId5" Type="http://schemas.openxmlformats.org/officeDocument/2006/relationships/image" Target="media/image1.png"/><Relationship Id="rId6" Type="http://schemas.openxmlformats.org/officeDocument/2006/relationships/chart" Target="charts/chart2.xml"/><Relationship Id="rId7" Type="http://schemas.openxmlformats.org/officeDocument/2006/relationships/image" Target="media/image2.png"/><Relationship Id="rId8" Type="http://schemas.openxmlformats.org/officeDocument/2006/relationships/chart" Target="charts/chart3.xml"/><Relationship Id="rId9" Type="http://schemas.openxmlformats.org/officeDocument/2006/relationships/image" Target="media/image3.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charts/_rels/chart1.xml.rels><?xml version="1.0" encoding="UTF-8"?>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Relationships xmlns="http://schemas.openxmlformats.org/package/2006/relationships"><Relationship Id="rId1" Type="http://schemas.openxmlformats.org/officeDocument/2006/relationships/package" Target="../embeddings/Microsoft_Excel_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a:defRPr b="0" i="0" strike="noStrike" sz="1800" u="none">
                <a:solidFill>
                  <a:srgbClr val="000000"/>
                </a:solidFill>
                <a:latin typeface="Calibri"/>
              </a:defRPr>
            </a:pPr>
            <a:r>
              <a:rPr b="0" i="0" strike="noStrike" sz="1800" u="none">
                <a:solidFill>
                  <a:srgbClr val="000000"/>
                </a:solidFill>
                <a:latin typeface="Calibri"/>
              </a:rPr>
              <a:t>Wellbeing Advice</a:t>
            </a:r>
          </a:p>
        </c:rich>
      </c:tx>
      <c:layout>
        <c:manualLayout>
          <c:xMode val="edge"/>
          <c:yMode val="edge"/>
          <c:x val="0.380618"/>
          <c:y val="0"/>
          <c:w val="0.238763"/>
          <c:h val="0.10097"/>
        </c:manualLayout>
      </c:layout>
      <c:overlay val="1"/>
      <c:spPr>
        <a:noFill/>
        <a:effectLst/>
      </c:spPr>
    </c:title>
    <c:autoTitleDeleted val="1"/>
    <c:plotArea>
      <c:layout>
        <c:manualLayout>
          <c:layoutTarget val="inner"/>
          <c:xMode val="edge"/>
          <c:yMode val="edge"/>
          <c:x val="0.109941"/>
          <c:y val="0.10097"/>
          <c:w val="0.859747"/>
          <c:h val="0.630594"/>
        </c:manualLayout>
      </c:layout>
      <c:scatterChart>
        <c:scatterStyle val="lineMarker"/>
        <c:varyColors val="0"/>
        <c:ser>
          <c:idx val="0"/>
          <c:order val="0"/>
          <c:tx>
            <c:strRef>
              <c:f>Sheet1!$B$1</c:f>
              <c:strCache>
                <c:ptCount val="1"/>
                <c:pt idx="0">
                  <c:v>Infrequent User %</c:v>
                </c:pt>
              </c:strCache>
            </c:strRef>
          </c:tx>
          <c:spPr>
            <a:solidFill>
              <a:srgbClr val="4472C4"/>
            </a:solidFill>
            <a:ln w="31750" cap="flat">
              <a:noFill/>
              <a:prstDash val="solid"/>
              <a:miter lim="800000"/>
            </a:ln>
            <a:effectLst/>
          </c:spPr>
          <c:marker>
            <c:symbol val="circle"/>
            <c:size val="7"/>
            <c:spPr>
              <a:solidFill>
                <a:srgbClr val="4472C4"/>
              </a:solidFill>
              <a:ln w="6350" cap="flat">
                <a:solidFill>
                  <a:srgbClr val="4472C4"/>
                </a:solidFill>
                <a:prstDash val="solid"/>
                <a:miter lim="800000"/>
              </a:ln>
              <a:effectLst/>
            </c:spPr>
          </c:marker>
          <c:dLbls>
            <c:numFmt formatCode="#,##0" sourceLinked="0"/>
            <c:txPr>
              <a:bodyPr/>
              <a:lstStyle/>
              <a:p>
                <a:pPr>
                  <a:defRPr b="0" i="0" strike="noStrike" sz="1800" u="none">
                    <a:solidFill>
                      <a:srgbClr val="000000"/>
                    </a:solidFill>
                    <a:latin typeface="Calibri"/>
                  </a:defRPr>
                </a:pPr>
              </a:p>
            </c:txPr>
            <c:dLblPos val="t"/>
            <c:showLegendKey val="0"/>
            <c:showVal val="0"/>
            <c:showCatName val="0"/>
            <c:showSerName val="0"/>
            <c:showPercent val="0"/>
            <c:showBubbleSize val="0"/>
            <c:showLeaderLines val="0"/>
          </c:dLbls>
          <c:xVal>
            <c:numRef>
              <c:f>Sheet1!$B$2:$B$2</c:f>
              <c:numCache>
                <c:ptCount val="1"/>
                <c:pt idx="0">
                  <c:v>0.629000</c:v>
                </c:pt>
              </c:numCache>
            </c:numRef>
          </c:xVal>
          <c:yVal>
            <c:numRef>
              <c:f>Sheet1!$C$2:$C$2</c:f>
              <c:numCache>
                <c:ptCount val="1"/>
                <c:pt idx="0">
                  <c:v>0.371000</c:v>
                </c:pt>
              </c:numCache>
            </c:numRef>
          </c:yVal>
          <c:smooth val="0"/>
        </c:ser>
        <c:ser>
          <c:idx val="1"/>
          <c:order val="1"/>
          <c:tx>
            <c:strRef>
              <c:f>Sheet1!$C$1</c:f>
              <c:strCache>
                <c:ptCount val="1"/>
                <c:pt idx="0">
                  <c:v>Effective %</c:v>
                </c:pt>
              </c:strCache>
            </c:strRef>
          </c:tx>
          <c:spPr>
            <a:solidFill>
              <a:srgbClr val="ED7D31"/>
            </a:solidFill>
            <a:ln w="31750" cap="flat">
              <a:noFill/>
              <a:prstDash val="solid"/>
              <a:miter lim="800000"/>
            </a:ln>
            <a:effectLst/>
          </c:spPr>
          <c:marker>
            <c:symbol val="circle"/>
            <c:size val="7"/>
            <c:spPr>
              <a:solidFill>
                <a:srgbClr val="ED7D31"/>
              </a:solidFill>
              <a:ln w="6350" cap="flat">
                <a:solidFill>
                  <a:srgbClr val="ED7D31"/>
                </a:solidFill>
                <a:prstDash val="solid"/>
                <a:miter lim="800000"/>
              </a:ln>
              <a:effectLst/>
            </c:spPr>
          </c:marker>
          <c:dLbls>
            <c:numFmt formatCode="#,##0" sourceLinked="0"/>
            <c:txPr>
              <a:bodyPr/>
              <a:lstStyle/>
              <a:p>
                <a:pPr>
                  <a:defRPr b="0" i="0" strike="noStrike" sz="1800" u="none">
                    <a:solidFill>
                      <a:srgbClr val="000000"/>
                    </a:solidFill>
                    <a:latin typeface="Calibri"/>
                  </a:defRPr>
                </a:pPr>
              </a:p>
            </c:txPr>
            <c:dLblPos val="t"/>
            <c:showLegendKey val="0"/>
            <c:showVal val="0"/>
            <c:showCatName val="0"/>
            <c:showSerName val="0"/>
            <c:showPercent val="0"/>
            <c:showBubbleSize val="0"/>
            <c:showLeaderLines val="0"/>
          </c:dLbls>
          <c:xVal>
            <c:numRef>
              <c:f>Sheet1!$B$2:$B$2</c:f>
              <c:numCache>
                <c:ptCount val="1"/>
                <c:pt idx="0">
                  <c:v>0.629000</c:v>
                </c:pt>
              </c:numCache>
            </c:numRef>
          </c:xVal>
          <c:yVal>
            <c:numRef>
              <c:f>Sheet1!$D$2:$D$2</c:f>
              <c:numCache>
                <c:ptCount val="1"/>
                <c:pt idx="0">
                  <c:v>0.857000</c:v>
                </c:pt>
              </c:numCache>
            </c:numRef>
          </c:yVal>
          <c:smooth val="0"/>
        </c:ser>
        <c:ser>
          <c:idx val="2"/>
          <c:order val="2"/>
          <c:tx>
            <c:strRef>
              <c:f>Sheet1!$D$1</c:f>
              <c:strCache>
                <c:ptCount val="1"/>
                <c:pt idx="0">
                  <c:v>Non Effective %</c:v>
                </c:pt>
              </c:strCache>
            </c:strRef>
          </c:tx>
          <c:spPr>
            <a:solidFill>
              <a:srgbClr val="A5A5A5"/>
            </a:solidFill>
            <a:ln w="31750" cap="flat">
              <a:noFill/>
              <a:prstDash val="solid"/>
              <a:miter lim="800000"/>
            </a:ln>
            <a:effectLst/>
          </c:spPr>
          <c:marker>
            <c:symbol val="circle"/>
            <c:size val="7"/>
            <c:spPr>
              <a:solidFill>
                <a:srgbClr val="A5A5A5"/>
              </a:solidFill>
              <a:ln w="6350" cap="flat">
                <a:solidFill>
                  <a:srgbClr val="A5A5A5"/>
                </a:solidFill>
                <a:prstDash val="solid"/>
                <a:miter lim="800000"/>
              </a:ln>
              <a:effectLst/>
            </c:spPr>
          </c:marker>
          <c:dLbls>
            <c:numFmt formatCode="#,##0" sourceLinked="0"/>
            <c:txPr>
              <a:bodyPr/>
              <a:lstStyle/>
              <a:p>
                <a:pPr>
                  <a:defRPr b="0" i="0" strike="noStrike" sz="1800" u="none">
                    <a:solidFill>
                      <a:srgbClr val="000000"/>
                    </a:solidFill>
                    <a:latin typeface="Calibri"/>
                  </a:defRPr>
                </a:pPr>
              </a:p>
            </c:txPr>
            <c:dLblPos val="t"/>
            <c:showLegendKey val="0"/>
            <c:showVal val="0"/>
            <c:showCatName val="0"/>
            <c:showSerName val="0"/>
            <c:showPercent val="0"/>
            <c:showBubbleSize val="0"/>
            <c:showLeaderLines val="0"/>
          </c:dLbls>
          <c:xVal>
            <c:numRef>
              <c:f>Sheet1!$B$2:$B$2</c:f>
              <c:numCache>
                <c:ptCount val="1"/>
                <c:pt idx="0">
                  <c:v>0.629000</c:v>
                </c:pt>
              </c:numCache>
            </c:numRef>
          </c:xVal>
          <c:yVal>
            <c:numRef>
              <c:f>Sheet1!$E$2:$E$2</c:f>
              <c:numCache>
                <c:ptCount val="1"/>
                <c:pt idx="0">
                  <c:v>0.143000</c:v>
                </c:pt>
              </c:numCache>
            </c:numRef>
          </c:yVal>
          <c:smooth val="0"/>
        </c:ser>
        <c:ser>
          <c:idx val="3"/>
          <c:order val="3"/>
          <c:tx>
            <c:strRef>
              <c:f>Sheet1!$E$1</c:f>
              <c:strCache>
                <c:ptCount val="1"/>
                <c:pt idx="0">
                  <c:v>High Value %</c:v>
                </c:pt>
              </c:strCache>
            </c:strRef>
          </c:tx>
          <c:spPr>
            <a:solidFill>
              <a:srgbClr val="FFC000"/>
            </a:solidFill>
            <a:ln w="31750" cap="flat">
              <a:noFill/>
              <a:prstDash val="solid"/>
              <a:miter lim="800000"/>
            </a:ln>
            <a:effectLst/>
          </c:spPr>
          <c:marker>
            <c:symbol val="circle"/>
            <c:size val="7"/>
            <c:spPr>
              <a:solidFill>
                <a:srgbClr val="FFC000"/>
              </a:solidFill>
              <a:ln w="6350" cap="flat">
                <a:solidFill>
                  <a:srgbClr val="FFC000"/>
                </a:solidFill>
                <a:prstDash val="solid"/>
                <a:miter lim="800000"/>
              </a:ln>
              <a:effectLst/>
            </c:spPr>
          </c:marker>
          <c:dLbls>
            <c:numFmt formatCode="#,##0" sourceLinked="0"/>
            <c:txPr>
              <a:bodyPr/>
              <a:lstStyle/>
              <a:p>
                <a:pPr>
                  <a:defRPr b="0" i="0" strike="noStrike" sz="1800" u="none">
                    <a:solidFill>
                      <a:srgbClr val="000000"/>
                    </a:solidFill>
                    <a:latin typeface="Calibri"/>
                  </a:defRPr>
                </a:pPr>
              </a:p>
            </c:txPr>
            <c:dLblPos val="t"/>
            <c:showLegendKey val="0"/>
            <c:showVal val="0"/>
            <c:showCatName val="0"/>
            <c:showSerName val="0"/>
            <c:showPercent val="0"/>
            <c:showBubbleSize val="0"/>
            <c:showLeaderLines val="0"/>
          </c:dLbls>
          <c:xVal>
            <c:numRef>
              <c:f>Sheet1!$B$2:$B$2</c:f>
              <c:numCache>
                <c:ptCount val="1"/>
                <c:pt idx="0">
                  <c:v>0.629000</c:v>
                </c:pt>
              </c:numCache>
            </c:numRef>
          </c:xVal>
          <c:yVal>
            <c:numRef>
              <c:f>Sheet1!$F$2:$F$2</c:f>
              <c:numCache>
                <c:ptCount val="1"/>
                <c:pt idx="0">
                  <c:v>0.956000</c:v>
                </c:pt>
              </c:numCache>
            </c:numRef>
          </c:yVal>
          <c:smooth val="0"/>
        </c:ser>
        <c:ser>
          <c:idx val="4"/>
          <c:order val="4"/>
          <c:tx>
            <c:strRef>
              <c:f>Sheet1!$F$1</c:f>
              <c:strCache>
                <c:ptCount val="1"/>
                <c:pt idx="0">
                  <c:v>Little Value %</c:v>
                </c:pt>
              </c:strCache>
            </c:strRef>
          </c:tx>
          <c:spPr>
            <a:solidFill>
              <a:srgbClr val="5B9BD5"/>
            </a:solidFill>
            <a:ln w="31750" cap="flat">
              <a:noFill/>
              <a:prstDash val="solid"/>
              <a:miter lim="800000"/>
            </a:ln>
            <a:effectLst/>
          </c:spPr>
          <c:marker>
            <c:symbol val="circle"/>
            <c:size val="7"/>
            <c:spPr>
              <a:solidFill>
                <a:srgbClr val="5B9BD5"/>
              </a:solidFill>
              <a:ln w="6350" cap="flat">
                <a:solidFill>
                  <a:srgbClr val="5B9BD5"/>
                </a:solidFill>
                <a:prstDash val="solid"/>
                <a:miter lim="800000"/>
              </a:ln>
              <a:effectLst/>
            </c:spPr>
          </c:marker>
          <c:dLbls>
            <c:numFmt formatCode="#,##0" sourceLinked="0"/>
            <c:txPr>
              <a:bodyPr/>
              <a:lstStyle/>
              <a:p>
                <a:pPr>
                  <a:defRPr b="0" i="0" strike="noStrike" sz="1800" u="none">
                    <a:solidFill>
                      <a:srgbClr val="000000"/>
                    </a:solidFill>
                    <a:latin typeface="Calibri"/>
                  </a:defRPr>
                </a:pPr>
              </a:p>
            </c:txPr>
            <c:dLblPos val="t"/>
            <c:showLegendKey val="0"/>
            <c:showVal val="0"/>
            <c:showCatName val="0"/>
            <c:showSerName val="0"/>
            <c:showPercent val="0"/>
            <c:showBubbleSize val="0"/>
            <c:showLeaderLines val="0"/>
          </c:dLbls>
          <c:xVal>
            <c:numRef>
              <c:f>Sheet1!$B$2:$B$2</c:f>
              <c:numCache>
                <c:ptCount val="1"/>
                <c:pt idx="0">
                  <c:v>0.629000</c:v>
                </c:pt>
              </c:numCache>
            </c:numRef>
          </c:xVal>
          <c:yVal>
            <c:numRef>
              <c:f>Sheet1!$G$2:$G$2</c:f>
              <c:numCache>
                <c:ptCount val="1"/>
                <c:pt idx="0">
                  <c:v>0.044000</c:v>
                </c:pt>
              </c:numCache>
            </c:numRef>
          </c:yVal>
          <c:smooth val="0"/>
        </c:ser>
        <c:axId val="2094734552"/>
        <c:axId val="2094734553"/>
      </c:scatterChart>
      <c:valAx>
        <c:axId val="2094734552"/>
        <c:scaling>
          <c:orientation val="minMax"/>
        </c:scaling>
        <c:delete val="0"/>
        <c:axPos val="b"/>
        <c:majorGridlines>
          <c:spPr>
            <a:ln w="12700" cap="flat">
              <a:solidFill>
                <a:srgbClr val="888888"/>
              </a:solidFill>
              <a:prstDash val="solid"/>
              <a:miter lim="800000"/>
            </a:ln>
          </c:spPr>
        </c:majorGridlines>
        <c:numFmt formatCode="0%" sourceLinked="0"/>
        <c:majorTickMark val="out"/>
        <c:minorTickMark val="none"/>
        <c:tickLblPos val="nextTo"/>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3"/>
        <c:crosses val="autoZero"/>
        <c:crossBetween val="between"/>
        <c:majorUnit val="0.2"/>
        <c:minorUnit val="0.1"/>
      </c:valAx>
      <c:valAx>
        <c:axId val="2094734553"/>
        <c:scaling>
          <c:orientation val="minMax"/>
        </c:scaling>
        <c:delete val="0"/>
        <c:axPos val="l"/>
        <c:majorGridlines>
          <c:spPr>
            <a:ln w="12700" cap="flat">
              <a:solidFill>
                <a:srgbClr val="888888"/>
              </a:solidFill>
              <a:prstDash val="solid"/>
              <a:miter lim="800000"/>
            </a:ln>
          </c:spPr>
        </c:majorGridlines>
        <c:numFmt formatCode="0%" sourceLinked="0"/>
        <c:majorTickMark val="out"/>
        <c:minorTickMark val="none"/>
        <c:tickLblPos val="nextTo"/>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2"/>
        <c:crosses val="autoZero"/>
        <c:crossBetween val="between"/>
        <c:majorUnit val="0.25"/>
        <c:minorUnit val="0.125"/>
      </c:valAx>
      <c:spPr>
        <a:noFill/>
        <a:ln w="12700" cap="flat">
          <a:noFill/>
          <a:miter lim="400000"/>
        </a:ln>
        <a:effectLst/>
      </c:spPr>
    </c:plotArea>
    <c:legend>
      <c:legendPos val="b"/>
      <c:layout>
        <c:manualLayout>
          <c:xMode val="edge"/>
          <c:yMode val="edge"/>
          <c:x val="0.0964123"/>
          <c:y val="0.836045"/>
          <c:w val="0.807175"/>
          <c:h val="0.163955"/>
        </c:manualLayout>
      </c:layout>
      <c:overlay val="1"/>
      <c:spPr>
        <a:noFill/>
        <a:ln w="12700" cap="flat">
          <a:noFill/>
          <a:miter lim="400000"/>
        </a:ln>
        <a:effectLst/>
      </c:spPr>
      <c:txPr>
        <a:bodyPr rot="0"/>
        <a:lstStyle/>
        <a:p>
          <a:pPr>
            <a:defRPr b="0" i="0" strike="noStrike" sz="1800" u="none">
              <a:solidFill>
                <a:srgbClr val="000000"/>
              </a:solidFill>
              <a:latin typeface="Calibri"/>
            </a:defRPr>
          </a:pPr>
        </a:p>
      </c:txPr>
    </c:legend>
    <c:plotVisOnly val="1"/>
    <c:dispBlanksAs val="gap"/>
  </c:chart>
  <c:spPr>
    <a:noFill/>
    <a:ln w="12700" cap="flat">
      <a:solidFill>
        <a:srgbClr val="888888"/>
      </a:solidFill>
      <a:prstDash val="solid"/>
      <a:miter lim="800000"/>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a:defRPr b="0" i="0" strike="noStrike" sz="1800" u="none">
                <a:solidFill>
                  <a:srgbClr val="000000"/>
                </a:solidFill>
                <a:latin typeface="Calibri"/>
              </a:defRPr>
            </a:pPr>
            <a:r>
              <a:rPr b="0" i="0" strike="noStrike" sz="1800" u="none">
                <a:solidFill>
                  <a:srgbClr val="000000"/>
                </a:solidFill>
                <a:latin typeface="Calibri"/>
              </a:rPr>
              <a:t>Pay and Reward</a:t>
            </a:r>
          </a:p>
        </c:rich>
      </c:tx>
      <c:layout>
        <c:manualLayout>
          <c:xMode val="edge"/>
          <c:yMode val="edge"/>
          <c:x val="0.388906"/>
          <c:y val="0"/>
          <c:w val="0.222187"/>
          <c:h val="0.10206"/>
        </c:manualLayout>
      </c:layout>
      <c:overlay val="1"/>
      <c:spPr>
        <a:noFill/>
        <a:effectLst/>
      </c:spPr>
    </c:title>
    <c:autoTitleDeleted val="1"/>
    <c:plotArea>
      <c:layout>
        <c:manualLayout>
          <c:layoutTarget val="inner"/>
          <c:xMode val="edge"/>
          <c:yMode val="edge"/>
          <c:x val="0.0927177"/>
          <c:y val="0.10206"/>
          <c:w val="0.771541"/>
          <c:h val="0.70553"/>
        </c:manualLayout>
      </c:layout>
      <c:barChart>
        <c:barDir val="col"/>
        <c:grouping val="clustered"/>
        <c:varyColors val="0"/>
        <c:ser>
          <c:idx val="1"/>
          <c:order val="0"/>
          <c:tx>
            <c:strRef>
              <c:f>Sheet1!$C$1</c:f>
              <c:strCache>
                <c:ptCount val="1"/>
                <c:pt idx="0">
                  <c:v>Infrequent User %</c:v>
                </c:pt>
              </c:strCache>
            </c:strRef>
          </c:tx>
          <c:spPr>
            <a:solidFill>
              <a:srgbClr val="ED7D31"/>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ctr"/>
            <c:showLegendKey val="0"/>
            <c:showVal val="0"/>
            <c:showCatName val="0"/>
            <c:showSerName val="0"/>
            <c:showPercent val="0"/>
            <c:showBubbleSize val="0"/>
            <c:showLeaderLines val="0"/>
          </c:dLbls>
          <c:cat>
            <c:strRef>
              <c:f>Sheet1!$A$2:$A$2</c:f>
              <c:strCache>
                <c:ptCount val="1"/>
                <c:pt idx="0">
                  <c:v/>
                </c:pt>
              </c:strCache>
            </c:strRef>
          </c:cat>
          <c:val>
            <c:numRef>
              <c:f>Sheet1!$C$2:$C$2</c:f>
              <c:numCache>
                <c:ptCount val="1"/>
                <c:pt idx="0">
                  <c:v>0.269000</c:v>
                </c:pt>
              </c:numCache>
            </c:numRef>
          </c:val>
        </c:ser>
        <c:ser>
          <c:idx val="2"/>
          <c:order val="1"/>
          <c:tx>
            <c:strRef>
              <c:f>Sheet1!$D$1</c:f>
              <c:strCache>
                <c:ptCount val="1"/>
                <c:pt idx="0">
                  <c:v>Effective %</c:v>
                </c:pt>
              </c:strCache>
            </c:strRef>
          </c:tx>
          <c:spPr>
            <a:solidFill>
              <a:srgbClr val="A5A5A5"/>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ctr"/>
            <c:showLegendKey val="0"/>
            <c:showVal val="0"/>
            <c:showCatName val="0"/>
            <c:showSerName val="0"/>
            <c:showPercent val="0"/>
            <c:showBubbleSize val="0"/>
            <c:showLeaderLines val="0"/>
          </c:dLbls>
          <c:cat>
            <c:strRef>
              <c:f>Sheet1!$A$2:$A$2</c:f>
              <c:strCache>
                <c:ptCount val="1"/>
                <c:pt idx="0">
                  <c:v/>
                </c:pt>
              </c:strCache>
            </c:strRef>
          </c:cat>
          <c:val>
            <c:numRef>
              <c:f>Sheet1!$D$2:$D$2</c:f>
              <c:numCache>
                <c:ptCount val="1"/>
                <c:pt idx="0">
                  <c:v>0.974000</c:v>
                </c:pt>
              </c:numCache>
            </c:numRef>
          </c:val>
        </c:ser>
        <c:ser>
          <c:idx val="3"/>
          <c:order val="2"/>
          <c:tx>
            <c:strRef>
              <c:f>Sheet1!$E$1</c:f>
              <c:strCache>
                <c:ptCount val="1"/>
                <c:pt idx="0">
                  <c:v>Non Effective %</c:v>
                </c:pt>
              </c:strCache>
            </c:strRef>
          </c:tx>
          <c:spPr>
            <a:solidFill>
              <a:srgbClr val="FFC000"/>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ctr"/>
            <c:showLegendKey val="0"/>
            <c:showVal val="0"/>
            <c:showCatName val="0"/>
            <c:showSerName val="0"/>
            <c:showPercent val="0"/>
            <c:showBubbleSize val="0"/>
            <c:showLeaderLines val="0"/>
          </c:dLbls>
          <c:cat>
            <c:strRef>
              <c:f>Sheet1!$A$2:$A$2</c:f>
              <c:strCache>
                <c:ptCount val="1"/>
                <c:pt idx="0">
                  <c:v/>
                </c:pt>
              </c:strCache>
            </c:strRef>
          </c:cat>
          <c:val>
            <c:numRef>
              <c:f>Sheet1!$E$2:$E$2</c:f>
              <c:numCache>
                <c:ptCount val="1"/>
                <c:pt idx="0">
                  <c:v>0.026000</c:v>
                </c:pt>
              </c:numCache>
            </c:numRef>
          </c:val>
        </c:ser>
        <c:ser>
          <c:idx val="4"/>
          <c:order val="3"/>
          <c:tx>
            <c:strRef>
              <c:f>Sheet1!$F$1</c:f>
              <c:strCache>
                <c:ptCount val="1"/>
                <c:pt idx="0">
                  <c:v>High Value %</c:v>
                </c:pt>
              </c:strCache>
            </c:strRef>
          </c:tx>
          <c:spPr>
            <a:solidFill>
              <a:srgbClr val="5B9BD5"/>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ctr"/>
            <c:showLegendKey val="0"/>
            <c:showVal val="0"/>
            <c:showCatName val="0"/>
            <c:showSerName val="0"/>
            <c:showPercent val="0"/>
            <c:showBubbleSize val="0"/>
            <c:showLeaderLines val="0"/>
          </c:dLbls>
          <c:cat>
            <c:strRef>
              <c:f>Sheet1!$A$2:$A$2</c:f>
              <c:strCache>
                <c:ptCount val="1"/>
                <c:pt idx="0">
                  <c:v/>
                </c:pt>
              </c:strCache>
            </c:strRef>
          </c:cat>
          <c:val>
            <c:numRef>
              <c:f>Sheet1!$F$2:$F$2</c:f>
              <c:numCache>
                <c:ptCount val="1"/>
                <c:pt idx="0">
                  <c:v>0.995000</c:v>
                </c:pt>
              </c:numCache>
            </c:numRef>
          </c:val>
        </c:ser>
        <c:ser>
          <c:idx val="5"/>
          <c:order val="4"/>
          <c:tx>
            <c:strRef>
              <c:f>Sheet1!$G$1</c:f>
              <c:strCache>
                <c:ptCount val="1"/>
                <c:pt idx="0">
                  <c:v>Little Value %</c:v>
                </c:pt>
              </c:strCache>
            </c:strRef>
          </c:tx>
          <c:spPr>
            <a:solidFill>
              <a:srgbClr val="70AD47"/>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ctr"/>
            <c:showLegendKey val="0"/>
            <c:showVal val="0"/>
            <c:showCatName val="0"/>
            <c:showSerName val="0"/>
            <c:showPercent val="0"/>
            <c:showBubbleSize val="0"/>
            <c:showLeaderLines val="0"/>
          </c:dLbls>
          <c:cat>
            <c:strRef>
              <c:f>Sheet1!$A$2:$A$2</c:f>
              <c:strCache>
                <c:ptCount val="1"/>
                <c:pt idx="0">
                  <c:v/>
                </c:pt>
              </c:strCache>
            </c:strRef>
          </c:cat>
          <c:val>
            <c:numRef>
              <c:f>Sheet1!$G$2:$G$2</c:f>
              <c:numCache>
                <c:ptCount val="1"/>
                <c:pt idx="0">
                  <c:v>0.500000</c:v>
                </c:pt>
              </c:numCache>
            </c:numRef>
          </c:val>
        </c:ser>
        <c:gapWidth val="150"/>
        <c:overlap val="0"/>
        <c:axId val="2094734555"/>
        <c:axId val="2094734556"/>
      </c:barChart>
      <c:lineChart>
        <c:grouping val="standard"/>
        <c:varyColors val="0"/>
        <c:ser>
          <c:idx val="0"/>
          <c:order val="5"/>
          <c:tx>
            <c:strRef>
              <c:f>Sheet1!$B$1</c:f>
              <c:strCache>
                <c:ptCount val="1"/>
                <c:pt idx="0">
                  <c:v>Regular User %</c:v>
                </c:pt>
              </c:strCache>
            </c:strRef>
          </c:tx>
          <c:spPr>
            <a:solidFill>
              <a:srgbClr val="4472C4"/>
            </a:solidFill>
            <a:ln w="31750" cap="flat">
              <a:solidFill>
                <a:srgbClr val="4472C4"/>
              </a:solidFill>
              <a:prstDash val="solid"/>
              <a:miter lim="800000"/>
            </a:ln>
            <a:effectLst/>
          </c:spPr>
          <c:marker>
            <c:symbol val="circle"/>
            <c:size val="7"/>
            <c:spPr>
              <a:solidFill>
                <a:srgbClr val="4472C4"/>
              </a:solidFill>
              <a:ln w="6350" cap="flat">
                <a:solidFill>
                  <a:srgbClr val="4472C4"/>
                </a:solidFill>
                <a:prstDash val="solid"/>
                <a:miter lim="800000"/>
              </a:ln>
              <a:effectLst/>
            </c:spPr>
          </c:marker>
          <c:dLbls>
            <c:numFmt formatCode="#,##0" sourceLinked="0"/>
            <c:txPr>
              <a:bodyPr/>
              <a:lstStyle/>
              <a:p>
                <a:pPr>
                  <a:defRPr b="0" i="0" strike="noStrike" sz="1800" u="none">
                    <a:solidFill>
                      <a:srgbClr val="000000"/>
                    </a:solidFill>
                    <a:latin typeface="Calibri"/>
                  </a:defRPr>
                </a:pPr>
              </a:p>
            </c:txPr>
            <c:dLblPos val="t"/>
            <c:showLegendKey val="0"/>
            <c:showVal val="0"/>
            <c:showCatName val="0"/>
            <c:showSerName val="0"/>
            <c:showPercent val="0"/>
            <c:showBubbleSize val="0"/>
            <c:showLeaderLines val="0"/>
          </c:dLbls>
          <c:cat>
            <c:strRef>
              <c:f>Sheet1!$A$2:$A$2</c:f>
              <c:strCache>
                <c:ptCount val="1"/>
                <c:pt idx="0">
                  <c:v/>
                </c:pt>
              </c:strCache>
            </c:strRef>
          </c:cat>
          <c:val>
            <c:numRef>
              <c:f>Sheet1!$B$2:$B$2</c:f>
              <c:numCache>
                <c:ptCount val="1"/>
                <c:pt idx="0">
                  <c:v>0.731000</c:v>
                </c:pt>
              </c:numCache>
            </c:numRef>
          </c:val>
          <c:smooth val="0"/>
        </c:ser>
        <c:marker val="1"/>
        <c:axId val="2094734552"/>
        <c:axId val="2094734553"/>
      </c:lineChart>
      <c:catAx>
        <c:axId val="2094734552"/>
        <c:scaling>
          <c:orientation val="minMax"/>
        </c:scaling>
        <c:delete val="0"/>
        <c:axPos val="b"/>
        <c:numFmt formatCode="0%" sourceLinked="0"/>
        <c:majorTickMark val="out"/>
        <c:minorTickMark val="none"/>
        <c:tickLblPos val="low"/>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3"/>
        <c:crosses val="autoZero"/>
        <c:auto val="1"/>
        <c:lblAlgn val="ctr"/>
        <c:noMultiLvlLbl val="1"/>
      </c:catAx>
      <c:valAx>
        <c:axId val="2094734553"/>
        <c:scaling>
          <c:orientation val="minMax"/>
        </c:scaling>
        <c:delete val="0"/>
        <c:axPos val="l"/>
        <c:majorGridlines>
          <c:spPr>
            <a:ln w="12700" cap="flat">
              <a:solidFill>
                <a:srgbClr val="888888"/>
              </a:solidFill>
              <a:prstDash val="solid"/>
              <a:miter lim="800000"/>
            </a:ln>
          </c:spPr>
        </c:majorGridlines>
        <c:numFmt formatCode="0%" sourceLinked="0"/>
        <c:majorTickMark val="out"/>
        <c:minorTickMark val="none"/>
        <c:tickLblPos val="nextTo"/>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2"/>
        <c:crosses val="autoZero"/>
        <c:crossBetween val="between"/>
        <c:majorUnit val="0.2"/>
        <c:minorUnit val="0.1"/>
      </c:valAx>
      <c:catAx>
        <c:axId val="2094734555"/>
        <c:scaling>
          <c:orientation val="minMax"/>
        </c:scaling>
        <c:delete val="0"/>
        <c:axPos val="b"/>
        <c:majorTickMark val="out"/>
        <c:minorTickMark val="none"/>
        <c:tickLblPos val="none"/>
        <c:spPr>
          <a:ln w="12700" cap="flat">
            <a:noFill/>
            <a:prstDash val="solid"/>
            <a:miter lim="800000"/>
          </a:ln>
        </c:spPr>
        <c:crossAx val="2094734556"/>
        <c:crosses val="autoZero"/>
        <c:auto val="1"/>
        <c:lblAlgn val="ctr"/>
        <c:noMultiLvlLbl val="1"/>
      </c:catAx>
      <c:valAx>
        <c:axId val="2094734556"/>
        <c:scaling>
          <c:orientation val="minMax"/>
        </c:scaling>
        <c:delete val="0"/>
        <c:axPos val="r"/>
        <c:majorGridlines>
          <c:spPr>
            <a:ln w="12700" cap="flat">
              <a:solidFill>
                <a:srgbClr val="888888"/>
              </a:solidFill>
              <a:prstDash val="solid"/>
              <a:miter lim="800000"/>
            </a:ln>
          </c:spPr>
        </c:majorGridlines>
        <c:numFmt formatCode="0.0%" sourceLinked="0"/>
        <c:majorTickMark val="out"/>
        <c:minorTickMark val="none"/>
        <c:tickLblPos val="nextTo"/>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5"/>
        <c:crosses val="max"/>
        <c:crossBetween val="between"/>
        <c:majorUnit val="0.25"/>
        <c:minorUnit val="0.125"/>
      </c:valAx>
      <c:spPr>
        <a:solidFill>
          <a:srgbClr val="FFFFFF"/>
        </a:solidFill>
        <a:ln w="12700" cap="flat">
          <a:noFill/>
          <a:miter lim="400000"/>
        </a:ln>
        <a:effectLst/>
      </c:spPr>
    </c:plotArea>
    <c:legend>
      <c:legendPos val="b"/>
      <c:layout>
        <c:manualLayout>
          <c:xMode val="edge"/>
          <c:yMode val="edge"/>
          <c:x val="0.0247613"/>
          <c:y val="0.88544"/>
          <c:w val="0.9"/>
          <c:h val="0.11456"/>
        </c:manualLayout>
      </c:layout>
      <c:overlay val="1"/>
      <c:spPr>
        <a:noFill/>
        <a:ln w="12700" cap="flat">
          <a:noFill/>
          <a:miter lim="400000"/>
        </a:ln>
        <a:effectLst/>
      </c:spPr>
      <c:txPr>
        <a:bodyPr rot="0"/>
        <a:lstStyle/>
        <a:p>
          <a:pPr>
            <a:defRPr b="0" i="0" strike="noStrike" sz="1800" u="none">
              <a:solidFill>
                <a:srgbClr val="000000"/>
              </a:solidFill>
              <a:latin typeface="Calibri"/>
            </a:defRPr>
          </a:pPr>
        </a:p>
      </c:txPr>
    </c:legend>
    <c:plotVisOnly val="1"/>
    <c:dispBlanksAs val="gap"/>
  </c:chart>
  <c:spPr>
    <a:solidFill>
      <a:srgbClr val="FFFFFF"/>
    </a:solidFill>
    <a:ln w="12700" cap="flat">
      <a:solidFill>
        <a:srgbClr val="888888"/>
      </a:solidFill>
      <a:prstDash val="solid"/>
      <a:miter lim="800000"/>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a:defRPr b="0" i="0" strike="noStrike" sz="1800" u="none">
                <a:solidFill>
                  <a:srgbClr val="000000"/>
                </a:solidFill>
                <a:latin typeface="Calibri"/>
              </a:defRPr>
            </a:pPr>
            <a:r>
              <a:rPr b="0" i="0" strike="noStrike" sz="1800" u="none">
                <a:solidFill>
                  <a:srgbClr val="000000"/>
                </a:solidFill>
                <a:latin typeface="Calibri"/>
              </a:rPr>
              <a:t>Workforce Planning</a:t>
            </a:r>
          </a:p>
        </c:rich>
      </c:tx>
      <c:layout>
        <c:manualLayout>
          <c:xMode val="edge"/>
          <c:yMode val="edge"/>
          <c:x val="0.363238"/>
          <c:y val="0"/>
          <c:w val="0.273524"/>
          <c:h val="0.112938"/>
        </c:manualLayout>
      </c:layout>
      <c:overlay val="1"/>
      <c:spPr>
        <a:noFill/>
        <a:effectLst/>
      </c:spPr>
    </c:title>
    <c:autoTitleDeleted val="1"/>
    <c:plotArea>
      <c:layout>
        <c:manualLayout>
          <c:layoutTarget val="inner"/>
          <c:xMode val="edge"/>
          <c:yMode val="edge"/>
          <c:x val="0.109941"/>
          <c:y val="0.112938"/>
          <c:w val="0.885059"/>
          <c:h val="0.675477"/>
        </c:manualLayout>
      </c:layout>
      <c:barChart>
        <c:barDir val="col"/>
        <c:grouping val="clustered"/>
        <c:varyColors val="0"/>
        <c:ser>
          <c:idx val="0"/>
          <c:order val="0"/>
          <c:tx>
            <c:strRef>
              <c:f>Sheet1!$B$1</c:f>
              <c:strCache>
                <c:ptCount val="1"/>
                <c:pt idx="0">
                  <c:v>Regular User %</c:v>
                </c:pt>
              </c:strCache>
            </c:strRef>
          </c:tx>
          <c:spPr>
            <a:solidFill>
              <a:srgbClr val="4472C4"/>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outEnd"/>
            <c:showLegendKey val="0"/>
            <c:showVal val="0"/>
            <c:showCatName val="0"/>
            <c:showSerName val="0"/>
            <c:showPercent val="0"/>
            <c:showBubbleSize val="0"/>
            <c:showLeaderLines val="0"/>
          </c:dLbls>
          <c:cat>
            <c:strRef>
              <c:f>Sheet1!$A$2:$A$2</c:f>
              <c:strCache>
                <c:ptCount val="1"/>
                <c:pt idx="0">
                  <c:v/>
                </c:pt>
              </c:strCache>
            </c:strRef>
          </c:cat>
          <c:val>
            <c:numRef>
              <c:f>Sheet1!$B$2:$B$2</c:f>
              <c:numCache>
                <c:ptCount val="1"/>
                <c:pt idx="0">
                  <c:v>0.056000</c:v>
                </c:pt>
              </c:numCache>
            </c:numRef>
          </c:val>
        </c:ser>
        <c:ser>
          <c:idx val="1"/>
          <c:order val="1"/>
          <c:tx>
            <c:strRef>
              <c:f>Sheet1!$C$1</c:f>
              <c:strCache>
                <c:ptCount val="1"/>
                <c:pt idx="0">
                  <c:v>Infrequent User %</c:v>
                </c:pt>
              </c:strCache>
            </c:strRef>
          </c:tx>
          <c:spPr>
            <a:solidFill>
              <a:srgbClr val="ED7D31"/>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outEnd"/>
            <c:showLegendKey val="0"/>
            <c:showVal val="0"/>
            <c:showCatName val="0"/>
            <c:showSerName val="0"/>
            <c:showPercent val="0"/>
            <c:showBubbleSize val="0"/>
            <c:showLeaderLines val="0"/>
          </c:dLbls>
          <c:cat>
            <c:strRef>
              <c:f>Sheet1!$A$2:$A$2</c:f>
              <c:strCache>
                <c:ptCount val="1"/>
                <c:pt idx="0">
                  <c:v/>
                </c:pt>
              </c:strCache>
            </c:strRef>
          </c:cat>
          <c:val>
            <c:numRef>
              <c:f>Sheet1!$C$2:$C$2</c:f>
              <c:numCache>
                <c:ptCount val="1"/>
                <c:pt idx="0">
                  <c:v>0.944000</c:v>
                </c:pt>
              </c:numCache>
            </c:numRef>
          </c:val>
        </c:ser>
        <c:ser>
          <c:idx val="2"/>
          <c:order val="2"/>
          <c:tx>
            <c:strRef>
              <c:f>Sheet1!$D$1</c:f>
              <c:strCache>
                <c:ptCount val="1"/>
                <c:pt idx="0">
                  <c:v>Effective %</c:v>
                </c:pt>
              </c:strCache>
            </c:strRef>
          </c:tx>
          <c:spPr>
            <a:solidFill>
              <a:srgbClr val="A5A5A5"/>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outEnd"/>
            <c:showLegendKey val="0"/>
            <c:showVal val="0"/>
            <c:showCatName val="0"/>
            <c:showSerName val="0"/>
            <c:showPercent val="0"/>
            <c:showBubbleSize val="0"/>
            <c:showLeaderLines val="0"/>
          </c:dLbls>
          <c:cat>
            <c:strRef>
              <c:f>Sheet1!$A$2:$A$2</c:f>
              <c:strCache>
                <c:ptCount val="1"/>
                <c:pt idx="0">
                  <c:v/>
                </c:pt>
              </c:strCache>
            </c:strRef>
          </c:cat>
          <c:val>
            <c:numRef>
              <c:f>Sheet1!$D$2:$D$2</c:f>
              <c:numCache>
                <c:ptCount val="1"/>
                <c:pt idx="0">
                  <c:v>0.037000</c:v>
                </c:pt>
              </c:numCache>
            </c:numRef>
          </c:val>
        </c:ser>
        <c:ser>
          <c:idx val="3"/>
          <c:order val="3"/>
          <c:tx>
            <c:strRef>
              <c:f>Sheet1!$E$1</c:f>
              <c:strCache>
                <c:ptCount val="1"/>
                <c:pt idx="0">
                  <c:v>Non Effective %</c:v>
                </c:pt>
              </c:strCache>
            </c:strRef>
          </c:tx>
          <c:spPr>
            <a:solidFill>
              <a:srgbClr val="FFC000"/>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outEnd"/>
            <c:showLegendKey val="0"/>
            <c:showVal val="0"/>
            <c:showCatName val="0"/>
            <c:showSerName val="0"/>
            <c:showPercent val="0"/>
            <c:showBubbleSize val="0"/>
            <c:showLeaderLines val="0"/>
          </c:dLbls>
          <c:cat>
            <c:strRef>
              <c:f>Sheet1!$A$2:$A$2</c:f>
              <c:strCache>
                <c:ptCount val="1"/>
                <c:pt idx="0">
                  <c:v/>
                </c:pt>
              </c:strCache>
            </c:strRef>
          </c:cat>
          <c:val>
            <c:numRef>
              <c:f>Sheet1!$E$2:$E$2</c:f>
              <c:numCache>
                <c:ptCount val="1"/>
                <c:pt idx="0">
                  <c:v>0.963000</c:v>
                </c:pt>
              </c:numCache>
            </c:numRef>
          </c:val>
        </c:ser>
        <c:ser>
          <c:idx val="4"/>
          <c:order val="4"/>
          <c:tx>
            <c:strRef>
              <c:f>Sheet1!$F$1</c:f>
              <c:strCache>
                <c:ptCount val="1"/>
                <c:pt idx="0">
                  <c:v>High Value %</c:v>
                </c:pt>
              </c:strCache>
            </c:strRef>
          </c:tx>
          <c:spPr>
            <a:solidFill>
              <a:srgbClr val="5B9BD5"/>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outEnd"/>
            <c:showLegendKey val="0"/>
            <c:showVal val="0"/>
            <c:showCatName val="0"/>
            <c:showSerName val="0"/>
            <c:showPercent val="0"/>
            <c:showBubbleSize val="0"/>
            <c:showLeaderLines val="0"/>
          </c:dLbls>
          <c:cat>
            <c:strRef>
              <c:f>Sheet1!$A$2:$A$2</c:f>
              <c:strCache>
                <c:ptCount val="1"/>
                <c:pt idx="0">
                  <c:v/>
                </c:pt>
              </c:strCache>
            </c:strRef>
          </c:cat>
          <c:val>
            <c:numRef>
              <c:f>Sheet1!$F$2:$F$2</c:f>
              <c:numCache>
                <c:ptCount val="1"/>
                <c:pt idx="0">
                  <c:v>0.009000</c:v>
                </c:pt>
              </c:numCache>
            </c:numRef>
          </c:val>
        </c:ser>
        <c:ser>
          <c:idx val="5"/>
          <c:order val="5"/>
          <c:tx>
            <c:strRef>
              <c:f>Sheet1!$G$1</c:f>
              <c:strCache>
                <c:ptCount val="1"/>
                <c:pt idx="0">
                  <c:v>Little Value %</c:v>
                </c:pt>
              </c:strCache>
            </c:strRef>
          </c:tx>
          <c:spPr>
            <a:solidFill>
              <a:srgbClr val="70AD47"/>
            </a:solidFill>
            <a:ln w="6350" cap="flat">
              <a:solidFill>
                <a:srgbClr val="FFFFFF"/>
              </a:solidFill>
              <a:prstDash val="solid"/>
              <a:miter lim="800000"/>
            </a:ln>
            <a:effectLst/>
          </c:spPr>
          <c:invertIfNegative val="0"/>
          <c:dLbls>
            <c:numFmt formatCode="#,##0" sourceLinked="0"/>
            <c:txPr>
              <a:bodyPr/>
              <a:lstStyle/>
              <a:p>
                <a:pPr>
                  <a:defRPr b="0" i="0" strike="noStrike" sz="1800" u="none">
                    <a:solidFill>
                      <a:srgbClr val="000000"/>
                    </a:solidFill>
                    <a:latin typeface="Calibri"/>
                  </a:defRPr>
                </a:pPr>
              </a:p>
            </c:txPr>
            <c:dLblPos val="outEnd"/>
            <c:showLegendKey val="0"/>
            <c:showVal val="0"/>
            <c:showCatName val="0"/>
            <c:showSerName val="0"/>
            <c:showPercent val="0"/>
            <c:showBubbleSize val="0"/>
            <c:showLeaderLines val="0"/>
          </c:dLbls>
          <c:cat>
            <c:strRef>
              <c:f>Sheet1!$A$2:$A$2</c:f>
              <c:strCache>
                <c:ptCount val="1"/>
                <c:pt idx="0">
                  <c:v/>
                </c:pt>
              </c:strCache>
            </c:strRef>
          </c:cat>
          <c:val>
            <c:numRef>
              <c:f>Sheet1!$G$2:$G$2</c:f>
              <c:numCache>
                <c:ptCount val="1"/>
                <c:pt idx="0">
                  <c:v>0.991000</c:v>
                </c:pt>
              </c:numCache>
            </c:numRef>
          </c:val>
        </c:ser>
        <c:gapWidth val="150"/>
        <c:overlap val="0"/>
        <c:axId val="2094734552"/>
        <c:axId val="2094734553"/>
      </c:barChart>
      <c:catAx>
        <c:axId val="2094734552"/>
        <c:scaling>
          <c:orientation val="minMax"/>
        </c:scaling>
        <c:delete val="0"/>
        <c:axPos val="b"/>
        <c:numFmt formatCode="0%" sourceLinked="0"/>
        <c:majorTickMark val="out"/>
        <c:minorTickMark val="none"/>
        <c:tickLblPos val="low"/>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3"/>
        <c:crosses val="autoZero"/>
        <c:auto val="1"/>
        <c:lblAlgn val="ctr"/>
        <c:noMultiLvlLbl val="1"/>
      </c:catAx>
      <c:valAx>
        <c:axId val="2094734553"/>
        <c:scaling>
          <c:orientation val="minMax"/>
        </c:scaling>
        <c:delete val="0"/>
        <c:axPos val="l"/>
        <c:majorGridlines>
          <c:spPr>
            <a:ln w="12700" cap="flat">
              <a:solidFill>
                <a:srgbClr val="888888"/>
              </a:solidFill>
              <a:prstDash val="solid"/>
              <a:miter lim="800000"/>
            </a:ln>
          </c:spPr>
        </c:majorGridlines>
        <c:numFmt formatCode="0%" sourceLinked="0"/>
        <c:majorTickMark val="out"/>
        <c:minorTickMark val="none"/>
        <c:tickLblPos val="nextTo"/>
        <c:spPr>
          <a:ln w="12700" cap="flat">
            <a:solidFill>
              <a:srgbClr val="888888"/>
            </a:solidFill>
            <a:prstDash val="solid"/>
            <a:miter lim="800000"/>
          </a:ln>
        </c:spPr>
        <c:txPr>
          <a:bodyPr rot="0"/>
          <a:lstStyle/>
          <a:p>
            <a:pPr>
              <a:defRPr b="0" i="0" strike="noStrike" sz="1800" u="none">
                <a:solidFill>
                  <a:srgbClr val="000000"/>
                </a:solidFill>
                <a:latin typeface="Calibri"/>
              </a:defRPr>
            </a:pPr>
          </a:p>
        </c:txPr>
        <c:crossAx val="2094734552"/>
        <c:crosses val="autoZero"/>
        <c:crossBetween val="between"/>
        <c:majorUnit val="0.25"/>
        <c:minorUnit val="0.125"/>
      </c:valAx>
      <c:spPr>
        <a:solidFill>
          <a:srgbClr val="FFFFFF"/>
        </a:solidFill>
        <a:ln w="12700" cap="flat">
          <a:noFill/>
          <a:miter lim="400000"/>
        </a:ln>
        <a:effectLst/>
      </c:spPr>
    </c:plotArea>
    <c:legend>
      <c:legendPos val="b"/>
      <c:layout>
        <c:manualLayout>
          <c:xMode val="edge"/>
          <c:yMode val="edge"/>
          <c:x val="0.0696877"/>
          <c:y val="0.874562"/>
          <c:w val="0.9"/>
          <c:h val="0.125438"/>
        </c:manualLayout>
      </c:layout>
      <c:overlay val="1"/>
      <c:spPr>
        <a:noFill/>
        <a:ln w="12700" cap="flat">
          <a:noFill/>
          <a:miter lim="400000"/>
        </a:ln>
        <a:effectLst/>
      </c:spPr>
      <c:txPr>
        <a:bodyPr rot="0"/>
        <a:lstStyle/>
        <a:p>
          <a:pPr>
            <a:defRPr b="0" i="0" strike="noStrike" sz="1800" u="none">
              <a:solidFill>
                <a:srgbClr val="000000"/>
              </a:solidFill>
              <a:latin typeface="Calibri"/>
            </a:defRPr>
          </a:pPr>
        </a:p>
      </c:txPr>
    </c:legend>
    <c:plotVisOnly val="1"/>
    <c:dispBlanksAs val="gap"/>
  </c:chart>
  <c:spPr>
    <a:solidFill>
      <a:srgbClr val="FFFFFF"/>
    </a:solidFill>
    <a:ln w="12700" cap="flat">
      <a:solidFill>
        <a:srgbClr val="888888"/>
      </a:solidFill>
      <a:prstDash val="solid"/>
      <a:miter lim="800000"/>
    </a:ln>
    <a:effectLst/>
  </c:spPr>
  <c:externalData r:id="rId1">
    <c:autoUpdate val="0"/>
  </c:externalData>
</c:chartSpace>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