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513CD" w14:textId="77777777" w:rsidR="00E03ADA" w:rsidRDefault="00B46EEA">
      <w:pPr>
        <w:pStyle w:val="Heading1"/>
      </w:pPr>
      <w:bookmarkStart w:id="0" w:name="_GoBack"/>
      <w:bookmarkEnd w:id="0"/>
      <w:r>
        <w:t>Investment Appraisal – Detailed Summary</w:t>
      </w:r>
    </w:p>
    <w:p w14:paraId="5B3589CB" w14:textId="77777777" w:rsidR="00E03ADA" w:rsidRDefault="00B46EEA">
      <w:r>
        <w:t xml:space="preserve">The investment appraisal workbook provides a structured approach to assessing whether an investment project is financially attractive and capable of creating value. The analysis considers the initial investment </w:t>
      </w:r>
      <w:r>
        <w:t>required and the expected future cash flows generated by the project. Because money received in the future is worth less than money received today, investment appraisal uses the time value of money when evaluating long-term projects.</w:t>
      </w:r>
    </w:p>
    <w:p w14:paraId="2FF42749" w14:textId="77777777" w:rsidR="00E03ADA" w:rsidRDefault="00B46EEA">
      <w:r>
        <w:t>Net Present Value (NPV</w:t>
      </w:r>
      <w:r>
        <w:t>) is one of the most important measures. It discounts expected future cash flows using the required rate of return or cost of capital and then compares their present value with the initial investment. A positive NPV indicates that the project is expected t</w:t>
      </w:r>
      <w:r>
        <w:t>o generate returns above the required return and add value to the organisation. A negative NPV suggests that the project may reduce value and should normally be rejected, subject to strategic considerations.</w:t>
      </w:r>
    </w:p>
    <w:p w14:paraId="4493DCA2" w14:textId="77777777" w:rsidR="00E03ADA" w:rsidRDefault="00B46EEA">
      <w:r>
        <w:t>Internal Rate of Return (IRR) estimates the perc</w:t>
      </w:r>
      <w:r>
        <w:t>entage return generated by the project. It is normally compared with the organisation’s required rate of return. If the IRR is higher than the required return, the investment is generally financially acceptable.</w:t>
      </w:r>
    </w:p>
    <w:p w14:paraId="778406C5" w14:textId="77777777" w:rsidR="00E03ADA" w:rsidRDefault="00B46EEA">
      <w:r>
        <w:t>The Payback Period measures how long it take</w:t>
      </w:r>
      <w:r>
        <w:t>s to recover the original investment from project cash inflows. A shorter payback period can indicate lower liquidity risk, although payback does not fully consider cash flows received after the recovery point or the time value of money unless a discounted</w:t>
      </w:r>
      <w:r>
        <w:t xml:space="preserve"> payback method is used.</w:t>
      </w:r>
    </w:p>
    <w:p w14:paraId="1F049E31" w14:textId="77777777" w:rsidR="00E03ADA" w:rsidRDefault="00B46EEA">
      <w:r>
        <w:t>Accounting Rate of Return (ARR) evaluates the project using accounting profit in relation to the investment. It can be useful for comparing accounting performance, but unlike NPV it does not directly measure cash value or fully inc</w:t>
      </w:r>
      <w:r>
        <w:t>orporate the time value of money.</w:t>
      </w:r>
    </w:p>
    <w:p w14:paraId="0F358390" w14:textId="77777777" w:rsidR="00E03ADA" w:rsidRDefault="00B46EEA">
      <w:r>
        <w:t>Overall, the appraisal should not rely on one measure alone. NPV is particularly useful for value creation, while IRR, payback and ARR provide additional perspectives on return, risk and accounting performance. The final d</w:t>
      </w:r>
      <w:r>
        <w:t>ecision should also consider assumptions about sales, costs, inflation, tax, project life, residual value, financing, and changes in market conditions. Sensitivity and scenario analysis can further show how changes in key assumptions may affect the investm</w:t>
      </w:r>
      <w:r>
        <w:t>ent outcome. Therefore, investment appraisal supports a balanced and evidence-based decision about whether the proposed project should proceed.</w:t>
      </w:r>
    </w:p>
    <w:sectPr w:rsidR="00E03AD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AA1D8D"/>
    <w:rsid w:val="00B46EEA"/>
    <w:rsid w:val="00B47730"/>
    <w:rsid w:val="00CB0664"/>
    <w:rsid w:val="00E03AD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81D5F1"/>
  <w14:defaultImageDpi w14:val="300"/>
  <w15:docId w15:val="{23427B9F-715B-4422-86EA-6C0165152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758C76-F56B-41B4-BAED-608CB2587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364</Words>
  <Characters>2079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Charchil Patel</cp:lastModifiedBy>
  <cp:revision>2</cp:revision>
  <dcterms:created xsi:type="dcterms:W3CDTF">2026-08-12T13:38:00Z</dcterms:created>
  <dcterms:modified xsi:type="dcterms:W3CDTF">2026-08-12T13:38:00Z</dcterms:modified>
  <cp:category/>
</cp:coreProperties>
</file>