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2AC49" w14:textId="77777777" w:rsidR="00A84B81" w:rsidRDefault="00A84B81" w:rsidP="00A84B81">
      <w:r>
        <w:t xml:space="preserve">In this essay, I will be assessing the impact that cultural diversity has had on policing practice, professional policies and standards. In order to do this, I will be considering many different viewpoints, outlining the values and importance of several policing practices and policies and how these may have been created and developed to accommodate the impact that cultural diversity has had on policing. An aspect of professional policies and standards in policing are largely focused around the Code of Ethics that are put in place to make an example of what is to be expected of conduct in regards to behaviour and attitude that should be maintained throughout the role of being a police officer. As stated by The College of Policing, it can be seen as the ‘professional body for policing. It sets and defines the exemplary standards of behaviour for everyone who works in policing’. (College of policing, 2014). In order to answer this question, I am going to discuss the role of community policing such as neighbourhood policing as their role is largely based on community engagement as well as focusing on policing practices such as hate crimes. </w:t>
      </w:r>
    </w:p>
    <w:p w14:paraId="5E784E86" w14:textId="77777777" w:rsidR="00A84B81" w:rsidRDefault="00A84B81" w:rsidP="00A84B81">
      <w:r>
        <w:t xml:space="preserve">For the purpose of this essay, I will be using the term cultural diversity to refer to a society that consists of many different people, such as individuals from different countries, religions and race who may have contrasting interests, values and beliefs (Nair, 2023). I will also refer to Policing principles from the 2014 Code of Ethics are as follows, accountability, honesty, integrity, leadership, objectivity, openness, selflessness, fairness and respect (College of policing, 2014). </w:t>
      </w:r>
    </w:p>
    <w:p w14:paraId="48695AFF" w14:textId="77777777" w:rsidR="00A84B81" w:rsidRDefault="00A84B81" w:rsidP="00A84B81">
      <w:r>
        <w:t>A reduction plan that had been set in place between 2004 and 2008, identified many community issues such as anti-social behaviour which could not be tackled by response officers due to heavy demand that they were under, it was argued that issues such as these needed to be tackled slow time, with much more attention to detail and resolved through community engagement. This led to a new role being created in policing, called Police Community Support Officers (PCSO’s) which were established under the 1992 Police Reform Act (Home Office, 2001). It was identified through the use of the community officers and surveys that culturally diverse communities felt that their needs and wants were not being heard and research suggests that this had been the case due to police tending to be dismissive of low-level crime. Therefore, community engagement, through neighbourhood policing became even more prevalent, where policing practice was, to be seen, on foot-patrol, through the community and engaging with members of the public, adhering to the professional policing standards of quality and diversity (Innes, 2020). In relation to this point, in conclusion, a whole new role of policing was adapted to accommodate the changes in cultural diversity.</w:t>
      </w:r>
    </w:p>
    <w:p w14:paraId="0CD4CD32" w14:textId="77777777" w:rsidR="00A84B81" w:rsidRDefault="00A84B81" w:rsidP="00A84B81">
      <w:r>
        <w:t xml:space="preserve">Adapting to a multi-cultural society has been something that has changed policing in many ways. History suggests that police forces were sexist and racist in regard to their lack of employment for females as well as black and Asian communities. Therefore, a large impact that cultural diversity has had would be in regard to The Race Relations Act of 2000. Police forces were required to hit targets for employing ethnic minorities and to minimise the gender gap. Policing practices and training were altered and ‘focused on and revolved around what has been described as ‘race relations awareness’ or ‘community and race relations awareness’ (Bhugoandeen, 2013). This also affected how the police began to be seen through the community as the police work force began to represent the community, portraying clear values for diversity, a policing practice that is set out in guidelines of the Code of Ethics, therefore, community engagement and trust in police improved (College of policing, 2014). </w:t>
      </w:r>
    </w:p>
    <w:p w14:paraId="5AD0A17F" w14:textId="77777777" w:rsidR="00A84B81" w:rsidRDefault="00A84B81" w:rsidP="00A84B81">
      <w:r>
        <w:t xml:space="preserve">It can be argued that the police force within England and Wales is not representative in regard to cultural diversity with statistics showing that ‘out of police officers whose ethnicity was known, 91.9% were white and 8.1% were from Asian, black, mixed, and ‘other’ ethic minority backgrounds’. (Gov.uk 2023). Although this statistic could argue that the police force is highly unrepresentative, it should also be considered that at the time that these statistics were gathered, ’81.7% of people in </w:t>
      </w:r>
      <w:r>
        <w:lastRenderedPageBreak/>
        <w:t xml:space="preserve">England and Wales were white and 18.3% were from ethnic minority backgrounds’. Therefore, with all statistics in consideration, it can be argued that police officers have made a significant change to be able to be representative. </w:t>
      </w:r>
    </w:p>
    <w:p w14:paraId="10D07708" w14:textId="77777777" w:rsidR="00A84B81" w:rsidRPr="00FD2487" w:rsidRDefault="00A84B81" w:rsidP="00A84B81">
      <w:r>
        <w:t xml:space="preserve">A way in which cultural diversity has impacted police practice is the level of importance that hate crimes receive. Hate crimes, by the Crown Prosecution Service, ‘defines and prosecutes 5 types of hate crime based on race, religion, disability, sexual orientation and transgender identity’. (The Crown Prosecution Service, 2023).  It is stated by College of Policing (2014), that police forces should have a clear policy and standard that officers should adhere to when investigating hate crimes, it is suggested that they should receive prompt and professional responses and have strict guidelines to follow throughout the investigation to maintain and ensure that it is dealt with accordingly and pro-actively. </w:t>
      </w:r>
    </w:p>
    <w:p w14:paraId="287324FB" w14:textId="77777777" w:rsidR="00A84B81" w:rsidRPr="00F6339C" w:rsidRDefault="00A84B81" w:rsidP="00A84B81">
      <w:r>
        <w:t>In conclusion, cultural diversity and the way in which the police understands and values it, affects the way in which our principles and standards are outlined for us. Throughout history, police have had to develop and adapt in order to be representative to cultural diversity as well as value different individuals. This can be seen in how the work force may differ from history such as the amount of diversity employed within the work force as well as the values within policing practice such as attending and investigating hate crimes. I believe that through the research of policing practice, the code of ethics and policing standards that cultural diversity has shaped and impacted the way in which policing is conducted.</w:t>
      </w:r>
    </w:p>
    <w:p w14:paraId="1730F793" w14:textId="70CF008C" w:rsidR="00A84B81" w:rsidRDefault="005E3AF8" w:rsidP="00A84B81">
      <w:pPr>
        <w:rPr>
          <w:b/>
          <w:bCs/>
          <w:u w:val="single"/>
        </w:rPr>
      </w:pPr>
      <w:r>
        <w:rPr>
          <w:b/>
          <w:bCs/>
          <w:u w:val="single"/>
        </w:rPr>
        <w:t>WORD COUNT: 966</w:t>
      </w:r>
    </w:p>
    <w:p w14:paraId="4C967C3F" w14:textId="77777777" w:rsidR="00A84B81" w:rsidRDefault="00A84B81" w:rsidP="00A84B81">
      <w:pPr>
        <w:rPr>
          <w:b/>
          <w:bCs/>
          <w:u w:val="single"/>
        </w:rPr>
      </w:pPr>
      <w:r w:rsidRPr="00425093">
        <w:rPr>
          <w:b/>
          <w:bCs/>
          <w:u w:val="single"/>
        </w:rPr>
        <w:t>Bibliography</w:t>
      </w:r>
    </w:p>
    <w:p w14:paraId="44295F6B" w14:textId="77777777" w:rsidR="00A84B81" w:rsidRDefault="00A84B81" w:rsidP="00A84B81">
      <w:pPr>
        <w:rPr>
          <w:b/>
          <w:bCs/>
          <w:u w:val="single"/>
        </w:rPr>
      </w:pPr>
    </w:p>
    <w:p w14:paraId="2DFEF23B" w14:textId="0E32605E" w:rsidR="00A84B81" w:rsidRPr="00B10BA0" w:rsidRDefault="00A84B81" w:rsidP="005E3AF8">
      <w:pPr>
        <w:pStyle w:val="NormalWeb"/>
        <w:ind w:left="567" w:hanging="567"/>
      </w:pPr>
      <w:r>
        <w:t>1.</w:t>
      </w:r>
      <w:r>
        <w:rPr>
          <w:b/>
          <w:bCs/>
          <w:u w:val="single"/>
        </w:rPr>
        <w:t xml:space="preserve"> </w:t>
      </w:r>
      <w:r>
        <w:rPr>
          <w:i/>
          <w:iCs/>
        </w:rPr>
        <w:t>National decision model</w:t>
      </w:r>
      <w:r>
        <w:t xml:space="preserve"> (2014) </w:t>
      </w:r>
      <w:r>
        <w:rPr>
          <w:i/>
          <w:iCs/>
        </w:rPr>
        <w:t>College of Policing</w:t>
      </w:r>
      <w:r>
        <w:t xml:space="preserve">. Available at: https://www.college.police.uk/app/national-decision-model/national-decision-model#code-of-ethics-49c39d2a-2278-48bc-b938-928643d2a2ba (Accessed: 29 January 2024). </w:t>
      </w:r>
    </w:p>
    <w:p w14:paraId="289F94C2" w14:textId="1DD8E9AB" w:rsidR="00A84B81" w:rsidRDefault="005E3AF8" w:rsidP="00A84B81">
      <w:pPr>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2. </w:t>
      </w:r>
      <w:r w:rsidR="00A84B81">
        <w:rPr>
          <w:rFonts w:ascii="Helvetica" w:hAnsi="Helvetica" w:cs="Helvetica"/>
          <w:color w:val="555555"/>
          <w:sz w:val="21"/>
          <w:szCs w:val="21"/>
          <w:shd w:val="clear" w:color="auto" w:fill="FFFFFF"/>
        </w:rPr>
        <w:t xml:space="preserve"> Innes, Martin, et al. </w:t>
      </w:r>
      <w:r w:rsidR="00A84B81">
        <w:rPr>
          <w:rFonts w:ascii="Helvetica" w:hAnsi="Helvetica" w:cs="Helvetica"/>
          <w:i/>
          <w:iCs/>
          <w:color w:val="555555"/>
          <w:sz w:val="21"/>
          <w:szCs w:val="21"/>
        </w:rPr>
        <w:t>Neighbourhood Policing : The Rise and Fall of a Policing Model</w:t>
      </w:r>
      <w:r w:rsidR="00A84B81">
        <w:rPr>
          <w:rFonts w:ascii="Helvetica" w:hAnsi="Helvetica" w:cs="Helvetica"/>
          <w:color w:val="555555"/>
          <w:sz w:val="21"/>
          <w:szCs w:val="21"/>
          <w:shd w:val="clear" w:color="auto" w:fill="FFFFFF"/>
        </w:rPr>
        <w:t>, Oxford University Press, Incorporated, 2020.</w:t>
      </w:r>
      <w:r w:rsidR="00A84B81">
        <w:rPr>
          <w:rFonts w:ascii="Helvetica" w:hAnsi="Helvetica" w:cs="Helvetica"/>
          <w:i/>
          <w:iCs/>
          <w:color w:val="555555"/>
          <w:sz w:val="21"/>
          <w:szCs w:val="21"/>
        </w:rPr>
        <w:t> ProQuest Ebook Central</w:t>
      </w:r>
      <w:r w:rsidR="00A84B81">
        <w:rPr>
          <w:rFonts w:ascii="Helvetica" w:hAnsi="Helvetica" w:cs="Helvetica"/>
          <w:color w:val="555555"/>
          <w:sz w:val="21"/>
          <w:szCs w:val="21"/>
          <w:shd w:val="clear" w:color="auto" w:fill="FFFFFF"/>
        </w:rPr>
        <w:t xml:space="preserve">, </w:t>
      </w:r>
      <w:hyperlink r:id="rId5" w:history="1">
        <w:r w:rsidR="00A84B81" w:rsidRPr="0014120A">
          <w:rPr>
            <w:rStyle w:val="Hyperlink"/>
            <w:rFonts w:ascii="Helvetica" w:hAnsi="Helvetica" w:cs="Helvetica"/>
            <w:sz w:val="21"/>
            <w:szCs w:val="21"/>
            <w:shd w:val="clear" w:color="auto" w:fill="FFFFFF"/>
          </w:rPr>
          <w:t>https://ebookcentral.proquest.com/lib/trinity/detail.action?docID=6207092</w:t>
        </w:r>
      </w:hyperlink>
      <w:r w:rsidR="00A84B81">
        <w:rPr>
          <w:rFonts w:ascii="Helvetica" w:hAnsi="Helvetica" w:cs="Helvetica"/>
          <w:color w:val="555555"/>
          <w:sz w:val="21"/>
          <w:szCs w:val="21"/>
          <w:shd w:val="clear" w:color="auto" w:fill="FFFFFF"/>
        </w:rPr>
        <w:t>.</w:t>
      </w:r>
    </w:p>
    <w:p w14:paraId="0D1AA05C" w14:textId="77777777" w:rsidR="00A84B81" w:rsidRDefault="00A84B81" w:rsidP="00A84B81">
      <w:pPr>
        <w:rPr>
          <w:rFonts w:ascii="Helvetica" w:hAnsi="Helvetica" w:cs="Helvetica"/>
          <w:color w:val="555555"/>
          <w:sz w:val="21"/>
          <w:szCs w:val="21"/>
          <w:shd w:val="clear" w:color="auto" w:fill="FFFFFF"/>
        </w:rPr>
      </w:pPr>
    </w:p>
    <w:p w14:paraId="5186A0A5" w14:textId="5FD724CD" w:rsidR="00A84B81" w:rsidRDefault="005E3AF8" w:rsidP="00A84B81">
      <w:pPr>
        <w:pStyle w:val="NormalWeb"/>
        <w:ind w:left="567" w:hanging="567"/>
      </w:pPr>
      <w:r>
        <w:rPr>
          <w:rFonts w:ascii="Helvetica" w:hAnsi="Helvetica" w:cs="Helvetica"/>
          <w:color w:val="555555"/>
          <w:sz w:val="21"/>
          <w:szCs w:val="21"/>
          <w:shd w:val="clear" w:color="auto" w:fill="FFFFFF"/>
        </w:rPr>
        <w:t xml:space="preserve">3. </w:t>
      </w:r>
      <w:r w:rsidR="00A84B81">
        <w:t xml:space="preserve">Nair, M. (2023) </w:t>
      </w:r>
      <w:r w:rsidR="00A84B81">
        <w:rPr>
          <w:i/>
          <w:iCs/>
        </w:rPr>
        <w:t>What is cultural diversity and why is it important?</w:t>
      </w:r>
      <w:r w:rsidR="00A84B81">
        <w:t xml:space="preserve">, </w:t>
      </w:r>
      <w:r w:rsidR="00A84B81">
        <w:rPr>
          <w:i/>
          <w:iCs/>
        </w:rPr>
        <w:t>University of the People</w:t>
      </w:r>
      <w:r w:rsidR="00A84B81">
        <w:t xml:space="preserve">. Available at: https://www.uopeople.edu/blog/what-is-cultural-diversity/ (Accessed: 29 January 2024). </w:t>
      </w:r>
    </w:p>
    <w:p w14:paraId="34CDAEC3" w14:textId="49986626" w:rsidR="00A84B81" w:rsidRDefault="005E3AF8" w:rsidP="00A84B81">
      <w:pPr>
        <w:pStyle w:val="NormalWeb"/>
        <w:ind w:left="567" w:hanging="567"/>
      </w:pPr>
      <w:r>
        <w:t>4.</w:t>
      </w:r>
      <w:r w:rsidR="00A84B81">
        <w:t xml:space="preserve"> Bhugowandeen, B. (2013) </w:t>
      </w:r>
      <w:r w:rsidR="00A84B81">
        <w:rPr>
          <w:i/>
          <w:iCs/>
        </w:rPr>
        <w:t>Diversity in the British police : Adapting to a multicultural society</w:t>
      </w:r>
      <w:r w:rsidR="00A84B81">
        <w:t xml:space="preserve">, </w:t>
      </w:r>
      <w:r w:rsidR="00A84B81">
        <w:rPr>
          <w:i/>
          <w:iCs/>
        </w:rPr>
        <w:t>Mémoire(s), identité(s), marginalité(s) dans le monde occidental contemporain. Cahiers du MIMMOC</w:t>
      </w:r>
      <w:r w:rsidR="00A84B81">
        <w:t xml:space="preserve">. Available at: https://journals.openedition.org/mimmoc/1340 (Accessed: 29 January 2024). </w:t>
      </w:r>
    </w:p>
    <w:p w14:paraId="187720B3" w14:textId="77777777" w:rsidR="005E3AF8" w:rsidRDefault="005E3AF8" w:rsidP="005E3AF8"/>
    <w:p w14:paraId="606ADECF" w14:textId="77777777" w:rsidR="005E3AF8" w:rsidRDefault="005E3AF8" w:rsidP="005E3AF8"/>
    <w:p w14:paraId="6866EF1A" w14:textId="7EF282C9" w:rsidR="005E3AF8" w:rsidRDefault="005E3AF8" w:rsidP="005E3AF8">
      <w:r>
        <w:lastRenderedPageBreak/>
        <w:t xml:space="preserve">In this essay, I will be examining various socio-economic and psychological characteristics which could make people vulnerable to exploitation by criminal gangs. In order to do this, I will establish and consider important ideas from many viewpoints within this topic and explain how these ideas can be interpreted in relation to the idea of exploitation by criminal gangs. For the use of this essay, I will be basing my ideas around the concept of vulnerability being a term that describes a person who can be recognised as vulnerable due to features of the individual if ‘as a result of their situation or circumstances, they are unable to take care of or protect themselves or others from harm or exploitation’ (College of Policing, 2021). In addition to this, I will also be basing my ideas around criminal exploitation that describes a ‘form of abuse where someone is forced or coerced into doing things for the benefit of others’. (Safer Devon, 2021). </w:t>
      </w:r>
    </w:p>
    <w:p w14:paraId="4FEFA670" w14:textId="77777777" w:rsidR="005E3AF8" w:rsidRDefault="005E3AF8" w:rsidP="005E3AF8">
      <w:r>
        <w:t xml:space="preserve">A term that is largely used in conjunction with this topic, is the idea of ‘cuckooing’. This is the understanding of offenders dealing and supplying drugs, heavily involved in ‘County Lines’ in a covert location by taking over a resident’s home. This has been largely researched by (Spicer, 2019) who uses qualitive data from studies to gather information on those affected. Spicer points out that through his data and from the National Crime Agency (2016), it shows that these offenders have targeted those who are considered to be vulnerable due to drug dependencies, mental health disorders, disabilities as well as the elderly. It is also suggested through this research that cuckooing is successful by implementing fear through violence or the threat of violence as well as manipulation tactics on individuals with socio-economic and psychological characteristics, such as supplying drugs to an individual who is dependent on them. It is implied that an individual with this characteristic can be easily victimised by these criminal gangs due to intoxication as well as becoming reliant on the criminal gang for their consumption of drugs (MacCoun et al, 2003). However, through the use of qualitive research, Spicer (2019) found that in many cases regarding the characteristic that was exploited being a drug user, the taking over of the residence would be done through false pretences such as the criminal gangs asking for a place to stay or the individual meeting the criminal gang at drug user services such as support groups. Furthermore, once the criminal gang had implemented themselves within the household, the individuals within the cases stated that it was too late and that they were unable to protect themselves, which matches my earlier point of the term vulnerability being explained in the way in which an individual is unable to protect themselves. A socio-economic characteristic that (Navarro et al, 2012) argues is often victimised is that of individuals of an immigrant population within the context of drugs. However, there is limited research behind this viewpoint that suggests that this characteristic is exploited by criminal gangs. </w:t>
      </w:r>
    </w:p>
    <w:p w14:paraId="37D10967" w14:textId="77777777" w:rsidR="005E3AF8" w:rsidRDefault="005E3AF8" w:rsidP="005E3AF8">
      <w:r>
        <w:t xml:space="preserve">Another psychological characteristic that is increasingly being seen to be exploited by criminal gangs is the elderly community where they become financially dependent on the criminal gang that has taken over the residence (Navarro, 2012). As well as this, A largely targeted characteristic that is argued by Chakraborti and Garland (2015) to be continuously exploited by criminal gangs are individuals with learning difficulties. It suggested that due to their isolation within society, criminal gangs tend to manipulate these individuals by be-friending them, therefore, the individual feels that they are benefiting and gaining a relationship with those that are cuckooing them. </w:t>
      </w:r>
    </w:p>
    <w:p w14:paraId="696291C7" w14:textId="77777777" w:rsidR="005E3AF8" w:rsidRDefault="005E3AF8" w:rsidP="005E3AF8">
      <w:r>
        <w:t xml:space="preserve">An alternative psychological characteristic that is argued to be largely targeted by criminal gangs and organised crime groups are children. Child criminal exploitation (CCE) is considered to be ‘child abuse where children and young people are manipulated and coerced into committing crimes’ (NSPCC, 2019). It has been suggested by Dodge and Gregory, (2003) that many things that children experience in their early stages of life can influence and push them towards criminal gangs such as experiences with parents and peers, media influences and relationships with local police. Annan (2021) uses quantitate and qualitative research and considers many different ideas from case studies </w:t>
      </w:r>
      <w:r>
        <w:lastRenderedPageBreak/>
        <w:t xml:space="preserve">that children who felt unsafe, mis treated and overlooked by their parents within home-life were more likely to join criminal gangs and be exploited due to their age. However, within this study, Annan (2021) also stated that it was difficult to gather information in relation to children being exploited in criminal gangs as many were not willing to share their experiences openly. Gladstone offers a conclusion to his research that being a child alone was not the risk factor to being exploited by criminal gangs and it was rather in relation to ‘available support networks’ for the individual. On the other hand, Ashton (2020) uses qualitative research to identify the impact and heavy involvement that social media had on young people who had been exploited by criminal gangs where they were pressurised online to take part in criminal activities. It is also argued by Ashton (2020) that during the COVID-19 pandemic, this could be seen even more and that criminal gangs used the pandemic in order to place fear in youths for their future due to the pandemic, manipulating them into the life of a criminal in order to make financial gain and social status, something which was under threat for youths during the pandemic. </w:t>
      </w:r>
    </w:p>
    <w:p w14:paraId="0BB468B6" w14:textId="31BF2D1C" w:rsidR="005E3AF8" w:rsidRDefault="005E3AF8" w:rsidP="005E3AF8">
      <w:r>
        <w:t xml:space="preserve">In conclusion, there are many different arguments and viewpoints on what characteristics can make an individual vulnerable to criminal gang exploitation. It can be argued that this research and information from the numerous journals I have referenced is reliable when considering these characteristics being exploited by criminal gangs. This can be argued due to the use of qualitative research as this gives detailed answers through surveys and case files whilst still being able to establish patterns and similarities, leading to conclusions being able to be made based on vast research. </w:t>
      </w:r>
    </w:p>
    <w:p w14:paraId="2321D3F4" w14:textId="0987F833" w:rsidR="005E3AF8" w:rsidRPr="005E3AF8" w:rsidRDefault="005E3AF8" w:rsidP="005E3AF8">
      <w:pPr>
        <w:rPr>
          <w:b/>
          <w:bCs/>
          <w:u w:val="single"/>
        </w:rPr>
      </w:pPr>
      <w:r w:rsidRPr="005E3AF8">
        <w:rPr>
          <w:b/>
          <w:bCs/>
          <w:u w:val="single"/>
        </w:rPr>
        <w:t xml:space="preserve">WORD COUNT: </w:t>
      </w:r>
      <w:r>
        <w:rPr>
          <w:b/>
          <w:bCs/>
          <w:u w:val="single"/>
        </w:rPr>
        <w:t>1000</w:t>
      </w:r>
    </w:p>
    <w:p w14:paraId="63CCF634" w14:textId="77777777" w:rsidR="005E3AF8" w:rsidRPr="006727EC" w:rsidRDefault="005E3AF8" w:rsidP="005E3AF8">
      <w:pPr>
        <w:rPr>
          <w:b/>
          <w:bCs/>
          <w:u w:val="single"/>
        </w:rPr>
      </w:pPr>
      <w:r w:rsidRPr="006727EC">
        <w:rPr>
          <w:b/>
          <w:bCs/>
          <w:u w:val="single"/>
        </w:rPr>
        <w:t xml:space="preserve">Bibliography: </w:t>
      </w:r>
    </w:p>
    <w:p w14:paraId="490E1C6E" w14:textId="77777777" w:rsidR="005E3AF8" w:rsidRDefault="005E3AF8" w:rsidP="005E3AF8"/>
    <w:p w14:paraId="3D65853F" w14:textId="77777777" w:rsidR="005E3AF8" w:rsidRDefault="005E3AF8" w:rsidP="005E3AF8">
      <w:pPr>
        <w:pStyle w:val="ListParagraph"/>
        <w:numPr>
          <w:ilvl w:val="0"/>
          <w:numId w:val="1"/>
        </w:numPr>
      </w:pPr>
      <w:hyperlink r:id="rId6" w:history="1">
        <w:r>
          <w:rPr>
            <w:rStyle w:val="Hyperlink"/>
          </w:rPr>
          <w:t>Introduction to vulnerability-related risk | College of Policing</w:t>
        </w:r>
      </w:hyperlink>
    </w:p>
    <w:p w14:paraId="7AB5A131" w14:textId="77777777" w:rsidR="005E3AF8" w:rsidRDefault="005E3AF8" w:rsidP="005E3AF8">
      <w:pPr>
        <w:pStyle w:val="NormalWeb"/>
        <w:numPr>
          <w:ilvl w:val="0"/>
          <w:numId w:val="1"/>
        </w:numPr>
      </w:pPr>
      <w:r>
        <w:rPr>
          <w:i/>
          <w:iCs/>
        </w:rPr>
        <w:t>Exploitation</w:t>
      </w:r>
      <w:r>
        <w:t xml:space="preserve"> (2021) </w:t>
      </w:r>
      <w:r>
        <w:rPr>
          <w:i/>
          <w:iCs/>
        </w:rPr>
        <w:t>Preventing Exploitation Toolkit</w:t>
      </w:r>
      <w:r>
        <w:t xml:space="preserve">. Available at: https://www.preventingexploitationtoolkit.org.uk/home/what-is-exploitation/exploitation/ (Accessed: 29 January 2024). </w:t>
      </w:r>
    </w:p>
    <w:p w14:paraId="24F5D6CE" w14:textId="77777777" w:rsidR="005E3AF8" w:rsidRDefault="005E3AF8" w:rsidP="005E3AF8">
      <w:pPr>
        <w:pStyle w:val="NormalWeb"/>
        <w:numPr>
          <w:ilvl w:val="0"/>
          <w:numId w:val="1"/>
        </w:numPr>
      </w:pPr>
      <w:r>
        <w:rPr>
          <w:rFonts w:ascii="Merriweather Sans" w:hAnsi="Merriweather Sans"/>
          <w:color w:val="222222"/>
          <w:shd w:val="clear" w:color="auto" w:fill="FFFFFF"/>
        </w:rPr>
        <w:t>Spicer, J., Moyle, L. &amp; Coomber, R. The variable and evolving nature of ‘cuckooing’ as a form of criminal exploitation in street level drug markets. </w:t>
      </w:r>
      <w:r>
        <w:rPr>
          <w:rFonts w:ascii="Merriweather Sans" w:hAnsi="Merriweather Sans"/>
          <w:i/>
          <w:iCs/>
          <w:color w:val="222222"/>
          <w:shd w:val="clear" w:color="auto" w:fill="FFFFFF"/>
        </w:rPr>
        <w:t>Trends Organ Crim</w:t>
      </w:r>
      <w:r>
        <w:rPr>
          <w:rFonts w:ascii="Merriweather Sans" w:hAnsi="Merriweather Sans"/>
          <w:color w:val="222222"/>
          <w:shd w:val="clear" w:color="auto" w:fill="FFFFFF"/>
        </w:rPr>
        <w:t> </w:t>
      </w:r>
      <w:r>
        <w:rPr>
          <w:rFonts w:ascii="Merriweather Sans" w:hAnsi="Merriweather Sans"/>
          <w:b/>
          <w:bCs/>
          <w:color w:val="222222"/>
          <w:shd w:val="clear" w:color="auto" w:fill="FFFFFF"/>
        </w:rPr>
        <w:t>23</w:t>
      </w:r>
      <w:r>
        <w:rPr>
          <w:rFonts w:ascii="Merriweather Sans" w:hAnsi="Merriweather Sans"/>
          <w:color w:val="222222"/>
          <w:shd w:val="clear" w:color="auto" w:fill="FFFFFF"/>
        </w:rPr>
        <w:t>, 301–323 (2020). https://doi-org.ezproxy.uwtsd.ac.uk/10.1007/s12117-019-09368-5</w:t>
      </w:r>
    </w:p>
    <w:p w14:paraId="063E5603" w14:textId="77777777" w:rsidR="005E3AF8" w:rsidRPr="009D2225" w:rsidRDefault="005E3AF8" w:rsidP="005E3AF8">
      <w:pPr>
        <w:pStyle w:val="ListParagraph"/>
        <w:numPr>
          <w:ilvl w:val="0"/>
          <w:numId w:val="1"/>
        </w:numPr>
      </w:pPr>
      <w:r>
        <w:rPr>
          <w:rFonts w:ascii="Merriweather Sans" w:hAnsi="Merriweather Sans"/>
          <w:color w:val="222222"/>
          <w:shd w:val="clear" w:color="auto" w:fill="FFFFFF"/>
        </w:rPr>
        <w:t>National Crime Agency (2016) County lines gang violence, exploitation and drug supply. NCA, London</w:t>
      </w:r>
    </w:p>
    <w:p w14:paraId="207654E8" w14:textId="77777777" w:rsidR="005E3AF8" w:rsidRPr="009D2225" w:rsidRDefault="005E3AF8" w:rsidP="005E3AF8">
      <w:pPr>
        <w:pStyle w:val="ListParagraph"/>
        <w:numPr>
          <w:ilvl w:val="0"/>
          <w:numId w:val="1"/>
        </w:numPr>
      </w:pPr>
      <w:r>
        <w:rPr>
          <w:rFonts w:ascii="Merriweather Sans" w:hAnsi="Merriweather Sans"/>
          <w:color w:val="222222"/>
          <w:shd w:val="clear" w:color="auto" w:fill="FFFFFF"/>
        </w:rPr>
        <w:t>Navarro AE, Gassoumis ZD, Wilber KH (2012) Holding abusers accountable: an elder abuse forensic center increases criminal prosecution of financial exploitation. The Gerontologist 53:303–312</w:t>
      </w:r>
    </w:p>
    <w:p w14:paraId="76A41B60" w14:textId="77777777" w:rsidR="005E3AF8" w:rsidRPr="00EF517A" w:rsidRDefault="005E3AF8" w:rsidP="005E3AF8">
      <w:pPr>
        <w:pStyle w:val="ListParagraph"/>
        <w:numPr>
          <w:ilvl w:val="0"/>
          <w:numId w:val="1"/>
        </w:numPr>
      </w:pPr>
      <w:r>
        <w:rPr>
          <w:rFonts w:ascii="Merriweather Sans" w:hAnsi="Merriweather Sans"/>
          <w:color w:val="222222"/>
          <w:shd w:val="clear" w:color="auto" w:fill="FFFFFF"/>
        </w:rPr>
        <w:t>MacCoun R, Kilmer B, Reuter P (2003) Research on drugs-crime linkage: the next generation. In: Ashcroft J, Daniels D, Hart S (eds) Toward a drugs and crime research agenda for the 21st century: special report. U.S. Department of Justice Office of Justice Programs, Washington, pp 65–90</w:t>
      </w:r>
    </w:p>
    <w:p w14:paraId="10BB1C93" w14:textId="77777777" w:rsidR="005E3AF8" w:rsidRPr="00AC2AB1" w:rsidRDefault="005E3AF8" w:rsidP="005E3AF8">
      <w:pPr>
        <w:pStyle w:val="ListParagraph"/>
        <w:numPr>
          <w:ilvl w:val="0"/>
          <w:numId w:val="1"/>
        </w:numPr>
      </w:pPr>
      <w:r>
        <w:rPr>
          <w:rFonts w:ascii="Merriweather Sans" w:hAnsi="Merriweather Sans"/>
          <w:color w:val="222222"/>
          <w:shd w:val="clear" w:color="auto" w:fill="FFFFFF"/>
        </w:rPr>
        <w:t>Chakraborti N, Garland J (2015) Hate crime: impacts, causes and responses, 2nd edn. Sage, London</w:t>
      </w:r>
    </w:p>
    <w:p w14:paraId="7544000D" w14:textId="77777777" w:rsidR="005E3AF8" w:rsidRPr="00E12142" w:rsidRDefault="005E3AF8" w:rsidP="005E3AF8">
      <w:pPr>
        <w:pStyle w:val="ListParagraph"/>
        <w:numPr>
          <w:ilvl w:val="0"/>
          <w:numId w:val="1"/>
        </w:numPr>
      </w:pPr>
      <w:r>
        <w:rPr>
          <w:rFonts w:ascii="Arial" w:hAnsi="Arial" w:cs="Arial"/>
          <w:color w:val="000000"/>
          <w:shd w:val="clear" w:color="auto" w:fill="FAFAFA"/>
        </w:rPr>
        <w:t>Adapted in the Children Commisioner's Report (February 2019) </w:t>
      </w:r>
      <w:hyperlink r:id="rId7" w:history="1">
        <w:r>
          <w:rPr>
            <w:rStyle w:val="Hyperlink"/>
            <w:rFonts w:ascii="Arial" w:hAnsi="Arial" w:cs="Arial"/>
            <w:color w:val="2F7CA3"/>
            <w:shd w:val="clear" w:color="auto" w:fill="FAFAFA"/>
          </w:rPr>
          <w:t>'Keeping Children Safe: Improving safeguarding responses to gang violence and criminal exploitation'</w:t>
        </w:r>
      </w:hyperlink>
      <w:r>
        <w:rPr>
          <w:rFonts w:ascii="Arial" w:hAnsi="Arial" w:cs="Arial"/>
          <w:color w:val="000000"/>
          <w:shd w:val="clear" w:color="auto" w:fill="FAFAFA"/>
        </w:rPr>
        <w:t> from Hallsworth S and  Young T (2004) Getting Real About Gangs. Criminal Justice Matters (55) 12-13</w:t>
      </w:r>
    </w:p>
    <w:p w14:paraId="4CC2EBF5" w14:textId="77777777" w:rsidR="005E3AF8" w:rsidRPr="00EF5F53" w:rsidRDefault="005E3AF8" w:rsidP="005E3AF8">
      <w:pPr>
        <w:pStyle w:val="ListParagraph"/>
        <w:numPr>
          <w:ilvl w:val="0"/>
          <w:numId w:val="1"/>
        </w:numPr>
      </w:pPr>
      <w:r>
        <w:lastRenderedPageBreak/>
        <w:t xml:space="preserve">ANNAN, L (2021) What makes young people get involved with street gangs in London? A study of the perceived risk factors. School of applied sciences, London. </w:t>
      </w:r>
    </w:p>
    <w:p w14:paraId="6CE2EBF2" w14:textId="77777777" w:rsidR="005E3AF8" w:rsidRPr="005C28FE" w:rsidRDefault="005E3AF8" w:rsidP="005E3AF8">
      <w:pPr>
        <w:pStyle w:val="ListParagraph"/>
        <w:numPr>
          <w:ilvl w:val="0"/>
          <w:numId w:val="1"/>
        </w:numPr>
      </w:pPr>
      <w:r>
        <w:rPr>
          <w:rFonts w:ascii="Verdana" w:hAnsi="Verdana"/>
          <w:color w:val="555555"/>
          <w:sz w:val="18"/>
          <w:szCs w:val="18"/>
          <w:shd w:val="clear" w:color="auto" w:fill="FFFFFF"/>
        </w:rPr>
        <w:t>ASHTON, S. and BUSSU, A., 2020. Peer groups, street gangs and organised crime in the narratives of adolescent male offenders. </w:t>
      </w:r>
      <w:r>
        <w:rPr>
          <w:rFonts w:ascii="Verdana" w:hAnsi="Verdana"/>
          <w:i/>
          <w:iCs/>
          <w:color w:val="555555"/>
          <w:sz w:val="18"/>
          <w:szCs w:val="18"/>
          <w:shd w:val="clear" w:color="auto" w:fill="FFFFFF"/>
        </w:rPr>
        <w:t>Journal of Criminal Psychology, </w:t>
      </w:r>
      <w:r>
        <w:rPr>
          <w:rFonts w:ascii="Verdana" w:hAnsi="Verdana"/>
          <w:b/>
          <w:bCs/>
          <w:color w:val="555555"/>
          <w:sz w:val="18"/>
          <w:szCs w:val="18"/>
          <w:shd w:val="clear" w:color="auto" w:fill="FFFFFF"/>
        </w:rPr>
        <w:t>10</w:t>
      </w:r>
      <w:r>
        <w:rPr>
          <w:rFonts w:ascii="Verdana" w:hAnsi="Verdana"/>
          <w:color w:val="555555"/>
          <w:sz w:val="18"/>
          <w:szCs w:val="18"/>
          <w:shd w:val="clear" w:color="auto" w:fill="FFFFFF"/>
        </w:rPr>
        <w:t>(4), pp. 277-292.</w:t>
      </w:r>
    </w:p>
    <w:p w14:paraId="588289DD" w14:textId="77777777" w:rsidR="005E3AF8" w:rsidRDefault="005E3AF8" w:rsidP="005E3AF8">
      <w:pPr>
        <w:pStyle w:val="ListParagraph"/>
        <w:numPr>
          <w:ilvl w:val="0"/>
          <w:numId w:val="1"/>
        </w:numPr>
      </w:pPr>
      <w:r>
        <w:rPr>
          <w:rFonts w:ascii="Merriweather Sans" w:hAnsi="Merriweather Sans"/>
          <w:color w:val="222222"/>
          <w:shd w:val="clear" w:color="auto" w:fill="FFFFFF"/>
        </w:rPr>
        <w:t>DeLiema M, Gassoumis ZD, Homeier DC, Wilber KH (2012) Determining prevalence and correlates of elder abuse using promotores: low-income immigrant Latinos report high rates of abuse and neglect. J Am Geriatr Soc 60:1333–1339</w:t>
      </w:r>
    </w:p>
    <w:p w14:paraId="4FB5CD96" w14:textId="77777777" w:rsidR="002F1159" w:rsidRDefault="002F1159"/>
    <w:p w14:paraId="05263EB7" w14:textId="77777777" w:rsidR="005E3AF8" w:rsidRDefault="005E3AF8"/>
    <w:p w14:paraId="7864A011" w14:textId="77777777" w:rsidR="005E3AF8" w:rsidRDefault="005E3AF8"/>
    <w:p w14:paraId="52CE8953" w14:textId="77777777" w:rsidR="005E3AF8" w:rsidRDefault="005E3AF8" w:rsidP="005E3AF8">
      <w:r>
        <w:t xml:space="preserve">In this essay, I will be discussing whether or not Multi-Agency Public Protection Arrangements, otherwise known as (MAPPA) is an effective way of managing violent and sexual offenders. In order to do this, I will consider the benefits and disadvantages of MAPPA to consider various viewpoints and be able to make a conclusion of its effectiveness. MAPPA is a process in which its purpose is to prevent re-offending and that has been reinforced by the Human Rights Act (1998), in which, the offender is the main focus, instead of the victim. This is in regard to the management of violent and sexual offenders and will outline the role that police, the prison service and the probation trusts have within this strategy (GovUK, 2023). </w:t>
      </w:r>
    </w:p>
    <w:p w14:paraId="58771668" w14:textId="77777777" w:rsidR="005E3AF8" w:rsidRDefault="005E3AF8" w:rsidP="005E3AF8">
      <w:r>
        <w:t xml:space="preserve">A way in which the use of MAPPA can be seen to be effective is that there is a process in which needs to be followed such as there being three different levels of which an individual offender can be categorised in. Based on the level of crime when considering violent and sexual offences, individuals will be placed into one of these levels which will identify the needs, risks and management needed for the offender. This can be argued to make MAPPA effective as the levels can allow agencies to resource appropriately and manage accordingly to the risks posed by offenders. (College of Policing 2014). Furthermore, it has been concluded by Criminal Justice Joint Inspection (2022) that MAPPA meetings at level two and three have been beneficial with the way in which information is shared between agencies and that offenders are able to have resources that would not have been achievable without the use of MAPPA. </w:t>
      </w:r>
    </w:p>
    <w:p w14:paraId="6BA38B24" w14:textId="77777777" w:rsidR="005E3AF8" w:rsidRDefault="005E3AF8" w:rsidP="005E3AF8">
      <w:r>
        <w:t xml:space="preserve">I will be using the National MAPPA research journal (2023) in order to be able to determine the effectiveness of MAPPA in regard to the management of violent and sexual offenders. This journal uses a wide range of research methods such as case reviews, focus groups and sampling in order to gain statistics on re offending rates by using MAPPA. It argues that MAPPA has proven to have a decrease in re-offending rates and is ‘well-respected and highly valued mechanism for managing the risk posed by individuals convicted of sexual and violent crimes’. However, this journal also takes into consideration that training on MAPPA needed to be improved and developed as it was lacking in arears which resulted in poor management of some offenders as well as MAPPA needing to focus on youth offenders as they transitioned into adolescents. Criminal Justice Joint Inspection (2022) supported this viewpoint and stated that ‘MAPPA panels do not always understand the process or use this option sufficiently well, leading to missed opportunities’. On the other hand, Wood (2012) argues that the effectiveness of MAPPA is difficult to measure, however, agrees that it can be theorized, that it reduces the number of offences made by re-offenders due to the heavy involvement and management, which could explain a lower reconviction rate. </w:t>
      </w:r>
    </w:p>
    <w:p w14:paraId="7C1DCB7A" w14:textId="77777777" w:rsidR="005E3AF8" w:rsidRDefault="005E3AF8" w:rsidP="005E3AF8">
      <w:r>
        <w:lastRenderedPageBreak/>
        <w:t xml:space="preserve">Wood (2012), concludes that a major limit that detracts from MAPPA’s effectiveness would be the resources available and states that the criminal justice system and managing offenders is under major pressure and the financial climate is affecting the ability to resource such high demands in managing offenders. She also continues to state that MAPPA alone can not be relied on to change the attitude and behaviour of offenders of such violent and sexual offences and that this is not realistic. </w:t>
      </w:r>
    </w:p>
    <w:p w14:paraId="1E13FAA3" w14:textId="77777777" w:rsidR="005E3AF8" w:rsidRDefault="005E3AF8" w:rsidP="005E3AF8">
      <w:r>
        <w:t xml:space="preserve">One of the benefits of MAPPA is the ability to find offenders accommodation after committing an offence. This means that the accommodation can be pre- approved and suitable for the offender, for example, if this is a sexual offender, this could be a gender specific accommodation. MAPPA also has the ability to apply conditions against the offender that detail places in which they would not be able to attend or people that they would not be able to have contact with (Gov.uk 2023). MAPPA can be seen to be a beneficial tool due to the ability to put in place conditions that offenders need to abide by. This means that if the offender does not abide by them, ‘can be taken to court by the police and could face a fine and/or up to five years in prison’ (Gov.uk 2023). </w:t>
      </w:r>
    </w:p>
    <w:p w14:paraId="7F8307AB" w14:textId="77777777" w:rsidR="005E3AF8" w:rsidRDefault="005E3AF8" w:rsidP="005E3AF8">
      <w:r>
        <w:t xml:space="preserve">MAPPA enforces that police from the public protection unit are seen to be managing offenders on a daily basis, which involves ‘offenders are visited on both a regular and random basis, according to their risk level which is regularly reviewed which can also be argued to enhance public protection due to this being the speciality of this unit. This suggests that MAPPA is effective by involving all agencies and there being specific roles outlined for each agency, meaning that the offender is focused on significantly from all aspects and all partner agencies involved (College of Policing, 2014). </w:t>
      </w:r>
    </w:p>
    <w:p w14:paraId="26B1FDC0" w14:textId="354B34B2" w:rsidR="005E3AF8" w:rsidRDefault="005E3AF8" w:rsidP="005E3AF8">
      <w:r>
        <w:t xml:space="preserve">In conclusion, it is suggested that the effectiveness of using MAPPA to manage violent and sexual offenders can be hard to determine and can not a straightforward conclusion. Through research and considering many viewpoints, it appears that there are many benefits of using MAPPA that show its effectiveness such as the process it follows which allows agencies to easily identify and supply their support where it is needed to individuals. However, it can also be argued that MAPPA is lacking in certain areas which could detract from its effectiveness when considering things such as resourcing issues and lack in training those who manage offenders. </w:t>
      </w:r>
    </w:p>
    <w:p w14:paraId="156083B9" w14:textId="3DBC8356" w:rsidR="005E3AF8" w:rsidRPr="005E3AF8" w:rsidRDefault="005E3AF8" w:rsidP="005E3AF8">
      <w:pPr>
        <w:rPr>
          <w:b/>
          <w:bCs/>
          <w:u w:val="single"/>
        </w:rPr>
      </w:pPr>
      <w:r w:rsidRPr="005E3AF8">
        <w:rPr>
          <w:b/>
          <w:bCs/>
          <w:u w:val="single"/>
        </w:rPr>
        <w:t xml:space="preserve">WORD COUNT: </w:t>
      </w:r>
      <w:r>
        <w:rPr>
          <w:b/>
          <w:bCs/>
          <w:u w:val="single"/>
        </w:rPr>
        <w:t xml:space="preserve">915 </w:t>
      </w:r>
    </w:p>
    <w:p w14:paraId="3F3F638A" w14:textId="21315573" w:rsidR="005E3AF8" w:rsidRDefault="005E3AF8" w:rsidP="005E3AF8">
      <w:pPr>
        <w:rPr>
          <w:b/>
          <w:bCs/>
          <w:u w:val="single"/>
        </w:rPr>
      </w:pPr>
      <w:r w:rsidRPr="00B459B6">
        <w:rPr>
          <w:b/>
          <w:bCs/>
          <w:u w:val="single"/>
        </w:rPr>
        <w:t xml:space="preserve">Bibliography: </w:t>
      </w:r>
    </w:p>
    <w:p w14:paraId="7DDA815E" w14:textId="77777777" w:rsidR="005E3AF8" w:rsidRDefault="005E3AF8" w:rsidP="005E3AF8">
      <w:pPr>
        <w:pStyle w:val="NormalWeb"/>
        <w:numPr>
          <w:ilvl w:val="0"/>
          <w:numId w:val="2"/>
        </w:numPr>
      </w:pPr>
      <w:r>
        <w:t xml:space="preserve">Justice, M. of (2023) </w:t>
      </w:r>
      <w:r>
        <w:rPr>
          <w:i/>
          <w:iCs/>
        </w:rPr>
        <w:t>Multi-agency Public Protection Arrangements (MAPPA): Guidance</w:t>
      </w:r>
      <w:r>
        <w:t xml:space="preserve">, </w:t>
      </w:r>
      <w:r>
        <w:rPr>
          <w:i/>
          <w:iCs/>
        </w:rPr>
        <w:t>GOV.UK</w:t>
      </w:r>
      <w:r>
        <w:t xml:space="preserve">. Available at: https://www.gov.uk/government/publications/multi-agency-public-protection-arrangements-mappa-guidance (Accessed: 29 January 2024). </w:t>
      </w:r>
    </w:p>
    <w:p w14:paraId="42A1E3FE" w14:textId="77777777" w:rsidR="005E3AF8" w:rsidRDefault="005E3AF8" w:rsidP="005E3AF8">
      <w:pPr>
        <w:pStyle w:val="NormalWeb"/>
        <w:numPr>
          <w:ilvl w:val="0"/>
          <w:numId w:val="2"/>
        </w:numPr>
      </w:pPr>
      <w:r>
        <w:rPr>
          <w:i/>
          <w:iCs/>
        </w:rPr>
        <w:t>The National Mappa Research</w:t>
      </w:r>
      <w:r>
        <w:t xml:space="preserve"> (2023) </w:t>
      </w:r>
      <w:r>
        <w:rPr>
          <w:i/>
          <w:iCs/>
        </w:rPr>
        <w:t>ARU</w:t>
      </w:r>
      <w:r>
        <w:t xml:space="preserve">. Available at: https://www.aru.ac.uk/policing-institute/research/national-mappa-research (Accessed: 29 January 2024). </w:t>
      </w:r>
    </w:p>
    <w:p w14:paraId="57B45007" w14:textId="77777777" w:rsidR="005E3AF8" w:rsidRDefault="005E3AF8" w:rsidP="005E3AF8">
      <w:pPr>
        <w:pStyle w:val="ListParagraph"/>
        <w:numPr>
          <w:ilvl w:val="0"/>
          <w:numId w:val="2"/>
        </w:numPr>
        <w:rPr>
          <w:b/>
          <w:bCs/>
          <w:u w:val="single"/>
        </w:rPr>
      </w:pPr>
      <w:r w:rsidRPr="00E07D6D">
        <w:rPr>
          <w:b/>
          <w:bCs/>
          <w:u w:val="single"/>
        </w:rPr>
        <w:t xml:space="preserve">Wood, J. (2012). MAPPA Level 3 offenders: Reconviction as a measure of effectiveness. Probation Journal, 59(2), 111-123. </w:t>
      </w:r>
      <w:hyperlink r:id="rId8" w:history="1">
        <w:r w:rsidRPr="0014120A">
          <w:rPr>
            <w:rStyle w:val="Hyperlink"/>
            <w:b/>
            <w:bCs/>
          </w:rPr>
          <w:t>https://doi-org.ezproxy.uwtsd.ac.uk/10.1177/0264550512438254</w:t>
        </w:r>
      </w:hyperlink>
    </w:p>
    <w:p w14:paraId="1BDDDB98" w14:textId="0BFBBE21" w:rsidR="005E3AF8" w:rsidRDefault="005E3AF8" w:rsidP="005E3AF8">
      <w:pPr>
        <w:pStyle w:val="NormalWeb"/>
        <w:numPr>
          <w:ilvl w:val="0"/>
          <w:numId w:val="2"/>
        </w:numPr>
      </w:pPr>
      <w:r>
        <w:t xml:space="preserve">(2022) </w:t>
      </w:r>
      <w:r>
        <w:rPr>
          <w:i/>
          <w:iCs/>
        </w:rPr>
        <w:t>Twenty Years on, is MAPPA achieving its objectives?</w:t>
      </w:r>
      <w:r>
        <w:t xml:space="preserve"> Available at: https://www.justiceinspectorates.gov.uk/hmiprobation/wp-content/uploads/sites/5/2022/07/A-joint-thematic-inspection-of-Multi-Agency-Public-Protection-Arrangements.pdf (Accessed: 29 January 2024). </w:t>
      </w:r>
    </w:p>
    <w:p w14:paraId="759DF7BB" w14:textId="65344159" w:rsidR="005E3AF8" w:rsidRDefault="005E3AF8" w:rsidP="005E3AF8">
      <w:r>
        <w:lastRenderedPageBreak/>
        <w:t>In this essay, I will be focusing my attention on flaws within internal vetting and misconduct procedures that have affected public confidence in the police and will be explaining why it is important that independent bodies exist to hold police officers accountable. In order to do this, I will review previous incidents have le</w:t>
      </w:r>
      <w:r>
        <w:t>d</w:t>
      </w:r>
      <w:r>
        <w:t xml:space="preserve"> to the conclusion that public confidence has been lost in the police due to misconduct and internal vetting procedures and then explain the important of an independent body. </w:t>
      </w:r>
    </w:p>
    <w:p w14:paraId="4835BE10" w14:textId="77777777" w:rsidR="005E3AF8" w:rsidRDefault="005E3AF8" w:rsidP="005E3AF8">
      <w:r>
        <w:t xml:space="preserve">An article that I would like to use to develop my answer to this question, would be the processes and outcomes following from police related deaths that Baker (2022) divulges into. He discusses numerous police related deaths such as the death of George Floyd where an officer was sentenced to 22 years in prison for second-degree murder as well as an officer sentenced to eight years for manslaughter, following the death of Dalian Atkinson. Deaths such as these created a widespread outrage within society and created hatred towards the police as members of the public felt that police were abusing their powers. Therefore, it was vital that the police were seen to be taking accountability following from this in order to ensure the public did not lose confidence in police and that the police enforced standards and regulations for those who had played a role in misconduct. </w:t>
      </w:r>
    </w:p>
    <w:p w14:paraId="50C952D7" w14:textId="6BB4B09F" w:rsidR="005E3AF8" w:rsidRDefault="005E3AF8" w:rsidP="005E3AF8">
      <w:r>
        <w:t xml:space="preserve"> When exploring the aftermath of a </w:t>
      </w:r>
      <w:r>
        <w:t>police officer</w:t>
      </w:r>
      <w:r>
        <w:t xml:space="preserve"> related death, there are two independent agencies that will be involved, one of which would be the coroner which would be available to the public and are focused on the facts of the case in relation to the criminal justice system (Baker, 2022). It was agreed by families that were aggrieved of the police related deaths that the processes of an independent agency to the police would hold accountability and seek appropriate, non-bias justice, showing that police officers would face consequences and interrogation the same as any other person involved in a crime would be. </w:t>
      </w:r>
    </w:p>
    <w:p w14:paraId="567BD294" w14:textId="3165BDEF" w:rsidR="005E3AF8" w:rsidRDefault="005E3AF8" w:rsidP="005E3AF8">
      <w:r>
        <w:t xml:space="preserve"> Another independent body would be the Independent Office for Police Conduct (IOPC). The IOCP states ‘we are not the police, we are completely independent of them. We investigate the most serious complaints and conduct matters involving the police, and we set the standards by which the police should handle complaints’ (IOCP, 2023). The IOCP is put in place in order for the public to have trust and confidence in the police by holding officers accountable for their actions. Due to the IOCP being independent, this creates a credible, </w:t>
      </w:r>
      <w:r>
        <w:t>trustworthy</w:t>
      </w:r>
      <w:r>
        <w:t xml:space="preserve"> investigation that will adhere to gain non-bias justice. The IOCP refers to historic moments such as the Brixton Riots and as well as the murder of Stephen Lawrence in order to portray the need for an independent organisation to manage the investigations such as these events that involve police officers. The IOCP has gained further powers such as the ‘ability to investigate without a referral from a police force’ which they gained in 2018 (IOCP, 2023). This is argued to hold officers accountable due to complaints being able to come from outside of the police force. The IOCP aim was to also ensure that police officers learnt from their mistakes through the complaints they received and that this would hold them accountable to overall better the police force and the members of it. </w:t>
      </w:r>
    </w:p>
    <w:p w14:paraId="674A54C0" w14:textId="108DC41F" w:rsidR="005E3AF8" w:rsidRDefault="005E3AF8" w:rsidP="005E3AF8">
      <w:r>
        <w:t xml:space="preserve">In accordance with the Institute of Government (2023), it is stated that the ability to police is the acceptance that the community has of policing to </w:t>
      </w:r>
      <w:r>
        <w:t>happen,</w:t>
      </w:r>
      <w:r>
        <w:t xml:space="preserve"> and that accountability is vital in order for this to take place. Police and crime commissioners hold police officers accountable by publishing reports and enhancing the Chief </w:t>
      </w:r>
      <w:r>
        <w:t>constables’</w:t>
      </w:r>
      <w:r>
        <w:t xml:space="preserve"> approach to scrutiny and performance. It has been criticised that police complaint procedures against officers are slow and dismissed often, even for repeat offenders. The police is widely scrutinised and most data regarding performance and misconduct within the police, receive large amounts of attention from the media and public knowledge, therefore, in accordance with this, independent bodies must be seen to be taking action in holding officers accountable for their misconduct. </w:t>
      </w:r>
    </w:p>
    <w:p w14:paraId="29A2338D" w14:textId="214F0910" w:rsidR="005E3AF8" w:rsidRDefault="005E3AF8" w:rsidP="005E3AF8">
      <w:r>
        <w:lastRenderedPageBreak/>
        <w:t>In regard to</w:t>
      </w:r>
      <w:r>
        <w:t xml:space="preserve"> vetting within policing, it has been stated by Chief Constable Andy Marsh, College of policing (2023), that the ‘dreadful crimes committed by police officers and staff exposed over recent moths are compounded by the fact that some of them flew under the radar because of opportunities to detect them were missed’. This alludes to the fact that due to poor </w:t>
      </w:r>
      <w:r>
        <w:t>vetting;</w:t>
      </w:r>
      <w:r>
        <w:t xml:space="preserve"> police officers had not been held accountable for their previous actions or </w:t>
      </w:r>
      <w:r>
        <w:t>offences.</w:t>
      </w:r>
      <w:r>
        <w:t xml:space="preserve"> Therefore, the vetting’s code of practice </w:t>
      </w:r>
      <w:r>
        <w:t>has now been</w:t>
      </w:r>
      <w:r>
        <w:t xml:space="preserve"> improved and advanced in order to combat this and hold officers accountable for their past. Independent bodies would be aware of these changes as well as the vetting processes, therefore, if these processes are not adhered to, police forces can </w:t>
      </w:r>
      <w:r>
        <w:t xml:space="preserve">be </w:t>
      </w:r>
      <w:r>
        <w:t xml:space="preserve">held accountable for not actioning this accordingly. Issues such as these can be published by independent bodies. </w:t>
      </w:r>
    </w:p>
    <w:p w14:paraId="5EAD9953" w14:textId="44DFDEEB" w:rsidR="005E3AF8" w:rsidRDefault="005E3AF8" w:rsidP="005E3AF8">
      <w:r>
        <w:t xml:space="preserve">In conclusion, most discussions that I have researched </w:t>
      </w:r>
      <w:r>
        <w:t>in regard to</w:t>
      </w:r>
      <w:r>
        <w:t xml:space="preserve"> this topic, suggest that the main reason for holding police accountable is to help build public trust in police. Through recent events such as police related deaths, it is suggest</w:t>
      </w:r>
      <w:r>
        <w:t>ed</w:t>
      </w:r>
      <w:r>
        <w:t xml:space="preserve"> that the public do not feel that police are held responsible for their actions. Therefore, independent bodies are put in place in order to ensure that police officers face the same proceedings as a member of the public does in order to maintain trust, confidence and an unbiased approach where justice is seen to be conducted.</w:t>
      </w:r>
    </w:p>
    <w:p w14:paraId="792E6140" w14:textId="3918560C" w:rsidR="005E3AF8" w:rsidRPr="005E3AF8" w:rsidRDefault="005E3AF8" w:rsidP="005E3AF8">
      <w:pPr>
        <w:rPr>
          <w:b/>
          <w:bCs/>
          <w:u w:val="single"/>
        </w:rPr>
      </w:pPr>
      <w:r w:rsidRPr="005E3AF8">
        <w:rPr>
          <w:b/>
          <w:bCs/>
          <w:u w:val="single"/>
        </w:rPr>
        <w:t xml:space="preserve">WORD COUNT: </w:t>
      </w:r>
      <w:r>
        <w:rPr>
          <w:b/>
          <w:bCs/>
          <w:u w:val="single"/>
        </w:rPr>
        <w:t>921</w:t>
      </w:r>
    </w:p>
    <w:p w14:paraId="3F5456D1" w14:textId="0A5FE1EE" w:rsidR="005E3AF8" w:rsidRDefault="005E3AF8" w:rsidP="005E3AF8">
      <w:pPr>
        <w:rPr>
          <w:b/>
          <w:bCs/>
          <w:u w:val="single"/>
        </w:rPr>
      </w:pPr>
      <w:r w:rsidRPr="008C6710">
        <w:rPr>
          <w:b/>
          <w:bCs/>
          <w:u w:val="single"/>
        </w:rPr>
        <w:t>Bibliography:</w:t>
      </w:r>
    </w:p>
    <w:p w14:paraId="21935CA8" w14:textId="77777777" w:rsidR="005E3AF8" w:rsidRDefault="005E3AF8" w:rsidP="005E3AF8">
      <w:pPr>
        <w:pStyle w:val="NormalWeb"/>
        <w:numPr>
          <w:ilvl w:val="0"/>
          <w:numId w:val="3"/>
        </w:numPr>
      </w:pPr>
      <w:r>
        <w:rPr>
          <w:i/>
          <w:iCs/>
        </w:rPr>
        <w:t>We are the Independent Office for Police conduct</w:t>
      </w:r>
      <w:r>
        <w:t xml:space="preserve"> (2024) </w:t>
      </w:r>
      <w:r>
        <w:rPr>
          <w:i/>
          <w:iCs/>
        </w:rPr>
        <w:t>We are the Independent Office for Police Conduct | Independent Office for Police Conduct (IOPC)</w:t>
      </w:r>
      <w:r>
        <w:t xml:space="preserve">. Available at: https://www.policeconduct.gov.uk/ (Accessed: 29 January 2024). </w:t>
      </w:r>
    </w:p>
    <w:p w14:paraId="2D564C82" w14:textId="77777777" w:rsidR="005E3AF8" w:rsidRPr="0092480D" w:rsidRDefault="005E3AF8" w:rsidP="005E3AF8">
      <w:pPr>
        <w:pStyle w:val="ListParagraph"/>
        <w:numPr>
          <w:ilvl w:val="0"/>
          <w:numId w:val="3"/>
        </w:numPr>
        <w:rPr>
          <w:b/>
          <w:bCs/>
          <w:u w:val="single"/>
        </w:rPr>
      </w:pPr>
      <w:r w:rsidRPr="008C6710">
        <w:rPr>
          <w:b/>
          <w:bCs/>
          <w:u w:val="single"/>
        </w:rPr>
        <w:t xml:space="preserve"> </w:t>
      </w:r>
      <w:r>
        <w:rPr>
          <w:rFonts w:ascii="Verdana" w:hAnsi="Verdana"/>
          <w:color w:val="555555"/>
          <w:sz w:val="18"/>
          <w:szCs w:val="18"/>
          <w:shd w:val="clear" w:color="auto" w:fill="FFFFFF"/>
        </w:rPr>
        <w:t>BAKER, D., 2022. Accountability in the aftermath of police related deaths in the US and England and Wales: processes and outcomes. </w:t>
      </w:r>
      <w:r>
        <w:rPr>
          <w:rFonts w:ascii="Verdana" w:hAnsi="Verdana"/>
          <w:i/>
          <w:iCs/>
          <w:color w:val="555555"/>
          <w:sz w:val="18"/>
          <w:szCs w:val="18"/>
          <w:shd w:val="clear" w:color="auto" w:fill="FFFFFF"/>
        </w:rPr>
        <w:t>Policing, </w:t>
      </w:r>
      <w:r>
        <w:rPr>
          <w:rFonts w:ascii="Verdana" w:hAnsi="Verdana"/>
          <w:b/>
          <w:bCs/>
          <w:color w:val="555555"/>
          <w:sz w:val="18"/>
          <w:szCs w:val="18"/>
          <w:shd w:val="clear" w:color="auto" w:fill="FFFFFF"/>
        </w:rPr>
        <w:t>45</w:t>
      </w:r>
      <w:r>
        <w:rPr>
          <w:rFonts w:ascii="Verdana" w:hAnsi="Verdana"/>
          <w:color w:val="555555"/>
          <w:sz w:val="18"/>
          <w:szCs w:val="18"/>
          <w:shd w:val="clear" w:color="auto" w:fill="FFFFFF"/>
        </w:rPr>
        <w:t>(4), pp. 556-569.</w:t>
      </w:r>
    </w:p>
    <w:p w14:paraId="62C1E8E6" w14:textId="77777777" w:rsidR="005E3AF8" w:rsidRDefault="005E3AF8" w:rsidP="005E3AF8">
      <w:pPr>
        <w:pStyle w:val="NormalWeb"/>
        <w:numPr>
          <w:ilvl w:val="0"/>
          <w:numId w:val="3"/>
        </w:numPr>
      </w:pPr>
      <w:r>
        <w:rPr>
          <w:i/>
          <w:iCs/>
        </w:rPr>
        <w:t>Vetting code of practice updated</w:t>
      </w:r>
      <w:r>
        <w:t xml:space="preserve"> (2023) </w:t>
      </w:r>
      <w:r>
        <w:rPr>
          <w:i/>
          <w:iCs/>
        </w:rPr>
        <w:t>College of Policing</w:t>
      </w:r>
      <w:r>
        <w:t xml:space="preserve">. Available at: https://www.college.police.uk/article/vetting-code-practice-updated (Accessed: 29 January 2024). </w:t>
      </w:r>
    </w:p>
    <w:p w14:paraId="441098F2" w14:textId="77777777" w:rsidR="005E3AF8" w:rsidRDefault="005E3AF8" w:rsidP="005E3AF8">
      <w:pPr>
        <w:pStyle w:val="NormalWeb"/>
        <w:numPr>
          <w:ilvl w:val="0"/>
          <w:numId w:val="3"/>
        </w:numPr>
      </w:pPr>
      <w:r>
        <w:t xml:space="preserve">Richards, G. (2024) </w:t>
      </w:r>
      <w:r>
        <w:rPr>
          <w:i/>
          <w:iCs/>
        </w:rPr>
        <w:t>Police accountability</w:t>
      </w:r>
      <w:r>
        <w:t xml:space="preserve">, </w:t>
      </w:r>
      <w:r>
        <w:rPr>
          <w:i/>
          <w:iCs/>
        </w:rPr>
        <w:t>Institute for Government</w:t>
      </w:r>
      <w:r>
        <w:t xml:space="preserve">. Available at: https://www.instituteforgovernment.org.uk/article/explainer/police-accountability (Accessed: 29 January 2024). </w:t>
      </w:r>
    </w:p>
    <w:p w14:paraId="4BC84A24" w14:textId="77777777" w:rsidR="005E3AF8" w:rsidRPr="0092480D" w:rsidRDefault="005E3AF8" w:rsidP="005E3AF8">
      <w:pPr>
        <w:rPr>
          <w:b/>
          <w:bCs/>
          <w:u w:val="single"/>
        </w:rPr>
      </w:pPr>
    </w:p>
    <w:p w14:paraId="5DD112D4" w14:textId="77777777" w:rsidR="005E3AF8" w:rsidRDefault="005E3AF8" w:rsidP="005E3AF8"/>
    <w:p w14:paraId="2D13E693" w14:textId="77777777" w:rsidR="005E3AF8" w:rsidRPr="00BE0461" w:rsidRDefault="005E3AF8" w:rsidP="005E3AF8">
      <w:pPr>
        <w:rPr>
          <w:b/>
          <w:bCs/>
          <w:u w:val="single"/>
        </w:rPr>
      </w:pPr>
    </w:p>
    <w:p w14:paraId="6F815AEF" w14:textId="77777777" w:rsidR="005E3AF8" w:rsidRPr="00E07D6D" w:rsidRDefault="005E3AF8" w:rsidP="005E3AF8">
      <w:pPr>
        <w:rPr>
          <w:b/>
          <w:bCs/>
          <w:u w:val="single"/>
        </w:rPr>
      </w:pPr>
    </w:p>
    <w:p w14:paraId="4A43544C" w14:textId="77777777" w:rsidR="005E3AF8" w:rsidRDefault="005E3AF8"/>
    <w:sectPr w:rsidR="005E3A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erriweather Sans">
    <w:charset w:val="00"/>
    <w:family w:val="auto"/>
    <w:pitch w:val="variable"/>
    <w:sig w:usb0="A00004FF" w:usb1="4000207B" w:usb2="00000000" w:usb3="00000000" w:csb0="0000019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13F4"/>
    <w:multiLevelType w:val="hybridMultilevel"/>
    <w:tmpl w:val="22846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F2973"/>
    <w:multiLevelType w:val="hybridMultilevel"/>
    <w:tmpl w:val="81D8A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5634C3"/>
    <w:multiLevelType w:val="hybridMultilevel"/>
    <w:tmpl w:val="9F3C2D2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3315431">
    <w:abstractNumId w:val="1"/>
  </w:num>
  <w:num w:numId="2" w16cid:durableId="1340044496">
    <w:abstractNumId w:val="0"/>
  </w:num>
  <w:num w:numId="3" w16cid:durableId="1506361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81"/>
    <w:rsid w:val="002601F9"/>
    <w:rsid w:val="002F1159"/>
    <w:rsid w:val="005E3AF8"/>
    <w:rsid w:val="00A84B81"/>
    <w:rsid w:val="00C47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23D0"/>
  <w15:chartTrackingRefBased/>
  <w15:docId w15:val="{31AB838F-7053-4BD0-9988-16781EECB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4B81"/>
    <w:rPr>
      <w:color w:val="0000FF"/>
      <w:u w:val="single"/>
    </w:rPr>
  </w:style>
  <w:style w:type="paragraph" w:styleId="NormalWeb">
    <w:name w:val="Normal (Web)"/>
    <w:basedOn w:val="Normal"/>
    <w:uiPriority w:val="99"/>
    <w:unhideWhenUsed/>
    <w:rsid w:val="00A84B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5E3A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0264550512438254" TargetMode="External"/><Relationship Id="rId3" Type="http://schemas.openxmlformats.org/officeDocument/2006/relationships/settings" Target="settings.xml"/><Relationship Id="rId7" Type="http://schemas.openxmlformats.org/officeDocument/2006/relationships/hyperlink" Target="https://www.childrenscommissioner.gov.uk/wp-content/uploads/2019/02/CCO-Gang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guidance/vulnerability-related-risks/introduction-vulnerability-related-risk" TargetMode="External"/><Relationship Id="rId5" Type="http://schemas.openxmlformats.org/officeDocument/2006/relationships/hyperlink" Target="https://ebookcentral.proquest.com/lib/trinity/detail.action?docID=620709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4268</Words>
  <Characters>24331</Characters>
  <Application>Microsoft Office Word</Application>
  <DocSecurity>0</DocSecurity>
  <Lines>202</Lines>
  <Paragraphs>57</Paragraphs>
  <ScaleCrop>false</ScaleCrop>
  <Company>South Wales Police</Company>
  <LinksUpToDate>false</LinksUpToDate>
  <CharactersWithSpaces>28542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Flannigan,Hollie-Jane swp8428</dc:creator>
  <cp:keywords/>
  <dc:description/>
  <cp:lastModifiedBy>Flannigan,Hollie-Jane swp8428</cp:lastModifiedBy>
  <cp:revision>2</cp:revision>
  <dcterms:created xsi:type="dcterms:W3CDTF">2024-01-29T23:22:00Z</dcterms:created>
  <dcterms:modified xsi:type="dcterms:W3CDTF">2024-01-29T23:33:00Z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2024-01-29T23:23:31Z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f162bda3-ebd3-47e3-8388-10cb5a9106fc</vt:lpwstr>
  </property>
  <property fmtid="{D5CDD505-2E9C-101B-9397-08002B2CF9AE}" pid="8" name="MSIP_Label_66cf8fe5-b7b7-4df7-b38d-1c61ac2f6639_ContentBits">
    <vt:lpwstr>0</vt:lpwstr>
  </property>
</Properties>
</file>