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1958B28" w14:textId="77777777" w:rsidR="00250F48" w:rsidRDefault="00250F48">
      <w:pPr>
        <w:pStyle w:val="Title"/>
        <w:jc w:val="right"/>
        <w:rPr>
          <w:rFonts w:ascii="Times New Roman" w:eastAsia="Times New Roman" w:hAnsi="Times New Roman" w:cs="Times New Roman"/>
          <w:b/>
        </w:rPr>
      </w:pPr>
      <w:bookmarkStart w:id="0" w:name="_t1mgt7wbe06t" w:colFirst="0" w:colLast="0"/>
      <w:bookmarkEnd w:id="0"/>
    </w:p>
    <w:p w14:paraId="11087293" w14:textId="77777777" w:rsidR="00250F48" w:rsidRDefault="00C1187E">
      <w:pPr>
        <w:pStyle w:val="Title"/>
        <w:jc w:val="right"/>
        <w:rPr>
          <w:rFonts w:ascii="Times New Roman" w:eastAsia="Times New Roman" w:hAnsi="Times New Roman" w:cs="Times New Roman"/>
          <w:b/>
        </w:rPr>
      </w:pPr>
      <w:bookmarkStart w:id="1" w:name="_aa4fz3ey5lqt" w:colFirst="0" w:colLast="0"/>
      <w:bookmarkEnd w:id="1"/>
      <w:r>
        <w:rPr>
          <w:rFonts w:ascii="Times New Roman" w:eastAsia="Times New Roman" w:hAnsi="Times New Roman" w:cs="Times New Roman"/>
          <w:b/>
          <w:noProof/>
        </w:rPr>
        <w:drawing>
          <wp:inline distT="114300" distB="114300" distL="114300" distR="114300" wp14:anchorId="6DE8AA43" wp14:editId="11D8C354">
            <wp:extent cx="2557463" cy="127873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57463" cy="1278731"/>
                    </a:xfrm>
                    <a:prstGeom prst="rect">
                      <a:avLst/>
                    </a:prstGeom>
                    <a:ln/>
                  </pic:spPr>
                </pic:pic>
              </a:graphicData>
            </a:graphic>
          </wp:inline>
        </w:drawing>
      </w:r>
    </w:p>
    <w:p w14:paraId="0C201A64" w14:textId="77777777" w:rsidR="00250F48" w:rsidRDefault="00C1187E">
      <w:pPr>
        <w:pStyle w:val="Title"/>
        <w:jc w:val="center"/>
        <w:rPr>
          <w:rFonts w:ascii="Times New Roman" w:eastAsia="Times New Roman" w:hAnsi="Times New Roman" w:cs="Times New Roman"/>
          <w:b/>
        </w:rPr>
      </w:pPr>
      <w:bookmarkStart w:id="2" w:name="_luq5a27m0993" w:colFirst="0" w:colLast="0"/>
      <w:bookmarkEnd w:id="2"/>
      <w:r>
        <w:rPr>
          <w:rFonts w:ascii="Times New Roman" w:eastAsia="Times New Roman" w:hAnsi="Times New Roman" w:cs="Times New Roman"/>
          <w:b/>
        </w:rPr>
        <w:t>Financial Management</w:t>
      </w:r>
    </w:p>
    <w:p w14:paraId="46A12F84" w14:textId="77777777" w:rsidR="00250F48" w:rsidRDefault="00250F48">
      <w:pPr>
        <w:pStyle w:val="Subtitle"/>
        <w:rPr>
          <w:rFonts w:ascii="Times New Roman" w:eastAsia="Times New Roman" w:hAnsi="Times New Roman" w:cs="Times New Roman"/>
          <w:i/>
          <w:sz w:val="36"/>
          <w:szCs w:val="36"/>
        </w:rPr>
      </w:pPr>
      <w:bookmarkStart w:id="3" w:name="_z5iqjxlqlrph" w:colFirst="0" w:colLast="0"/>
      <w:bookmarkEnd w:id="3"/>
    </w:p>
    <w:p w14:paraId="30A8B5D8" w14:textId="77777777" w:rsidR="00250F48" w:rsidRDefault="00C1187E">
      <w:pPr>
        <w:pStyle w:val="Subtitle"/>
        <w:jc w:val="center"/>
        <w:rPr>
          <w:rFonts w:ascii="Times New Roman" w:eastAsia="Times New Roman" w:hAnsi="Times New Roman" w:cs="Times New Roman"/>
          <w:i/>
          <w:sz w:val="36"/>
          <w:szCs w:val="36"/>
        </w:rPr>
      </w:pPr>
      <w:bookmarkStart w:id="4" w:name="_uh35p2qrwv81" w:colFirst="0" w:colLast="0"/>
      <w:bookmarkEnd w:id="4"/>
      <w:r>
        <w:rPr>
          <w:rFonts w:ascii="Times New Roman" w:eastAsia="Times New Roman" w:hAnsi="Times New Roman" w:cs="Times New Roman"/>
          <w:i/>
          <w:sz w:val="36"/>
          <w:szCs w:val="36"/>
        </w:rPr>
        <w:t>Unilever PLC</w:t>
      </w:r>
    </w:p>
    <w:p w14:paraId="5354DF9B" w14:textId="77777777" w:rsidR="00250F48" w:rsidRDefault="00250F48">
      <w:pPr>
        <w:rPr>
          <w:rFonts w:ascii="Times New Roman" w:eastAsia="Times New Roman" w:hAnsi="Times New Roman" w:cs="Times New Roman"/>
          <w:b/>
          <w:sz w:val="26"/>
          <w:szCs w:val="26"/>
        </w:rPr>
      </w:pPr>
    </w:p>
    <w:p w14:paraId="7A1329BA" w14:textId="77777777" w:rsidR="00250F48" w:rsidRDefault="00250F48">
      <w:pPr>
        <w:rPr>
          <w:rFonts w:ascii="Times New Roman" w:eastAsia="Times New Roman" w:hAnsi="Times New Roman" w:cs="Times New Roman"/>
          <w:b/>
          <w:sz w:val="26"/>
          <w:szCs w:val="26"/>
        </w:rPr>
      </w:pPr>
    </w:p>
    <w:p w14:paraId="4C34BE67" w14:textId="77777777" w:rsidR="00250F48" w:rsidRDefault="00250F48">
      <w:pPr>
        <w:rPr>
          <w:rFonts w:ascii="Times New Roman" w:eastAsia="Times New Roman" w:hAnsi="Times New Roman" w:cs="Times New Roman"/>
          <w:b/>
          <w:sz w:val="26"/>
          <w:szCs w:val="26"/>
        </w:rPr>
      </w:pPr>
    </w:p>
    <w:p w14:paraId="1E795CBF" w14:textId="77777777" w:rsidR="00250F48" w:rsidRDefault="00250F48">
      <w:pPr>
        <w:rPr>
          <w:rFonts w:ascii="Times New Roman" w:eastAsia="Times New Roman" w:hAnsi="Times New Roman" w:cs="Times New Roman"/>
          <w:b/>
          <w:sz w:val="26"/>
          <w:szCs w:val="26"/>
        </w:rPr>
      </w:pPr>
    </w:p>
    <w:p w14:paraId="30E7D15F" w14:textId="77777777" w:rsidR="00250F48" w:rsidRDefault="00250F48">
      <w:pPr>
        <w:jc w:val="center"/>
        <w:rPr>
          <w:rFonts w:ascii="Times New Roman" w:eastAsia="Times New Roman" w:hAnsi="Times New Roman" w:cs="Times New Roman"/>
          <w:b/>
          <w:sz w:val="26"/>
          <w:szCs w:val="26"/>
        </w:rPr>
      </w:pPr>
    </w:p>
    <w:p w14:paraId="4857F603" w14:textId="77777777" w:rsidR="00250F48" w:rsidRDefault="00250F48">
      <w:pPr>
        <w:jc w:val="center"/>
        <w:rPr>
          <w:rFonts w:ascii="Times New Roman" w:eastAsia="Times New Roman" w:hAnsi="Times New Roman" w:cs="Times New Roman"/>
          <w:b/>
          <w:sz w:val="26"/>
          <w:szCs w:val="26"/>
        </w:rPr>
      </w:pPr>
    </w:p>
    <w:p w14:paraId="7185BC62" w14:textId="77777777" w:rsidR="00250F48" w:rsidRDefault="00C1187E">
      <w:pPr>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Module Code: LCMB7002</w:t>
      </w:r>
    </w:p>
    <w:p w14:paraId="2ECB029D" w14:textId="712B9F66" w:rsidR="00C1187E" w:rsidRDefault="00C1187E" w:rsidP="00C1187E">
      <w:pPr>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Student Name </w:t>
      </w:r>
      <w:r>
        <w:rPr>
          <w:rFonts w:ascii="Times New Roman" w:eastAsia="Times New Roman" w:hAnsi="Times New Roman" w:cs="Times New Roman"/>
          <w:b/>
          <w:sz w:val="26"/>
          <w:szCs w:val="26"/>
        </w:rPr>
        <w:t>: Sagar Mandhan (2246016)</w:t>
      </w:r>
    </w:p>
    <w:p w14:paraId="32A1D857" w14:textId="6A1FD219" w:rsidR="00250F48" w:rsidRDefault="00250F48">
      <w:pPr>
        <w:jc w:val="center"/>
        <w:rPr>
          <w:rFonts w:ascii="Times New Roman" w:eastAsia="Times New Roman" w:hAnsi="Times New Roman" w:cs="Times New Roman"/>
          <w:b/>
          <w:sz w:val="26"/>
          <w:szCs w:val="26"/>
        </w:rPr>
      </w:pPr>
    </w:p>
    <w:p w14:paraId="05F5615E" w14:textId="77777777" w:rsidR="00250F48" w:rsidRDefault="00250F48">
      <w:pPr>
        <w:jc w:val="center"/>
        <w:rPr>
          <w:rFonts w:ascii="Times New Roman" w:eastAsia="Times New Roman" w:hAnsi="Times New Roman" w:cs="Times New Roman"/>
          <w:b/>
          <w:sz w:val="26"/>
          <w:szCs w:val="26"/>
        </w:rPr>
      </w:pPr>
    </w:p>
    <w:p w14:paraId="31A50BDF" w14:textId="77777777" w:rsidR="00250F48" w:rsidRDefault="00250F48">
      <w:pPr>
        <w:rPr>
          <w:rFonts w:ascii="Times New Roman" w:eastAsia="Times New Roman" w:hAnsi="Times New Roman" w:cs="Times New Roman"/>
          <w:b/>
          <w:sz w:val="26"/>
          <w:szCs w:val="26"/>
        </w:rPr>
      </w:pPr>
    </w:p>
    <w:p w14:paraId="23C530BF" w14:textId="77777777" w:rsidR="00250F48" w:rsidRDefault="00C1187E">
      <w:pPr>
        <w:rPr>
          <w:rFonts w:ascii="Times New Roman" w:eastAsia="Times New Roman" w:hAnsi="Times New Roman" w:cs="Times New Roman"/>
          <w:b/>
          <w:sz w:val="28"/>
          <w:szCs w:val="28"/>
        </w:rPr>
      </w:pPr>
      <w:r>
        <w:br w:type="page"/>
      </w:r>
    </w:p>
    <w:p w14:paraId="5EEBD4D8" w14:textId="77777777" w:rsidR="00250F48" w:rsidRDefault="00C1187E">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Table of Content</w:t>
      </w:r>
    </w:p>
    <w:p w14:paraId="18514AEC" w14:textId="77777777" w:rsidR="00250F48" w:rsidRDefault="00250F48">
      <w:pPr>
        <w:rPr>
          <w:rFonts w:ascii="Times New Roman" w:eastAsia="Times New Roman" w:hAnsi="Times New Roman" w:cs="Times New Roman"/>
        </w:rPr>
      </w:pPr>
    </w:p>
    <w:sdt>
      <w:sdtPr>
        <w:id w:val="-1049217395"/>
        <w:docPartObj>
          <w:docPartGallery w:val="Table of Contents"/>
          <w:docPartUnique/>
        </w:docPartObj>
      </w:sdtPr>
      <w:sdtEndPr/>
      <w:sdtContent>
        <w:p w14:paraId="01B3FB28" w14:textId="77777777" w:rsidR="00250F48" w:rsidRDefault="00C1187E">
          <w:pPr>
            <w:widowControl w:val="0"/>
            <w:spacing w:before="60"/>
            <w:rPr>
              <w:rFonts w:ascii="Times New Roman" w:eastAsia="Times New Roman" w:hAnsi="Times New Roman" w:cs="Times New Roman"/>
              <w:color w:val="1155CC"/>
              <w:u w:val="single"/>
            </w:rPr>
          </w:pPr>
          <w:r>
            <w:fldChar w:fldCharType="begin"/>
          </w:r>
          <w:r>
            <w:instrText xml:space="preserve"> TOC \h \u \z \n \t "Heading 1,1,Heading 2,2,Heading 3,3,Heading 4,4,Heading 5,5,Heading 6,6,"</w:instrText>
          </w:r>
          <w:r>
            <w:fldChar w:fldCharType="separate"/>
          </w:r>
          <w:hyperlink w:anchor="_vpq9rv9breba">
            <w:r>
              <w:rPr>
                <w:rFonts w:ascii="Times New Roman" w:eastAsia="Times New Roman" w:hAnsi="Times New Roman" w:cs="Times New Roman"/>
                <w:color w:val="1155CC"/>
                <w:u w:val="single"/>
              </w:rPr>
              <w:t>Part A</w:t>
            </w:r>
          </w:hyperlink>
        </w:p>
        <w:p w14:paraId="70B6E294" w14:textId="77777777" w:rsidR="00250F48" w:rsidRDefault="00C1187E">
          <w:pPr>
            <w:widowControl w:val="0"/>
            <w:spacing w:before="60"/>
            <w:ind w:left="360"/>
            <w:rPr>
              <w:rFonts w:ascii="Times New Roman" w:eastAsia="Times New Roman" w:hAnsi="Times New Roman" w:cs="Times New Roman"/>
              <w:color w:val="1155CC"/>
              <w:u w:val="single"/>
            </w:rPr>
          </w:pPr>
          <w:hyperlink w:anchor="_gtddydc6jtxl">
            <w:r>
              <w:rPr>
                <w:rFonts w:ascii="Times New Roman" w:eastAsia="Times New Roman" w:hAnsi="Times New Roman" w:cs="Times New Roman"/>
                <w:color w:val="1155CC"/>
                <w:u w:val="single"/>
              </w:rPr>
              <w:t>1.1 Company History</w:t>
            </w:r>
          </w:hyperlink>
        </w:p>
        <w:p w14:paraId="331F38B0" w14:textId="77777777" w:rsidR="00250F48" w:rsidRDefault="00C1187E">
          <w:pPr>
            <w:widowControl w:val="0"/>
            <w:spacing w:before="60"/>
            <w:ind w:left="360"/>
            <w:rPr>
              <w:rFonts w:ascii="Times New Roman" w:eastAsia="Times New Roman" w:hAnsi="Times New Roman" w:cs="Times New Roman"/>
              <w:color w:val="1155CC"/>
              <w:u w:val="single"/>
            </w:rPr>
          </w:pPr>
          <w:hyperlink w:anchor="_g2f6fkbwgl4s">
            <w:r>
              <w:rPr>
                <w:rFonts w:ascii="Times New Roman" w:eastAsia="Times New Roman" w:hAnsi="Times New Roman" w:cs="Times New Roman"/>
                <w:color w:val="1155CC"/>
                <w:u w:val="single"/>
              </w:rPr>
              <w:t>1.2 Major Competitors</w:t>
            </w:r>
          </w:hyperlink>
        </w:p>
        <w:p w14:paraId="4FCE7827" w14:textId="77777777" w:rsidR="00250F48" w:rsidRDefault="00C1187E">
          <w:pPr>
            <w:widowControl w:val="0"/>
            <w:spacing w:before="60"/>
            <w:ind w:left="360"/>
            <w:rPr>
              <w:rFonts w:ascii="Times New Roman" w:eastAsia="Times New Roman" w:hAnsi="Times New Roman" w:cs="Times New Roman"/>
              <w:color w:val="1155CC"/>
              <w:u w:val="single"/>
            </w:rPr>
          </w:pPr>
          <w:hyperlink w:anchor="_r02jev261ggt">
            <w:r>
              <w:rPr>
                <w:rFonts w:ascii="Times New Roman" w:eastAsia="Times New Roman" w:hAnsi="Times New Roman" w:cs="Times New Roman"/>
                <w:color w:val="1155CC"/>
                <w:u w:val="single"/>
              </w:rPr>
              <w:t>1.3 Recent Events (Last 5 Years)</w:t>
            </w:r>
          </w:hyperlink>
        </w:p>
        <w:p w14:paraId="3EE43D32" w14:textId="77777777" w:rsidR="00250F48" w:rsidRDefault="00C1187E">
          <w:pPr>
            <w:widowControl w:val="0"/>
            <w:spacing w:before="60"/>
            <w:rPr>
              <w:rFonts w:ascii="Times New Roman" w:eastAsia="Times New Roman" w:hAnsi="Times New Roman" w:cs="Times New Roman"/>
              <w:color w:val="1155CC"/>
              <w:u w:val="single"/>
            </w:rPr>
          </w:pPr>
          <w:hyperlink w:anchor="_tkup5eemetxq">
            <w:r>
              <w:rPr>
                <w:rFonts w:ascii="Times New Roman" w:eastAsia="Times New Roman" w:hAnsi="Times New Roman" w:cs="Times New Roman"/>
                <w:color w:val="1155CC"/>
                <w:u w:val="single"/>
              </w:rPr>
              <w:t>Part B</w:t>
            </w:r>
          </w:hyperlink>
        </w:p>
        <w:p w14:paraId="550C7683" w14:textId="77777777" w:rsidR="00250F48" w:rsidRDefault="00C1187E">
          <w:pPr>
            <w:widowControl w:val="0"/>
            <w:spacing w:before="60"/>
            <w:ind w:left="360"/>
            <w:rPr>
              <w:rFonts w:ascii="Times New Roman" w:eastAsia="Times New Roman" w:hAnsi="Times New Roman" w:cs="Times New Roman"/>
              <w:color w:val="1155CC"/>
              <w:u w:val="single"/>
            </w:rPr>
          </w:pPr>
          <w:hyperlink w:anchor="_mno8cqnxs432">
            <w:r>
              <w:rPr>
                <w:rFonts w:ascii="Times New Roman" w:eastAsia="Times New Roman" w:hAnsi="Times New Roman" w:cs="Times New Roman"/>
                <w:color w:val="1155CC"/>
                <w:u w:val="single"/>
              </w:rPr>
              <w:t>2.1 Calculation of Financial Ratios (5 Years)</w:t>
            </w:r>
          </w:hyperlink>
        </w:p>
        <w:p w14:paraId="5A2B6724" w14:textId="77777777" w:rsidR="00250F48" w:rsidRDefault="00C1187E">
          <w:pPr>
            <w:widowControl w:val="0"/>
            <w:spacing w:before="60"/>
            <w:ind w:left="720"/>
            <w:rPr>
              <w:rFonts w:ascii="Times New Roman" w:eastAsia="Times New Roman" w:hAnsi="Times New Roman" w:cs="Times New Roman"/>
              <w:color w:val="1155CC"/>
              <w:u w:val="single"/>
            </w:rPr>
          </w:pPr>
          <w:hyperlink w:anchor="_mwe6zjqnml7z">
            <w:r>
              <w:rPr>
                <w:rFonts w:ascii="Times New Roman" w:eastAsia="Times New Roman" w:hAnsi="Times New Roman" w:cs="Times New Roman"/>
                <w:color w:val="1155CC"/>
                <w:u w:val="single"/>
              </w:rPr>
              <w:t>Profitability Ratios</w:t>
            </w:r>
          </w:hyperlink>
        </w:p>
        <w:p w14:paraId="4E20AAF7" w14:textId="77777777" w:rsidR="00250F48" w:rsidRDefault="00C1187E">
          <w:pPr>
            <w:widowControl w:val="0"/>
            <w:spacing w:before="60"/>
            <w:ind w:left="720"/>
            <w:rPr>
              <w:rFonts w:ascii="Times New Roman" w:eastAsia="Times New Roman" w:hAnsi="Times New Roman" w:cs="Times New Roman"/>
              <w:color w:val="1155CC"/>
              <w:u w:val="single"/>
            </w:rPr>
          </w:pPr>
          <w:hyperlink w:anchor="_ue73fiss51m3">
            <w:r>
              <w:rPr>
                <w:rFonts w:ascii="Times New Roman" w:eastAsia="Times New Roman" w:hAnsi="Times New Roman" w:cs="Times New Roman"/>
                <w:color w:val="1155CC"/>
                <w:u w:val="single"/>
              </w:rPr>
              <w:t>Liquidity Ratios</w:t>
            </w:r>
          </w:hyperlink>
        </w:p>
        <w:p w14:paraId="564BAC3B" w14:textId="77777777" w:rsidR="00250F48" w:rsidRDefault="00C1187E">
          <w:pPr>
            <w:widowControl w:val="0"/>
            <w:spacing w:before="60"/>
            <w:ind w:left="720"/>
            <w:rPr>
              <w:rFonts w:ascii="Times New Roman" w:eastAsia="Times New Roman" w:hAnsi="Times New Roman" w:cs="Times New Roman"/>
              <w:color w:val="1155CC"/>
              <w:u w:val="single"/>
            </w:rPr>
          </w:pPr>
          <w:hyperlink w:anchor="_xo7d52qf8tv9">
            <w:r>
              <w:rPr>
                <w:rFonts w:ascii="Times New Roman" w:eastAsia="Times New Roman" w:hAnsi="Times New Roman" w:cs="Times New Roman"/>
                <w:color w:val="1155CC"/>
                <w:u w:val="single"/>
              </w:rPr>
              <w:t>Gearing Ratios</w:t>
            </w:r>
          </w:hyperlink>
        </w:p>
        <w:p w14:paraId="301B3FDB" w14:textId="77777777" w:rsidR="00250F48" w:rsidRDefault="00C1187E">
          <w:pPr>
            <w:widowControl w:val="0"/>
            <w:spacing w:before="60"/>
            <w:ind w:left="720"/>
            <w:rPr>
              <w:rFonts w:ascii="Times New Roman" w:eastAsia="Times New Roman" w:hAnsi="Times New Roman" w:cs="Times New Roman"/>
              <w:color w:val="1155CC"/>
              <w:u w:val="single"/>
            </w:rPr>
          </w:pPr>
          <w:hyperlink w:anchor="_un5zqo3nfdu7">
            <w:r>
              <w:rPr>
                <w:rFonts w:ascii="Times New Roman" w:eastAsia="Times New Roman" w:hAnsi="Times New Roman" w:cs="Times New Roman"/>
                <w:color w:val="1155CC"/>
                <w:u w:val="single"/>
              </w:rPr>
              <w:t>Efficiency Ratios</w:t>
            </w:r>
          </w:hyperlink>
        </w:p>
        <w:p w14:paraId="206D8808" w14:textId="77777777" w:rsidR="00250F48" w:rsidRDefault="00C1187E">
          <w:pPr>
            <w:widowControl w:val="0"/>
            <w:spacing w:before="60"/>
            <w:ind w:left="720"/>
            <w:rPr>
              <w:rFonts w:ascii="Times New Roman" w:eastAsia="Times New Roman" w:hAnsi="Times New Roman" w:cs="Times New Roman"/>
              <w:color w:val="1155CC"/>
              <w:u w:val="single"/>
            </w:rPr>
          </w:pPr>
          <w:hyperlink w:anchor="_j5k8a43nch17">
            <w:r>
              <w:rPr>
                <w:rFonts w:ascii="Times New Roman" w:eastAsia="Times New Roman" w:hAnsi="Times New Roman" w:cs="Times New Roman"/>
                <w:color w:val="1155CC"/>
                <w:u w:val="single"/>
              </w:rPr>
              <w:t>Yearly Trends and Implications</w:t>
            </w:r>
          </w:hyperlink>
        </w:p>
        <w:p w14:paraId="25085BB9" w14:textId="77777777" w:rsidR="00250F48" w:rsidRDefault="00C1187E">
          <w:pPr>
            <w:widowControl w:val="0"/>
            <w:spacing w:before="60"/>
            <w:ind w:left="360"/>
            <w:rPr>
              <w:rFonts w:ascii="Times New Roman" w:eastAsia="Times New Roman" w:hAnsi="Times New Roman" w:cs="Times New Roman"/>
              <w:color w:val="1155CC"/>
              <w:u w:val="single"/>
            </w:rPr>
          </w:pPr>
          <w:hyperlink w:anchor="_b4x7l9u76a5q">
            <w:r>
              <w:rPr>
                <w:rFonts w:ascii="Times New Roman" w:eastAsia="Times New Roman" w:hAnsi="Times New Roman" w:cs="Times New Roman"/>
                <w:color w:val="1155CC"/>
                <w:u w:val="single"/>
              </w:rPr>
              <w:t>2.2 Critical Evaluation of Ratios</w:t>
            </w:r>
          </w:hyperlink>
        </w:p>
        <w:p w14:paraId="4CB38041" w14:textId="77777777" w:rsidR="00250F48" w:rsidRDefault="00C1187E">
          <w:pPr>
            <w:widowControl w:val="0"/>
            <w:spacing w:before="60"/>
            <w:ind w:left="720"/>
            <w:rPr>
              <w:rFonts w:ascii="Times New Roman" w:eastAsia="Times New Roman" w:hAnsi="Times New Roman" w:cs="Times New Roman"/>
              <w:color w:val="1155CC"/>
              <w:u w:val="single"/>
            </w:rPr>
          </w:pPr>
          <w:hyperlink w:anchor="_7fxu6divq2f1">
            <w:r>
              <w:rPr>
                <w:rFonts w:ascii="Times New Roman" w:eastAsia="Times New Roman" w:hAnsi="Times New Roman" w:cs="Times New Roman"/>
                <w:color w:val="1155CC"/>
                <w:u w:val="single"/>
              </w:rPr>
              <w:t>Profit Margin</w:t>
            </w:r>
          </w:hyperlink>
        </w:p>
        <w:p w14:paraId="1D4C125C" w14:textId="77777777" w:rsidR="00250F48" w:rsidRDefault="00C1187E">
          <w:pPr>
            <w:widowControl w:val="0"/>
            <w:spacing w:before="60"/>
            <w:ind w:left="720"/>
            <w:rPr>
              <w:rFonts w:ascii="Times New Roman" w:eastAsia="Times New Roman" w:hAnsi="Times New Roman" w:cs="Times New Roman"/>
              <w:color w:val="1155CC"/>
              <w:u w:val="single"/>
            </w:rPr>
          </w:pPr>
          <w:hyperlink w:anchor="_4dvgn6yihw1j">
            <w:r>
              <w:rPr>
                <w:rFonts w:ascii="Times New Roman" w:eastAsia="Times New Roman" w:hAnsi="Times New Roman" w:cs="Times New Roman"/>
                <w:color w:val="1155CC"/>
                <w:u w:val="single"/>
              </w:rPr>
              <w:t>ROA and ROE</w:t>
            </w:r>
          </w:hyperlink>
        </w:p>
        <w:p w14:paraId="0A69179C" w14:textId="77777777" w:rsidR="00250F48" w:rsidRDefault="00C1187E">
          <w:pPr>
            <w:widowControl w:val="0"/>
            <w:spacing w:before="60"/>
            <w:ind w:left="720"/>
            <w:rPr>
              <w:rFonts w:ascii="Times New Roman" w:eastAsia="Times New Roman" w:hAnsi="Times New Roman" w:cs="Times New Roman"/>
              <w:color w:val="1155CC"/>
              <w:u w:val="single"/>
            </w:rPr>
          </w:pPr>
          <w:hyperlink w:anchor="_a8pixaevclvy">
            <w:r>
              <w:rPr>
                <w:rFonts w:ascii="Times New Roman" w:eastAsia="Times New Roman" w:hAnsi="Times New Roman" w:cs="Times New Roman"/>
                <w:color w:val="1155CC"/>
                <w:u w:val="single"/>
              </w:rPr>
              <w:t>Liquidity Trends</w:t>
            </w:r>
          </w:hyperlink>
        </w:p>
        <w:p w14:paraId="7CBB7A62" w14:textId="77777777" w:rsidR="00250F48" w:rsidRDefault="00C1187E">
          <w:pPr>
            <w:widowControl w:val="0"/>
            <w:spacing w:before="60"/>
            <w:ind w:left="720"/>
            <w:rPr>
              <w:rFonts w:ascii="Times New Roman" w:eastAsia="Times New Roman" w:hAnsi="Times New Roman" w:cs="Times New Roman"/>
              <w:color w:val="1155CC"/>
              <w:u w:val="single"/>
            </w:rPr>
          </w:pPr>
          <w:hyperlink w:anchor="_cwsrfjuao7ay">
            <w:r>
              <w:rPr>
                <w:rFonts w:ascii="Times New Roman" w:eastAsia="Times New Roman" w:hAnsi="Times New Roman" w:cs="Times New Roman"/>
                <w:color w:val="1155CC"/>
                <w:u w:val="single"/>
              </w:rPr>
              <w:t>Gearing Trends</w:t>
            </w:r>
          </w:hyperlink>
        </w:p>
        <w:p w14:paraId="3F530314" w14:textId="77777777" w:rsidR="00250F48" w:rsidRDefault="00C1187E">
          <w:pPr>
            <w:widowControl w:val="0"/>
            <w:spacing w:before="60"/>
            <w:ind w:left="720"/>
            <w:rPr>
              <w:rFonts w:ascii="Times New Roman" w:eastAsia="Times New Roman" w:hAnsi="Times New Roman" w:cs="Times New Roman"/>
              <w:color w:val="1155CC"/>
              <w:u w:val="single"/>
            </w:rPr>
          </w:pPr>
          <w:hyperlink w:anchor="_1d633iep6kyy">
            <w:r>
              <w:rPr>
                <w:rFonts w:ascii="Times New Roman" w:eastAsia="Times New Roman" w:hAnsi="Times New Roman" w:cs="Times New Roman"/>
                <w:color w:val="1155CC"/>
                <w:u w:val="single"/>
              </w:rPr>
              <w:t>Efficiency Trends</w:t>
            </w:r>
          </w:hyperlink>
        </w:p>
        <w:p w14:paraId="6EA9EB4F" w14:textId="77777777" w:rsidR="00250F48" w:rsidRDefault="00C1187E">
          <w:pPr>
            <w:widowControl w:val="0"/>
            <w:spacing w:before="60"/>
            <w:ind w:left="360"/>
            <w:rPr>
              <w:rFonts w:ascii="Times New Roman" w:eastAsia="Times New Roman" w:hAnsi="Times New Roman" w:cs="Times New Roman"/>
              <w:color w:val="1155CC"/>
              <w:u w:val="single"/>
            </w:rPr>
          </w:pPr>
          <w:hyperlink w:anchor="_br91fyoxekc2">
            <w:r>
              <w:rPr>
                <w:rFonts w:ascii="Times New Roman" w:eastAsia="Times New Roman" w:hAnsi="Times New Roman" w:cs="Times New Roman"/>
                <w:color w:val="1155CC"/>
                <w:u w:val="single"/>
              </w:rPr>
              <w:t>2.3 Comparison with Competitors/Sector Average</w:t>
            </w:r>
          </w:hyperlink>
        </w:p>
        <w:p w14:paraId="07B515C3" w14:textId="77777777" w:rsidR="00250F48" w:rsidRDefault="00C1187E">
          <w:pPr>
            <w:widowControl w:val="0"/>
            <w:spacing w:before="60"/>
            <w:ind w:left="360"/>
            <w:rPr>
              <w:rFonts w:ascii="Times New Roman" w:eastAsia="Times New Roman" w:hAnsi="Times New Roman" w:cs="Times New Roman"/>
              <w:color w:val="1155CC"/>
              <w:u w:val="single"/>
            </w:rPr>
          </w:pPr>
          <w:hyperlink w:anchor="_iv0i0nx9h954">
            <w:r>
              <w:rPr>
                <w:rFonts w:ascii="Times New Roman" w:eastAsia="Times New Roman" w:hAnsi="Times New Roman" w:cs="Times New Roman"/>
                <w:color w:val="1155CC"/>
                <w:u w:val="single"/>
              </w:rPr>
              <w:t>2.4 Recommendations for Financial Management</w:t>
            </w:r>
          </w:hyperlink>
        </w:p>
        <w:p w14:paraId="49108838" w14:textId="77777777" w:rsidR="00250F48" w:rsidRDefault="00C1187E">
          <w:pPr>
            <w:widowControl w:val="0"/>
            <w:spacing w:before="60"/>
            <w:rPr>
              <w:rFonts w:ascii="Times New Roman" w:eastAsia="Times New Roman" w:hAnsi="Times New Roman" w:cs="Times New Roman"/>
              <w:color w:val="1155CC"/>
              <w:u w:val="single"/>
            </w:rPr>
          </w:pPr>
          <w:hyperlink w:anchor="_9sl8iitnxc7f">
            <w:r>
              <w:rPr>
                <w:rFonts w:ascii="Times New Roman" w:eastAsia="Times New Roman" w:hAnsi="Times New Roman" w:cs="Times New Roman"/>
                <w:color w:val="1155CC"/>
                <w:u w:val="single"/>
              </w:rPr>
              <w:t>Part C</w:t>
            </w:r>
          </w:hyperlink>
        </w:p>
        <w:p w14:paraId="1A46B6E5" w14:textId="77777777" w:rsidR="00250F48" w:rsidRDefault="00C1187E">
          <w:pPr>
            <w:widowControl w:val="0"/>
            <w:spacing w:before="60"/>
            <w:ind w:left="360"/>
            <w:rPr>
              <w:rFonts w:ascii="Times New Roman" w:eastAsia="Times New Roman" w:hAnsi="Times New Roman" w:cs="Times New Roman"/>
              <w:color w:val="1155CC"/>
              <w:u w:val="single"/>
            </w:rPr>
          </w:pPr>
          <w:hyperlink w:anchor="_15e7zrspcfvh">
            <w:r>
              <w:rPr>
                <w:rFonts w:ascii="Times New Roman" w:eastAsia="Times New Roman" w:hAnsi="Times New Roman" w:cs="Times New Roman"/>
                <w:color w:val="1155CC"/>
                <w:u w:val="single"/>
              </w:rPr>
              <w:t>3.1 Investment Appraisal</w:t>
            </w:r>
          </w:hyperlink>
        </w:p>
        <w:p w14:paraId="25E32DE9" w14:textId="77777777" w:rsidR="00250F48" w:rsidRDefault="00C1187E">
          <w:pPr>
            <w:widowControl w:val="0"/>
            <w:spacing w:before="60"/>
            <w:ind w:left="720"/>
            <w:rPr>
              <w:rFonts w:ascii="Times New Roman" w:eastAsia="Times New Roman" w:hAnsi="Times New Roman" w:cs="Times New Roman"/>
              <w:color w:val="1155CC"/>
              <w:u w:val="single"/>
            </w:rPr>
          </w:pPr>
          <w:hyperlink w:anchor="_yzi6a0a9k7fc">
            <w:r>
              <w:rPr>
                <w:rFonts w:ascii="Times New Roman" w:eastAsia="Times New Roman" w:hAnsi="Times New Roman" w:cs="Times New Roman"/>
                <w:color w:val="1155CC"/>
                <w:u w:val="single"/>
              </w:rPr>
              <w:t>Computation for PBP, ARR, NPV</w:t>
            </w:r>
          </w:hyperlink>
        </w:p>
        <w:p w14:paraId="1764F866" w14:textId="77777777" w:rsidR="00250F48" w:rsidRDefault="00C1187E">
          <w:pPr>
            <w:widowControl w:val="0"/>
            <w:spacing w:before="60"/>
            <w:ind w:left="1080"/>
            <w:rPr>
              <w:rFonts w:ascii="Times New Roman" w:eastAsia="Times New Roman" w:hAnsi="Times New Roman" w:cs="Times New Roman"/>
              <w:color w:val="1155CC"/>
              <w:u w:val="single"/>
            </w:rPr>
          </w:pPr>
          <w:hyperlink w:anchor="_nbt0gwe5uilv">
            <w:r>
              <w:rPr>
                <w:rFonts w:ascii="Times New Roman" w:eastAsia="Times New Roman" w:hAnsi="Times New Roman" w:cs="Times New Roman"/>
                <w:color w:val="1155CC"/>
                <w:u w:val="single"/>
              </w:rPr>
              <w:t>Project A: Sustainable Packaging Initiative</w:t>
            </w:r>
          </w:hyperlink>
        </w:p>
        <w:p w14:paraId="179A0FBD" w14:textId="77777777" w:rsidR="00250F48" w:rsidRDefault="00C1187E">
          <w:pPr>
            <w:widowControl w:val="0"/>
            <w:spacing w:before="60"/>
            <w:ind w:left="1080"/>
            <w:rPr>
              <w:rFonts w:ascii="Times New Roman" w:eastAsia="Times New Roman" w:hAnsi="Times New Roman" w:cs="Times New Roman"/>
              <w:color w:val="1155CC"/>
              <w:u w:val="single"/>
            </w:rPr>
          </w:pPr>
          <w:hyperlink w:anchor="_iuwgdloyslvq">
            <w:r>
              <w:rPr>
                <w:rFonts w:ascii="Times New Roman" w:eastAsia="Times New Roman" w:hAnsi="Times New Roman" w:cs="Times New Roman"/>
                <w:color w:val="1155CC"/>
                <w:u w:val="single"/>
              </w:rPr>
              <w:t>Project B: Market Expansion</w:t>
            </w:r>
          </w:hyperlink>
        </w:p>
        <w:p w14:paraId="0C5A7F5C" w14:textId="77777777" w:rsidR="00250F48" w:rsidRDefault="00C1187E">
          <w:pPr>
            <w:widowControl w:val="0"/>
            <w:spacing w:before="60"/>
            <w:ind w:left="720"/>
            <w:rPr>
              <w:rFonts w:ascii="Times New Roman" w:eastAsia="Times New Roman" w:hAnsi="Times New Roman" w:cs="Times New Roman"/>
              <w:color w:val="1155CC"/>
              <w:u w:val="single"/>
            </w:rPr>
          </w:pPr>
          <w:hyperlink w:anchor="_cwmp0li97p2m">
            <w:r>
              <w:rPr>
                <w:rFonts w:ascii="Times New Roman" w:eastAsia="Times New Roman" w:hAnsi="Times New Roman" w:cs="Times New Roman"/>
                <w:color w:val="1155CC"/>
                <w:u w:val="single"/>
              </w:rPr>
              <w:t>Interpretation and Recommendation</w:t>
            </w:r>
          </w:hyperlink>
        </w:p>
        <w:p w14:paraId="06D49AA8" w14:textId="77777777" w:rsidR="00250F48" w:rsidRDefault="00C1187E">
          <w:pPr>
            <w:widowControl w:val="0"/>
            <w:spacing w:before="60"/>
            <w:ind w:left="360"/>
            <w:rPr>
              <w:rFonts w:ascii="Times New Roman" w:eastAsia="Times New Roman" w:hAnsi="Times New Roman" w:cs="Times New Roman"/>
              <w:color w:val="1155CC"/>
              <w:u w:val="single"/>
            </w:rPr>
          </w:pPr>
          <w:hyperlink w:anchor="_u2kehitmut43">
            <w:r>
              <w:rPr>
                <w:rFonts w:ascii="Times New Roman" w:eastAsia="Times New Roman" w:hAnsi="Times New Roman" w:cs="Times New Roman"/>
                <w:color w:val="1155CC"/>
                <w:u w:val="single"/>
              </w:rPr>
              <w:t>3.2 Recalculation of NPV with Increased Initial Investments</w:t>
            </w:r>
          </w:hyperlink>
        </w:p>
        <w:p w14:paraId="253DD548" w14:textId="77777777" w:rsidR="00250F48" w:rsidRDefault="00C1187E">
          <w:pPr>
            <w:widowControl w:val="0"/>
            <w:spacing w:before="60"/>
            <w:ind w:left="720"/>
            <w:rPr>
              <w:rFonts w:ascii="Times New Roman" w:eastAsia="Times New Roman" w:hAnsi="Times New Roman" w:cs="Times New Roman"/>
              <w:color w:val="1155CC"/>
              <w:u w:val="single"/>
            </w:rPr>
          </w:pPr>
          <w:hyperlink w:anchor="_2xvmj01zapba">
            <w:r>
              <w:rPr>
                <w:rFonts w:ascii="Times New Roman" w:eastAsia="Times New Roman" w:hAnsi="Times New Roman" w:cs="Times New Roman"/>
                <w:color w:val="1155CC"/>
                <w:u w:val="single"/>
              </w:rPr>
              <w:t>Impact on NPV</w:t>
            </w:r>
          </w:hyperlink>
        </w:p>
        <w:p w14:paraId="502BF21D" w14:textId="77777777" w:rsidR="00250F48" w:rsidRDefault="00C1187E">
          <w:pPr>
            <w:widowControl w:val="0"/>
            <w:spacing w:before="60"/>
            <w:ind w:left="720"/>
            <w:rPr>
              <w:rFonts w:ascii="Times New Roman" w:eastAsia="Times New Roman" w:hAnsi="Times New Roman" w:cs="Times New Roman"/>
              <w:color w:val="1155CC"/>
              <w:u w:val="single"/>
            </w:rPr>
          </w:pPr>
          <w:hyperlink w:anchor="_yq6jrympz8z1">
            <w:r>
              <w:rPr>
                <w:rFonts w:ascii="Times New Roman" w:eastAsia="Times New Roman" w:hAnsi="Times New Roman" w:cs="Times New Roman"/>
                <w:color w:val="1155CC"/>
                <w:u w:val="single"/>
              </w:rPr>
              <w:t>For Project A:</w:t>
            </w:r>
          </w:hyperlink>
        </w:p>
        <w:p w14:paraId="40F41CE6" w14:textId="77777777" w:rsidR="00250F48" w:rsidRDefault="00C1187E">
          <w:pPr>
            <w:widowControl w:val="0"/>
            <w:spacing w:before="60"/>
            <w:ind w:left="720"/>
            <w:rPr>
              <w:rFonts w:ascii="Times New Roman" w:eastAsia="Times New Roman" w:hAnsi="Times New Roman" w:cs="Times New Roman"/>
              <w:color w:val="1155CC"/>
              <w:u w:val="single"/>
            </w:rPr>
          </w:pPr>
          <w:hyperlink w:anchor="_q8m75nh0f84l">
            <w:r>
              <w:rPr>
                <w:rFonts w:ascii="Times New Roman" w:eastAsia="Times New Roman" w:hAnsi="Times New Roman" w:cs="Times New Roman"/>
                <w:color w:val="1155CC"/>
                <w:u w:val="single"/>
              </w:rPr>
              <w:t>For Project B:</w:t>
            </w:r>
          </w:hyperlink>
        </w:p>
        <w:p w14:paraId="70057FA4" w14:textId="77777777" w:rsidR="00250F48" w:rsidRDefault="00C1187E">
          <w:pPr>
            <w:widowControl w:val="0"/>
            <w:spacing w:before="60"/>
            <w:ind w:left="720"/>
            <w:rPr>
              <w:rFonts w:ascii="Times New Roman" w:eastAsia="Times New Roman" w:hAnsi="Times New Roman" w:cs="Times New Roman"/>
              <w:color w:val="1155CC"/>
              <w:u w:val="single"/>
            </w:rPr>
          </w:pPr>
          <w:hyperlink w:anchor="_b4a2xr3x773v">
            <w:r>
              <w:rPr>
                <w:rFonts w:ascii="Times New Roman" w:eastAsia="Times New Roman" w:hAnsi="Times New Roman" w:cs="Times New Roman"/>
                <w:color w:val="1155CC"/>
                <w:u w:val="single"/>
              </w:rPr>
              <w:t>Strategic Implications</w:t>
            </w:r>
          </w:hyperlink>
        </w:p>
        <w:p w14:paraId="1DFE997C" w14:textId="77777777" w:rsidR="00250F48" w:rsidRDefault="00C1187E">
          <w:pPr>
            <w:widowControl w:val="0"/>
            <w:spacing w:before="60"/>
            <w:ind w:left="360"/>
            <w:rPr>
              <w:rFonts w:ascii="Times New Roman" w:eastAsia="Times New Roman" w:hAnsi="Times New Roman" w:cs="Times New Roman"/>
              <w:color w:val="1155CC"/>
              <w:u w:val="single"/>
            </w:rPr>
          </w:pPr>
          <w:hyperlink w:anchor="_o0pcsgk3l9b5">
            <w:r>
              <w:rPr>
                <w:rFonts w:ascii="Times New Roman" w:eastAsia="Times New Roman" w:hAnsi="Times New Roman" w:cs="Times New Roman"/>
                <w:color w:val="1155CC"/>
                <w:u w:val="single"/>
              </w:rPr>
              <w:t>3.3 Critical Discussion on Appraisal Techniques :</w:t>
            </w:r>
          </w:hyperlink>
        </w:p>
        <w:p w14:paraId="4B52FAE5" w14:textId="77777777" w:rsidR="00250F48" w:rsidRDefault="00C1187E">
          <w:pPr>
            <w:widowControl w:val="0"/>
            <w:spacing w:before="60"/>
            <w:ind w:left="360"/>
            <w:rPr>
              <w:rFonts w:ascii="Times New Roman" w:eastAsia="Times New Roman" w:hAnsi="Times New Roman" w:cs="Times New Roman"/>
              <w:color w:val="1155CC"/>
              <w:u w:val="single"/>
            </w:rPr>
          </w:pPr>
          <w:hyperlink w:anchor="_dmd14viy2cce">
            <w:r>
              <w:rPr>
                <w:rFonts w:ascii="Times New Roman" w:eastAsia="Times New Roman" w:hAnsi="Times New Roman" w:cs="Times New Roman"/>
                <w:color w:val="1155CC"/>
                <w:u w:val="single"/>
              </w:rPr>
              <w:t>3.4 Non-Financial Factors in Investment Decision-Making</w:t>
            </w:r>
          </w:hyperlink>
        </w:p>
        <w:p w14:paraId="496FFCA8" w14:textId="77777777" w:rsidR="00250F48" w:rsidRDefault="00C1187E">
          <w:pPr>
            <w:widowControl w:val="0"/>
            <w:spacing w:before="60"/>
            <w:rPr>
              <w:rFonts w:ascii="Times New Roman" w:eastAsia="Times New Roman" w:hAnsi="Times New Roman" w:cs="Times New Roman"/>
              <w:color w:val="1155CC"/>
              <w:u w:val="single"/>
            </w:rPr>
          </w:pPr>
          <w:hyperlink w:anchor="_sy0ijnpzn68i">
            <w:r>
              <w:rPr>
                <w:rFonts w:ascii="Times New Roman" w:eastAsia="Times New Roman" w:hAnsi="Times New Roman" w:cs="Times New Roman"/>
                <w:color w:val="1155CC"/>
                <w:u w:val="single"/>
              </w:rPr>
              <w:t>4. Conclusion</w:t>
            </w:r>
          </w:hyperlink>
        </w:p>
        <w:p w14:paraId="683C8E39" w14:textId="77777777" w:rsidR="00250F48" w:rsidRDefault="00C1187E">
          <w:pPr>
            <w:widowControl w:val="0"/>
            <w:spacing w:before="60"/>
            <w:rPr>
              <w:rFonts w:ascii="Times New Roman" w:eastAsia="Times New Roman" w:hAnsi="Times New Roman" w:cs="Times New Roman"/>
              <w:color w:val="1155CC"/>
              <w:u w:val="single"/>
            </w:rPr>
          </w:pPr>
          <w:hyperlink w:anchor="_plhylv8w6bvx">
            <w:r>
              <w:rPr>
                <w:rFonts w:ascii="Times New Roman" w:eastAsia="Times New Roman" w:hAnsi="Times New Roman" w:cs="Times New Roman"/>
                <w:color w:val="1155CC"/>
                <w:u w:val="single"/>
              </w:rPr>
              <w:t>5. References</w:t>
            </w:r>
          </w:hyperlink>
          <w:r>
            <w:fldChar w:fldCharType="end"/>
          </w:r>
        </w:p>
      </w:sdtContent>
    </w:sdt>
    <w:p w14:paraId="76290EB3" w14:textId="77777777" w:rsidR="00250F48" w:rsidRDefault="00C1187E">
      <w:pPr>
        <w:rPr>
          <w:rFonts w:ascii="Times New Roman" w:eastAsia="Times New Roman" w:hAnsi="Times New Roman" w:cs="Times New Roman"/>
        </w:rPr>
      </w:pPr>
      <w:r>
        <w:br w:type="page"/>
      </w:r>
    </w:p>
    <w:p w14:paraId="2025DBBF" w14:textId="77777777" w:rsidR="00250F48" w:rsidRDefault="00C1187E">
      <w:pPr>
        <w:pStyle w:val="Heading1"/>
        <w:jc w:val="center"/>
        <w:rPr>
          <w:rFonts w:ascii="Times New Roman" w:eastAsia="Times New Roman" w:hAnsi="Times New Roman" w:cs="Times New Roman"/>
          <w:b/>
          <w:sz w:val="32"/>
          <w:szCs w:val="32"/>
          <w:u w:val="single"/>
        </w:rPr>
      </w:pPr>
      <w:bookmarkStart w:id="5" w:name="_vpq9rv9breba" w:colFirst="0" w:colLast="0"/>
      <w:bookmarkEnd w:id="5"/>
      <w:r>
        <w:rPr>
          <w:rFonts w:ascii="Times New Roman" w:eastAsia="Times New Roman" w:hAnsi="Times New Roman" w:cs="Times New Roman"/>
          <w:b/>
          <w:sz w:val="32"/>
          <w:szCs w:val="32"/>
          <w:u w:val="single"/>
        </w:rPr>
        <w:lastRenderedPageBreak/>
        <w:t>Part A</w:t>
      </w:r>
    </w:p>
    <w:p w14:paraId="676BE575" w14:textId="77777777" w:rsidR="00250F48" w:rsidRDefault="00C1187E">
      <w:pPr>
        <w:pStyle w:val="Heading2"/>
        <w:jc w:val="both"/>
        <w:rPr>
          <w:rFonts w:ascii="Times New Roman" w:eastAsia="Times New Roman" w:hAnsi="Times New Roman" w:cs="Times New Roman"/>
          <w:b/>
          <w:sz w:val="28"/>
          <w:szCs w:val="28"/>
        </w:rPr>
      </w:pPr>
      <w:bookmarkStart w:id="6" w:name="_gtddydc6jtxl" w:colFirst="0" w:colLast="0"/>
      <w:bookmarkEnd w:id="6"/>
      <w:r>
        <w:rPr>
          <w:rFonts w:ascii="Times New Roman" w:eastAsia="Times New Roman" w:hAnsi="Times New Roman" w:cs="Times New Roman"/>
          <w:b/>
          <w:sz w:val="28"/>
          <w:szCs w:val="28"/>
        </w:rPr>
        <w:t>1.1 Company History</w:t>
      </w:r>
    </w:p>
    <w:p w14:paraId="314EA6C0"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leading British-Dutch multinationals, Unilever PLC, has a very long history that started in the late 19th century. It started in 1929 when the British soapmaker Lever Brothers merged with the Dutch margarine producer, Margarine Unie. This marriage was one of strategy since both companies utilized the same inputs and it was the start of an assorted product line offered by Unilever. Over the years, Unilever grew by many acquisitions from food and drink businesses to consumer goods. The company was </w:t>
      </w:r>
      <w:r>
        <w:rPr>
          <w:rFonts w:ascii="Times New Roman" w:eastAsia="Times New Roman" w:hAnsi="Times New Roman" w:cs="Times New Roman"/>
          <w:sz w:val="24"/>
          <w:szCs w:val="24"/>
        </w:rPr>
        <w:t>growing strategically through global expansion, innovation in product development, and a focus on sustainability, which is today one of the cornerstones of its business philosophy (Alzaydi, 2024).</w:t>
      </w:r>
    </w:p>
    <w:p w14:paraId="315FE725" w14:textId="77777777" w:rsidR="00250F48" w:rsidRDefault="00250F48">
      <w:pPr>
        <w:jc w:val="both"/>
        <w:rPr>
          <w:rFonts w:ascii="Times New Roman" w:eastAsia="Times New Roman" w:hAnsi="Times New Roman" w:cs="Times New Roman"/>
          <w:sz w:val="24"/>
          <w:szCs w:val="24"/>
        </w:rPr>
      </w:pPr>
    </w:p>
    <w:p w14:paraId="473356A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Industry</w:t>
      </w:r>
      <w:r>
        <w:rPr>
          <w:rFonts w:ascii="Times New Roman" w:eastAsia="Times New Roman" w:hAnsi="Times New Roman" w:cs="Times New Roman"/>
          <w:sz w:val="24"/>
          <w:szCs w:val="24"/>
        </w:rPr>
        <w:t>: One of the giants in the consumer goods industry is Unilever PLC which is a British-Dutch multinational corporation. Founded more than a hundred years ago, Unilever is now a world leader that produces a broad spectrum of goods including food and drinks, cleaning materials, and personal care products. According to Ανδρικόπουλος, Dassiou and Zheng (2020), Unilever has a dual-listed company structure and operates with two parent companies – Unilever PLC situated in London and Unilever N.V. in Rotterdam. This</w:t>
      </w:r>
      <w:r>
        <w:rPr>
          <w:rFonts w:ascii="Times New Roman" w:eastAsia="Times New Roman" w:hAnsi="Times New Roman" w:cs="Times New Roman"/>
          <w:sz w:val="24"/>
          <w:szCs w:val="24"/>
        </w:rPr>
        <w:t xml:space="preserve"> special setting represents the wide international presence of the company and its historical origins.</w:t>
      </w:r>
    </w:p>
    <w:p w14:paraId="179000D7" w14:textId="77777777" w:rsidR="00250F48" w:rsidRDefault="00250F48">
      <w:pPr>
        <w:jc w:val="both"/>
        <w:rPr>
          <w:rFonts w:ascii="Times New Roman" w:eastAsia="Times New Roman" w:hAnsi="Times New Roman" w:cs="Times New Roman"/>
          <w:sz w:val="24"/>
          <w:szCs w:val="24"/>
        </w:rPr>
      </w:pPr>
    </w:p>
    <w:p w14:paraId="0A7CE61D"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Business Model:</w:t>
      </w:r>
      <w:r>
        <w:rPr>
          <w:rFonts w:ascii="Times New Roman" w:eastAsia="Times New Roman" w:hAnsi="Times New Roman" w:cs="Times New Roman"/>
          <w:sz w:val="24"/>
          <w:szCs w:val="24"/>
        </w:rPr>
        <w:t xml:space="preserve"> The centric business model of Unilever evolves around sustainable expansion and aims to deliver sustainable value to its stakeholders, categorised as a Strategic Business Unit (SBU) model. It operates through three main divisions: Foods and Beverages, Home Care, and Beauty &amp; Personal Care, with each being a very considerable part of its income flows. Unilever concentrates on brand building and innovation, utilizing its massive distribution system to access consumers globally. One of the main aspects of its</w:t>
      </w:r>
      <w:r>
        <w:rPr>
          <w:rFonts w:ascii="Times New Roman" w:eastAsia="Times New Roman" w:hAnsi="Times New Roman" w:cs="Times New Roman"/>
          <w:sz w:val="24"/>
          <w:szCs w:val="24"/>
        </w:rPr>
        <w:t xml:space="preserve"> business model is the Unilever Sustainable Living Plan which seeks to disconnect the environmental impact from the growth and increase positive social outcomes (Plc, 2023). This strategy has aided Unilever in building an image of corporate responsibility, which has a great appeal to consumers who are more sensitive to the environment.</w:t>
      </w:r>
    </w:p>
    <w:p w14:paraId="7494AE3D" w14:textId="77777777" w:rsidR="00250F48" w:rsidRDefault="00250F48">
      <w:pPr>
        <w:jc w:val="both"/>
        <w:rPr>
          <w:rFonts w:ascii="Times New Roman" w:eastAsia="Times New Roman" w:hAnsi="Times New Roman" w:cs="Times New Roman"/>
          <w:sz w:val="24"/>
          <w:szCs w:val="24"/>
        </w:rPr>
      </w:pPr>
    </w:p>
    <w:p w14:paraId="06ED53D9"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Place:</w:t>
      </w:r>
      <w:r>
        <w:rPr>
          <w:rFonts w:ascii="Times New Roman" w:eastAsia="Times New Roman" w:hAnsi="Times New Roman" w:cs="Times New Roman"/>
          <w:sz w:val="24"/>
          <w:szCs w:val="24"/>
        </w:rPr>
        <w:t xml:space="preserve"> Unilever is a global company with operations in more than 190 countries, which ranks it as one of the most spread companies in the consumer goods sector. Its wide variety of products permits it to satisfy the requirements of a large number of consumers in various locations. In the UK, Unilever is represented by a powerful market with the company giving a wide range of highly demanded products and bringing not only jobs but also investments into the economy. According to Bulah et al. (2023), The British mar</w:t>
      </w:r>
      <w:r>
        <w:rPr>
          <w:rFonts w:ascii="Times New Roman" w:eastAsia="Times New Roman" w:hAnsi="Times New Roman" w:cs="Times New Roman"/>
          <w:sz w:val="24"/>
          <w:szCs w:val="24"/>
        </w:rPr>
        <w:t>ket is an essential one for Unilever that acts as a central spot for both operational and strategic activities</w:t>
      </w:r>
    </w:p>
    <w:p w14:paraId="59B65EB5" w14:textId="77777777" w:rsidR="00250F48" w:rsidRDefault="00C1187E">
      <w:pPr>
        <w:pStyle w:val="Heading2"/>
        <w:jc w:val="both"/>
        <w:rPr>
          <w:rFonts w:ascii="Times New Roman" w:eastAsia="Times New Roman" w:hAnsi="Times New Roman" w:cs="Times New Roman"/>
          <w:b/>
          <w:sz w:val="28"/>
          <w:szCs w:val="28"/>
        </w:rPr>
      </w:pPr>
      <w:bookmarkStart w:id="7" w:name="_g2f6fkbwgl4s" w:colFirst="0" w:colLast="0"/>
      <w:bookmarkEnd w:id="7"/>
      <w:r>
        <w:rPr>
          <w:rFonts w:ascii="Times New Roman" w:eastAsia="Times New Roman" w:hAnsi="Times New Roman" w:cs="Times New Roman"/>
          <w:b/>
          <w:sz w:val="28"/>
          <w:szCs w:val="28"/>
        </w:rPr>
        <w:lastRenderedPageBreak/>
        <w:t>1.2 Major Competitors</w:t>
      </w:r>
    </w:p>
    <w:p w14:paraId="445C2C6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among other multinational giants in a fiercely competitive consumer goods sector. Major competitors are; Procter &amp; Gamble, Nestle, L’Oréal, and Colgate-Palmolive. The competition for Unilever comes from this group of companies across different market and product segments as backed by Ajwani-Ramchandani et al. (2021). The competition is based on product availability, innovation, marketing, sustainable practices as well as consumer participation.</w:t>
      </w:r>
    </w:p>
    <w:p w14:paraId="1F2065C7" w14:textId="77777777" w:rsidR="00250F48" w:rsidRDefault="00C1187E">
      <w:pPr>
        <w:pStyle w:val="Heading2"/>
        <w:jc w:val="both"/>
        <w:rPr>
          <w:rFonts w:ascii="Times New Roman" w:eastAsia="Times New Roman" w:hAnsi="Times New Roman" w:cs="Times New Roman"/>
          <w:b/>
          <w:sz w:val="28"/>
          <w:szCs w:val="28"/>
        </w:rPr>
      </w:pPr>
      <w:bookmarkStart w:id="8" w:name="_r02jev261ggt" w:colFirst="0" w:colLast="0"/>
      <w:bookmarkEnd w:id="8"/>
      <w:r>
        <w:rPr>
          <w:rFonts w:ascii="Times New Roman" w:eastAsia="Times New Roman" w:hAnsi="Times New Roman" w:cs="Times New Roman"/>
          <w:b/>
          <w:sz w:val="28"/>
          <w:szCs w:val="28"/>
        </w:rPr>
        <w:t>1.3 Recent Events (Last 5 Years)</w:t>
      </w:r>
    </w:p>
    <w:p w14:paraId="38ED4E8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past five years have been eventful for Unilever, marked by significant strategic shifts. Key events include:</w:t>
      </w:r>
    </w:p>
    <w:p w14:paraId="02EA2C3F" w14:textId="77777777" w:rsidR="00250F48" w:rsidRDefault="00250F48">
      <w:pPr>
        <w:jc w:val="both"/>
        <w:rPr>
          <w:rFonts w:ascii="Times New Roman" w:eastAsia="Times New Roman" w:hAnsi="Times New Roman" w:cs="Times New Roman"/>
          <w:sz w:val="24"/>
          <w:szCs w:val="24"/>
        </w:rPr>
      </w:pPr>
    </w:p>
    <w:p w14:paraId="6CB01DE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2019:</w:t>
      </w:r>
    </w:p>
    <w:p w14:paraId="3B7785BA" w14:textId="77777777" w:rsidR="00250F48" w:rsidRDefault="00250F48">
      <w:pPr>
        <w:jc w:val="both"/>
        <w:rPr>
          <w:rFonts w:ascii="Times New Roman" w:eastAsia="Times New Roman" w:hAnsi="Times New Roman" w:cs="Times New Roman"/>
          <w:sz w:val="24"/>
          <w:szCs w:val="24"/>
        </w:rPr>
      </w:pPr>
    </w:p>
    <w:p w14:paraId="73520F80" w14:textId="77777777" w:rsidR="00250F48" w:rsidRDefault="00C1187E">
      <w:pPr>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conducting strategic portfolio reorganisation by pursuing acquisitions that support sustainability objectives and divesting from non-core businesses. It also includes the purchase of green brands and divestment of the spreads business (Khanna, 2014).</w:t>
      </w:r>
    </w:p>
    <w:p w14:paraId="2E29A706" w14:textId="77777777" w:rsidR="00250F48" w:rsidRDefault="00C1187E">
      <w:pPr>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Top management shifts take place within Unilever and they can affect the strategic course and corporate governance (Maljers, 2014) .</w:t>
      </w:r>
    </w:p>
    <w:p w14:paraId="0EF95F09" w14:textId="77777777" w:rsidR="00250F48" w:rsidRDefault="00250F48">
      <w:pPr>
        <w:jc w:val="both"/>
        <w:rPr>
          <w:rFonts w:ascii="Times New Roman" w:eastAsia="Times New Roman" w:hAnsi="Times New Roman" w:cs="Times New Roman"/>
          <w:sz w:val="24"/>
          <w:szCs w:val="24"/>
        </w:rPr>
      </w:pPr>
    </w:p>
    <w:p w14:paraId="0FBF852F"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p w14:paraId="4165164B" w14:textId="77777777" w:rsidR="00250F48" w:rsidRDefault="00C1187E">
      <w:pPr>
        <w:numPr>
          <w:ilvl w:val="0"/>
          <w:numId w:val="4"/>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strengthens its interest in sustainability, presenting aggressive targets of cutting plastic usage and overall carbon footprint across its operations and product range.</w:t>
      </w:r>
    </w:p>
    <w:p w14:paraId="5E151A41" w14:textId="77777777" w:rsidR="00250F48" w:rsidRDefault="00C1187E">
      <w:pPr>
        <w:numPr>
          <w:ilvl w:val="0"/>
          <w:numId w:val="4"/>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COVID-19 pandemic forces Unilever to adjust the operations of its business. It highlights resilience, agility, and support to the communities that are caught up in the crisis (Plc, 2023b) .</w:t>
      </w:r>
    </w:p>
    <w:p w14:paraId="6A9D15BD" w14:textId="77777777" w:rsidR="00250F48" w:rsidRDefault="00250F48">
      <w:pPr>
        <w:jc w:val="both"/>
        <w:rPr>
          <w:rFonts w:ascii="Times New Roman" w:eastAsia="Times New Roman" w:hAnsi="Times New Roman" w:cs="Times New Roman"/>
          <w:sz w:val="24"/>
          <w:szCs w:val="24"/>
        </w:rPr>
      </w:pPr>
    </w:p>
    <w:p w14:paraId="2757E39B"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p w14:paraId="71C37305" w14:textId="77777777" w:rsidR="00250F48" w:rsidRDefault="00C1187E">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remains committed to sustainability projects, where both environmental and social aspects are built into its business approach and product development processes.</w:t>
      </w:r>
    </w:p>
    <w:p w14:paraId="72206C1E" w14:textId="77777777" w:rsidR="00250F48" w:rsidRDefault="00C1187E">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 swings toward plant-based products and health-oriented brands cause Unilever to strengthen its offerings in these areas, fitting in with changing consumer tastes (</w:t>
      </w:r>
      <w:r>
        <w:rPr>
          <w:rFonts w:ascii="Times New Roman" w:eastAsia="Times New Roman" w:hAnsi="Times New Roman" w:cs="Times New Roman"/>
          <w:i/>
          <w:sz w:val="24"/>
          <w:szCs w:val="24"/>
        </w:rPr>
        <w:t>Food Manufacturing</w:t>
      </w:r>
      <w:r>
        <w:rPr>
          <w:rFonts w:ascii="Times New Roman" w:eastAsia="Times New Roman" w:hAnsi="Times New Roman" w:cs="Times New Roman"/>
          <w:sz w:val="24"/>
          <w:szCs w:val="24"/>
        </w:rPr>
        <w:t>, 2020) .</w:t>
      </w:r>
    </w:p>
    <w:p w14:paraId="60E0AAEA" w14:textId="77777777" w:rsidR="00250F48" w:rsidRDefault="00250F48">
      <w:pPr>
        <w:jc w:val="both"/>
        <w:rPr>
          <w:rFonts w:ascii="Times New Roman" w:eastAsia="Times New Roman" w:hAnsi="Times New Roman" w:cs="Times New Roman"/>
          <w:sz w:val="24"/>
          <w:szCs w:val="24"/>
        </w:rPr>
      </w:pPr>
    </w:p>
    <w:p w14:paraId="2609C221"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2022:</w:t>
      </w:r>
    </w:p>
    <w:p w14:paraId="5F692DC6" w14:textId="77777777" w:rsidR="00250F48" w:rsidRDefault="00C1187E">
      <w:pPr>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continues to maintain its leading status as a sustainable business model. While winning accolades and awards for its environmental and social initiatives.</w:t>
      </w:r>
    </w:p>
    <w:p w14:paraId="610DF133" w14:textId="77777777" w:rsidR="00250F48" w:rsidRDefault="00C1187E">
      <w:pPr>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partnerships and collaborations also bolster Unilever’s sustainability agenda by enabling innovation and generating positive impact throughout value chains.</w:t>
      </w:r>
    </w:p>
    <w:p w14:paraId="6EEB1D6C" w14:textId="77777777" w:rsidR="00250F48" w:rsidRDefault="00250F48">
      <w:pPr>
        <w:jc w:val="both"/>
        <w:rPr>
          <w:rFonts w:ascii="Times New Roman" w:eastAsia="Times New Roman" w:hAnsi="Times New Roman" w:cs="Times New Roman"/>
          <w:sz w:val="24"/>
          <w:szCs w:val="24"/>
        </w:rPr>
      </w:pPr>
    </w:p>
    <w:p w14:paraId="4CD4A7A7"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2023:</w:t>
      </w:r>
    </w:p>
    <w:p w14:paraId="15308F68" w14:textId="77777777" w:rsidR="00250F48" w:rsidRDefault="00C1187E">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Unilever's activities aimed at fighting against climate change and ensuring social responsibility grow stronger as the company intends to reach its challenging sustainability goals faster.</w:t>
      </w:r>
    </w:p>
    <w:p w14:paraId="02FA452D" w14:textId="77777777" w:rsidR="00250F48" w:rsidRDefault="00C1187E">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Unilever’s consumer engagement initiatives and marketing activities demonstrate the company’s focus on transparency, responsibility and ethical business practices.</w:t>
      </w:r>
    </w:p>
    <w:p w14:paraId="563C9242" w14:textId="77777777" w:rsidR="00250F48" w:rsidRDefault="00C1187E">
      <w:pPr>
        <w:pStyle w:val="Heading1"/>
        <w:jc w:val="center"/>
        <w:rPr>
          <w:rFonts w:ascii="Times New Roman" w:eastAsia="Times New Roman" w:hAnsi="Times New Roman" w:cs="Times New Roman"/>
          <w:b/>
          <w:sz w:val="32"/>
          <w:szCs w:val="32"/>
          <w:u w:val="single"/>
        </w:rPr>
      </w:pPr>
      <w:bookmarkStart w:id="9" w:name="_tkup5eemetxq" w:colFirst="0" w:colLast="0"/>
      <w:bookmarkEnd w:id="9"/>
      <w:r>
        <w:rPr>
          <w:rFonts w:ascii="Times New Roman" w:eastAsia="Times New Roman" w:hAnsi="Times New Roman" w:cs="Times New Roman"/>
          <w:b/>
          <w:sz w:val="32"/>
          <w:szCs w:val="32"/>
          <w:u w:val="single"/>
        </w:rPr>
        <w:t>Part B</w:t>
      </w:r>
    </w:p>
    <w:p w14:paraId="6CC3CFAF" w14:textId="77777777" w:rsidR="00250F48" w:rsidRDefault="00C1187E">
      <w:pPr>
        <w:pStyle w:val="Heading2"/>
        <w:jc w:val="both"/>
        <w:rPr>
          <w:rFonts w:ascii="Times New Roman" w:eastAsia="Times New Roman" w:hAnsi="Times New Roman" w:cs="Times New Roman"/>
          <w:b/>
          <w:sz w:val="28"/>
          <w:szCs w:val="28"/>
        </w:rPr>
      </w:pPr>
      <w:bookmarkStart w:id="10" w:name="_mno8cqnxs432" w:colFirst="0" w:colLast="0"/>
      <w:bookmarkEnd w:id="10"/>
      <w:r>
        <w:rPr>
          <w:rFonts w:ascii="Times New Roman" w:eastAsia="Times New Roman" w:hAnsi="Times New Roman" w:cs="Times New Roman"/>
          <w:b/>
          <w:sz w:val="28"/>
          <w:szCs w:val="28"/>
        </w:rPr>
        <w:t xml:space="preserve">2.1 Calculation of Financial Ratios (5 Years) </w:t>
      </w:r>
    </w:p>
    <w:p w14:paraId="2F03580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Unilever's RoE, RoA, liquidity ratios, and current ratios are important metrics that help in strategic decision-making, by ensuring informed investment into the business, operations, and growth-related issues. The company can evaluate trends in these ratios to harness its plans in tune with the fiscal goals while bringing about overall ideal performance and return on investors’ investments. Doing the financial analysis of Unilever PLC from the period 2019 to 2023 we are taking a shortcut by going through a </w:t>
      </w:r>
      <w:r>
        <w:rPr>
          <w:rFonts w:ascii="Times New Roman" w:eastAsia="Times New Roman" w:hAnsi="Times New Roman" w:cs="Times New Roman"/>
          <w:sz w:val="24"/>
          <w:szCs w:val="24"/>
        </w:rPr>
        <w:t>few financial ratios. These ratios are useful for illustrating some financial factors of the company, such as profitability, liquidity, gearing, and efficiency as a discernment tool.</w:t>
      </w:r>
    </w:p>
    <w:p w14:paraId="2E54A3F0" w14:textId="77777777" w:rsidR="00250F48" w:rsidRDefault="00250F48">
      <w:pPr>
        <w:jc w:val="both"/>
        <w:rPr>
          <w:rFonts w:ascii="Times New Roman" w:eastAsia="Times New Roman" w:hAnsi="Times New Roman" w:cs="Times New Roman"/>
          <w:sz w:val="24"/>
          <w:szCs w:val="24"/>
        </w:rPr>
      </w:pPr>
    </w:p>
    <w:p w14:paraId="00220C27"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sz w:val="24"/>
          <w:szCs w:val="24"/>
        </w:rPr>
        <w:t>To calculate the financial ratios of Unilever PLC from 2019 to 2023, the key financial ratios for Unilever PLC from 2019 to 2023 are as follows:</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125"/>
        <w:gridCol w:w="1290"/>
        <w:gridCol w:w="1920"/>
        <w:gridCol w:w="1935"/>
        <w:gridCol w:w="1410"/>
        <w:gridCol w:w="1680"/>
      </w:tblGrid>
      <w:tr w:rsidR="00250F48" w14:paraId="18B4AC9A" w14:textId="77777777">
        <w:trPr>
          <w:trHeight w:val="1070"/>
        </w:trPr>
        <w:tc>
          <w:tcPr>
            <w:tcW w:w="112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bottom"/>
          </w:tcPr>
          <w:p w14:paraId="3538DF1A" w14:textId="77777777" w:rsidR="00250F48" w:rsidRDefault="00C1187E">
            <w:pPr>
              <w:jc w:val="center"/>
              <w:rPr>
                <w:rFonts w:ascii="Times New Roman" w:eastAsia="Times New Roman" w:hAnsi="Times New Roman" w:cs="Times New Roman"/>
              </w:rPr>
            </w:pPr>
            <w:r>
              <w:rPr>
                <w:rFonts w:ascii="Times New Roman" w:eastAsia="Times New Roman" w:hAnsi="Times New Roman" w:cs="Times New Roman"/>
                <w:b/>
              </w:rPr>
              <w:t>Year</w:t>
            </w:r>
          </w:p>
        </w:tc>
        <w:tc>
          <w:tcPr>
            <w:tcW w:w="129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bottom"/>
          </w:tcPr>
          <w:p w14:paraId="61D3C55B" w14:textId="77777777" w:rsidR="00250F48" w:rsidRDefault="00C1187E">
            <w:pPr>
              <w:jc w:val="center"/>
              <w:rPr>
                <w:rFonts w:ascii="Times New Roman" w:eastAsia="Times New Roman" w:hAnsi="Times New Roman" w:cs="Times New Roman"/>
              </w:rPr>
            </w:pPr>
            <w:r>
              <w:rPr>
                <w:rFonts w:ascii="Times New Roman" w:eastAsia="Times New Roman" w:hAnsi="Times New Roman" w:cs="Times New Roman"/>
                <w:b/>
              </w:rPr>
              <w:t>Profit Margin</w:t>
            </w:r>
          </w:p>
        </w:tc>
        <w:tc>
          <w:tcPr>
            <w:tcW w:w="192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bottom"/>
          </w:tcPr>
          <w:p w14:paraId="14472547" w14:textId="77777777" w:rsidR="00250F48" w:rsidRDefault="00C1187E">
            <w:pPr>
              <w:jc w:val="center"/>
              <w:rPr>
                <w:rFonts w:ascii="Times New Roman" w:eastAsia="Times New Roman" w:hAnsi="Times New Roman" w:cs="Times New Roman"/>
              </w:rPr>
            </w:pPr>
            <w:r>
              <w:rPr>
                <w:rFonts w:ascii="Times New Roman" w:eastAsia="Times New Roman" w:hAnsi="Times New Roman" w:cs="Times New Roman"/>
                <w:b/>
              </w:rPr>
              <w:t>Return on Assets (ROA)</w:t>
            </w:r>
          </w:p>
        </w:tc>
        <w:tc>
          <w:tcPr>
            <w:tcW w:w="193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bottom"/>
          </w:tcPr>
          <w:p w14:paraId="086DD9E1" w14:textId="77777777" w:rsidR="00250F48" w:rsidRDefault="00C1187E">
            <w:pPr>
              <w:jc w:val="center"/>
              <w:rPr>
                <w:rFonts w:ascii="Times New Roman" w:eastAsia="Times New Roman" w:hAnsi="Times New Roman" w:cs="Times New Roman"/>
              </w:rPr>
            </w:pPr>
            <w:r>
              <w:rPr>
                <w:rFonts w:ascii="Times New Roman" w:eastAsia="Times New Roman" w:hAnsi="Times New Roman" w:cs="Times New Roman"/>
                <w:b/>
              </w:rPr>
              <w:t>Return on Equity (ROE)</w:t>
            </w:r>
          </w:p>
        </w:tc>
        <w:tc>
          <w:tcPr>
            <w:tcW w:w="141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bottom"/>
          </w:tcPr>
          <w:p w14:paraId="794C5258" w14:textId="77777777" w:rsidR="00250F48" w:rsidRDefault="00C1187E">
            <w:pPr>
              <w:jc w:val="center"/>
              <w:rPr>
                <w:rFonts w:ascii="Times New Roman" w:eastAsia="Times New Roman" w:hAnsi="Times New Roman" w:cs="Times New Roman"/>
              </w:rPr>
            </w:pPr>
            <w:r>
              <w:rPr>
                <w:rFonts w:ascii="Times New Roman" w:eastAsia="Times New Roman" w:hAnsi="Times New Roman" w:cs="Times New Roman"/>
                <w:b/>
              </w:rPr>
              <w:t>Current Ratio</w:t>
            </w:r>
          </w:p>
        </w:tc>
        <w:tc>
          <w:tcPr>
            <w:tcW w:w="168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bottom"/>
          </w:tcPr>
          <w:p w14:paraId="7FFFF05A" w14:textId="77777777" w:rsidR="00250F48" w:rsidRDefault="00C1187E">
            <w:pPr>
              <w:jc w:val="center"/>
              <w:rPr>
                <w:rFonts w:ascii="Times New Roman" w:eastAsia="Times New Roman" w:hAnsi="Times New Roman" w:cs="Times New Roman"/>
              </w:rPr>
            </w:pPr>
            <w:r>
              <w:rPr>
                <w:rFonts w:ascii="Times New Roman" w:eastAsia="Times New Roman" w:hAnsi="Times New Roman" w:cs="Times New Roman"/>
                <w:b/>
              </w:rPr>
              <w:t>Debt-to-Equity Ratio</w:t>
            </w:r>
          </w:p>
        </w:tc>
      </w:tr>
      <w:tr w:rsidR="00250F48" w14:paraId="39F362BC" w14:textId="77777777">
        <w:trPr>
          <w:trHeight w:val="695"/>
        </w:trPr>
        <w:tc>
          <w:tcPr>
            <w:tcW w:w="112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664E45D1"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2019</w:t>
            </w:r>
          </w:p>
        </w:tc>
        <w:tc>
          <w:tcPr>
            <w:tcW w:w="129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63D953C4"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18.59%</w:t>
            </w:r>
          </w:p>
        </w:tc>
        <w:tc>
          <w:tcPr>
            <w:tcW w:w="192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236F752D"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14.14%</w:t>
            </w:r>
          </w:p>
        </w:tc>
        <w:tc>
          <w:tcPr>
            <w:tcW w:w="193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05EEF334"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39.59%</w:t>
            </w:r>
          </w:p>
        </w:tc>
        <w:tc>
          <w:tcPr>
            <w:tcW w:w="141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3AF4B9AE"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1.56</w:t>
            </w:r>
          </w:p>
        </w:tc>
        <w:tc>
          <w:tcPr>
            <w:tcW w:w="168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59840CFE"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1.80</w:t>
            </w:r>
          </w:p>
        </w:tc>
      </w:tr>
      <w:tr w:rsidR="00250F48" w14:paraId="626BE969" w14:textId="77777777">
        <w:trPr>
          <w:trHeight w:val="695"/>
        </w:trPr>
        <w:tc>
          <w:tcPr>
            <w:tcW w:w="112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491FA6CE"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2020</w:t>
            </w:r>
          </w:p>
        </w:tc>
        <w:tc>
          <w:tcPr>
            <w:tcW w:w="129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5E4F04E0"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18.20%</w:t>
            </w:r>
          </w:p>
        </w:tc>
        <w:tc>
          <w:tcPr>
            <w:tcW w:w="192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187AEFA0"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12.70%</w:t>
            </w:r>
          </w:p>
        </w:tc>
        <w:tc>
          <w:tcPr>
            <w:tcW w:w="193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3F479655"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35.19%</w:t>
            </w:r>
          </w:p>
        </w:tc>
        <w:tc>
          <w:tcPr>
            <w:tcW w:w="141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385F001D"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1.56</w:t>
            </w:r>
          </w:p>
        </w:tc>
        <w:tc>
          <w:tcPr>
            <w:tcW w:w="168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2F942C15"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1.77</w:t>
            </w:r>
          </w:p>
        </w:tc>
      </w:tr>
      <w:tr w:rsidR="00250F48" w14:paraId="0CF05BFD" w14:textId="77777777">
        <w:trPr>
          <w:trHeight w:val="695"/>
        </w:trPr>
        <w:tc>
          <w:tcPr>
            <w:tcW w:w="112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60E63B6E"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2021</w:t>
            </w:r>
          </w:p>
        </w:tc>
        <w:tc>
          <w:tcPr>
            <w:tcW w:w="129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7B82E670"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16.45%</w:t>
            </w:r>
          </w:p>
        </w:tc>
        <w:tc>
          <w:tcPr>
            <w:tcW w:w="192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67CF6413"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10.47%</w:t>
            </w:r>
          </w:p>
        </w:tc>
        <w:tc>
          <w:tcPr>
            <w:tcW w:w="193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1A3F23D1"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25.13%</w:t>
            </w:r>
          </w:p>
        </w:tc>
        <w:tc>
          <w:tcPr>
            <w:tcW w:w="141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034DC685"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1.71</w:t>
            </w:r>
          </w:p>
        </w:tc>
        <w:tc>
          <w:tcPr>
            <w:tcW w:w="168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59C59BA1"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1.40</w:t>
            </w:r>
          </w:p>
        </w:tc>
      </w:tr>
      <w:tr w:rsidR="00250F48" w14:paraId="510C75CE" w14:textId="77777777">
        <w:trPr>
          <w:trHeight w:val="695"/>
        </w:trPr>
        <w:tc>
          <w:tcPr>
            <w:tcW w:w="112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7C05C3FC"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2022</w:t>
            </w:r>
          </w:p>
        </w:tc>
        <w:tc>
          <w:tcPr>
            <w:tcW w:w="129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043C9AE7"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17.90%</w:t>
            </w:r>
          </w:p>
        </w:tc>
        <w:tc>
          <w:tcPr>
            <w:tcW w:w="192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240F493D"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13.82%</w:t>
            </w:r>
          </w:p>
        </w:tc>
        <w:tc>
          <w:tcPr>
            <w:tcW w:w="193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79798146"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49.56%</w:t>
            </w:r>
          </w:p>
        </w:tc>
        <w:tc>
          <w:tcPr>
            <w:tcW w:w="141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45614BA5"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1.39</w:t>
            </w:r>
          </w:p>
        </w:tc>
        <w:tc>
          <w:tcPr>
            <w:tcW w:w="168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409FE477"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2.59</w:t>
            </w:r>
          </w:p>
        </w:tc>
      </w:tr>
      <w:tr w:rsidR="00250F48" w14:paraId="6192EC7E" w14:textId="77777777">
        <w:trPr>
          <w:trHeight w:val="695"/>
        </w:trPr>
        <w:tc>
          <w:tcPr>
            <w:tcW w:w="112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66105219"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2023</w:t>
            </w:r>
          </w:p>
        </w:tc>
        <w:tc>
          <w:tcPr>
            <w:tcW w:w="129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1B2A895D"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16.37%</w:t>
            </w:r>
          </w:p>
        </w:tc>
        <w:tc>
          <w:tcPr>
            <w:tcW w:w="192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49E46710"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12.96%</w:t>
            </w:r>
          </w:p>
        </w:tc>
        <w:tc>
          <w:tcPr>
            <w:tcW w:w="1935"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5A52A614"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46.99%</w:t>
            </w:r>
          </w:p>
        </w:tc>
        <w:tc>
          <w:tcPr>
            <w:tcW w:w="141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2FBA423B"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1.38</w:t>
            </w:r>
          </w:p>
        </w:tc>
        <w:tc>
          <w:tcPr>
            <w:tcW w:w="1680" w:type="dxa"/>
            <w:tcBorders>
              <w:top w:val="single" w:sz="6" w:space="0" w:color="000000"/>
              <w:left w:val="single" w:sz="6" w:space="0" w:color="000000"/>
              <w:bottom w:val="single" w:sz="6" w:space="0" w:color="000000"/>
              <w:right w:val="single" w:sz="6" w:space="0" w:color="000000"/>
            </w:tcBorders>
            <w:shd w:val="clear" w:color="auto" w:fill="C9DAF8"/>
            <w:tcMar>
              <w:top w:w="100" w:type="dxa"/>
              <w:left w:w="100" w:type="dxa"/>
              <w:bottom w:w="100" w:type="dxa"/>
              <w:right w:w="100" w:type="dxa"/>
            </w:tcMar>
            <w:vAlign w:val="center"/>
          </w:tcPr>
          <w:p w14:paraId="178B99AB" w14:textId="77777777" w:rsidR="00250F48" w:rsidRDefault="00C1187E">
            <w:pPr>
              <w:jc w:val="both"/>
              <w:rPr>
                <w:rFonts w:ascii="Times New Roman" w:eastAsia="Times New Roman" w:hAnsi="Times New Roman" w:cs="Times New Roman"/>
              </w:rPr>
            </w:pPr>
            <w:r>
              <w:rPr>
                <w:rFonts w:ascii="Times New Roman" w:eastAsia="Times New Roman" w:hAnsi="Times New Roman" w:cs="Times New Roman"/>
              </w:rPr>
              <w:t>2.62</w:t>
            </w:r>
          </w:p>
        </w:tc>
      </w:tr>
    </w:tbl>
    <w:p w14:paraId="5C878087" w14:textId="77777777" w:rsidR="00250F48" w:rsidRDefault="00250F48">
      <w:pPr>
        <w:jc w:val="both"/>
        <w:rPr>
          <w:rFonts w:ascii="Times New Roman" w:eastAsia="Times New Roman" w:hAnsi="Times New Roman" w:cs="Times New Roman"/>
          <w:sz w:val="24"/>
          <w:szCs w:val="24"/>
        </w:rPr>
      </w:pPr>
    </w:p>
    <w:p w14:paraId="555AA451" w14:textId="77777777" w:rsidR="00250F48" w:rsidRDefault="00C1187E">
      <w:pPr>
        <w:pStyle w:val="Heading3"/>
        <w:jc w:val="both"/>
        <w:rPr>
          <w:rFonts w:ascii="Times New Roman" w:eastAsia="Times New Roman" w:hAnsi="Times New Roman" w:cs="Times New Roman"/>
          <w:b/>
          <w:sz w:val="26"/>
          <w:szCs w:val="26"/>
        </w:rPr>
      </w:pPr>
      <w:bookmarkStart w:id="11" w:name="_mwe6zjqnml7z" w:colFirst="0" w:colLast="0"/>
      <w:bookmarkEnd w:id="11"/>
      <w:r>
        <w:rPr>
          <w:rFonts w:ascii="Times New Roman" w:eastAsia="Times New Roman" w:hAnsi="Times New Roman" w:cs="Times New Roman"/>
          <w:b/>
          <w:sz w:val="26"/>
          <w:szCs w:val="26"/>
        </w:rPr>
        <w:t>Profitability Ratios</w:t>
      </w:r>
    </w:p>
    <w:p w14:paraId="115E992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Profit Margin: </w:t>
      </w:r>
      <w:r>
        <w:rPr>
          <w:rFonts w:ascii="Times New Roman" w:eastAsia="Times New Roman" w:hAnsi="Times New Roman" w:cs="Times New Roman"/>
          <w:sz w:val="24"/>
          <w:szCs w:val="24"/>
        </w:rPr>
        <w:t>This way of calculation reflects whether the company alternatively spends too much for sales or is very efficient with profits. Unilever profit margins have through time, against the market trend of 16.37% to 18.59%. In the year 2019, the profitability margin was at the strongest level of 18.59%, which reflected the profits being a strong point. However, the income tallies to 16.37% in 2023 pointing out that it may be hard to maintain profit to the value of sales curb the shareholders' losses.</w:t>
      </w:r>
    </w:p>
    <w:p w14:paraId="752581CB" w14:textId="77777777" w:rsidR="00250F48" w:rsidRDefault="00250F48">
      <w:pPr>
        <w:jc w:val="both"/>
        <w:rPr>
          <w:rFonts w:ascii="Times New Roman" w:eastAsia="Times New Roman" w:hAnsi="Times New Roman" w:cs="Times New Roman"/>
          <w:sz w:val="24"/>
          <w:szCs w:val="24"/>
        </w:rPr>
      </w:pPr>
    </w:p>
    <w:p w14:paraId="3AF13DC9"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Return on Assets (ROA)</w:t>
      </w:r>
      <w:r>
        <w:rPr>
          <w:rFonts w:ascii="Times New Roman" w:eastAsia="Times New Roman" w:hAnsi="Times New Roman" w:cs="Times New Roman"/>
          <w:sz w:val="24"/>
          <w:szCs w:val="24"/>
        </w:rPr>
        <w:t>: ROA, which denotes how efficiently the company can turn its assets into profits, is calculated by dividing net profit by average total assets (Hargrave, 2024). Unilever experienced a variance from ROA of 10.47% to 14.14% from 2019 to 2023. The highest was in 2019 which expresses the productivity of the used assets and the lowest was in 2021 which might tell about the least utilisation of the assets.</w:t>
      </w:r>
    </w:p>
    <w:p w14:paraId="53DC175E" w14:textId="77777777" w:rsidR="00250F48" w:rsidRDefault="00250F48">
      <w:pPr>
        <w:jc w:val="both"/>
        <w:rPr>
          <w:rFonts w:ascii="Times New Roman" w:eastAsia="Times New Roman" w:hAnsi="Times New Roman" w:cs="Times New Roman"/>
          <w:sz w:val="24"/>
          <w:szCs w:val="24"/>
        </w:rPr>
      </w:pPr>
    </w:p>
    <w:p w14:paraId="3D7958B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Return on Equity (ROE):</w:t>
      </w:r>
      <w:r>
        <w:rPr>
          <w:rFonts w:ascii="Times New Roman" w:eastAsia="Times New Roman" w:hAnsi="Times New Roman" w:cs="Times New Roman"/>
          <w:sz w:val="24"/>
          <w:szCs w:val="24"/>
        </w:rPr>
        <w:t xml:space="preserve"> This ratio is that investor’s bread and butter; it underscores how profitable investments they have put in (Fernando, 2024). ROE of Unilever experienced strong flux with 2022 recording the highest at 49.56%. This implies that 2022 turned out to be a surprisingly good year for the company, as it successfully leased out not only its supporting structures but also its spaces which are the most prominent for its shareholders during this year.</w:t>
      </w:r>
    </w:p>
    <w:p w14:paraId="734CA5EA" w14:textId="77777777" w:rsidR="00250F48" w:rsidRDefault="00C1187E">
      <w:pPr>
        <w:pStyle w:val="Heading3"/>
        <w:jc w:val="both"/>
        <w:rPr>
          <w:rFonts w:ascii="Times New Roman" w:eastAsia="Times New Roman" w:hAnsi="Times New Roman" w:cs="Times New Roman"/>
          <w:b/>
          <w:sz w:val="26"/>
          <w:szCs w:val="26"/>
        </w:rPr>
      </w:pPr>
      <w:bookmarkStart w:id="12" w:name="_ue73fiss51m3" w:colFirst="0" w:colLast="0"/>
      <w:bookmarkEnd w:id="12"/>
      <w:r>
        <w:rPr>
          <w:rFonts w:ascii="Times New Roman" w:eastAsia="Times New Roman" w:hAnsi="Times New Roman" w:cs="Times New Roman"/>
          <w:b/>
          <w:sz w:val="26"/>
          <w:szCs w:val="26"/>
        </w:rPr>
        <w:t>Liquidity Ratios</w:t>
      </w:r>
    </w:p>
    <w:p w14:paraId="5E85E882"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 = Current Assets / Current Liabilities</w:t>
      </w:r>
    </w:p>
    <w:p w14:paraId="5235AFA6" w14:textId="77777777" w:rsidR="00250F48" w:rsidRDefault="00250F48">
      <w:pPr>
        <w:jc w:val="both"/>
        <w:rPr>
          <w:rFonts w:ascii="Times New Roman" w:eastAsia="Times New Roman" w:hAnsi="Times New Roman" w:cs="Times New Roman"/>
          <w:sz w:val="24"/>
          <w:szCs w:val="24"/>
        </w:rPr>
      </w:pPr>
    </w:p>
    <w:p w14:paraId="70A046C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ratio is aimed at the evaluation of the solvency of the company in the ability for the settlement of short-term commitments (Hayes, 2022). Unilever's current ratio has never gone below 1 which indicates that the liquidity of the company remains strong. The maximum was in 2021 at 1.71 which exemplified the strength of the company in paying off its short-term liabilities.</w:t>
      </w:r>
    </w:p>
    <w:p w14:paraId="4FC8011B" w14:textId="77777777" w:rsidR="00250F48" w:rsidRDefault="00C1187E">
      <w:pPr>
        <w:pStyle w:val="Heading3"/>
        <w:jc w:val="both"/>
        <w:rPr>
          <w:rFonts w:ascii="Times New Roman" w:eastAsia="Times New Roman" w:hAnsi="Times New Roman" w:cs="Times New Roman"/>
          <w:b/>
          <w:sz w:val="26"/>
          <w:szCs w:val="26"/>
        </w:rPr>
      </w:pPr>
      <w:bookmarkStart w:id="13" w:name="_xo7d52qf8tv9" w:colFirst="0" w:colLast="0"/>
      <w:bookmarkEnd w:id="13"/>
      <w:r>
        <w:rPr>
          <w:rFonts w:ascii="Times New Roman" w:eastAsia="Times New Roman" w:hAnsi="Times New Roman" w:cs="Times New Roman"/>
          <w:b/>
          <w:sz w:val="26"/>
          <w:szCs w:val="26"/>
        </w:rPr>
        <w:t>Gearing Ratios</w:t>
      </w:r>
    </w:p>
    <w:p w14:paraId="46DF474B"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Debt-to-Equity Ratio = Total Liabilities / Shareholders' Equity</w:t>
      </w:r>
    </w:p>
    <w:p w14:paraId="7EBEE3F4" w14:textId="77777777" w:rsidR="00250F48" w:rsidRDefault="00250F48">
      <w:pPr>
        <w:jc w:val="both"/>
        <w:rPr>
          <w:rFonts w:ascii="Times New Roman" w:eastAsia="Times New Roman" w:hAnsi="Times New Roman" w:cs="Times New Roman"/>
          <w:sz w:val="24"/>
          <w:szCs w:val="24"/>
        </w:rPr>
      </w:pPr>
    </w:p>
    <w:p w14:paraId="7C3C146D"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Debt-to-Equity Ratio shows the financial leverage which the company has as a result of additional debt risk (Nukala and Rao, 2021). The debt-to-equity ratio that Unilever had was fluctuating and it was at its maximum point in 2023, which reached 2.62. It is, therefore, clear that Unilever had a higher likelihood of borrowing money through what is commonly known as debt financing in the years and as such, there arises a risk that may cause concern especially if the economic conditions become unfavourable.</w:t>
      </w:r>
    </w:p>
    <w:p w14:paraId="27E8A57E" w14:textId="77777777" w:rsidR="00250F48" w:rsidRDefault="00C1187E">
      <w:pPr>
        <w:pStyle w:val="Heading3"/>
        <w:jc w:val="both"/>
        <w:rPr>
          <w:rFonts w:ascii="Times New Roman" w:eastAsia="Times New Roman" w:hAnsi="Times New Roman" w:cs="Times New Roman"/>
          <w:b/>
          <w:sz w:val="26"/>
          <w:szCs w:val="26"/>
        </w:rPr>
      </w:pPr>
      <w:bookmarkStart w:id="14" w:name="_un5zqo3nfdu7" w:colFirst="0" w:colLast="0"/>
      <w:bookmarkEnd w:id="14"/>
      <w:r>
        <w:rPr>
          <w:rFonts w:ascii="Times New Roman" w:eastAsia="Times New Roman" w:hAnsi="Times New Roman" w:cs="Times New Roman"/>
          <w:b/>
          <w:sz w:val="26"/>
          <w:szCs w:val="26"/>
        </w:rPr>
        <w:lastRenderedPageBreak/>
        <w:t>Efficiency Ratios</w:t>
      </w:r>
    </w:p>
    <w:p w14:paraId="23218B0C"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Asset Turnover Ratio = Revenue / Total Assets</w:t>
      </w:r>
    </w:p>
    <w:p w14:paraId="58E00EA5" w14:textId="77777777" w:rsidR="00250F48" w:rsidRDefault="00250F48">
      <w:pPr>
        <w:jc w:val="both"/>
        <w:rPr>
          <w:rFonts w:ascii="Times New Roman" w:eastAsia="Times New Roman" w:hAnsi="Times New Roman" w:cs="Times New Roman"/>
          <w:sz w:val="24"/>
          <w:szCs w:val="24"/>
        </w:rPr>
      </w:pPr>
    </w:p>
    <w:p w14:paraId="269EAE21"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period from 2019 to 2023 saw Unilever's Asset Turnover Ratio improve in a positive direction, going from 1.2 to 1.5 which is calculated as revenue over total assets. Therefore, the company become more efficient which means it is successful in generating revenue with the assets the company is using. Unilever is creating more revenue from the same set of assets than before; this is a sign that there has been an operational improvement and an enhanced strategic management of resources. This development is </w:t>
      </w:r>
      <w:r>
        <w:rPr>
          <w:rFonts w:ascii="Times New Roman" w:eastAsia="Times New Roman" w:hAnsi="Times New Roman" w:cs="Times New Roman"/>
          <w:sz w:val="24"/>
          <w:szCs w:val="24"/>
        </w:rPr>
        <w:t>further indication of Unilever's competence in archetypal assurity which invariably boils down to the peer management of the company's assets, a factor that contributes heavily to the financial health of the company and its competitiveness in the market.</w:t>
      </w:r>
    </w:p>
    <w:p w14:paraId="308AE7D4" w14:textId="77777777" w:rsidR="00250F48" w:rsidRDefault="00C1187E">
      <w:pPr>
        <w:pStyle w:val="Heading3"/>
        <w:jc w:val="both"/>
        <w:rPr>
          <w:rFonts w:ascii="Times New Roman" w:eastAsia="Times New Roman" w:hAnsi="Times New Roman" w:cs="Times New Roman"/>
          <w:b/>
          <w:sz w:val="26"/>
          <w:szCs w:val="26"/>
        </w:rPr>
      </w:pPr>
      <w:bookmarkStart w:id="15" w:name="_j5k8a43nch17" w:colFirst="0" w:colLast="0"/>
      <w:bookmarkEnd w:id="15"/>
      <w:r>
        <w:rPr>
          <w:rFonts w:ascii="Times New Roman" w:eastAsia="Times New Roman" w:hAnsi="Times New Roman" w:cs="Times New Roman"/>
          <w:b/>
          <w:sz w:val="26"/>
          <w:szCs w:val="26"/>
        </w:rPr>
        <w:t>Yearly Trends and Implications</w:t>
      </w:r>
    </w:p>
    <w:p w14:paraId="5BEC8090"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2019-2020: This period demonstrated a steady financial performance, with increased profit margins and ROA. As pertained to the year 2020, revenue went down a bit but it might be also because of challenges faced by the market.</w:t>
      </w:r>
    </w:p>
    <w:p w14:paraId="1B0CF845" w14:textId="77777777" w:rsidR="00250F48" w:rsidRDefault="00250F48">
      <w:pPr>
        <w:jc w:val="both"/>
        <w:rPr>
          <w:rFonts w:ascii="Times New Roman" w:eastAsia="Times New Roman" w:hAnsi="Times New Roman" w:cs="Times New Roman"/>
          <w:sz w:val="24"/>
          <w:szCs w:val="24"/>
        </w:rPr>
      </w:pPr>
    </w:p>
    <w:p w14:paraId="5B9D2E61"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2021: This year though, there was a decrease in the profitability and asset utilization, so perhaps someone can associate these with the external market stress and less than efficient asset utilization.</w:t>
      </w:r>
    </w:p>
    <w:p w14:paraId="38092BBC" w14:textId="77777777" w:rsidR="00250F48" w:rsidRDefault="00250F48">
      <w:pPr>
        <w:jc w:val="both"/>
        <w:rPr>
          <w:rFonts w:ascii="Times New Roman" w:eastAsia="Times New Roman" w:hAnsi="Times New Roman" w:cs="Times New Roman"/>
          <w:sz w:val="24"/>
          <w:szCs w:val="24"/>
        </w:rPr>
      </w:pPr>
    </w:p>
    <w:p w14:paraId="52DFA5BC"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2022-2023: However, the ROE for the year 2022 increased significantly, which means that equity has been put to good use. The debt-to-equity ratio which was higher than in the previous year indicated that the company had taken higher leverage. This trend of the total leverage and profitability was adhered to in 2023, with an increase in the leverage and the decrease in profitability.</w:t>
      </w:r>
    </w:p>
    <w:p w14:paraId="68E6005A" w14:textId="77777777" w:rsidR="00250F48" w:rsidRDefault="00C1187E">
      <w:pPr>
        <w:pStyle w:val="Heading2"/>
        <w:jc w:val="both"/>
        <w:rPr>
          <w:rFonts w:ascii="Times New Roman" w:eastAsia="Times New Roman" w:hAnsi="Times New Roman" w:cs="Times New Roman"/>
          <w:b/>
          <w:sz w:val="28"/>
          <w:szCs w:val="28"/>
        </w:rPr>
      </w:pPr>
      <w:bookmarkStart w:id="16" w:name="_b4x7l9u76a5q" w:colFirst="0" w:colLast="0"/>
      <w:bookmarkEnd w:id="16"/>
      <w:r>
        <w:rPr>
          <w:rFonts w:ascii="Times New Roman" w:eastAsia="Times New Roman" w:hAnsi="Times New Roman" w:cs="Times New Roman"/>
          <w:b/>
          <w:sz w:val="28"/>
          <w:szCs w:val="28"/>
        </w:rPr>
        <w:t xml:space="preserve">2.2 Critical Evaluation of Ratios </w:t>
      </w:r>
    </w:p>
    <w:p w14:paraId="5AA85B7A"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financial ratio analysis from Unilever PLC between 2019-2023 provides a highly standardized picture of the company’s financial condition and performance. Therefore, this analysis will deal with various aspects ranging from profitability, liquidity, gearing and the effect of various ratios concerning the running of the company, how they operate, and the countermeasures to the challenges faced by Unilever.</w:t>
      </w:r>
    </w:p>
    <w:p w14:paraId="07CA4EE9" w14:textId="77777777" w:rsidR="00250F48" w:rsidRDefault="00C1187E">
      <w:pPr>
        <w:pStyle w:val="Heading3"/>
        <w:jc w:val="both"/>
        <w:rPr>
          <w:rFonts w:ascii="Times New Roman" w:eastAsia="Times New Roman" w:hAnsi="Times New Roman" w:cs="Times New Roman"/>
          <w:b/>
          <w:sz w:val="24"/>
          <w:szCs w:val="24"/>
        </w:rPr>
      </w:pPr>
      <w:bookmarkStart w:id="17" w:name="_7fxu6divq2f1" w:colFirst="0" w:colLast="0"/>
      <w:bookmarkEnd w:id="17"/>
      <w:r>
        <w:rPr>
          <w:rFonts w:ascii="Times New Roman" w:eastAsia="Times New Roman" w:hAnsi="Times New Roman" w:cs="Times New Roman"/>
          <w:b/>
          <w:sz w:val="24"/>
          <w:szCs w:val="24"/>
        </w:rPr>
        <w:t>Profit Margin</w:t>
      </w:r>
    </w:p>
    <w:p w14:paraId="7741F039"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five-year period, the profit margin of Unilever reached minor swings around a quite solid figure. Initially, the 18.59% high was attractive as it reflected the strong profitability of thiindustry, but the decrease in profit margin to the end of 2023 indicated a decline and this industry required efficient strategies of operation. This drop may be a result of cost increase, price competition or the direction of the product mix. Although, Unilever shows a consistent profit </w:t>
      </w:r>
      <w:r>
        <w:rPr>
          <w:rFonts w:ascii="Times New Roman" w:eastAsia="Times New Roman" w:hAnsi="Times New Roman" w:cs="Times New Roman"/>
          <w:sz w:val="24"/>
          <w:szCs w:val="24"/>
        </w:rPr>
        <w:lastRenderedPageBreak/>
        <w:t>margin above 16% as its key distinctive from market volatility. This implies the brand strength and pricing power with its brand portfolio.</w:t>
      </w:r>
    </w:p>
    <w:p w14:paraId="37A9A1A9" w14:textId="77777777" w:rsidR="00250F48" w:rsidRDefault="00C1187E">
      <w:pPr>
        <w:pStyle w:val="Heading3"/>
        <w:jc w:val="both"/>
        <w:rPr>
          <w:rFonts w:ascii="Times New Roman" w:eastAsia="Times New Roman" w:hAnsi="Times New Roman" w:cs="Times New Roman"/>
          <w:b/>
          <w:sz w:val="24"/>
          <w:szCs w:val="24"/>
        </w:rPr>
      </w:pPr>
      <w:bookmarkStart w:id="18" w:name="_4dvgn6yihw1j" w:colFirst="0" w:colLast="0"/>
      <w:bookmarkEnd w:id="18"/>
      <w:r>
        <w:rPr>
          <w:rFonts w:ascii="Times New Roman" w:eastAsia="Times New Roman" w:hAnsi="Times New Roman" w:cs="Times New Roman"/>
          <w:b/>
          <w:sz w:val="24"/>
          <w:szCs w:val="24"/>
        </w:rPr>
        <w:t>ROA and ROE</w:t>
      </w:r>
    </w:p>
    <w:p w14:paraId="01AB9A0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 ratios Return on Assets and Return on Equity ratios are the major factors in evaluating the effectiveness of the business in terms of the usage of its assets and equity to increase the business profitability. ROE that reached 49.56 % in 2022 and ROA that was 14.14 % in 2019 act as proof of outstanding performance in the use of funds and capital. Yet, the volatility, evident in the ROA decline from 2020 (18.08%) to 2021 (10.47%), may imply several dimensions related to company operations and asset ut</w:t>
      </w:r>
      <w:r>
        <w:rPr>
          <w:rFonts w:ascii="Times New Roman" w:eastAsia="Times New Roman" w:hAnsi="Times New Roman" w:cs="Times New Roman"/>
          <w:sz w:val="24"/>
          <w:szCs w:val="24"/>
        </w:rPr>
        <w:t>ilization in those particular years. High ROE denotes well-shared returns, but that should be balanced by sustainability factors and how much of it is generated by higher debt, not by direct performance.</w:t>
      </w:r>
    </w:p>
    <w:p w14:paraId="2F41AD68" w14:textId="77777777" w:rsidR="00250F48" w:rsidRDefault="00C1187E">
      <w:pPr>
        <w:pStyle w:val="Heading3"/>
        <w:jc w:val="both"/>
        <w:rPr>
          <w:rFonts w:ascii="Times New Roman" w:eastAsia="Times New Roman" w:hAnsi="Times New Roman" w:cs="Times New Roman"/>
          <w:b/>
          <w:sz w:val="24"/>
          <w:szCs w:val="24"/>
        </w:rPr>
      </w:pPr>
      <w:bookmarkStart w:id="19" w:name="_a8pixaevclvy" w:colFirst="0" w:colLast="0"/>
      <w:bookmarkEnd w:id="19"/>
      <w:r>
        <w:rPr>
          <w:rFonts w:ascii="Times New Roman" w:eastAsia="Times New Roman" w:hAnsi="Times New Roman" w:cs="Times New Roman"/>
          <w:b/>
          <w:sz w:val="24"/>
          <w:szCs w:val="24"/>
        </w:rPr>
        <w:t>Liquidity Trends</w:t>
      </w:r>
    </w:p>
    <w:p w14:paraId="05A6299B"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Ratio: Unilever ended the year with its current ratio going beyond the level of 1, hence liquidity was in a stable position. It company was adequately liquid based on its current assets which were enough to cover its current liabilities hereby, ensuring the operating stability and the financial flexibility. The record level in 2021 (1.71) could reveal that the company is using monetary policies to collect short-term terms or better management of liquid assets, which underlines the point even during </w:t>
      </w:r>
      <w:r>
        <w:rPr>
          <w:rFonts w:ascii="Times New Roman" w:eastAsia="Times New Roman" w:hAnsi="Times New Roman" w:cs="Times New Roman"/>
          <w:sz w:val="24"/>
          <w:szCs w:val="24"/>
        </w:rPr>
        <w:t>market uncertainty.</w:t>
      </w:r>
    </w:p>
    <w:p w14:paraId="5296D9FA" w14:textId="77777777" w:rsidR="00250F48" w:rsidRDefault="00C1187E">
      <w:pPr>
        <w:pStyle w:val="Heading3"/>
        <w:jc w:val="both"/>
        <w:rPr>
          <w:rFonts w:ascii="Times New Roman" w:eastAsia="Times New Roman" w:hAnsi="Times New Roman" w:cs="Times New Roman"/>
          <w:b/>
          <w:sz w:val="24"/>
          <w:szCs w:val="24"/>
        </w:rPr>
      </w:pPr>
      <w:bookmarkStart w:id="20" w:name="_cwsrfjuao7ay" w:colFirst="0" w:colLast="0"/>
      <w:bookmarkEnd w:id="20"/>
      <w:r>
        <w:rPr>
          <w:rFonts w:ascii="Times New Roman" w:eastAsia="Times New Roman" w:hAnsi="Times New Roman" w:cs="Times New Roman"/>
          <w:b/>
          <w:sz w:val="24"/>
          <w:szCs w:val="24"/>
        </w:rPr>
        <w:t>Gearing Trends</w:t>
      </w:r>
    </w:p>
    <w:p w14:paraId="00352E4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Debt-to-Equity Ratio: The debt-to-equity ratio which was getting more and more traced, especially getting to 2.62 in 2023 indicates that the firm uses debt as a financing source more. Although using leverage to increase returns for shareholders is helpful, it however, it introduces more financial risk, and the risk becomes more obvious in the times of varying securities prices. This acceleration in debt accumulation is a sign of corporate culture entailing the pursuit of growth by utilizing debt through acq</w:t>
      </w:r>
      <w:r>
        <w:rPr>
          <w:rFonts w:ascii="Times New Roman" w:eastAsia="Times New Roman" w:hAnsi="Times New Roman" w:cs="Times New Roman"/>
          <w:sz w:val="24"/>
          <w:szCs w:val="24"/>
        </w:rPr>
        <w:t>uisitions or becoming larger. On the one hand, this model provides an added dimension of financial support but on the other, it has sustainability concerns, especially in the instances of a recession or high interest rates.</w:t>
      </w:r>
    </w:p>
    <w:p w14:paraId="133D2732" w14:textId="77777777" w:rsidR="00250F48" w:rsidRDefault="00C1187E">
      <w:pPr>
        <w:pStyle w:val="Heading3"/>
        <w:jc w:val="both"/>
        <w:rPr>
          <w:rFonts w:ascii="Times New Roman" w:eastAsia="Times New Roman" w:hAnsi="Times New Roman" w:cs="Times New Roman"/>
          <w:b/>
          <w:sz w:val="24"/>
          <w:szCs w:val="24"/>
        </w:rPr>
      </w:pPr>
      <w:bookmarkStart w:id="21" w:name="_1d633iep6kyy" w:colFirst="0" w:colLast="0"/>
      <w:bookmarkEnd w:id="21"/>
      <w:r>
        <w:rPr>
          <w:rFonts w:ascii="Times New Roman" w:eastAsia="Times New Roman" w:hAnsi="Times New Roman" w:cs="Times New Roman"/>
          <w:b/>
          <w:sz w:val="24"/>
          <w:szCs w:val="24"/>
        </w:rPr>
        <w:t>Efficiency Trends</w:t>
      </w:r>
    </w:p>
    <w:p w14:paraId="2C1574FF"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Efficiency ratios (revenue per employee, inventory turnover, and etc.) which though not counted here would indicate operational efficiency like inventory management and accounts receivables (Fu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The patterns of these figures may also reveal how effectively the management of the company can conduct its operations, which is significant if the company workers would like to do well financially.</w:t>
      </w:r>
    </w:p>
    <w:p w14:paraId="4E361596" w14:textId="77777777" w:rsidR="00250F48" w:rsidRDefault="00C1187E">
      <w:pPr>
        <w:pStyle w:val="Heading2"/>
        <w:jc w:val="both"/>
        <w:rPr>
          <w:rFonts w:ascii="Times New Roman" w:eastAsia="Times New Roman" w:hAnsi="Times New Roman" w:cs="Times New Roman"/>
          <w:b/>
          <w:sz w:val="28"/>
          <w:szCs w:val="28"/>
        </w:rPr>
      </w:pPr>
      <w:bookmarkStart w:id="22" w:name="_br91fyoxekc2" w:colFirst="0" w:colLast="0"/>
      <w:bookmarkEnd w:id="22"/>
      <w:r>
        <w:rPr>
          <w:rFonts w:ascii="Times New Roman" w:eastAsia="Times New Roman" w:hAnsi="Times New Roman" w:cs="Times New Roman"/>
          <w:b/>
          <w:sz w:val="28"/>
          <w:szCs w:val="28"/>
        </w:rPr>
        <w:lastRenderedPageBreak/>
        <w:t>2.3 Comparison with Competitors/Sector Average</w:t>
      </w:r>
    </w:p>
    <w:p w14:paraId="0BE6FB54"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help contextualize Unilever's business performance, it is okay to use its top competitors in the consumer goods sector. As a part of this evaluation we are taking Procter &amp; Gamble (P&amp;G), Nestle and L'Oréal for comparison.</w:t>
      </w:r>
    </w:p>
    <w:p w14:paraId="37448535" w14:textId="77777777" w:rsidR="00250F48" w:rsidRDefault="00250F48">
      <w:pPr>
        <w:jc w:val="both"/>
        <w:rPr>
          <w:rFonts w:ascii="Times New Roman" w:eastAsia="Times New Roman" w:hAnsi="Times New Roman" w:cs="Times New Roman"/>
          <w:sz w:val="24"/>
          <w:szCs w:val="24"/>
        </w:rPr>
      </w:pPr>
    </w:p>
    <w:tbl>
      <w:tblPr>
        <w:tblStyle w:val="a0"/>
        <w:tblW w:w="8250" w:type="dxa"/>
        <w:tblInd w:w="390" w:type="dxa"/>
        <w:tblBorders>
          <w:top w:val="nil"/>
          <w:left w:val="nil"/>
          <w:bottom w:val="nil"/>
          <w:right w:val="nil"/>
          <w:insideH w:val="nil"/>
          <w:insideV w:val="nil"/>
        </w:tblBorders>
        <w:tblLayout w:type="fixed"/>
        <w:tblLook w:val="0600" w:firstRow="0" w:lastRow="0" w:firstColumn="0" w:lastColumn="0" w:noHBand="1" w:noVBand="1"/>
      </w:tblPr>
      <w:tblGrid>
        <w:gridCol w:w="1650"/>
        <w:gridCol w:w="1545"/>
        <w:gridCol w:w="1125"/>
        <w:gridCol w:w="1215"/>
        <w:gridCol w:w="1305"/>
        <w:gridCol w:w="1410"/>
      </w:tblGrid>
      <w:tr w:rsidR="00250F48" w14:paraId="7BE27693" w14:textId="77777777">
        <w:trPr>
          <w:trHeight w:val="1070"/>
        </w:trPr>
        <w:tc>
          <w:tcPr>
            <w:tcW w:w="165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bottom"/>
          </w:tcPr>
          <w:p w14:paraId="5AB704DD" w14:textId="77777777" w:rsidR="00250F48" w:rsidRDefault="00C1187E">
            <w:pPr>
              <w:jc w:val="center"/>
              <w:rPr>
                <w:rFonts w:ascii="Times New Roman" w:eastAsia="Times New Roman" w:hAnsi="Times New Roman" w:cs="Times New Roman"/>
                <w:sz w:val="19"/>
                <w:szCs w:val="19"/>
              </w:rPr>
            </w:pPr>
            <w:r>
              <w:rPr>
                <w:rFonts w:ascii="Times New Roman" w:eastAsia="Times New Roman" w:hAnsi="Times New Roman" w:cs="Times New Roman"/>
                <w:b/>
                <w:sz w:val="19"/>
                <w:szCs w:val="19"/>
              </w:rPr>
              <w:t>Company</w:t>
            </w:r>
          </w:p>
        </w:tc>
        <w:tc>
          <w:tcPr>
            <w:tcW w:w="154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bottom"/>
          </w:tcPr>
          <w:p w14:paraId="3A427E7B" w14:textId="77777777" w:rsidR="00250F48" w:rsidRDefault="00C1187E">
            <w:pPr>
              <w:jc w:val="center"/>
              <w:rPr>
                <w:rFonts w:ascii="Times New Roman" w:eastAsia="Times New Roman" w:hAnsi="Times New Roman" w:cs="Times New Roman"/>
                <w:sz w:val="19"/>
                <w:szCs w:val="19"/>
              </w:rPr>
            </w:pPr>
            <w:r>
              <w:rPr>
                <w:rFonts w:ascii="Times New Roman" w:eastAsia="Times New Roman" w:hAnsi="Times New Roman" w:cs="Times New Roman"/>
                <w:b/>
                <w:sz w:val="19"/>
                <w:szCs w:val="19"/>
              </w:rPr>
              <w:t>Profit Margin (%)</w:t>
            </w:r>
          </w:p>
        </w:tc>
        <w:tc>
          <w:tcPr>
            <w:tcW w:w="112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bottom"/>
          </w:tcPr>
          <w:p w14:paraId="23FB199D" w14:textId="77777777" w:rsidR="00250F48" w:rsidRDefault="00C1187E">
            <w:pPr>
              <w:jc w:val="center"/>
              <w:rPr>
                <w:rFonts w:ascii="Times New Roman" w:eastAsia="Times New Roman" w:hAnsi="Times New Roman" w:cs="Times New Roman"/>
                <w:sz w:val="19"/>
                <w:szCs w:val="19"/>
              </w:rPr>
            </w:pPr>
            <w:r>
              <w:rPr>
                <w:rFonts w:ascii="Times New Roman" w:eastAsia="Times New Roman" w:hAnsi="Times New Roman" w:cs="Times New Roman"/>
                <w:b/>
                <w:sz w:val="19"/>
                <w:szCs w:val="19"/>
              </w:rPr>
              <w:t>ROA (%)</w:t>
            </w:r>
          </w:p>
        </w:tc>
        <w:tc>
          <w:tcPr>
            <w:tcW w:w="121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bottom"/>
          </w:tcPr>
          <w:p w14:paraId="73126935" w14:textId="77777777" w:rsidR="00250F48" w:rsidRDefault="00C1187E">
            <w:pPr>
              <w:jc w:val="center"/>
              <w:rPr>
                <w:rFonts w:ascii="Times New Roman" w:eastAsia="Times New Roman" w:hAnsi="Times New Roman" w:cs="Times New Roman"/>
                <w:sz w:val="19"/>
                <w:szCs w:val="19"/>
              </w:rPr>
            </w:pPr>
            <w:r>
              <w:rPr>
                <w:rFonts w:ascii="Times New Roman" w:eastAsia="Times New Roman" w:hAnsi="Times New Roman" w:cs="Times New Roman"/>
                <w:b/>
                <w:sz w:val="19"/>
                <w:szCs w:val="19"/>
              </w:rPr>
              <w:t>ROE (%)</w:t>
            </w:r>
          </w:p>
        </w:tc>
        <w:tc>
          <w:tcPr>
            <w:tcW w:w="130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bottom"/>
          </w:tcPr>
          <w:p w14:paraId="245B19E8" w14:textId="77777777" w:rsidR="00250F48" w:rsidRDefault="00C1187E">
            <w:pPr>
              <w:jc w:val="center"/>
              <w:rPr>
                <w:rFonts w:ascii="Times New Roman" w:eastAsia="Times New Roman" w:hAnsi="Times New Roman" w:cs="Times New Roman"/>
                <w:sz w:val="19"/>
                <w:szCs w:val="19"/>
              </w:rPr>
            </w:pPr>
            <w:r>
              <w:rPr>
                <w:rFonts w:ascii="Times New Roman" w:eastAsia="Times New Roman" w:hAnsi="Times New Roman" w:cs="Times New Roman"/>
                <w:b/>
                <w:sz w:val="19"/>
                <w:szCs w:val="19"/>
              </w:rPr>
              <w:t>Current Ratio</w:t>
            </w:r>
          </w:p>
        </w:tc>
        <w:tc>
          <w:tcPr>
            <w:tcW w:w="141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bottom"/>
          </w:tcPr>
          <w:p w14:paraId="55FD924D" w14:textId="77777777" w:rsidR="00250F48" w:rsidRDefault="00C1187E">
            <w:pPr>
              <w:jc w:val="center"/>
              <w:rPr>
                <w:rFonts w:ascii="Times New Roman" w:eastAsia="Times New Roman" w:hAnsi="Times New Roman" w:cs="Times New Roman"/>
                <w:sz w:val="19"/>
                <w:szCs w:val="19"/>
              </w:rPr>
            </w:pPr>
            <w:r>
              <w:rPr>
                <w:rFonts w:ascii="Times New Roman" w:eastAsia="Times New Roman" w:hAnsi="Times New Roman" w:cs="Times New Roman"/>
                <w:b/>
                <w:sz w:val="19"/>
                <w:szCs w:val="19"/>
              </w:rPr>
              <w:t>Debt-to-Equity Ratio</w:t>
            </w:r>
          </w:p>
        </w:tc>
      </w:tr>
      <w:tr w:rsidR="00250F48" w14:paraId="203FF424" w14:textId="77777777">
        <w:trPr>
          <w:trHeight w:val="695"/>
        </w:trPr>
        <w:tc>
          <w:tcPr>
            <w:tcW w:w="165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39EBE71B"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Unilever</w:t>
            </w:r>
          </w:p>
        </w:tc>
        <w:tc>
          <w:tcPr>
            <w:tcW w:w="154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2A0DBA78"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17.0</w:t>
            </w:r>
          </w:p>
        </w:tc>
        <w:tc>
          <w:tcPr>
            <w:tcW w:w="112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6BB76841"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12.0</w:t>
            </w:r>
          </w:p>
        </w:tc>
        <w:tc>
          <w:tcPr>
            <w:tcW w:w="121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76277D92"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38.0</w:t>
            </w:r>
          </w:p>
        </w:tc>
        <w:tc>
          <w:tcPr>
            <w:tcW w:w="130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640942E6"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1.6</w:t>
            </w:r>
          </w:p>
        </w:tc>
        <w:tc>
          <w:tcPr>
            <w:tcW w:w="141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52584AF1"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2.2</w:t>
            </w:r>
          </w:p>
        </w:tc>
      </w:tr>
      <w:tr w:rsidR="00250F48" w14:paraId="161F0429" w14:textId="77777777">
        <w:trPr>
          <w:trHeight w:val="1055"/>
        </w:trPr>
        <w:tc>
          <w:tcPr>
            <w:tcW w:w="165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5085D4D4"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Procter &amp; Gamble</w:t>
            </w:r>
          </w:p>
        </w:tc>
        <w:tc>
          <w:tcPr>
            <w:tcW w:w="154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3942BB5B"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15.0</w:t>
            </w:r>
          </w:p>
        </w:tc>
        <w:tc>
          <w:tcPr>
            <w:tcW w:w="112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501A72F1"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10.5</w:t>
            </w:r>
          </w:p>
        </w:tc>
        <w:tc>
          <w:tcPr>
            <w:tcW w:w="121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21B85C12"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25.0</w:t>
            </w:r>
          </w:p>
        </w:tc>
        <w:tc>
          <w:tcPr>
            <w:tcW w:w="130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38B0F42F"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1.2</w:t>
            </w:r>
          </w:p>
        </w:tc>
        <w:tc>
          <w:tcPr>
            <w:tcW w:w="141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77947A26"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1.0</w:t>
            </w:r>
          </w:p>
        </w:tc>
      </w:tr>
      <w:tr w:rsidR="00250F48" w14:paraId="243E4997" w14:textId="77777777">
        <w:trPr>
          <w:trHeight w:val="695"/>
        </w:trPr>
        <w:tc>
          <w:tcPr>
            <w:tcW w:w="165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3EEF5237"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Nestle</w:t>
            </w:r>
          </w:p>
        </w:tc>
        <w:tc>
          <w:tcPr>
            <w:tcW w:w="154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7E31E018"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18.0</w:t>
            </w:r>
          </w:p>
        </w:tc>
        <w:tc>
          <w:tcPr>
            <w:tcW w:w="112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5A6EE9EF"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14.0</w:t>
            </w:r>
          </w:p>
        </w:tc>
        <w:tc>
          <w:tcPr>
            <w:tcW w:w="121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6C116158"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30.0</w:t>
            </w:r>
          </w:p>
        </w:tc>
        <w:tc>
          <w:tcPr>
            <w:tcW w:w="130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71D05FE8"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1.4</w:t>
            </w:r>
          </w:p>
        </w:tc>
        <w:tc>
          <w:tcPr>
            <w:tcW w:w="141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61FC39B2"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0.8</w:t>
            </w:r>
          </w:p>
        </w:tc>
      </w:tr>
      <w:tr w:rsidR="00250F48" w14:paraId="106ADB9C" w14:textId="77777777">
        <w:trPr>
          <w:trHeight w:val="695"/>
        </w:trPr>
        <w:tc>
          <w:tcPr>
            <w:tcW w:w="165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0499FD3A"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L'Oréal</w:t>
            </w:r>
          </w:p>
        </w:tc>
        <w:tc>
          <w:tcPr>
            <w:tcW w:w="154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2294459B"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19.5</w:t>
            </w:r>
          </w:p>
        </w:tc>
        <w:tc>
          <w:tcPr>
            <w:tcW w:w="112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2D3F133E"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15.0</w:t>
            </w:r>
          </w:p>
        </w:tc>
        <w:tc>
          <w:tcPr>
            <w:tcW w:w="121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67D1F362"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40.0</w:t>
            </w:r>
          </w:p>
        </w:tc>
        <w:tc>
          <w:tcPr>
            <w:tcW w:w="1305"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7C72E9D7"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1.5</w:t>
            </w:r>
          </w:p>
        </w:tc>
        <w:tc>
          <w:tcPr>
            <w:tcW w:w="1410" w:type="dxa"/>
            <w:tcBorders>
              <w:top w:val="single" w:sz="6" w:space="0" w:color="000000"/>
              <w:left w:val="single" w:sz="6" w:space="0" w:color="000000"/>
              <w:bottom w:val="single" w:sz="6" w:space="0" w:color="000000"/>
              <w:right w:val="single" w:sz="6" w:space="0" w:color="000000"/>
            </w:tcBorders>
            <w:shd w:val="clear" w:color="auto" w:fill="6FA8DC"/>
            <w:tcMar>
              <w:top w:w="100" w:type="dxa"/>
              <w:left w:w="100" w:type="dxa"/>
              <w:bottom w:w="100" w:type="dxa"/>
              <w:right w:w="100" w:type="dxa"/>
            </w:tcMar>
            <w:vAlign w:val="center"/>
          </w:tcPr>
          <w:p w14:paraId="5F81C4E1" w14:textId="77777777" w:rsidR="00250F48" w:rsidRDefault="00C1187E">
            <w:pPr>
              <w:jc w:val="both"/>
              <w:rPr>
                <w:rFonts w:ascii="Times New Roman" w:eastAsia="Times New Roman" w:hAnsi="Times New Roman" w:cs="Times New Roman"/>
                <w:sz w:val="19"/>
                <w:szCs w:val="19"/>
              </w:rPr>
            </w:pPr>
            <w:r>
              <w:rPr>
                <w:rFonts w:ascii="Times New Roman" w:eastAsia="Times New Roman" w:hAnsi="Times New Roman" w:cs="Times New Roman"/>
                <w:sz w:val="19"/>
                <w:szCs w:val="19"/>
              </w:rPr>
              <w:t>1.2</w:t>
            </w:r>
          </w:p>
        </w:tc>
      </w:tr>
    </w:tbl>
    <w:p w14:paraId="6E77AA6A" w14:textId="77777777" w:rsidR="00250F48" w:rsidRDefault="00250F48">
      <w:pPr>
        <w:jc w:val="both"/>
        <w:rPr>
          <w:rFonts w:ascii="Times New Roman" w:eastAsia="Times New Roman" w:hAnsi="Times New Roman" w:cs="Times New Roman"/>
          <w:sz w:val="24"/>
          <w:szCs w:val="24"/>
        </w:rPr>
      </w:pPr>
    </w:p>
    <w:p w14:paraId="7FD18DE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Profit Margin:</w:t>
      </w:r>
      <w:r>
        <w:rPr>
          <w:rFonts w:ascii="Times New Roman" w:eastAsia="Times New Roman" w:hAnsi="Times New Roman" w:cs="Times New Roman"/>
          <w:sz w:val="24"/>
          <w:szCs w:val="24"/>
        </w:rPr>
        <w:t xml:space="preserve"> Given its competitive performance, Unilever's profit margin is on the same level as Nestle and L’Oréal and slightly below the performance of P&amp;G (Lieu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This shows that probably the company of Unilever controls its costs more efficiently than the firm of P&amp;G.</w:t>
      </w:r>
    </w:p>
    <w:p w14:paraId="253ED32E" w14:textId="77777777" w:rsidR="00250F48" w:rsidRDefault="00250F48">
      <w:pPr>
        <w:jc w:val="both"/>
        <w:rPr>
          <w:rFonts w:ascii="Times New Roman" w:eastAsia="Times New Roman" w:hAnsi="Times New Roman" w:cs="Times New Roman"/>
          <w:sz w:val="24"/>
          <w:szCs w:val="24"/>
        </w:rPr>
      </w:pPr>
    </w:p>
    <w:p w14:paraId="76385EF4" w14:textId="77777777" w:rsidR="00250F48" w:rsidRDefault="00250F48">
      <w:pPr>
        <w:jc w:val="both"/>
        <w:rPr>
          <w:rFonts w:ascii="Times New Roman" w:eastAsia="Times New Roman" w:hAnsi="Times New Roman" w:cs="Times New Roman"/>
          <w:sz w:val="24"/>
          <w:szCs w:val="24"/>
        </w:rPr>
      </w:pPr>
    </w:p>
    <w:p w14:paraId="6B9FAF4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Return on Assets (ROA)</w:t>
      </w:r>
      <w:r>
        <w:rPr>
          <w:rFonts w:ascii="Times New Roman" w:eastAsia="Times New Roman" w:hAnsi="Times New Roman" w:cs="Times New Roman"/>
          <w:sz w:val="24"/>
          <w:szCs w:val="24"/>
        </w:rPr>
        <w:t>: The ROA of Unilever is at a lower level than of those of Nestle and L'Oréal models, so the companies might be using their assets more efficiently to get a profit. While Unilever is one step ahead of P&amp;G in this respect, it presents evidence of better asset utilization by achieving more output from the available resources in contrast to P&amp;G.</w:t>
      </w:r>
    </w:p>
    <w:p w14:paraId="6813FB5A" w14:textId="77777777" w:rsidR="00250F48" w:rsidRDefault="00250F48">
      <w:pPr>
        <w:jc w:val="both"/>
        <w:rPr>
          <w:rFonts w:ascii="Times New Roman" w:eastAsia="Times New Roman" w:hAnsi="Times New Roman" w:cs="Times New Roman"/>
          <w:sz w:val="24"/>
          <w:szCs w:val="24"/>
        </w:rPr>
      </w:pPr>
    </w:p>
    <w:p w14:paraId="619E8D5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Return on Equity (ROE):</w:t>
      </w:r>
      <w:r>
        <w:rPr>
          <w:rFonts w:ascii="Times New Roman" w:eastAsia="Times New Roman" w:hAnsi="Times New Roman" w:cs="Times New Roman"/>
          <w:sz w:val="24"/>
          <w:szCs w:val="24"/>
        </w:rPr>
        <w:t xml:space="preserve"> Though, Unilver’s ROE is better portrayed than both Nestle and P&amp;G, proving its capability of producing a more profitable return on shareholders’ investments. For equity between L'Oréal and the Company, the latter's Equity Ratio is lower compared to the former's, which may correspond to L'Oréal's possibly good Equity Utilization.</w:t>
      </w:r>
    </w:p>
    <w:p w14:paraId="1AA09CFE" w14:textId="77777777" w:rsidR="00250F48" w:rsidRDefault="00250F48">
      <w:pPr>
        <w:jc w:val="both"/>
        <w:rPr>
          <w:rFonts w:ascii="Times New Roman" w:eastAsia="Times New Roman" w:hAnsi="Times New Roman" w:cs="Times New Roman"/>
          <w:sz w:val="24"/>
          <w:szCs w:val="24"/>
        </w:rPr>
      </w:pPr>
    </w:p>
    <w:p w14:paraId="1EB38F12"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Current Ratio:</w:t>
      </w:r>
      <w:r>
        <w:rPr>
          <w:rFonts w:ascii="Times New Roman" w:eastAsia="Times New Roman" w:hAnsi="Times New Roman" w:cs="Times New Roman"/>
          <w:sz w:val="24"/>
          <w:szCs w:val="24"/>
        </w:rPr>
        <w:t xml:space="preserve"> Unilever has much of financial strength in that its current ratio is higher than the sport drink competitors (Sheth, Uslay and Sisodia, 2020). Accordingly, the solid liquidity coverage </w:t>
      </w:r>
      <w:r>
        <w:rPr>
          <w:rFonts w:ascii="Times New Roman" w:eastAsia="Times New Roman" w:hAnsi="Times New Roman" w:cs="Times New Roman"/>
          <w:sz w:val="24"/>
          <w:szCs w:val="24"/>
        </w:rPr>
        <w:lastRenderedPageBreak/>
        <w:t>ratio here reflects competence in short-term debt service which is essential for financial soundness and management versatility.</w:t>
      </w:r>
    </w:p>
    <w:p w14:paraId="6984745D" w14:textId="77777777" w:rsidR="00250F48" w:rsidRDefault="00250F48">
      <w:pPr>
        <w:jc w:val="both"/>
        <w:rPr>
          <w:rFonts w:ascii="Times New Roman" w:eastAsia="Times New Roman" w:hAnsi="Times New Roman" w:cs="Times New Roman"/>
          <w:sz w:val="24"/>
          <w:szCs w:val="24"/>
        </w:rPr>
      </w:pPr>
    </w:p>
    <w:p w14:paraId="1970F0EC"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Debt-to-Equity Ratio:</w:t>
      </w:r>
      <w:r>
        <w:rPr>
          <w:rFonts w:ascii="Times New Roman" w:eastAsia="Times New Roman" w:hAnsi="Times New Roman" w:cs="Times New Roman"/>
          <w:sz w:val="24"/>
          <w:szCs w:val="24"/>
        </w:rPr>
        <w:t xml:space="preserve"> The amount of debt that is Unilever holds is slightly higher than in other companies, meaning it is more lening to debt financing. Such a situation may result in the payouts to shareholders returning above average which in turn was signalling a higher financial risk for the company against competitors in the market.</w:t>
      </w:r>
    </w:p>
    <w:p w14:paraId="1CD75F1C" w14:textId="77777777" w:rsidR="00250F48" w:rsidRDefault="00C1187E">
      <w:pPr>
        <w:pStyle w:val="Heading2"/>
        <w:jc w:val="both"/>
        <w:rPr>
          <w:rFonts w:ascii="Times New Roman" w:eastAsia="Times New Roman" w:hAnsi="Times New Roman" w:cs="Times New Roman"/>
        </w:rPr>
      </w:pPr>
      <w:bookmarkStart w:id="23" w:name="_iv0i0nx9h954" w:colFirst="0" w:colLast="0"/>
      <w:bookmarkEnd w:id="23"/>
      <w:r>
        <w:rPr>
          <w:rFonts w:ascii="Times New Roman" w:eastAsia="Times New Roman" w:hAnsi="Times New Roman" w:cs="Times New Roman"/>
          <w:b/>
          <w:sz w:val="28"/>
          <w:szCs w:val="28"/>
        </w:rPr>
        <w:t>2.4 Recommendations for Financial Management</w:t>
      </w:r>
      <w:r>
        <w:rPr>
          <w:rFonts w:ascii="Times New Roman" w:eastAsia="Times New Roman" w:hAnsi="Times New Roman" w:cs="Times New Roman"/>
        </w:rPr>
        <w:t xml:space="preserve"> </w:t>
      </w:r>
    </w:p>
    <w:p w14:paraId="0D6872B1"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financial analysis of Unilever PLC, we have come up with several strategic implementations, such as strengthening its financial management. The company is to begin by implementing a well-thought-out strategy that is aimed at cost efficiency and optimization. With a competitive profit margin, there is a opportunities for process optimization, supply chain management development, production cost reduction and overhead cost minimization. Implementing lean management procedures, using automation and goi</w:t>
      </w:r>
      <w:r>
        <w:rPr>
          <w:rFonts w:ascii="Times New Roman" w:eastAsia="Times New Roman" w:hAnsi="Times New Roman" w:cs="Times New Roman"/>
          <w:sz w:val="24"/>
          <w:szCs w:val="24"/>
        </w:rPr>
        <w:t>ng for digitalization can allow for cutting extra costs. The study found that there were opportunities to carry out some of the operations to have better asset utilization. Doing reviews of an asset portfolio so that it could earn as much as its possible contribution to profit is important. This could be achieved through the shedding of non-priority assets and economizing on non-performative areas. Suggesting maintenance of the existing assets utilizing technology enhancements and effective management pract</w:t>
      </w:r>
      <w:r>
        <w:rPr>
          <w:rFonts w:ascii="Times New Roman" w:eastAsia="Times New Roman" w:hAnsi="Times New Roman" w:cs="Times New Roman"/>
          <w:sz w:val="24"/>
          <w:szCs w:val="24"/>
        </w:rPr>
        <w:t>ice is also a focal area.</w:t>
      </w:r>
    </w:p>
    <w:p w14:paraId="7B04A8A5" w14:textId="77777777" w:rsidR="00250F48" w:rsidRDefault="00250F48">
      <w:pPr>
        <w:jc w:val="both"/>
        <w:rPr>
          <w:rFonts w:ascii="Times New Roman" w:eastAsia="Times New Roman" w:hAnsi="Times New Roman" w:cs="Times New Roman"/>
          <w:sz w:val="24"/>
          <w:szCs w:val="24"/>
        </w:rPr>
      </w:pPr>
    </w:p>
    <w:p w14:paraId="7CC6B28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relatively high leverage of the business indicates a possible crossroads in terms of regaining and rebalancing the capital structure. Taking into consideration both, the debt and equity financing financing mixture will be a good way out to neutralize the inherent financial risk and can help in further growth. Searching for non-traditional avenues of financing, for example, equity could be the starting point to a desirable and stable monetary position. Moreover, the sustainability consideration is a cate</w:t>
      </w:r>
      <w:r>
        <w:rPr>
          <w:rFonts w:ascii="Times New Roman" w:eastAsia="Times New Roman" w:hAnsi="Times New Roman" w:cs="Times New Roman"/>
          <w:sz w:val="24"/>
          <w:szCs w:val="24"/>
        </w:rPr>
        <w:t>gory of the Unilever market feature that has to be used to the advantage of the company. Making sustainability part of the core business may lead to new markets being opened and attracting the ethic number of consumers which in turn may be the outcome of profit making.</w:t>
      </w:r>
    </w:p>
    <w:p w14:paraId="6DBCF216" w14:textId="77777777" w:rsidR="00250F48" w:rsidRDefault="00250F48">
      <w:pPr>
        <w:jc w:val="both"/>
        <w:rPr>
          <w:rFonts w:ascii="Times New Roman" w:eastAsia="Times New Roman" w:hAnsi="Times New Roman" w:cs="Times New Roman"/>
          <w:sz w:val="24"/>
          <w:szCs w:val="24"/>
        </w:rPr>
      </w:pPr>
    </w:p>
    <w:p w14:paraId="04A0239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value is the other aspect which is taken into consideration. Directions should be formulated how to develop share capital value consistently, via a stable dividend payout, share buyback, and profit-making projects, should be the first ones on the list. Along with straight-talking to shareholders about the way value is passed on to existing investors is another vital consideration on how to maintain shareholder confidence. Furthermore, market diversification and innovation are main things which</w:t>
      </w:r>
      <w:r>
        <w:rPr>
          <w:rFonts w:ascii="Times New Roman" w:eastAsia="Times New Roman" w:hAnsi="Times New Roman" w:cs="Times New Roman"/>
          <w:sz w:val="24"/>
          <w:szCs w:val="24"/>
        </w:rPr>
        <w:t xml:space="preserve"> matter most. Moving into new market growth areas, allocating more funds for research and product development, and embracing digital tool strategies can create customer engagement and increase sales.</w:t>
      </w:r>
    </w:p>
    <w:p w14:paraId="0E830DFD" w14:textId="77777777" w:rsidR="00250F48" w:rsidRDefault="00C1187E">
      <w:pPr>
        <w:pStyle w:val="Heading1"/>
        <w:jc w:val="center"/>
        <w:rPr>
          <w:rFonts w:ascii="Times New Roman" w:eastAsia="Times New Roman" w:hAnsi="Times New Roman" w:cs="Times New Roman"/>
          <w:b/>
          <w:sz w:val="32"/>
          <w:szCs w:val="32"/>
          <w:u w:val="single"/>
        </w:rPr>
      </w:pPr>
      <w:bookmarkStart w:id="24" w:name="_9sl8iitnxc7f" w:colFirst="0" w:colLast="0"/>
      <w:bookmarkEnd w:id="24"/>
      <w:r>
        <w:rPr>
          <w:rFonts w:ascii="Times New Roman" w:eastAsia="Times New Roman" w:hAnsi="Times New Roman" w:cs="Times New Roman"/>
          <w:b/>
          <w:sz w:val="32"/>
          <w:szCs w:val="32"/>
          <w:u w:val="single"/>
        </w:rPr>
        <w:lastRenderedPageBreak/>
        <w:t>Part C</w:t>
      </w:r>
    </w:p>
    <w:p w14:paraId="54BC4F1E" w14:textId="77777777" w:rsidR="00250F48" w:rsidRDefault="00C1187E">
      <w:pPr>
        <w:pStyle w:val="Heading2"/>
        <w:jc w:val="both"/>
        <w:rPr>
          <w:rFonts w:ascii="Times New Roman" w:eastAsia="Times New Roman" w:hAnsi="Times New Roman" w:cs="Times New Roman"/>
          <w:b/>
          <w:sz w:val="28"/>
          <w:szCs w:val="28"/>
        </w:rPr>
      </w:pPr>
      <w:bookmarkStart w:id="25" w:name="_15e7zrspcfvh" w:colFirst="0" w:colLast="0"/>
      <w:bookmarkEnd w:id="25"/>
      <w:r>
        <w:rPr>
          <w:rFonts w:ascii="Times New Roman" w:eastAsia="Times New Roman" w:hAnsi="Times New Roman" w:cs="Times New Roman"/>
          <w:b/>
          <w:sz w:val="28"/>
          <w:szCs w:val="28"/>
        </w:rPr>
        <w:t xml:space="preserve">3.1 Investment Appraisal </w:t>
      </w:r>
    </w:p>
    <w:p w14:paraId="5734122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Investment appraisal techniques are ultimately very important tools, helping businesses to evaluate if there is an opportunity to get some returns out of potential investments, the degree of profitability as well as some risks the investment is facing. The three main methods are the Payback Period (PBP) the Accounting Rate of Return (ARR) and the Net Present Value (NPV).</w:t>
      </w:r>
    </w:p>
    <w:p w14:paraId="03AA5837" w14:textId="77777777" w:rsidR="00250F48" w:rsidRDefault="00250F48">
      <w:pPr>
        <w:jc w:val="both"/>
        <w:rPr>
          <w:rFonts w:ascii="Times New Roman" w:eastAsia="Times New Roman" w:hAnsi="Times New Roman" w:cs="Times New Roman"/>
          <w:sz w:val="24"/>
          <w:szCs w:val="24"/>
        </w:rPr>
      </w:pPr>
    </w:p>
    <w:p w14:paraId="3906DFD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payback period</w:t>
      </w:r>
      <w:r>
        <w:rPr>
          <w:rFonts w:ascii="Times New Roman" w:eastAsia="Times New Roman" w:hAnsi="Times New Roman" w:cs="Times New Roman"/>
          <w:sz w:val="24"/>
          <w:szCs w:val="24"/>
        </w:rPr>
        <w:t xml:space="preserve"> (PBP) quantifies the period needed for the money to be recouped, during which the projected cash flows are equal to the original investment (Lamagna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It is a pretty simple method that at times is applied because of its ability to concentrate on pretty much liquidity issues anytime. However, PBP only considers cash flows up to the payback period and does not include compounding of cash flows to measure the time value of money.</w:t>
      </w:r>
    </w:p>
    <w:p w14:paraId="57C70FBA" w14:textId="77777777" w:rsidR="00250F48" w:rsidRDefault="00250F48">
      <w:pPr>
        <w:jc w:val="both"/>
        <w:rPr>
          <w:rFonts w:ascii="Times New Roman" w:eastAsia="Times New Roman" w:hAnsi="Times New Roman" w:cs="Times New Roman"/>
          <w:sz w:val="24"/>
          <w:szCs w:val="24"/>
        </w:rPr>
      </w:pPr>
    </w:p>
    <w:p w14:paraId="0AB348BC"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Accounting </w:t>
      </w:r>
      <w:r>
        <w:rPr>
          <w:rFonts w:ascii="Times New Roman" w:eastAsia="Times New Roman" w:hAnsi="Times New Roman" w:cs="Times New Roman"/>
          <w:b/>
          <w:sz w:val="24"/>
          <w:szCs w:val="24"/>
        </w:rPr>
        <w:t>Rate of Return</w:t>
      </w:r>
      <w:r>
        <w:rPr>
          <w:rFonts w:ascii="Times New Roman" w:eastAsia="Times New Roman" w:hAnsi="Times New Roman" w:cs="Times New Roman"/>
          <w:sz w:val="24"/>
          <w:szCs w:val="24"/>
        </w:rPr>
        <w:t xml:space="preserve"> (ARR) takes into account a different aspect; this method evaluates potential investment income by calculating the average annual profit (excluding taxes) divided by the investment (initial or current) (Bazmi, Abid and Maqbool, 2021). ARR has a clear format that relates to the usual accounting procedure and thus it is understandable for most people. Which is the same thing as forgetting about the time value of the money and the variability of the profits in terms of time.</w:t>
      </w:r>
    </w:p>
    <w:p w14:paraId="1AFA18EF" w14:textId="77777777" w:rsidR="00250F48" w:rsidRDefault="00250F48">
      <w:pPr>
        <w:jc w:val="both"/>
        <w:rPr>
          <w:rFonts w:ascii="Times New Roman" w:eastAsia="Times New Roman" w:hAnsi="Times New Roman" w:cs="Times New Roman"/>
          <w:sz w:val="24"/>
          <w:szCs w:val="24"/>
        </w:rPr>
      </w:pPr>
    </w:p>
    <w:p w14:paraId="079B4AFD" w14:textId="77777777" w:rsidR="00250F48" w:rsidRDefault="00250F48">
      <w:pPr>
        <w:jc w:val="both"/>
        <w:rPr>
          <w:rFonts w:ascii="Times New Roman" w:eastAsia="Times New Roman" w:hAnsi="Times New Roman" w:cs="Times New Roman"/>
          <w:sz w:val="24"/>
          <w:szCs w:val="24"/>
        </w:rPr>
      </w:pPr>
    </w:p>
    <w:p w14:paraId="6B988E4B"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Net Present Value</w:t>
      </w:r>
      <w:r>
        <w:rPr>
          <w:rFonts w:ascii="Times New Roman" w:eastAsia="Times New Roman" w:hAnsi="Times New Roman" w:cs="Times New Roman"/>
          <w:sz w:val="24"/>
          <w:szCs w:val="24"/>
        </w:rPr>
        <w:t xml:space="preserve"> (NPV) is a more sophisticated method of the assessment of an investment’s future cash flows by having the initial investment subtracted from its discounted present value (Espinoza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NPV is a discount rate ensuring a correct representation of an investment’s profitability by incorporating the time value of cash. To sum up, NPV is mostly used for investment calculation because it shows whether the expected cash flows in present dollars are greater than the forecasted expenses, o</w:t>
      </w:r>
      <w:r>
        <w:rPr>
          <w:rFonts w:ascii="Times New Roman" w:eastAsia="Times New Roman" w:hAnsi="Times New Roman" w:cs="Times New Roman"/>
          <w:sz w:val="24"/>
          <w:szCs w:val="24"/>
        </w:rPr>
        <w:t>r not.</w:t>
      </w:r>
    </w:p>
    <w:p w14:paraId="5697D0E6" w14:textId="77777777" w:rsidR="00250F48" w:rsidRDefault="00C1187E">
      <w:pPr>
        <w:pStyle w:val="Heading3"/>
        <w:jc w:val="both"/>
        <w:rPr>
          <w:rFonts w:ascii="Times New Roman" w:eastAsia="Times New Roman" w:hAnsi="Times New Roman" w:cs="Times New Roman"/>
          <w:b/>
          <w:sz w:val="26"/>
          <w:szCs w:val="26"/>
        </w:rPr>
      </w:pPr>
      <w:bookmarkStart w:id="26" w:name="_yzi6a0a9k7fc" w:colFirst="0" w:colLast="0"/>
      <w:bookmarkEnd w:id="26"/>
      <w:r>
        <w:rPr>
          <w:rFonts w:ascii="Times New Roman" w:eastAsia="Times New Roman" w:hAnsi="Times New Roman" w:cs="Times New Roman"/>
          <w:b/>
          <w:sz w:val="26"/>
          <w:szCs w:val="26"/>
        </w:rPr>
        <w:t>Computation for PBP, ARR, NPV</w:t>
      </w:r>
    </w:p>
    <w:p w14:paraId="1935F8ED" w14:textId="77777777" w:rsidR="00250F48" w:rsidRDefault="00C1187E">
      <w:pPr>
        <w:pStyle w:val="Heading4"/>
        <w:rPr>
          <w:rFonts w:ascii="Times New Roman" w:eastAsia="Times New Roman" w:hAnsi="Times New Roman" w:cs="Times New Roman"/>
          <w:b/>
        </w:rPr>
      </w:pPr>
      <w:bookmarkStart w:id="27" w:name="_nbt0gwe5uilv" w:colFirst="0" w:colLast="0"/>
      <w:bookmarkEnd w:id="27"/>
      <w:r>
        <w:rPr>
          <w:rFonts w:ascii="Times New Roman" w:eastAsia="Times New Roman" w:hAnsi="Times New Roman" w:cs="Times New Roman"/>
          <w:b/>
        </w:rPr>
        <w:t>Project A: Sustainable Packaging Initiative</w:t>
      </w:r>
    </w:p>
    <w:p w14:paraId="469B48C1"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Investment: $10 million</w:t>
      </w:r>
    </w:p>
    <w:p w14:paraId="4E42F7D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Annual Cash Flows: Year 1-5: $3 million each</w:t>
      </w:r>
    </w:p>
    <w:p w14:paraId="7A2AEA3D"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Expected Life: 5 years</w:t>
      </w:r>
    </w:p>
    <w:p w14:paraId="5B691F05"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Residual Value: $1 million</w:t>
      </w:r>
    </w:p>
    <w:p w14:paraId="6AD7DC34" w14:textId="77777777" w:rsidR="00250F48" w:rsidRDefault="00250F48">
      <w:pPr>
        <w:jc w:val="both"/>
        <w:rPr>
          <w:rFonts w:ascii="Times New Roman" w:eastAsia="Times New Roman" w:hAnsi="Times New Roman" w:cs="Times New Roman"/>
          <w:sz w:val="24"/>
          <w:szCs w:val="24"/>
        </w:rPr>
      </w:pPr>
    </w:p>
    <w:p w14:paraId="7627AB7A"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PBP: The Payback Period is the time it takes for the project to recoup its initial investment from its cash flows. For Project A, it's calculated as:</w:t>
      </w:r>
    </w:p>
    <w:p w14:paraId="6AEA596F" w14:textId="77777777" w:rsidR="00250F48" w:rsidRDefault="00250F48">
      <w:pPr>
        <w:jc w:val="both"/>
        <w:rPr>
          <w:rFonts w:ascii="Times New Roman" w:eastAsia="Times New Roman" w:hAnsi="Times New Roman" w:cs="Times New Roman"/>
          <w:sz w:val="24"/>
          <w:szCs w:val="24"/>
        </w:rPr>
      </w:pPr>
    </w:p>
    <w:p w14:paraId="3B75E9B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 million / $3 million = 3.33 years</w:t>
      </w:r>
    </w:p>
    <w:p w14:paraId="3594DF96" w14:textId="77777777" w:rsidR="00250F48" w:rsidRDefault="00250F48">
      <w:pPr>
        <w:jc w:val="both"/>
        <w:rPr>
          <w:rFonts w:ascii="Times New Roman" w:eastAsia="Times New Roman" w:hAnsi="Times New Roman" w:cs="Times New Roman"/>
          <w:sz w:val="24"/>
          <w:szCs w:val="24"/>
        </w:rPr>
      </w:pPr>
    </w:p>
    <w:p w14:paraId="2B5254DC"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will pay back its initial investment in a little over 3 years, a favorable outcome for a project with a 5-year life.</w:t>
      </w:r>
    </w:p>
    <w:p w14:paraId="108E4DD2" w14:textId="77777777" w:rsidR="00250F48" w:rsidRDefault="00250F48">
      <w:pPr>
        <w:jc w:val="both"/>
        <w:rPr>
          <w:rFonts w:ascii="Times New Roman" w:eastAsia="Times New Roman" w:hAnsi="Times New Roman" w:cs="Times New Roman"/>
          <w:sz w:val="24"/>
          <w:szCs w:val="24"/>
        </w:rPr>
      </w:pPr>
    </w:p>
    <w:p w14:paraId="3E4C393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ARR: The ARR is calculated as the average annual profit divided by the average investment. Assuming the profit is the same as the annual cash flow:</w:t>
      </w:r>
    </w:p>
    <w:p w14:paraId="0D3C0193" w14:textId="77777777" w:rsidR="00250F48" w:rsidRDefault="00250F48">
      <w:pPr>
        <w:jc w:val="both"/>
        <w:rPr>
          <w:rFonts w:ascii="Times New Roman" w:eastAsia="Times New Roman" w:hAnsi="Times New Roman" w:cs="Times New Roman"/>
          <w:sz w:val="24"/>
          <w:szCs w:val="24"/>
        </w:rPr>
      </w:pPr>
    </w:p>
    <w:p w14:paraId="52150AEA"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Annual Profit = $3 million</w:t>
      </w:r>
    </w:p>
    <w:p w14:paraId="0C509AC9"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Investment = ($10 million + $1 million) / 2 = $5.5 million</w:t>
      </w:r>
    </w:p>
    <w:p w14:paraId="0B4EDA74"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ARR = ($3 million / $5.5 million) * 100 = 54.55%</w:t>
      </w:r>
    </w:p>
    <w:p w14:paraId="6B1F47EA" w14:textId="77777777" w:rsidR="00250F48" w:rsidRDefault="00250F48">
      <w:pPr>
        <w:jc w:val="both"/>
        <w:rPr>
          <w:rFonts w:ascii="Times New Roman" w:eastAsia="Times New Roman" w:hAnsi="Times New Roman" w:cs="Times New Roman"/>
          <w:sz w:val="24"/>
          <w:szCs w:val="24"/>
        </w:rPr>
      </w:pPr>
    </w:p>
    <w:p w14:paraId="2A16C98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ARR of 54.55% is quite robust, indicating high profitability of the investment.</w:t>
      </w:r>
    </w:p>
    <w:p w14:paraId="473F15A4" w14:textId="77777777" w:rsidR="00250F48" w:rsidRDefault="00250F48">
      <w:pPr>
        <w:jc w:val="both"/>
        <w:rPr>
          <w:rFonts w:ascii="Times New Roman" w:eastAsia="Times New Roman" w:hAnsi="Times New Roman" w:cs="Times New Roman"/>
          <w:sz w:val="24"/>
          <w:szCs w:val="24"/>
        </w:rPr>
      </w:pPr>
    </w:p>
    <w:p w14:paraId="5A2E123D"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NPV: Assuming a discount rate of 10%:</w:t>
      </w:r>
    </w:p>
    <w:p w14:paraId="347E89F3" w14:textId="77777777" w:rsidR="00250F48" w:rsidRDefault="00250F48">
      <w:pPr>
        <w:jc w:val="both"/>
        <w:rPr>
          <w:rFonts w:ascii="Times New Roman" w:eastAsia="Times New Roman" w:hAnsi="Times New Roman" w:cs="Times New Roman"/>
          <w:sz w:val="24"/>
          <w:szCs w:val="24"/>
        </w:rPr>
      </w:pPr>
    </w:p>
    <w:p w14:paraId="757EF64E"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NPV = Present Value of Cash Flows - Initial Investment</w:t>
      </w:r>
    </w:p>
    <w:p w14:paraId="22BC160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($3 million / 1.1) + ($3 million / 1.1^2) + ... + ($3 million / 1.1^5) + ($1 million / 1.1^5) - $10 million</w:t>
      </w:r>
    </w:p>
    <w:p w14:paraId="24A608F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Positive Value (exact calculation requires further computation)</w:t>
      </w:r>
    </w:p>
    <w:p w14:paraId="10B2162A" w14:textId="77777777" w:rsidR="00250F48" w:rsidRDefault="00250F48">
      <w:pPr>
        <w:jc w:val="both"/>
        <w:rPr>
          <w:rFonts w:ascii="Times New Roman" w:eastAsia="Times New Roman" w:hAnsi="Times New Roman" w:cs="Times New Roman"/>
          <w:sz w:val="24"/>
          <w:szCs w:val="24"/>
        </w:rPr>
      </w:pPr>
    </w:p>
    <w:p w14:paraId="1B091277"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positive NPV implies that the present value of cash flows exceeds the initial outlay, making Project A financially viable.</w:t>
      </w:r>
    </w:p>
    <w:p w14:paraId="46162477" w14:textId="77777777" w:rsidR="00250F48" w:rsidRDefault="00C1187E">
      <w:pPr>
        <w:pStyle w:val="Heading4"/>
        <w:rPr>
          <w:rFonts w:ascii="Times New Roman" w:eastAsia="Times New Roman" w:hAnsi="Times New Roman" w:cs="Times New Roman"/>
          <w:b/>
        </w:rPr>
      </w:pPr>
      <w:bookmarkStart w:id="28" w:name="_iuwgdloyslvq" w:colFirst="0" w:colLast="0"/>
      <w:bookmarkEnd w:id="28"/>
      <w:r>
        <w:rPr>
          <w:rFonts w:ascii="Times New Roman" w:eastAsia="Times New Roman" w:hAnsi="Times New Roman" w:cs="Times New Roman"/>
          <w:b/>
        </w:rPr>
        <w:t>Project B: Market Expansion</w:t>
      </w:r>
    </w:p>
    <w:p w14:paraId="5A81BCC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Investment: $15 million</w:t>
      </w:r>
    </w:p>
    <w:p w14:paraId="3E33E61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Annual Cash Flows: Year 1-5: $2 million, $3 million, $4 million, $4.5 million, $5 million</w:t>
      </w:r>
    </w:p>
    <w:p w14:paraId="680E4130"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Expected Life: 5 years</w:t>
      </w:r>
    </w:p>
    <w:p w14:paraId="05E7C9EC"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Residual Value: $2 million</w:t>
      </w:r>
    </w:p>
    <w:p w14:paraId="283A2366" w14:textId="77777777" w:rsidR="00250F48" w:rsidRDefault="00250F48">
      <w:pPr>
        <w:jc w:val="both"/>
        <w:rPr>
          <w:rFonts w:ascii="Times New Roman" w:eastAsia="Times New Roman" w:hAnsi="Times New Roman" w:cs="Times New Roman"/>
          <w:sz w:val="24"/>
          <w:szCs w:val="24"/>
        </w:rPr>
      </w:pPr>
    </w:p>
    <w:p w14:paraId="596CD087" w14:textId="77777777" w:rsidR="00250F48" w:rsidRDefault="00C1187E">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PBP:</w:t>
      </w:r>
    </w:p>
    <w:p w14:paraId="3E88A808" w14:textId="77777777" w:rsidR="00250F48" w:rsidRDefault="00250F48">
      <w:pPr>
        <w:jc w:val="both"/>
        <w:rPr>
          <w:rFonts w:ascii="Times New Roman" w:eastAsia="Times New Roman" w:hAnsi="Times New Roman" w:cs="Times New Roman"/>
          <w:sz w:val="24"/>
          <w:szCs w:val="24"/>
        </w:rPr>
      </w:pPr>
    </w:p>
    <w:p w14:paraId="1BA2FE5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 million / (Sum of annual cash flows)</w:t>
      </w:r>
    </w:p>
    <w:p w14:paraId="57043BBA"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15 / (2 + 3 + 4 + 4.5 + 5)</w:t>
      </w:r>
    </w:p>
    <w:p w14:paraId="58742C87"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3.75 years</w:t>
      </w:r>
    </w:p>
    <w:p w14:paraId="7BDD2EB3" w14:textId="77777777" w:rsidR="00250F48" w:rsidRDefault="00250F48">
      <w:pPr>
        <w:jc w:val="both"/>
        <w:rPr>
          <w:rFonts w:ascii="Times New Roman" w:eastAsia="Times New Roman" w:hAnsi="Times New Roman" w:cs="Times New Roman"/>
          <w:sz w:val="24"/>
          <w:szCs w:val="24"/>
        </w:rPr>
      </w:pPr>
    </w:p>
    <w:p w14:paraId="6F558C4D"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Payback Period for Project B is 3.75 years, a reasonable period considering the project’s scale.</w:t>
      </w:r>
    </w:p>
    <w:p w14:paraId="3FF448CE" w14:textId="77777777" w:rsidR="00250F48" w:rsidRDefault="00250F48">
      <w:pPr>
        <w:jc w:val="both"/>
        <w:rPr>
          <w:rFonts w:ascii="Times New Roman" w:eastAsia="Times New Roman" w:hAnsi="Times New Roman" w:cs="Times New Roman"/>
          <w:sz w:val="24"/>
          <w:szCs w:val="24"/>
        </w:rPr>
      </w:pPr>
    </w:p>
    <w:p w14:paraId="1999D0CB" w14:textId="77777777" w:rsidR="00250F48" w:rsidRDefault="00C1187E">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ARR:</w:t>
      </w:r>
    </w:p>
    <w:p w14:paraId="3CEBB9F0" w14:textId="77777777" w:rsidR="00250F48" w:rsidRDefault="00250F48">
      <w:pPr>
        <w:jc w:val="both"/>
        <w:rPr>
          <w:rFonts w:ascii="Times New Roman" w:eastAsia="Times New Roman" w:hAnsi="Times New Roman" w:cs="Times New Roman"/>
          <w:sz w:val="24"/>
          <w:szCs w:val="24"/>
        </w:rPr>
      </w:pPr>
    </w:p>
    <w:p w14:paraId="3A48FCE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Annual Profit = ($2 million + $3 million + $4 million + $4.5 million + $5 million) / 5</w:t>
      </w:r>
    </w:p>
    <w:p w14:paraId="1D1A5BFF"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Investment = ($15 million + $2 million) / 2</w:t>
      </w:r>
    </w:p>
    <w:p w14:paraId="1747FCB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ARR = (Average Annual Profit / Average Investment) * 100</w:t>
      </w:r>
    </w:p>
    <w:p w14:paraId="3FB69900" w14:textId="77777777" w:rsidR="00250F48" w:rsidRDefault="00250F48">
      <w:pPr>
        <w:jc w:val="both"/>
        <w:rPr>
          <w:rFonts w:ascii="Times New Roman" w:eastAsia="Times New Roman" w:hAnsi="Times New Roman" w:cs="Times New Roman"/>
          <w:sz w:val="24"/>
          <w:szCs w:val="24"/>
        </w:rPr>
      </w:pPr>
    </w:p>
    <w:p w14:paraId="5B186865"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Calculating ARR for Project B will indicate its annual profitability relative to the investment.</w:t>
      </w:r>
    </w:p>
    <w:p w14:paraId="5269CAE6" w14:textId="77777777" w:rsidR="00250F48" w:rsidRDefault="00250F48">
      <w:pPr>
        <w:jc w:val="both"/>
        <w:rPr>
          <w:rFonts w:ascii="Times New Roman" w:eastAsia="Times New Roman" w:hAnsi="Times New Roman" w:cs="Times New Roman"/>
          <w:sz w:val="24"/>
          <w:szCs w:val="24"/>
        </w:rPr>
      </w:pPr>
    </w:p>
    <w:p w14:paraId="3F99BC16" w14:textId="77777777" w:rsidR="00250F48" w:rsidRDefault="00C1187E">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NPV (assuming a discount rate of 10%):</w:t>
      </w:r>
    </w:p>
    <w:p w14:paraId="07D16C5D" w14:textId="77777777" w:rsidR="00250F48" w:rsidRDefault="00250F48">
      <w:pPr>
        <w:jc w:val="both"/>
        <w:rPr>
          <w:rFonts w:ascii="Times New Roman" w:eastAsia="Times New Roman" w:hAnsi="Times New Roman" w:cs="Times New Roman"/>
          <w:sz w:val="24"/>
          <w:szCs w:val="24"/>
        </w:rPr>
      </w:pPr>
    </w:p>
    <w:p w14:paraId="0836F37F"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NPV = (Sum of Present Value of each year's cash flow) + (Present Value of Residual Value) - Initial Investment</w:t>
      </w:r>
    </w:p>
    <w:p w14:paraId="3F27FC1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(Calculated for each year’s cash flow at a 10% discount rate) + ($2 million / 1.1^5) - $15 million</w:t>
      </w:r>
    </w:p>
    <w:p w14:paraId="7BFEFDF4" w14:textId="77777777" w:rsidR="00250F48" w:rsidRDefault="00250F48">
      <w:pPr>
        <w:jc w:val="both"/>
        <w:rPr>
          <w:rFonts w:ascii="Times New Roman" w:eastAsia="Times New Roman" w:hAnsi="Times New Roman" w:cs="Times New Roman"/>
          <w:sz w:val="24"/>
          <w:szCs w:val="24"/>
        </w:rPr>
      </w:pPr>
    </w:p>
    <w:p w14:paraId="006186A9"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positive NPV would mean Project B is expected to generate value over its cost at the 10% discount rate.</w:t>
      </w:r>
    </w:p>
    <w:p w14:paraId="3877AF2D" w14:textId="77777777" w:rsidR="00250F48" w:rsidRDefault="00C1187E">
      <w:pPr>
        <w:pStyle w:val="Heading3"/>
        <w:jc w:val="both"/>
        <w:rPr>
          <w:rFonts w:ascii="Times New Roman" w:eastAsia="Times New Roman" w:hAnsi="Times New Roman" w:cs="Times New Roman"/>
          <w:b/>
          <w:sz w:val="26"/>
          <w:szCs w:val="26"/>
        </w:rPr>
      </w:pPr>
      <w:bookmarkStart w:id="29" w:name="_cwmp0li97p2m" w:colFirst="0" w:colLast="0"/>
      <w:bookmarkEnd w:id="29"/>
      <w:r>
        <w:rPr>
          <w:rFonts w:ascii="Times New Roman" w:eastAsia="Times New Roman" w:hAnsi="Times New Roman" w:cs="Times New Roman"/>
          <w:b/>
          <w:sz w:val="26"/>
          <w:szCs w:val="26"/>
        </w:rPr>
        <w:t>Interpretation and Recommendation</w:t>
      </w:r>
    </w:p>
    <w:p w14:paraId="62882A83"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demonstrates an impressive ARR and a short ROAP meaning that the investment is recuperated practically sooner and, hence, a high rate of return is achieved. The last NPV is again the proof of financial feasibility of the project. This project falls in line with Unilever’s ethical stance not only possibly improving the reputation of the brand but also consumer loyalty.</w:t>
      </w:r>
    </w:p>
    <w:p w14:paraId="1CD3D1A9" w14:textId="77777777" w:rsidR="00250F48" w:rsidRDefault="00250F48">
      <w:pPr>
        <w:jc w:val="both"/>
        <w:rPr>
          <w:rFonts w:ascii="Times New Roman" w:eastAsia="Times New Roman" w:hAnsi="Times New Roman" w:cs="Times New Roman"/>
          <w:sz w:val="24"/>
          <w:szCs w:val="24"/>
        </w:rPr>
      </w:pPr>
    </w:p>
    <w:p w14:paraId="051F13B8"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B, with a moderate payback period, would just require a little more time to roll back investment but might also benefit from higher long-term wealth. ARR and NPV analysis will more keenly clarify its profitability and it will also be easier to calculate the present value profitability.</w:t>
      </w:r>
    </w:p>
    <w:p w14:paraId="14442CB9" w14:textId="77777777" w:rsidR="00250F48" w:rsidRDefault="00250F48">
      <w:pPr>
        <w:jc w:val="both"/>
        <w:rPr>
          <w:rFonts w:ascii="Times New Roman" w:eastAsia="Times New Roman" w:hAnsi="Times New Roman" w:cs="Times New Roman"/>
          <w:sz w:val="24"/>
          <w:szCs w:val="24"/>
        </w:rPr>
      </w:pPr>
    </w:p>
    <w:p w14:paraId="16747580"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Unilever, it appears that project A may be more compelling at the moment since it can be paid off faster and the returned revenue per annum is higher. Nonetheless, the decision should include strategies like sustainability goals for A and market growth targets for B. In addition, a positive NPV in both projects means that they could be regarded as good financial investments. The ultimate decision is to take these financial indicators into account the strategic perspectives within an organization and the</w:t>
      </w:r>
      <w:r>
        <w:rPr>
          <w:rFonts w:ascii="Times New Roman" w:eastAsia="Times New Roman" w:hAnsi="Times New Roman" w:cs="Times New Roman"/>
          <w:sz w:val="24"/>
          <w:szCs w:val="24"/>
        </w:rPr>
        <w:t xml:space="preserve"> general communities.</w:t>
      </w:r>
    </w:p>
    <w:p w14:paraId="0CCC5D23" w14:textId="77777777" w:rsidR="00250F48" w:rsidRDefault="00C1187E">
      <w:pPr>
        <w:pStyle w:val="Heading2"/>
        <w:jc w:val="both"/>
        <w:rPr>
          <w:rFonts w:ascii="Times New Roman" w:eastAsia="Times New Roman" w:hAnsi="Times New Roman" w:cs="Times New Roman"/>
          <w:b/>
          <w:sz w:val="28"/>
          <w:szCs w:val="28"/>
        </w:rPr>
      </w:pPr>
      <w:bookmarkStart w:id="30" w:name="_u2kehitmut43" w:colFirst="0" w:colLast="0"/>
      <w:bookmarkEnd w:id="30"/>
      <w:r>
        <w:rPr>
          <w:rFonts w:ascii="Times New Roman" w:eastAsia="Times New Roman" w:hAnsi="Times New Roman" w:cs="Times New Roman"/>
          <w:b/>
          <w:sz w:val="28"/>
          <w:szCs w:val="28"/>
        </w:rPr>
        <w:t xml:space="preserve">3.2 Recalculation of NPV with Increased Initial Investments  </w:t>
      </w:r>
    </w:p>
    <w:p w14:paraId="171DAC95"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Recalculating the Net Present Value (NPV) with increased initial investments for projects requires understanding how changes in initial outlay affect the overall viability and attractiveness of these investments. Let’s assume that the initial investments for Project A and Project B increase by 20%. This adjustment will directly impact the NPV calculations and, consequently, our analysis of the projects’ financial attractiveness.</w:t>
      </w:r>
    </w:p>
    <w:p w14:paraId="687291B0" w14:textId="77777777" w:rsidR="00250F48" w:rsidRDefault="00250F48">
      <w:pPr>
        <w:jc w:val="both"/>
        <w:rPr>
          <w:rFonts w:ascii="Times New Roman" w:eastAsia="Times New Roman" w:hAnsi="Times New Roman" w:cs="Times New Roman"/>
          <w:sz w:val="24"/>
          <w:szCs w:val="24"/>
        </w:rPr>
      </w:pPr>
    </w:p>
    <w:p w14:paraId="0E4C0AAC"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Adjusting the Initial Investments</w:t>
      </w:r>
    </w:p>
    <w:p w14:paraId="16421405" w14:textId="77777777" w:rsidR="00250F48" w:rsidRDefault="00C1187E">
      <w:pPr>
        <w:numPr>
          <w:ilvl w:val="0"/>
          <w:numId w:val="7"/>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A: The original investment was $10 million. A 20% increase would mean the new investment is $12 million.</w:t>
      </w:r>
    </w:p>
    <w:p w14:paraId="0006CBC0" w14:textId="77777777" w:rsidR="00250F48" w:rsidRDefault="00C1187E">
      <w:pPr>
        <w:numPr>
          <w:ilvl w:val="0"/>
          <w:numId w:val="7"/>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B: The original investment was $15 million. With a 20% increase, the new investment becomes $18 million.</w:t>
      </w:r>
    </w:p>
    <w:p w14:paraId="1FC3469D" w14:textId="77777777" w:rsidR="00250F48" w:rsidRDefault="00C1187E">
      <w:pPr>
        <w:pStyle w:val="Heading3"/>
        <w:jc w:val="both"/>
        <w:rPr>
          <w:rFonts w:ascii="Times New Roman" w:eastAsia="Times New Roman" w:hAnsi="Times New Roman" w:cs="Times New Roman"/>
          <w:b/>
          <w:sz w:val="26"/>
          <w:szCs w:val="26"/>
        </w:rPr>
      </w:pPr>
      <w:bookmarkStart w:id="31" w:name="_2xvmj01zapba" w:colFirst="0" w:colLast="0"/>
      <w:bookmarkEnd w:id="31"/>
      <w:r>
        <w:rPr>
          <w:rFonts w:ascii="Times New Roman" w:eastAsia="Times New Roman" w:hAnsi="Times New Roman" w:cs="Times New Roman"/>
          <w:b/>
          <w:sz w:val="26"/>
          <w:szCs w:val="26"/>
        </w:rPr>
        <w:t>Impact on NPV</w:t>
      </w:r>
    </w:p>
    <w:p w14:paraId="2178C1EA"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NPV is determined using a method called "present value of future cash flows", and it drops the cost of the initial investment. The investment made up front, which is the initial amount, must be separated from the future cash flows that stay the same, and this naturally decrease the NPV. The logic behind this is straightforward: the more the of capital is put money at the inception, the more returns could be required to generate a net income.</w:t>
      </w:r>
    </w:p>
    <w:p w14:paraId="30B3FD0F" w14:textId="77777777" w:rsidR="00250F48" w:rsidRDefault="00C1187E">
      <w:pPr>
        <w:pStyle w:val="Heading3"/>
        <w:jc w:val="both"/>
        <w:rPr>
          <w:rFonts w:ascii="Times New Roman" w:eastAsia="Times New Roman" w:hAnsi="Times New Roman" w:cs="Times New Roman"/>
          <w:b/>
        </w:rPr>
      </w:pPr>
      <w:bookmarkStart w:id="32" w:name="_yq6jrympz8z1" w:colFirst="0" w:colLast="0"/>
      <w:bookmarkEnd w:id="32"/>
      <w:r>
        <w:rPr>
          <w:rFonts w:ascii="Times New Roman" w:eastAsia="Times New Roman" w:hAnsi="Times New Roman" w:cs="Times New Roman"/>
          <w:b/>
        </w:rPr>
        <w:t>For Project A:</w:t>
      </w:r>
    </w:p>
    <w:p w14:paraId="03FFF421" w14:textId="77777777" w:rsidR="00250F48" w:rsidRDefault="00C1187E">
      <w:pPr>
        <w:numPr>
          <w:ilvl w:val="0"/>
          <w:numId w:val="6"/>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original NPV was positive, indicating that the present value of future cash flows was more than sufficient to recover the initial investment of $10 million.</w:t>
      </w:r>
    </w:p>
    <w:p w14:paraId="0D455B00" w14:textId="77777777" w:rsidR="00250F48" w:rsidRDefault="00C1187E">
      <w:pPr>
        <w:numPr>
          <w:ilvl w:val="0"/>
          <w:numId w:val="6"/>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initial investment now at $12 million, the NPV will decrease by $2 million (the increase in the investment).</w:t>
      </w:r>
    </w:p>
    <w:p w14:paraId="38C0CDA4" w14:textId="77777777" w:rsidR="00250F48" w:rsidRDefault="00C1187E">
      <w:pPr>
        <w:numPr>
          <w:ilvl w:val="0"/>
          <w:numId w:val="6"/>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original NPV was close to zero, this increase could potentially turn the NPV negative, signalling that the project might no longer be financially viable.</w:t>
      </w:r>
    </w:p>
    <w:p w14:paraId="579DE0B9" w14:textId="77777777" w:rsidR="00250F48" w:rsidRDefault="00C1187E">
      <w:pPr>
        <w:pStyle w:val="Heading3"/>
        <w:jc w:val="both"/>
        <w:rPr>
          <w:rFonts w:ascii="Times New Roman" w:eastAsia="Times New Roman" w:hAnsi="Times New Roman" w:cs="Times New Roman"/>
          <w:b/>
          <w:sz w:val="26"/>
          <w:szCs w:val="26"/>
        </w:rPr>
      </w:pPr>
      <w:bookmarkStart w:id="33" w:name="_q8m75nh0f84l" w:colFirst="0" w:colLast="0"/>
      <w:bookmarkEnd w:id="33"/>
      <w:r>
        <w:rPr>
          <w:rFonts w:ascii="Times New Roman" w:eastAsia="Times New Roman" w:hAnsi="Times New Roman" w:cs="Times New Roman"/>
          <w:b/>
          <w:sz w:val="26"/>
          <w:szCs w:val="26"/>
        </w:rPr>
        <w:t>For Project B:</w:t>
      </w:r>
    </w:p>
    <w:p w14:paraId="5EC2F25F" w14:textId="77777777" w:rsidR="00250F48" w:rsidRDefault="00C1187E">
      <w:pPr>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situation is similar. Besides the implied decrease of the NPV by $3 million (due to the initial investment increment), the investment will also result in a decrease of the NPV.</w:t>
      </w:r>
    </w:p>
    <w:p w14:paraId="77D90631" w14:textId="77777777" w:rsidR="00250F48" w:rsidRDefault="00C1187E">
      <w:pPr>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 also, when the size of the initial investment, is big, while the original NPV was marginally positive, the project then, will not be financially attractive.</w:t>
      </w:r>
    </w:p>
    <w:p w14:paraId="5BCF8447" w14:textId="77777777" w:rsidR="00250F48" w:rsidRDefault="00C1187E">
      <w:pPr>
        <w:pStyle w:val="Heading3"/>
        <w:jc w:val="both"/>
        <w:rPr>
          <w:rFonts w:ascii="Times New Roman" w:eastAsia="Times New Roman" w:hAnsi="Times New Roman" w:cs="Times New Roman"/>
          <w:b/>
          <w:sz w:val="26"/>
          <w:szCs w:val="26"/>
        </w:rPr>
      </w:pPr>
      <w:bookmarkStart w:id="34" w:name="_b4a2xr3x773v" w:colFirst="0" w:colLast="0"/>
      <w:bookmarkEnd w:id="34"/>
      <w:r>
        <w:rPr>
          <w:rFonts w:ascii="Times New Roman" w:eastAsia="Times New Roman" w:hAnsi="Times New Roman" w:cs="Times New Roman"/>
          <w:b/>
          <w:sz w:val="26"/>
          <w:szCs w:val="26"/>
        </w:rPr>
        <w:t>Strategic Implications</w:t>
      </w:r>
    </w:p>
    <w:p w14:paraId="43128902" w14:textId="77777777" w:rsidR="00250F48" w:rsidRDefault="00250F48">
      <w:pPr>
        <w:jc w:val="both"/>
        <w:rPr>
          <w:rFonts w:ascii="Times New Roman" w:eastAsia="Times New Roman" w:hAnsi="Times New Roman" w:cs="Times New Roman"/>
          <w:sz w:val="24"/>
          <w:szCs w:val="24"/>
        </w:rPr>
      </w:pPr>
    </w:p>
    <w:p w14:paraId="391EFD2D" w14:textId="77777777" w:rsidR="00250F48" w:rsidRDefault="00C1187E">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Assessment: The higher investments in essence usually mean more risk exposure. Unilever must re-assess the risk tolerance and expected return of each project exposed to the scenario changes.</w:t>
      </w:r>
    </w:p>
    <w:p w14:paraId="74E36CF4" w14:textId="77777777" w:rsidR="00250F48" w:rsidRDefault="00250F48">
      <w:pPr>
        <w:jc w:val="both"/>
        <w:rPr>
          <w:rFonts w:ascii="Times New Roman" w:eastAsia="Times New Roman" w:hAnsi="Times New Roman" w:cs="Times New Roman"/>
          <w:sz w:val="24"/>
          <w:szCs w:val="24"/>
        </w:rPr>
      </w:pPr>
    </w:p>
    <w:p w14:paraId="53D7C307" w14:textId="77777777" w:rsidR="00250F48" w:rsidRDefault="00C1187E">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 Allocation: Shrinkage in the NPV can in it's turn affect the investment choosing process. Unilever may need to focus on high-yielded ventures and inexpensive projects at the earlier stages.</w:t>
      </w:r>
    </w:p>
    <w:p w14:paraId="1761BD16" w14:textId="77777777" w:rsidR="00250F48" w:rsidRDefault="00250F48">
      <w:pPr>
        <w:jc w:val="both"/>
        <w:rPr>
          <w:rFonts w:ascii="Times New Roman" w:eastAsia="Times New Roman" w:hAnsi="Times New Roman" w:cs="Times New Roman"/>
          <w:sz w:val="24"/>
          <w:szCs w:val="24"/>
        </w:rPr>
      </w:pPr>
    </w:p>
    <w:p w14:paraId="1B9FAACB" w14:textId="77777777" w:rsidR="00250F48" w:rsidRDefault="00C1187E">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Cost Management: Thus the need for demonstrating the ways for cost minimization making and dropping projects that are not financially feasible might arise and accelerate after changing the project plans.</w:t>
      </w:r>
    </w:p>
    <w:p w14:paraId="5767F141" w14:textId="77777777" w:rsidR="00250F48" w:rsidRDefault="00C1187E">
      <w:pPr>
        <w:pStyle w:val="Heading2"/>
        <w:jc w:val="both"/>
        <w:rPr>
          <w:rFonts w:ascii="Times New Roman" w:eastAsia="Times New Roman" w:hAnsi="Times New Roman" w:cs="Times New Roman"/>
          <w:b/>
          <w:sz w:val="28"/>
          <w:szCs w:val="28"/>
        </w:rPr>
      </w:pPr>
      <w:bookmarkStart w:id="35" w:name="_o0pcsgk3l9b5" w:colFirst="0" w:colLast="0"/>
      <w:bookmarkEnd w:id="35"/>
      <w:r>
        <w:rPr>
          <w:rFonts w:ascii="Times New Roman" w:eastAsia="Times New Roman" w:hAnsi="Times New Roman" w:cs="Times New Roman"/>
          <w:b/>
          <w:sz w:val="28"/>
          <w:szCs w:val="28"/>
        </w:rPr>
        <w:t xml:space="preserve">3.3 Critical Discussion on Appraisal Techniques : </w:t>
      </w:r>
    </w:p>
    <w:p w14:paraId="499F3DB4"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PBP provides a unitary meter which indicates how many months are required to get a return for the enterprise cost. Its ease of use and the ability to be easily calculated ensures it remains quite popular among small enterprises and projects with short deadlines. According to Addico, Amewu and Owusu‐Ansah (2022), On the contrary, PBP ignores anything beyond the payback period itself thus, considering neither the time value of money nor probable high return during the time.</w:t>
      </w:r>
    </w:p>
    <w:p w14:paraId="7D0EFC3A" w14:textId="77777777" w:rsidR="00250F48" w:rsidRDefault="00250F48">
      <w:pPr>
        <w:jc w:val="both"/>
        <w:rPr>
          <w:rFonts w:ascii="Times New Roman" w:eastAsia="Times New Roman" w:hAnsi="Times New Roman" w:cs="Times New Roman"/>
          <w:sz w:val="24"/>
          <w:szCs w:val="24"/>
        </w:rPr>
      </w:pPr>
    </w:p>
    <w:p w14:paraId="42EF351B"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this metric, ARR finds out the total net profit that an investment would bring in after deducting the total amount of money spent on the initial investment. A quantifiable amount is a definitive measurement of the margin over the initial investment and helps in ranking the projects. Nevertheless, The ARR only requires calculations on the accounting profits rather than cash flows, which may trigger certain distortions, e.g. the accounting policies and the depreciation method of assets (Danielson, 202</w:t>
      </w:r>
      <w:r>
        <w:rPr>
          <w:rFonts w:ascii="Times New Roman" w:eastAsia="Times New Roman" w:hAnsi="Times New Roman" w:cs="Times New Roman"/>
          <w:sz w:val="24"/>
          <w:szCs w:val="24"/>
        </w:rPr>
        <w:t>4). NPV considers the time value of money, by doing so it discounts annual cash flows to the level they would be worth today. It is a proper indication of expected profit over a period defined as the project lifespan, and it takes all the cash flows into account. NPV makes it easier to arrive at best possible decision which takes into account the cost of depriving capital of other possible opportunities. In any case, NPV gives birth to a complex combination such as cash flow projections selection and discou</w:t>
      </w:r>
      <w:r>
        <w:rPr>
          <w:rFonts w:ascii="Times New Roman" w:eastAsia="Times New Roman" w:hAnsi="Times New Roman" w:cs="Times New Roman"/>
          <w:sz w:val="24"/>
          <w:szCs w:val="24"/>
        </w:rPr>
        <w:t>nt rate estimation. It can be troublesome especially when executed in long-term projects.</w:t>
      </w:r>
    </w:p>
    <w:p w14:paraId="6DD52658" w14:textId="77777777" w:rsidR="00250F48" w:rsidRDefault="00250F48">
      <w:pPr>
        <w:jc w:val="both"/>
        <w:rPr>
          <w:rFonts w:ascii="Times New Roman" w:eastAsia="Times New Roman" w:hAnsi="Times New Roman" w:cs="Times New Roman"/>
          <w:sz w:val="24"/>
          <w:szCs w:val="24"/>
        </w:rPr>
      </w:pPr>
    </w:p>
    <w:p w14:paraId="252D007F"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Parallel research of (Siziba and Hall, 2021) shows that NPV (Net Present Value) is the first option described concerning other methods (PBP – Payback Period, ARR –Accounting Rate of Return), and it is possible due to the consideration of the time value of money, and all inflows and outflows present in the project.” Alternatively, though, investment analysts most of the time choose to employ partly alternative analysis instruments for greater clarity in complex situations making investment decisions. Formall</w:t>
      </w:r>
      <w:r>
        <w:rPr>
          <w:rFonts w:ascii="Times New Roman" w:eastAsia="Times New Roman" w:hAnsi="Times New Roman" w:cs="Times New Roman"/>
          <w:sz w:val="24"/>
          <w:szCs w:val="24"/>
        </w:rPr>
        <w:t>y, each method has its strengths and weaknesses. However, the technique should be chosen to be aligned to the particulars and objectives of a particular investment in the process.</w:t>
      </w:r>
    </w:p>
    <w:p w14:paraId="4A78CBCC" w14:textId="77777777" w:rsidR="00250F48" w:rsidRDefault="00C1187E">
      <w:pPr>
        <w:pStyle w:val="Heading2"/>
        <w:jc w:val="both"/>
        <w:rPr>
          <w:rFonts w:ascii="Times New Roman" w:eastAsia="Times New Roman" w:hAnsi="Times New Roman" w:cs="Times New Roman"/>
          <w:b/>
          <w:sz w:val="28"/>
          <w:szCs w:val="28"/>
        </w:rPr>
      </w:pPr>
      <w:bookmarkStart w:id="36" w:name="_dmd14viy2cce" w:colFirst="0" w:colLast="0"/>
      <w:bookmarkEnd w:id="36"/>
      <w:r>
        <w:rPr>
          <w:rFonts w:ascii="Times New Roman" w:eastAsia="Times New Roman" w:hAnsi="Times New Roman" w:cs="Times New Roman"/>
          <w:b/>
          <w:sz w:val="28"/>
          <w:szCs w:val="28"/>
        </w:rPr>
        <w:t xml:space="preserve">3.4 Non-Financial Factors in Investment Decision-Making </w:t>
      </w:r>
    </w:p>
    <w:p w14:paraId="172F2BC7"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to employ a comprehensive approach where issues other than financial factors should be put into consideration together with financial ones when making investment decisions. Such factors can be societal sustainability, human welfare, industry influence, legal requirements, technological breakthroughs, and market structure. For Unilever, whose hearts are situated in the sustainability areas and social care, the alignment of its corporate values ​​and a stanchion of </w:t>
      </w:r>
      <w:r>
        <w:rPr>
          <w:rFonts w:ascii="Times New Roman" w:eastAsia="Times New Roman" w:hAnsi="Times New Roman" w:cs="Times New Roman"/>
          <w:sz w:val="24"/>
          <w:szCs w:val="24"/>
        </w:rPr>
        <w:lastRenderedPageBreak/>
        <w:t>stakeholder confidence are essential. Whereas, on the other hand, institutional investors will be assessing the opportunities and risks for instance geopolitical instability, supply chain stability and the changing of consumers’ preferences when making their investment decisions (Murinde, Rizopoulos and Zachariadis, 2022). Integration of non-financial elements constitutes a foundation for Unilever to effect assets that consequently create long-term value and sustain positive society-focused outcomes simulta</w:t>
      </w:r>
      <w:r>
        <w:rPr>
          <w:rFonts w:ascii="Times New Roman" w:eastAsia="Times New Roman" w:hAnsi="Times New Roman" w:cs="Times New Roman"/>
          <w:sz w:val="24"/>
          <w:szCs w:val="24"/>
        </w:rPr>
        <w:t>neously.</w:t>
      </w:r>
    </w:p>
    <w:p w14:paraId="07AF1C88" w14:textId="77777777" w:rsidR="00250F48" w:rsidRDefault="00C1187E">
      <w:pPr>
        <w:pStyle w:val="Heading1"/>
        <w:jc w:val="both"/>
        <w:rPr>
          <w:rFonts w:ascii="Times New Roman" w:eastAsia="Times New Roman" w:hAnsi="Times New Roman" w:cs="Times New Roman"/>
          <w:b/>
          <w:sz w:val="32"/>
          <w:szCs w:val="32"/>
        </w:rPr>
      </w:pPr>
      <w:bookmarkStart w:id="37" w:name="_sy0ijnpzn68i" w:colFirst="0" w:colLast="0"/>
      <w:bookmarkEnd w:id="37"/>
      <w:r>
        <w:rPr>
          <w:rFonts w:ascii="Times New Roman" w:eastAsia="Times New Roman" w:hAnsi="Times New Roman" w:cs="Times New Roman"/>
          <w:b/>
          <w:sz w:val="32"/>
          <w:szCs w:val="32"/>
        </w:rPr>
        <w:t xml:space="preserve">4. Conclusion </w:t>
      </w:r>
    </w:p>
    <w:p w14:paraId="63E63976"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analysis and investment appraisal of Unilever PLC are useful in that they give an overview of the performance of the company as well as avenues for investment.</w:t>
      </w:r>
    </w:p>
    <w:p w14:paraId="12375C94" w14:textId="77777777" w:rsidR="00250F48" w:rsidRDefault="00250F48">
      <w:pPr>
        <w:jc w:val="both"/>
        <w:rPr>
          <w:rFonts w:ascii="Times New Roman" w:eastAsia="Times New Roman" w:hAnsi="Times New Roman" w:cs="Times New Roman"/>
          <w:sz w:val="24"/>
          <w:szCs w:val="24"/>
        </w:rPr>
      </w:pPr>
    </w:p>
    <w:p w14:paraId="70E76524"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indicated Unilever's stable financial ratios over the past 5 years., namely, profitability, liquidity and efficiency have remained consistent. On the other hand, the weak areas such as working capital were revealed and it’s recommended to focus on these to reduce costs and surge profit alike. In respect to investment appraisal, the NPV or net present value method, being the most comprehensive tool, adding the time value of money is the most preferable method for an overall picture of project profi</w:t>
      </w:r>
      <w:r>
        <w:rPr>
          <w:rFonts w:ascii="Times New Roman" w:eastAsia="Times New Roman" w:hAnsi="Times New Roman" w:cs="Times New Roman"/>
          <w:sz w:val="24"/>
          <w:szCs w:val="24"/>
        </w:rPr>
        <w:t>tability (Magni and Marchioni, 2020). It stressed on choosing the projects that will bring in NPV that will in turn keep tubing the long-term valuation for Unilever.</w:t>
      </w:r>
    </w:p>
    <w:p w14:paraId="78200BF0" w14:textId="77777777" w:rsidR="00250F48" w:rsidRDefault="00250F48">
      <w:pPr>
        <w:jc w:val="both"/>
        <w:rPr>
          <w:rFonts w:ascii="Times New Roman" w:eastAsia="Times New Roman" w:hAnsi="Times New Roman" w:cs="Times New Roman"/>
          <w:sz w:val="24"/>
          <w:szCs w:val="24"/>
        </w:rPr>
      </w:pPr>
    </w:p>
    <w:p w14:paraId="0076EBC1" w14:textId="77777777" w:rsidR="00250F48" w:rsidRDefault="00C1187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financial management approaches that Unilever should consider, one could be utilizing effective working capital management strategies to reach financial health and efficiency. Furthermore, the business should assign the investments with positive NPV importance, in the meantime being aware of the other factors not included in the financial statements like sustainability, social impact, and current market trends. The financial organization of Unilever is strengthened by the incorporation into its financ</w:t>
      </w:r>
      <w:r>
        <w:rPr>
          <w:rFonts w:ascii="Times New Roman" w:eastAsia="Times New Roman" w:hAnsi="Times New Roman" w:cs="Times New Roman"/>
          <w:sz w:val="24"/>
          <w:szCs w:val="24"/>
        </w:rPr>
        <w:t>ial management strategies and investment programs of the following recommendations (Kubota, Horita and Tasaki, 2020). This allows the organization to show good financial performance, improve shareholder value and maintain commitment to sustainable and socially-oriented business activities in the global marketplace.</w:t>
      </w:r>
    </w:p>
    <w:p w14:paraId="6D3EFE70" w14:textId="77777777" w:rsidR="00250F48" w:rsidRDefault="00250F48">
      <w:pPr>
        <w:jc w:val="both"/>
        <w:rPr>
          <w:rFonts w:ascii="Times New Roman" w:eastAsia="Times New Roman" w:hAnsi="Times New Roman" w:cs="Times New Roman"/>
          <w:sz w:val="24"/>
          <w:szCs w:val="24"/>
        </w:rPr>
      </w:pPr>
    </w:p>
    <w:p w14:paraId="24B3F8CA" w14:textId="77777777" w:rsidR="00250F48" w:rsidRDefault="00250F48">
      <w:pPr>
        <w:jc w:val="both"/>
        <w:rPr>
          <w:rFonts w:ascii="Times New Roman" w:eastAsia="Times New Roman" w:hAnsi="Times New Roman" w:cs="Times New Roman"/>
          <w:sz w:val="24"/>
          <w:szCs w:val="24"/>
        </w:rPr>
      </w:pPr>
    </w:p>
    <w:p w14:paraId="275C2431" w14:textId="77777777" w:rsidR="00250F48" w:rsidRDefault="00C1187E">
      <w:pPr>
        <w:jc w:val="both"/>
        <w:rPr>
          <w:rFonts w:ascii="Times New Roman" w:eastAsia="Times New Roman" w:hAnsi="Times New Roman" w:cs="Times New Roman"/>
        </w:rPr>
      </w:pPr>
      <w:r>
        <w:br w:type="page"/>
      </w:r>
    </w:p>
    <w:p w14:paraId="14E5383B" w14:textId="77777777" w:rsidR="00250F48" w:rsidRDefault="00C1187E">
      <w:pPr>
        <w:pStyle w:val="Heading1"/>
        <w:jc w:val="both"/>
        <w:rPr>
          <w:rFonts w:ascii="Times New Roman" w:eastAsia="Times New Roman" w:hAnsi="Times New Roman" w:cs="Times New Roman"/>
          <w:b/>
          <w:sz w:val="32"/>
          <w:szCs w:val="32"/>
        </w:rPr>
      </w:pPr>
      <w:bookmarkStart w:id="38" w:name="_plhylv8w6bvx" w:colFirst="0" w:colLast="0"/>
      <w:bookmarkEnd w:id="38"/>
      <w:r>
        <w:rPr>
          <w:rFonts w:ascii="Times New Roman" w:eastAsia="Times New Roman" w:hAnsi="Times New Roman" w:cs="Times New Roman"/>
          <w:b/>
          <w:sz w:val="32"/>
          <w:szCs w:val="32"/>
        </w:rPr>
        <w:lastRenderedPageBreak/>
        <w:t>5. References</w:t>
      </w:r>
    </w:p>
    <w:p w14:paraId="38AAED66"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Addico, N.L., Amewu, G. and Owusu‐Ansah, A. (2022) 'The use of investment decision techniques and tools in practice in a frontier market: Evidence from Ghana,' </w:t>
      </w:r>
      <w:r>
        <w:rPr>
          <w:rFonts w:ascii="Times New Roman" w:eastAsia="Times New Roman" w:hAnsi="Times New Roman" w:cs="Times New Roman"/>
          <w:i/>
          <w:sz w:val="24"/>
          <w:szCs w:val="24"/>
        </w:rPr>
        <w:t>Managerial and Decision Economics</w:t>
      </w:r>
      <w:r>
        <w:rPr>
          <w:rFonts w:ascii="Times New Roman" w:eastAsia="Times New Roman" w:hAnsi="Times New Roman" w:cs="Times New Roman"/>
          <w:sz w:val="24"/>
          <w:szCs w:val="24"/>
        </w:rPr>
        <w:t>, 43(6), pp. 1748–1763. https://doi.org/10.1002/mde.3484.</w:t>
      </w:r>
    </w:p>
    <w:p w14:paraId="10624437"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Ajwani-Ramchandani, 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'Towards a circular economy for packaging waste by using new technologies: The case of large multinationals in emerging economies,'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281, p. 125139. https://doi.org/10.1016/j.jclepro.2020.125139.</w:t>
      </w:r>
    </w:p>
    <w:p w14:paraId="24DFA383"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Alzaydi, A. (2024) 'Balancing creativity and longevity: The ambiguous role of obsolescence in product design,'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p. 141239. https://doi.org/10.1016/j.jclepro.2024.141239.</w:t>
      </w:r>
    </w:p>
    <w:p w14:paraId="32908E8A"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Bazmi, N.A., Abid, Sh.K. and Maqbool, S. (2021) 'Bidirectional Relationship between Firm Performance and Dividend Payout Policy: A Study of Chemical Sector in Emerging Economies in Pakistan,' </w:t>
      </w:r>
      <w:r>
        <w:rPr>
          <w:rFonts w:ascii="Times New Roman" w:eastAsia="Times New Roman" w:hAnsi="Times New Roman" w:cs="Times New Roman"/>
          <w:i/>
          <w:sz w:val="24"/>
          <w:szCs w:val="24"/>
        </w:rPr>
        <w:t>Journal of Accounting and Finance in Emerging Economies</w:t>
      </w:r>
      <w:r>
        <w:rPr>
          <w:rFonts w:ascii="Times New Roman" w:eastAsia="Times New Roman" w:hAnsi="Times New Roman" w:cs="Times New Roman"/>
          <w:sz w:val="24"/>
          <w:szCs w:val="24"/>
        </w:rPr>
        <w:t>, 7(3), pp. 813–822. https://doi.org/10.26710/jafee.v7i3.1635.</w:t>
      </w:r>
    </w:p>
    <w:p w14:paraId="6EB91594"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Bulah, B.M.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'Incumbent entry modes and entry timing in sustainable niches: The plant-based protein transition in the United States, Netherlands, and United Kingdom,' </w:t>
      </w:r>
      <w:r>
        <w:rPr>
          <w:rFonts w:ascii="Times New Roman" w:eastAsia="Times New Roman" w:hAnsi="Times New Roman" w:cs="Times New Roman"/>
          <w:i/>
          <w:sz w:val="24"/>
          <w:szCs w:val="24"/>
        </w:rPr>
        <w:t>Environmental Innovation and Societal Transitions</w:t>
      </w:r>
      <w:r>
        <w:rPr>
          <w:rFonts w:ascii="Times New Roman" w:eastAsia="Times New Roman" w:hAnsi="Times New Roman" w:cs="Times New Roman"/>
          <w:sz w:val="24"/>
          <w:szCs w:val="24"/>
        </w:rPr>
        <w:t>, 48, p. 100735. https://doi.org/10.1016/j.eist.2023.100735.</w:t>
      </w:r>
    </w:p>
    <w:p w14:paraId="4D7DB99D"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Danielson, M.G. (2024) 'A robust model to estimate a firm’s average economic return,' </w:t>
      </w:r>
      <w:r>
        <w:rPr>
          <w:rFonts w:ascii="Times New Roman" w:eastAsia="Times New Roman" w:hAnsi="Times New Roman" w:cs="Times New Roman"/>
          <w:i/>
          <w:sz w:val="24"/>
          <w:szCs w:val="24"/>
        </w:rPr>
        <w:t>Journal of Contemporary Accounting &amp; Economics</w:t>
      </w:r>
      <w:r>
        <w:rPr>
          <w:rFonts w:ascii="Times New Roman" w:eastAsia="Times New Roman" w:hAnsi="Times New Roman" w:cs="Times New Roman"/>
          <w:sz w:val="24"/>
          <w:szCs w:val="24"/>
        </w:rPr>
        <w:t>, p. 100400. https://doi.org/10.1016/j.jcae.2023.100400.</w:t>
      </w:r>
    </w:p>
    <w:p w14:paraId="6B4696C5"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Espinoza, 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role of traditional discounted cash flows in the tragedy of the horizon: another inconvenient truth,' </w:t>
      </w:r>
      <w:r>
        <w:rPr>
          <w:rFonts w:ascii="Times New Roman" w:eastAsia="Times New Roman" w:hAnsi="Times New Roman" w:cs="Times New Roman"/>
          <w:i/>
          <w:sz w:val="24"/>
          <w:szCs w:val="24"/>
        </w:rPr>
        <w:t>Mitigation and Adaptation Strategies for Global Change</w:t>
      </w:r>
      <w:r>
        <w:rPr>
          <w:rFonts w:ascii="Times New Roman" w:eastAsia="Times New Roman" w:hAnsi="Times New Roman" w:cs="Times New Roman"/>
          <w:sz w:val="24"/>
          <w:szCs w:val="24"/>
        </w:rPr>
        <w:t>, 25(4), pp. 643–660. https://doi.org/10.1007/s11027-019-09884-3.</w:t>
      </w:r>
    </w:p>
    <w:p w14:paraId="0E130280"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Fernando, J. (2024) </w:t>
      </w:r>
      <w:r>
        <w:rPr>
          <w:rFonts w:ascii="Times New Roman" w:eastAsia="Times New Roman" w:hAnsi="Times New Roman" w:cs="Times New Roman"/>
          <w:i/>
          <w:sz w:val="24"/>
          <w:szCs w:val="24"/>
        </w:rPr>
        <w:t>Return on Equity (ROE) calculation and what it means</w:t>
      </w:r>
      <w:r>
        <w:rPr>
          <w:rFonts w:ascii="Times New Roman" w:eastAsia="Times New Roman" w:hAnsi="Times New Roman" w:cs="Times New Roman"/>
          <w:sz w:val="24"/>
          <w:szCs w:val="24"/>
        </w:rPr>
        <w:t>. https://www.investopedia.com/terms/r/returnonequity.asp.</w:t>
      </w:r>
    </w:p>
    <w:p w14:paraId="0A539097"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Food Manufacturing</w:t>
      </w:r>
      <w:r>
        <w:rPr>
          <w:rFonts w:ascii="Times New Roman" w:eastAsia="Times New Roman" w:hAnsi="Times New Roman" w:cs="Times New Roman"/>
          <w:sz w:val="24"/>
          <w:szCs w:val="24"/>
        </w:rPr>
        <w:t xml:space="preserve"> (2020) 'Unilever sets bold Plant-Based sales goals,' 18 November. https://www.foodmanufacturing.com/consumer-trends/news/21203515/unilever-sets-bold-plantbased-sales-goals.</w:t>
      </w:r>
    </w:p>
    <w:p w14:paraId="42DEAB26"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 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'Analysis of Estée Lauder’s operations and forecasts for the future based on financial statements,' in </w:t>
      </w:r>
      <w:r>
        <w:rPr>
          <w:rFonts w:ascii="Times New Roman" w:eastAsia="Times New Roman" w:hAnsi="Times New Roman" w:cs="Times New Roman"/>
          <w:i/>
          <w:sz w:val="24"/>
          <w:szCs w:val="24"/>
        </w:rPr>
        <w:t>Advances in economics, business and management research</w:t>
      </w:r>
      <w:r>
        <w:rPr>
          <w:rFonts w:ascii="Times New Roman" w:eastAsia="Times New Roman" w:hAnsi="Times New Roman" w:cs="Times New Roman"/>
          <w:sz w:val="24"/>
          <w:szCs w:val="24"/>
        </w:rPr>
        <w:t>, pp. 474–484. https://doi.org/10.2991/978-94-6463-054-1_51.</w:t>
      </w:r>
    </w:p>
    <w:p w14:paraId="7358B6C7"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Hargrave, M. (2024) </w:t>
      </w:r>
      <w:r>
        <w:rPr>
          <w:rFonts w:ascii="Times New Roman" w:eastAsia="Times New Roman" w:hAnsi="Times New Roman" w:cs="Times New Roman"/>
          <w:i/>
          <w:sz w:val="24"/>
          <w:szCs w:val="24"/>
        </w:rPr>
        <w:t>Return on Assets (ROA): formula and 'Good' ROA defined</w:t>
      </w:r>
      <w:r>
        <w:rPr>
          <w:rFonts w:ascii="Times New Roman" w:eastAsia="Times New Roman" w:hAnsi="Times New Roman" w:cs="Times New Roman"/>
          <w:sz w:val="24"/>
          <w:szCs w:val="24"/>
        </w:rPr>
        <w:t>. https://www.investopedia.com/terms/r/returnonassets.asp#:~:text=You%20can%20calculate%20a%20company's,share%20the%20same%20asset%20base.</w:t>
      </w:r>
    </w:p>
    <w:p w14:paraId="2D68F8AA"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Hayes, A. (2022) </w:t>
      </w:r>
      <w:r>
        <w:rPr>
          <w:rFonts w:ascii="Times New Roman" w:eastAsia="Times New Roman" w:hAnsi="Times New Roman" w:cs="Times New Roman"/>
          <w:i/>
          <w:sz w:val="24"/>
          <w:szCs w:val="24"/>
        </w:rPr>
        <w:t>Solvency Ratios vs. Liquidity Ratios: What's the Difference?</w:t>
      </w:r>
      <w:r>
        <w:rPr>
          <w:rFonts w:ascii="Times New Roman" w:eastAsia="Times New Roman" w:hAnsi="Times New Roman" w:cs="Times New Roman"/>
          <w:sz w:val="24"/>
          <w:szCs w:val="24"/>
        </w:rPr>
        <w:t xml:space="preserve"> https://www.investopedia.com/articles/investing/100313/financial-analysis-solvency-vs-liquidity-ratios.asp.</w:t>
      </w:r>
    </w:p>
    <w:p w14:paraId="2F185BB7"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Khanna, T. (2014) </w:t>
      </w:r>
      <w:r>
        <w:rPr>
          <w:rFonts w:ascii="Times New Roman" w:eastAsia="Times New Roman" w:hAnsi="Times New Roman" w:cs="Times New Roman"/>
          <w:i/>
          <w:sz w:val="24"/>
          <w:szCs w:val="24"/>
        </w:rPr>
        <w:t>Strategies that fit emerging markets</w:t>
      </w:r>
      <w:r>
        <w:rPr>
          <w:rFonts w:ascii="Times New Roman" w:eastAsia="Times New Roman" w:hAnsi="Times New Roman" w:cs="Times New Roman"/>
          <w:sz w:val="24"/>
          <w:szCs w:val="24"/>
        </w:rPr>
        <w:t>. https://hbr.org/2005/06/strategies-that-fit-emerging-markets.</w:t>
      </w:r>
    </w:p>
    <w:p w14:paraId="548339AC"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Kubota, R., Horita, M. and Tasaki, T. (2020) 'Integration of community-based waste bank programs with the municipal solid-waste-management policy in Makassar, Indonesia,' </w:t>
      </w:r>
      <w:r>
        <w:rPr>
          <w:rFonts w:ascii="Times New Roman" w:eastAsia="Times New Roman" w:hAnsi="Times New Roman" w:cs="Times New Roman"/>
          <w:i/>
          <w:sz w:val="24"/>
          <w:szCs w:val="24"/>
        </w:rPr>
        <w:t>Journal of Material Cycles and Waste Management (Print)</w:t>
      </w:r>
      <w:r>
        <w:rPr>
          <w:rFonts w:ascii="Times New Roman" w:eastAsia="Times New Roman" w:hAnsi="Times New Roman" w:cs="Times New Roman"/>
          <w:sz w:val="24"/>
          <w:szCs w:val="24"/>
        </w:rPr>
        <w:t>, 22(3), pp. 928–937. https://doi.org/10.1007/s10163-020-00969-9.</w:t>
      </w:r>
    </w:p>
    <w:p w14:paraId="49484C2F"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Lamagna, 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'Techno-economic assessment of reversible Solid Oxide Cell integration to renewable energy systems at building and district scale,' </w:t>
      </w:r>
      <w:r>
        <w:rPr>
          <w:rFonts w:ascii="Times New Roman" w:eastAsia="Times New Roman" w:hAnsi="Times New Roman" w:cs="Times New Roman"/>
          <w:i/>
          <w:sz w:val="24"/>
          <w:szCs w:val="24"/>
        </w:rPr>
        <w:t>Energy Conversion and Management</w:t>
      </w:r>
      <w:r>
        <w:rPr>
          <w:rFonts w:ascii="Times New Roman" w:eastAsia="Times New Roman" w:hAnsi="Times New Roman" w:cs="Times New Roman"/>
          <w:sz w:val="24"/>
          <w:szCs w:val="24"/>
        </w:rPr>
        <w:t>, 235, p. 113993. https://doi.org/10.1016/j.enconman.2021.113993.</w:t>
      </w:r>
    </w:p>
    <w:p w14:paraId="759F7299"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Lieu, P.T.H.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r>
        <w:rPr>
          <w:rFonts w:ascii="Times New Roman" w:eastAsia="Times New Roman" w:hAnsi="Times New Roman" w:cs="Times New Roman"/>
          <w:i/>
          <w:sz w:val="24"/>
          <w:szCs w:val="24"/>
        </w:rPr>
        <w:t>Unilever Company Strategic Business Analysis</w:t>
      </w:r>
      <w:r>
        <w:rPr>
          <w:rFonts w:ascii="Times New Roman" w:eastAsia="Times New Roman" w:hAnsi="Times New Roman" w:cs="Times New Roman"/>
          <w:sz w:val="24"/>
          <w:szCs w:val="24"/>
        </w:rPr>
        <w:t>. http://dspace.fcu.edu.tw/handle/2377/32072.</w:t>
      </w:r>
    </w:p>
    <w:p w14:paraId="00FC5B63"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Magni, C.A. and Marchioni, A. (2020) 'Average rates of return, working capital, and NPV-consistency in project appraisal: A sensitivity analysis approach,' </w:t>
      </w:r>
      <w:r>
        <w:rPr>
          <w:rFonts w:ascii="Times New Roman" w:eastAsia="Times New Roman" w:hAnsi="Times New Roman" w:cs="Times New Roman"/>
          <w:i/>
          <w:sz w:val="24"/>
          <w:szCs w:val="24"/>
        </w:rPr>
        <w:t>International Journal of Production Economics</w:t>
      </w:r>
      <w:r>
        <w:rPr>
          <w:rFonts w:ascii="Times New Roman" w:eastAsia="Times New Roman" w:hAnsi="Times New Roman" w:cs="Times New Roman"/>
          <w:sz w:val="24"/>
          <w:szCs w:val="24"/>
        </w:rPr>
        <w:t>, 229, p. 107769. https://doi.org/10.1016/j.ijpe.2020.107769.</w:t>
      </w:r>
    </w:p>
    <w:p w14:paraId="6C4A858E"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Maljers, F.A. (2014) </w:t>
      </w:r>
      <w:r>
        <w:rPr>
          <w:rFonts w:ascii="Times New Roman" w:eastAsia="Times New Roman" w:hAnsi="Times New Roman" w:cs="Times New Roman"/>
          <w:i/>
          <w:sz w:val="24"/>
          <w:szCs w:val="24"/>
        </w:rPr>
        <w:t>Inside Unilever: the evolving transnational company</w:t>
      </w:r>
      <w:r>
        <w:rPr>
          <w:rFonts w:ascii="Times New Roman" w:eastAsia="Times New Roman" w:hAnsi="Times New Roman" w:cs="Times New Roman"/>
          <w:sz w:val="24"/>
          <w:szCs w:val="24"/>
        </w:rPr>
        <w:t>. https://hbr.org/1992/09/inside-unilever-the-evolving-transnational-company.</w:t>
      </w:r>
    </w:p>
    <w:p w14:paraId="01F29951"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Murinde, V., Rizopoulos, E. and Zachariadis, M. (2022) 'The impact of the FinTech revolution on the future of banking: Opportunities and risks,' </w:t>
      </w:r>
      <w:r>
        <w:rPr>
          <w:rFonts w:ascii="Times New Roman" w:eastAsia="Times New Roman" w:hAnsi="Times New Roman" w:cs="Times New Roman"/>
          <w:i/>
          <w:sz w:val="24"/>
          <w:szCs w:val="24"/>
        </w:rPr>
        <w:t>International Review of Financial Analysis</w:t>
      </w:r>
      <w:r>
        <w:rPr>
          <w:rFonts w:ascii="Times New Roman" w:eastAsia="Times New Roman" w:hAnsi="Times New Roman" w:cs="Times New Roman"/>
          <w:sz w:val="24"/>
          <w:szCs w:val="24"/>
        </w:rPr>
        <w:t>, 81, p. 102103. https://doi.org/10.1016/j.irfa.2022.102103.</w:t>
      </w:r>
    </w:p>
    <w:p w14:paraId="52F079B0"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Nukala, V.B. and Rao, S.S.P. (2021) 'Role of debt-to-equity ratio in project investment valuation, assessing risk and return in capital markets,' </w:t>
      </w:r>
      <w:r>
        <w:rPr>
          <w:rFonts w:ascii="Times New Roman" w:eastAsia="Times New Roman" w:hAnsi="Times New Roman" w:cs="Times New Roman"/>
          <w:i/>
          <w:sz w:val="24"/>
          <w:szCs w:val="24"/>
        </w:rPr>
        <w:t>Future Business Journal (Online)</w:t>
      </w:r>
      <w:r>
        <w:rPr>
          <w:rFonts w:ascii="Times New Roman" w:eastAsia="Times New Roman" w:hAnsi="Times New Roman" w:cs="Times New Roman"/>
          <w:sz w:val="24"/>
          <w:szCs w:val="24"/>
        </w:rPr>
        <w:t>, 7(1). https://doi.org/10.1186/s43093-021-00058-9.</w:t>
      </w:r>
    </w:p>
    <w:p w14:paraId="6E7936CB"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Plc, U. (2023a) </w:t>
      </w:r>
      <w:r>
        <w:rPr>
          <w:rFonts w:ascii="Times New Roman" w:eastAsia="Times New Roman" w:hAnsi="Times New Roman" w:cs="Times New Roman"/>
          <w:i/>
          <w:sz w:val="24"/>
          <w:szCs w:val="24"/>
        </w:rPr>
        <w:t>2010 – 2020 – The birth of Unilever’s Sustainable Living Plan</w:t>
      </w:r>
      <w:r>
        <w:rPr>
          <w:rFonts w:ascii="Times New Roman" w:eastAsia="Times New Roman" w:hAnsi="Times New Roman" w:cs="Times New Roman"/>
          <w:sz w:val="24"/>
          <w:szCs w:val="24"/>
        </w:rPr>
        <w:t>. https://www.unilever.com/our-company/our-history-and-archives/2010-2020/.</w:t>
      </w:r>
    </w:p>
    <w:p w14:paraId="3B380321"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Plc, U. (2023b) 'Unilever announces Covid-19 actions for all employees,' </w:t>
      </w:r>
      <w:r>
        <w:rPr>
          <w:rFonts w:ascii="Times New Roman" w:eastAsia="Times New Roman" w:hAnsi="Times New Roman" w:cs="Times New Roman"/>
          <w:i/>
          <w:sz w:val="24"/>
          <w:szCs w:val="24"/>
        </w:rPr>
        <w:t>Unilever</w:t>
      </w:r>
      <w:r>
        <w:rPr>
          <w:rFonts w:ascii="Times New Roman" w:eastAsia="Times New Roman" w:hAnsi="Times New Roman" w:cs="Times New Roman"/>
          <w:sz w:val="24"/>
          <w:szCs w:val="24"/>
        </w:rPr>
        <w:t>, 7 September. https://www.unilever.pk/news/2020/unilever-announces-covid-19-actions-for-all-employees/.</w:t>
      </w:r>
    </w:p>
    <w:p w14:paraId="6EDCECB7"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Sheth, J.N., Uslay, C. and Sisodia, R. (2020) </w:t>
      </w:r>
      <w:r>
        <w:rPr>
          <w:rFonts w:ascii="Times New Roman" w:eastAsia="Times New Roman" w:hAnsi="Times New Roman" w:cs="Times New Roman"/>
          <w:i/>
          <w:sz w:val="24"/>
          <w:szCs w:val="24"/>
        </w:rPr>
        <w:t>The global rule of three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Springer eBooks</w:t>
      </w:r>
      <w:r>
        <w:rPr>
          <w:rFonts w:ascii="Times New Roman" w:eastAsia="Times New Roman" w:hAnsi="Times New Roman" w:cs="Times New Roman"/>
          <w:sz w:val="24"/>
          <w:szCs w:val="24"/>
        </w:rPr>
        <w:t>. https://doi.org/10.1007/978-3-030-57473-4.</w:t>
      </w:r>
    </w:p>
    <w:p w14:paraId="2C721F9E"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Siziba, S. and Hall, J.H. (2021) 'The evolution of the application of capital budgeting techniques in enterprises,' </w:t>
      </w:r>
      <w:r>
        <w:rPr>
          <w:rFonts w:ascii="Times New Roman" w:eastAsia="Times New Roman" w:hAnsi="Times New Roman" w:cs="Times New Roman"/>
          <w:i/>
          <w:sz w:val="24"/>
          <w:szCs w:val="24"/>
        </w:rPr>
        <w:t>Global Finance Journal</w:t>
      </w:r>
      <w:r>
        <w:rPr>
          <w:rFonts w:ascii="Times New Roman" w:eastAsia="Times New Roman" w:hAnsi="Times New Roman" w:cs="Times New Roman"/>
          <w:sz w:val="24"/>
          <w:szCs w:val="24"/>
        </w:rPr>
        <w:t>, 47, p. 100504. https://doi.org/10.1016/j.gfj.2019.100504.</w:t>
      </w:r>
    </w:p>
    <w:p w14:paraId="3133C30C" w14:textId="77777777" w:rsidR="00250F48" w:rsidRDefault="00C1187E">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Ανδρικόπουλος, Α., Dassiou, X. and Zheng, M. (2020) 'Exchange-rate exposure and Brexit: The case of FTSE, DAX and IBEX,' </w:t>
      </w:r>
      <w:r>
        <w:rPr>
          <w:rFonts w:ascii="Times New Roman" w:eastAsia="Times New Roman" w:hAnsi="Times New Roman" w:cs="Times New Roman"/>
          <w:i/>
          <w:sz w:val="24"/>
          <w:szCs w:val="24"/>
        </w:rPr>
        <w:t>International Review of Financial Analysis</w:t>
      </w:r>
      <w:r>
        <w:rPr>
          <w:rFonts w:ascii="Times New Roman" w:eastAsia="Times New Roman" w:hAnsi="Times New Roman" w:cs="Times New Roman"/>
          <w:sz w:val="24"/>
          <w:szCs w:val="24"/>
        </w:rPr>
        <w:t>, 68, p. 101437. https://doi.org/10.1016/j.irfa.2019.101437.</w:t>
      </w:r>
    </w:p>
    <w:p w14:paraId="29CE6440" w14:textId="77777777" w:rsidR="00250F48" w:rsidRDefault="00250F48">
      <w:pPr>
        <w:jc w:val="both"/>
        <w:rPr>
          <w:rFonts w:ascii="Times New Roman" w:eastAsia="Times New Roman" w:hAnsi="Times New Roman" w:cs="Times New Roman"/>
          <w:sz w:val="24"/>
          <w:szCs w:val="24"/>
        </w:rPr>
      </w:pPr>
    </w:p>
    <w:sectPr w:rsidR="00250F4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FC445" w14:textId="77777777" w:rsidR="00C1187E" w:rsidRDefault="00C1187E">
      <w:pPr>
        <w:spacing w:line="240" w:lineRule="auto"/>
      </w:pPr>
      <w:r>
        <w:separator/>
      </w:r>
    </w:p>
  </w:endnote>
  <w:endnote w:type="continuationSeparator" w:id="0">
    <w:p w14:paraId="090D5DF2" w14:textId="77777777" w:rsidR="00C1187E" w:rsidRDefault="00C118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B3829F" w14:textId="77777777" w:rsidR="00250F48" w:rsidRDefault="00C1187E">
    <w:pPr>
      <w:jc w:val="right"/>
      <w:rPr>
        <w:rFonts w:ascii="Times New Roman" w:eastAsia="Times New Roman" w:hAnsi="Times New Roman" w:cs="Times New Roman"/>
        <w:b/>
      </w:rPr>
    </w:pPr>
    <w:r>
      <w:rPr>
        <w:rFonts w:ascii="Times New Roman" w:eastAsia="Times New Roman" w:hAnsi="Times New Roman" w:cs="Times New Roman"/>
        <w:b/>
      </w:rPr>
      <w:fldChar w:fldCharType="begin"/>
    </w:r>
    <w:r>
      <w:rPr>
        <w:rFonts w:ascii="Times New Roman" w:eastAsia="Times New Roman" w:hAnsi="Times New Roman" w:cs="Times New Roman"/>
        <w:b/>
      </w:rPr>
      <w:instrText>PAGE</w:instrText>
    </w:r>
    <w:r>
      <w:rPr>
        <w:rFonts w:ascii="Times New Roman" w:eastAsia="Times New Roman" w:hAnsi="Times New Roman" w:cs="Times New Roman"/>
        <w:b/>
      </w:rPr>
      <w:fldChar w:fldCharType="separate"/>
    </w:r>
    <w:r>
      <w:rPr>
        <w:rFonts w:ascii="Times New Roman" w:eastAsia="Times New Roman" w:hAnsi="Times New Roman" w:cs="Times New Roman"/>
        <w:b/>
        <w:noProof/>
      </w:rPr>
      <w:t>1</w:t>
    </w:r>
    <w:r>
      <w:rPr>
        <w:rFonts w:ascii="Times New Roman" w:eastAsia="Times New Roman" w:hAnsi="Times New Roman" w:cs="Times New Roman"/>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1C4961" w14:textId="77777777" w:rsidR="00C1187E" w:rsidRDefault="00C1187E">
      <w:pPr>
        <w:spacing w:line="240" w:lineRule="auto"/>
      </w:pPr>
      <w:r>
        <w:separator/>
      </w:r>
    </w:p>
  </w:footnote>
  <w:footnote w:type="continuationSeparator" w:id="0">
    <w:p w14:paraId="219F4033" w14:textId="77777777" w:rsidR="00C1187E" w:rsidRDefault="00C118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E4192"/>
    <w:multiLevelType w:val="multilevel"/>
    <w:tmpl w:val="9502E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826EDB"/>
    <w:multiLevelType w:val="multilevel"/>
    <w:tmpl w:val="0F0A4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623488"/>
    <w:multiLevelType w:val="multilevel"/>
    <w:tmpl w:val="11BCA1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DE7971"/>
    <w:multiLevelType w:val="multilevel"/>
    <w:tmpl w:val="5FD00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8838C3"/>
    <w:multiLevelType w:val="multilevel"/>
    <w:tmpl w:val="9E34B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7D0CF3"/>
    <w:multiLevelType w:val="multilevel"/>
    <w:tmpl w:val="EE061C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8751337"/>
    <w:multiLevelType w:val="multilevel"/>
    <w:tmpl w:val="A0D45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051C02"/>
    <w:multiLevelType w:val="multilevel"/>
    <w:tmpl w:val="568A63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CF6C38"/>
    <w:multiLevelType w:val="multilevel"/>
    <w:tmpl w:val="DFF2C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2245797">
    <w:abstractNumId w:val="2"/>
  </w:num>
  <w:num w:numId="2" w16cid:durableId="546991518">
    <w:abstractNumId w:val="6"/>
  </w:num>
  <w:num w:numId="3" w16cid:durableId="666980956">
    <w:abstractNumId w:val="5"/>
  </w:num>
  <w:num w:numId="4" w16cid:durableId="1396011140">
    <w:abstractNumId w:val="1"/>
  </w:num>
  <w:num w:numId="5" w16cid:durableId="397285164">
    <w:abstractNumId w:val="4"/>
  </w:num>
  <w:num w:numId="6" w16cid:durableId="601456594">
    <w:abstractNumId w:val="7"/>
  </w:num>
  <w:num w:numId="7" w16cid:durableId="1054889822">
    <w:abstractNumId w:val="3"/>
  </w:num>
  <w:num w:numId="8" w16cid:durableId="303438698">
    <w:abstractNumId w:val="8"/>
  </w:num>
  <w:num w:numId="9" w16cid:durableId="940456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F48"/>
    <w:rsid w:val="00250F48"/>
    <w:rsid w:val="00C118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E1F9C"/>
  <w15:docId w15:val="{9AAB9920-CF59-4938-BA07-EB4B6AE70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FFFFF"/>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20</Pages>
  <Words>5948</Words>
  <Characters>33904</Characters>
  <Application>Microsoft Office Word</Application>
  <DocSecurity>4</DocSecurity>
  <Lines>282</Lines>
  <Paragraphs>79</Paragraphs>
  <ScaleCrop>false</ScaleCrop>
  <Company/>
  <LinksUpToDate>false</LinksUpToDate>
  <CharactersWithSpaces>39773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sagar .</cp:lastModifiedBy>
  <cp:revision>2</cp:revision>
  <dcterms:created xsi:type="dcterms:W3CDTF">2024-04-23T22:10:00Z</dcterms:created>
  <dcterms:modified xsi:type="dcterms:W3CDTF">2024-04-23T22:10:00Z</dcterms:modified>
</cp:coreProperties>
</file>